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交银施罗德中证互联网金融指数分级证券投资基金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2017</w:t>
      </w:r>
      <w:r w:rsidRPr="005E324A">
        <w:rPr>
          <w:rFonts w:eastAsiaTheme="minorEastAsia"/>
          <w:b/>
          <w:sz w:val="36"/>
          <w:szCs w:val="36"/>
        </w:rPr>
        <w:t>年第</w:t>
      </w:r>
      <w:r w:rsidRPr="005E324A">
        <w:rPr>
          <w:rFonts w:eastAsiaTheme="minorEastAsia"/>
          <w:b/>
          <w:sz w:val="36"/>
          <w:szCs w:val="36"/>
        </w:rPr>
        <w:t>1</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2017</w:t>
      </w:r>
      <w:r w:rsidRPr="005E324A">
        <w:rPr>
          <w:rFonts w:eastAsiaTheme="minorEastAsia"/>
          <w:b/>
          <w:sz w:val="36"/>
          <w:szCs w:val="36"/>
        </w:rPr>
        <w:t>年</w:t>
      </w:r>
      <w:r w:rsidRPr="005E324A">
        <w:rPr>
          <w:rFonts w:eastAsiaTheme="minorEastAsia"/>
          <w:b/>
          <w:sz w:val="36"/>
          <w:szCs w:val="36"/>
        </w:rPr>
        <w:t>3</w:t>
      </w:r>
      <w:r w:rsidRPr="005E324A">
        <w:rPr>
          <w:rFonts w:eastAsiaTheme="minorEastAsia"/>
          <w:b/>
          <w:sz w:val="36"/>
          <w:szCs w:val="36"/>
        </w:rPr>
        <w:t>月</w:t>
      </w:r>
      <w:r w:rsidRPr="005E324A">
        <w:rPr>
          <w:rFonts w:eastAsiaTheme="minorEastAsia"/>
          <w:b/>
          <w:sz w:val="36"/>
          <w:szCs w:val="36"/>
        </w:rPr>
        <w:t>31</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230A66">
          <w:headerReference w:type="default" r:id="rId7"/>
          <w:footerReference w:type="default" r:id="rId8"/>
          <w:pgSz w:w="11926" w:h="15840"/>
          <w:pgMar w:top="1418" w:right="1418" w:bottom="851" w:left="1418" w:header="851" w:footer="992" w:gutter="0"/>
          <w:cols w:space="720"/>
          <w:noEndnote/>
        </w:sectPr>
      </w:pPr>
      <w:r w:rsidRPr="005E324A">
        <w:rPr>
          <w:rFonts w:eastAsiaTheme="minorEastAsia"/>
          <w:b/>
          <w:color w:val="000000"/>
          <w:sz w:val="24"/>
        </w:rPr>
        <w:t>报告送出日期：</w:t>
      </w:r>
      <w:r w:rsidR="007D1C16" w:rsidRPr="005E324A">
        <w:rPr>
          <w:rFonts w:eastAsiaTheme="minorEastAsia"/>
          <w:b/>
          <w:color w:val="000000"/>
          <w:sz w:val="24"/>
        </w:rPr>
        <w:t>二〇一七年四月二十四日</w:t>
      </w:r>
    </w:p>
    <w:p w:rsidR="00220542" w:rsidRPr="005E324A" w:rsidRDefault="00220542" w:rsidP="007674F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344951" w:rsidRDefault="00696EB2">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44951" w:rsidRDefault="00696EB2">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44951" w:rsidRDefault="00696EB2">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44951" w:rsidRDefault="00696EB2">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44951" w:rsidRDefault="00696EB2">
      <w:pPr>
        <w:spacing w:line="360"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2017</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3</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日止。</w:t>
      </w: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交银中证互联网金融指数分级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E</w:t>
            </w:r>
            <w:r w:rsidRPr="005E324A">
              <w:rPr>
                <w:sz w:val="24"/>
              </w:rPr>
              <w:t>金融</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152,819,101.23</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本基金为指数型基金，绝大部分资产采用完全复制标的指数的方法跟踪标的指数，即按照中证互联网</w:t>
            </w:r>
            <w:r w:rsidRPr="005E324A">
              <w:rPr>
                <w:rFonts w:eastAsiaTheme="minorEastAsia"/>
                <w:color w:val="000000"/>
                <w:kern w:val="0"/>
                <w:sz w:val="24"/>
              </w:rPr>
              <w:lastRenderedPageBreak/>
              <w:t>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中证互联网金融指数收益率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r w:rsidRPr="005E324A">
              <w:rPr>
                <w:rFonts w:eastAsiaTheme="minorEastAsia"/>
                <w:color w:val="000000"/>
                <w:kern w:val="0"/>
                <w:sz w:val="24"/>
              </w:rPr>
              <w:t>。</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份额具有低预期风险、预期收益相对稳定的特征；交银互联网金融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164907</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143,263,339.23</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4,777,881.00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4,777,881.00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696EB2" w:rsidRPr="005E324A" w:rsidTr="00696EB2">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(2017</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-2017</w:t>
            </w:r>
            <w:r w:rsidRPr="005E324A">
              <w:rPr>
                <w:rFonts w:eastAsiaTheme="minorEastAsia"/>
                <w:color w:val="000000"/>
                <w:sz w:val="24"/>
              </w:rPr>
              <w:t>年</w:t>
            </w:r>
            <w:r w:rsidRPr="005E324A">
              <w:rPr>
                <w:rFonts w:eastAsiaTheme="minorEastAsia"/>
                <w:color w:val="000000"/>
                <w:sz w:val="24"/>
              </w:rPr>
              <w:t>3</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w:t>
            </w:r>
            <w:r w:rsidRPr="005E324A">
              <w:rPr>
                <w:rFonts w:eastAsiaTheme="minorEastAsia"/>
                <w:color w:val="000000"/>
                <w:sz w:val="24"/>
              </w:rPr>
              <w:t>)</w:t>
            </w:r>
          </w:p>
        </w:tc>
      </w:tr>
      <w:tr w:rsidR="00696EB2" w:rsidRPr="005E324A" w:rsidTr="00696EB2">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-1,468,624.78</w:t>
            </w:r>
          </w:p>
        </w:tc>
      </w:tr>
      <w:tr w:rsidR="00696EB2" w:rsidRPr="005E324A" w:rsidTr="00696EB2">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-6,633,930.33</w:t>
            </w:r>
          </w:p>
        </w:tc>
      </w:tr>
      <w:tr w:rsidR="00696EB2" w:rsidRPr="005E324A" w:rsidTr="00696EB2">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-0.0428</w:t>
            </w:r>
          </w:p>
        </w:tc>
      </w:tr>
      <w:tr w:rsidR="00696EB2" w:rsidRPr="005E324A" w:rsidTr="00696EB2">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152,231,832.36</w:t>
            </w:r>
          </w:p>
        </w:tc>
      </w:tr>
      <w:tr w:rsidR="00696EB2" w:rsidRPr="005E324A" w:rsidTr="00696EB2">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0.996</w:t>
            </w:r>
          </w:p>
        </w:tc>
      </w:tr>
    </w:tbl>
    <w:p w:rsidR="00344951" w:rsidRDefault="00696EB2">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511"/>
        <w:gridCol w:w="920"/>
        <w:gridCol w:w="1216"/>
        <w:gridCol w:w="1216"/>
        <w:gridCol w:w="1216"/>
        <w:gridCol w:w="1217"/>
        <w:gridCol w:w="1217"/>
      </w:tblGrid>
      <w:tr w:rsidR="00E27A14" w:rsidRPr="005E324A" w:rsidTr="00696EB2">
        <w:tc>
          <w:tcPr>
            <w:tcW w:w="1511"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lastRenderedPageBreak/>
              <w:t>阶段</w:t>
            </w:r>
          </w:p>
        </w:tc>
        <w:tc>
          <w:tcPr>
            <w:tcW w:w="920"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344951" w:rsidTr="00696EB2">
        <w:tc>
          <w:tcPr>
            <w:tcW w:w="1511" w:type="dxa"/>
            <w:vAlign w:val="center"/>
          </w:tcPr>
          <w:p w:rsidR="00344951" w:rsidRDefault="00696EB2">
            <w:pPr>
              <w:jc w:val="left"/>
            </w:pPr>
            <w:r>
              <w:rPr>
                <w:rFonts w:eastAsiaTheme="minorEastAsia"/>
                <w:color w:val="000000"/>
                <w:kern w:val="0"/>
                <w:sz w:val="24"/>
              </w:rPr>
              <w:t>过去三个月</w:t>
            </w:r>
          </w:p>
        </w:tc>
        <w:tc>
          <w:tcPr>
            <w:tcW w:w="920" w:type="dxa"/>
            <w:vAlign w:val="center"/>
          </w:tcPr>
          <w:p w:rsidR="00344951" w:rsidRDefault="00696EB2">
            <w:pPr>
              <w:jc w:val="center"/>
            </w:pPr>
            <w:r>
              <w:rPr>
                <w:rFonts w:eastAsiaTheme="minorEastAsia"/>
                <w:color w:val="000000"/>
                <w:kern w:val="0"/>
                <w:sz w:val="24"/>
              </w:rPr>
              <w:t>-6.48%</w:t>
            </w:r>
          </w:p>
        </w:tc>
        <w:tc>
          <w:tcPr>
            <w:tcW w:w="1216" w:type="dxa"/>
            <w:vAlign w:val="center"/>
          </w:tcPr>
          <w:p w:rsidR="00344951" w:rsidRDefault="00696EB2">
            <w:pPr>
              <w:jc w:val="center"/>
            </w:pPr>
            <w:r>
              <w:rPr>
                <w:rFonts w:eastAsiaTheme="minorEastAsia"/>
                <w:color w:val="000000"/>
                <w:kern w:val="0"/>
                <w:sz w:val="24"/>
              </w:rPr>
              <w:t>0.83%</w:t>
            </w:r>
          </w:p>
        </w:tc>
        <w:tc>
          <w:tcPr>
            <w:tcW w:w="1216" w:type="dxa"/>
            <w:vAlign w:val="center"/>
          </w:tcPr>
          <w:p w:rsidR="00344951" w:rsidRDefault="00696EB2">
            <w:pPr>
              <w:jc w:val="center"/>
            </w:pPr>
            <w:r>
              <w:rPr>
                <w:rFonts w:eastAsiaTheme="minorEastAsia"/>
                <w:color w:val="000000"/>
                <w:kern w:val="0"/>
                <w:sz w:val="24"/>
              </w:rPr>
              <w:t>-3.82%</w:t>
            </w:r>
          </w:p>
        </w:tc>
        <w:tc>
          <w:tcPr>
            <w:tcW w:w="1216" w:type="dxa"/>
            <w:vAlign w:val="center"/>
          </w:tcPr>
          <w:p w:rsidR="00344951" w:rsidRDefault="00696EB2">
            <w:pPr>
              <w:jc w:val="center"/>
            </w:pPr>
            <w:r>
              <w:rPr>
                <w:rFonts w:eastAsiaTheme="minorEastAsia"/>
                <w:color w:val="000000"/>
                <w:kern w:val="0"/>
                <w:sz w:val="24"/>
              </w:rPr>
              <w:t>0.81%</w:t>
            </w:r>
          </w:p>
        </w:tc>
        <w:tc>
          <w:tcPr>
            <w:tcW w:w="1217" w:type="dxa"/>
            <w:vAlign w:val="center"/>
          </w:tcPr>
          <w:p w:rsidR="00344951" w:rsidRDefault="00696EB2">
            <w:pPr>
              <w:jc w:val="center"/>
            </w:pPr>
            <w:r>
              <w:rPr>
                <w:rFonts w:eastAsiaTheme="minorEastAsia"/>
                <w:color w:val="000000"/>
                <w:kern w:val="0"/>
                <w:sz w:val="24"/>
              </w:rPr>
              <w:t>-2.66%</w:t>
            </w:r>
          </w:p>
        </w:tc>
        <w:tc>
          <w:tcPr>
            <w:tcW w:w="1217" w:type="dxa"/>
            <w:vAlign w:val="center"/>
          </w:tcPr>
          <w:p w:rsidR="00344951" w:rsidRDefault="00696EB2">
            <w:pPr>
              <w:jc w:val="center"/>
            </w:pPr>
            <w:r>
              <w:rPr>
                <w:rFonts w:eastAsiaTheme="minorEastAsia"/>
                <w:color w:val="000000"/>
                <w:kern w:val="0"/>
                <w:sz w:val="24"/>
              </w:rPr>
              <w:t>0.02%</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交银施罗德中证互联网金融指数分级证券投资基金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6</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2017</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344951">
        <w:tc>
          <w:tcPr>
            <w:tcW w:w="952" w:type="dxa"/>
            <w:vAlign w:val="center"/>
          </w:tcPr>
          <w:p w:rsidR="00344951" w:rsidRDefault="00696EB2">
            <w:pPr>
              <w:jc w:val="center"/>
            </w:pPr>
            <w:r>
              <w:rPr>
                <w:rFonts w:eastAsiaTheme="minorEastAsia"/>
                <w:color w:val="000000"/>
                <w:sz w:val="24"/>
              </w:rPr>
              <w:lastRenderedPageBreak/>
              <w:t>蔡铮</w:t>
            </w:r>
          </w:p>
        </w:tc>
        <w:tc>
          <w:tcPr>
            <w:tcW w:w="930" w:type="dxa"/>
            <w:vAlign w:val="center"/>
          </w:tcPr>
          <w:p w:rsidR="00344951" w:rsidRDefault="00696EB2" w:rsidP="00B02DF8">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）的基金经理，公司量</w:t>
            </w:r>
            <w:r>
              <w:rPr>
                <w:rFonts w:eastAsiaTheme="minorEastAsia"/>
                <w:color w:val="000000"/>
                <w:sz w:val="24"/>
              </w:rPr>
              <w:lastRenderedPageBreak/>
              <w:t>化投资部副总经理</w:t>
            </w:r>
          </w:p>
        </w:tc>
        <w:tc>
          <w:tcPr>
            <w:tcW w:w="1210" w:type="dxa"/>
            <w:vAlign w:val="center"/>
          </w:tcPr>
          <w:p w:rsidR="00344951" w:rsidRDefault="00696EB2">
            <w:pPr>
              <w:jc w:val="center"/>
            </w:pPr>
            <w:r>
              <w:rPr>
                <w:rFonts w:eastAsiaTheme="minorEastAsia"/>
                <w:color w:val="000000"/>
                <w:sz w:val="24"/>
              </w:rPr>
              <w:lastRenderedPageBreak/>
              <w:t>2015-06-26</w:t>
            </w:r>
          </w:p>
        </w:tc>
        <w:tc>
          <w:tcPr>
            <w:tcW w:w="1309" w:type="dxa"/>
            <w:vAlign w:val="center"/>
          </w:tcPr>
          <w:p w:rsidR="00344951" w:rsidRDefault="00696EB2">
            <w:pPr>
              <w:jc w:val="center"/>
            </w:pPr>
            <w:r>
              <w:rPr>
                <w:rFonts w:eastAsiaTheme="minorEastAsia"/>
                <w:color w:val="000000"/>
                <w:sz w:val="24"/>
              </w:rPr>
              <w:t>-</w:t>
            </w:r>
          </w:p>
        </w:tc>
        <w:tc>
          <w:tcPr>
            <w:tcW w:w="1254" w:type="dxa"/>
            <w:vAlign w:val="center"/>
          </w:tcPr>
          <w:p w:rsidR="00344951" w:rsidRDefault="00696EB2">
            <w:pPr>
              <w:jc w:val="center"/>
            </w:pPr>
            <w:r>
              <w:rPr>
                <w:rFonts w:eastAsiaTheme="minorEastAsia"/>
                <w:color w:val="000000"/>
                <w:sz w:val="24"/>
              </w:rPr>
              <w:t>7</w:t>
            </w:r>
            <w:r>
              <w:rPr>
                <w:rFonts w:eastAsiaTheme="minorEastAsia"/>
                <w:color w:val="000000"/>
                <w:sz w:val="24"/>
              </w:rPr>
              <w:t>年</w:t>
            </w:r>
          </w:p>
        </w:tc>
        <w:tc>
          <w:tcPr>
            <w:tcW w:w="3276" w:type="dxa"/>
            <w:vAlign w:val="center"/>
          </w:tcPr>
          <w:p w:rsidR="00344951" w:rsidRDefault="00696EB2">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lastRenderedPageBreak/>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sz w:val="24"/>
          </w:rPr>
          <w:t>4.3.1</w:t>
        </w:r>
      </w:smartTag>
      <w:r w:rsidRPr="005E324A">
        <w:rPr>
          <w:rFonts w:eastAsiaTheme="minorEastAsia"/>
          <w:sz w:val="24"/>
        </w:rPr>
        <w:t xml:space="preserve"> </w:t>
      </w:r>
      <w:r w:rsidRPr="005E324A">
        <w:rPr>
          <w:rFonts w:eastAsiaTheme="minorEastAsia"/>
          <w:sz w:val="24"/>
        </w:rPr>
        <w:t>公平交易制度的执行情况</w:t>
      </w:r>
    </w:p>
    <w:p w:rsidR="00344951" w:rsidRDefault="00696EB2">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44951" w:rsidRDefault="00696EB2">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344951" w:rsidRDefault="00696EB2">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lastRenderedPageBreak/>
        <w:t>4.3.</w:t>
      </w:r>
      <w:r w:rsidR="004542DD" w:rsidRPr="005E324A">
        <w:rPr>
          <w:rFonts w:eastAsiaTheme="minorEastAsia"/>
          <w:sz w:val="24"/>
        </w:rPr>
        <w:t>2</w:t>
      </w:r>
      <w:r w:rsidRPr="005E324A">
        <w:rPr>
          <w:rFonts w:eastAsiaTheme="minorEastAsia"/>
          <w:sz w:val="24"/>
        </w:rPr>
        <w:t xml:space="preserve"> </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344951" w:rsidRDefault="00696EB2">
      <w:pPr>
        <w:spacing w:line="360" w:lineRule="auto"/>
        <w:ind w:firstLineChars="200" w:firstLine="480"/>
        <w:rPr>
          <w:rFonts w:eastAsiaTheme="minorEastAsia"/>
          <w:color w:val="000000"/>
          <w:kern w:val="0"/>
          <w:sz w:val="24"/>
        </w:rPr>
      </w:pPr>
      <w:r>
        <w:rPr>
          <w:rFonts w:eastAsiaTheme="minorEastAsia"/>
          <w:color w:val="000000"/>
          <w:kern w:val="0"/>
          <w:sz w:val="24"/>
        </w:rPr>
        <w:t>2017</w:t>
      </w:r>
      <w:r>
        <w:rPr>
          <w:rFonts w:eastAsiaTheme="minorEastAsia"/>
          <w:color w:val="000000"/>
          <w:kern w:val="0"/>
          <w:sz w:val="24"/>
        </w:rPr>
        <w:t>年一季度，国内宏观经济延续弱势平稳的态势，货币政策中性偏紧，经济基本面对资本市场的支持力度总体较为有限。美联储加息，预计全球流动性将进入逐步紧缩的周期。</w:t>
      </w:r>
      <w:r>
        <w:rPr>
          <w:rFonts w:eastAsiaTheme="minorEastAsia"/>
          <w:color w:val="000000"/>
          <w:kern w:val="0"/>
          <w:sz w:val="24"/>
        </w:rPr>
        <w:t>A</w:t>
      </w:r>
      <w:r>
        <w:rPr>
          <w:rFonts w:eastAsiaTheme="minorEastAsia"/>
          <w:color w:val="000000"/>
          <w:kern w:val="0"/>
          <w:sz w:val="24"/>
        </w:rPr>
        <w:t>股市场呈现出震荡上扬格局，期间低估值蓝筹股表现较好，这与地产需求预期的修复不无关系。作为跟踪中证互联网金融指数的指数基金，在本季度总体呈现出震荡走势。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展望下一季度，国内经济已有所企稳，处于阶段性弱复苏期间，预计将继续维持温和增长的态势。预计严控房价依然是常态，金融部门去杠杆将持续。我们对</w:t>
      </w:r>
      <w:r w:rsidRPr="005E324A">
        <w:rPr>
          <w:rFonts w:eastAsiaTheme="minorEastAsia"/>
          <w:color w:val="000000"/>
          <w:kern w:val="0"/>
          <w:sz w:val="24"/>
        </w:rPr>
        <w:t>A</w:t>
      </w:r>
      <w:r w:rsidRPr="005E324A">
        <w:rPr>
          <w:rFonts w:eastAsiaTheme="minorEastAsia"/>
          <w:color w:val="000000"/>
          <w:kern w:val="0"/>
          <w:sz w:val="24"/>
        </w:rPr>
        <w:t>股市场总体维持谨慎的态度。</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截至</w:t>
      </w:r>
      <w:r w:rsidRPr="005E324A">
        <w:rPr>
          <w:rFonts w:eastAsiaTheme="minorEastAsia"/>
          <w:color w:val="000000"/>
          <w:kern w:val="0"/>
          <w:sz w:val="24"/>
        </w:rPr>
        <w:t>2017</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日，本基金份额净值为</w:t>
      </w:r>
      <w:r w:rsidRPr="005E324A">
        <w:rPr>
          <w:rFonts w:eastAsiaTheme="minorEastAsia"/>
          <w:color w:val="000000"/>
          <w:kern w:val="0"/>
          <w:sz w:val="24"/>
        </w:rPr>
        <w:t>0.996</w:t>
      </w:r>
      <w:r w:rsidRPr="005E324A">
        <w:rPr>
          <w:rFonts w:eastAsiaTheme="minorEastAsia"/>
          <w:color w:val="000000"/>
          <w:kern w:val="0"/>
          <w:sz w:val="24"/>
        </w:rPr>
        <w:t>元，本报告期份额净值增长率为</w:t>
      </w:r>
      <w:r w:rsidRPr="005E324A">
        <w:rPr>
          <w:rFonts w:eastAsiaTheme="minorEastAsia"/>
          <w:color w:val="000000"/>
          <w:kern w:val="0"/>
          <w:sz w:val="24"/>
        </w:rPr>
        <w:t>-6.48%</w:t>
      </w:r>
      <w:r w:rsidRPr="005E324A">
        <w:rPr>
          <w:rFonts w:eastAsiaTheme="minorEastAsia"/>
          <w:color w:val="000000"/>
          <w:kern w:val="0"/>
          <w:sz w:val="24"/>
        </w:rPr>
        <w:t>，同期业绩比较基准增长率为</w:t>
      </w:r>
      <w:r w:rsidRPr="005E324A">
        <w:rPr>
          <w:rFonts w:eastAsiaTheme="minorEastAsia"/>
          <w:color w:val="000000"/>
          <w:kern w:val="0"/>
          <w:sz w:val="24"/>
        </w:rPr>
        <w:t>-3.82%</w:t>
      </w:r>
      <w:r w:rsidRPr="005E324A">
        <w:rPr>
          <w:rFonts w:eastAsiaTheme="minorEastAsia"/>
          <w:color w:val="000000"/>
          <w:kern w:val="0"/>
          <w:sz w:val="24"/>
        </w:rPr>
        <w:t>。</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5.1 </w:t>
      </w:r>
      <w:r w:rsidRPr="005E324A">
        <w:rPr>
          <w:rFonts w:eastAsiaTheme="minorEastAsia"/>
          <w:b/>
          <w:color w:val="000000"/>
          <w:kern w:val="0"/>
          <w:sz w:val="24"/>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35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项目</w:t>
            </w:r>
          </w:p>
        </w:tc>
        <w:tc>
          <w:tcPr>
            <w:tcW w:w="297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权益投资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144,583,394.12</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94.48</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其中：股票</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144,583,394.12</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94.48</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lastRenderedPageBreak/>
              <w:t>2</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固定收益投资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其中：债券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资产支持证券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357" w:type="dxa"/>
          </w:tcPr>
          <w:p w:rsidR="00804533" w:rsidRPr="005E324A" w:rsidRDefault="00804533" w:rsidP="00E210DA">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贵金属投资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357" w:type="dxa"/>
            <w:vAlign w:val="center"/>
          </w:tcPr>
          <w:p w:rsidR="00804533" w:rsidRPr="005E324A" w:rsidRDefault="00804533" w:rsidP="00DD272F">
            <w:pPr>
              <w:spacing w:before="29" w:line="360" w:lineRule="auto"/>
              <w:ind w:left="17"/>
              <w:jc w:val="left"/>
              <w:rPr>
                <w:rFonts w:eastAsiaTheme="minorEastAsia"/>
                <w:color w:val="000000"/>
                <w:sz w:val="24"/>
              </w:rPr>
            </w:pPr>
            <w:r w:rsidRPr="005E324A">
              <w:rPr>
                <w:rFonts w:eastAsiaTheme="minorEastAsia"/>
                <w:color w:val="000000"/>
                <w:sz w:val="24"/>
              </w:rPr>
              <w:t>金融衍生品投资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其中：买断式回购的买入返售金融资产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银行存款和结算备付金合计</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8,300,888.56</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5.42</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其他各项资产</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150,422.67</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0.10</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合计</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153,034,705.35</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5.2.1</w:t>
        </w:r>
        <w:r w:rsidR="00656A06">
          <w:rPr>
            <w:rFonts w:eastAsiaTheme="minorEastAsia" w:hint="eastAsia"/>
            <w:b/>
            <w:color w:val="000000"/>
            <w:kern w:val="0"/>
            <w:sz w:val="24"/>
          </w:rPr>
          <w:t xml:space="preserve"> </w:t>
        </w:r>
      </w:smartTag>
      <w:r w:rsidRPr="005E324A">
        <w:rPr>
          <w:rFonts w:eastAsiaTheme="minorEastAsia"/>
          <w:b/>
          <w:color w:val="000000"/>
          <w:kern w:val="0"/>
          <w:sz w:val="24"/>
        </w:rPr>
        <w:t>积极投资按行业分类的股票投资组合</w:t>
      </w:r>
    </w:p>
    <w:p w:rsidR="00220542"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DA575A" w:rsidRPr="005E324A" w:rsidRDefault="00DA575A" w:rsidP="0019563C">
      <w:pPr>
        <w:autoSpaceDE w:val="0"/>
        <w:autoSpaceDN w:val="0"/>
        <w:adjustRightInd w:val="0"/>
        <w:spacing w:line="360" w:lineRule="auto"/>
        <w:jc w:val="left"/>
        <w:rPr>
          <w:rFonts w:eastAsiaTheme="minorEastAsia" w:hint="eastAsia"/>
          <w:color w:val="000000"/>
          <w:sz w:val="24"/>
        </w:rPr>
      </w:pP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5.2.2</w:t>
        </w:r>
        <w:r w:rsidR="00656A06">
          <w:rPr>
            <w:rFonts w:eastAsiaTheme="minorEastAsia" w:hint="eastAsia"/>
            <w:b/>
            <w:color w:val="000000"/>
            <w:kern w:val="0"/>
            <w:sz w:val="24"/>
          </w:rPr>
          <w:t xml:space="preserve"> </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30,341,446.47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19.93</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4,525,200.00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2.97</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989,634.80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0.65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49,877,602.07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32.76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lastRenderedPageBreak/>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43,148,553.91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28.34</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8,013,585.52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5.26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7,687,371.35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5.05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144,583,394.12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94.98</w:t>
            </w:r>
          </w:p>
        </w:tc>
      </w:tr>
    </w:tbl>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报告期末按行业分类的沪港通投资股票投资组合</w:t>
      </w:r>
    </w:p>
    <w:p w:rsidR="004318F0" w:rsidRDefault="007674F7" w:rsidP="0019563C">
      <w:pPr>
        <w:autoSpaceDE w:val="0"/>
        <w:autoSpaceDN w:val="0"/>
        <w:adjustRightInd w:val="0"/>
        <w:spacing w:line="360" w:lineRule="auto"/>
        <w:jc w:val="left"/>
        <w:rPr>
          <w:color w:val="000000"/>
          <w:sz w:val="24"/>
        </w:rPr>
      </w:pPr>
      <w:r>
        <w:rPr>
          <w:color w:val="000000"/>
          <w:sz w:val="24"/>
        </w:rPr>
        <w:t>本基金本报告期末未持有通过沪港通投资的股票。</w:t>
      </w:r>
    </w:p>
    <w:p w:rsidR="00DA575A" w:rsidRPr="007674F7" w:rsidRDefault="00DA575A" w:rsidP="0019563C">
      <w:pPr>
        <w:autoSpaceDE w:val="0"/>
        <w:autoSpaceDN w:val="0"/>
        <w:adjustRightInd w:val="0"/>
        <w:spacing w:line="360" w:lineRule="auto"/>
        <w:jc w:val="left"/>
        <w:rPr>
          <w:rFonts w:hint="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656A06">
        <w:rPr>
          <w:rFonts w:eastAsiaTheme="minorEastAsia" w:hint="eastAsia"/>
          <w:b/>
          <w:color w:val="000000"/>
          <w:kern w:val="0"/>
          <w:sz w:val="24"/>
        </w:rPr>
        <w:t xml:space="preserve"> </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344951">
        <w:tc>
          <w:tcPr>
            <w:tcW w:w="817" w:type="dxa"/>
            <w:vAlign w:val="center"/>
          </w:tcPr>
          <w:p w:rsidR="00344951" w:rsidRDefault="00696EB2">
            <w:pPr>
              <w:jc w:val="center"/>
            </w:pPr>
            <w:r>
              <w:rPr>
                <w:rFonts w:eastAsiaTheme="minorEastAsia"/>
                <w:color w:val="000000"/>
                <w:sz w:val="24"/>
              </w:rPr>
              <w:t>1</w:t>
            </w:r>
          </w:p>
        </w:tc>
        <w:tc>
          <w:tcPr>
            <w:tcW w:w="1276" w:type="dxa"/>
            <w:vAlign w:val="center"/>
          </w:tcPr>
          <w:p w:rsidR="00344951" w:rsidRDefault="00696EB2">
            <w:pPr>
              <w:jc w:val="center"/>
            </w:pPr>
            <w:r>
              <w:rPr>
                <w:rFonts w:eastAsiaTheme="minorEastAsia"/>
                <w:color w:val="000000"/>
                <w:sz w:val="24"/>
              </w:rPr>
              <w:t>601318</w:t>
            </w:r>
          </w:p>
        </w:tc>
        <w:tc>
          <w:tcPr>
            <w:tcW w:w="1701" w:type="dxa"/>
            <w:vAlign w:val="center"/>
          </w:tcPr>
          <w:p w:rsidR="00344951" w:rsidRDefault="00696EB2">
            <w:pPr>
              <w:jc w:val="center"/>
            </w:pPr>
            <w:r>
              <w:rPr>
                <w:rFonts w:eastAsiaTheme="minorEastAsia"/>
                <w:color w:val="000000"/>
                <w:sz w:val="24"/>
              </w:rPr>
              <w:t>中国平安</w:t>
            </w:r>
          </w:p>
        </w:tc>
        <w:tc>
          <w:tcPr>
            <w:tcW w:w="1276" w:type="dxa"/>
            <w:vAlign w:val="center"/>
          </w:tcPr>
          <w:p w:rsidR="00344951" w:rsidRDefault="00696EB2">
            <w:pPr>
              <w:jc w:val="right"/>
            </w:pPr>
            <w:r>
              <w:rPr>
                <w:rFonts w:eastAsiaTheme="minorEastAsia"/>
                <w:color w:val="000000"/>
                <w:sz w:val="24"/>
              </w:rPr>
              <w:t>135,500</w:t>
            </w:r>
          </w:p>
        </w:tc>
        <w:tc>
          <w:tcPr>
            <w:tcW w:w="1842" w:type="dxa"/>
            <w:vAlign w:val="center"/>
          </w:tcPr>
          <w:p w:rsidR="00344951" w:rsidRDefault="00696EB2">
            <w:pPr>
              <w:jc w:val="right"/>
            </w:pPr>
            <w:r>
              <w:rPr>
                <w:rFonts w:eastAsiaTheme="minorEastAsia"/>
                <w:color w:val="000000"/>
                <w:sz w:val="24"/>
              </w:rPr>
              <w:t>5,014,855.00</w:t>
            </w:r>
          </w:p>
        </w:tc>
        <w:tc>
          <w:tcPr>
            <w:tcW w:w="1616" w:type="dxa"/>
            <w:vAlign w:val="center"/>
          </w:tcPr>
          <w:p w:rsidR="00344951" w:rsidRDefault="00696EB2">
            <w:pPr>
              <w:jc w:val="right"/>
            </w:pPr>
            <w:r>
              <w:rPr>
                <w:rFonts w:eastAsiaTheme="minorEastAsia"/>
                <w:color w:val="000000"/>
                <w:sz w:val="24"/>
              </w:rPr>
              <w:t>3.29</w:t>
            </w:r>
          </w:p>
        </w:tc>
      </w:tr>
      <w:tr w:rsidR="00344951">
        <w:tc>
          <w:tcPr>
            <w:tcW w:w="817" w:type="dxa"/>
            <w:vAlign w:val="center"/>
          </w:tcPr>
          <w:p w:rsidR="00344951" w:rsidRDefault="00696EB2">
            <w:pPr>
              <w:jc w:val="center"/>
            </w:pPr>
            <w:r>
              <w:rPr>
                <w:rFonts w:eastAsiaTheme="minorEastAsia"/>
                <w:color w:val="000000"/>
                <w:sz w:val="24"/>
              </w:rPr>
              <w:t>2</w:t>
            </w:r>
          </w:p>
        </w:tc>
        <w:tc>
          <w:tcPr>
            <w:tcW w:w="1276" w:type="dxa"/>
            <w:vAlign w:val="center"/>
          </w:tcPr>
          <w:p w:rsidR="00344951" w:rsidRDefault="00696EB2">
            <w:pPr>
              <w:jc w:val="center"/>
            </w:pPr>
            <w:r>
              <w:rPr>
                <w:rFonts w:eastAsiaTheme="minorEastAsia"/>
                <w:color w:val="000000"/>
                <w:sz w:val="24"/>
              </w:rPr>
              <w:t>000712</w:t>
            </w:r>
          </w:p>
        </w:tc>
        <w:tc>
          <w:tcPr>
            <w:tcW w:w="1701" w:type="dxa"/>
            <w:vAlign w:val="center"/>
          </w:tcPr>
          <w:p w:rsidR="00344951" w:rsidRDefault="00696EB2">
            <w:pPr>
              <w:jc w:val="center"/>
            </w:pPr>
            <w:r>
              <w:rPr>
                <w:rFonts w:eastAsiaTheme="minorEastAsia"/>
                <w:color w:val="000000"/>
                <w:sz w:val="24"/>
              </w:rPr>
              <w:t>锦龙股份</w:t>
            </w:r>
          </w:p>
        </w:tc>
        <w:tc>
          <w:tcPr>
            <w:tcW w:w="1276" w:type="dxa"/>
            <w:vAlign w:val="center"/>
          </w:tcPr>
          <w:p w:rsidR="00344951" w:rsidRDefault="00696EB2">
            <w:pPr>
              <w:jc w:val="right"/>
            </w:pPr>
            <w:r>
              <w:rPr>
                <w:rFonts w:eastAsiaTheme="minorEastAsia"/>
                <w:color w:val="000000"/>
                <w:sz w:val="24"/>
              </w:rPr>
              <w:t>212,700</w:t>
            </w:r>
          </w:p>
        </w:tc>
        <w:tc>
          <w:tcPr>
            <w:tcW w:w="1842" w:type="dxa"/>
            <w:vAlign w:val="center"/>
          </w:tcPr>
          <w:p w:rsidR="00344951" w:rsidRDefault="00696EB2">
            <w:pPr>
              <w:jc w:val="right"/>
            </w:pPr>
            <w:r>
              <w:rPr>
                <w:rFonts w:eastAsiaTheme="minorEastAsia"/>
                <w:color w:val="000000"/>
                <w:sz w:val="24"/>
              </w:rPr>
              <w:t>4,994,196.00</w:t>
            </w:r>
          </w:p>
        </w:tc>
        <w:tc>
          <w:tcPr>
            <w:tcW w:w="1616" w:type="dxa"/>
            <w:vAlign w:val="center"/>
          </w:tcPr>
          <w:p w:rsidR="00344951" w:rsidRDefault="00696EB2">
            <w:pPr>
              <w:jc w:val="right"/>
            </w:pPr>
            <w:r>
              <w:rPr>
                <w:rFonts w:eastAsiaTheme="minorEastAsia"/>
                <w:color w:val="000000"/>
                <w:sz w:val="24"/>
              </w:rPr>
              <w:t>3.28</w:t>
            </w:r>
          </w:p>
        </w:tc>
      </w:tr>
      <w:tr w:rsidR="00344951">
        <w:tc>
          <w:tcPr>
            <w:tcW w:w="817" w:type="dxa"/>
            <w:vAlign w:val="center"/>
          </w:tcPr>
          <w:p w:rsidR="00344951" w:rsidRDefault="00696EB2">
            <w:pPr>
              <w:jc w:val="center"/>
            </w:pPr>
            <w:r>
              <w:rPr>
                <w:rFonts w:eastAsiaTheme="minorEastAsia"/>
                <w:color w:val="000000"/>
                <w:sz w:val="24"/>
              </w:rPr>
              <w:t>3</w:t>
            </w:r>
          </w:p>
        </w:tc>
        <w:tc>
          <w:tcPr>
            <w:tcW w:w="1276" w:type="dxa"/>
            <w:vAlign w:val="center"/>
          </w:tcPr>
          <w:p w:rsidR="00344951" w:rsidRDefault="00696EB2">
            <w:pPr>
              <w:jc w:val="center"/>
            </w:pPr>
            <w:r>
              <w:rPr>
                <w:rFonts w:eastAsiaTheme="minorEastAsia"/>
                <w:color w:val="000000"/>
                <w:sz w:val="24"/>
              </w:rPr>
              <w:t>600109</w:t>
            </w:r>
          </w:p>
        </w:tc>
        <w:tc>
          <w:tcPr>
            <w:tcW w:w="1701" w:type="dxa"/>
            <w:vAlign w:val="center"/>
          </w:tcPr>
          <w:p w:rsidR="00344951" w:rsidRDefault="00696EB2">
            <w:pPr>
              <w:jc w:val="center"/>
            </w:pPr>
            <w:r>
              <w:rPr>
                <w:rFonts w:eastAsiaTheme="minorEastAsia"/>
                <w:color w:val="000000"/>
                <w:sz w:val="24"/>
              </w:rPr>
              <w:t>国金证券</w:t>
            </w:r>
          </w:p>
        </w:tc>
        <w:tc>
          <w:tcPr>
            <w:tcW w:w="1276" w:type="dxa"/>
            <w:vAlign w:val="center"/>
          </w:tcPr>
          <w:p w:rsidR="00344951" w:rsidRDefault="00696EB2">
            <w:pPr>
              <w:jc w:val="right"/>
            </w:pPr>
            <w:r>
              <w:rPr>
                <w:rFonts w:eastAsiaTheme="minorEastAsia"/>
                <w:color w:val="000000"/>
                <w:sz w:val="24"/>
              </w:rPr>
              <w:t>361,558</w:t>
            </w:r>
          </w:p>
        </w:tc>
        <w:tc>
          <w:tcPr>
            <w:tcW w:w="1842" w:type="dxa"/>
            <w:vAlign w:val="center"/>
          </w:tcPr>
          <w:p w:rsidR="00344951" w:rsidRDefault="00696EB2">
            <w:pPr>
              <w:jc w:val="right"/>
            </w:pPr>
            <w:r>
              <w:rPr>
                <w:rFonts w:eastAsiaTheme="minorEastAsia"/>
                <w:color w:val="000000"/>
                <w:sz w:val="24"/>
              </w:rPr>
              <w:t>4,953,344.60</w:t>
            </w:r>
          </w:p>
        </w:tc>
        <w:tc>
          <w:tcPr>
            <w:tcW w:w="1616" w:type="dxa"/>
            <w:vAlign w:val="center"/>
          </w:tcPr>
          <w:p w:rsidR="00344951" w:rsidRDefault="00696EB2">
            <w:pPr>
              <w:jc w:val="right"/>
            </w:pPr>
            <w:r>
              <w:rPr>
                <w:rFonts w:eastAsiaTheme="minorEastAsia"/>
                <w:color w:val="000000"/>
                <w:sz w:val="24"/>
              </w:rPr>
              <w:t>3.25</w:t>
            </w:r>
          </w:p>
        </w:tc>
      </w:tr>
      <w:tr w:rsidR="00344951">
        <w:tc>
          <w:tcPr>
            <w:tcW w:w="817" w:type="dxa"/>
            <w:vAlign w:val="center"/>
          </w:tcPr>
          <w:p w:rsidR="00344951" w:rsidRDefault="00696EB2">
            <w:pPr>
              <w:jc w:val="center"/>
            </w:pPr>
            <w:r>
              <w:rPr>
                <w:rFonts w:eastAsiaTheme="minorEastAsia"/>
                <w:color w:val="000000"/>
                <w:sz w:val="24"/>
              </w:rPr>
              <w:t>4</w:t>
            </w:r>
          </w:p>
        </w:tc>
        <w:tc>
          <w:tcPr>
            <w:tcW w:w="1276" w:type="dxa"/>
            <w:vAlign w:val="center"/>
          </w:tcPr>
          <w:p w:rsidR="00344951" w:rsidRDefault="00696EB2">
            <w:pPr>
              <w:jc w:val="center"/>
            </w:pPr>
            <w:r>
              <w:rPr>
                <w:rFonts w:eastAsiaTheme="minorEastAsia"/>
                <w:color w:val="000000"/>
                <w:sz w:val="24"/>
              </w:rPr>
              <w:t>601998</w:t>
            </w:r>
          </w:p>
        </w:tc>
        <w:tc>
          <w:tcPr>
            <w:tcW w:w="1701" w:type="dxa"/>
            <w:vAlign w:val="center"/>
          </w:tcPr>
          <w:p w:rsidR="00344951" w:rsidRDefault="00696EB2">
            <w:pPr>
              <w:jc w:val="center"/>
            </w:pPr>
            <w:r>
              <w:rPr>
                <w:rFonts w:eastAsiaTheme="minorEastAsia"/>
                <w:color w:val="000000"/>
                <w:sz w:val="24"/>
              </w:rPr>
              <w:t>中信银行</w:t>
            </w:r>
          </w:p>
        </w:tc>
        <w:tc>
          <w:tcPr>
            <w:tcW w:w="1276" w:type="dxa"/>
            <w:vAlign w:val="center"/>
          </w:tcPr>
          <w:p w:rsidR="00344951" w:rsidRDefault="00696EB2">
            <w:pPr>
              <w:jc w:val="right"/>
            </w:pPr>
            <w:r>
              <w:rPr>
                <w:rFonts w:eastAsiaTheme="minorEastAsia"/>
                <w:color w:val="000000"/>
                <w:sz w:val="24"/>
              </w:rPr>
              <w:t>730,646</w:t>
            </w:r>
          </w:p>
        </w:tc>
        <w:tc>
          <w:tcPr>
            <w:tcW w:w="1842" w:type="dxa"/>
            <w:vAlign w:val="center"/>
          </w:tcPr>
          <w:p w:rsidR="00344951" w:rsidRDefault="00696EB2">
            <w:pPr>
              <w:jc w:val="right"/>
            </w:pPr>
            <w:r>
              <w:rPr>
                <w:rFonts w:eastAsiaTheme="minorEastAsia"/>
                <w:color w:val="000000"/>
                <w:sz w:val="24"/>
              </w:rPr>
              <w:t>4,902,634.66</w:t>
            </w:r>
          </w:p>
        </w:tc>
        <w:tc>
          <w:tcPr>
            <w:tcW w:w="1616" w:type="dxa"/>
            <w:vAlign w:val="center"/>
          </w:tcPr>
          <w:p w:rsidR="00344951" w:rsidRDefault="00696EB2">
            <w:pPr>
              <w:jc w:val="right"/>
            </w:pPr>
            <w:r>
              <w:rPr>
                <w:rFonts w:eastAsiaTheme="minorEastAsia"/>
                <w:color w:val="000000"/>
                <w:sz w:val="24"/>
              </w:rPr>
              <w:t>3.22</w:t>
            </w:r>
          </w:p>
        </w:tc>
      </w:tr>
      <w:tr w:rsidR="00344951">
        <w:tc>
          <w:tcPr>
            <w:tcW w:w="817" w:type="dxa"/>
            <w:vAlign w:val="center"/>
          </w:tcPr>
          <w:p w:rsidR="00344951" w:rsidRDefault="00696EB2">
            <w:pPr>
              <w:jc w:val="center"/>
            </w:pPr>
            <w:r>
              <w:rPr>
                <w:rFonts w:eastAsiaTheme="minorEastAsia"/>
                <w:color w:val="000000"/>
                <w:sz w:val="24"/>
              </w:rPr>
              <w:t>5</w:t>
            </w:r>
          </w:p>
        </w:tc>
        <w:tc>
          <w:tcPr>
            <w:tcW w:w="1276" w:type="dxa"/>
            <w:vAlign w:val="center"/>
          </w:tcPr>
          <w:p w:rsidR="00344951" w:rsidRDefault="00696EB2">
            <w:pPr>
              <w:jc w:val="center"/>
            </w:pPr>
            <w:r>
              <w:rPr>
                <w:rFonts w:eastAsiaTheme="minorEastAsia"/>
                <w:color w:val="000000"/>
                <w:sz w:val="24"/>
              </w:rPr>
              <w:t>300136</w:t>
            </w:r>
          </w:p>
        </w:tc>
        <w:tc>
          <w:tcPr>
            <w:tcW w:w="1701" w:type="dxa"/>
            <w:vAlign w:val="center"/>
          </w:tcPr>
          <w:p w:rsidR="00344951" w:rsidRDefault="00696EB2">
            <w:pPr>
              <w:jc w:val="center"/>
            </w:pPr>
            <w:r>
              <w:rPr>
                <w:rFonts w:eastAsiaTheme="minorEastAsia"/>
                <w:color w:val="000000"/>
                <w:sz w:val="24"/>
              </w:rPr>
              <w:t>信维通信</w:t>
            </w:r>
          </w:p>
        </w:tc>
        <w:tc>
          <w:tcPr>
            <w:tcW w:w="1276" w:type="dxa"/>
            <w:vAlign w:val="center"/>
          </w:tcPr>
          <w:p w:rsidR="00344951" w:rsidRDefault="00696EB2">
            <w:pPr>
              <w:jc w:val="right"/>
            </w:pPr>
            <w:r>
              <w:rPr>
                <w:rFonts w:eastAsiaTheme="minorEastAsia"/>
                <w:color w:val="000000"/>
                <w:sz w:val="24"/>
              </w:rPr>
              <w:t>142,353</w:t>
            </w:r>
          </w:p>
        </w:tc>
        <w:tc>
          <w:tcPr>
            <w:tcW w:w="1842" w:type="dxa"/>
            <w:vAlign w:val="center"/>
          </w:tcPr>
          <w:p w:rsidR="00344951" w:rsidRDefault="00696EB2">
            <w:pPr>
              <w:jc w:val="right"/>
            </w:pPr>
            <w:r>
              <w:rPr>
                <w:rFonts w:eastAsiaTheme="minorEastAsia"/>
                <w:color w:val="000000"/>
                <w:sz w:val="24"/>
              </w:rPr>
              <w:t>4,889,825.55</w:t>
            </w:r>
          </w:p>
        </w:tc>
        <w:tc>
          <w:tcPr>
            <w:tcW w:w="1616" w:type="dxa"/>
            <w:vAlign w:val="center"/>
          </w:tcPr>
          <w:p w:rsidR="00344951" w:rsidRDefault="00696EB2">
            <w:pPr>
              <w:jc w:val="right"/>
            </w:pPr>
            <w:r>
              <w:rPr>
                <w:rFonts w:eastAsiaTheme="minorEastAsia"/>
                <w:color w:val="000000"/>
                <w:sz w:val="24"/>
              </w:rPr>
              <w:t>3.21</w:t>
            </w:r>
          </w:p>
        </w:tc>
      </w:tr>
      <w:tr w:rsidR="00344951">
        <w:tc>
          <w:tcPr>
            <w:tcW w:w="817" w:type="dxa"/>
            <w:vAlign w:val="center"/>
          </w:tcPr>
          <w:p w:rsidR="00344951" w:rsidRDefault="00696EB2">
            <w:pPr>
              <w:jc w:val="center"/>
            </w:pPr>
            <w:r>
              <w:rPr>
                <w:rFonts w:eastAsiaTheme="minorEastAsia"/>
                <w:color w:val="000000"/>
                <w:sz w:val="24"/>
              </w:rPr>
              <w:t>6</w:t>
            </w:r>
          </w:p>
        </w:tc>
        <w:tc>
          <w:tcPr>
            <w:tcW w:w="1276" w:type="dxa"/>
            <w:vAlign w:val="center"/>
          </w:tcPr>
          <w:p w:rsidR="00344951" w:rsidRDefault="00696EB2">
            <w:pPr>
              <w:jc w:val="center"/>
            </w:pPr>
            <w:r>
              <w:rPr>
                <w:rFonts w:eastAsiaTheme="minorEastAsia"/>
                <w:color w:val="000000"/>
                <w:sz w:val="24"/>
              </w:rPr>
              <w:t>000001</w:t>
            </w:r>
          </w:p>
        </w:tc>
        <w:tc>
          <w:tcPr>
            <w:tcW w:w="1701" w:type="dxa"/>
            <w:vAlign w:val="center"/>
          </w:tcPr>
          <w:p w:rsidR="00344951" w:rsidRDefault="00696EB2">
            <w:pPr>
              <w:jc w:val="center"/>
            </w:pPr>
            <w:r>
              <w:rPr>
                <w:rFonts w:eastAsiaTheme="minorEastAsia"/>
                <w:color w:val="000000"/>
                <w:sz w:val="24"/>
              </w:rPr>
              <w:t>平安银行</w:t>
            </w:r>
          </w:p>
        </w:tc>
        <w:tc>
          <w:tcPr>
            <w:tcW w:w="1276" w:type="dxa"/>
            <w:vAlign w:val="center"/>
          </w:tcPr>
          <w:p w:rsidR="00344951" w:rsidRDefault="00696EB2">
            <w:pPr>
              <w:jc w:val="right"/>
            </w:pPr>
            <w:r>
              <w:rPr>
                <w:rFonts w:eastAsiaTheme="minorEastAsia"/>
                <w:color w:val="000000"/>
                <w:sz w:val="24"/>
              </w:rPr>
              <w:t>519,000</w:t>
            </w:r>
          </w:p>
        </w:tc>
        <w:tc>
          <w:tcPr>
            <w:tcW w:w="1842" w:type="dxa"/>
            <w:vAlign w:val="center"/>
          </w:tcPr>
          <w:p w:rsidR="00344951" w:rsidRDefault="00696EB2">
            <w:pPr>
              <w:jc w:val="right"/>
            </w:pPr>
            <w:r>
              <w:rPr>
                <w:rFonts w:eastAsiaTheme="minorEastAsia"/>
                <w:color w:val="000000"/>
                <w:sz w:val="24"/>
              </w:rPr>
              <w:t>4,759,230.00</w:t>
            </w:r>
          </w:p>
        </w:tc>
        <w:tc>
          <w:tcPr>
            <w:tcW w:w="1616" w:type="dxa"/>
            <w:vAlign w:val="center"/>
          </w:tcPr>
          <w:p w:rsidR="00344951" w:rsidRDefault="00696EB2">
            <w:pPr>
              <w:jc w:val="right"/>
            </w:pPr>
            <w:r>
              <w:rPr>
                <w:rFonts w:eastAsiaTheme="minorEastAsia"/>
                <w:color w:val="000000"/>
                <w:sz w:val="24"/>
              </w:rPr>
              <w:t>3.13</w:t>
            </w:r>
          </w:p>
        </w:tc>
      </w:tr>
      <w:tr w:rsidR="00344951">
        <w:tc>
          <w:tcPr>
            <w:tcW w:w="817" w:type="dxa"/>
            <w:vAlign w:val="center"/>
          </w:tcPr>
          <w:p w:rsidR="00344951" w:rsidRDefault="00696EB2">
            <w:pPr>
              <w:jc w:val="center"/>
            </w:pPr>
            <w:r>
              <w:rPr>
                <w:rFonts w:eastAsiaTheme="minorEastAsia"/>
                <w:color w:val="000000"/>
                <w:sz w:val="24"/>
              </w:rPr>
              <w:t>7</w:t>
            </w:r>
          </w:p>
        </w:tc>
        <w:tc>
          <w:tcPr>
            <w:tcW w:w="1276" w:type="dxa"/>
            <w:vAlign w:val="center"/>
          </w:tcPr>
          <w:p w:rsidR="00344951" w:rsidRDefault="00696EB2">
            <w:pPr>
              <w:jc w:val="center"/>
            </w:pPr>
            <w:r>
              <w:rPr>
                <w:rFonts w:eastAsiaTheme="minorEastAsia"/>
                <w:color w:val="000000"/>
                <w:sz w:val="24"/>
              </w:rPr>
              <w:t>601166</w:t>
            </w:r>
          </w:p>
        </w:tc>
        <w:tc>
          <w:tcPr>
            <w:tcW w:w="1701" w:type="dxa"/>
            <w:vAlign w:val="center"/>
          </w:tcPr>
          <w:p w:rsidR="00344951" w:rsidRDefault="00696EB2">
            <w:pPr>
              <w:jc w:val="center"/>
            </w:pPr>
            <w:r>
              <w:rPr>
                <w:rFonts w:eastAsiaTheme="minorEastAsia"/>
                <w:color w:val="000000"/>
                <w:sz w:val="24"/>
              </w:rPr>
              <w:t>兴业银行</w:t>
            </w:r>
          </w:p>
        </w:tc>
        <w:tc>
          <w:tcPr>
            <w:tcW w:w="1276" w:type="dxa"/>
            <w:vAlign w:val="center"/>
          </w:tcPr>
          <w:p w:rsidR="00344951" w:rsidRDefault="00696EB2">
            <w:pPr>
              <w:jc w:val="right"/>
            </w:pPr>
            <w:r>
              <w:rPr>
                <w:rFonts w:eastAsiaTheme="minorEastAsia"/>
                <w:color w:val="000000"/>
                <w:sz w:val="24"/>
              </w:rPr>
              <w:t>290,400</w:t>
            </w:r>
          </w:p>
        </w:tc>
        <w:tc>
          <w:tcPr>
            <w:tcW w:w="1842" w:type="dxa"/>
            <w:vAlign w:val="center"/>
          </w:tcPr>
          <w:p w:rsidR="00344951" w:rsidRDefault="00696EB2">
            <w:pPr>
              <w:jc w:val="right"/>
            </w:pPr>
            <w:r>
              <w:rPr>
                <w:rFonts w:eastAsiaTheme="minorEastAsia"/>
                <w:color w:val="000000"/>
                <w:sz w:val="24"/>
              </w:rPr>
              <w:t>4,707,384.00</w:t>
            </w:r>
          </w:p>
        </w:tc>
        <w:tc>
          <w:tcPr>
            <w:tcW w:w="1616" w:type="dxa"/>
            <w:vAlign w:val="center"/>
          </w:tcPr>
          <w:p w:rsidR="00344951" w:rsidRDefault="00696EB2">
            <w:pPr>
              <w:jc w:val="right"/>
            </w:pPr>
            <w:r>
              <w:rPr>
                <w:rFonts w:eastAsiaTheme="minorEastAsia"/>
                <w:color w:val="000000"/>
                <w:sz w:val="24"/>
              </w:rPr>
              <w:t>3.09</w:t>
            </w:r>
          </w:p>
        </w:tc>
      </w:tr>
      <w:tr w:rsidR="00344951">
        <w:tc>
          <w:tcPr>
            <w:tcW w:w="817" w:type="dxa"/>
            <w:vAlign w:val="center"/>
          </w:tcPr>
          <w:p w:rsidR="00344951" w:rsidRDefault="00696EB2">
            <w:pPr>
              <w:jc w:val="center"/>
            </w:pPr>
            <w:r>
              <w:rPr>
                <w:rFonts w:eastAsiaTheme="minorEastAsia"/>
                <w:color w:val="000000"/>
                <w:sz w:val="24"/>
              </w:rPr>
              <w:t>8</w:t>
            </w:r>
          </w:p>
        </w:tc>
        <w:tc>
          <w:tcPr>
            <w:tcW w:w="1276" w:type="dxa"/>
            <w:vAlign w:val="center"/>
          </w:tcPr>
          <w:p w:rsidR="00344951" w:rsidRDefault="00696EB2">
            <w:pPr>
              <w:jc w:val="center"/>
            </w:pPr>
            <w:r>
              <w:rPr>
                <w:rFonts w:eastAsiaTheme="minorEastAsia"/>
                <w:color w:val="000000"/>
                <w:sz w:val="24"/>
              </w:rPr>
              <w:t>600177</w:t>
            </w:r>
          </w:p>
        </w:tc>
        <w:tc>
          <w:tcPr>
            <w:tcW w:w="1701" w:type="dxa"/>
            <w:vAlign w:val="center"/>
          </w:tcPr>
          <w:p w:rsidR="00344951" w:rsidRDefault="00696EB2">
            <w:pPr>
              <w:jc w:val="center"/>
            </w:pPr>
            <w:r>
              <w:rPr>
                <w:rFonts w:eastAsiaTheme="minorEastAsia"/>
                <w:color w:val="000000"/>
                <w:sz w:val="24"/>
              </w:rPr>
              <w:t>雅戈尔</w:t>
            </w:r>
          </w:p>
        </w:tc>
        <w:tc>
          <w:tcPr>
            <w:tcW w:w="1276" w:type="dxa"/>
            <w:vAlign w:val="center"/>
          </w:tcPr>
          <w:p w:rsidR="00344951" w:rsidRDefault="00696EB2">
            <w:pPr>
              <w:jc w:val="right"/>
            </w:pPr>
            <w:r>
              <w:rPr>
                <w:rFonts w:eastAsiaTheme="minorEastAsia"/>
                <w:color w:val="000000"/>
                <w:sz w:val="24"/>
              </w:rPr>
              <w:t>336,100</w:t>
            </w:r>
          </w:p>
        </w:tc>
        <w:tc>
          <w:tcPr>
            <w:tcW w:w="1842" w:type="dxa"/>
            <w:vAlign w:val="center"/>
          </w:tcPr>
          <w:p w:rsidR="00344951" w:rsidRDefault="00696EB2">
            <w:pPr>
              <w:jc w:val="right"/>
            </w:pPr>
            <w:r>
              <w:rPr>
                <w:rFonts w:eastAsiaTheme="minorEastAsia"/>
                <w:color w:val="000000"/>
                <w:sz w:val="24"/>
              </w:rPr>
              <w:t>4,681,873.00</w:t>
            </w:r>
          </w:p>
        </w:tc>
        <w:tc>
          <w:tcPr>
            <w:tcW w:w="1616" w:type="dxa"/>
            <w:vAlign w:val="center"/>
          </w:tcPr>
          <w:p w:rsidR="00344951" w:rsidRDefault="00696EB2">
            <w:pPr>
              <w:jc w:val="right"/>
            </w:pPr>
            <w:r>
              <w:rPr>
                <w:rFonts w:eastAsiaTheme="minorEastAsia"/>
                <w:color w:val="000000"/>
                <w:sz w:val="24"/>
              </w:rPr>
              <w:t>3.08</w:t>
            </w:r>
          </w:p>
        </w:tc>
      </w:tr>
      <w:tr w:rsidR="00344951">
        <w:tc>
          <w:tcPr>
            <w:tcW w:w="817" w:type="dxa"/>
            <w:vAlign w:val="center"/>
          </w:tcPr>
          <w:p w:rsidR="00344951" w:rsidRDefault="00696EB2">
            <w:pPr>
              <w:jc w:val="center"/>
            </w:pPr>
            <w:r>
              <w:rPr>
                <w:rFonts w:eastAsiaTheme="minorEastAsia"/>
                <w:color w:val="000000"/>
                <w:sz w:val="24"/>
              </w:rPr>
              <w:t>9</w:t>
            </w:r>
          </w:p>
        </w:tc>
        <w:tc>
          <w:tcPr>
            <w:tcW w:w="1276" w:type="dxa"/>
            <w:vAlign w:val="center"/>
          </w:tcPr>
          <w:p w:rsidR="00344951" w:rsidRDefault="00696EB2">
            <w:pPr>
              <w:jc w:val="center"/>
            </w:pPr>
            <w:r>
              <w:rPr>
                <w:rFonts w:eastAsiaTheme="minorEastAsia"/>
                <w:color w:val="000000"/>
                <w:sz w:val="24"/>
              </w:rPr>
              <w:t>600271</w:t>
            </w:r>
          </w:p>
        </w:tc>
        <w:tc>
          <w:tcPr>
            <w:tcW w:w="1701" w:type="dxa"/>
            <w:vAlign w:val="center"/>
          </w:tcPr>
          <w:p w:rsidR="00344951" w:rsidRDefault="00696EB2">
            <w:pPr>
              <w:jc w:val="center"/>
            </w:pPr>
            <w:r>
              <w:rPr>
                <w:rFonts w:eastAsiaTheme="minorEastAsia"/>
                <w:color w:val="000000"/>
                <w:sz w:val="24"/>
              </w:rPr>
              <w:t>航天信息</w:t>
            </w:r>
          </w:p>
        </w:tc>
        <w:tc>
          <w:tcPr>
            <w:tcW w:w="1276" w:type="dxa"/>
            <w:vAlign w:val="center"/>
          </w:tcPr>
          <w:p w:rsidR="00344951" w:rsidRDefault="00696EB2">
            <w:pPr>
              <w:jc w:val="right"/>
            </w:pPr>
            <w:r>
              <w:rPr>
                <w:rFonts w:eastAsiaTheme="minorEastAsia"/>
                <w:color w:val="000000"/>
                <w:sz w:val="24"/>
              </w:rPr>
              <w:t>221,052</w:t>
            </w:r>
          </w:p>
        </w:tc>
        <w:tc>
          <w:tcPr>
            <w:tcW w:w="1842" w:type="dxa"/>
            <w:vAlign w:val="center"/>
          </w:tcPr>
          <w:p w:rsidR="00344951" w:rsidRDefault="00696EB2">
            <w:pPr>
              <w:jc w:val="right"/>
            </w:pPr>
            <w:r>
              <w:rPr>
                <w:rFonts w:eastAsiaTheme="minorEastAsia"/>
                <w:color w:val="000000"/>
                <w:sz w:val="24"/>
              </w:rPr>
              <w:t>4,642,092.00</w:t>
            </w:r>
          </w:p>
        </w:tc>
        <w:tc>
          <w:tcPr>
            <w:tcW w:w="1616" w:type="dxa"/>
            <w:vAlign w:val="center"/>
          </w:tcPr>
          <w:p w:rsidR="00344951" w:rsidRDefault="00696EB2">
            <w:pPr>
              <w:jc w:val="right"/>
            </w:pPr>
            <w:r>
              <w:rPr>
                <w:rFonts w:eastAsiaTheme="minorEastAsia"/>
                <w:color w:val="000000"/>
                <w:sz w:val="24"/>
              </w:rPr>
              <w:t>3.05</w:t>
            </w:r>
          </w:p>
        </w:tc>
      </w:tr>
      <w:tr w:rsidR="00344951">
        <w:tc>
          <w:tcPr>
            <w:tcW w:w="817" w:type="dxa"/>
            <w:vAlign w:val="center"/>
          </w:tcPr>
          <w:p w:rsidR="00344951" w:rsidRDefault="00696EB2">
            <w:pPr>
              <w:jc w:val="center"/>
            </w:pPr>
            <w:r>
              <w:rPr>
                <w:rFonts w:eastAsiaTheme="minorEastAsia"/>
                <w:color w:val="000000"/>
                <w:sz w:val="24"/>
              </w:rPr>
              <w:t>10</w:t>
            </w:r>
          </w:p>
        </w:tc>
        <w:tc>
          <w:tcPr>
            <w:tcW w:w="1276" w:type="dxa"/>
            <w:vAlign w:val="center"/>
          </w:tcPr>
          <w:p w:rsidR="00344951" w:rsidRDefault="00696EB2">
            <w:pPr>
              <w:jc w:val="center"/>
            </w:pPr>
            <w:r>
              <w:rPr>
                <w:rFonts w:eastAsiaTheme="minorEastAsia"/>
                <w:color w:val="000000"/>
                <w:sz w:val="24"/>
              </w:rPr>
              <w:t>000627</w:t>
            </w:r>
          </w:p>
        </w:tc>
        <w:tc>
          <w:tcPr>
            <w:tcW w:w="1701" w:type="dxa"/>
            <w:vAlign w:val="center"/>
          </w:tcPr>
          <w:p w:rsidR="00344951" w:rsidRDefault="00696EB2">
            <w:pPr>
              <w:jc w:val="center"/>
            </w:pPr>
            <w:r>
              <w:rPr>
                <w:rFonts w:eastAsiaTheme="minorEastAsia"/>
                <w:color w:val="000000"/>
                <w:sz w:val="24"/>
              </w:rPr>
              <w:t>天茂集团</w:t>
            </w:r>
          </w:p>
        </w:tc>
        <w:tc>
          <w:tcPr>
            <w:tcW w:w="1276" w:type="dxa"/>
            <w:vAlign w:val="center"/>
          </w:tcPr>
          <w:p w:rsidR="00344951" w:rsidRDefault="00696EB2">
            <w:pPr>
              <w:jc w:val="right"/>
            </w:pPr>
            <w:r>
              <w:rPr>
                <w:rFonts w:eastAsiaTheme="minorEastAsia"/>
                <w:color w:val="000000"/>
                <w:sz w:val="24"/>
              </w:rPr>
              <w:t>606,910</w:t>
            </w:r>
          </w:p>
        </w:tc>
        <w:tc>
          <w:tcPr>
            <w:tcW w:w="1842" w:type="dxa"/>
            <w:vAlign w:val="center"/>
          </w:tcPr>
          <w:p w:rsidR="00344951" w:rsidRDefault="00696EB2">
            <w:pPr>
              <w:jc w:val="right"/>
            </w:pPr>
            <w:r>
              <w:rPr>
                <w:rFonts w:eastAsiaTheme="minorEastAsia"/>
                <w:color w:val="000000"/>
                <w:sz w:val="24"/>
              </w:rPr>
              <w:t>4,588,239.60</w:t>
            </w:r>
          </w:p>
        </w:tc>
        <w:tc>
          <w:tcPr>
            <w:tcW w:w="1616" w:type="dxa"/>
            <w:vAlign w:val="center"/>
          </w:tcPr>
          <w:p w:rsidR="00344951" w:rsidRDefault="00696EB2">
            <w:pPr>
              <w:jc w:val="right"/>
            </w:pPr>
            <w:r>
              <w:rPr>
                <w:rFonts w:eastAsiaTheme="minorEastAsia"/>
                <w:color w:val="000000"/>
                <w:sz w:val="24"/>
              </w:rPr>
              <w:t>3.01</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66704D" w:rsidRPr="005E324A" w:rsidRDefault="007622F6"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lastRenderedPageBreak/>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656A06">
        <w:rPr>
          <w:rFonts w:eastAsiaTheme="minorEastAsia" w:hint="eastAsia"/>
          <w:b/>
          <w:bCs/>
          <w:color w:val="000000"/>
          <w:kern w:val="0"/>
          <w:sz w:val="24"/>
        </w:rPr>
        <w:t xml:space="preserve"> </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 xml:space="preserve"> </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E57068">
      <w:pPr>
        <w:autoSpaceDE w:val="0"/>
        <w:autoSpaceDN w:val="0"/>
        <w:adjustRightInd w:val="0"/>
        <w:spacing w:line="360" w:lineRule="auto"/>
        <w:jc w:val="left"/>
        <w:rPr>
          <w:rFonts w:eastAsiaTheme="minorEastAsia"/>
          <w:sz w:val="24"/>
        </w:rPr>
      </w:pPr>
    </w:p>
    <w:p w:rsidR="005E0C14" w:rsidRPr="005E324A"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696EB2" w:rsidRPr="00696EB2" w:rsidRDefault="00696EB2" w:rsidP="006B10DA">
      <w:pPr>
        <w:autoSpaceDE w:val="0"/>
        <w:autoSpaceDN w:val="0"/>
        <w:adjustRightInd w:val="0"/>
        <w:spacing w:line="360" w:lineRule="auto"/>
        <w:jc w:val="left"/>
        <w:rPr>
          <w:rFonts w:eastAsiaTheme="minorEastAsia"/>
          <w:color w:val="00000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 xml:space="preserve"> </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lastRenderedPageBreak/>
        <w:t>5.11.3</w:t>
      </w:r>
      <w:r w:rsidR="00656A06">
        <w:rPr>
          <w:rFonts w:eastAsiaTheme="minorEastAsia" w:hint="eastAsia"/>
          <w:b/>
          <w:bCs/>
          <w:color w:val="000000"/>
          <w:kern w:val="0"/>
          <w:sz w:val="24"/>
        </w:rPr>
        <w:t xml:space="preserve"> </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8,790.32</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1,916.35</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139,716.00</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150,422.67</w:t>
            </w:r>
          </w:p>
        </w:tc>
      </w:tr>
    </w:tbl>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774535">
        <w:rPr>
          <w:rFonts w:eastAsiaTheme="minorEastAsia" w:hint="eastAsia"/>
          <w:b/>
          <w:bCs/>
          <w:color w:val="000000"/>
          <w:kern w:val="0"/>
          <w:sz w:val="24"/>
        </w:rPr>
        <w:t xml:space="preserve"> </w:t>
      </w:r>
      <w:r w:rsidR="00220542" w:rsidRPr="005E324A">
        <w:rPr>
          <w:rFonts w:eastAsiaTheme="minorEastAsia"/>
          <w:b/>
          <w:color w:val="000000"/>
          <w:kern w:val="0"/>
          <w:sz w:val="24"/>
        </w:rPr>
        <w:t>报告期末持有的处于转股期的可转换债券明细</w:t>
      </w:r>
    </w:p>
    <w:p w:rsidR="00220542"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DA575A" w:rsidRPr="005E324A" w:rsidRDefault="00DA575A" w:rsidP="006B10DA">
      <w:pPr>
        <w:autoSpaceDE w:val="0"/>
        <w:autoSpaceDN w:val="0"/>
        <w:adjustRightInd w:val="0"/>
        <w:spacing w:line="360" w:lineRule="auto"/>
        <w:jc w:val="left"/>
        <w:rPr>
          <w:rFonts w:eastAsiaTheme="minorEastAsia" w:hint="eastAsia"/>
          <w:color w:val="00000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774535">
        <w:rPr>
          <w:rFonts w:eastAsiaTheme="minorEastAsia" w:hint="eastAsia"/>
          <w:b/>
          <w:bCs/>
          <w:color w:val="000000"/>
          <w:kern w:val="0"/>
          <w:sz w:val="24"/>
        </w:rPr>
        <w:t xml:space="preserve"> </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774535">
        <w:rPr>
          <w:rFonts w:eastAsiaTheme="minorEastAsia" w:hint="eastAsia"/>
          <w:b/>
          <w:bCs/>
          <w:color w:val="000000"/>
          <w:kern w:val="0"/>
          <w:sz w:val="24"/>
        </w:rPr>
        <w:t xml:space="preserve"> </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DA575A" w:rsidRPr="005E324A" w:rsidRDefault="00DA575A" w:rsidP="00576862">
      <w:pPr>
        <w:autoSpaceDE w:val="0"/>
        <w:autoSpaceDN w:val="0"/>
        <w:adjustRightInd w:val="0"/>
        <w:spacing w:line="360" w:lineRule="auto"/>
        <w:jc w:val="left"/>
        <w:rPr>
          <w:rFonts w:eastAsiaTheme="minorEastAsia" w:hint="eastAsia"/>
          <w:color w:val="00000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774535">
        <w:rPr>
          <w:rFonts w:eastAsiaTheme="minorEastAsia" w:hint="eastAsia"/>
          <w:b/>
          <w:bCs/>
          <w:color w:val="000000"/>
          <w:kern w:val="0"/>
          <w:sz w:val="24"/>
        </w:rPr>
        <w:t xml:space="preserve"> </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DA575A">
      <w:pPr>
        <w:spacing w:line="360" w:lineRule="auto"/>
        <w:rPr>
          <w:rFonts w:eastAsiaTheme="minorEastAsia"/>
          <w:color w:val="000000"/>
          <w:sz w:val="24"/>
        </w:rPr>
      </w:pPr>
      <w:bookmarkStart w:id="0" w:name="_GoBack"/>
      <w:bookmarkEnd w:id="0"/>
      <w:r w:rsidRPr="005E324A">
        <w:rPr>
          <w:rFonts w:eastAsiaTheme="minorEastAsia"/>
          <w:color w:val="000000"/>
          <w:kern w:val="0"/>
          <w:sz w:val="24"/>
        </w:rPr>
        <w:t>由于四舍五入的原因，分项之和与合计项之间可能存在尾差。</w:t>
      </w: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7F523A" w:rsidRPr="005E324A">
        <w:rPr>
          <w:rFonts w:eastAsiaTheme="minorEastAsia"/>
          <w:color w:val="000000"/>
          <w:kern w:val="0"/>
          <w:sz w:val="24"/>
          <w:szCs w:val="24"/>
        </w:rPr>
        <w:t>6</w:t>
      </w:r>
      <w:r w:rsidRPr="005E324A">
        <w:rPr>
          <w:rFonts w:eastAsiaTheme="minorEastAsia"/>
          <w:color w:val="000000"/>
          <w:kern w:val="0"/>
          <w:sz w:val="24"/>
          <w:szCs w:val="24"/>
        </w:rPr>
        <w:t xml:space="preserve">  </w:t>
      </w:r>
      <w:r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E</w:t>
            </w:r>
            <w:r w:rsidRPr="005E324A">
              <w:rPr>
                <w:rFonts w:eastAsiaTheme="minorEastAsia"/>
                <w:sz w:val="24"/>
              </w:rPr>
              <w:t>金融</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w:t>
            </w:r>
            <w:r w:rsidRPr="005E324A">
              <w:rPr>
                <w:rFonts w:eastAsiaTheme="minorEastAsia"/>
                <w:color w:val="000000"/>
                <w:kern w:val="0"/>
                <w:sz w:val="24"/>
              </w:rPr>
              <w:lastRenderedPageBreak/>
              <w:t>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lastRenderedPageBreak/>
              <w:t>141,626,408.99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5,103,894.00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5,103,894.00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lastRenderedPageBreak/>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7,628,374.19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6,643,469.95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652,026.00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-326,013.00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-326,013.00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143,263,339.23</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4,777,881.00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4,777,881.00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注：拆分变动份额为本基金三级份额之间的配对转换份额及基金折算后调整份额。</w:t>
      </w:r>
    </w:p>
    <w:p w:rsidR="003D4E5A" w:rsidRPr="005E324A" w:rsidRDefault="003D4E5A" w:rsidP="007674F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8</w:t>
      </w:r>
      <w:r w:rsidRPr="005E324A">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8</w:t>
      </w:r>
      <w:r w:rsidR="004A3F71" w:rsidRPr="005E324A">
        <w:rPr>
          <w:rFonts w:eastAsiaTheme="minorEastAsia"/>
          <w:b/>
          <w:color w:val="000000"/>
          <w:sz w:val="24"/>
        </w:rPr>
        <w:t>.1</w:t>
      </w:r>
      <w:r w:rsidR="00220542" w:rsidRPr="005E324A">
        <w:rPr>
          <w:rFonts w:eastAsiaTheme="minorEastAsia"/>
          <w:b/>
          <w:color w:val="000000"/>
          <w:sz w:val="24"/>
        </w:rPr>
        <w:t xml:space="preserve"> </w:t>
      </w:r>
      <w:r w:rsidR="00220542" w:rsidRPr="005E324A">
        <w:rPr>
          <w:rFonts w:eastAsiaTheme="minorEastAsia"/>
          <w:b/>
          <w:color w:val="000000"/>
          <w:sz w:val="24"/>
        </w:rPr>
        <w:t>备查文件目录</w:t>
      </w:r>
    </w:p>
    <w:p w:rsidR="00344951" w:rsidRDefault="00696EB2">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、中国证监会准予交银施罗德中证互联网金融指数分级证券投资基金募集注册的文件；</w:t>
      </w:r>
      <w:r>
        <w:rPr>
          <w:rFonts w:eastAsiaTheme="minorEastAsia"/>
          <w:color w:val="000000"/>
          <w:sz w:val="24"/>
        </w:rPr>
        <w:t xml:space="preserve"> </w:t>
      </w:r>
    </w:p>
    <w:p w:rsidR="00344951" w:rsidRDefault="00696EB2">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、《交银施罗德中证互联网金融指数分级证券投资基金基金合同》；</w:t>
      </w:r>
    </w:p>
    <w:p w:rsidR="00344951" w:rsidRDefault="00696EB2">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、《交银施罗德中证互联网金融指数分级证券投资基金招募说明书》；</w:t>
      </w:r>
      <w:r>
        <w:rPr>
          <w:rFonts w:eastAsiaTheme="minorEastAsia"/>
          <w:color w:val="000000"/>
          <w:sz w:val="24"/>
        </w:rPr>
        <w:t xml:space="preserve"> </w:t>
      </w:r>
    </w:p>
    <w:p w:rsidR="00344951" w:rsidRDefault="00696EB2">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、《交银施罗德中证互联网金融指数分级证券投资基金托管协议》；</w:t>
      </w:r>
      <w:r>
        <w:rPr>
          <w:rFonts w:eastAsiaTheme="minorEastAsia"/>
          <w:color w:val="000000"/>
          <w:sz w:val="24"/>
        </w:rPr>
        <w:t xml:space="preserve"> </w:t>
      </w:r>
    </w:p>
    <w:p w:rsidR="00344951" w:rsidRDefault="00696EB2">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344951" w:rsidRDefault="00696EB2">
      <w:pPr>
        <w:spacing w:line="360" w:lineRule="auto"/>
        <w:ind w:firstLineChars="200" w:firstLine="480"/>
        <w:rPr>
          <w:rFonts w:eastAsiaTheme="minorEastAsia"/>
          <w:color w:val="000000"/>
          <w:sz w:val="24"/>
        </w:rPr>
      </w:pPr>
      <w:r>
        <w:rPr>
          <w:rFonts w:eastAsiaTheme="minorEastAsia"/>
          <w:color w:val="000000"/>
          <w:sz w:val="24"/>
        </w:rPr>
        <w:lastRenderedPageBreak/>
        <w:t>6</w:t>
      </w:r>
      <w:r>
        <w:rPr>
          <w:rFonts w:eastAsiaTheme="minorEastAsia"/>
          <w:color w:val="000000"/>
          <w:sz w:val="24"/>
        </w:rPr>
        <w:t>、基金托管人业务资格批件、营业执照；</w:t>
      </w:r>
    </w:p>
    <w:p w:rsidR="00344951" w:rsidRDefault="00696EB2">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、关于申请募集注册交银施罗德中证互联网金融指数分级证券投资基金的法律意见书；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、报告期内交银施罗德中证互联网金融指数分级证券投资基金在指定报刊上各项公告的原稿。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8.2</w:t>
      </w:r>
      <w:r w:rsidR="00220542" w:rsidRPr="005E324A">
        <w:rPr>
          <w:rFonts w:eastAsiaTheme="minorEastAsia"/>
          <w:b/>
          <w:color w:val="000000"/>
          <w:sz w:val="24"/>
        </w:rPr>
        <w:t xml:space="preserve"> </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8.3</w:t>
      </w:r>
      <w:r w:rsidR="00220542" w:rsidRPr="005E324A">
        <w:rPr>
          <w:rFonts w:eastAsiaTheme="minorEastAsia"/>
          <w:b/>
          <w:color w:val="000000"/>
          <w:sz w:val="24"/>
        </w:rPr>
        <w:t xml:space="preserve"> </w:t>
      </w:r>
      <w:r w:rsidR="00220542" w:rsidRPr="005E324A">
        <w:rPr>
          <w:rFonts w:eastAsiaTheme="minorEastAsia"/>
          <w:b/>
          <w:color w:val="000000"/>
          <w:sz w:val="24"/>
        </w:rPr>
        <w:t>查阅方式</w:t>
      </w:r>
    </w:p>
    <w:p w:rsidR="00344951" w:rsidRDefault="00696EB2">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E5B" w:rsidRDefault="00656E5B">
      <w:r>
        <w:separator/>
      </w:r>
    </w:p>
  </w:endnote>
  <w:endnote w:type="continuationSeparator" w:id="0">
    <w:p w:rsidR="00656E5B" w:rsidRDefault="0065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9F7655">
      <w:rPr>
        <w:kern w:val="0"/>
        <w:szCs w:val="21"/>
      </w:rPr>
      <w:fldChar w:fldCharType="begin"/>
    </w:r>
    <w:r>
      <w:rPr>
        <w:kern w:val="0"/>
        <w:szCs w:val="21"/>
      </w:rPr>
      <w:instrText xml:space="preserve"> PAGE </w:instrText>
    </w:r>
    <w:r w:rsidR="009F7655">
      <w:rPr>
        <w:kern w:val="0"/>
        <w:szCs w:val="21"/>
      </w:rPr>
      <w:fldChar w:fldCharType="separate"/>
    </w:r>
    <w:r w:rsidR="00DA575A">
      <w:rPr>
        <w:noProof/>
        <w:kern w:val="0"/>
        <w:szCs w:val="21"/>
      </w:rPr>
      <w:t>1</w:t>
    </w:r>
    <w:r w:rsidR="009F7655">
      <w:rPr>
        <w:kern w:val="0"/>
        <w:szCs w:val="21"/>
      </w:rPr>
      <w:fldChar w:fldCharType="end"/>
    </w:r>
    <w:r>
      <w:rPr>
        <w:rFonts w:hint="eastAsia"/>
        <w:kern w:val="0"/>
        <w:szCs w:val="21"/>
      </w:rPr>
      <w:t>页共</w:t>
    </w:r>
    <w:r w:rsidR="009F7655">
      <w:rPr>
        <w:kern w:val="0"/>
        <w:szCs w:val="21"/>
      </w:rPr>
      <w:fldChar w:fldCharType="begin"/>
    </w:r>
    <w:r>
      <w:rPr>
        <w:kern w:val="0"/>
        <w:szCs w:val="21"/>
      </w:rPr>
      <w:instrText xml:space="preserve"> NUMPAGES </w:instrText>
    </w:r>
    <w:r w:rsidR="009F7655">
      <w:rPr>
        <w:kern w:val="0"/>
        <w:szCs w:val="21"/>
      </w:rPr>
      <w:fldChar w:fldCharType="separate"/>
    </w:r>
    <w:r w:rsidR="00DA575A">
      <w:rPr>
        <w:noProof/>
        <w:kern w:val="0"/>
        <w:szCs w:val="21"/>
      </w:rPr>
      <w:t>14</w:t>
    </w:r>
    <w:r w:rsidR="009F7655">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9F7655">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9F7655">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DA575A">
      <w:rPr>
        <w:rStyle w:val="a7"/>
        <w:noProof/>
      </w:rPr>
      <w:t>13</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E5B" w:rsidRDefault="00656E5B">
      <w:r>
        <w:separator/>
      </w:r>
    </w:p>
  </w:footnote>
  <w:footnote w:type="continuationSeparator" w:id="0">
    <w:p w:rsidR="00656E5B" w:rsidRDefault="00656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D55B61" w:rsidP="00FB572A">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-340360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28F7"/>
    <w:rsid w:val="00194537"/>
    <w:rsid w:val="0019563C"/>
    <w:rsid w:val="001A21A9"/>
    <w:rsid w:val="001A363B"/>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C6B"/>
    <w:rsid w:val="002A5D31"/>
    <w:rsid w:val="002A714F"/>
    <w:rsid w:val="002B1851"/>
    <w:rsid w:val="002B27FF"/>
    <w:rsid w:val="002B4429"/>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10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44951"/>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66A"/>
    <w:rsid w:val="00515D7B"/>
    <w:rsid w:val="005166E9"/>
    <w:rsid w:val="0052009E"/>
    <w:rsid w:val="00523C1F"/>
    <w:rsid w:val="00525E59"/>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B011E"/>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6E5B"/>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96EB2"/>
    <w:rsid w:val="006A72C6"/>
    <w:rsid w:val="006B02DA"/>
    <w:rsid w:val="006B10DA"/>
    <w:rsid w:val="006B2065"/>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655"/>
    <w:rsid w:val="009F786E"/>
    <w:rsid w:val="00A008DA"/>
    <w:rsid w:val="00A00902"/>
    <w:rsid w:val="00A039FF"/>
    <w:rsid w:val="00A05ACE"/>
    <w:rsid w:val="00A078CB"/>
    <w:rsid w:val="00A14AE3"/>
    <w:rsid w:val="00A16675"/>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2DF8"/>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F5F"/>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575A"/>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2B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718455A9-5BBE-49F2-865B-231FAC09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14</Pages>
  <Words>1057</Words>
  <Characters>6030</Characters>
  <Application>Microsoft Office Word</Application>
  <DocSecurity>0</DocSecurity>
  <Lines>50</Lines>
  <Paragraphs>14</Paragraphs>
  <ScaleCrop>false</ScaleCrop>
  <Company>TRT. Ltd. Co.</Company>
  <LinksUpToDate>false</LinksUpToDate>
  <CharactersWithSpaces>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163</cp:revision>
  <cp:lastPrinted>2007-07-19T00:46:00Z</cp:lastPrinted>
  <dcterms:created xsi:type="dcterms:W3CDTF">2012-11-28T02:28:00Z</dcterms:created>
  <dcterms:modified xsi:type="dcterms:W3CDTF">2017-04-20T08:41:00Z</dcterms:modified>
</cp:coreProperties>
</file>