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666,949,835.06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513,818,791.22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153,131,043.84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4,312,857.27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953,202.53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11,935,936.31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3,038,755.57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551,409,982.48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163,859,955.20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1.070</w:t>
            </w:r>
          </w:p>
        </w:tc>
      </w:tr>
    </w:tbl>
    <w:p w:rsidR="00D3726B" w:rsidRDefault="00C8571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3726B">
        <w:trPr>
          <w:jc w:val="center"/>
        </w:trPr>
        <w:tc>
          <w:tcPr>
            <w:tcW w:w="1266" w:type="dxa"/>
            <w:vAlign w:val="center"/>
          </w:tcPr>
          <w:p w:rsidR="00D3726B" w:rsidRDefault="00C85714">
            <w:pPr>
              <w:jc w:val="left"/>
            </w:pPr>
            <w:r>
              <w:rPr>
                <w:color w:val="000000"/>
                <w:sz w:val="24"/>
              </w:rPr>
              <w:lastRenderedPageBreak/>
              <w:t>过去三个月</w:t>
            </w:r>
          </w:p>
        </w:tc>
        <w:tc>
          <w:tcPr>
            <w:tcW w:w="1267" w:type="dxa"/>
            <w:vAlign w:val="center"/>
          </w:tcPr>
          <w:p w:rsidR="00D3726B" w:rsidRDefault="00C85714">
            <w:pPr>
              <w:jc w:val="center"/>
            </w:pPr>
            <w:r>
              <w:rPr>
                <w:color w:val="000000"/>
                <w:sz w:val="24"/>
              </w:rPr>
              <w:t>2.19%</w:t>
            </w:r>
          </w:p>
        </w:tc>
        <w:tc>
          <w:tcPr>
            <w:tcW w:w="1267" w:type="dxa"/>
            <w:vAlign w:val="center"/>
          </w:tcPr>
          <w:p w:rsidR="00D3726B" w:rsidRDefault="00C85714">
            <w:pPr>
              <w:jc w:val="center"/>
            </w:pPr>
            <w:r>
              <w:rPr>
                <w:color w:val="000000"/>
                <w:sz w:val="24"/>
              </w:rPr>
              <w:t>0.10%</w:t>
            </w:r>
          </w:p>
        </w:tc>
        <w:tc>
          <w:tcPr>
            <w:tcW w:w="1267" w:type="dxa"/>
            <w:vAlign w:val="center"/>
          </w:tcPr>
          <w:p w:rsidR="00D3726B" w:rsidRDefault="00C85714">
            <w:pPr>
              <w:jc w:val="center"/>
            </w:pPr>
            <w:r>
              <w:rPr>
                <w:color w:val="000000"/>
                <w:sz w:val="24"/>
              </w:rPr>
              <w:t>1.56%</w:t>
            </w:r>
          </w:p>
        </w:tc>
        <w:tc>
          <w:tcPr>
            <w:tcW w:w="1267" w:type="dxa"/>
            <w:vAlign w:val="center"/>
          </w:tcPr>
          <w:p w:rsidR="00D3726B" w:rsidRDefault="00C85714">
            <w:pPr>
              <w:jc w:val="center"/>
            </w:pPr>
            <w:r>
              <w:rPr>
                <w:color w:val="000000"/>
                <w:sz w:val="24"/>
              </w:rPr>
              <w:t>0.27%</w:t>
            </w:r>
          </w:p>
        </w:tc>
        <w:tc>
          <w:tcPr>
            <w:tcW w:w="1267" w:type="dxa"/>
            <w:vAlign w:val="center"/>
          </w:tcPr>
          <w:p w:rsidR="00D3726B" w:rsidRDefault="00C85714">
            <w:pPr>
              <w:jc w:val="center"/>
            </w:pPr>
            <w:r>
              <w:rPr>
                <w:color w:val="000000"/>
                <w:sz w:val="24"/>
              </w:rPr>
              <w:t>0.63%</w:t>
            </w:r>
          </w:p>
        </w:tc>
        <w:tc>
          <w:tcPr>
            <w:tcW w:w="1267" w:type="dxa"/>
            <w:vAlign w:val="center"/>
          </w:tcPr>
          <w:p w:rsidR="00D3726B" w:rsidRDefault="00C85714">
            <w:pPr>
              <w:jc w:val="center"/>
            </w:pPr>
            <w:r>
              <w:rPr>
                <w:color w:val="000000"/>
                <w:sz w:val="24"/>
              </w:rPr>
              <w:t>-0.17%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3726B">
        <w:trPr>
          <w:jc w:val="center"/>
        </w:trPr>
        <w:tc>
          <w:tcPr>
            <w:tcW w:w="1266" w:type="dxa"/>
            <w:vAlign w:val="center"/>
          </w:tcPr>
          <w:p w:rsidR="00D3726B" w:rsidRDefault="00C85714">
            <w:pPr>
              <w:jc w:val="left"/>
            </w:pPr>
            <w:r>
              <w:rPr>
                <w:color w:val="000000"/>
                <w:sz w:val="24"/>
              </w:rPr>
              <w:t>过去三个月</w:t>
            </w:r>
          </w:p>
        </w:tc>
        <w:tc>
          <w:tcPr>
            <w:tcW w:w="1267" w:type="dxa"/>
            <w:vAlign w:val="center"/>
          </w:tcPr>
          <w:p w:rsidR="00D3726B" w:rsidRDefault="00831D45">
            <w:pPr>
              <w:jc w:val="center"/>
            </w:pPr>
            <w:r>
              <w:rPr>
                <w:color w:val="000000"/>
                <w:sz w:val="24"/>
              </w:rPr>
              <w:t>2.20</w:t>
            </w:r>
            <w:r w:rsidR="00C85714">
              <w:rPr>
                <w:color w:val="000000"/>
                <w:sz w:val="24"/>
              </w:rPr>
              <w:t>%</w:t>
            </w:r>
          </w:p>
        </w:tc>
        <w:tc>
          <w:tcPr>
            <w:tcW w:w="1267" w:type="dxa"/>
            <w:vAlign w:val="center"/>
          </w:tcPr>
          <w:p w:rsidR="00D3726B" w:rsidRDefault="00831D45">
            <w:pPr>
              <w:jc w:val="center"/>
            </w:pPr>
            <w:r>
              <w:rPr>
                <w:color w:val="000000"/>
                <w:sz w:val="24"/>
              </w:rPr>
              <w:t>0.11</w:t>
            </w:r>
            <w:r w:rsidR="00C85714">
              <w:rPr>
                <w:color w:val="000000"/>
                <w:sz w:val="24"/>
              </w:rPr>
              <w:t>%</w:t>
            </w:r>
          </w:p>
        </w:tc>
        <w:tc>
          <w:tcPr>
            <w:tcW w:w="1267" w:type="dxa"/>
            <w:vAlign w:val="center"/>
          </w:tcPr>
          <w:p w:rsidR="00D3726B" w:rsidRDefault="00C85714">
            <w:pPr>
              <w:jc w:val="center"/>
            </w:pPr>
            <w:r>
              <w:rPr>
                <w:color w:val="000000"/>
                <w:sz w:val="24"/>
              </w:rPr>
              <w:t>1.56%</w:t>
            </w:r>
          </w:p>
        </w:tc>
        <w:tc>
          <w:tcPr>
            <w:tcW w:w="1267" w:type="dxa"/>
            <w:vAlign w:val="center"/>
          </w:tcPr>
          <w:p w:rsidR="00D3726B" w:rsidRDefault="00C85714">
            <w:pPr>
              <w:jc w:val="center"/>
            </w:pPr>
            <w:r>
              <w:rPr>
                <w:color w:val="000000"/>
                <w:sz w:val="24"/>
              </w:rPr>
              <w:t>0.27%</w:t>
            </w:r>
          </w:p>
        </w:tc>
        <w:tc>
          <w:tcPr>
            <w:tcW w:w="1267" w:type="dxa"/>
            <w:vAlign w:val="center"/>
          </w:tcPr>
          <w:p w:rsidR="00D3726B" w:rsidRDefault="00831D45">
            <w:pPr>
              <w:jc w:val="center"/>
            </w:pPr>
            <w:r>
              <w:rPr>
                <w:color w:val="000000"/>
                <w:sz w:val="24"/>
              </w:rPr>
              <w:t>0.64</w:t>
            </w:r>
            <w:r w:rsidR="00C85714">
              <w:rPr>
                <w:color w:val="000000"/>
                <w:sz w:val="24"/>
              </w:rPr>
              <w:t>%</w:t>
            </w:r>
          </w:p>
        </w:tc>
        <w:tc>
          <w:tcPr>
            <w:tcW w:w="1267" w:type="dxa"/>
            <w:vAlign w:val="center"/>
          </w:tcPr>
          <w:p w:rsidR="00D3726B" w:rsidRDefault="00831D45">
            <w:pPr>
              <w:jc w:val="center"/>
            </w:pPr>
            <w:r>
              <w:rPr>
                <w:color w:val="000000"/>
                <w:sz w:val="24"/>
              </w:rPr>
              <w:t>-0.16</w:t>
            </w:r>
            <w:r w:rsidR="00C85714">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3726B">
        <w:trPr>
          <w:jc w:val="center"/>
        </w:trPr>
        <w:tc>
          <w:tcPr>
            <w:tcW w:w="946" w:type="dxa"/>
            <w:vAlign w:val="center"/>
          </w:tcPr>
          <w:p w:rsidR="00D3726B" w:rsidRDefault="00C85714">
            <w:pPr>
              <w:jc w:val="center"/>
            </w:pPr>
            <w:r>
              <w:rPr>
                <w:color w:val="000000"/>
                <w:sz w:val="24"/>
              </w:rPr>
              <w:t>李娜</w:t>
            </w:r>
          </w:p>
        </w:tc>
        <w:tc>
          <w:tcPr>
            <w:tcW w:w="924" w:type="dxa"/>
            <w:vAlign w:val="center"/>
          </w:tcPr>
          <w:p w:rsidR="00D3726B" w:rsidRDefault="00C85714">
            <w:pPr>
              <w:jc w:val="center"/>
            </w:pPr>
            <w:r>
              <w:rPr>
                <w:color w:val="000000"/>
                <w:sz w:val="24"/>
              </w:rPr>
              <w:t>交银周期回报灵活配置混合、交银新回</w:t>
            </w:r>
            <w:r>
              <w:rPr>
                <w:color w:val="000000"/>
                <w:sz w:val="24"/>
              </w:rPr>
              <w:lastRenderedPageBreak/>
              <w:t>报灵活配置混合、交银多策略回报灵活配置混合、交银卓越回报灵活配置混合、交银优选回报灵活配置混合、交银优择回报灵活配置混合、交银领先回报灵活配置混合、交银瑞鑫定期开放灵活配置混合、交银瑞景定期</w:t>
            </w:r>
            <w:r>
              <w:rPr>
                <w:color w:val="000000"/>
                <w:sz w:val="24"/>
              </w:rPr>
              <w:lastRenderedPageBreak/>
              <w:t>开放灵活配置混合、交银启通灵活配置混合、交银瑞利定期开放灵活配置混合、交银瑞安定期开放灵活配置混合的基金经理</w:t>
            </w:r>
          </w:p>
        </w:tc>
        <w:tc>
          <w:tcPr>
            <w:tcW w:w="1202" w:type="dxa"/>
            <w:vAlign w:val="center"/>
          </w:tcPr>
          <w:p w:rsidR="00D3726B" w:rsidRDefault="00C85714">
            <w:pPr>
              <w:jc w:val="center"/>
            </w:pPr>
            <w:r>
              <w:rPr>
                <w:color w:val="000000"/>
                <w:sz w:val="24"/>
              </w:rPr>
              <w:lastRenderedPageBreak/>
              <w:t>2015-08-04</w:t>
            </w:r>
          </w:p>
        </w:tc>
        <w:tc>
          <w:tcPr>
            <w:tcW w:w="1300" w:type="dxa"/>
            <w:vAlign w:val="center"/>
          </w:tcPr>
          <w:p w:rsidR="00D3726B" w:rsidRDefault="00C85714">
            <w:pPr>
              <w:jc w:val="center"/>
            </w:pPr>
            <w:r>
              <w:rPr>
                <w:color w:val="000000"/>
                <w:sz w:val="24"/>
              </w:rPr>
              <w:t>-</w:t>
            </w:r>
          </w:p>
        </w:tc>
        <w:tc>
          <w:tcPr>
            <w:tcW w:w="1245" w:type="dxa"/>
            <w:vAlign w:val="center"/>
          </w:tcPr>
          <w:p w:rsidR="00D3726B" w:rsidRDefault="00C85714">
            <w:pPr>
              <w:jc w:val="center"/>
            </w:pPr>
            <w:r>
              <w:rPr>
                <w:color w:val="000000"/>
                <w:sz w:val="24"/>
              </w:rPr>
              <w:t>7</w:t>
            </w:r>
            <w:r>
              <w:rPr>
                <w:color w:val="000000"/>
                <w:sz w:val="24"/>
              </w:rPr>
              <w:t>年</w:t>
            </w:r>
          </w:p>
        </w:tc>
        <w:tc>
          <w:tcPr>
            <w:tcW w:w="3251" w:type="dxa"/>
            <w:vAlign w:val="center"/>
          </w:tcPr>
          <w:p w:rsidR="00D3726B" w:rsidRDefault="00C85714">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D3726B" w:rsidRDefault="00C8571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3726B" w:rsidRDefault="00C85714">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3726B" w:rsidRDefault="00C8571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3726B" w:rsidRDefault="00C85714">
      <w:pPr>
        <w:spacing w:before="29" w:line="288" w:lineRule="auto"/>
        <w:ind w:firstLineChars="200" w:firstLine="480"/>
        <w:rPr>
          <w:color w:val="000000"/>
          <w:sz w:val="24"/>
        </w:rPr>
      </w:pPr>
      <w:r>
        <w:rPr>
          <w:color w:val="000000"/>
          <w:sz w:val="24"/>
        </w:rPr>
        <w:t>本报告期内，经济增长继续呈现企稳态势，</w:t>
      </w:r>
      <w:r>
        <w:rPr>
          <w:color w:val="000000"/>
          <w:sz w:val="24"/>
        </w:rPr>
        <w:t>CPI</w:t>
      </w:r>
      <w:r>
        <w:rPr>
          <w:color w:val="000000"/>
          <w:sz w:val="24"/>
        </w:rPr>
        <w:t>保持温和，货币政策回归稳健中性，公开市场操作利率以及</w:t>
      </w:r>
      <w:r>
        <w:rPr>
          <w:color w:val="000000"/>
          <w:sz w:val="24"/>
        </w:rPr>
        <w:t>MLF</w:t>
      </w:r>
      <w:r>
        <w:rPr>
          <w:color w:val="000000"/>
          <w:sz w:val="24"/>
        </w:rPr>
        <w:t>和</w:t>
      </w:r>
      <w:r>
        <w:rPr>
          <w:color w:val="000000"/>
          <w:sz w:val="24"/>
        </w:rPr>
        <w:t>SLF</w:t>
      </w:r>
      <w:r>
        <w:rPr>
          <w:color w:val="000000"/>
          <w:sz w:val="24"/>
        </w:rPr>
        <w:t>利率数次上调，银行间流动性呈现结构性、阶段性波动，资金中枢边际上行、波动幅度加大。股票市场呈现震荡分化走势，同期债券收益率快速上行后震荡，其中货币政策回归稳健中性、公开市场操作等利率上调、资金面阶段性波动、央行去杠杆政策风险、美联储加息预期变化等因素成为</w:t>
      </w:r>
      <w:r>
        <w:rPr>
          <w:color w:val="000000"/>
          <w:sz w:val="24"/>
        </w:rPr>
        <w:t>2017</w:t>
      </w:r>
      <w:r>
        <w:rPr>
          <w:color w:val="000000"/>
          <w:sz w:val="24"/>
        </w:rPr>
        <w:t>年年初债券市场收益率大幅调整的驱动力。报告期内，上证综指和创业板指分别为上涨</w:t>
      </w:r>
      <w:r>
        <w:rPr>
          <w:color w:val="000000"/>
          <w:sz w:val="24"/>
        </w:rPr>
        <w:t>3.83%</w:t>
      </w:r>
      <w:r>
        <w:rPr>
          <w:color w:val="000000"/>
          <w:sz w:val="24"/>
        </w:rPr>
        <w:t>和下跌</w:t>
      </w:r>
      <w:r>
        <w:rPr>
          <w:color w:val="000000"/>
          <w:sz w:val="24"/>
        </w:rPr>
        <w:t>2.79%</w:t>
      </w:r>
      <w:r>
        <w:rPr>
          <w:color w:val="000000"/>
          <w:sz w:val="24"/>
        </w:rPr>
        <w:t>，</w:t>
      </w:r>
      <w:r>
        <w:rPr>
          <w:color w:val="000000"/>
          <w:sz w:val="24"/>
        </w:rPr>
        <w:t>10</w:t>
      </w:r>
      <w:r>
        <w:rPr>
          <w:color w:val="000000"/>
          <w:sz w:val="24"/>
        </w:rPr>
        <w:t>年期国债收益率上行</w:t>
      </w:r>
      <w:r>
        <w:rPr>
          <w:color w:val="000000"/>
          <w:sz w:val="24"/>
        </w:rPr>
        <w:t>27bp</w:t>
      </w:r>
      <w:r>
        <w:rPr>
          <w:color w:val="000000"/>
          <w:sz w:val="24"/>
        </w:rPr>
        <w:t>至</w:t>
      </w:r>
      <w:r>
        <w:rPr>
          <w:color w:val="000000"/>
          <w:sz w:val="24"/>
        </w:rPr>
        <w:t>3.28%</w:t>
      </w:r>
      <w:r>
        <w:rPr>
          <w:color w:val="000000"/>
          <w:sz w:val="24"/>
        </w:rPr>
        <w:t>，</w:t>
      </w:r>
      <w:r>
        <w:rPr>
          <w:color w:val="000000"/>
          <w:sz w:val="24"/>
        </w:rPr>
        <w:t>10</w:t>
      </w:r>
      <w:r>
        <w:rPr>
          <w:color w:val="000000"/>
          <w:sz w:val="24"/>
        </w:rPr>
        <w:t>年期国开债收益率上行</w:t>
      </w:r>
      <w:r>
        <w:rPr>
          <w:color w:val="000000"/>
          <w:sz w:val="24"/>
        </w:rPr>
        <w:t>38bp</w:t>
      </w:r>
      <w:r>
        <w:rPr>
          <w:color w:val="000000"/>
          <w:sz w:val="24"/>
        </w:rPr>
        <w:t>至</w:t>
      </w:r>
      <w:r>
        <w:rPr>
          <w:color w:val="000000"/>
          <w:sz w:val="24"/>
        </w:rPr>
        <w:t>4.06%</w:t>
      </w:r>
      <w:r>
        <w:rPr>
          <w:color w:val="000000"/>
          <w:sz w:val="24"/>
        </w:rPr>
        <w:t>。</w:t>
      </w:r>
    </w:p>
    <w:p w:rsidR="00D3726B" w:rsidRDefault="00C85714">
      <w:pPr>
        <w:spacing w:before="29" w:line="288" w:lineRule="auto"/>
        <w:ind w:firstLineChars="200" w:firstLine="480"/>
        <w:rPr>
          <w:color w:val="000000"/>
          <w:sz w:val="24"/>
        </w:rPr>
      </w:pPr>
      <w:r>
        <w:rPr>
          <w:color w:val="000000"/>
          <w:sz w:val="24"/>
        </w:rPr>
        <w:t>策略层面，本基金重点关注短久期信用债的配置价值，保持组合流动性。积极关注新股发行规则微调，进行权益一级市场投资，同时也关注二级市场的投资机会，努力为持有人赚取回报。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展望二季度，基本面拐点的确认有待观察验证，</w:t>
      </w:r>
      <w:r w:rsidRPr="007F52FA">
        <w:rPr>
          <w:color w:val="000000"/>
          <w:sz w:val="24"/>
        </w:rPr>
        <w:t>CPI</w:t>
      </w:r>
      <w:r w:rsidRPr="007F52FA">
        <w:rPr>
          <w:color w:val="000000"/>
          <w:sz w:val="24"/>
        </w:rPr>
        <w:t>或呈现温和上升，基本面对债市可能出现的利好驱动仍需等待，不排除央行进一步上调</w:t>
      </w:r>
      <w:r w:rsidRPr="007F52FA">
        <w:rPr>
          <w:color w:val="000000"/>
          <w:sz w:val="24"/>
        </w:rPr>
        <w:t>MLF</w:t>
      </w:r>
      <w:r w:rsidRPr="007F52FA">
        <w:rPr>
          <w:color w:val="000000"/>
          <w:sz w:val="24"/>
        </w:rPr>
        <w:t>和公开市场操作利率的可能性，但债市对此应已隐含一定预期，防控金融风险重要性提高后，大资管行业监管动态需持续保持关注。股票方面，保持稳健、审慎，积极关注一级市场动态及规则微调。债券方面，保持流动性的前提下积极关注交易窗口，计划维持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lastRenderedPageBreak/>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1.073</w:t>
      </w:r>
      <w:r w:rsidRPr="007F52FA">
        <w:rPr>
          <w:color w:val="000000"/>
          <w:sz w:val="24"/>
        </w:rPr>
        <w:t>元，本报告期份额净值增长率为</w:t>
      </w:r>
      <w:r w:rsidRPr="007F52FA">
        <w:rPr>
          <w:color w:val="000000"/>
          <w:sz w:val="24"/>
        </w:rPr>
        <w:t>2.19%</w:t>
      </w:r>
      <w:r w:rsidRPr="007F52FA">
        <w:rPr>
          <w:color w:val="000000"/>
          <w:sz w:val="24"/>
        </w:rPr>
        <w:t>，同期业绩比较基准增长率为</w:t>
      </w:r>
      <w:r w:rsidRPr="007F52FA">
        <w:rPr>
          <w:color w:val="000000"/>
          <w:sz w:val="24"/>
        </w:rPr>
        <w:t>1.56%</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1.070</w:t>
      </w:r>
      <w:r w:rsidRPr="007F52FA">
        <w:rPr>
          <w:color w:val="000000"/>
          <w:sz w:val="24"/>
        </w:rPr>
        <w:t>元，本报告期份额净值增长率为</w:t>
      </w:r>
      <w:r w:rsidR="00831D45">
        <w:rPr>
          <w:color w:val="000000"/>
          <w:sz w:val="24"/>
        </w:rPr>
        <w:t>2.20</w:t>
      </w:r>
      <w:r w:rsidRPr="007F52FA">
        <w:rPr>
          <w:color w:val="000000"/>
          <w:sz w:val="24"/>
        </w:rPr>
        <w:t>%</w:t>
      </w:r>
      <w:r w:rsidRPr="007F52FA">
        <w:rPr>
          <w:color w:val="000000"/>
          <w:sz w:val="24"/>
        </w:rPr>
        <w:t>，同期业绩比较基准增长率为</w:t>
      </w:r>
      <w:r w:rsidRPr="007F52FA">
        <w:rPr>
          <w:color w:val="000000"/>
          <w:sz w:val="24"/>
        </w:rPr>
        <w:t>1.56%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123,570,399.17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123,570,399.17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574,088,600.00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80.12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574,088,600.00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80.12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8,382,800.73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10,513,664.64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716,555,464.54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80,589,519.01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w:t>
            </w:r>
            <w:r w:rsidRPr="007F52FA">
              <w:rPr>
                <w:sz w:val="24"/>
              </w:rPr>
              <w:lastRenderedPageBreak/>
              <w:t>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lastRenderedPageBreak/>
              <w:t>1,818,000.00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10,669,500.00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1,000,450.00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0.14</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29,476,000.00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16,930.16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123,570,399.17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17.28</w:t>
            </w:r>
          </w:p>
        </w:tc>
      </w:tr>
    </w:tbl>
    <w:p w:rsidR="00B01B2B" w:rsidRDefault="00B01B2B"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D3726B">
        <w:trPr>
          <w:jc w:val="center"/>
        </w:trPr>
        <w:tc>
          <w:tcPr>
            <w:tcW w:w="850" w:type="dxa"/>
            <w:vAlign w:val="center"/>
          </w:tcPr>
          <w:p w:rsidR="00D3726B" w:rsidRDefault="00C85714">
            <w:pPr>
              <w:jc w:val="center"/>
            </w:pPr>
            <w:r>
              <w:rPr>
                <w:color w:val="000000"/>
                <w:sz w:val="24"/>
              </w:rPr>
              <w:t>1</w:t>
            </w:r>
          </w:p>
        </w:tc>
        <w:tc>
          <w:tcPr>
            <w:tcW w:w="1327" w:type="dxa"/>
            <w:vAlign w:val="center"/>
          </w:tcPr>
          <w:p w:rsidR="00D3726B" w:rsidRDefault="00C85714">
            <w:pPr>
              <w:jc w:val="center"/>
            </w:pPr>
            <w:r>
              <w:rPr>
                <w:color w:val="000000"/>
                <w:sz w:val="24"/>
              </w:rPr>
              <w:t>000423</w:t>
            </w:r>
          </w:p>
        </w:tc>
        <w:tc>
          <w:tcPr>
            <w:tcW w:w="1769" w:type="dxa"/>
            <w:vAlign w:val="center"/>
          </w:tcPr>
          <w:p w:rsidR="00D3726B" w:rsidRDefault="00C85714">
            <w:pPr>
              <w:jc w:val="center"/>
            </w:pPr>
            <w:r>
              <w:rPr>
                <w:color w:val="000000"/>
                <w:sz w:val="24"/>
              </w:rPr>
              <w:t>东阿阿胶</w:t>
            </w:r>
          </w:p>
        </w:tc>
        <w:tc>
          <w:tcPr>
            <w:tcW w:w="1327" w:type="dxa"/>
            <w:vAlign w:val="center"/>
          </w:tcPr>
          <w:p w:rsidR="00D3726B" w:rsidRDefault="00C85714">
            <w:pPr>
              <w:jc w:val="right"/>
            </w:pPr>
            <w:r>
              <w:rPr>
                <w:color w:val="000000"/>
                <w:sz w:val="24"/>
              </w:rPr>
              <w:t>200,200</w:t>
            </w:r>
          </w:p>
        </w:tc>
        <w:tc>
          <w:tcPr>
            <w:tcW w:w="1915" w:type="dxa"/>
            <w:vAlign w:val="center"/>
          </w:tcPr>
          <w:p w:rsidR="00D3726B" w:rsidRDefault="00C85714">
            <w:pPr>
              <w:jc w:val="right"/>
            </w:pPr>
            <w:r>
              <w:rPr>
                <w:color w:val="000000"/>
                <w:sz w:val="24"/>
              </w:rPr>
              <w:t>13,133,120.00</w:t>
            </w:r>
          </w:p>
        </w:tc>
        <w:tc>
          <w:tcPr>
            <w:tcW w:w="1680" w:type="dxa"/>
            <w:vAlign w:val="center"/>
          </w:tcPr>
          <w:p w:rsidR="00D3726B" w:rsidRDefault="00C85714">
            <w:pPr>
              <w:jc w:val="right"/>
            </w:pPr>
            <w:r>
              <w:rPr>
                <w:color w:val="000000"/>
                <w:sz w:val="24"/>
              </w:rPr>
              <w:t>1.84</w:t>
            </w:r>
          </w:p>
        </w:tc>
      </w:tr>
      <w:tr w:rsidR="00D3726B">
        <w:trPr>
          <w:jc w:val="center"/>
        </w:trPr>
        <w:tc>
          <w:tcPr>
            <w:tcW w:w="850" w:type="dxa"/>
            <w:vAlign w:val="center"/>
          </w:tcPr>
          <w:p w:rsidR="00D3726B" w:rsidRDefault="00C85714">
            <w:pPr>
              <w:jc w:val="center"/>
            </w:pPr>
            <w:r>
              <w:rPr>
                <w:color w:val="000000"/>
                <w:sz w:val="24"/>
              </w:rPr>
              <w:t>2</w:t>
            </w:r>
          </w:p>
        </w:tc>
        <w:tc>
          <w:tcPr>
            <w:tcW w:w="1327" w:type="dxa"/>
            <w:vAlign w:val="center"/>
          </w:tcPr>
          <w:p w:rsidR="00D3726B" w:rsidRDefault="00C85714">
            <w:pPr>
              <w:jc w:val="center"/>
            </w:pPr>
            <w:r>
              <w:rPr>
                <w:color w:val="000000"/>
                <w:sz w:val="24"/>
              </w:rPr>
              <w:t>601398</w:t>
            </w:r>
          </w:p>
        </w:tc>
        <w:tc>
          <w:tcPr>
            <w:tcW w:w="1769" w:type="dxa"/>
            <w:vAlign w:val="center"/>
          </w:tcPr>
          <w:p w:rsidR="00D3726B" w:rsidRDefault="00C85714">
            <w:pPr>
              <w:jc w:val="center"/>
            </w:pPr>
            <w:r>
              <w:rPr>
                <w:color w:val="000000"/>
                <w:sz w:val="24"/>
              </w:rPr>
              <w:t>工商银行</w:t>
            </w:r>
          </w:p>
        </w:tc>
        <w:tc>
          <w:tcPr>
            <w:tcW w:w="1327" w:type="dxa"/>
            <w:vAlign w:val="center"/>
          </w:tcPr>
          <w:p w:rsidR="00D3726B" w:rsidRDefault="00C85714">
            <w:pPr>
              <w:jc w:val="right"/>
            </w:pPr>
            <w:r>
              <w:rPr>
                <w:color w:val="000000"/>
                <w:sz w:val="24"/>
              </w:rPr>
              <w:t>2,000,000</w:t>
            </w:r>
          </w:p>
        </w:tc>
        <w:tc>
          <w:tcPr>
            <w:tcW w:w="1915" w:type="dxa"/>
            <w:vAlign w:val="center"/>
          </w:tcPr>
          <w:p w:rsidR="00D3726B" w:rsidRDefault="00C85714">
            <w:pPr>
              <w:jc w:val="right"/>
            </w:pPr>
            <w:r>
              <w:rPr>
                <w:color w:val="000000"/>
                <w:sz w:val="24"/>
              </w:rPr>
              <w:t>9,680,000.00</w:t>
            </w:r>
          </w:p>
        </w:tc>
        <w:tc>
          <w:tcPr>
            <w:tcW w:w="1680" w:type="dxa"/>
            <w:vAlign w:val="center"/>
          </w:tcPr>
          <w:p w:rsidR="00D3726B" w:rsidRDefault="00C85714">
            <w:pPr>
              <w:jc w:val="right"/>
            </w:pPr>
            <w:r>
              <w:rPr>
                <w:color w:val="000000"/>
                <w:sz w:val="24"/>
              </w:rPr>
              <w:t>1.35</w:t>
            </w:r>
          </w:p>
        </w:tc>
      </w:tr>
      <w:tr w:rsidR="00D3726B">
        <w:trPr>
          <w:jc w:val="center"/>
        </w:trPr>
        <w:tc>
          <w:tcPr>
            <w:tcW w:w="850" w:type="dxa"/>
            <w:vAlign w:val="center"/>
          </w:tcPr>
          <w:p w:rsidR="00D3726B" w:rsidRDefault="00C85714">
            <w:pPr>
              <w:jc w:val="center"/>
            </w:pPr>
            <w:r>
              <w:rPr>
                <w:color w:val="000000"/>
                <w:sz w:val="24"/>
              </w:rPr>
              <w:t>3</w:t>
            </w:r>
          </w:p>
        </w:tc>
        <w:tc>
          <w:tcPr>
            <w:tcW w:w="1327" w:type="dxa"/>
            <w:vAlign w:val="center"/>
          </w:tcPr>
          <w:p w:rsidR="00D3726B" w:rsidRDefault="00C85714">
            <w:pPr>
              <w:jc w:val="center"/>
            </w:pPr>
            <w:r>
              <w:rPr>
                <w:color w:val="000000"/>
                <w:sz w:val="24"/>
              </w:rPr>
              <w:t>000858</w:t>
            </w:r>
          </w:p>
        </w:tc>
        <w:tc>
          <w:tcPr>
            <w:tcW w:w="1769" w:type="dxa"/>
            <w:vAlign w:val="center"/>
          </w:tcPr>
          <w:p w:rsidR="00D3726B" w:rsidRDefault="00C8571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D3726B" w:rsidRDefault="00C85714">
            <w:pPr>
              <w:jc w:val="right"/>
            </w:pPr>
            <w:r>
              <w:rPr>
                <w:color w:val="000000"/>
                <w:sz w:val="24"/>
              </w:rPr>
              <w:t>200,000</w:t>
            </w:r>
          </w:p>
        </w:tc>
        <w:tc>
          <w:tcPr>
            <w:tcW w:w="1915" w:type="dxa"/>
            <w:vAlign w:val="center"/>
          </w:tcPr>
          <w:p w:rsidR="00D3726B" w:rsidRDefault="00C85714">
            <w:pPr>
              <w:jc w:val="right"/>
            </w:pPr>
            <w:r>
              <w:rPr>
                <w:color w:val="000000"/>
                <w:sz w:val="24"/>
              </w:rPr>
              <w:t>8,600,000.00</w:t>
            </w:r>
          </w:p>
        </w:tc>
        <w:tc>
          <w:tcPr>
            <w:tcW w:w="1680" w:type="dxa"/>
            <w:vAlign w:val="center"/>
          </w:tcPr>
          <w:p w:rsidR="00D3726B" w:rsidRDefault="00C85714">
            <w:pPr>
              <w:jc w:val="right"/>
            </w:pPr>
            <w:r>
              <w:rPr>
                <w:color w:val="000000"/>
                <w:sz w:val="24"/>
              </w:rPr>
              <w:t>1.20</w:t>
            </w:r>
          </w:p>
        </w:tc>
      </w:tr>
      <w:tr w:rsidR="00D3726B">
        <w:trPr>
          <w:jc w:val="center"/>
        </w:trPr>
        <w:tc>
          <w:tcPr>
            <w:tcW w:w="850" w:type="dxa"/>
            <w:vAlign w:val="center"/>
          </w:tcPr>
          <w:p w:rsidR="00D3726B" w:rsidRDefault="00C85714">
            <w:pPr>
              <w:jc w:val="center"/>
            </w:pPr>
            <w:r>
              <w:rPr>
                <w:color w:val="000000"/>
                <w:sz w:val="24"/>
              </w:rPr>
              <w:t>4</w:t>
            </w:r>
          </w:p>
        </w:tc>
        <w:tc>
          <w:tcPr>
            <w:tcW w:w="1327" w:type="dxa"/>
            <w:vAlign w:val="center"/>
          </w:tcPr>
          <w:p w:rsidR="00D3726B" w:rsidRDefault="00C85714">
            <w:pPr>
              <w:jc w:val="center"/>
            </w:pPr>
            <w:r>
              <w:rPr>
                <w:color w:val="000000"/>
                <w:sz w:val="24"/>
              </w:rPr>
              <w:t>600887</w:t>
            </w:r>
          </w:p>
        </w:tc>
        <w:tc>
          <w:tcPr>
            <w:tcW w:w="1769" w:type="dxa"/>
            <w:vAlign w:val="center"/>
          </w:tcPr>
          <w:p w:rsidR="00D3726B" w:rsidRDefault="00C85714">
            <w:pPr>
              <w:jc w:val="center"/>
            </w:pPr>
            <w:r>
              <w:rPr>
                <w:color w:val="000000"/>
                <w:sz w:val="24"/>
              </w:rPr>
              <w:t>伊利股份</w:t>
            </w:r>
          </w:p>
        </w:tc>
        <w:tc>
          <w:tcPr>
            <w:tcW w:w="1327" w:type="dxa"/>
            <w:vAlign w:val="center"/>
          </w:tcPr>
          <w:p w:rsidR="00D3726B" w:rsidRDefault="00C85714">
            <w:pPr>
              <w:jc w:val="right"/>
            </w:pPr>
            <w:r>
              <w:rPr>
                <w:color w:val="000000"/>
                <w:sz w:val="24"/>
              </w:rPr>
              <w:t>450,000</w:t>
            </w:r>
          </w:p>
        </w:tc>
        <w:tc>
          <w:tcPr>
            <w:tcW w:w="1915" w:type="dxa"/>
            <w:vAlign w:val="center"/>
          </w:tcPr>
          <w:p w:rsidR="00D3726B" w:rsidRDefault="00C85714">
            <w:pPr>
              <w:jc w:val="right"/>
            </w:pPr>
            <w:r>
              <w:rPr>
                <w:color w:val="000000"/>
                <w:sz w:val="24"/>
              </w:rPr>
              <w:t>8,509,500.00</w:t>
            </w:r>
          </w:p>
        </w:tc>
        <w:tc>
          <w:tcPr>
            <w:tcW w:w="1680" w:type="dxa"/>
            <w:vAlign w:val="center"/>
          </w:tcPr>
          <w:p w:rsidR="00D3726B" w:rsidRDefault="00C85714">
            <w:pPr>
              <w:jc w:val="right"/>
            </w:pPr>
            <w:r>
              <w:rPr>
                <w:color w:val="000000"/>
                <w:sz w:val="24"/>
              </w:rPr>
              <w:t>1.19</w:t>
            </w:r>
          </w:p>
        </w:tc>
      </w:tr>
      <w:tr w:rsidR="00D3726B">
        <w:trPr>
          <w:jc w:val="center"/>
        </w:trPr>
        <w:tc>
          <w:tcPr>
            <w:tcW w:w="850" w:type="dxa"/>
            <w:vAlign w:val="center"/>
          </w:tcPr>
          <w:p w:rsidR="00D3726B" w:rsidRDefault="00C85714">
            <w:pPr>
              <w:jc w:val="center"/>
            </w:pPr>
            <w:r>
              <w:rPr>
                <w:color w:val="000000"/>
                <w:sz w:val="24"/>
              </w:rPr>
              <w:t>5</w:t>
            </w:r>
          </w:p>
        </w:tc>
        <w:tc>
          <w:tcPr>
            <w:tcW w:w="1327" w:type="dxa"/>
            <w:vAlign w:val="center"/>
          </w:tcPr>
          <w:p w:rsidR="00D3726B" w:rsidRDefault="00C85714">
            <w:pPr>
              <w:jc w:val="center"/>
            </w:pPr>
            <w:r>
              <w:rPr>
                <w:color w:val="000000"/>
                <w:sz w:val="24"/>
              </w:rPr>
              <w:t>000963</w:t>
            </w:r>
          </w:p>
        </w:tc>
        <w:tc>
          <w:tcPr>
            <w:tcW w:w="1769" w:type="dxa"/>
            <w:vAlign w:val="center"/>
          </w:tcPr>
          <w:p w:rsidR="00D3726B" w:rsidRDefault="00C85714">
            <w:pPr>
              <w:jc w:val="center"/>
            </w:pPr>
            <w:r>
              <w:rPr>
                <w:color w:val="000000"/>
                <w:sz w:val="24"/>
              </w:rPr>
              <w:t>华东医药</w:t>
            </w:r>
          </w:p>
        </w:tc>
        <w:tc>
          <w:tcPr>
            <w:tcW w:w="1327" w:type="dxa"/>
            <w:vAlign w:val="center"/>
          </w:tcPr>
          <w:p w:rsidR="00D3726B" w:rsidRDefault="00C85714">
            <w:pPr>
              <w:jc w:val="right"/>
            </w:pPr>
            <w:r>
              <w:rPr>
                <w:color w:val="000000"/>
                <w:sz w:val="24"/>
              </w:rPr>
              <w:t>90,000</w:t>
            </w:r>
          </w:p>
        </w:tc>
        <w:tc>
          <w:tcPr>
            <w:tcW w:w="1915" w:type="dxa"/>
            <w:vAlign w:val="center"/>
          </w:tcPr>
          <w:p w:rsidR="00D3726B" w:rsidRDefault="00C85714">
            <w:pPr>
              <w:jc w:val="right"/>
            </w:pPr>
            <w:r>
              <w:rPr>
                <w:color w:val="000000"/>
                <w:sz w:val="24"/>
              </w:rPr>
              <w:t>8,338,500.00</w:t>
            </w:r>
          </w:p>
        </w:tc>
        <w:tc>
          <w:tcPr>
            <w:tcW w:w="1680" w:type="dxa"/>
            <w:vAlign w:val="center"/>
          </w:tcPr>
          <w:p w:rsidR="00D3726B" w:rsidRDefault="00C85714">
            <w:pPr>
              <w:jc w:val="right"/>
            </w:pPr>
            <w:r>
              <w:rPr>
                <w:color w:val="000000"/>
                <w:sz w:val="24"/>
              </w:rPr>
              <w:t>1.17</w:t>
            </w:r>
          </w:p>
        </w:tc>
      </w:tr>
      <w:tr w:rsidR="00D3726B">
        <w:trPr>
          <w:jc w:val="center"/>
        </w:trPr>
        <w:tc>
          <w:tcPr>
            <w:tcW w:w="850" w:type="dxa"/>
            <w:vAlign w:val="center"/>
          </w:tcPr>
          <w:p w:rsidR="00D3726B" w:rsidRDefault="00C85714">
            <w:pPr>
              <w:jc w:val="center"/>
            </w:pPr>
            <w:r>
              <w:rPr>
                <w:color w:val="000000"/>
                <w:sz w:val="24"/>
              </w:rPr>
              <w:t>6</w:t>
            </w:r>
          </w:p>
        </w:tc>
        <w:tc>
          <w:tcPr>
            <w:tcW w:w="1327" w:type="dxa"/>
            <w:vAlign w:val="center"/>
          </w:tcPr>
          <w:p w:rsidR="00D3726B" w:rsidRDefault="00C85714">
            <w:pPr>
              <w:jc w:val="center"/>
            </w:pPr>
            <w:r>
              <w:rPr>
                <w:color w:val="000000"/>
                <w:sz w:val="24"/>
              </w:rPr>
              <w:t>000001</w:t>
            </w:r>
          </w:p>
        </w:tc>
        <w:tc>
          <w:tcPr>
            <w:tcW w:w="1769" w:type="dxa"/>
            <w:vAlign w:val="center"/>
          </w:tcPr>
          <w:p w:rsidR="00D3726B" w:rsidRDefault="00C85714">
            <w:pPr>
              <w:jc w:val="center"/>
            </w:pPr>
            <w:r>
              <w:rPr>
                <w:color w:val="000000"/>
                <w:sz w:val="24"/>
              </w:rPr>
              <w:t>平安银行</w:t>
            </w:r>
          </w:p>
        </w:tc>
        <w:tc>
          <w:tcPr>
            <w:tcW w:w="1327" w:type="dxa"/>
            <w:vAlign w:val="center"/>
          </w:tcPr>
          <w:p w:rsidR="00D3726B" w:rsidRDefault="00C85714">
            <w:pPr>
              <w:jc w:val="right"/>
            </w:pPr>
            <w:r>
              <w:rPr>
                <w:color w:val="000000"/>
                <w:sz w:val="24"/>
              </w:rPr>
              <w:t>900,000</w:t>
            </w:r>
          </w:p>
        </w:tc>
        <w:tc>
          <w:tcPr>
            <w:tcW w:w="1915" w:type="dxa"/>
            <w:vAlign w:val="center"/>
          </w:tcPr>
          <w:p w:rsidR="00D3726B" w:rsidRDefault="00C85714">
            <w:pPr>
              <w:jc w:val="right"/>
            </w:pPr>
            <w:r>
              <w:rPr>
                <w:color w:val="000000"/>
                <w:sz w:val="24"/>
              </w:rPr>
              <w:t>8,253,000.00</w:t>
            </w:r>
          </w:p>
        </w:tc>
        <w:tc>
          <w:tcPr>
            <w:tcW w:w="1680" w:type="dxa"/>
            <w:vAlign w:val="center"/>
          </w:tcPr>
          <w:p w:rsidR="00D3726B" w:rsidRDefault="00C85714">
            <w:pPr>
              <w:jc w:val="right"/>
            </w:pPr>
            <w:r>
              <w:rPr>
                <w:color w:val="000000"/>
                <w:sz w:val="24"/>
              </w:rPr>
              <w:t>1.15</w:t>
            </w:r>
          </w:p>
        </w:tc>
      </w:tr>
      <w:tr w:rsidR="00D3726B">
        <w:trPr>
          <w:jc w:val="center"/>
        </w:trPr>
        <w:tc>
          <w:tcPr>
            <w:tcW w:w="850" w:type="dxa"/>
            <w:vAlign w:val="center"/>
          </w:tcPr>
          <w:p w:rsidR="00D3726B" w:rsidRDefault="00C85714">
            <w:pPr>
              <w:jc w:val="center"/>
            </w:pPr>
            <w:r>
              <w:rPr>
                <w:color w:val="000000"/>
                <w:sz w:val="24"/>
              </w:rPr>
              <w:t>7</w:t>
            </w:r>
          </w:p>
        </w:tc>
        <w:tc>
          <w:tcPr>
            <w:tcW w:w="1327" w:type="dxa"/>
            <w:vAlign w:val="center"/>
          </w:tcPr>
          <w:p w:rsidR="00D3726B" w:rsidRDefault="00C85714">
            <w:pPr>
              <w:jc w:val="center"/>
            </w:pPr>
            <w:r>
              <w:rPr>
                <w:color w:val="000000"/>
                <w:sz w:val="24"/>
              </w:rPr>
              <w:t>600519</w:t>
            </w:r>
          </w:p>
        </w:tc>
        <w:tc>
          <w:tcPr>
            <w:tcW w:w="1769" w:type="dxa"/>
            <w:vAlign w:val="center"/>
          </w:tcPr>
          <w:p w:rsidR="00D3726B" w:rsidRDefault="00C85714">
            <w:pPr>
              <w:jc w:val="center"/>
            </w:pPr>
            <w:r>
              <w:rPr>
                <w:color w:val="000000"/>
                <w:sz w:val="24"/>
              </w:rPr>
              <w:t>贵州茅台</w:t>
            </w:r>
          </w:p>
        </w:tc>
        <w:tc>
          <w:tcPr>
            <w:tcW w:w="1327" w:type="dxa"/>
            <w:vAlign w:val="center"/>
          </w:tcPr>
          <w:p w:rsidR="00D3726B" w:rsidRDefault="00C85714">
            <w:pPr>
              <w:jc w:val="right"/>
            </w:pPr>
            <w:r>
              <w:rPr>
                <w:color w:val="000000"/>
                <w:sz w:val="24"/>
              </w:rPr>
              <w:t>20,000</w:t>
            </w:r>
          </w:p>
        </w:tc>
        <w:tc>
          <w:tcPr>
            <w:tcW w:w="1915" w:type="dxa"/>
            <w:vAlign w:val="center"/>
          </w:tcPr>
          <w:p w:rsidR="00D3726B" w:rsidRDefault="00C85714">
            <w:pPr>
              <w:jc w:val="right"/>
            </w:pPr>
            <w:r>
              <w:rPr>
                <w:color w:val="000000"/>
                <w:sz w:val="24"/>
              </w:rPr>
              <w:t>7,727,200.00</w:t>
            </w:r>
          </w:p>
        </w:tc>
        <w:tc>
          <w:tcPr>
            <w:tcW w:w="1680" w:type="dxa"/>
            <w:vAlign w:val="center"/>
          </w:tcPr>
          <w:p w:rsidR="00D3726B" w:rsidRDefault="00C85714">
            <w:pPr>
              <w:jc w:val="right"/>
            </w:pPr>
            <w:r>
              <w:rPr>
                <w:color w:val="000000"/>
                <w:sz w:val="24"/>
              </w:rPr>
              <w:t>1.08</w:t>
            </w:r>
          </w:p>
        </w:tc>
      </w:tr>
      <w:tr w:rsidR="00D3726B">
        <w:trPr>
          <w:jc w:val="center"/>
        </w:trPr>
        <w:tc>
          <w:tcPr>
            <w:tcW w:w="850" w:type="dxa"/>
            <w:vAlign w:val="center"/>
          </w:tcPr>
          <w:p w:rsidR="00D3726B" w:rsidRDefault="00C85714">
            <w:pPr>
              <w:jc w:val="center"/>
            </w:pPr>
            <w:r>
              <w:rPr>
                <w:color w:val="000000"/>
                <w:sz w:val="24"/>
              </w:rPr>
              <w:lastRenderedPageBreak/>
              <w:t>8</w:t>
            </w:r>
          </w:p>
        </w:tc>
        <w:tc>
          <w:tcPr>
            <w:tcW w:w="1327" w:type="dxa"/>
            <w:vAlign w:val="center"/>
          </w:tcPr>
          <w:p w:rsidR="00D3726B" w:rsidRDefault="00C85714">
            <w:pPr>
              <w:jc w:val="center"/>
            </w:pPr>
            <w:r>
              <w:rPr>
                <w:color w:val="000000"/>
                <w:sz w:val="24"/>
              </w:rPr>
              <w:t>000921</w:t>
            </w:r>
          </w:p>
        </w:tc>
        <w:tc>
          <w:tcPr>
            <w:tcW w:w="1769" w:type="dxa"/>
            <w:vAlign w:val="center"/>
          </w:tcPr>
          <w:p w:rsidR="00D3726B" w:rsidRDefault="00C85714">
            <w:pPr>
              <w:jc w:val="center"/>
            </w:pPr>
            <w:r>
              <w:rPr>
                <w:color w:val="000000"/>
                <w:sz w:val="24"/>
              </w:rPr>
              <w:t>海信科龙</w:t>
            </w:r>
          </w:p>
        </w:tc>
        <w:tc>
          <w:tcPr>
            <w:tcW w:w="1327" w:type="dxa"/>
            <w:vAlign w:val="center"/>
          </w:tcPr>
          <w:p w:rsidR="00D3726B" w:rsidRDefault="00C85714">
            <w:pPr>
              <w:jc w:val="right"/>
            </w:pPr>
            <w:r>
              <w:rPr>
                <w:color w:val="000000"/>
                <w:sz w:val="24"/>
              </w:rPr>
              <w:t>400,000</w:t>
            </w:r>
          </w:p>
        </w:tc>
        <w:tc>
          <w:tcPr>
            <w:tcW w:w="1915" w:type="dxa"/>
            <w:vAlign w:val="center"/>
          </w:tcPr>
          <w:p w:rsidR="00D3726B" w:rsidRDefault="00C85714">
            <w:pPr>
              <w:jc w:val="right"/>
            </w:pPr>
            <w:r>
              <w:rPr>
                <w:color w:val="000000"/>
                <w:sz w:val="24"/>
              </w:rPr>
              <w:t>5,684,000.00</w:t>
            </w:r>
          </w:p>
        </w:tc>
        <w:tc>
          <w:tcPr>
            <w:tcW w:w="1680" w:type="dxa"/>
            <w:vAlign w:val="center"/>
          </w:tcPr>
          <w:p w:rsidR="00D3726B" w:rsidRDefault="00C85714">
            <w:pPr>
              <w:jc w:val="right"/>
            </w:pPr>
            <w:r>
              <w:rPr>
                <w:color w:val="000000"/>
                <w:sz w:val="24"/>
              </w:rPr>
              <w:t>0.79</w:t>
            </w:r>
          </w:p>
        </w:tc>
      </w:tr>
      <w:tr w:rsidR="00D3726B">
        <w:trPr>
          <w:jc w:val="center"/>
        </w:trPr>
        <w:tc>
          <w:tcPr>
            <w:tcW w:w="850" w:type="dxa"/>
            <w:vAlign w:val="center"/>
          </w:tcPr>
          <w:p w:rsidR="00D3726B" w:rsidRDefault="00C85714">
            <w:pPr>
              <w:jc w:val="center"/>
            </w:pPr>
            <w:r>
              <w:rPr>
                <w:color w:val="000000"/>
                <w:sz w:val="24"/>
              </w:rPr>
              <w:t>9</w:t>
            </w:r>
          </w:p>
        </w:tc>
        <w:tc>
          <w:tcPr>
            <w:tcW w:w="1327" w:type="dxa"/>
            <w:vAlign w:val="center"/>
          </w:tcPr>
          <w:p w:rsidR="00D3726B" w:rsidRDefault="00C85714">
            <w:pPr>
              <w:jc w:val="center"/>
            </w:pPr>
            <w:r>
              <w:rPr>
                <w:color w:val="000000"/>
                <w:sz w:val="24"/>
              </w:rPr>
              <w:t>600056</w:t>
            </w:r>
          </w:p>
        </w:tc>
        <w:tc>
          <w:tcPr>
            <w:tcW w:w="1769" w:type="dxa"/>
            <w:vAlign w:val="center"/>
          </w:tcPr>
          <w:p w:rsidR="00D3726B" w:rsidRDefault="00C85714">
            <w:pPr>
              <w:jc w:val="center"/>
            </w:pPr>
            <w:r>
              <w:rPr>
                <w:color w:val="000000"/>
                <w:sz w:val="24"/>
              </w:rPr>
              <w:t>中国医药</w:t>
            </w:r>
          </w:p>
        </w:tc>
        <w:tc>
          <w:tcPr>
            <w:tcW w:w="1327" w:type="dxa"/>
            <w:vAlign w:val="center"/>
          </w:tcPr>
          <w:p w:rsidR="00D3726B" w:rsidRDefault="00C85714">
            <w:pPr>
              <w:jc w:val="right"/>
            </w:pPr>
            <w:r>
              <w:rPr>
                <w:color w:val="000000"/>
                <w:sz w:val="24"/>
              </w:rPr>
              <w:t>189,988</w:t>
            </w:r>
          </w:p>
        </w:tc>
        <w:tc>
          <w:tcPr>
            <w:tcW w:w="1915" w:type="dxa"/>
            <w:vAlign w:val="center"/>
          </w:tcPr>
          <w:p w:rsidR="00D3726B" w:rsidRDefault="00C85714">
            <w:pPr>
              <w:jc w:val="right"/>
            </w:pPr>
            <w:r>
              <w:rPr>
                <w:color w:val="000000"/>
                <w:sz w:val="24"/>
              </w:rPr>
              <w:t>4,491,316.32</w:t>
            </w:r>
          </w:p>
        </w:tc>
        <w:tc>
          <w:tcPr>
            <w:tcW w:w="1680" w:type="dxa"/>
            <w:vAlign w:val="center"/>
          </w:tcPr>
          <w:p w:rsidR="00D3726B" w:rsidRDefault="00C85714">
            <w:pPr>
              <w:jc w:val="right"/>
            </w:pPr>
            <w:r>
              <w:rPr>
                <w:color w:val="000000"/>
                <w:sz w:val="24"/>
              </w:rPr>
              <w:t>0.63</w:t>
            </w:r>
          </w:p>
        </w:tc>
      </w:tr>
      <w:tr w:rsidR="00D3726B">
        <w:trPr>
          <w:jc w:val="center"/>
        </w:trPr>
        <w:tc>
          <w:tcPr>
            <w:tcW w:w="850" w:type="dxa"/>
            <w:vAlign w:val="center"/>
          </w:tcPr>
          <w:p w:rsidR="00D3726B" w:rsidRDefault="00C85714">
            <w:pPr>
              <w:jc w:val="center"/>
            </w:pPr>
            <w:r>
              <w:rPr>
                <w:color w:val="000000"/>
                <w:sz w:val="24"/>
              </w:rPr>
              <w:t>10</w:t>
            </w:r>
          </w:p>
        </w:tc>
        <w:tc>
          <w:tcPr>
            <w:tcW w:w="1327" w:type="dxa"/>
            <w:vAlign w:val="center"/>
          </w:tcPr>
          <w:p w:rsidR="00D3726B" w:rsidRDefault="00C85714">
            <w:pPr>
              <w:jc w:val="center"/>
            </w:pPr>
            <w:r>
              <w:rPr>
                <w:color w:val="000000"/>
                <w:sz w:val="24"/>
              </w:rPr>
              <w:t>601939</w:t>
            </w:r>
          </w:p>
        </w:tc>
        <w:tc>
          <w:tcPr>
            <w:tcW w:w="1769" w:type="dxa"/>
            <w:vAlign w:val="center"/>
          </w:tcPr>
          <w:p w:rsidR="00D3726B" w:rsidRDefault="00C85714">
            <w:pPr>
              <w:jc w:val="center"/>
            </w:pPr>
            <w:r>
              <w:rPr>
                <w:color w:val="000000"/>
                <w:sz w:val="24"/>
              </w:rPr>
              <w:t>建设银行</w:t>
            </w:r>
          </w:p>
        </w:tc>
        <w:tc>
          <w:tcPr>
            <w:tcW w:w="1327" w:type="dxa"/>
            <w:vAlign w:val="center"/>
          </w:tcPr>
          <w:p w:rsidR="00D3726B" w:rsidRDefault="00C85714">
            <w:pPr>
              <w:jc w:val="right"/>
            </w:pPr>
            <w:r>
              <w:rPr>
                <w:color w:val="000000"/>
                <w:sz w:val="24"/>
              </w:rPr>
              <w:t>700,000</w:t>
            </w:r>
          </w:p>
        </w:tc>
        <w:tc>
          <w:tcPr>
            <w:tcW w:w="1915" w:type="dxa"/>
            <w:vAlign w:val="center"/>
          </w:tcPr>
          <w:p w:rsidR="00D3726B" w:rsidRDefault="00C85714">
            <w:pPr>
              <w:jc w:val="right"/>
            </w:pPr>
            <w:r>
              <w:rPr>
                <w:color w:val="000000"/>
                <w:sz w:val="24"/>
              </w:rPr>
              <w:t>4,158,000.00</w:t>
            </w:r>
          </w:p>
        </w:tc>
        <w:tc>
          <w:tcPr>
            <w:tcW w:w="1680" w:type="dxa"/>
            <w:vAlign w:val="center"/>
          </w:tcPr>
          <w:p w:rsidR="00D3726B" w:rsidRDefault="00C85714">
            <w:pPr>
              <w:jc w:val="right"/>
            </w:pPr>
            <w:r>
              <w:rPr>
                <w:color w:val="000000"/>
                <w:sz w:val="24"/>
              </w:rPr>
              <w:t>0.58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35,792,400.00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46,415,000.00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46,415,000.00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6.49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1,953,200.00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308,992,000.00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43.20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90,019,000.00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12.59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3,478,000.00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0.49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87,439,000.00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12.22</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574,088,600.00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80.26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3726B">
        <w:trPr>
          <w:jc w:val="center"/>
        </w:trPr>
        <w:tc>
          <w:tcPr>
            <w:tcW w:w="1075" w:type="dxa"/>
            <w:vAlign w:val="center"/>
          </w:tcPr>
          <w:p w:rsidR="00D3726B" w:rsidRDefault="00C85714">
            <w:pPr>
              <w:jc w:val="center"/>
            </w:pPr>
            <w:r>
              <w:rPr>
                <w:color w:val="000000"/>
                <w:sz w:val="24"/>
              </w:rPr>
              <w:t>1</w:t>
            </w:r>
          </w:p>
        </w:tc>
        <w:tc>
          <w:tcPr>
            <w:tcW w:w="1533" w:type="dxa"/>
            <w:vAlign w:val="center"/>
          </w:tcPr>
          <w:p w:rsidR="00D3726B" w:rsidRDefault="00C85714">
            <w:pPr>
              <w:jc w:val="center"/>
            </w:pPr>
            <w:r>
              <w:rPr>
                <w:color w:val="000000"/>
                <w:sz w:val="24"/>
              </w:rPr>
              <w:t>160210</w:t>
            </w:r>
          </w:p>
        </w:tc>
        <w:tc>
          <w:tcPr>
            <w:tcW w:w="1533" w:type="dxa"/>
            <w:vAlign w:val="center"/>
          </w:tcPr>
          <w:p w:rsidR="00D3726B" w:rsidRDefault="00C85714">
            <w:pPr>
              <w:jc w:val="center"/>
            </w:pPr>
            <w:r>
              <w:rPr>
                <w:color w:val="000000"/>
                <w:sz w:val="24"/>
              </w:rPr>
              <w:t>16</w:t>
            </w:r>
            <w:r>
              <w:rPr>
                <w:color w:val="000000"/>
                <w:sz w:val="24"/>
              </w:rPr>
              <w:t>国开</w:t>
            </w:r>
            <w:r>
              <w:rPr>
                <w:color w:val="000000"/>
                <w:sz w:val="24"/>
              </w:rPr>
              <w:t>10</w:t>
            </w:r>
          </w:p>
        </w:tc>
        <w:tc>
          <w:tcPr>
            <w:tcW w:w="1394" w:type="dxa"/>
            <w:vAlign w:val="center"/>
          </w:tcPr>
          <w:p w:rsidR="00D3726B" w:rsidRDefault="00C85714">
            <w:pPr>
              <w:jc w:val="right"/>
            </w:pPr>
            <w:r>
              <w:rPr>
                <w:color w:val="000000"/>
                <w:sz w:val="24"/>
              </w:rPr>
              <w:t>500,000</w:t>
            </w:r>
          </w:p>
        </w:tc>
        <w:tc>
          <w:tcPr>
            <w:tcW w:w="1944" w:type="dxa"/>
            <w:vAlign w:val="center"/>
          </w:tcPr>
          <w:p w:rsidR="00D3726B" w:rsidRDefault="00C85714">
            <w:pPr>
              <w:jc w:val="right"/>
            </w:pPr>
            <w:r>
              <w:rPr>
                <w:color w:val="000000"/>
                <w:sz w:val="24"/>
              </w:rPr>
              <w:t>46,415,000.00</w:t>
            </w:r>
          </w:p>
        </w:tc>
        <w:tc>
          <w:tcPr>
            <w:tcW w:w="1389" w:type="dxa"/>
            <w:vAlign w:val="center"/>
          </w:tcPr>
          <w:p w:rsidR="00D3726B" w:rsidRDefault="00C85714">
            <w:pPr>
              <w:jc w:val="right"/>
            </w:pPr>
            <w:r>
              <w:rPr>
                <w:color w:val="000000"/>
                <w:sz w:val="24"/>
              </w:rPr>
              <w:t>6.49</w:t>
            </w:r>
          </w:p>
        </w:tc>
      </w:tr>
      <w:tr w:rsidR="00D3726B">
        <w:trPr>
          <w:jc w:val="center"/>
        </w:trPr>
        <w:tc>
          <w:tcPr>
            <w:tcW w:w="1075" w:type="dxa"/>
            <w:vAlign w:val="center"/>
          </w:tcPr>
          <w:p w:rsidR="00D3726B" w:rsidRDefault="00C85714">
            <w:pPr>
              <w:jc w:val="center"/>
            </w:pPr>
            <w:r>
              <w:rPr>
                <w:color w:val="000000"/>
                <w:sz w:val="24"/>
              </w:rPr>
              <w:t>2</w:t>
            </w:r>
          </w:p>
        </w:tc>
        <w:tc>
          <w:tcPr>
            <w:tcW w:w="1533" w:type="dxa"/>
            <w:vAlign w:val="center"/>
          </w:tcPr>
          <w:p w:rsidR="00D3726B" w:rsidRDefault="00C85714">
            <w:pPr>
              <w:jc w:val="center"/>
            </w:pPr>
            <w:r>
              <w:rPr>
                <w:color w:val="000000"/>
                <w:sz w:val="24"/>
              </w:rPr>
              <w:t>041658066</w:t>
            </w:r>
          </w:p>
        </w:tc>
        <w:tc>
          <w:tcPr>
            <w:tcW w:w="1533" w:type="dxa"/>
            <w:vAlign w:val="center"/>
          </w:tcPr>
          <w:p w:rsidR="00D3726B" w:rsidRDefault="00C85714">
            <w:pPr>
              <w:jc w:val="center"/>
            </w:pPr>
            <w:r>
              <w:rPr>
                <w:color w:val="000000"/>
                <w:sz w:val="24"/>
              </w:rPr>
              <w:t>16</w:t>
            </w:r>
            <w:r>
              <w:rPr>
                <w:color w:val="000000"/>
                <w:sz w:val="24"/>
              </w:rPr>
              <w:t>华能集</w:t>
            </w:r>
            <w:r>
              <w:rPr>
                <w:color w:val="000000"/>
                <w:sz w:val="24"/>
              </w:rPr>
              <w:t>CP003</w:t>
            </w:r>
          </w:p>
        </w:tc>
        <w:tc>
          <w:tcPr>
            <w:tcW w:w="1394" w:type="dxa"/>
            <w:vAlign w:val="center"/>
          </w:tcPr>
          <w:p w:rsidR="00D3726B" w:rsidRDefault="00C85714">
            <w:pPr>
              <w:jc w:val="right"/>
            </w:pPr>
            <w:r>
              <w:rPr>
                <w:color w:val="000000"/>
                <w:sz w:val="24"/>
              </w:rPr>
              <w:t>400,000</w:t>
            </w:r>
          </w:p>
        </w:tc>
        <w:tc>
          <w:tcPr>
            <w:tcW w:w="1944" w:type="dxa"/>
            <w:vAlign w:val="center"/>
          </w:tcPr>
          <w:p w:rsidR="00D3726B" w:rsidRDefault="00C85714">
            <w:pPr>
              <w:jc w:val="right"/>
            </w:pPr>
            <w:r>
              <w:rPr>
                <w:color w:val="000000"/>
                <w:sz w:val="24"/>
              </w:rPr>
              <w:t>39,764,000.00</w:t>
            </w:r>
          </w:p>
        </w:tc>
        <w:tc>
          <w:tcPr>
            <w:tcW w:w="1389" w:type="dxa"/>
            <w:vAlign w:val="center"/>
          </w:tcPr>
          <w:p w:rsidR="00D3726B" w:rsidRDefault="00C85714">
            <w:pPr>
              <w:jc w:val="right"/>
            </w:pPr>
            <w:r>
              <w:rPr>
                <w:color w:val="000000"/>
                <w:sz w:val="24"/>
              </w:rPr>
              <w:t>5.56</w:t>
            </w:r>
          </w:p>
        </w:tc>
      </w:tr>
      <w:tr w:rsidR="00D3726B">
        <w:trPr>
          <w:jc w:val="center"/>
        </w:trPr>
        <w:tc>
          <w:tcPr>
            <w:tcW w:w="1075" w:type="dxa"/>
            <w:vAlign w:val="center"/>
          </w:tcPr>
          <w:p w:rsidR="00D3726B" w:rsidRDefault="00C85714">
            <w:pPr>
              <w:jc w:val="center"/>
            </w:pPr>
            <w:r>
              <w:rPr>
                <w:color w:val="000000"/>
                <w:sz w:val="24"/>
              </w:rPr>
              <w:t>3</w:t>
            </w:r>
          </w:p>
        </w:tc>
        <w:tc>
          <w:tcPr>
            <w:tcW w:w="1533" w:type="dxa"/>
            <w:vAlign w:val="center"/>
          </w:tcPr>
          <w:p w:rsidR="00D3726B" w:rsidRDefault="00C85714">
            <w:pPr>
              <w:jc w:val="center"/>
            </w:pPr>
            <w:r>
              <w:rPr>
                <w:color w:val="000000"/>
                <w:sz w:val="24"/>
              </w:rPr>
              <w:t>1282189</w:t>
            </w:r>
          </w:p>
        </w:tc>
        <w:tc>
          <w:tcPr>
            <w:tcW w:w="1533" w:type="dxa"/>
            <w:vAlign w:val="center"/>
          </w:tcPr>
          <w:p w:rsidR="00D3726B" w:rsidRDefault="00C85714">
            <w:pPr>
              <w:jc w:val="center"/>
            </w:pPr>
            <w:r>
              <w:rPr>
                <w:color w:val="000000"/>
                <w:sz w:val="24"/>
              </w:rPr>
              <w:t>12</w:t>
            </w:r>
            <w:r>
              <w:rPr>
                <w:color w:val="000000"/>
                <w:sz w:val="24"/>
              </w:rPr>
              <w:t>中汽研</w:t>
            </w:r>
            <w:r>
              <w:rPr>
                <w:color w:val="000000"/>
                <w:sz w:val="24"/>
              </w:rPr>
              <w:t>MTN1</w:t>
            </w:r>
          </w:p>
        </w:tc>
        <w:tc>
          <w:tcPr>
            <w:tcW w:w="1394" w:type="dxa"/>
            <w:vAlign w:val="center"/>
          </w:tcPr>
          <w:p w:rsidR="00D3726B" w:rsidRDefault="00C85714">
            <w:pPr>
              <w:jc w:val="right"/>
            </w:pPr>
            <w:r>
              <w:rPr>
                <w:color w:val="000000"/>
                <w:sz w:val="24"/>
              </w:rPr>
              <w:t>300,000</w:t>
            </w:r>
          </w:p>
        </w:tc>
        <w:tc>
          <w:tcPr>
            <w:tcW w:w="1944" w:type="dxa"/>
            <w:vAlign w:val="center"/>
          </w:tcPr>
          <w:p w:rsidR="00D3726B" w:rsidRDefault="00C85714">
            <w:pPr>
              <w:jc w:val="right"/>
            </w:pPr>
            <w:r>
              <w:rPr>
                <w:color w:val="000000"/>
                <w:sz w:val="24"/>
              </w:rPr>
              <w:t>30,312,000.00</w:t>
            </w:r>
          </w:p>
        </w:tc>
        <w:tc>
          <w:tcPr>
            <w:tcW w:w="1389" w:type="dxa"/>
            <w:vAlign w:val="center"/>
          </w:tcPr>
          <w:p w:rsidR="00D3726B" w:rsidRDefault="00C85714">
            <w:pPr>
              <w:jc w:val="right"/>
            </w:pPr>
            <w:r>
              <w:rPr>
                <w:color w:val="000000"/>
                <w:sz w:val="24"/>
              </w:rPr>
              <w:t>4.24</w:t>
            </w:r>
          </w:p>
        </w:tc>
      </w:tr>
      <w:tr w:rsidR="00D3726B">
        <w:trPr>
          <w:jc w:val="center"/>
        </w:trPr>
        <w:tc>
          <w:tcPr>
            <w:tcW w:w="1075" w:type="dxa"/>
            <w:vAlign w:val="center"/>
          </w:tcPr>
          <w:p w:rsidR="00D3726B" w:rsidRDefault="00C85714">
            <w:pPr>
              <w:jc w:val="center"/>
            </w:pPr>
            <w:r>
              <w:rPr>
                <w:color w:val="000000"/>
                <w:sz w:val="24"/>
              </w:rPr>
              <w:t>4</w:t>
            </w:r>
          </w:p>
        </w:tc>
        <w:tc>
          <w:tcPr>
            <w:tcW w:w="1533" w:type="dxa"/>
            <w:vAlign w:val="center"/>
          </w:tcPr>
          <w:p w:rsidR="00D3726B" w:rsidRDefault="00C85714">
            <w:pPr>
              <w:jc w:val="center"/>
            </w:pPr>
            <w:r>
              <w:rPr>
                <w:color w:val="000000"/>
                <w:sz w:val="24"/>
              </w:rPr>
              <w:t>011698802</w:t>
            </w:r>
          </w:p>
        </w:tc>
        <w:tc>
          <w:tcPr>
            <w:tcW w:w="1533" w:type="dxa"/>
            <w:vAlign w:val="center"/>
          </w:tcPr>
          <w:p w:rsidR="00D3726B" w:rsidRDefault="00C85714">
            <w:pPr>
              <w:jc w:val="center"/>
            </w:pPr>
            <w:r>
              <w:rPr>
                <w:color w:val="000000"/>
                <w:sz w:val="24"/>
              </w:rPr>
              <w:t>16</w:t>
            </w:r>
            <w:r>
              <w:rPr>
                <w:color w:val="000000"/>
                <w:sz w:val="24"/>
              </w:rPr>
              <w:t>深圳航空</w:t>
            </w:r>
            <w:r>
              <w:rPr>
                <w:color w:val="000000"/>
                <w:sz w:val="24"/>
              </w:rPr>
              <w:t>SCP010</w:t>
            </w:r>
          </w:p>
        </w:tc>
        <w:tc>
          <w:tcPr>
            <w:tcW w:w="1394" w:type="dxa"/>
            <w:vAlign w:val="center"/>
          </w:tcPr>
          <w:p w:rsidR="00D3726B" w:rsidRDefault="00C85714">
            <w:pPr>
              <w:jc w:val="right"/>
            </w:pPr>
            <w:r>
              <w:rPr>
                <w:color w:val="000000"/>
                <w:sz w:val="24"/>
              </w:rPr>
              <w:t>300,000</w:t>
            </w:r>
          </w:p>
        </w:tc>
        <w:tc>
          <w:tcPr>
            <w:tcW w:w="1944" w:type="dxa"/>
            <w:vAlign w:val="center"/>
          </w:tcPr>
          <w:p w:rsidR="00D3726B" w:rsidRDefault="00C85714">
            <w:pPr>
              <w:jc w:val="right"/>
            </w:pPr>
            <w:r>
              <w:rPr>
                <w:color w:val="000000"/>
                <w:sz w:val="24"/>
              </w:rPr>
              <w:t>29,940,000.00</w:t>
            </w:r>
          </w:p>
        </w:tc>
        <w:tc>
          <w:tcPr>
            <w:tcW w:w="1389" w:type="dxa"/>
            <w:vAlign w:val="center"/>
          </w:tcPr>
          <w:p w:rsidR="00D3726B" w:rsidRDefault="00C85714">
            <w:pPr>
              <w:jc w:val="right"/>
            </w:pPr>
            <w:r>
              <w:rPr>
                <w:color w:val="000000"/>
                <w:sz w:val="24"/>
              </w:rPr>
              <w:t>4.19</w:t>
            </w:r>
          </w:p>
        </w:tc>
      </w:tr>
      <w:tr w:rsidR="00D3726B">
        <w:trPr>
          <w:jc w:val="center"/>
        </w:trPr>
        <w:tc>
          <w:tcPr>
            <w:tcW w:w="1075" w:type="dxa"/>
            <w:vAlign w:val="center"/>
          </w:tcPr>
          <w:p w:rsidR="00D3726B" w:rsidRDefault="00C85714">
            <w:pPr>
              <w:jc w:val="center"/>
            </w:pPr>
            <w:r>
              <w:rPr>
                <w:color w:val="000000"/>
                <w:sz w:val="24"/>
              </w:rPr>
              <w:t>5</w:t>
            </w:r>
          </w:p>
        </w:tc>
        <w:tc>
          <w:tcPr>
            <w:tcW w:w="1533" w:type="dxa"/>
            <w:vAlign w:val="center"/>
          </w:tcPr>
          <w:p w:rsidR="00D3726B" w:rsidRDefault="00C85714">
            <w:pPr>
              <w:jc w:val="center"/>
            </w:pPr>
            <w:r>
              <w:rPr>
                <w:color w:val="000000"/>
                <w:sz w:val="24"/>
              </w:rPr>
              <w:t>011698828</w:t>
            </w:r>
          </w:p>
        </w:tc>
        <w:tc>
          <w:tcPr>
            <w:tcW w:w="1533" w:type="dxa"/>
            <w:vAlign w:val="center"/>
          </w:tcPr>
          <w:p w:rsidR="00D3726B" w:rsidRDefault="00C85714">
            <w:pPr>
              <w:jc w:val="center"/>
            </w:pPr>
            <w:r>
              <w:rPr>
                <w:color w:val="000000"/>
                <w:sz w:val="24"/>
              </w:rPr>
              <w:t>16</w:t>
            </w:r>
            <w:r>
              <w:rPr>
                <w:color w:val="000000"/>
                <w:sz w:val="24"/>
              </w:rPr>
              <w:t>京汽集</w:t>
            </w:r>
            <w:r>
              <w:rPr>
                <w:color w:val="000000"/>
                <w:sz w:val="24"/>
              </w:rPr>
              <w:t>SCP003</w:t>
            </w:r>
          </w:p>
        </w:tc>
        <w:tc>
          <w:tcPr>
            <w:tcW w:w="1394" w:type="dxa"/>
            <w:vAlign w:val="center"/>
          </w:tcPr>
          <w:p w:rsidR="00D3726B" w:rsidRDefault="00C85714">
            <w:pPr>
              <w:jc w:val="right"/>
            </w:pPr>
            <w:r>
              <w:rPr>
                <w:color w:val="000000"/>
                <w:sz w:val="24"/>
              </w:rPr>
              <w:t>300,000</w:t>
            </w:r>
          </w:p>
        </w:tc>
        <w:tc>
          <w:tcPr>
            <w:tcW w:w="1944" w:type="dxa"/>
            <w:vAlign w:val="center"/>
          </w:tcPr>
          <w:p w:rsidR="00D3726B" w:rsidRDefault="00C85714">
            <w:pPr>
              <w:jc w:val="right"/>
            </w:pPr>
            <w:r>
              <w:rPr>
                <w:color w:val="000000"/>
                <w:sz w:val="24"/>
              </w:rPr>
              <w:t>29,916,000.00</w:t>
            </w:r>
          </w:p>
        </w:tc>
        <w:tc>
          <w:tcPr>
            <w:tcW w:w="1389" w:type="dxa"/>
            <w:vAlign w:val="center"/>
          </w:tcPr>
          <w:p w:rsidR="00D3726B" w:rsidRDefault="00C85714">
            <w:pPr>
              <w:jc w:val="right"/>
            </w:pPr>
            <w:r>
              <w:rPr>
                <w:color w:val="000000"/>
                <w:sz w:val="24"/>
              </w:rPr>
              <w:t>4.18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w:t>
      </w:r>
      <w:r w:rsidRPr="007F52FA">
        <w:rPr>
          <w:b/>
          <w:color w:val="000000"/>
          <w:kern w:val="0"/>
          <w:sz w:val="24"/>
        </w:rPr>
        <w:lastRenderedPageBreak/>
        <w:t>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58,564.70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2,808,919.66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7,644,982.08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1,198.20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10,513,664.64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lastRenderedPageBreak/>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450,311,391.46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179,853,469.51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95,378,069.43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75,525,702.86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31,870,669.67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102,248,128.53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513,818,791.22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153,131,043.84</w:t>
            </w:r>
          </w:p>
        </w:tc>
      </w:tr>
    </w:tbl>
    <w:p w:rsidR="00D3726B" w:rsidRDefault="00C8571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3135DA" w:rsidRPr="00B01B2B" w:rsidRDefault="003135DA" w:rsidP="003135DA">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B01B2B">
        <w:rPr>
          <w:rFonts w:eastAsiaTheme="minorEastAsia"/>
          <w:color w:val="000000" w:themeColor="text1"/>
          <w:kern w:val="0"/>
          <w:sz w:val="24"/>
          <w:szCs w:val="24"/>
        </w:rPr>
        <w:lastRenderedPageBreak/>
        <w:t xml:space="preserve">§8 </w:t>
      </w:r>
      <w:r w:rsidRPr="00B01B2B">
        <w:rPr>
          <w:rFonts w:eastAsiaTheme="minorEastAsia"/>
          <w:color w:val="000000" w:themeColor="text1"/>
          <w:kern w:val="0"/>
          <w:sz w:val="24"/>
          <w:szCs w:val="24"/>
        </w:rPr>
        <w:t>影响投资者决策的其他重要信息</w:t>
      </w:r>
    </w:p>
    <w:p w:rsidR="003135DA" w:rsidRPr="00B01B2B" w:rsidRDefault="003135DA" w:rsidP="003135DA">
      <w:pPr>
        <w:autoSpaceDE w:val="0"/>
        <w:autoSpaceDN w:val="0"/>
        <w:adjustRightInd w:val="0"/>
        <w:spacing w:line="360" w:lineRule="auto"/>
        <w:jc w:val="left"/>
        <w:rPr>
          <w:rFonts w:eastAsiaTheme="minorEastAsia"/>
          <w:b/>
          <w:bCs/>
          <w:color w:val="000000" w:themeColor="text1"/>
          <w:kern w:val="0"/>
          <w:sz w:val="24"/>
        </w:rPr>
      </w:pPr>
      <w:r w:rsidRPr="00B01B2B">
        <w:rPr>
          <w:rFonts w:eastAsiaTheme="minorEastAsia"/>
          <w:b/>
          <w:bCs/>
          <w:color w:val="000000" w:themeColor="text1"/>
          <w:kern w:val="0"/>
          <w:sz w:val="24"/>
        </w:rPr>
        <w:t>8.</w:t>
      </w:r>
      <w:r w:rsidRPr="00B01B2B">
        <w:rPr>
          <w:rFonts w:eastAsiaTheme="minorEastAsia" w:hint="eastAsia"/>
          <w:b/>
          <w:bCs/>
          <w:color w:val="000000" w:themeColor="text1"/>
          <w:kern w:val="0"/>
          <w:sz w:val="24"/>
        </w:rPr>
        <w:t xml:space="preserve">1 </w:t>
      </w:r>
      <w:r w:rsidRPr="00B01B2B">
        <w:rPr>
          <w:rFonts w:eastAsiaTheme="minorEastAsia" w:hint="eastAsia"/>
          <w:b/>
          <w:bCs/>
          <w:color w:val="000000" w:themeColor="text1"/>
          <w:kern w:val="0"/>
          <w:sz w:val="24"/>
        </w:rPr>
        <w:t>报告期内单一投资者持有基金份额比例达到或超过</w:t>
      </w:r>
      <w:r w:rsidRPr="00B01B2B">
        <w:rPr>
          <w:rFonts w:eastAsiaTheme="minorEastAsia" w:hint="eastAsia"/>
          <w:b/>
          <w:bCs/>
          <w:color w:val="000000" w:themeColor="text1"/>
          <w:kern w:val="0"/>
          <w:sz w:val="24"/>
        </w:rPr>
        <w:t>20%</w:t>
      </w:r>
      <w:r w:rsidRPr="00B01B2B">
        <w:rPr>
          <w:rFonts w:eastAsiaTheme="minorEastAsia" w:hint="eastAsia"/>
          <w:b/>
          <w:bCs/>
          <w:color w:val="000000" w:themeColor="text1"/>
          <w:kern w:val="0"/>
          <w:sz w:val="24"/>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3135DA" w:rsidRPr="00B01B2B" w:rsidTr="00DE2A46">
        <w:tc>
          <w:tcPr>
            <w:tcW w:w="993" w:type="dxa"/>
            <w:vMerge w:val="restart"/>
            <w:vAlign w:val="center"/>
          </w:tcPr>
          <w:bookmarkEnd w:id="0"/>
          <w:p w:rsidR="003135DA" w:rsidRPr="00B01B2B" w:rsidRDefault="003135DA" w:rsidP="00DE2A46">
            <w:pPr>
              <w:autoSpaceDE w:val="0"/>
              <w:autoSpaceDN w:val="0"/>
              <w:adjustRightInd w:val="0"/>
              <w:jc w:val="center"/>
              <w:rPr>
                <w:rFonts w:eastAsiaTheme="minorEastAsia"/>
                <w:b/>
                <w:bCs/>
                <w:color w:val="000000" w:themeColor="text1"/>
                <w:sz w:val="22"/>
                <w:szCs w:val="21"/>
              </w:rPr>
            </w:pPr>
            <w:r w:rsidRPr="00B01B2B">
              <w:rPr>
                <w:rFonts w:ascii="宋体" w:hAnsi="宋体" w:hint="eastAsia"/>
                <w:color w:val="000000"/>
                <w:sz w:val="24"/>
              </w:rPr>
              <w:t>投资者类别</w:t>
            </w:r>
            <w:r w:rsidRPr="00B01B2B">
              <w:rPr>
                <w:rFonts w:ascii="宋体" w:hAnsi="宋体"/>
                <w:color w:val="000000" w:themeColor="text1"/>
                <w:sz w:val="24"/>
              </w:rPr>
              <w:t xml:space="preserve">  </w:t>
            </w:r>
          </w:p>
        </w:tc>
        <w:tc>
          <w:tcPr>
            <w:tcW w:w="5670" w:type="dxa"/>
            <w:gridSpan w:val="5"/>
            <w:vAlign w:val="center"/>
          </w:tcPr>
          <w:p w:rsidR="003135DA" w:rsidRPr="00B01B2B" w:rsidRDefault="003135DA" w:rsidP="00DE2A46">
            <w:pPr>
              <w:autoSpaceDE w:val="0"/>
              <w:autoSpaceDN w:val="0"/>
              <w:adjustRightInd w:val="0"/>
              <w:jc w:val="center"/>
              <w:rPr>
                <w:rFonts w:eastAsiaTheme="minorEastAsia"/>
                <w:b/>
                <w:bCs/>
                <w:color w:val="000000" w:themeColor="text1"/>
                <w:sz w:val="22"/>
                <w:szCs w:val="21"/>
              </w:rPr>
            </w:pPr>
            <w:r w:rsidRPr="00B01B2B">
              <w:rPr>
                <w:rFonts w:ascii="宋体" w:hAnsi="宋体" w:hint="eastAsia"/>
                <w:color w:val="000000"/>
                <w:sz w:val="24"/>
              </w:rPr>
              <w:t>报告期内持有基金份额变化情况</w:t>
            </w:r>
          </w:p>
        </w:tc>
        <w:tc>
          <w:tcPr>
            <w:tcW w:w="2549" w:type="dxa"/>
            <w:gridSpan w:val="2"/>
            <w:vAlign w:val="center"/>
          </w:tcPr>
          <w:p w:rsidR="003135DA" w:rsidRPr="00B01B2B" w:rsidRDefault="003135DA" w:rsidP="00DE2A46">
            <w:pPr>
              <w:autoSpaceDE w:val="0"/>
              <w:autoSpaceDN w:val="0"/>
              <w:adjustRightInd w:val="0"/>
              <w:jc w:val="center"/>
              <w:rPr>
                <w:rFonts w:eastAsiaTheme="minorEastAsia"/>
                <w:b/>
                <w:bCs/>
                <w:color w:val="000000" w:themeColor="text1"/>
                <w:sz w:val="22"/>
                <w:szCs w:val="21"/>
              </w:rPr>
            </w:pPr>
            <w:r w:rsidRPr="00B01B2B">
              <w:rPr>
                <w:rFonts w:ascii="宋体" w:hAnsi="宋体" w:hint="eastAsia"/>
                <w:color w:val="000000"/>
                <w:sz w:val="24"/>
              </w:rPr>
              <w:t>报告期末持有基金情况</w:t>
            </w:r>
          </w:p>
        </w:tc>
      </w:tr>
      <w:tr w:rsidR="003135DA" w:rsidRPr="00B01B2B" w:rsidTr="00DE2A46">
        <w:tc>
          <w:tcPr>
            <w:tcW w:w="993" w:type="dxa"/>
            <w:vMerge/>
            <w:vAlign w:val="center"/>
          </w:tcPr>
          <w:p w:rsidR="003135DA" w:rsidRPr="00B01B2B" w:rsidRDefault="003135DA" w:rsidP="00DE2A46">
            <w:pPr>
              <w:autoSpaceDE w:val="0"/>
              <w:autoSpaceDN w:val="0"/>
              <w:adjustRightInd w:val="0"/>
              <w:jc w:val="center"/>
              <w:rPr>
                <w:rFonts w:eastAsiaTheme="minorEastAsia"/>
                <w:b/>
                <w:bCs/>
                <w:color w:val="000000" w:themeColor="text1"/>
                <w:sz w:val="22"/>
                <w:szCs w:val="21"/>
              </w:rPr>
            </w:pPr>
          </w:p>
        </w:tc>
        <w:tc>
          <w:tcPr>
            <w:tcW w:w="992" w:type="dxa"/>
            <w:vAlign w:val="center"/>
          </w:tcPr>
          <w:p w:rsidR="003135DA" w:rsidRPr="00B01B2B" w:rsidRDefault="003135DA" w:rsidP="00DE2A46">
            <w:pPr>
              <w:autoSpaceDE w:val="0"/>
              <w:autoSpaceDN w:val="0"/>
              <w:adjustRightInd w:val="0"/>
              <w:jc w:val="center"/>
              <w:rPr>
                <w:rFonts w:eastAsiaTheme="minorEastAsia"/>
                <w:b/>
                <w:bCs/>
                <w:color w:val="000000" w:themeColor="text1"/>
                <w:sz w:val="22"/>
                <w:szCs w:val="21"/>
              </w:rPr>
            </w:pPr>
            <w:r w:rsidRPr="00B01B2B">
              <w:rPr>
                <w:rFonts w:ascii="宋体" w:hAnsi="宋体" w:hint="eastAsia"/>
                <w:color w:val="000000"/>
                <w:sz w:val="24"/>
              </w:rPr>
              <w:t>序号</w:t>
            </w:r>
          </w:p>
        </w:tc>
        <w:tc>
          <w:tcPr>
            <w:tcW w:w="1843" w:type="dxa"/>
            <w:vAlign w:val="center"/>
          </w:tcPr>
          <w:p w:rsidR="003135DA" w:rsidRPr="00B01B2B" w:rsidRDefault="003135DA" w:rsidP="00DE2A46">
            <w:pPr>
              <w:autoSpaceDE w:val="0"/>
              <w:autoSpaceDN w:val="0"/>
              <w:adjustRightInd w:val="0"/>
              <w:jc w:val="center"/>
              <w:rPr>
                <w:rFonts w:eastAsiaTheme="minorEastAsia"/>
                <w:b/>
                <w:bCs/>
                <w:color w:val="000000" w:themeColor="text1"/>
                <w:sz w:val="22"/>
                <w:szCs w:val="21"/>
              </w:rPr>
            </w:pPr>
            <w:r w:rsidRPr="00B01B2B">
              <w:rPr>
                <w:rFonts w:ascii="宋体" w:hAnsi="宋体" w:hint="eastAsia"/>
                <w:color w:val="000000"/>
                <w:sz w:val="24"/>
              </w:rPr>
              <w:t>持有基金份额比例达到或者超过20%的时间区间</w:t>
            </w:r>
          </w:p>
        </w:tc>
        <w:tc>
          <w:tcPr>
            <w:tcW w:w="851" w:type="dxa"/>
            <w:vAlign w:val="center"/>
          </w:tcPr>
          <w:p w:rsidR="003135DA" w:rsidRPr="00B01B2B" w:rsidRDefault="003135DA" w:rsidP="00DE2A46">
            <w:pPr>
              <w:widowControl/>
              <w:jc w:val="center"/>
              <w:rPr>
                <w:rFonts w:eastAsiaTheme="minorEastAsia"/>
                <w:b/>
                <w:bCs/>
                <w:color w:val="000000" w:themeColor="text1"/>
                <w:sz w:val="22"/>
                <w:szCs w:val="21"/>
              </w:rPr>
            </w:pPr>
            <w:r w:rsidRPr="00B01B2B">
              <w:rPr>
                <w:rFonts w:ascii="宋体" w:hAnsi="宋体" w:hint="eastAsia"/>
                <w:color w:val="000000"/>
                <w:sz w:val="24"/>
              </w:rPr>
              <w:t>期初份额</w:t>
            </w:r>
          </w:p>
        </w:tc>
        <w:tc>
          <w:tcPr>
            <w:tcW w:w="850" w:type="dxa"/>
            <w:vAlign w:val="center"/>
          </w:tcPr>
          <w:p w:rsidR="003135DA" w:rsidRPr="00B01B2B" w:rsidRDefault="003135DA" w:rsidP="00DE2A46">
            <w:pPr>
              <w:widowControl/>
              <w:jc w:val="center"/>
              <w:rPr>
                <w:rFonts w:eastAsiaTheme="minorEastAsia"/>
                <w:b/>
                <w:bCs/>
                <w:color w:val="000000" w:themeColor="text1"/>
                <w:sz w:val="22"/>
                <w:szCs w:val="21"/>
              </w:rPr>
            </w:pPr>
            <w:r w:rsidRPr="00B01B2B">
              <w:rPr>
                <w:rFonts w:ascii="宋体" w:hAnsi="宋体" w:hint="eastAsia"/>
                <w:color w:val="000000"/>
                <w:sz w:val="24"/>
              </w:rPr>
              <w:t>申购份额</w:t>
            </w:r>
          </w:p>
        </w:tc>
        <w:tc>
          <w:tcPr>
            <w:tcW w:w="1134" w:type="dxa"/>
            <w:vAlign w:val="center"/>
          </w:tcPr>
          <w:p w:rsidR="003135DA" w:rsidRPr="00B01B2B" w:rsidRDefault="003135DA" w:rsidP="00DE2A46">
            <w:pPr>
              <w:widowControl/>
              <w:jc w:val="center"/>
              <w:rPr>
                <w:rFonts w:eastAsiaTheme="minorEastAsia"/>
                <w:b/>
                <w:bCs/>
                <w:color w:val="000000" w:themeColor="text1"/>
                <w:sz w:val="22"/>
                <w:szCs w:val="21"/>
              </w:rPr>
            </w:pPr>
            <w:r w:rsidRPr="00B01B2B">
              <w:rPr>
                <w:rFonts w:ascii="宋体" w:hAnsi="宋体" w:hint="eastAsia"/>
                <w:color w:val="000000"/>
                <w:sz w:val="24"/>
              </w:rPr>
              <w:t>赎回份额</w:t>
            </w:r>
          </w:p>
        </w:tc>
        <w:tc>
          <w:tcPr>
            <w:tcW w:w="1419" w:type="dxa"/>
            <w:vAlign w:val="center"/>
          </w:tcPr>
          <w:p w:rsidR="003135DA" w:rsidRPr="00B01B2B" w:rsidRDefault="003135DA" w:rsidP="00DE2A46">
            <w:pPr>
              <w:autoSpaceDE w:val="0"/>
              <w:autoSpaceDN w:val="0"/>
              <w:adjustRightInd w:val="0"/>
              <w:jc w:val="center"/>
              <w:rPr>
                <w:rFonts w:eastAsiaTheme="minorEastAsia"/>
                <w:b/>
                <w:bCs/>
                <w:color w:val="000000" w:themeColor="text1"/>
                <w:sz w:val="22"/>
                <w:szCs w:val="21"/>
              </w:rPr>
            </w:pPr>
            <w:r w:rsidRPr="00B01B2B">
              <w:rPr>
                <w:rFonts w:ascii="宋体" w:hAnsi="宋体" w:hint="eastAsia"/>
                <w:color w:val="000000"/>
                <w:sz w:val="24"/>
              </w:rPr>
              <w:t>持有份额</w:t>
            </w:r>
          </w:p>
        </w:tc>
        <w:tc>
          <w:tcPr>
            <w:tcW w:w="1130" w:type="dxa"/>
            <w:vAlign w:val="center"/>
          </w:tcPr>
          <w:p w:rsidR="003135DA" w:rsidRPr="00B01B2B" w:rsidRDefault="003135DA" w:rsidP="00DE2A46">
            <w:pPr>
              <w:autoSpaceDE w:val="0"/>
              <w:autoSpaceDN w:val="0"/>
              <w:adjustRightInd w:val="0"/>
              <w:jc w:val="center"/>
              <w:rPr>
                <w:rFonts w:eastAsiaTheme="minorEastAsia"/>
                <w:b/>
                <w:bCs/>
                <w:color w:val="000000" w:themeColor="text1"/>
                <w:sz w:val="22"/>
                <w:szCs w:val="21"/>
              </w:rPr>
            </w:pPr>
            <w:r w:rsidRPr="00B01B2B">
              <w:rPr>
                <w:rFonts w:ascii="宋体" w:hAnsi="宋体" w:hint="eastAsia"/>
                <w:color w:val="000000"/>
                <w:sz w:val="24"/>
              </w:rPr>
              <w:t>份额占比</w:t>
            </w:r>
          </w:p>
        </w:tc>
      </w:tr>
      <w:tr w:rsidR="003135DA" w:rsidRPr="00B01B2B" w:rsidTr="00DE2A46">
        <w:tc>
          <w:tcPr>
            <w:tcW w:w="993" w:type="dxa"/>
            <w:vMerge w:val="restart"/>
          </w:tcPr>
          <w:p w:rsidR="003135DA" w:rsidRPr="00B01B2B" w:rsidRDefault="003135DA" w:rsidP="00DE2A46">
            <w:pPr>
              <w:rPr>
                <w:sz w:val="22"/>
              </w:rPr>
            </w:pPr>
          </w:p>
          <w:p w:rsidR="003135DA" w:rsidRPr="00B01B2B" w:rsidRDefault="003135DA" w:rsidP="00DE2A46">
            <w:pPr>
              <w:rPr>
                <w:sz w:val="22"/>
              </w:rPr>
            </w:pPr>
            <w:r w:rsidRPr="00B01B2B">
              <w:rPr>
                <w:rFonts w:eastAsiaTheme="minorEastAsia" w:hint="eastAsia"/>
                <w:bCs/>
                <w:color w:val="000000" w:themeColor="text1"/>
                <w:sz w:val="22"/>
                <w:szCs w:val="21"/>
              </w:rPr>
              <w:t>机构</w:t>
            </w:r>
          </w:p>
        </w:tc>
        <w:tc>
          <w:tcPr>
            <w:tcW w:w="992" w:type="dxa"/>
            <w:vAlign w:val="center"/>
          </w:tcPr>
          <w:p w:rsidR="003135DA" w:rsidRPr="00B01B2B" w:rsidRDefault="003135DA" w:rsidP="00DE2A46">
            <w:pPr>
              <w:jc w:val="center"/>
              <w:rPr>
                <w:sz w:val="22"/>
              </w:rPr>
            </w:pPr>
            <w:r w:rsidRPr="00B01B2B">
              <w:rPr>
                <w:color w:val="000000"/>
                <w:sz w:val="24"/>
              </w:rPr>
              <w:t>1</w:t>
            </w:r>
          </w:p>
        </w:tc>
        <w:tc>
          <w:tcPr>
            <w:tcW w:w="1843" w:type="dxa"/>
            <w:vAlign w:val="center"/>
          </w:tcPr>
          <w:p w:rsidR="003135DA" w:rsidRPr="00B01B2B" w:rsidRDefault="003135DA" w:rsidP="00DE2A46">
            <w:pPr>
              <w:jc w:val="center"/>
              <w:rPr>
                <w:sz w:val="22"/>
              </w:rPr>
            </w:pPr>
            <w:r w:rsidRPr="00B01B2B">
              <w:rPr>
                <w:color w:val="000000"/>
                <w:sz w:val="24"/>
              </w:rPr>
              <w:t>2017/1/1-2017/3/31</w:t>
            </w:r>
          </w:p>
        </w:tc>
        <w:tc>
          <w:tcPr>
            <w:tcW w:w="851" w:type="dxa"/>
            <w:vAlign w:val="center"/>
          </w:tcPr>
          <w:p w:rsidR="003135DA" w:rsidRPr="00B01B2B" w:rsidRDefault="003135DA" w:rsidP="00DE2A46">
            <w:pPr>
              <w:jc w:val="center"/>
              <w:rPr>
                <w:sz w:val="22"/>
              </w:rPr>
            </w:pPr>
            <w:r w:rsidRPr="00B01B2B">
              <w:rPr>
                <w:color w:val="000000"/>
                <w:sz w:val="24"/>
              </w:rPr>
              <w:t>199,800,199.80</w:t>
            </w:r>
          </w:p>
        </w:tc>
        <w:tc>
          <w:tcPr>
            <w:tcW w:w="850" w:type="dxa"/>
            <w:vAlign w:val="center"/>
          </w:tcPr>
          <w:p w:rsidR="003135DA" w:rsidRPr="00B01B2B" w:rsidRDefault="003135DA" w:rsidP="00DE2A46">
            <w:pPr>
              <w:jc w:val="center"/>
              <w:rPr>
                <w:sz w:val="22"/>
              </w:rPr>
            </w:pPr>
            <w:r w:rsidRPr="00B01B2B">
              <w:rPr>
                <w:color w:val="000000"/>
                <w:sz w:val="24"/>
              </w:rPr>
              <w:t>-</w:t>
            </w:r>
          </w:p>
        </w:tc>
        <w:tc>
          <w:tcPr>
            <w:tcW w:w="1134" w:type="dxa"/>
            <w:vAlign w:val="center"/>
          </w:tcPr>
          <w:p w:rsidR="003135DA" w:rsidRPr="00B01B2B" w:rsidRDefault="003135DA" w:rsidP="00DE2A46">
            <w:pPr>
              <w:jc w:val="center"/>
              <w:rPr>
                <w:sz w:val="22"/>
              </w:rPr>
            </w:pPr>
            <w:r w:rsidRPr="00B01B2B">
              <w:rPr>
                <w:color w:val="000000"/>
                <w:sz w:val="24"/>
              </w:rPr>
              <w:t>-</w:t>
            </w:r>
          </w:p>
        </w:tc>
        <w:tc>
          <w:tcPr>
            <w:tcW w:w="1419" w:type="dxa"/>
            <w:vAlign w:val="center"/>
          </w:tcPr>
          <w:p w:rsidR="003135DA" w:rsidRPr="00B01B2B" w:rsidRDefault="003135DA" w:rsidP="00DE2A46">
            <w:pPr>
              <w:jc w:val="center"/>
              <w:rPr>
                <w:sz w:val="22"/>
              </w:rPr>
            </w:pPr>
            <w:r w:rsidRPr="00B01B2B">
              <w:rPr>
                <w:color w:val="000000"/>
                <w:sz w:val="24"/>
              </w:rPr>
              <w:t>199,800,199.80</w:t>
            </w:r>
          </w:p>
        </w:tc>
        <w:tc>
          <w:tcPr>
            <w:tcW w:w="1130" w:type="dxa"/>
            <w:vAlign w:val="center"/>
          </w:tcPr>
          <w:p w:rsidR="003135DA" w:rsidRPr="00B01B2B" w:rsidRDefault="003135DA" w:rsidP="00DE2A46">
            <w:pPr>
              <w:jc w:val="center"/>
              <w:rPr>
                <w:sz w:val="22"/>
              </w:rPr>
            </w:pPr>
            <w:r w:rsidRPr="00B01B2B">
              <w:rPr>
                <w:color w:val="000000"/>
                <w:sz w:val="24"/>
              </w:rPr>
              <w:t>29.96%</w:t>
            </w:r>
          </w:p>
        </w:tc>
      </w:tr>
      <w:tr w:rsidR="003135DA" w:rsidRPr="00B01B2B" w:rsidTr="00DE2A46">
        <w:tc>
          <w:tcPr>
            <w:tcW w:w="9212" w:type="dxa"/>
            <w:gridSpan w:val="8"/>
            <w:vAlign w:val="center"/>
          </w:tcPr>
          <w:p w:rsidR="003135DA" w:rsidRPr="00B01B2B" w:rsidRDefault="003135DA" w:rsidP="00DE2A46">
            <w:pPr>
              <w:autoSpaceDE w:val="0"/>
              <w:autoSpaceDN w:val="0"/>
              <w:adjustRightInd w:val="0"/>
              <w:jc w:val="center"/>
              <w:rPr>
                <w:sz w:val="24"/>
              </w:rPr>
            </w:pPr>
            <w:r w:rsidRPr="00B01B2B">
              <w:rPr>
                <w:color w:val="000000"/>
                <w:sz w:val="24"/>
              </w:rPr>
              <w:t>产品特有风险</w:t>
            </w:r>
          </w:p>
        </w:tc>
      </w:tr>
      <w:tr w:rsidR="003135DA" w:rsidRPr="00B01B2B" w:rsidTr="00DE2A46">
        <w:tc>
          <w:tcPr>
            <w:tcW w:w="9212" w:type="dxa"/>
            <w:gridSpan w:val="8"/>
            <w:vAlign w:val="center"/>
          </w:tcPr>
          <w:p w:rsidR="003135DA" w:rsidRPr="00B01B2B" w:rsidRDefault="003135DA" w:rsidP="00DE2A46">
            <w:pPr>
              <w:autoSpaceDE w:val="0"/>
              <w:autoSpaceDN w:val="0"/>
              <w:adjustRightInd w:val="0"/>
              <w:jc w:val="left"/>
              <w:rPr>
                <w:sz w:val="24"/>
              </w:rPr>
            </w:pPr>
            <w:r w:rsidRPr="00B01B2B">
              <w:rPr>
                <w:rFonts w:hint="eastAsia"/>
                <w:sz w:val="24"/>
              </w:rPr>
              <w:t>本基金本报告期内出现单一投资者持有基金份额比例超过基金总份额</w:t>
            </w:r>
            <w:r w:rsidRPr="00B01B2B">
              <w:rPr>
                <w:rFonts w:hint="eastAsia"/>
                <w:sz w:val="24"/>
              </w:rPr>
              <w:t>20%</w:t>
            </w:r>
            <w:r w:rsidRPr="00B01B2B">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F2646E" w:rsidRPr="00B01B2B" w:rsidRDefault="00F2646E" w:rsidP="007C14DF">
      <w:pPr>
        <w:autoSpaceDE w:val="0"/>
        <w:autoSpaceDN w:val="0"/>
        <w:adjustRightInd w:val="0"/>
        <w:spacing w:before="29" w:line="288" w:lineRule="auto"/>
        <w:jc w:val="left"/>
        <w:rPr>
          <w:rFonts w:eastAsiaTheme="minorEastAsia"/>
          <w:color w:val="000000"/>
          <w:sz w:val="28"/>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3135D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3135DA"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9</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3135DA"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9</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3135DA"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b/>
          <w:bCs/>
          <w:color w:val="000000"/>
          <w:kern w:val="0"/>
          <w:sz w:val="24"/>
        </w:rPr>
        <w:t>9</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3726B" w:rsidRDefault="00C85714">
      <w:pPr>
        <w:spacing w:before="29" w:line="288" w:lineRule="auto"/>
        <w:ind w:firstLineChars="200" w:firstLine="480"/>
        <w:rPr>
          <w:rFonts w:eastAsiaTheme="minorEastAsia"/>
          <w:color w:val="000000"/>
          <w:sz w:val="24"/>
        </w:rPr>
      </w:pPr>
      <w:r>
        <w:rPr>
          <w:rFonts w:eastAsiaTheme="minorEastAsia"/>
          <w:color w:val="000000"/>
          <w:sz w:val="24"/>
        </w:rPr>
        <w:lastRenderedPageBreak/>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552" w:rsidRDefault="00843552">
      <w:r>
        <w:separator/>
      </w:r>
    </w:p>
  </w:endnote>
  <w:endnote w:type="continuationSeparator" w:id="0">
    <w:p w:rsidR="00843552" w:rsidRDefault="0084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B01B2B">
      <w:rPr>
        <w:noProof/>
        <w:kern w:val="0"/>
        <w:szCs w:val="21"/>
      </w:rPr>
      <w:t>13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B01B2B">
      <w:rPr>
        <w:noProof/>
        <w:kern w:val="0"/>
        <w:szCs w:val="21"/>
      </w:rPr>
      <w:t>15</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552" w:rsidRDefault="00843552">
      <w:r>
        <w:separator/>
      </w:r>
    </w:p>
  </w:footnote>
  <w:footnote w:type="continuationSeparator" w:id="0">
    <w:p w:rsidR="00843552" w:rsidRDefault="00843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843552"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35DA"/>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4927"/>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1D45"/>
    <w:rsid w:val="00834CA6"/>
    <w:rsid w:val="0083579E"/>
    <w:rsid w:val="0083623B"/>
    <w:rsid w:val="00837861"/>
    <w:rsid w:val="00837E59"/>
    <w:rsid w:val="00842100"/>
    <w:rsid w:val="008428A9"/>
    <w:rsid w:val="0084308F"/>
    <w:rsid w:val="00843552"/>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1515"/>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1B2B"/>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5714"/>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26B"/>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3ECFD53E-A5EF-42E7-931B-A16F9715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1FB88-564B-4544-ABE4-80F2B1683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205</TotalTime>
  <Pages>1</Pages>
  <Words>1205</Words>
  <Characters>6870</Characters>
  <Application>Microsoft Office Word</Application>
  <DocSecurity>0</DocSecurity>
  <Lines>57</Lines>
  <Paragraphs>16</Paragraphs>
  <ScaleCrop>false</ScaleCrop>
  <Company>TRT. Ltd. Co.</Company>
  <LinksUpToDate>false</LinksUpToDate>
  <CharactersWithSpaces>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372</cp:revision>
  <cp:lastPrinted>2007-07-19T00:46:00Z</cp:lastPrinted>
  <dcterms:created xsi:type="dcterms:W3CDTF">2014-01-17T06:19:00Z</dcterms:created>
  <dcterms:modified xsi:type="dcterms:W3CDTF">2017-04-19T09:44:00Z</dcterms:modified>
</cp:coreProperties>
</file>