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4636" w:rsidRDefault="00245B7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1,067,379,817.34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87122" w:rsidRPr="00414345" w:rsidTr="00E8712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87122" w:rsidRPr="00414345" w:rsidTr="00E87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42,504,164.10</w:t>
            </w:r>
          </w:p>
        </w:tc>
      </w:tr>
      <w:tr w:rsidR="00E87122" w:rsidRPr="00414345" w:rsidTr="00E87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41,188,458.05</w:t>
            </w:r>
          </w:p>
        </w:tc>
      </w:tr>
      <w:tr w:rsidR="00E87122" w:rsidRPr="00414345" w:rsidTr="00E87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0.0352</w:t>
            </w:r>
          </w:p>
        </w:tc>
      </w:tr>
      <w:tr w:rsidR="00E87122" w:rsidRPr="00414345" w:rsidTr="00E87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1,139,357,098.59</w:t>
            </w:r>
          </w:p>
        </w:tc>
      </w:tr>
      <w:tr w:rsidR="00E87122" w:rsidRPr="00414345" w:rsidTr="00E8712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1.067</w:t>
            </w:r>
          </w:p>
        </w:tc>
      </w:tr>
    </w:tbl>
    <w:p w:rsidR="009E4636" w:rsidRDefault="00245B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4636">
        <w:trPr>
          <w:jc w:val="center"/>
        </w:trPr>
        <w:tc>
          <w:tcPr>
            <w:tcW w:w="1701" w:type="dxa"/>
            <w:vAlign w:val="center"/>
          </w:tcPr>
          <w:p w:rsidR="009E4636" w:rsidRDefault="00245B70">
            <w:pPr>
              <w:jc w:val="left"/>
            </w:pPr>
            <w:r>
              <w:rPr>
                <w:color w:val="000000"/>
                <w:sz w:val="24"/>
                <w:szCs w:val="24"/>
              </w:rPr>
              <w:t>过去三个月</w:t>
            </w:r>
          </w:p>
        </w:tc>
        <w:tc>
          <w:tcPr>
            <w:tcW w:w="1045" w:type="dxa"/>
            <w:vAlign w:val="center"/>
          </w:tcPr>
          <w:p w:rsidR="009E4636" w:rsidRDefault="00E87122">
            <w:pPr>
              <w:jc w:val="center"/>
            </w:pPr>
            <w:r>
              <w:rPr>
                <w:color w:val="000000"/>
                <w:sz w:val="24"/>
                <w:szCs w:val="24"/>
              </w:rPr>
              <w:t>3.1</w:t>
            </w:r>
            <w:r w:rsidR="00245B70">
              <w:rPr>
                <w:color w:val="000000"/>
                <w:sz w:val="24"/>
                <w:szCs w:val="24"/>
              </w:rPr>
              <w:t>9%</w:t>
            </w:r>
          </w:p>
        </w:tc>
        <w:tc>
          <w:tcPr>
            <w:tcW w:w="1344" w:type="dxa"/>
            <w:vAlign w:val="center"/>
          </w:tcPr>
          <w:p w:rsidR="009E4636" w:rsidRDefault="00245B70">
            <w:pPr>
              <w:jc w:val="center"/>
            </w:pPr>
            <w:r>
              <w:rPr>
                <w:color w:val="000000"/>
                <w:sz w:val="24"/>
                <w:szCs w:val="24"/>
              </w:rPr>
              <w:t>0.63%</w:t>
            </w:r>
          </w:p>
        </w:tc>
        <w:tc>
          <w:tcPr>
            <w:tcW w:w="1194" w:type="dxa"/>
            <w:vAlign w:val="center"/>
          </w:tcPr>
          <w:p w:rsidR="009E4636" w:rsidRDefault="00E87122">
            <w:pPr>
              <w:jc w:val="center"/>
            </w:pPr>
            <w:r>
              <w:rPr>
                <w:color w:val="000000"/>
                <w:sz w:val="24"/>
                <w:szCs w:val="24"/>
              </w:rPr>
              <w:t>2.59</w:t>
            </w:r>
            <w:r w:rsidR="00245B70">
              <w:rPr>
                <w:color w:val="000000"/>
                <w:sz w:val="24"/>
                <w:szCs w:val="24"/>
              </w:rPr>
              <w:t>%</w:t>
            </w:r>
          </w:p>
        </w:tc>
        <w:tc>
          <w:tcPr>
            <w:tcW w:w="1492" w:type="dxa"/>
            <w:vAlign w:val="center"/>
          </w:tcPr>
          <w:p w:rsidR="009E4636" w:rsidRDefault="00245B70">
            <w:pPr>
              <w:jc w:val="center"/>
            </w:pPr>
            <w:r>
              <w:rPr>
                <w:color w:val="000000"/>
                <w:sz w:val="24"/>
                <w:szCs w:val="24"/>
              </w:rPr>
              <w:t>0.31%</w:t>
            </w:r>
          </w:p>
        </w:tc>
        <w:tc>
          <w:tcPr>
            <w:tcW w:w="1194" w:type="dxa"/>
            <w:vAlign w:val="center"/>
          </w:tcPr>
          <w:p w:rsidR="009E4636" w:rsidRDefault="00E87122">
            <w:pPr>
              <w:jc w:val="center"/>
            </w:pPr>
            <w:r>
              <w:rPr>
                <w:color w:val="000000"/>
                <w:sz w:val="24"/>
                <w:szCs w:val="24"/>
              </w:rPr>
              <w:t>0.60</w:t>
            </w:r>
            <w:r w:rsidR="00245B70">
              <w:rPr>
                <w:color w:val="000000"/>
                <w:sz w:val="24"/>
                <w:szCs w:val="24"/>
              </w:rPr>
              <w:t>%</w:t>
            </w:r>
          </w:p>
        </w:tc>
        <w:tc>
          <w:tcPr>
            <w:tcW w:w="898" w:type="dxa"/>
            <w:vAlign w:val="center"/>
          </w:tcPr>
          <w:p w:rsidR="009E4636" w:rsidRDefault="00245B70">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4636">
        <w:trPr>
          <w:jc w:val="center"/>
        </w:trPr>
        <w:tc>
          <w:tcPr>
            <w:tcW w:w="846" w:type="dxa"/>
            <w:vAlign w:val="center"/>
          </w:tcPr>
          <w:p w:rsidR="009E4636" w:rsidRDefault="00245B70">
            <w:pPr>
              <w:jc w:val="center"/>
            </w:pPr>
            <w:r>
              <w:rPr>
                <w:color w:val="000000"/>
                <w:sz w:val="24"/>
                <w:szCs w:val="24"/>
              </w:rPr>
              <w:t>沈楠</w:t>
            </w:r>
          </w:p>
        </w:tc>
        <w:tc>
          <w:tcPr>
            <w:tcW w:w="845" w:type="dxa"/>
            <w:vAlign w:val="center"/>
          </w:tcPr>
          <w:p w:rsidR="009E4636" w:rsidRDefault="00245B70">
            <w:pPr>
              <w:jc w:val="center"/>
            </w:pPr>
            <w:r>
              <w:rPr>
                <w:color w:val="000000"/>
                <w:sz w:val="24"/>
                <w:szCs w:val="24"/>
              </w:rPr>
              <w:t>交银主题优选混合、交银国企改革灵活配置混合的基金经理</w:t>
            </w:r>
          </w:p>
        </w:tc>
        <w:tc>
          <w:tcPr>
            <w:tcW w:w="1549" w:type="dxa"/>
            <w:vAlign w:val="center"/>
          </w:tcPr>
          <w:p w:rsidR="009E4636" w:rsidRDefault="00245B70">
            <w:pPr>
              <w:jc w:val="center"/>
            </w:pPr>
            <w:r>
              <w:rPr>
                <w:color w:val="000000"/>
                <w:sz w:val="24"/>
                <w:szCs w:val="24"/>
              </w:rPr>
              <w:t>2015-06-10</w:t>
            </w:r>
          </w:p>
        </w:tc>
        <w:tc>
          <w:tcPr>
            <w:tcW w:w="1548" w:type="dxa"/>
            <w:vAlign w:val="center"/>
          </w:tcPr>
          <w:p w:rsidR="009E4636" w:rsidRDefault="00245B70">
            <w:pPr>
              <w:jc w:val="center"/>
            </w:pPr>
            <w:r>
              <w:rPr>
                <w:color w:val="000000"/>
                <w:sz w:val="24"/>
                <w:szCs w:val="24"/>
              </w:rPr>
              <w:t>-</w:t>
            </w:r>
          </w:p>
        </w:tc>
        <w:tc>
          <w:tcPr>
            <w:tcW w:w="1407" w:type="dxa"/>
            <w:vAlign w:val="center"/>
          </w:tcPr>
          <w:p w:rsidR="009E4636" w:rsidRDefault="00245B70">
            <w:pPr>
              <w:jc w:val="center"/>
            </w:pPr>
            <w:r>
              <w:rPr>
                <w:color w:val="000000"/>
                <w:sz w:val="24"/>
                <w:szCs w:val="24"/>
              </w:rPr>
              <w:t>8</w:t>
            </w:r>
            <w:r>
              <w:rPr>
                <w:color w:val="000000"/>
                <w:sz w:val="24"/>
                <w:szCs w:val="24"/>
              </w:rPr>
              <w:t>年</w:t>
            </w:r>
          </w:p>
        </w:tc>
        <w:tc>
          <w:tcPr>
            <w:tcW w:w="2673" w:type="dxa"/>
            <w:vAlign w:val="center"/>
          </w:tcPr>
          <w:p w:rsidR="009E4636" w:rsidRDefault="00245B70">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4636" w:rsidRDefault="00245B7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E4636" w:rsidRDefault="00245B7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E4636" w:rsidRDefault="00245B7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4636" w:rsidRDefault="00245B70">
      <w:pPr>
        <w:spacing w:before="29" w:line="288" w:lineRule="auto"/>
        <w:ind w:firstLineChars="200" w:firstLine="480"/>
        <w:rPr>
          <w:color w:val="000000"/>
          <w:sz w:val="24"/>
          <w:szCs w:val="24"/>
        </w:rPr>
      </w:pPr>
      <w:r>
        <w:rPr>
          <w:color w:val="000000"/>
          <w:sz w:val="24"/>
          <w:szCs w:val="24"/>
        </w:rPr>
        <w:t>2017</w:t>
      </w:r>
      <w:r>
        <w:rPr>
          <w:color w:val="000000"/>
          <w:sz w:val="24"/>
          <w:szCs w:val="24"/>
        </w:rPr>
        <w:t>年，伴随全球复苏中国经济稳步增长，通胀预期逐渐升温，部分地区房地产市场过热引发地产结构性调控加码。尽管汇率市场整体平稳，但金融体系去杠杆延续，对国内流动性和债券市场产生一定扰动。</w:t>
      </w:r>
    </w:p>
    <w:p w:rsidR="009E4636" w:rsidRDefault="00245B70">
      <w:pPr>
        <w:spacing w:before="29" w:line="288" w:lineRule="auto"/>
        <w:ind w:firstLineChars="200" w:firstLine="480"/>
        <w:rPr>
          <w:color w:val="000000"/>
          <w:sz w:val="24"/>
          <w:szCs w:val="24"/>
        </w:rPr>
      </w:pPr>
      <w:r>
        <w:rPr>
          <w:color w:val="000000"/>
          <w:sz w:val="24"/>
          <w:szCs w:val="24"/>
        </w:rPr>
        <w:t>中央进一步出台员工持股计划等国企改革方案实施意见，部分地区如山东、山西也大力推进地方国有企业改革。我们认为目前市场对改革的预期仍然有待升温，未来随着各地陆续推出相关改革方案，市场有望更聚焦于传统国企混改后的效率提升层面。我们对于市场上改革主题的投资继续持有乐观看法。</w:t>
      </w:r>
    </w:p>
    <w:p w:rsidR="009E4636" w:rsidRDefault="00245B70">
      <w:pPr>
        <w:spacing w:before="29" w:line="288" w:lineRule="auto"/>
        <w:ind w:firstLineChars="200" w:firstLine="480"/>
        <w:rPr>
          <w:color w:val="000000"/>
          <w:sz w:val="24"/>
          <w:szCs w:val="24"/>
        </w:rPr>
      </w:pPr>
      <w:r>
        <w:rPr>
          <w:color w:val="000000"/>
          <w:sz w:val="24"/>
          <w:szCs w:val="24"/>
        </w:rPr>
        <w:t>2017</w:t>
      </w:r>
      <w:r>
        <w:rPr>
          <w:color w:val="000000"/>
          <w:sz w:val="24"/>
          <w:szCs w:val="24"/>
        </w:rPr>
        <w:t>年年初至今相关国企改革类上市公司股价有所回升，但大部分相对估值仍处于历史较低水平，因此整体基金保持中性略高仓位。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重点区域的改革试点值得重点关注，混改和员工持股计划的实施仍是核心看点。对于未来由于流动性带来的潜在市场调整，我们并不悲观，反而对整体市场保持积极的看法。本基金将综合判断潜在的改革试点突破口，更多投资于上市国有企业中管理出现积极变化、机制完善，加大投入和转型决心以及受益整体改革进程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1.067</w:t>
      </w:r>
      <w:r w:rsidRPr="00414345">
        <w:rPr>
          <w:color w:val="000000"/>
          <w:sz w:val="24"/>
          <w:szCs w:val="24"/>
        </w:rPr>
        <w:t>元，本报告期份额净值增长率为</w:t>
      </w:r>
      <w:r w:rsidR="00E87122">
        <w:rPr>
          <w:color w:val="000000"/>
          <w:sz w:val="24"/>
          <w:szCs w:val="24"/>
        </w:rPr>
        <w:t>3.1</w:t>
      </w:r>
      <w:r w:rsidRPr="00414345">
        <w:rPr>
          <w:color w:val="000000"/>
          <w:sz w:val="24"/>
          <w:szCs w:val="24"/>
        </w:rPr>
        <w:t>9%</w:t>
      </w:r>
      <w:r w:rsidRPr="00414345">
        <w:rPr>
          <w:color w:val="000000"/>
          <w:sz w:val="24"/>
          <w:szCs w:val="24"/>
        </w:rPr>
        <w:t>，同期业绩比较基准增长率为</w:t>
      </w:r>
      <w:r w:rsidR="00E87122">
        <w:rPr>
          <w:color w:val="000000"/>
          <w:sz w:val="24"/>
          <w:szCs w:val="24"/>
        </w:rPr>
        <w:t>2.59</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916,144,241.74</w:t>
            </w:r>
          </w:p>
        </w:tc>
        <w:tc>
          <w:tcPr>
            <w:tcW w:w="1837" w:type="dxa"/>
            <w:vAlign w:val="center"/>
          </w:tcPr>
          <w:p w:rsidR="00853140" w:rsidRPr="00414345" w:rsidRDefault="00836D4F" w:rsidP="00C15CAC">
            <w:pPr>
              <w:spacing w:before="29" w:line="288" w:lineRule="auto"/>
              <w:ind w:left="17"/>
              <w:jc w:val="right"/>
              <w:rPr>
                <w:color w:val="000000"/>
                <w:sz w:val="24"/>
                <w:szCs w:val="24"/>
              </w:rPr>
            </w:pPr>
            <w:r>
              <w:rPr>
                <w:color w:val="000000"/>
                <w:sz w:val="24"/>
                <w:szCs w:val="24"/>
              </w:rPr>
              <w:t>79.9</w:t>
            </w:r>
            <w:r w:rsidR="001675CD" w:rsidRPr="00414345">
              <w:rPr>
                <w:color w:val="000000"/>
                <w:sz w:val="24"/>
                <w:szCs w:val="24"/>
              </w:rPr>
              <w:t>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916,144,241.74</w:t>
            </w:r>
          </w:p>
        </w:tc>
        <w:tc>
          <w:tcPr>
            <w:tcW w:w="1837" w:type="dxa"/>
            <w:vAlign w:val="center"/>
          </w:tcPr>
          <w:p w:rsidR="00853140" w:rsidRPr="00414345" w:rsidRDefault="00836D4F" w:rsidP="00C15CAC">
            <w:pPr>
              <w:spacing w:before="29" w:line="288" w:lineRule="auto"/>
              <w:ind w:left="17"/>
              <w:jc w:val="right"/>
              <w:rPr>
                <w:color w:val="000000"/>
                <w:sz w:val="24"/>
                <w:szCs w:val="24"/>
              </w:rPr>
            </w:pPr>
            <w:r>
              <w:rPr>
                <w:color w:val="000000"/>
                <w:sz w:val="24"/>
                <w:szCs w:val="24"/>
              </w:rPr>
              <w:t>79.9</w:t>
            </w:r>
            <w:r w:rsidR="001675CD" w:rsidRPr="00414345">
              <w:rPr>
                <w:color w:val="000000"/>
                <w:sz w:val="24"/>
                <w:szCs w:val="24"/>
              </w:rPr>
              <w:t>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59,854,000.00</w:t>
            </w:r>
          </w:p>
        </w:tc>
        <w:tc>
          <w:tcPr>
            <w:tcW w:w="1837" w:type="dxa"/>
            <w:vAlign w:val="center"/>
          </w:tcPr>
          <w:p w:rsidR="00853140" w:rsidRPr="00414345" w:rsidRDefault="00836D4F" w:rsidP="00C15CAC">
            <w:pPr>
              <w:spacing w:before="29" w:line="288" w:lineRule="auto"/>
              <w:ind w:left="17"/>
              <w:jc w:val="right"/>
              <w:rPr>
                <w:color w:val="000000"/>
                <w:sz w:val="24"/>
                <w:szCs w:val="24"/>
              </w:rPr>
            </w:pPr>
            <w:r>
              <w:rPr>
                <w:color w:val="000000"/>
                <w:sz w:val="24"/>
                <w:szCs w:val="24"/>
              </w:rPr>
              <w:t>5.22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59,854,000.00</w:t>
            </w:r>
          </w:p>
        </w:tc>
        <w:tc>
          <w:tcPr>
            <w:tcW w:w="1837" w:type="dxa"/>
            <w:vAlign w:val="center"/>
          </w:tcPr>
          <w:p w:rsidR="00853140" w:rsidRPr="00414345" w:rsidRDefault="00836D4F" w:rsidP="00C15CAC">
            <w:pPr>
              <w:spacing w:before="29" w:line="288" w:lineRule="auto"/>
              <w:ind w:left="17"/>
              <w:jc w:val="right"/>
              <w:rPr>
                <w:color w:val="000000"/>
                <w:sz w:val="24"/>
                <w:szCs w:val="24"/>
              </w:rPr>
            </w:pPr>
            <w:r>
              <w:rPr>
                <w:color w:val="000000"/>
                <w:sz w:val="24"/>
                <w:szCs w:val="24"/>
              </w:rPr>
              <w:t>5.22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113,678,122.91</w:t>
            </w:r>
          </w:p>
        </w:tc>
        <w:tc>
          <w:tcPr>
            <w:tcW w:w="1837" w:type="dxa"/>
            <w:vAlign w:val="center"/>
          </w:tcPr>
          <w:p w:rsidR="007D100C" w:rsidRPr="00414345" w:rsidRDefault="00836D4F" w:rsidP="00C15CAC">
            <w:pPr>
              <w:spacing w:before="29" w:line="288" w:lineRule="auto"/>
              <w:ind w:left="17"/>
              <w:jc w:val="right"/>
              <w:rPr>
                <w:color w:val="000000"/>
                <w:sz w:val="24"/>
                <w:szCs w:val="24"/>
              </w:rPr>
            </w:pPr>
            <w:r>
              <w:rPr>
                <w:color w:val="000000"/>
                <w:sz w:val="24"/>
                <w:szCs w:val="24"/>
              </w:rPr>
              <w:t>9.91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B12DD7" w:rsidP="00C15CAC">
            <w:pPr>
              <w:spacing w:before="29" w:line="288" w:lineRule="auto"/>
              <w:jc w:val="right"/>
              <w:rPr>
                <w:color w:val="000000"/>
                <w:sz w:val="24"/>
                <w:szCs w:val="24"/>
              </w:rPr>
            </w:pPr>
            <w:r w:rsidRPr="00B12DD7">
              <w:rPr>
                <w:color w:val="000000"/>
                <w:sz w:val="24"/>
                <w:szCs w:val="24"/>
              </w:rPr>
              <w:t>56,940,451.04</w:t>
            </w:r>
          </w:p>
        </w:tc>
        <w:tc>
          <w:tcPr>
            <w:tcW w:w="1837" w:type="dxa"/>
            <w:vAlign w:val="center"/>
          </w:tcPr>
          <w:p w:rsidR="007D100C" w:rsidRPr="00414345" w:rsidRDefault="00836D4F" w:rsidP="00C15CAC">
            <w:pPr>
              <w:spacing w:before="29" w:line="288" w:lineRule="auto"/>
              <w:jc w:val="right"/>
              <w:rPr>
                <w:color w:val="000000"/>
                <w:sz w:val="24"/>
                <w:szCs w:val="24"/>
              </w:rPr>
            </w:pPr>
            <w:r>
              <w:rPr>
                <w:color w:val="000000"/>
                <w:sz w:val="24"/>
                <w:szCs w:val="24"/>
              </w:rPr>
              <w:t>4.97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B12DD7" w:rsidP="00C15CAC">
            <w:pPr>
              <w:spacing w:before="29" w:line="288" w:lineRule="auto"/>
              <w:jc w:val="right"/>
              <w:rPr>
                <w:color w:val="000000"/>
                <w:sz w:val="24"/>
                <w:szCs w:val="24"/>
              </w:rPr>
            </w:pPr>
            <w:r w:rsidRPr="00B12DD7">
              <w:rPr>
                <w:color w:val="000000"/>
                <w:sz w:val="24"/>
                <w:szCs w:val="24"/>
              </w:rPr>
              <w:t>1,146,616,815.69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27,637,180.26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619,264,188.33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30,783,295.11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16,607,707.08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58,035,798.70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19,238,581.76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41,983,636.78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19,191,806.40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79,318,011.86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4,067,105.30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916,144,241.74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4636">
        <w:trPr>
          <w:jc w:val="center"/>
        </w:trPr>
        <w:tc>
          <w:tcPr>
            <w:tcW w:w="855" w:type="dxa"/>
            <w:vAlign w:val="center"/>
          </w:tcPr>
          <w:p w:rsidR="009E4636" w:rsidRDefault="00245B70">
            <w:pPr>
              <w:jc w:val="center"/>
            </w:pPr>
            <w:r>
              <w:rPr>
                <w:color w:val="000000"/>
                <w:sz w:val="24"/>
                <w:szCs w:val="24"/>
              </w:rPr>
              <w:t>1</w:t>
            </w:r>
          </w:p>
        </w:tc>
        <w:tc>
          <w:tcPr>
            <w:tcW w:w="1334" w:type="dxa"/>
            <w:vAlign w:val="center"/>
          </w:tcPr>
          <w:p w:rsidR="009E4636" w:rsidRDefault="00245B70">
            <w:pPr>
              <w:jc w:val="center"/>
            </w:pPr>
            <w:r>
              <w:rPr>
                <w:color w:val="000000"/>
                <w:sz w:val="24"/>
                <w:szCs w:val="24"/>
              </w:rPr>
              <w:t>600500</w:t>
            </w:r>
          </w:p>
        </w:tc>
        <w:tc>
          <w:tcPr>
            <w:tcW w:w="1777" w:type="dxa"/>
            <w:vAlign w:val="center"/>
          </w:tcPr>
          <w:p w:rsidR="009E4636" w:rsidRDefault="00245B70">
            <w:pPr>
              <w:jc w:val="center"/>
            </w:pPr>
            <w:r>
              <w:rPr>
                <w:color w:val="000000"/>
                <w:sz w:val="24"/>
                <w:szCs w:val="24"/>
              </w:rPr>
              <w:t>中化国际</w:t>
            </w:r>
          </w:p>
        </w:tc>
        <w:tc>
          <w:tcPr>
            <w:tcW w:w="1334" w:type="dxa"/>
            <w:vAlign w:val="center"/>
          </w:tcPr>
          <w:p w:rsidR="009E4636" w:rsidRDefault="00245B70">
            <w:pPr>
              <w:jc w:val="right"/>
            </w:pPr>
            <w:r>
              <w:rPr>
                <w:color w:val="000000"/>
                <w:sz w:val="24"/>
                <w:szCs w:val="24"/>
              </w:rPr>
              <w:t>5,334,212</w:t>
            </w:r>
          </w:p>
        </w:tc>
        <w:tc>
          <w:tcPr>
            <w:tcW w:w="1924" w:type="dxa"/>
            <w:vAlign w:val="center"/>
          </w:tcPr>
          <w:p w:rsidR="009E4636" w:rsidRDefault="00245B70">
            <w:pPr>
              <w:jc w:val="right"/>
            </w:pPr>
            <w:r>
              <w:rPr>
                <w:color w:val="000000"/>
                <w:sz w:val="24"/>
                <w:szCs w:val="24"/>
              </w:rPr>
              <w:t>58,783,016.24</w:t>
            </w:r>
          </w:p>
        </w:tc>
        <w:tc>
          <w:tcPr>
            <w:tcW w:w="1644" w:type="dxa"/>
            <w:vAlign w:val="center"/>
          </w:tcPr>
          <w:p w:rsidR="009E4636" w:rsidRDefault="00245B70">
            <w:pPr>
              <w:jc w:val="right"/>
            </w:pPr>
            <w:r>
              <w:rPr>
                <w:color w:val="000000"/>
                <w:sz w:val="24"/>
                <w:szCs w:val="24"/>
              </w:rPr>
              <w:t>5.16</w:t>
            </w:r>
          </w:p>
        </w:tc>
      </w:tr>
      <w:tr w:rsidR="009E4636">
        <w:trPr>
          <w:jc w:val="center"/>
        </w:trPr>
        <w:tc>
          <w:tcPr>
            <w:tcW w:w="855" w:type="dxa"/>
            <w:vAlign w:val="center"/>
          </w:tcPr>
          <w:p w:rsidR="009E4636" w:rsidRDefault="00245B70">
            <w:pPr>
              <w:jc w:val="center"/>
            </w:pPr>
            <w:r>
              <w:rPr>
                <w:color w:val="000000"/>
                <w:sz w:val="24"/>
                <w:szCs w:val="24"/>
              </w:rPr>
              <w:t>2</w:t>
            </w:r>
          </w:p>
        </w:tc>
        <w:tc>
          <w:tcPr>
            <w:tcW w:w="1334" w:type="dxa"/>
            <w:vAlign w:val="center"/>
          </w:tcPr>
          <w:p w:rsidR="009E4636" w:rsidRDefault="00245B70">
            <w:pPr>
              <w:jc w:val="center"/>
            </w:pPr>
            <w:r>
              <w:rPr>
                <w:color w:val="000000"/>
                <w:sz w:val="24"/>
                <w:szCs w:val="24"/>
              </w:rPr>
              <w:t>000949</w:t>
            </w:r>
          </w:p>
        </w:tc>
        <w:tc>
          <w:tcPr>
            <w:tcW w:w="1777" w:type="dxa"/>
            <w:vAlign w:val="center"/>
          </w:tcPr>
          <w:p w:rsidR="009E4636" w:rsidRDefault="00245B70">
            <w:pPr>
              <w:jc w:val="center"/>
            </w:pPr>
            <w:r>
              <w:rPr>
                <w:color w:val="000000"/>
                <w:sz w:val="24"/>
                <w:szCs w:val="24"/>
              </w:rPr>
              <w:t>新乡化纤</w:t>
            </w:r>
          </w:p>
        </w:tc>
        <w:tc>
          <w:tcPr>
            <w:tcW w:w="1334" w:type="dxa"/>
            <w:vAlign w:val="center"/>
          </w:tcPr>
          <w:p w:rsidR="009E4636" w:rsidRDefault="00245B70">
            <w:pPr>
              <w:jc w:val="right"/>
            </w:pPr>
            <w:r>
              <w:rPr>
                <w:color w:val="000000"/>
                <w:sz w:val="24"/>
                <w:szCs w:val="24"/>
              </w:rPr>
              <w:t>9,050,243</w:t>
            </w:r>
          </w:p>
        </w:tc>
        <w:tc>
          <w:tcPr>
            <w:tcW w:w="1924" w:type="dxa"/>
            <w:vAlign w:val="center"/>
          </w:tcPr>
          <w:p w:rsidR="009E4636" w:rsidRDefault="00245B70">
            <w:pPr>
              <w:jc w:val="right"/>
            </w:pPr>
            <w:r>
              <w:rPr>
                <w:color w:val="000000"/>
                <w:sz w:val="24"/>
                <w:szCs w:val="24"/>
              </w:rPr>
              <w:t>56,202,009.03</w:t>
            </w:r>
          </w:p>
        </w:tc>
        <w:tc>
          <w:tcPr>
            <w:tcW w:w="1644" w:type="dxa"/>
            <w:vAlign w:val="center"/>
          </w:tcPr>
          <w:p w:rsidR="009E4636" w:rsidRDefault="00245B70">
            <w:pPr>
              <w:jc w:val="right"/>
            </w:pPr>
            <w:r>
              <w:rPr>
                <w:color w:val="000000"/>
                <w:sz w:val="24"/>
                <w:szCs w:val="24"/>
              </w:rPr>
              <w:t>4.93</w:t>
            </w:r>
          </w:p>
        </w:tc>
      </w:tr>
      <w:tr w:rsidR="009E4636">
        <w:trPr>
          <w:jc w:val="center"/>
        </w:trPr>
        <w:tc>
          <w:tcPr>
            <w:tcW w:w="855" w:type="dxa"/>
            <w:vAlign w:val="center"/>
          </w:tcPr>
          <w:p w:rsidR="009E4636" w:rsidRDefault="00245B70">
            <w:pPr>
              <w:jc w:val="center"/>
            </w:pPr>
            <w:r>
              <w:rPr>
                <w:color w:val="000000"/>
                <w:sz w:val="24"/>
                <w:szCs w:val="24"/>
              </w:rPr>
              <w:t>3</w:t>
            </w:r>
          </w:p>
        </w:tc>
        <w:tc>
          <w:tcPr>
            <w:tcW w:w="1334" w:type="dxa"/>
            <w:vAlign w:val="center"/>
          </w:tcPr>
          <w:p w:rsidR="009E4636" w:rsidRDefault="00245B70">
            <w:pPr>
              <w:jc w:val="center"/>
            </w:pPr>
            <w:r>
              <w:rPr>
                <w:color w:val="000000"/>
                <w:sz w:val="24"/>
                <w:szCs w:val="24"/>
              </w:rPr>
              <w:t>600686</w:t>
            </w:r>
          </w:p>
        </w:tc>
        <w:tc>
          <w:tcPr>
            <w:tcW w:w="1777" w:type="dxa"/>
            <w:vAlign w:val="center"/>
          </w:tcPr>
          <w:p w:rsidR="009E4636" w:rsidRDefault="00245B70">
            <w:pPr>
              <w:jc w:val="center"/>
            </w:pPr>
            <w:r>
              <w:rPr>
                <w:color w:val="000000"/>
                <w:sz w:val="24"/>
                <w:szCs w:val="24"/>
              </w:rPr>
              <w:t>金龙汽车</w:t>
            </w:r>
          </w:p>
        </w:tc>
        <w:tc>
          <w:tcPr>
            <w:tcW w:w="1334" w:type="dxa"/>
            <w:vAlign w:val="center"/>
          </w:tcPr>
          <w:p w:rsidR="009E4636" w:rsidRDefault="00245B70">
            <w:pPr>
              <w:jc w:val="right"/>
            </w:pPr>
            <w:r>
              <w:rPr>
                <w:color w:val="000000"/>
                <w:sz w:val="24"/>
                <w:szCs w:val="24"/>
              </w:rPr>
              <w:t>3,136,537</w:t>
            </w:r>
          </w:p>
        </w:tc>
        <w:tc>
          <w:tcPr>
            <w:tcW w:w="1924" w:type="dxa"/>
            <w:vAlign w:val="center"/>
          </w:tcPr>
          <w:p w:rsidR="009E4636" w:rsidRDefault="00245B70">
            <w:pPr>
              <w:jc w:val="right"/>
            </w:pPr>
            <w:r>
              <w:rPr>
                <w:color w:val="000000"/>
                <w:sz w:val="24"/>
                <w:szCs w:val="24"/>
              </w:rPr>
              <w:t>45,950,267.05</w:t>
            </w:r>
          </w:p>
        </w:tc>
        <w:tc>
          <w:tcPr>
            <w:tcW w:w="1644" w:type="dxa"/>
            <w:vAlign w:val="center"/>
          </w:tcPr>
          <w:p w:rsidR="009E4636" w:rsidRDefault="00245B70">
            <w:pPr>
              <w:jc w:val="right"/>
            </w:pPr>
            <w:r>
              <w:rPr>
                <w:color w:val="000000"/>
                <w:sz w:val="24"/>
                <w:szCs w:val="24"/>
              </w:rPr>
              <w:t>4.03</w:t>
            </w:r>
          </w:p>
        </w:tc>
      </w:tr>
      <w:tr w:rsidR="009E4636">
        <w:trPr>
          <w:jc w:val="center"/>
        </w:trPr>
        <w:tc>
          <w:tcPr>
            <w:tcW w:w="855" w:type="dxa"/>
            <w:vAlign w:val="center"/>
          </w:tcPr>
          <w:p w:rsidR="009E4636" w:rsidRDefault="00245B70">
            <w:pPr>
              <w:jc w:val="center"/>
            </w:pPr>
            <w:r>
              <w:rPr>
                <w:color w:val="000000"/>
                <w:sz w:val="24"/>
                <w:szCs w:val="24"/>
              </w:rPr>
              <w:t>4</w:t>
            </w:r>
          </w:p>
        </w:tc>
        <w:tc>
          <w:tcPr>
            <w:tcW w:w="1334" w:type="dxa"/>
            <w:vAlign w:val="center"/>
          </w:tcPr>
          <w:p w:rsidR="009E4636" w:rsidRDefault="00245B70">
            <w:pPr>
              <w:jc w:val="center"/>
            </w:pPr>
            <w:r>
              <w:rPr>
                <w:color w:val="000000"/>
                <w:sz w:val="24"/>
                <w:szCs w:val="24"/>
              </w:rPr>
              <w:t>600622</w:t>
            </w:r>
          </w:p>
        </w:tc>
        <w:tc>
          <w:tcPr>
            <w:tcW w:w="1777" w:type="dxa"/>
            <w:vAlign w:val="center"/>
          </w:tcPr>
          <w:p w:rsidR="009E4636" w:rsidRDefault="00245B70">
            <w:pPr>
              <w:jc w:val="center"/>
            </w:pPr>
            <w:r>
              <w:rPr>
                <w:color w:val="000000"/>
                <w:sz w:val="24"/>
                <w:szCs w:val="24"/>
              </w:rPr>
              <w:t>嘉宝集团</w:t>
            </w:r>
          </w:p>
        </w:tc>
        <w:tc>
          <w:tcPr>
            <w:tcW w:w="1334" w:type="dxa"/>
            <w:vAlign w:val="center"/>
          </w:tcPr>
          <w:p w:rsidR="009E4636" w:rsidRDefault="00245B70">
            <w:pPr>
              <w:jc w:val="right"/>
            </w:pPr>
            <w:r>
              <w:rPr>
                <w:color w:val="000000"/>
                <w:sz w:val="24"/>
                <w:szCs w:val="24"/>
              </w:rPr>
              <w:t>2,050,911</w:t>
            </w:r>
          </w:p>
        </w:tc>
        <w:tc>
          <w:tcPr>
            <w:tcW w:w="1924" w:type="dxa"/>
            <w:vAlign w:val="center"/>
          </w:tcPr>
          <w:p w:rsidR="009E4636" w:rsidRDefault="00245B70">
            <w:pPr>
              <w:jc w:val="right"/>
            </w:pPr>
            <w:r>
              <w:rPr>
                <w:color w:val="000000"/>
                <w:sz w:val="24"/>
                <w:szCs w:val="24"/>
              </w:rPr>
              <w:t>39,746,655.18</w:t>
            </w:r>
          </w:p>
        </w:tc>
        <w:tc>
          <w:tcPr>
            <w:tcW w:w="1644" w:type="dxa"/>
            <w:vAlign w:val="center"/>
          </w:tcPr>
          <w:p w:rsidR="009E4636" w:rsidRDefault="00245B70">
            <w:pPr>
              <w:jc w:val="right"/>
            </w:pPr>
            <w:r>
              <w:rPr>
                <w:color w:val="000000"/>
                <w:sz w:val="24"/>
                <w:szCs w:val="24"/>
              </w:rPr>
              <w:t>3.49</w:t>
            </w:r>
          </w:p>
        </w:tc>
      </w:tr>
      <w:tr w:rsidR="009E4636">
        <w:trPr>
          <w:jc w:val="center"/>
        </w:trPr>
        <w:tc>
          <w:tcPr>
            <w:tcW w:w="855" w:type="dxa"/>
            <w:vAlign w:val="center"/>
          </w:tcPr>
          <w:p w:rsidR="009E4636" w:rsidRDefault="00245B70">
            <w:pPr>
              <w:jc w:val="center"/>
            </w:pPr>
            <w:r>
              <w:rPr>
                <w:color w:val="000000"/>
                <w:sz w:val="24"/>
                <w:szCs w:val="24"/>
              </w:rPr>
              <w:t>5</w:t>
            </w:r>
          </w:p>
        </w:tc>
        <w:tc>
          <w:tcPr>
            <w:tcW w:w="1334" w:type="dxa"/>
            <w:vAlign w:val="center"/>
          </w:tcPr>
          <w:p w:rsidR="009E4636" w:rsidRDefault="00245B70">
            <w:pPr>
              <w:jc w:val="center"/>
            </w:pPr>
            <w:r>
              <w:rPr>
                <w:color w:val="000000"/>
                <w:sz w:val="24"/>
                <w:szCs w:val="24"/>
              </w:rPr>
              <w:t>000821</w:t>
            </w:r>
          </w:p>
        </w:tc>
        <w:tc>
          <w:tcPr>
            <w:tcW w:w="1777" w:type="dxa"/>
            <w:vAlign w:val="center"/>
          </w:tcPr>
          <w:p w:rsidR="009E4636" w:rsidRDefault="00245B70">
            <w:pPr>
              <w:jc w:val="center"/>
            </w:pPr>
            <w:r w:rsidRPr="00B705A4">
              <w:rPr>
                <w:color w:val="000000"/>
                <w:sz w:val="24"/>
                <w:szCs w:val="24"/>
              </w:rPr>
              <w:t>京山轻机</w:t>
            </w:r>
          </w:p>
        </w:tc>
        <w:tc>
          <w:tcPr>
            <w:tcW w:w="1334" w:type="dxa"/>
            <w:vAlign w:val="center"/>
          </w:tcPr>
          <w:p w:rsidR="009E4636" w:rsidRDefault="00245B70">
            <w:pPr>
              <w:jc w:val="right"/>
            </w:pPr>
            <w:r>
              <w:rPr>
                <w:color w:val="000000"/>
                <w:sz w:val="24"/>
                <w:szCs w:val="24"/>
              </w:rPr>
              <w:t>2,499,901</w:t>
            </w:r>
          </w:p>
        </w:tc>
        <w:tc>
          <w:tcPr>
            <w:tcW w:w="1924" w:type="dxa"/>
            <w:vAlign w:val="center"/>
          </w:tcPr>
          <w:p w:rsidR="009E4636" w:rsidRDefault="00245B70">
            <w:pPr>
              <w:jc w:val="right"/>
            </w:pPr>
            <w:r>
              <w:rPr>
                <w:color w:val="000000"/>
                <w:sz w:val="24"/>
                <w:szCs w:val="24"/>
              </w:rPr>
              <w:t>39,598,431.84</w:t>
            </w:r>
          </w:p>
        </w:tc>
        <w:tc>
          <w:tcPr>
            <w:tcW w:w="1644" w:type="dxa"/>
            <w:vAlign w:val="center"/>
          </w:tcPr>
          <w:p w:rsidR="009E4636" w:rsidRDefault="00245B70">
            <w:pPr>
              <w:jc w:val="right"/>
            </w:pPr>
            <w:r>
              <w:rPr>
                <w:color w:val="000000"/>
                <w:sz w:val="24"/>
                <w:szCs w:val="24"/>
              </w:rPr>
              <w:t>3.48</w:t>
            </w:r>
          </w:p>
        </w:tc>
      </w:tr>
      <w:tr w:rsidR="009E4636">
        <w:trPr>
          <w:jc w:val="center"/>
        </w:trPr>
        <w:tc>
          <w:tcPr>
            <w:tcW w:w="855" w:type="dxa"/>
            <w:vAlign w:val="center"/>
          </w:tcPr>
          <w:p w:rsidR="009E4636" w:rsidRDefault="00245B70">
            <w:pPr>
              <w:jc w:val="center"/>
            </w:pPr>
            <w:r>
              <w:rPr>
                <w:color w:val="000000"/>
                <w:sz w:val="24"/>
                <w:szCs w:val="24"/>
              </w:rPr>
              <w:t>6</w:t>
            </w:r>
          </w:p>
        </w:tc>
        <w:tc>
          <w:tcPr>
            <w:tcW w:w="1334" w:type="dxa"/>
            <w:vAlign w:val="center"/>
          </w:tcPr>
          <w:p w:rsidR="009E4636" w:rsidRDefault="00245B70">
            <w:pPr>
              <w:jc w:val="center"/>
            </w:pPr>
            <w:r>
              <w:rPr>
                <w:color w:val="000000"/>
                <w:sz w:val="24"/>
                <w:szCs w:val="24"/>
              </w:rPr>
              <w:t>002332</w:t>
            </w:r>
          </w:p>
        </w:tc>
        <w:tc>
          <w:tcPr>
            <w:tcW w:w="1777" w:type="dxa"/>
            <w:vAlign w:val="center"/>
          </w:tcPr>
          <w:p w:rsidR="009E4636" w:rsidRDefault="00245B70">
            <w:pPr>
              <w:jc w:val="center"/>
            </w:pPr>
            <w:r>
              <w:rPr>
                <w:color w:val="000000"/>
                <w:sz w:val="24"/>
                <w:szCs w:val="24"/>
              </w:rPr>
              <w:t>仙琚制药</w:t>
            </w:r>
          </w:p>
        </w:tc>
        <w:tc>
          <w:tcPr>
            <w:tcW w:w="1334" w:type="dxa"/>
            <w:vAlign w:val="center"/>
          </w:tcPr>
          <w:p w:rsidR="009E4636" w:rsidRDefault="00245B70">
            <w:pPr>
              <w:jc w:val="right"/>
            </w:pPr>
            <w:r>
              <w:rPr>
                <w:color w:val="000000"/>
                <w:sz w:val="24"/>
                <w:szCs w:val="24"/>
              </w:rPr>
              <w:t>2,412,917</w:t>
            </w:r>
          </w:p>
        </w:tc>
        <w:tc>
          <w:tcPr>
            <w:tcW w:w="1924" w:type="dxa"/>
            <w:vAlign w:val="center"/>
          </w:tcPr>
          <w:p w:rsidR="009E4636" w:rsidRDefault="00245B70">
            <w:pPr>
              <w:jc w:val="right"/>
            </w:pPr>
            <w:r>
              <w:rPr>
                <w:color w:val="000000"/>
                <w:sz w:val="24"/>
                <w:szCs w:val="24"/>
              </w:rPr>
              <w:t>32,091,796.10</w:t>
            </w:r>
          </w:p>
        </w:tc>
        <w:tc>
          <w:tcPr>
            <w:tcW w:w="1644" w:type="dxa"/>
            <w:vAlign w:val="center"/>
          </w:tcPr>
          <w:p w:rsidR="009E4636" w:rsidRDefault="00245B70">
            <w:pPr>
              <w:jc w:val="right"/>
            </w:pPr>
            <w:r>
              <w:rPr>
                <w:color w:val="000000"/>
                <w:sz w:val="24"/>
                <w:szCs w:val="24"/>
              </w:rPr>
              <w:t>2.82</w:t>
            </w:r>
          </w:p>
        </w:tc>
      </w:tr>
      <w:tr w:rsidR="009E4636">
        <w:trPr>
          <w:jc w:val="center"/>
        </w:trPr>
        <w:tc>
          <w:tcPr>
            <w:tcW w:w="855" w:type="dxa"/>
            <w:vAlign w:val="center"/>
          </w:tcPr>
          <w:p w:rsidR="009E4636" w:rsidRDefault="00245B70">
            <w:pPr>
              <w:jc w:val="center"/>
            </w:pPr>
            <w:r>
              <w:rPr>
                <w:color w:val="000000"/>
                <w:sz w:val="24"/>
                <w:szCs w:val="24"/>
              </w:rPr>
              <w:t>7</w:t>
            </w:r>
          </w:p>
        </w:tc>
        <w:tc>
          <w:tcPr>
            <w:tcW w:w="1334" w:type="dxa"/>
            <w:vAlign w:val="center"/>
          </w:tcPr>
          <w:p w:rsidR="009E4636" w:rsidRDefault="00245B70">
            <w:pPr>
              <w:jc w:val="center"/>
            </w:pPr>
            <w:r>
              <w:rPr>
                <w:color w:val="000000"/>
                <w:sz w:val="24"/>
                <w:szCs w:val="24"/>
              </w:rPr>
              <w:t>300145</w:t>
            </w:r>
          </w:p>
        </w:tc>
        <w:tc>
          <w:tcPr>
            <w:tcW w:w="1777" w:type="dxa"/>
            <w:vAlign w:val="center"/>
          </w:tcPr>
          <w:p w:rsidR="009E4636" w:rsidRDefault="00245B70">
            <w:pPr>
              <w:jc w:val="center"/>
            </w:pPr>
            <w:r>
              <w:rPr>
                <w:color w:val="000000"/>
                <w:sz w:val="24"/>
                <w:szCs w:val="24"/>
              </w:rPr>
              <w:t>中金环境</w:t>
            </w:r>
          </w:p>
        </w:tc>
        <w:tc>
          <w:tcPr>
            <w:tcW w:w="1334" w:type="dxa"/>
            <w:vAlign w:val="center"/>
          </w:tcPr>
          <w:p w:rsidR="009E4636" w:rsidRDefault="00245B70">
            <w:pPr>
              <w:jc w:val="right"/>
            </w:pPr>
            <w:r>
              <w:rPr>
                <w:color w:val="000000"/>
                <w:sz w:val="24"/>
                <w:szCs w:val="24"/>
              </w:rPr>
              <w:t>1,096,854</w:t>
            </w:r>
          </w:p>
        </w:tc>
        <w:tc>
          <w:tcPr>
            <w:tcW w:w="1924" w:type="dxa"/>
            <w:vAlign w:val="center"/>
          </w:tcPr>
          <w:p w:rsidR="009E4636" w:rsidRDefault="00245B70">
            <w:pPr>
              <w:jc w:val="right"/>
            </w:pPr>
            <w:r>
              <w:rPr>
                <w:color w:val="000000"/>
                <w:sz w:val="24"/>
                <w:szCs w:val="24"/>
              </w:rPr>
              <w:t>31,128,716.52</w:t>
            </w:r>
          </w:p>
        </w:tc>
        <w:tc>
          <w:tcPr>
            <w:tcW w:w="1644" w:type="dxa"/>
            <w:vAlign w:val="center"/>
          </w:tcPr>
          <w:p w:rsidR="009E4636" w:rsidRDefault="00245B70">
            <w:pPr>
              <w:jc w:val="right"/>
            </w:pPr>
            <w:r>
              <w:rPr>
                <w:color w:val="000000"/>
                <w:sz w:val="24"/>
                <w:szCs w:val="24"/>
              </w:rPr>
              <w:t>2.73</w:t>
            </w:r>
          </w:p>
        </w:tc>
      </w:tr>
      <w:tr w:rsidR="009E4636">
        <w:trPr>
          <w:jc w:val="center"/>
        </w:trPr>
        <w:tc>
          <w:tcPr>
            <w:tcW w:w="855" w:type="dxa"/>
            <w:vAlign w:val="center"/>
          </w:tcPr>
          <w:p w:rsidR="009E4636" w:rsidRDefault="00245B70">
            <w:pPr>
              <w:jc w:val="center"/>
            </w:pPr>
            <w:r>
              <w:rPr>
                <w:color w:val="000000"/>
                <w:sz w:val="24"/>
                <w:szCs w:val="24"/>
              </w:rPr>
              <w:t>8</w:t>
            </w:r>
          </w:p>
        </w:tc>
        <w:tc>
          <w:tcPr>
            <w:tcW w:w="1334" w:type="dxa"/>
            <w:vAlign w:val="center"/>
          </w:tcPr>
          <w:p w:rsidR="009E4636" w:rsidRDefault="00245B70">
            <w:pPr>
              <w:jc w:val="center"/>
            </w:pPr>
            <w:r>
              <w:rPr>
                <w:color w:val="000000"/>
                <w:sz w:val="24"/>
                <w:szCs w:val="24"/>
              </w:rPr>
              <w:t>600886</w:t>
            </w:r>
          </w:p>
        </w:tc>
        <w:tc>
          <w:tcPr>
            <w:tcW w:w="1777" w:type="dxa"/>
            <w:vAlign w:val="center"/>
          </w:tcPr>
          <w:p w:rsidR="009E4636" w:rsidRDefault="00245B70">
            <w:pPr>
              <w:jc w:val="center"/>
            </w:pPr>
            <w:r>
              <w:rPr>
                <w:color w:val="000000"/>
                <w:sz w:val="24"/>
                <w:szCs w:val="24"/>
              </w:rPr>
              <w:t>国投电力</w:t>
            </w:r>
          </w:p>
        </w:tc>
        <w:tc>
          <w:tcPr>
            <w:tcW w:w="1334" w:type="dxa"/>
            <w:vAlign w:val="center"/>
          </w:tcPr>
          <w:p w:rsidR="009E4636" w:rsidRDefault="00245B70">
            <w:pPr>
              <w:jc w:val="right"/>
            </w:pPr>
            <w:r>
              <w:rPr>
                <w:color w:val="000000"/>
                <w:sz w:val="24"/>
                <w:szCs w:val="24"/>
              </w:rPr>
              <w:t>4,088,087</w:t>
            </w:r>
          </w:p>
        </w:tc>
        <w:tc>
          <w:tcPr>
            <w:tcW w:w="1924" w:type="dxa"/>
            <w:vAlign w:val="center"/>
          </w:tcPr>
          <w:p w:rsidR="009E4636" w:rsidRDefault="00245B70">
            <w:pPr>
              <w:jc w:val="right"/>
            </w:pPr>
            <w:r>
              <w:rPr>
                <w:color w:val="000000"/>
                <w:sz w:val="24"/>
                <w:szCs w:val="24"/>
              </w:rPr>
              <w:t>30,783,295.11</w:t>
            </w:r>
          </w:p>
        </w:tc>
        <w:tc>
          <w:tcPr>
            <w:tcW w:w="1644" w:type="dxa"/>
            <w:vAlign w:val="center"/>
          </w:tcPr>
          <w:p w:rsidR="009E4636" w:rsidRDefault="00245B70">
            <w:pPr>
              <w:jc w:val="right"/>
            </w:pPr>
            <w:r>
              <w:rPr>
                <w:color w:val="000000"/>
                <w:sz w:val="24"/>
                <w:szCs w:val="24"/>
              </w:rPr>
              <w:t>2.70</w:t>
            </w:r>
          </w:p>
        </w:tc>
      </w:tr>
      <w:tr w:rsidR="009E4636">
        <w:trPr>
          <w:jc w:val="center"/>
        </w:trPr>
        <w:tc>
          <w:tcPr>
            <w:tcW w:w="855" w:type="dxa"/>
            <w:vAlign w:val="center"/>
          </w:tcPr>
          <w:p w:rsidR="009E4636" w:rsidRDefault="00245B70">
            <w:pPr>
              <w:jc w:val="center"/>
            </w:pPr>
            <w:r>
              <w:rPr>
                <w:color w:val="000000"/>
                <w:sz w:val="24"/>
                <w:szCs w:val="24"/>
              </w:rPr>
              <w:t>9</w:t>
            </w:r>
          </w:p>
        </w:tc>
        <w:tc>
          <w:tcPr>
            <w:tcW w:w="1334" w:type="dxa"/>
            <w:vAlign w:val="center"/>
          </w:tcPr>
          <w:p w:rsidR="009E4636" w:rsidRDefault="00245B70">
            <w:pPr>
              <w:jc w:val="center"/>
            </w:pPr>
            <w:r>
              <w:rPr>
                <w:color w:val="000000"/>
                <w:sz w:val="24"/>
                <w:szCs w:val="24"/>
              </w:rPr>
              <w:t>000799</w:t>
            </w:r>
          </w:p>
        </w:tc>
        <w:tc>
          <w:tcPr>
            <w:tcW w:w="1777" w:type="dxa"/>
            <w:vAlign w:val="center"/>
          </w:tcPr>
          <w:p w:rsidR="009E4636" w:rsidRDefault="00245B70">
            <w:pPr>
              <w:jc w:val="center"/>
            </w:pPr>
            <w:r>
              <w:rPr>
                <w:color w:val="000000"/>
                <w:sz w:val="24"/>
                <w:szCs w:val="24"/>
              </w:rPr>
              <w:t>酒鬼酒</w:t>
            </w:r>
          </w:p>
        </w:tc>
        <w:tc>
          <w:tcPr>
            <w:tcW w:w="1334" w:type="dxa"/>
            <w:vAlign w:val="center"/>
          </w:tcPr>
          <w:p w:rsidR="009E4636" w:rsidRDefault="00245B70">
            <w:pPr>
              <w:jc w:val="right"/>
            </w:pPr>
            <w:r>
              <w:rPr>
                <w:color w:val="000000"/>
                <w:sz w:val="24"/>
                <w:szCs w:val="24"/>
              </w:rPr>
              <w:t>1,350,000</w:t>
            </w:r>
          </w:p>
        </w:tc>
        <w:tc>
          <w:tcPr>
            <w:tcW w:w="1924" w:type="dxa"/>
            <w:vAlign w:val="center"/>
          </w:tcPr>
          <w:p w:rsidR="009E4636" w:rsidRDefault="00245B70">
            <w:pPr>
              <w:jc w:val="right"/>
            </w:pPr>
            <w:r>
              <w:rPr>
                <w:color w:val="000000"/>
                <w:sz w:val="24"/>
                <w:szCs w:val="24"/>
              </w:rPr>
              <w:t>29,862,000.00</w:t>
            </w:r>
          </w:p>
        </w:tc>
        <w:tc>
          <w:tcPr>
            <w:tcW w:w="1644" w:type="dxa"/>
            <w:vAlign w:val="center"/>
          </w:tcPr>
          <w:p w:rsidR="009E4636" w:rsidRDefault="00245B70">
            <w:pPr>
              <w:jc w:val="right"/>
            </w:pPr>
            <w:r>
              <w:rPr>
                <w:color w:val="000000"/>
                <w:sz w:val="24"/>
                <w:szCs w:val="24"/>
              </w:rPr>
              <w:t>2.62</w:t>
            </w:r>
          </w:p>
        </w:tc>
      </w:tr>
      <w:tr w:rsidR="009E4636">
        <w:trPr>
          <w:jc w:val="center"/>
        </w:trPr>
        <w:tc>
          <w:tcPr>
            <w:tcW w:w="855" w:type="dxa"/>
            <w:vAlign w:val="center"/>
          </w:tcPr>
          <w:p w:rsidR="009E4636" w:rsidRDefault="00245B70">
            <w:pPr>
              <w:jc w:val="center"/>
            </w:pPr>
            <w:r>
              <w:rPr>
                <w:color w:val="000000"/>
                <w:sz w:val="24"/>
                <w:szCs w:val="24"/>
              </w:rPr>
              <w:t>10</w:t>
            </w:r>
          </w:p>
        </w:tc>
        <w:tc>
          <w:tcPr>
            <w:tcW w:w="1334" w:type="dxa"/>
            <w:vAlign w:val="center"/>
          </w:tcPr>
          <w:p w:rsidR="009E4636" w:rsidRDefault="00245B70">
            <w:pPr>
              <w:jc w:val="center"/>
            </w:pPr>
            <w:r>
              <w:rPr>
                <w:color w:val="000000"/>
                <w:sz w:val="24"/>
                <w:szCs w:val="24"/>
              </w:rPr>
              <w:t>002202</w:t>
            </w:r>
          </w:p>
        </w:tc>
        <w:tc>
          <w:tcPr>
            <w:tcW w:w="1777" w:type="dxa"/>
            <w:vAlign w:val="center"/>
          </w:tcPr>
          <w:p w:rsidR="009E4636" w:rsidRDefault="00245B70">
            <w:pPr>
              <w:jc w:val="center"/>
            </w:pPr>
            <w:r>
              <w:rPr>
                <w:color w:val="000000"/>
                <w:sz w:val="24"/>
                <w:szCs w:val="24"/>
              </w:rPr>
              <w:t>金风科技</w:t>
            </w:r>
          </w:p>
        </w:tc>
        <w:tc>
          <w:tcPr>
            <w:tcW w:w="1334" w:type="dxa"/>
            <w:vAlign w:val="center"/>
          </w:tcPr>
          <w:p w:rsidR="009E4636" w:rsidRDefault="00245B70">
            <w:pPr>
              <w:jc w:val="right"/>
            </w:pPr>
            <w:r>
              <w:rPr>
                <w:color w:val="000000"/>
                <w:sz w:val="24"/>
                <w:szCs w:val="24"/>
              </w:rPr>
              <w:t>1,800,000</w:t>
            </w:r>
          </w:p>
        </w:tc>
        <w:tc>
          <w:tcPr>
            <w:tcW w:w="1924" w:type="dxa"/>
            <w:vAlign w:val="center"/>
          </w:tcPr>
          <w:p w:rsidR="009E4636" w:rsidRDefault="00245B70">
            <w:pPr>
              <w:jc w:val="right"/>
            </w:pPr>
            <w:r>
              <w:rPr>
                <w:color w:val="000000"/>
                <w:sz w:val="24"/>
                <w:szCs w:val="24"/>
              </w:rPr>
              <w:t>28,908,000.00</w:t>
            </w:r>
          </w:p>
        </w:tc>
        <w:tc>
          <w:tcPr>
            <w:tcW w:w="1644" w:type="dxa"/>
            <w:vAlign w:val="center"/>
          </w:tcPr>
          <w:p w:rsidR="009E4636" w:rsidRDefault="00245B70">
            <w:pPr>
              <w:jc w:val="right"/>
            </w:pPr>
            <w:r>
              <w:rPr>
                <w:color w:val="000000"/>
                <w:sz w:val="24"/>
                <w:szCs w:val="24"/>
              </w:rPr>
              <w:t>2.54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245B70">
        <w:trPr>
          <w:jc w:val="center"/>
        </w:trPr>
        <w:tc>
          <w:tcPr>
            <w:tcW w:w="828" w:type="dxa"/>
            <w:vAlign w:val="center"/>
          </w:tcPr>
          <w:p w:rsidR="00F323FF" w:rsidRPr="007A70C2" w:rsidRDefault="00F323FF" w:rsidP="00245B70">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245B70">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245B70">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245B70">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E4636">
        <w:trPr>
          <w:jc w:val="center"/>
        </w:trPr>
        <w:tc>
          <w:tcPr>
            <w:tcW w:w="850" w:type="dxa"/>
            <w:vAlign w:val="center"/>
          </w:tcPr>
          <w:p w:rsidR="009E4636" w:rsidRDefault="00245B70">
            <w:pPr>
              <w:jc w:val="center"/>
            </w:pPr>
            <w:r>
              <w:rPr>
                <w:color w:val="000000"/>
                <w:sz w:val="24"/>
                <w:szCs w:val="24"/>
              </w:rPr>
              <w:t>1</w:t>
            </w:r>
          </w:p>
        </w:tc>
        <w:tc>
          <w:tcPr>
            <w:tcW w:w="1475" w:type="dxa"/>
            <w:vAlign w:val="center"/>
          </w:tcPr>
          <w:p w:rsidR="009E4636" w:rsidRDefault="00245B70">
            <w:pPr>
              <w:jc w:val="center"/>
            </w:pPr>
            <w:r>
              <w:rPr>
                <w:color w:val="000000"/>
                <w:sz w:val="24"/>
                <w:szCs w:val="24"/>
              </w:rPr>
              <w:t>160308</w:t>
            </w:r>
          </w:p>
        </w:tc>
        <w:tc>
          <w:tcPr>
            <w:tcW w:w="1769" w:type="dxa"/>
            <w:vAlign w:val="center"/>
          </w:tcPr>
          <w:p w:rsidR="009E4636" w:rsidRDefault="00245B70">
            <w:pPr>
              <w:jc w:val="center"/>
            </w:pPr>
            <w:r>
              <w:rPr>
                <w:color w:val="000000"/>
                <w:sz w:val="24"/>
                <w:szCs w:val="24"/>
              </w:rPr>
              <w:t>16</w:t>
            </w:r>
            <w:r>
              <w:rPr>
                <w:color w:val="000000"/>
                <w:sz w:val="24"/>
                <w:szCs w:val="24"/>
              </w:rPr>
              <w:t>进出</w:t>
            </w:r>
            <w:r>
              <w:rPr>
                <w:color w:val="000000"/>
                <w:sz w:val="24"/>
                <w:szCs w:val="24"/>
              </w:rPr>
              <w:t>08</w:t>
            </w:r>
          </w:p>
        </w:tc>
        <w:tc>
          <w:tcPr>
            <w:tcW w:w="1387" w:type="dxa"/>
            <w:vAlign w:val="center"/>
          </w:tcPr>
          <w:p w:rsidR="009E4636" w:rsidRDefault="00245B70">
            <w:pPr>
              <w:jc w:val="right"/>
            </w:pPr>
            <w:r>
              <w:rPr>
                <w:color w:val="000000"/>
                <w:sz w:val="24"/>
                <w:szCs w:val="24"/>
              </w:rPr>
              <w:t>500,000</w:t>
            </w:r>
          </w:p>
        </w:tc>
        <w:tc>
          <w:tcPr>
            <w:tcW w:w="2150" w:type="dxa"/>
            <w:vAlign w:val="center"/>
          </w:tcPr>
          <w:p w:rsidR="009E4636" w:rsidRDefault="00245B70">
            <w:pPr>
              <w:jc w:val="right"/>
            </w:pPr>
            <w:r>
              <w:rPr>
                <w:color w:val="000000"/>
                <w:sz w:val="24"/>
                <w:szCs w:val="24"/>
              </w:rPr>
              <w:t>49,860,000.00</w:t>
            </w:r>
          </w:p>
        </w:tc>
        <w:tc>
          <w:tcPr>
            <w:tcW w:w="1237" w:type="dxa"/>
            <w:vAlign w:val="center"/>
          </w:tcPr>
          <w:p w:rsidR="009E4636" w:rsidRDefault="00245B70">
            <w:pPr>
              <w:jc w:val="right"/>
            </w:pPr>
            <w:r>
              <w:rPr>
                <w:color w:val="000000"/>
                <w:sz w:val="24"/>
                <w:szCs w:val="24"/>
              </w:rPr>
              <w:t>4.38</w:t>
            </w:r>
          </w:p>
        </w:tc>
      </w:tr>
      <w:tr w:rsidR="009E4636">
        <w:trPr>
          <w:jc w:val="center"/>
        </w:trPr>
        <w:tc>
          <w:tcPr>
            <w:tcW w:w="850" w:type="dxa"/>
            <w:vAlign w:val="center"/>
          </w:tcPr>
          <w:p w:rsidR="009E4636" w:rsidRDefault="00245B70">
            <w:pPr>
              <w:jc w:val="center"/>
            </w:pPr>
            <w:r>
              <w:rPr>
                <w:color w:val="000000"/>
                <w:sz w:val="24"/>
                <w:szCs w:val="24"/>
              </w:rPr>
              <w:t>2</w:t>
            </w:r>
          </w:p>
        </w:tc>
        <w:tc>
          <w:tcPr>
            <w:tcW w:w="1475" w:type="dxa"/>
            <w:vAlign w:val="center"/>
          </w:tcPr>
          <w:p w:rsidR="009E4636" w:rsidRDefault="00245B70">
            <w:pPr>
              <w:jc w:val="center"/>
            </w:pPr>
            <w:r>
              <w:rPr>
                <w:color w:val="000000"/>
                <w:sz w:val="24"/>
                <w:szCs w:val="24"/>
              </w:rPr>
              <w:t>160211</w:t>
            </w:r>
          </w:p>
        </w:tc>
        <w:tc>
          <w:tcPr>
            <w:tcW w:w="1769" w:type="dxa"/>
            <w:vAlign w:val="center"/>
          </w:tcPr>
          <w:p w:rsidR="009E4636" w:rsidRDefault="00245B70">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9E4636" w:rsidRDefault="00245B70">
            <w:pPr>
              <w:jc w:val="right"/>
            </w:pPr>
            <w:r>
              <w:rPr>
                <w:color w:val="000000"/>
                <w:sz w:val="24"/>
                <w:szCs w:val="24"/>
              </w:rPr>
              <w:t>100,000</w:t>
            </w:r>
          </w:p>
        </w:tc>
        <w:tc>
          <w:tcPr>
            <w:tcW w:w="2150" w:type="dxa"/>
            <w:vAlign w:val="center"/>
          </w:tcPr>
          <w:p w:rsidR="009E4636" w:rsidRDefault="00245B70">
            <w:pPr>
              <w:jc w:val="right"/>
            </w:pPr>
            <w:r>
              <w:rPr>
                <w:color w:val="000000"/>
                <w:sz w:val="24"/>
                <w:szCs w:val="24"/>
              </w:rPr>
              <w:t>9,994,000.00</w:t>
            </w:r>
          </w:p>
        </w:tc>
        <w:tc>
          <w:tcPr>
            <w:tcW w:w="1237" w:type="dxa"/>
            <w:vAlign w:val="center"/>
          </w:tcPr>
          <w:p w:rsidR="009E4636" w:rsidRDefault="00245B70">
            <w:pPr>
              <w:jc w:val="right"/>
            </w:pPr>
            <w:r>
              <w:rPr>
                <w:color w:val="000000"/>
                <w:sz w:val="24"/>
                <w:szCs w:val="24"/>
              </w:rPr>
              <w:t>0.88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8E1D74" w:rsidRPr="00414345">
        <w:rPr>
          <w:b/>
          <w:bCs/>
          <w:color w:val="000000"/>
          <w:kern w:val="0"/>
          <w:sz w:val="24"/>
          <w:szCs w:val="24"/>
        </w:rPr>
        <w:t xml:space="preserve"> </w:t>
      </w:r>
      <w:r w:rsidR="00A96A94" w:rsidRPr="00414345">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9E4636">
        <w:trPr>
          <w:jc w:val="center"/>
        </w:trPr>
        <w:tc>
          <w:tcPr>
            <w:tcW w:w="1478" w:type="dxa"/>
            <w:vAlign w:val="center"/>
          </w:tcPr>
          <w:p w:rsidR="009E4636" w:rsidRDefault="00245B70">
            <w:pPr>
              <w:jc w:val="center"/>
            </w:pPr>
            <w:r>
              <w:t>IC1705</w:t>
            </w:r>
          </w:p>
        </w:tc>
        <w:tc>
          <w:tcPr>
            <w:tcW w:w="1479" w:type="dxa"/>
            <w:vAlign w:val="center"/>
          </w:tcPr>
          <w:p w:rsidR="009E4636" w:rsidRDefault="00245B70">
            <w:pPr>
              <w:jc w:val="left"/>
            </w:pPr>
            <w:r>
              <w:t>IC1705</w:t>
            </w:r>
          </w:p>
        </w:tc>
        <w:tc>
          <w:tcPr>
            <w:tcW w:w="1479" w:type="dxa"/>
            <w:vAlign w:val="center"/>
          </w:tcPr>
          <w:p w:rsidR="009E4636" w:rsidRDefault="00245B70">
            <w:pPr>
              <w:jc w:val="right"/>
            </w:pPr>
            <w:r>
              <w:t>20.00</w:t>
            </w:r>
          </w:p>
        </w:tc>
        <w:tc>
          <w:tcPr>
            <w:tcW w:w="1479" w:type="dxa"/>
            <w:vAlign w:val="center"/>
          </w:tcPr>
          <w:p w:rsidR="009E4636" w:rsidRDefault="00245B70">
            <w:pPr>
              <w:jc w:val="right"/>
            </w:pPr>
            <w:r>
              <w:t>-25,307,200.00</w:t>
            </w:r>
          </w:p>
        </w:tc>
        <w:tc>
          <w:tcPr>
            <w:tcW w:w="1480" w:type="dxa"/>
            <w:vAlign w:val="center"/>
          </w:tcPr>
          <w:p w:rsidR="009E4636" w:rsidRDefault="00245B70">
            <w:pPr>
              <w:jc w:val="right"/>
            </w:pPr>
            <w:r>
              <w:t>478,760.00</w:t>
            </w:r>
          </w:p>
        </w:tc>
        <w:tc>
          <w:tcPr>
            <w:tcW w:w="1473" w:type="dxa"/>
            <w:vAlign w:val="center"/>
          </w:tcPr>
          <w:p w:rsidR="009E4636" w:rsidRDefault="00245B70">
            <w:pPr>
              <w:jc w:val="left"/>
            </w:pPr>
            <w:r>
              <w:t>-</w:t>
            </w:r>
          </w:p>
        </w:tc>
      </w:tr>
      <w:tr w:rsidR="009E4636">
        <w:trPr>
          <w:jc w:val="center"/>
        </w:trPr>
        <w:tc>
          <w:tcPr>
            <w:tcW w:w="1478" w:type="dxa"/>
            <w:vAlign w:val="center"/>
          </w:tcPr>
          <w:p w:rsidR="009E4636" w:rsidRDefault="00245B70">
            <w:pPr>
              <w:jc w:val="center"/>
            </w:pPr>
            <w:r>
              <w:t>IF1706</w:t>
            </w:r>
          </w:p>
        </w:tc>
        <w:tc>
          <w:tcPr>
            <w:tcW w:w="1479" w:type="dxa"/>
            <w:vAlign w:val="center"/>
          </w:tcPr>
          <w:p w:rsidR="009E4636" w:rsidRDefault="00245B70">
            <w:pPr>
              <w:jc w:val="left"/>
            </w:pPr>
            <w:r>
              <w:t>IF1706</w:t>
            </w:r>
          </w:p>
        </w:tc>
        <w:tc>
          <w:tcPr>
            <w:tcW w:w="1479" w:type="dxa"/>
            <w:vAlign w:val="center"/>
          </w:tcPr>
          <w:p w:rsidR="009E4636" w:rsidRDefault="00245B70">
            <w:pPr>
              <w:jc w:val="right"/>
            </w:pPr>
            <w:r>
              <w:t>65.00</w:t>
            </w:r>
          </w:p>
        </w:tc>
        <w:tc>
          <w:tcPr>
            <w:tcW w:w="1479" w:type="dxa"/>
            <w:vAlign w:val="center"/>
          </w:tcPr>
          <w:p w:rsidR="009E4636" w:rsidRDefault="00245B70">
            <w:pPr>
              <w:jc w:val="right"/>
            </w:pPr>
            <w:r>
              <w:t>-66,444,300.00</w:t>
            </w:r>
          </w:p>
        </w:tc>
        <w:tc>
          <w:tcPr>
            <w:tcW w:w="1480" w:type="dxa"/>
            <w:vAlign w:val="center"/>
          </w:tcPr>
          <w:p w:rsidR="009E4636" w:rsidRDefault="00245B70">
            <w:pPr>
              <w:jc w:val="right"/>
            </w:pPr>
            <w:r>
              <w:t>-1,845,180.00</w:t>
            </w:r>
          </w:p>
        </w:tc>
        <w:tc>
          <w:tcPr>
            <w:tcW w:w="1473" w:type="dxa"/>
            <w:vAlign w:val="center"/>
          </w:tcPr>
          <w:p w:rsidR="009E4636" w:rsidRDefault="00245B70">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bookmarkStart w:id="0" w:name="_GoBack"/>
            <w:bookmarkEnd w:id="0"/>
            <w:r w:rsidR="00FF2AC3" w:rsidRPr="00FF2AC3">
              <w:rPr>
                <w:rFonts w:ascii="Times New Roman" w:hAnsi="Times New Roman" w:cs="Times New Roman"/>
                <w:color w:val="auto"/>
              </w:rPr>
              <w:t>1,366,420.00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-1,772,468.00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-1,277,932.00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04308C" w:rsidRPr="00414345">
        <w:rPr>
          <w:b/>
          <w:bCs/>
          <w:color w:val="000000"/>
          <w:kern w:val="0"/>
          <w:sz w:val="24"/>
          <w:szCs w:val="24"/>
        </w:rPr>
        <w:t xml:space="preserve"> </w:t>
      </w:r>
      <w:r w:rsidR="00275745" w:rsidRPr="00414345">
        <w:rPr>
          <w:b/>
          <w:bCs/>
          <w:color w:val="000000"/>
          <w:kern w:val="0"/>
          <w:sz w:val="24"/>
          <w:szCs w:val="24"/>
        </w:rPr>
        <w:t>本基金投资股指期货的投资政策</w:t>
      </w:r>
    </w:p>
    <w:p w:rsidR="009E4636" w:rsidRDefault="00245B70">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报告期内本基金投资的前十名证券的发行主体除金龙汽车（证券代码：</w:t>
      </w:r>
      <w:r w:rsidRPr="00BE5388">
        <w:rPr>
          <w:bCs/>
          <w:color w:val="000000"/>
          <w:kern w:val="0"/>
          <w:sz w:val="24"/>
          <w:szCs w:val="24"/>
        </w:rPr>
        <w:t>600686</w:t>
      </w:r>
      <w:r w:rsidRPr="00BE5388">
        <w:rPr>
          <w:bCs/>
          <w:color w:val="000000"/>
          <w:kern w:val="0"/>
          <w:sz w:val="24"/>
          <w:szCs w:val="24"/>
        </w:rPr>
        <w:t>）外，未出现被监管部门立案调查，或在报告编制日前一年内受到公开谴责、处罚的情形。</w:t>
      </w:r>
    </w:p>
    <w:p w:rsidR="009E4636" w:rsidRDefault="00245B70">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报告期内本基金投资的前十名证券之一金龙汽车（证券代码：</w:t>
      </w:r>
      <w:r>
        <w:rPr>
          <w:bCs/>
          <w:color w:val="000000"/>
          <w:kern w:val="0"/>
          <w:sz w:val="24"/>
          <w:szCs w:val="24"/>
        </w:rPr>
        <w:t>600686</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日公告，公司控股子公司金龙联合汽车工业（苏州）有限公司因违反了《财政违法行为处罚处分条例》、《私人购买新能源汽车试点财政补助资金管理暂行办法》和《财政部</w:t>
      </w:r>
      <w:r>
        <w:rPr>
          <w:bCs/>
          <w:color w:val="000000"/>
          <w:kern w:val="0"/>
          <w:sz w:val="24"/>
          <w:szCs w:val="24"/>
        </w:rPr>
        <w:t xml:space="preserve"> </w:t>
      </w:r>
      <w:r>
        <w:rPr>
          <w:bCs/>
          <w:color w:val="000000"/>
          <w:kern w:val="0"/>
          <w:sz w:val="24"/>
          <w:szCs w:val="24"/>
        </w:rPr>
        <w:t>科技部</w:t>
      </w:r>
      <w:r>
        <w:rPr>
          <w:bCs/>
          <w:color w:val="000000"/>
          <w:kern w:val="0"/>
          <w:sz w:val="24"/>
          <w:szCs w:val="24"/>
        </w:rPr>
        <w:t xml:space="preserve"> </w:t>
      </w:r>
      <w:r>
        <w:rPr>
          <w:bCs/>
          <w:color w:val="000000"/>
          <w:kern w:val="0"/>
          <w:sz w:val="24"/>
          <w:szCs w:val="24"/>
        </w:rPr>
        <w:t>工业和信息化部</w:t>
      </w:r>
      <w:r>
        <w:rPr>
          <w:bCs/>
          <w:color w:val="000000"/>
          <w:kern w:val="0"/>
          <w:sz w:val="24"/>
          <w:szCs w:val="24"/>
        </w:rPr>
        <w:t xml:space="preserve"> </w:t>
      </w:r>
      <w:r>
        <w:rPr>
          <w:bCs/>
          <w:color w:val="000000"/>
          <w:kern w:val="0"/>
          <w:sz w:val="24"/>
          <w:szCs w:val="24"/>
        </w:rPr>
        <w:t>发展改革委关于继续开展新能源汽车推广应用工作的通知》的有关规定，于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25</w:t>
      </w:r>
      <w:r>
        <w:rPr>
          <w:bCs/>
          <w:color w:val="000000"/>
          <w:kern w:val="0"/>
          <w:sz w:val="24"/>
          <w:szCs w:val="24"/>
        </w:rPr>
        <w:t>日收到财政部下发的《财政部行政处罚决定书》（财监</w:t>
      </w:r>
      <w:r>
        <w:rPr>
          <w:bCs/>
          <w:color w:val="000000"/>
          <w:kern w:val="0"/>
          <w:sz w:val="24"/>
          <w:szCs w:val="24"/>
        </w:rPr>
        <w:t>[2016]46</w:t>
      </w:r>
      <w:r>
        <w:rPr>
          <w:bCs/>
          <w:color w:val="000000"/>
          <w:kern w:val="0"/>
          <w:sz w:val="24"/>
          <w:szCs w:val="24"/>
        </w:rPr>
        <w:t>号）和《财政部关于金龙联合汽车工业（苏州）有限公司新能源汽车推广应用补助资金专项检查的处理决定》（财监</w:t>
      </w:r>
      <w:r>
        <w:rPr>
          <w:bCs/>
          <w:color w:val="000000"/>
          <w:kern w:val="0"/>
          <w:sz w:val="24"/>
          <w:szCs w:val="24"/>
        </w:rPr>
        <w:t>[2016]50</w:t>
      </w:r>
      <w:r>
        <w:rPr>
          <w:bCs/>
          <w:color w:val="000000"/>
          <w:kern w:val="0"/>
          <w:sz w:val="24"/>
          <w:szCs w:val="24"/>
        </w:rPr>
        <w:t>号）。据此，财政部决定对苏州金龙公司作出按违规问题金额的</w:t>
      </w:r>
      <w:r>
        <w:rPr>
          <w:bCs/>
          <w:color w:val="000000"/>
          <w:kern w:val="0"/>
          <w:sz w:val="24"/>
          <w:szCs w:val="24"/>
        </w:rPr>
        <w:t>50%</w:t>
      </w:r>
      <w:r>
        <w:rPr>
          <w:bCs/>
          <w:color w:val="000000"/>
          <w:kern w:val="0"/>
          <w:sz w:val="24"/>
          <w:szCs w:val="24"/>
        </w:rPr>
        <w:t>处以</w:t>
      </w:r>
      <w:r>
        <w:rPr>
          <w:bCs/>
          <w:color w:val="000000"/>
          <w:kern w:val="0"/>
          <w:sz w:val="24"/>
          <w:szCs w:val="24"/>
        </w:rPr>
        <w:t>25,960.5</w:t>
      </w:r>
      <w:r>
        <w:rPr>
          <w:bCs/>
          <w:color w:val="000000"/>
          <w:kern w:val="0"/>
          <w:sz w:val="24"/>
          <w:szCs w:val="24"/>
        </w:rPr>
        <w:t>万元罚款的行政处罚；财政部决定追回苏州金龙公司</w:t>
      </w:r>
      <w:r>
        <w:rPr>
          <w:bCs/>
          <w:color w:val="000000"/>
          <w:kern w:val="0"/>
          <w:sz w:val="24"/>
          <w:szCs w:val="24"/>
        </w:rPr>
        <w:t>2015</w:t>
      </w:r>
      <w:r>
        <w:rPr>
          <w:bCs/>
          <w:color w:val="000000"/>
          <w:kern w:val="0"/>
          <w:sz w:val="24"/>
          <w:szCs w:val="24"/>
        </w:rPr>
        <w:t>年中央财政预拨资金</w:t>
      </w:r>
      <w:r>
        <w:rPr>
          <w:bCs/>
          <w:color w:val="000000"/>
          <w:kern w:val="0"/>
          <w:sz w:val="24"/>
          <w:szCs w:val="24"/>
        </w:rPr>
        <w:t>51,921</w:t>
      </w:r>
      <w:r>
        <w:rPr>
          <w:bCs/>
          <w:color w:val="000000"/>
          <w:kern w:val="0"/>
          <w:sz w:val="24"/>
          <w:szCs w:val="24"/>
        </w:rPr>
        <w:t>万元，该笔资金将在</w:t>
      </w:r>
      <w:r>
        <w:rPr>
          <w:bCs/>
          <w:color w:val="000000"/>
          <w:kern w:val="0"/>
          <w:sz w:val="24"/>
          <w:szCs w:val="24"/>
        </w:rPr>
        <w:t>2015</w:t>
      </w:r>
      <w:r>
        <w:rPr>
          <w:bCs/>
          <w:color w:val="000000"/>
          <w:kern w:val="0"/>
          <w:sz w:val="24"/>
          <w:szCs w:val="24"/>
        </w:rPr>
        <w:t>年度资金清算过程中予以扣减；从</w:t>
      </w:r>
      <w:r>
        <w:rPr>
          <w:bCs/>
          <w:color w:val="000000"/>
          <w:kern w:val="0"/>
          <w:sz w:val="24"/>
          <w:szCs w:val="24"/>
        </w:rPr>
        <w:t>2016</w:t>
      </w:r>
      <w:r>
        <w:rPr>
          <w:bCs/>
          <w:color w:val="000000"/>
          <w:kern w:val="0"/>
          <w:sz w:val="24"/>
          <w:szCs w:val="24"/>
        </w:rPr>
        <w:t>年起取消苏州金龙公司中央财政补助资格。公司于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23</w:t>
      </w:r>
      <w:r>
        <w:rPr>
          <w:bCs/>
          <w:color w:val="000000"/>
          <w:kern w:val="0"/>
          <w:sz w:val="24"/>
          <w:szCs w:val="24"/>
        </w:rPr>
        <w:t>日公告，公司控股子公司金龙联合汽车工业（苏州）有限公司因违反《道路机动车辆生产企业及产品公告》管理中关于生产一致性和合格证管理的相关规定，于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21</w:t>
      </w:r>
      <w:r>
        <w:rPr>
          <w:bCs/>
          <w:color w:val="000000"/>
          <w:kern w:val="0"/>
          <w:sz w:val="24"/>
          <w:szCs w:val="24"/>
        </w:rPr>
        <w:t>日收到中华人民共和国工业和信息化部下发的《工业和信息化部行政处罚决定书》（工信装罚</w:t>
      </w:r>
      <w:r>
        <w:rPr>
          <w:bCs/>
          <w:color w:val="000000"/>
          <w:kern w:val="0"/>
          <w:sz w:val="24"/>
          <w:szCs w:val="24"/>
        </w:rPr>
        <w:t>[2016]002</w:t>
      </w:r>
      <w:r>
        <w:rPr>
          <w:bCs/>
          <w:color w:val="000000"/>
          <w:kern w:val="0"/>
          <w:sz w:val="24"/>
          <w:szCs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Pr>
          <w:bCs/>
          <w:color w:val="000000"/>
          <w:kern w:val="0"/>
          <w:sz w:val="24"/>
          <w:szCs w:val="24"/>
        </w:rPr>
        <w:t>6</w:t>
      </w:r>
      <w:r>
        <w:rPr>
          <w:bCs/>
          <w:color w:val="000000"/>
          <w:kern w:val="0"/>
          <w:sz w:val="24"/>
          <w:szCs w:val="24"/>
        </w:rPr>
        <w:t>个月整改，整改完成后，工信部将对整改情况进行验收。</w:t>
      </w:r>
    </w:p>
    <w:p w:rsidR="009E4636" w:rsidRDefault="00245B70">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20,093,674.03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7C4944" w:rsidP="00C15CAC">
            <w:pPr>
              <w:autoSpaceDE w:val="0"/>
              <w:autoSpaceDN w:val="0"/>
              <w:adjustRightInd w:val="0"/>
              <w:spacing w:before="29" w:line="288" w:lineRule="auto"/>
              <w:ind w:left="15"/>
              <w:jc w:val="right"/>
              <w:rPr>
                <w:color w:val="000000"/>
                <w:sz w:val="24"/>
                <w:szCs w:val="24"/>
              </w:rPr>
            </w:pPr>
            <w:r w:rsidRPr="007C4944">
              <w:rPr>
                <w:color w:val="000000"/>
                <w:sz w:val="24"/>
                <w:szCs w:val="24"/>
              </w:rPr>
              <w:t>35</w:t>
            </w:r>
            <w:r>
              <w:rPr>
                <w:color w:val="000000"/>
                <w:sz w:val="24"/>
                <w:szCs w:val="24"/>
              </w:rPr>
              <w:t>,</w:t>
            </w:r>
            <w:r w:rsidRPr="007C4944">
              <w:rPr>
                <w:color w:val="000000"/>
                <w:sz w:val="24"/>
                <w:szCs w:val="24"/>
              </w:rPr>
              <w:t>171</w:t>
            </w:r>
            <w:r>
              <w:rPr>
                <w:color w:val="000000"/>
                <w:sz w:val="24"/>
                <w:szCs w:val="24"/>
              </w:rPr>
              <w:t>,</w:t>
            </w:r>
            <w:r w:rsidRPr="007C4944">
              <w:rPr>
                <w:color w:val="000000"/>
                <w:sz w:val="24"/>
                <w:szCs w:val="24"/>
              </w:rPr>
              <w:t>886.51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1,001,393.73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673,496.77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7C4944" w:rsidP="00C15CAC">
            <w:pPr>
              <w:autoSpaceDE w:val="0"/>
              <w:autoSpaceDN w:val="0"/>
              <w:adjustRightInd w:val="0"/>
              <w:spacing w:before="29" w:line="288" w:lineRule="auto"/>
              <w:ind w:left="15"/>
              <w:jc w:val="right"/>
              <w:rPr>
                <w:color w:val="000000"/>
                <w:sz w:val="24"/>
                <w:szCs w:val="24"/>
              </w:rPr>
            </w:pPr>
            <w:r w:rsidRPr="007C4944">
              <w:rPr>
                <w:color w:val="000000"/>
                <w:sz w:val="24"/>
                <w:szCs w:val="24"/>
              </w:rPr>
              <w:t>56</w:t>
            </w:r>
            <w:r>
              <w:rPr>
                <w:color w:val="000000"/>
                <w:sz w:val="24"/>
                <w:szCs w:val="24"/>
              </w:rPr>
              <w:t>,</w:t>
            </w:r>
            <w:r w:rsidRPr="007C4944">
              <w:rPr>
                <w:color w:val="000000"/>
                <w:sz w:val="24"/>
                <w:szCs w:val="24"/>
              </w:rPr>
              <w:t>940</w:t>
            </w:r>
            <w:r>
              <w:rPr>
                <w:color w:val="000000"/>
                <w:sz w:val="24"/>
                <w:szCs w:val="24"/>
              </w:rPr>
              <w:t>,</w:t>
            </w:r>
            <w:r w:rsidRPr="007C4944">
              <w:rPr>
                <w:color w:val="000000"/>
                <w:sz w:val="24"/>
                <w:szCs w:val="24"/>
              </w:rPr>
              <w:t>451.04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B705A4" w:rsidRPr="00414345" w:rsidTr="004A159D">
        <w:trPr>
          <w:jc w:val="center"/>
        </w:trPr>
        <w:tc>
          <w:tcPr>
            <w:tcW w:w="1083"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B705A4" w:rsidRPr="00414345" w:rsidRDefault="00B705A4" w:rsidP="004A159D">
            <w:pPr>
              <w:spacing w:before="29" w:line="288" w:lineRule="auto"/>
              <w:ind w:left="17"/>
              <w:jc w:val="center"/>
              <w:rPr>
                <w:color w:val="000000"/>
                <w:sz w:val="24"/>
                <w:szCs w:val="24"/>
              </w:rPr>
            </w:pPr>
            <w:r w:rsidRPr="00414345">
              <w:rPr>
                <w:color w:val="000000"/>
                <w:sz w:val="24"/>
                <w:szCs w:val="24"/>
              </w:rPr>
              <w:t>流通受限情况说明</w:t>
            </w:r>
          </w:p>
        </w:tc>
      </w:tr>
      <w:tr w:rsidR="00B705A4" w:rsidTr="004A159D">
        <w:trPr>
          <w:jc w:val="center"/>
        </w:trPr>
        <w:tc>
          <w:tcPr>
            <w:tcW w:w="1129" w:type="dxa"/>
            <w:vAlign w:val="center"/>
          </w:tcPr>
          <w:p w:rsidR="00B705A4" w:rsidRDefault="00B705A4" w:rsidP="004A159D">
            <w:pPr>
              <w:jc w:val="center"/>
            </w:pPr>
            <w:r>
              <w:rPr>
                <w:color w:val="000000"/>
                <w:sz w:val="24"/>
                <w:szCs w:val="24"/>
              </w:rPr>
              <w:t>1</w:t>
            </w:r>
          </w:p>
        </w:tc>
        <w:tc>
          <w:tcPr>
            <w:tcW w:w="1356" w:type="dxa"/>
            <w:vAlign w:val="center"/>
          </w:tcPr>
          <w:p w:rsidR="00B705A4" w:rsidRDefault="00B705A4" w:rsidP="004A159D">
            <w:pPr>
              <w:jc w:val="center"/>
            </w:pPr>
            <w:r>
              <w:rPr>
                <w:color w:val="000000"/>
                <w:sz w:val="24"/>
                <w:szCs w:val="24"/>
              </w:rPr>
              <w:t>000821</w:t>
            </w:r>
          </w:p>
        </w:tc>
        <w:tc>
          <w:tcPr>
            <w:tcW w:w="1355" w:type="dxa"/>
            <w:vAlign w:val="center"/>
          </w:tcPr>
          <w:p w:rsidR="00B705A4" w:rsidRDefault="00B705A4" w:rsidP="004A159D">
            <w:pPr>
              <w:jc w:val="center"/>
            </w:pPr>
            <w:r>
              <w:rPr>
                <w:color w:val="000000"/>
                <w:sz w:val="24"/>
                <w:szCs w:val="24"/>
              </w:rPr>
              <w:t>京山轻机</w:t>
            </w:r>
          </w:p>
        </w:tc>
        <w:tc>
          <w:tcPr>
            <w:tcW w:w="1880" w:type="dxa"/>
            <w:vAlign w:val="center"/>
          </w:tcPr>
          <w:p w:rsidR="00B705A4" w:rsidRDefault="00B705A4" w:rsidP="004A159D">
            <w:pPr>
              <w:jc w:val="right"/>
            </w:pPr>
            <w:r>
              <w:rPr>
                <w:color w:val="000000"/>
                <w:sz w:val="24"/>
                <w:szCs w:val="24"/>
              </w:rPr>
              <w:t>39,598,431.84</w:t>
            </w:r>
          </w:p>
        </w:tc>
        <w:tc>
          <w:tcPr>
            <w:tcW w:w="1724" w:type="dxa"/>
            <w:vAlign w:val="center"/>
          </w:tcPr>
          <w:p w:rsidR="00B705A4" w:rsidRDefault="00B705A4" w:rsidP="004A159D">
            <w:pPr>
              <w:jc w:val="right"/>
            </w:pPr>
            <w:r>
              <w:rPr>
                <w:color w:val="000000"/>
                <w:sz w:val="24"/>
                <w:szCs w:val="24"/>
              </w:rPr>
              <w:t>3.48</w:t>
            </w:r>
          </w:p>
        </w:tc>
        <w:tc>
          <w:tcPr>
            <w:tcW w:w="1424" w:type="dxa"/>
            <w:vAlign w:val="center"/>
          </w:tcPr>
          <w:p w:rsidR="00B705A4" w:rsidRDefault="00B705A4" w:rsidP="004A159D">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1,246,392,194.17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47,128,124.89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226,140,501.72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1,067,379,817.34</w:t>
            </w:r>
          </w:p>
        </w:tc>
      </w:tr>
    </w:tbl>
    <w:p w:rsidR="009E4636" w:rsidRDefault="00245B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E4636" w:rsidRDefault="00245B7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9E4636" w:rsidRDefault="00245B7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9E4636" w:rsidRDefault="00245B7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9E4636" w:rsidRDefault="00245B7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9E4636" w:rsidRDefault="00245B7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E4636" w:rsidRDefault="00245B7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70" w:rsidRDefault="00245B70" w:rsidP="00876D65">
      <w:r>
        <w:separator/>
      </w:r>
    </w:p>
  </w:endnote>
  <w:endnote w:type="continuationSeparator" w:id="0">
    <w:p w:rsidR="00245B70" w:rsidRDefault="00245B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70" w:rsidRPr="001D0DB0" w:rsidRDefault="00245B70"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F2AC3">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F2AC3">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70" w:rsidRDefault="00245B70" w:rsidP="00876D65">
      <w:r>
        <w:separator/>
      </w:r>
    </w:p>
  </w:footnote>
  <w:footnote w:type="continuationSeparator" w:id="0">
    <w:p w:rsidR="00245B70" w:rsidRDefault="00245B7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70" w:rsidRPr="00CA574C" w:rsidRDefault="00245B70"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5B70"/>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4944"/>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6D4F"/>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87C82"/>
    <w:rsid w:val="00990685"/>
    <w:rsid w:val="009A0ABE"/>
    <w:rsid w:val="009A4E5D"/>
    <w:rsid w:val="009B2D4B"/>
    <w:rsid w:val="009C5186"/>
    <w:rsid w:val="009C60F7"/>
    <w:rsid w:val="009D0952"/>
    <w:rsid w:val="009E19A9"/>
    <w:rsid w:val="009E31DA"/>
    <w:rsid w:val="009E402C"/>
    <w:rsid w:val="009E4636"/>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2DD7"/>
    <w:rsid w:val="00B16985"/>
    <w:rsid w:val="00B22DEE"/>
    <w:rsid w:val="00B27479"/>
    <w:rsid w:val="00B32AA7"/>
    <w:rsid w:val="00B34678"/>
    <w:rsid w:val="00B35024"/>
    <w:rsid w:val="00B371B4"/>
    <w:rsid w:val="00B40F64"/>
    <w:rsid w:val="00B42A76"/>
    <w:rsid w:val="00B47982"/>
    <w:rsid w:val="00B56F53"/>
    <w:rsid w:val="00B62AC1"/>
    <w:rsid w:val="00B64723"/>
    <w:rsid w:val="00B705A4"/>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87122"/>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2AC3"/>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57F8-00A9-404C-B005-19656541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12</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秦蔚青</cp:lastModifiedBy>
  <cp:revision>568</cp:revision>
  <dcterms:created xsi:type="dcterms:W3CDTF">2012-10-16T06:07:00Z</dcterms:created>
  <dcterms:modified xsi:type="dcterms:W3CDTF">2017-04-19T02:43:00Z</dcterms:modified>
</cp:coreProperties>
</file>