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bookmarkStart w:id="0" w:name="_GoBack"/>
      <w:bookmarkEnd w:id="0"/>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proofErr w:type="gramStart"/>
      <w:r w:rsidRPr="005E324A">
        <w:rPr>
          <w:rFonts w:eastAsiaTheme="minorEastAsia"/>
          <w:b/>
          <w:sz w:val="36"/>
          <w:szCs w:val="36"/>
        </w:rPr>
        <w:t>交银施罗</w:t>
      </w:r>
      <w:proofErr w:type="gramEnd"/>
      <w:r w:rsidRPr="005E324A">
        <w:rPr>
          <w:rFonts w:eastAsiaTheme="minorEastAsia"/>
          <w:b/>
          <w:sz w:val="36"/>
          <w:szCs w:val="36"/>
        </w:rPr>
        <w:t>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2017</w:t>
      </w:r>
      <w:r w:rsidRPr="005E324A">
        <w:rPr>
          <w:rFonts w:eastAsiaTheme="minorEastAsia"/>
          <w:b/>
          <w:sz w:val="36"/>
          <w:szCs w:val="36"/>
        </w:rPr>
        <w:t>年第</w:t>
      </w:r>
      <w:r w:rsidRPr="005E324A">
        <w:rPr>
          <w:rFonts w:eastAsiaTheme="minorEastAsia"/>
          <w:b/>
          <w:sz w:val="36"/>
          <w:szCs w:val="36"/>
        </w:rPr>
        <w:t>1</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2017</w:t>
      </w:r>
      <w:r w:rsidRPr="005E324A">
        <w:rPr>
          <w:rFonts w:eastAsiaTheme="minorEastAsia"/>
          <w:b/>
          <w:sz w:val="36"/>
          <w:szCs w:val="36"/>
        </w:rPr>
        <w:t>年</w:t>
      </w:r>
      <w:r w:rsidRPr="005E324A">
        <w:rPr>
          <w:rFonts w:eastAsiaTheme="minorEastAsia"/>
          <w:b/>
          <w:sz w:val="36"/>
          <w:szCs w:val="36"/>
        </w:rPr>
        <w:t>3</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二〇一七年四月二十四日</w:t>
      </w:r>
    </w:p>
    <w:p w:rsidR="00220542" w:rsidRPr="005E324A" w:rsidRDefault="00220542" w:rsidP="007674F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E504A1" w:rsidRDefault="00A152B0">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504A1" w:rsidRDefault="00A152B0">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504A1" w:rsidRDefault="00A152B0">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504A1" w:rsidRDefault="00A152B0">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E504A1" w:rsidRDefault="00A152B0">
      <w:pPr>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w:t>
            </w:r>
            <w:proofErr w:type="gramStart"/>
            <w:r w:rsidRPr="005E324A">
              <w:rPr>
                <w:rFonts w:eastAsiaTheme="minorEastAsia"/>
                <w:color w:val="000000"/>
                <w:kern w:val="0"/>
                <w:sz w:val="24"/>
              </w:rPr>
              <w:t>银国证新能源</w:t>
            </w:r>
            <w:proofErr w:type="gramEnd"/>
            <w:r w:rsidRPr="005E324A">
              <w:rPr>
                <w:rFonts w:eastAsiaTheme="minorEastAsia"/>
                <w:color w:val="000000"/>
                <w:kern w:val="0"/>
                <w:sz w:val="24"/>
              </w:rPr>
              <w:t>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960,854,312.44</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w:t>
            </w:r>
            <w:proofErr w:type="gramStart"/>
            <w:r w:rsidRPr="005E324A">
              <w:rPr>
                <w:rFonts w:eastAsiaTheme="minorEastAsia"/>
                <w:color w:val="000000"/>
                <w:kern w:val="0"/>
                <w:sz w:val="24"/>
              </w:rPr>
              <w:t>按照国证新</w:t>
            </w:r>
            <w:r w:rsidRPr="005E324A">
              <w:rPr>
                <w:rFonts w:eastAsiaTheme="minorEastAsia"/>
                <w:color w:val="000000"/>
                <w:kern w:val="0"/>
                <w:sz w:val="24"/>
              </w:rPr>
              <w:lastRenderedPageBreak/>
              <w:t>能源</w:t>
            </w:r>
            <w:proofErr w:type="gramEnd"/>
            <w:r w:rsidRPr="005E324A">
              <w:rPr>
                <w:rFonts w:eastAsiaTheme="minorEastAsia"/>
                <w:color w:val="000000"/>
                <w:kern w:val="0"/>
                <w:sz w:val="24"/>
              </w:rPr>
              <w:t>指数中的成份</w:t>
            </w:r>
            <w:proofErr w:type="gramStart"/>
            <w:r w:rsidRPr="005E324A">
              <w:rPr>
                <w:rFonts w:eastAsiaTheme="minorEastAsia"/>
                <w:color w:val="000000"/>
                <w:kern w:val="0"/>
                <w:sz w:val="24"/>
              </w:rPr>
              <w:t>股组成</w:t>
            </w:r>
            <w:proofErr w:type="gramEnd"/>
            <w:r w:rsidRPr="005E324A">
              <w:rPr>
                <w:rFonts w:eastAsiaTheme="minorEastAsia"/>
                <w:color w:val="000000"/>
                <w:kern w:val="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proofErr w:type="gramStart"/>
            <w:r w:rsidRPr="005E324A">
              <w:rPr>
                <w:rFonts w:eastAsiaTheme="minorEastAsia"/>
                <w:color w:val="000000"/>
                <w:kern w:val="0"/>
                <w:sz w:val="24"/>
              </w:rPr>
              <w:t>国证新能源</w:t>
            </w:r>
            <w:proofErr w:type="gramEnd"/>
            <w:r w:rsidRPr="005E324A">
              <w:rPr>
                <w:rFonts w:eastAsiaTheme="minorEastAsia"/>
                <w:color w:val="000000"/>
                <w:kern w:val="0"/>
                <w:sz w:val="24"/>
              </w:rPr>
              <w:t>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558,479,446.44</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201,187,433.00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201,187,433.00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A4442E" w:rsidRPr="005E324A" w:rsidTr="00A4442E">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A4442E" w:rsidRPr="005E324A" w:rsidTr="00A4442E">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-7,808,942.60</w:t>
            </w:r>
          </w:p>
        </w:tc>
      </w:tr>
      <w:tr w:rsidR="00A4442E" w:rsidRPr="005E324A" w:rsidTr="00A4442E">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30,504,827.14</w:t>
            </w:r>
          </w:p>
        </w:tc>
      </w:tr>
      <w:tr w:rsidR="00A4442E" w:rsidRPr="005E324A" w:rsidTr="00A4442E">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0.0279</w:t>
            </w:r>
          </w:p>
        </w:tc>
      </w:tr>
      <w:tr w:rsidR="00A4442E" w:rsidRPr="005E324A" w:rsidTr="00A4442E">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787,435,041.77</w:t>
            </w:r>
          </w:p>
        </w:tc>
      </w:tr>
      <w:tr w:rsidR="00A4442E" w:rsidRPr="005E324A" w:rsidTr="00A4442E">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0.820</w:t>
            </w:r>
          </w:p>
        </w:tc>
      </w:tr>
    </w:tbl>
    <w:p w:rsidR="00E504A1" w:rsidRDefault="00A152B0">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w:t>
      </w:r>
      <w:proofErr w:type="gramStart"/>
      <w:r w:rsidRPr="005E324A">
        <w:rPr>
          <w:rFonts w:eastAsiaTheme="minorEastAsia"/>
          <w:b/>
          <w:color w:val="000000"/>
          <w:kern w:val="0"/>
          <w:sz w:val="24"/>
        </w:rPr>
        <w:t>期基金</w:t>
      </w:r>
      <w:proofErr w:type="gramEnd"/>
      <w:r w:rsidRPr="005E324A">
        <w:rPr>
          <w:rFonts w:eastAsiaTheme="minorEastAsia"/>
          <w:b/>
          <w:color w:val="000000"/>
          <w:kern w:val="0"/>
          <w:sz w:val="24"/>
        </w:rPr>
        <w:t>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E504A1">
        <w:tc>
          <w:tcPr>
            <w:tcW w:w="1215" w:type="dxa"/>
            <w:vAlign w:val="center"/>
          </w:tcPr>
          <w:p w:rsidR="00E504A1" w:rsidRDefault="00A152B0">
            <w:pPr>
              <w:jc w:val="left"/>
            </w:pPr>
            <w:r>
              <w:rPr>
                <w:rFonts w:eastAsiaTheme="minorEastAsia"/>
                <w:color w:val="000000"/>
                <w:kern w:val="0"/>
                <w:sz w:val="24"/>
              </w:rPr>
              <w:t>过去三个月</w:t>
            </w:r>
          </w:p>
        </w:tc>
        <w:tc>
          <w:tcPr>
            <w:tcW w:w="1216" w:type="dxa"/>
            <w:vAlign w:val="center"/>
          </w:tcPr>
          <w:p w:rsidR="00E504A1" w:rsidRDefault="00A152B0">
            <w:pPr>
              <w:jc w:val="center"/>
            </w:pPr>
            <w:r>
              <w:rPr>
                <w:rFonts w:eastAsiaTheme="minorEastAsia"/>
                <w:color w:val="000000"/>
                <w:kern w:val="0"/>
                <w:sz w:val="24"/>
              </w:rPr>
              <w:t>-0.12%</w:t>
            </w:r>
          </w:p>
        </w:tc>
        <w:tc>
          <w:tcPr>
            <w:tcW w:w="1216" w:type="dxa"/>
            <w:vAlign w:val="center"/>
          </w:tcPr>
          <w:p w:rsidR="00E504A1" w:rsidRDefault="00A152B0">
            <w:pPr>
              <w:jc w:val="center"/>
            </w:pPr>
            <w:r>
              <w:rPr>
                <w:rFonts w:eastAsiaTheme="minorEastAsia"/>
                <w:color w:val="000000"/>
                <w:kern w:val="0"/>
                <w:sz w:val="24"/>
              </w:rPr>
              <w:t>0.83%</w:t>
            </w:r>
          </w:p>
        </w:tc>
        <w:tc>
          <w:tcPr>
            <w:tcW w:w="1216" w:type="dxa"/>
            <w:vAlign w:val="center"/>
          </w:tcPr>
          <w:p w:rsidR="00E504A1" w:rsidRDefault="00A152B0">
            <w:pPr>
              <w:jc w:val="center"/>
            </w:pPr>
            <w:r>
              <w:rPr>
                <w:rFonts w:eastAsiaTheme="minorEastAsia"/>
                <w:color w:val="000000"/>
                <w:kern w:val="0"/>
                <w:sz w:val="24"/>
              </w:rPr>
              <w:t>3.67%</w:t>
            </w:r>
          </w:p>
        </w:tc>
        <w:tc>
          <w:tcPr>
            <w:tcW w:w="1216" w:type="dxa"/>
            <w:vAlign w:val="center"/>
          </w:tcPr>
          <w:p w:rsidR="00E504A1" w:rsidRDefault="00A152B0">
            <w:pPr>
              <w:jc w:val="center"/>
            </w:pPr>
            <w:r>
              <w:rPr>
                <w:rFonts w:eastAsiaTheme="minorEastAsia"/>
                <w:color w:val="000000"/>
                <w:kern w:val="0"/>
                <w:sz w:val="24"/>
              </w:rPr>
              <w:t>0.76%</w:t>
            </w:r>
          </w:p>
        </w:tc>
        <w:tc>
          <w:tcPr>
            <w:tcW w:w="1217" w:type="dxa"/>
            <w:vAlign w:val="center"/>
          </w:tcPr>
          <w:p w:rsidR="00E504A1" w:rsidRDefault="00A152B0">
            <w:pPr>
              <w:jc w:val="center"/>
            </w:pPr>
            <w:r>
              <w:rPr>
                <w:rFonts w:eastAsiaTheme="minorEastAsia"/>
                <w:color w:val="000000"/>
                <w:kern w:val="0"/>
                <w:sz w:val="24"/>
              </w:rPr>
              <w:t>-3.79%</w:t>
            </w:r>
          </w:p>
        </w:tc>
        <w:tc>
          <w:tcPr>
            <w:tcW w:w="1217" w:type="dxa"/>
            <w:vAlign w:val="center"/>
          </w:tcPr>
          <w:p w:rsidR="00E504A1" w:rsidRDefault="00A152B0">
            <w:pPr>
              <w:jc w:val="center"/>
            </w:pPr>
            <w:r>
              <w:rPr>
                <w:rFonts w:eastAsiaTheme="minorEastAsia"/>
                <w:color w:val="000000"/>
                <w:kern w:val="0"/>
                <w:sz w:val="24"/>
              </w:rPr>
              <w:t>0.07%</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2017</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E504A1">
        <w:tc>
          <w:tcPr>
            <w:tcW w:w="952" w:type="dxa"/>
            <w:vAlign w:val="center"/>
          </w:tcPr>
          <w:p w:rsidR="00E504A1" w:rsidRDefault="00A152B0">
            <w:pPr>
              <w:jc w:val="center"/>
            </w:pPr>
            <w:r>
              <w:rPr>
                <w:rFonts w:eastAsiaTheme="minorEastAsia"/>
                <w:color w:val="000000"/>
                <w:sz w:val="24"/>
              </w:rPr>
              <w:t>蔡铮</w:t>
            </w:r>
          </w:p>
        </w:tc>
        <w:tc>
          <w:tcPr>
            <w:tcW w:w="930" w:type="dxa"/>
            <w:vAlign w:val="center"/>
          </w:tcPr>
          <w:p w:rsidR="00E504A1" w:rsidRDefault="00A152B0" w:rsidP="00690131">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w:t>
            </w:r>
            <w:proofErr w:type="gramStart"/>
            <w:r>
              <w:rPr>
                <w:rFonts w:eastAsiaTheme="minorEastAsia"/>
                <w:color w:val="000000"/>
                <w:sz w:val="24"/>
              </w:rPr>
              <w:t>交银深证</w:t>
            </w:r>
            <w:proofErr w:type="gramEnd"/>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w:t>
            </w:r>
            <w:proofErr w:type="gramStart"/>
            <w:r>
              <w:rPr>
                <w:rFonts w:eastAsiaTheme="minorEastAsia"/>
                <w:color w:val="000000"/>
                <w:sz w:val="24"/>
              </w:rPr>
              <w:t>银国证新能源</w:t>
            </w:r>
            <w:proofErr w:type="gramEnd"/>
            <w:r>
              <w:rPr>
                <w:rFonts w:eastAsiaTheme="minorEastAsia"/>
                <w:color w:val="000000"/>
                <w:sz w:val="24"/>
              </w:rPr>
              <w:t>指数分级、交银中</w:t>
            </w:r>
            <w:proofErr w:type="gramStart"/>
            <w:r>
              <w:rPr>
                <w:rFonts w:eastAsiaTheme="minorEastAsia"/>
                <w:color w:val="000000"/>
                <w:sz w:val="24"/>
              </w:rPr>
              <w:t>证海外</w:t>
            </w:r>
            <w:proofErr w:type="gramEnd"/>
            <w:r>
              <w:rPr>
                <w:rFonts w:eastAsiaTheme="minorEastAsia"/>
                <w:color w:val="000000"/>
                <w:sz w:val="24"/>
              </w:rPr>
              <w:t>中国互联网指数（</w:t>
            </w:r>
            <w:r>
              <w:rPr>
                <w:rFonts w:eastAsiaTheme="minorEastAsia"/>
                <w:color w:val="000000"/>
                <w:sz w:val="24"/>
              </w:rPr>
              <w:t>QDII-LOF)</w:t>
            </w:r>
            <w:r>
              <w:rPr>
                <w:rFonts w:eastAsiaTheme="minorEastAsia"/>
                <w:color w:val="000000"/>
                <w:sz w:val="24"/>
              </w:rPr>
              <w:t>、交银中证互联网金融指数分级、交银中</w:t>
            </w:r>
            <w:proofErr w:type="gramStart"/>
            <w:r>
              <w:rPr>
                <w:rFonts w:eastAsiaTheme="minorEastAsia"/>
                <w:color w:val="000000"/>
                <w:sz w:val="24"/>
              </w:rPr>
              <w:t>证环境</w:t>
            </w:r>
            <w:proofErr w:type="gramEnd"/>
            <w:r>
              <w:rPr>
                <w:rFonts w:eastAsiaTheme="minorEastAsia"/>
                <w:color w:val="000000"/>
                <w:sz w:val="24"/>
              </w:rPr>
              <w:t>治理指数（</w:t>
            </w:r>
            <w:r>
              <w:rPr>
                <w:rFonts w:eastAsiaTheme="minorEastAsia"/>
                <w:color w:val="000000"/>
                <w:sz w:val="24"/>
              </w:rPr>
              <w:t>LOF</w:t>
            </w:r>
            <w:r>
              <w:rPr>
                <w:rFonts w:eastAsiaTheme="minorEastAsia"/>
                <w:color w:val="000000"/>
                <w:sz w:val="24"/>
              </w:rPr>
              <w:t>）的基金经理，公司量化投资部副总经理</w:t>
            </w:r>
          </w:p>
        </w:tc>
        <w:tc>
          <w:tcPr>
            <w:tcW w:w="1210" w:type="dxa"/>
            <w:vAlign w:val="center"/>
          </w:tcPr>
          <w:p w:rsidR="00E504A1" w:rsidRDefault="00A152B0">
            <w:pPr>
              <w:jc w:val="center"/>
            </w:pPr>
            <w:r>
              <w:rPr>
                <w:rFonts w:eastAsiaTheme="minorEastAsia"/>
                <w:color w:val="000000"/>
                <w:sz w:val="24"/>
              </w:rPr>
              <w:t>2015-03-26</w:t>
            </w:r>
          </w:p>
        </w:tc>
        <w:tc>
          <w:tcPr>
            <w:tcW w:w="1309" w:type="dxa"/>
            <w:vAlign w:val="center"/>
          </w:tcPr>
          <w:p w:rsidR="00E504A1" w:rsidRDefault="00A152B0">
            <w:pPr>
              <w:jc w:val="center"/>
            </w:pPr>
            <w:r>
              <w:rPr>
                <w:rFonts w:eastAsiaTheme="minorEastAsia"/>
                <w:color w:val="000000"/>
                <w:sz w:val="24"/>
              </w:rPr>
              <w:t>-</w:t>
            </w:r>
          </w:p>
        </w:tc>
        <w:tc>
          <w:tcPr>
            <w:tcW w:w="1254" w:type="dxa"/>
            <w:vAlign w:val="center"/>
          </w:tcPr>
          <w:p w:rsidR="00E504A1" w:rsidRDefault="00A152B0">
            <w:pPr>
              <w:jc w:val="center"/>
            </w:pPr>
            <w:r>
              <w:rPr>
                <w:rFonts w:eastAsiaTheme="minorEastAsia"/>
                <w:color w:val="000000"/>
                <w:sz w:val="24"/>
              </w:rPr>
              <w:t>8</w:t>
            </w:r>
            <w:r>
              <w:rPr>
                <w:rFonts w:eastAsiaTheme="minorEastAsia"/>
                <w:color w:val="000000"/>
                <w:sz w:val="24"/>
              </w:rPr>
              <w:t>年</w:t>
            </w:r>
          </w:p>
        </w:tc>
        <w:tc>
          <w:tcPr>
            <w:tcW w:w="3276" w:type="dxa"/>
            <w:vAlign w:val="center"/>
          </w:tcPr>
          <w:p w:rsidR="00E504A1" w:rsidRDefault="00A152B0">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 xml:space="preserve"> </w:t>
      </w:r>
      <w:r w:rsidRPr="005E324A">
        <w:rPr>
          <w:rFonts w:eastAsiaTheme="minorEastAsia"/>
          <w:sz w:val="24"/>
        </w:rPr>
        <w:t>公平交易制度的执行情况</w:t>
      </w:r>
    </w:p>
    <w:p w:rsidR="00E504A1" w:rsidRDefault="00A152B0">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504A1" w:rsidRDefault="00A152B0">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E504A1" w:rsidRDefault="00A152B0">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 xml:space="preserve"> </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E504A1" w:rsidRDefault="00A152B0">
      <w:pPr>
        <w:spacing w:line="360" w:lineRule="auto"/>
        <w:ind w:firstLineChars="200" w:firstLine="480"/>
        <w:rPr>
          <w:rFonts w:eastAsiaTheme="minorEastAsia"/>
          <w:color w:val="000000"/>
          <w:kern w:val="0"/>
          <w:sz w:val="24"/>
        </w:rPr>
      </w:pPr>
      <w:r>
        <w:rPr>
          <w:rFonts w:eastAsiaTheme="minorEastAsia"/>
          <w:color w:val="000000"/>
          <w:kern w:val="0"/>
          <w:sz w:val="24"/>
        </w:rPr>
        <w:t>2017</w:t>
      </w:r>
      <w:r>
        <w:rPr>
          <w:rFonts w:eastAsiaTheme="minorEastAsia"/>
          <w:color w:val="000000"/>
          <w:kern w:val="0"/>
          <w:sz w:val="24"/>
        </w:rPr>
        <w:t>年一季度，国内宏观经济延续弱势平稳的态势，货币政策中性偏紧，经济基本面对资本市场的支持力度总体较为有限。美联储加息，预计全球流动性将进入逐步紧缩的周期。</w:t>
      </w:r>
      <w:r>
        <w:rPr>
          <w:rFonts w:eastAsiaTheme="minorEastAsia"/>
          <w:color w:val="000000"/>
          <w:kern w:val="0"/>
          <w:sz w:val="24"/>
        </w:rPr>
        <w:t>A</w:t>
      </w:r>
      <w:r>
        <w:rPr>
          <w:rFonts w:eastAsiaTheme="minorEastAsia"/>
          <w:color w:val="000000"/>
          <w:kern w:val="0"/>
          <w:sz w:val="24"/>
        </w:rPr>
        <w:t>股市场呈现出震荡上扬格局，期间低估值蓝筹股表现较好，这与地产需求预期的修复不无关系。作为跟踪国证新能源指数的指数基金，在本季度总体呈现出震荡上扬的走势。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展望下一季度，国内经济已有所企稳，处于阶段性弱复苏期间，预计将继续维持温和增长的态势。预计严控房价依然是常态，金融部门去杠杆将持续。我们对</w:t>
      </w:r>
      <w:r w:rsidRPr="005E324A">
        <w:rPr>
          <w:rFonts w:eastAsiaTheme="minorEastAsia"/>
          <w:color w:val="000000"/>
          <w:kern w:val="0"/>
          <w:sz w:val="24"/>
        </w:rPr>
        <w:t>A</w:t>
      </w:r>
      <w:r w:rsidRPr="005E324A">
        <w:rPr>
          <w:rFonts w:eastAsiaTheme="minorEastAsia"/>
          <w:color w:val="000000"/>
          <w:kern w:val="0"/>
          <w:sz w:val="24"/>
        </w:rPr>
        <w:t>股市场总体维持谨慎的态度。</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2017</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日，本基金份额净值为</w:t>
      </w:r>
      <w:r w:rsidRPr="005E324A">
        <w:rPr>
          <w:rFonts w:eastAsiaTheme="minorEastAsia"/>
          <w:color w:val="000000"/>
          <w:kern w:val="0"/>
          <w:sz w:val="24"/>
        </w:rPr>
        <w:t>0.820</w:t>
      </w:r>
      <w:r w:rsidRPr="005E324A">
        <w:rPr>
          <w:rFonts w:eastAsiaTheme="minorEastAsia"/>
          <w:color w:val="000000"/>
          <w:kern w:val="0"/>
          <w:sz w:val="24"/>
        </w:rPr>
        <w:t>元，本报告期份额净值增长率为</w:t>
      </w:r>
      <w:r w:rsidRPr="005E324A">
        <w:rPr>
          <w:rFonts w:eastAsiaTheme="minorEastAsia"/>
          <w:color w:val="000000"/>
          <w:kern w:val="0"/>
          <w:sz w:val="24"/>
        </w:rPr>
        <w:t>-0.12%</w:t>
      </w:r>
      <w:r w:rsidRPr="005E324A">
        <w:rPr>
          <w:rFonts w:eastAsiaTheme="minorEastAsia"/>
          <w:color w:val="000000"/>
          <w:kern w:val="0"/>
          <w:sz w:val="24"/>
        </w:rPr>
        <w:t>，同期业绩比较基准增长率为</w:t>
      </w:r>
      <w:r w:rsidRPr="005E324A">
        <w:rPr>
          <w:rFonts w:eastAsiaTheme="minorEastAsia"/>
          <w:color w:val="000000"/>
          <w:kern w:val="0"/>
          <w:sz w:val="24"/>
        </w:rPr>
        <w:t>3.67%</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747,324,572.88</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94.04</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747,324,572.88</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94.04</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47,103,169.58</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5.93</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239,814.21</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0.03</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794,667,556.67</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r w:rsidR="00656A06">
          <w:rPr>
            <w:rFonts w:eastAsiaTheme="minorEastAsia" w:hint="eastAsia"/>
            <w:b/>
            <w:color w:val="000000"/>
            <w:kern w:val="0"/>
            <w:sz w:val="24"/>
          </w:rPr>
          <w:t xml:space="preserve"> </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3F30A8" w:rsidRPr="005E324A" w:rsidRDefault="003F30A8" w:rsidP="0019563C">
      <w:pPr>
        <w:autoSpaceDE w:val="0"/>
        <w:autoSpaceDN w:val="0"/>
        <w:adjustRightInd w:val="0"/>
        <w:spacing w:line="360" w:lineRule="auto"/>
        <w:jc w:val="left"/>
        <w:rPr>
          <w:rFonts w:eastAsiaTheme="minor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r w:rsidR="00656A06">
          <w:rPr>
            <w:rFonts w:eastAsiaTheme="minorEastAsia" w:hint="eastAsia"/>
            <w:b/>
            <w:color w:val="000000"/>
            <w:kern w:val="0"/>
            <w:sz w:val="24"/>
          </w:rPr>
          <w:t xml:space="preserve"> </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19,831,807.31</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2.52</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654,507,699.13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83.12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28,005,803.34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3.56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9,354,470.07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1.19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27,426,996.43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3.48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8,197,796.60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1.04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747,324,572.88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94.91</w:t>
            </w:r>
          </w:p>
        </w:tc>
      </w:tr>
    </w:tbl>
    <w:p w:rsidR="003F30A8" w:rsidRDefault="003F30A8" w:rsidP="007674F7">
      <w:pPr>
        <w:spacing w:before="29" w:line="288" w:lineRule="auto"/>
        <w:rPr>
          <w:b/>
          <w:color w:val="000000"/>
          <w:kern w:val="0"/>
          <w:sz w:val="24"/>
        </w:rPr>
      </w:pPr>
    </w:p>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3F30A8" w:rsidRDefault="003F30A8" w:rsidP="003A4DA3">
      <w:pPr>
        <w:autoSpaceDE w:val="0"/>
        <w:autoSpaceDN w:val="0"/>
        <w:adjustRightInd w:val="0"/>
        <w:spacing w:line="360" w:lineRule="auto"/>
        <w:jc w:val="left"/>
        <w:rPr>
          <w:rFonts w:eastAsiaTheme="minorEastAsia"/>
          <w:b/>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656A06">
        <w:rPr>
          <w:rFonts w:eastAsiaTheme="minorEastAsia" w:hint="eastAsia"/>
          <w:b/>
          <w:color w:val="000000"/>
          <w:kern w:val="0"/>
          <w:sz w:val="24"/>
        </w:rPr>
        <w:t xml:space="preserve"> </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504A1">
        <w:tc>
          <w:tcPr>
            <w:tcW w:w="817" w:type="dxa"/>
            <w:vAlign w:val="center"/>
          </w:tcPr>
          <w:p w:rsidR="00E504A1" w:rsidRDefault="00A152B0">
            <w:pPr>
              <w:jc w:val="center"/>
            </w:pPr>
            <w:r>
              <w:rPr>
                <w:rFonts w:eastAsiaTheme="minorEastAsia"/>
                <w:color w:val="000000"/>
                <w:sz w:val="24"/>
              </w:rPr>
              <w:t>1</w:t>
            </w:r>
          </w:p>
        </w:tc>
        <w:tc>
          <w:tcPr>
            <w:tcW w:w="1276" w:type="dxa"/>
            <w:vAlign w:val="center"/>
          </w:tcPr>
          <w:p w:rsidR="00E504A1" w:rsidRDefault="00A152B0">
            <w:pPr>
              <w:jc w:val="center"/>
            </w:pPr>
            <w:r>
              <w:rPr>
                <w:rFonts w:eastAsiaTheme="minorEastAsia"/>
                <w:color w:val="000000"/>
                <w:sz w:val="24"/>
              </w:rPr>
              <w:t>002129</w:t>
            </w:r>
          </w:p>
        </w:tc>
        <w:tc>
          <w:tcPr>
            <w:tcW w:w="1701" w:type="dxa"/>
            <w:vAlign w:val="center"/>
          </w:tcPr>
          <w:p w:rsidR="00E504A1" w:rsidRDefault="00A152B0">
            <w:pPr>
              <w:jc w:val="center"/>
            </w:pPr>
            <w:r>
              <w:rPr>
                <w:rFonts w:eastAsiaTheme="minorEastAsia"/>
                <w:color w:val="000000"/>
                <w:sz w:val="24"/>
              </w:rPr>
              <w:t>中环股份</w:t>
            </w:r>
          </w:p>
        </w:tc>
        <w:tc>
          <w:tcPr>
            <w:tcW w:w="1276" w:type="dxa"/>
            <w:vAlign w:val="center"/>
          </w:tcPr>
          <w:p w:rsidR="00E504A1" w:rsidRDefault="00A152B0">
            <w:pPr>
              <w:jc w:val="right"/>
            </w:pPr>
            <w:r>
              <w:rPr>
                <w:rFonts w:eastAsiaTheme="minorEastAsia"/>
                <w:color w:val="000000"/>
                <w:sz w:val="24"/>
              </w:rPr>
              <w:t>2,550,864</w:t>
            </w:r>
          </w:p>
        </w:tc>
        <w:tc>
          <w:tcPr>
            <w:tcW w:w="1842" w:type="dxa"/>
            <w:vAlign w:val="center"/>
          </w:tcPr>
          <w:p w:rsidR="00E504A1" w:rsidRDefault="00A152B0">
            <w:pPr>
              <w:jc w:val="right"/>
            </w:pPr>
            <w:r>
              <w:rPr>
                <w:rFonts w:eastAsiaTheme="minorEastAsia"/>
                <w:color w:val="000000"/>
                <w:sz w:val="24"/>
              </w:rPr>
              <w:t>25,330,079.52</w:t>
            </w:r>
          </w:p>
        </w:tc>
        <w:tc>
          <w:tcPr>
            <w:tcW w:w="1616" w:type="dxa"/>
            <w:vAlign w:val="center"/>
          </w:tcPr>
          <w:p w:rsidR="00E504A1" w:rsidRDefault="00A152B0">
            <w:pPr>
              <w:jc w:val="right"/>
            </w:pPr>
            <w:r>
              <w:rPr>
                <w:rFonts w:eastAsiaTheme="minorEastAsia"/>
                <w:color w:val="000000"/>
                <w:sz w:val="24"/>
              </w:rPr>
              <w:t>3.22</w:t>
            </w:r>
          </w:p>
        </w:tc>
      </w:tr>
      <w:tr w:rsidR="00E504A1">
        <w:tc>
          <w:tcPr>
            <w:tcW w:w="817" w:type="dxa"/>
            <w:vAlign w:val="center"/>
          </w:tcPr>
          <w:p w:rsidR="00E504A1" w:rsidRDefault="00A152B0">
            <w:pPr>
              <w:jc w:val="center"/>
            </w:pPr>
            <w:r>
              <w:rPr>
                <w:rFonts w:eastAsiaTheme="minorEastAsia"/>
                <w:color w:val="000000"/>
                <w:sz w:val="24"/>
              </w:rPr>
              <w:t>2</w:t>
            </w:r>
          </w:p>
        </w:tc>
        <w:tc>
          <w:tcPr>
            <w:tcW w:w="1276" w:type="dxa"/>
            <w:vAlign w:val="center"/>
          </w:tcPr>
          <w:p w:rsidR="00E504A1" w:rsidRDefault="00A152B0">
            <w:pPr>
              <w:jc w:val="center"/>
            </w:pPr>
            <w:r>
              <w:rPr>
                <w:rFonts w:eastAsiaTheme="minorEastAsia"/>
                <w:color w:val="000000"/>
                <w:sz w:val="24"/>
              </w:rPr>
              <w:t>601727</w:t>
            </w:r>
          </w:p>
        </w:tc>
        <w:tc>
          <w:tcPr>
            <w:tcW w:w="1701" w:type="dxa"/>
            <w:vAlign w:val="center"/>
          </w:tcPr>
          <w:p w:rsidR="00E504A1" w:rsidRDefault="00A152B0">
            <w:pPr>
              <w:jc w:val="center"/>
            </w:pPr>
            <w:r>
              <w:rPr>
                <w:rFonts w:eastAsiaTheme="minorEastAsia"/>
                <w:color w:val="000000"/>
                <w:sz w:val="24"/>
              </w:rPr>
              <w:t>上海电气</w:t>
            </w:r>
          </w:p>
        </w:tc>
        <w:tc>
          <w:tcPr>
            <w:tcW w:w="1276" w:type="dxa"/>
            <w:vAlign w:val="center"/>
          </w:tcPr>
          <w:p w:rsidR="00E504A1" w:rsidRDefault="00A152B0">
            <w:pPr>
              <w:jc w:val="right"/>
            </w:pPr>
            <w:r>
              <w:rPr>
                <w:rFonts w:eastAsiaTheme="minorEastAsia"/>
                <w:color w:val="000000"/>
                <w:sz w:val="24"/>
              </w:rPr>
              <w:t>2,309,607</w:t>
            </w:r>
          </w:p>
        </w:tc>
        <w:tc>
          <w:tcPr>
            <w:tcW w:w="1842" w:type="dxa"/>
            <w:vAlign w:val="center"/>
          </w:tcPr>
          <w:p w:rsidR="00E504A1" w:rsidRDefault="00A152B0">
            <w:pPr>
              <w:jc w:val="right"/>
            </w:pPr>
            <w:r>
              <w:rPr>
                <w:rFonts w:eastAsiaTheme="minorEastAsia"/>
                <w:color w:val="000000"/>
                <w:sz w:val="24"/>
              </w:rPr>
              <w:t>19,446,890.94</w:t>
            </w:r>
          </w:p>
        </w:tc>
        <w:tc>
          <w:tcPr>
            <w:tcW w:w="1616" w:type="dxa"/>
            <w:vAlign w:val="center"/>
          </w:tcPr>
          <w:p w:rsidR="00E504A1" w:rsidRDefault="00A152B0">
            <w:pPr>
              <w:jc w:val="right"/>
            </w:pPr>
            <w:r>
              <w:rPr>
                <w:rFonts w:eastAsiaTheme="minorEastAsia"/>
                <w:color w:val="000000"/>
                <w:sz w:val="24"/>
              </w:rPr>
              <w:t>2.47</w:t>
            </w:r>
          </w:p>
        </w:tc>
      </w:tr>
      <w:tr w:rsidR="00E504A1">
        <w:tc>
          <w:tcPr>
            <w:tcW w:w="817" w:type="dxa"/>
            <w:vAlign w:val="center"/>
          </w:tcPr>
          <w:p w:rsidR="00E504A1" w:rsidRDefault="00A152B0">
            <w:pPr>
              <w:jc w:val="center"/>
            </w:pPr>
            <w:r>
              <w:rPr>
                <w:rFonts w:eastAsiaTheme="minorEastAsia"/>
                <w:color w:val="000000"/>
                <w:sz w:val="24"/>
              </w:rPr>
              <w:t>3</w:t>
            </w:r>
          </w:p>
        </w:tc>
        <w:tc>
          <w:tcPr>
            <w:tcW w:w="1276" w:type="dxa"/>
            <w:vAlign w:val="center"/>
          </w:tcPr>
          <w:p w:rsidR="00E504A1" w:rsidRDefault="00A152B0">
            <w:pPr>
              <w:jc w:val="center"/>
            </w:pPr>
            <w:r>
              <w:rPr>
                <w:rFonts w:eastAsiaTheme="minorEastAsia"/>
                <w:color w:val="000000"/>
                <w:sz w:val="24"/>
              </w:rPr>
              <w:t>600406</w:t>
            </w:r>
          </w:p>
        </w:tc>
        <w:tc>
          <w:tcPr>
            <w:tcW w:w="1701" w:type="dxa"/>
            <w:vAlign w:val="center"/>
          </w:tcPr>
          <w:p w:rsidR="00E504A1" w:rsidRDefault="00A152B0">
            <w:pPr>
              <w:jc w:val="center"/>
            </w:pPr>
            <w:r>
              <w:rPr>
                <w:rFonts w:eastAsiaTheme="minorEastAsia"/>
                <w:color w:val="000000"/>
                <w:sz w:val="24"/>
              </w:rPr>
              <w:t>国电南瑞</w:t>
            </w:r>
          </w:p>
        </w:tc>
        <w:tc>
          <w:tcPr>
            <w:tcW w:w="1276" w:type="dxa"/>
            <w:vAlign w:val="center"/>
          </w:tcPr>
          <w:p w:rsidR="00E504A1" w:rsidRDefault="00A152B0">
            <w:pPr>
              <w:jc w:val="right"/>
            </w:pPr>
            <w:r>
              <w:rPr>
                <w:rFonts w:eastAsiaTheme="minorEastAsia"/>
                <w:color w:val="000000"/>
                <w:sz w:val="24"/>
              </w:rPr>
              <w:t>1,007,359</w:t>
            </w:r>
          </w:p>
        </w:tc>
        <w:tc>
          <w:tcPr>
            <w:tcW w:w="1842" w:type="dxa"/>
            <w:vAlign w:val="center"/>
          </w:tcPr>
          <w:p w:rsidR="00E504A1" w:rsidRDefault="00A152B0">
            <w:pPr>
              <w:jc w:val="right"/>
            </w:pPr>
            <w:r>
              <w:rPr>
                <w:rFonts w:eastAsiaTheme="minorEastAsia"/>
                <w:color w:val="000000"/>
                <w:sz w:val="24"/>
              </w:rPr>
              <w:t>16,752,380.17</w:t>
            </w:r>
          </w:p>
        </w:tc>
        <w:tc>
          <w:tcPr>
            <w:tcW w:w="1616" w:type="dxa"/>
            <w:vAlign w:val="center"/>
          </w:tcPr>
          <w:p w:rsidR="00E504A1" w:rsidRDefault="00A152B0">
            <w:pPr>
              <w:jc w:val="right"/>
            </w:pPr>
            <w:r>
              <w:rPr>
                <w:rFonts w:eastAsiaTheme="minorEastAsia"/>
                <w:color w:val="000000"/>
                <w:sz w:val="24"/>
              </w:rPr>
              <w:t>2.13</w:t>
            </w:r>
          </w:p>
        </w:tc>
      </w:tr>
      <w:tr w:rsidR="00E504A1">
        <w:tc>
          <w:tcPr>
            <w:tcW w:w="817" w:type="dxa"/>
            <w:vAlign w:val="center"/>
          </w:tcPr>
          <w:p w:rsidR="00E504A1" w:rsidRDefault="00A152B0">
            <w:pPr>
              <w:jc w:val="center"/>
            </w:pPr>
            <w:r>
              <w:rPr>
                <w:rFonts w:eastAsiaTheme="minorEastAsia"/>
                <w:color w:val="000000"/>
                <w:sz w:val="24"/>
              </w:rPr>
              <w:t>4</w:t>
            </w:r>
          </w:p>
        </w:tc>
        <w:tc>
          <w:tcPr>
            <w:tcW w:w="1276" w:type="dxa"/>
            <w:vAlign w:val="center"/>
          </w:tcPr>
          <w:p w:rsidR="00E504A1" w:rsidRDefault="00A152B0">
            <w:pPr>
              <w:jc w:val="center"/>
            </w:pPr>
            <w:r>
              <w:rPr>
                <w:rFonts w:eastAsiaTheme="minorEastAsia"/>
                <w:color w:val="000000"/>
                <w:sz w:val="24"/>
              </w:rPr>
              <w:t>600151</w:t>
            </w:r>
          </w:p>
        </w:tc>
        <w:tc>
          <w:tcPr>
            <w:tcW w:w="1701" w:type="dxa"/>
            <w:vAlign w:val="center"/>
          </w:tcPr>
          <w:p w:rsidR="00E504A1" w:rsidRDefault="00A152B0">
            <w:pPr>
              <w:jc w:val="center"/>
            </w:pPr>
            <w:r>
              <w:rPr>
                <w:rFonts w:eastAsiaTheme="minorEastAsia"/>
                <w:color w:val="000000"/>
                <w:sz w:val="24"/>
              </w:rPr>
              <w:t>航天机电</w:t>
            </w:r>
          </w:p>
        </w:tc>
        <w:tc>
          <w:tcPr>
            <w:tcW w:w="1276" w:type="dxa"/>
            <w:vAlign w:val="center"/>
          </w:tcPr>
          <w:p w:rsidR="00E504A1" w:rsidRDefault="00A152B0">
            <w:pPr>
              <w:jc w:val="right"/>
            </w:pPr>
            <w:r>
              <w:rPr>
                <w:rFonts w:eastAsiaTheme="minorEastAsia"/>
                <w:color w:val="000000"/>
                <w:sz w:val="24"/>
              </w:rPr>
              <w:t>1,429,109</w:t>
            </w:r>
          </w:p>
        </w:tc>
        <w:tc>
          <w:tcPr>
            <w:tcW w:w="1842" w:type="dxa"/>
            <w:vAlign w:val="center"/>
          </w:tcPr>
          <w:p w:rsidR="00E504A1" w:rsidRDefault="00A152B0">
            <w:pPr>
              <w:jc w:val="right"/>
            </w:pPr>
            <w:r>
              <w:rPr>
                <w:rFonts w:eastAsiaTheme="minorEastAsia"/>
                <w:color w:val="000000"/>
                <w:sz w:val="24"/>
              </w:rPr>
              <w:t>15,677,325.73</w:t>
            </w:r>
          </w:p>
        </w:tc>
        <w:tc>
          <w:tcPr>
            <w:tcW w:w="1616" w:type="dxa"/>
            <w:vAlign w:val="center"/>
          </w:tcPr>
          <w:p w:rsidR="00E504A1" w:rsidRDefault="00A152B0">
            <w:pPr>
              <w:jc w:val="right"/>
            </w:pPr>
            <w:r>
              <w:rPr>
                <w:rFonts w:eastAsiaTheme="minorEastAsia"/>
                <w:color w:val="000000"/>
                <w:sz w:val="24"/>
              </w:rPr>
              <w:t>1.99</w:t>
            </w:r>
          </w:p>
        </w:tc>
      </w:tr>
      <w:tr w:rsidR="00E504A1">
        <w:tc>
          <w:tcPr>
            <w:tcW w:w="817" w:type="dxa"/>
            <w:vAlign w:val="center"/>
          </w:tcPr>
          <w:p w:rsidR="00E504A1" w:rsidRDefault="00A152B0">
            <w:pPr>
              <w:jc w:val="center"/>
            </w:pPr>
            <w:r>
              <w:rPr>
                <w:rFonts w:eastAsiaTheme="minorEastAsia"/>
                <w:color w:val="000000"/>
                <w:sz w:val="24"/>
              </w:rPr>
              <w:t>5</w:t>
            </w:r>
          </w:p>
        </w:tc>
        <w:tc>
          <w:tcPr>
            <w:tcW w:w="1276" w:type="dxa"/>
            <w:vAlign w:val="center"/>
          </w:tcPr>
          <w:p w:rsidR="00E504A1" w:rsidRDefault="00A152B0">
            <w:pPr>
              <w:jc w:val="center"/>
            </w:pPr>
            <w:r>
              <w:rPr>
                <w:rFonts w:eastAsiaTheme="minorEastAsia"/>
                <w:color w:val="000000"/>
                <w:sz w:val="24"/>
              </w:rPr>
              <w:t>002460</w:t>
            </w:r>
          </w:p>
        </w:tc>
        <w:tc>
          <w:tcPr>
            <w:tcW w:w="1701" w:type="dxa"/>
            <w:vAlign w:val="center"/>
          </w:tcPr>
          <w:p w:rsidR="00E504A1" w:rsidRDefault="00A152B0">
            <w:pPr>
              <w:jc w:val="center"/>
            </w:pPr>
            <w:r>
              <w:rPr>
                <w:rFonts w:eastAsiaTheme="minorEastAsia"/>
                <w:color w:val="000000"/>
                <w:sz w:val="24"/>
              </w:rPr>
              <w:t>赣锋锂业</w:t>
            </w:r>
          </w:p>
        </w:tc>
        <w:tc>
          <w:tcPr>
            <w:tcW w:w="1276" w:type="dxa"/>
            <w:vAlign w:val="center"/>
          </w:tcPr>
          <w:p w:rsidR="00E504A1" w:rsidRDefault="00A152B0">
            <w:pPr>
              <w:jc w:val="right"/>
            </w:pPr>
            <w:r>
              <w:rPr>
                <w:rFonts w:eastAsiaTheme="minorEastAsia"/>
                <w:color w:val="000000"/>
                <w:sz w:val="24"/>
              </w:rPr>
              <w:t>350,242</w:t>
            </w:r>
          </w:p>
        </w:tc>
        <w:tc>
          <w:tcPr>
            <w:tcW w:w="1842" w:type="dxa"/>
            <w:vAlign w:val="center"/>
          </w:tcPr>
          <w:p w:rsidR="00E504A1" w:rsidRDefault="00A152B0">
            <w:pPr>
              <w:jc w:val="right"/>
            </w:pPr>
            <w:r>
              <w:rPr>
                <w:rFonts w:eastAsiaTheme="minorEastAsia"/>
                <w:color w:val="000000"/>
                <w:sz w:val="24"/>
              </w:rPr>
              <w:t>14,475,501.86</w:t>
            </w:r>
          </w:p>
        </w:tc>
        <w:tc>
          <w:tcPr>
            <w:tcW w:w="1616" w:type="dxa"/>
            <w:vAlign w:val="center"/>
          </w:tcPr>
          <w:p w:rsidR="00E504A1" w:rsidRDefault="00A152B0">
            <w:pPr>
              <w:jc w:val="right"/>
            </w:pPr>
            <w:r>
              <w:rPr>
                <w:rFonts w:eastAsiaTheme="minorEastAsia"/>
                <w:color w:val="000000"/>
                <w:sz w:val="24"/>
              </w:rPr>
              <w:t>1.84</w:t>
            </w:r>
          </w:p>
        </w:tc>
      </w:tr>
      <w:tr w:rsidR="00E504A1">
        <w:tc>
          <w:tcPr>
            <w:tcW w:w="817" w:type="dxa"/>
            <w:vAlign w:val="center"/>
          </w:tcPr>
          <w:p w:rsidR="00E504A1" w:rsidRDefault="00A152B0">
            <w:pPr>
              <w:jc w:val="center"/>
            </w:pPr>
            <w:r>
              <w:rPr>
                <w:rFonts w:eastAsiaTheme="minorEastAsia"/>
                <w:color w:val="000000"/>
                <w:sz w:val="24"/>
              </w:rPr>
              <w:t>6</w:t>
            </w:r>
          </w:p>
        </w:tc>
        <w:tc>
          <w:tcPr>
            <w:tcW w:w="1276" w:type="dxa"/>
            <w:vAlign w:val="center"/>
          </w:tcPr>
          <w:p w:rsidR="00E504A1" w:rsidRDefault="00A152B0">
            <w:pPr>
              <w:jc w:val="center"/>
            </w:pPr>
            <w:r>
              <w:rPr>
                <w:rFonts w:eastAsiaTheme="minorEastAsia"/>
                <w:color w:val="000000"/>
                <w:sz w:val="24"/>
              </w:rPr>
              <w:t>002466</w:t>
            </w:r>
          </w:p>
        </w:tc>
        <w:tc>
          <w:tcPr>
            <w:tcW w:w="1701" w:type="dxa"/>
            <w:vAlign w:val="center"/>
          </w:tcPr>
          <w:p w:rsidR="00E504A1" w:rsidRDefault="00A152B0">
            <w:pPr>
              <w:jc w:val="center"/>
            </w:pPr>
            <w:r>
              <w:rPr>
                <w:rFonts w:eastAsiaTheme="minorEastAsia"/>
                <w:color w:val="000000"/>
                <w:sz w:val="24"/>
              </w:rPr>
              <w:t>天齐锂业</w:t>
            </w:r>
          </w:p>
        </w:tc>
        <w:tc>
          <w:tcPr>
            <w:tcW w:w="1276" w:type="dxa"/>
            <w:vAlign w:val="center"/>
          </w:tcPr>
          <w:p w:rsidR="00E504A1" w:rsidRDefault="00A152B0">
            <w:pPr>
              <w:jc w:val="right"/>
            </w:pPr>
            <w:r>
              <w:rPr>
                <w:rFonts w:eastAsiaTheme="minorEastAsia"/>
                <w:color w:val="000000"/>
                <w:sz w:val="24"/>
              </w:rPr>
              <w:t>289,063</w:t>
            </w:r>
          </w:p>
        </w:tc>
        <w:tc>
          <w:tcPr>
            <w:tcW w:w="1842" w:type="dxa"/>
            <w:vAlign w:val="center"/>
          </w:tcPr>
          <w:p w:rsidR="00E504A1" w:rsidRDefault="00A152B0">
            <w:pPr>
              <w:jc w:val="right"/>
            </w:pPr>
            <w:r>
              <w:rPr>
                <w:rFonts w:eastAsiaTheme="minorEastAsia"/>
                <w:color w:val="000000"/>
                <w:sz w:val="24"/>
              </w:rPr>
              <w:t>12,487,521.60</w:t>
            </w:r>
          </w:p>
        </w:tc>
        <w:tc>
          <w:tcPr>
            <w:tcW w:w="1616" w:type="dxa"/>
            <w:vAlign w:val="center"/>
          </w:tcPr>
          <w:p w:rsidR="00E504A1" w:rsidRDefault="00A152B0">
            <w:pPr>
              <w:jc w:val="right"/>
            </w:pPr>
            <w:r>
              <w:rPr>
                <w:rFonts w:eastAsiaTheme="minorEastAsia"/>
                <w:color w:val="000000"/>
                <w:sz w:val="24"/>
              </w:rPr>
              <w:t>1.59</w:t>
            </w:r>
          </w:p>
        </w:tc>
      </w:tr>
      <w:tr w:rsidR="00E504A1">
        <w:tc>
          <w:tcPr>
            <w:tcW w:w="817" w:type="dxa"/>
            <w:vAlign w:val="center"/>
          </w:tcPr>
          <w:p w:rsidR="00E504A1" w:rsidRDefault="00A152B0">
            <w:pPr>
              <w:jc w:val="center"/>
            </w:pPr>
            <w:r>
              <w:rPr>
                <w:rFonts w:eastAsiaTheme="minorEastAsia"/>
                <w:color w:val="000000"/>
                <w:sz w:val="24"/>
              </w:rPr>
              <w:t>7</w:t>
            </w:r>
          </w:p>
        </w:tc>
        <w:tc>
          <w:tcPr>
            <w:tcW w:w="1276" w:type="dxa"/>
            <w:vAlign w:val="center"/>
          </w:tcPr>
          <w:p w:rsidR="00E504A1" w:rsidRDefault="00A152B0">
            <w:pPr>
              <w:jc w:val="center"/>
            </w:pPr>
            <w:r>
              <w:rPr>
                <w:rFonts w:eastAsiaTheme="minorEastAsia"/>
                <w:color w:val="000000"/>
                <w:sz w:val="24"/>
              </w:rPr>
              <w:t>000049</w:t>
            </w:r>
          </w:p>
        </w:tc>
        <w:tc>
          <w:tcPr>
            <w:tcW w:w="1701" w:type="dxa"/>
            <w:vAlign w:val="center"/>
          </w:tcPr>
          <w:p w:rsidR="00E504A1" w:rsidRDefault="00A152B0">
            <w:pPr>
              <w:jc w:val="center"/>
            </w:pPr>
            <w:r>
              <w:rPr>
                <w:rFonts w:eastAsiaTheme="minorEastAsia"/>
                <w:color w:val="000000"/>
                <w:sz w:val="24"/>
              </w:rPr>
              <w:t>德赛电池</w:t>
            </w:r>
          </w:p>
        </w:tc>
        <w:tc>
          <w:tcPr>
            <w:tcW w:w="1276" w:type="dxa"/>
            <w:vAlign w:val="center"/>
          </w:tcPr>
          <w:p w:rsidR="00E504A1" w:rsidRDefault="00A152B0">
            <w:pPr>
              <w:jc w:val="right"/>
            </w:pPr>
            <w:r>
              <w:rPr>
                <w:rFonts w:eastAsiaTheme="minorEastAsia"/>
                <w:color w:val="000000"/>
                <w:sz w:val="24"/>
              </w:rPr>
              <w:t>232,500</w:t>
            </w:r>
          </w:p>
        </w:tc>
        <w:tc>
          <w:tcPr>
            <w:tcW w:w="1842" w:type="dxa"/>
            <w:vAlign w:val="center"/>
          </w:tcPr>
          <w:p w:rsidR="00E504A1" w:rsidRDefault="00A152B0">
            <w:pPr>
              <w:jc w:val="right"/>
            </w:pPr>
            <w:r>
              <w:rPr>
                <w:rFonts w:eastAsiaTheme="minorEastAsia"/>
                <w:color w:val="000000"/>
                <w:sz w:val="24"/>
              </w:rPr>
              <w:t>11,950,500.00</w:t>
            </w:r>
          </w:p>
        </w:tc>
        <w:tc>
          <w:tcPr>
            <w:tcW w:w="1616" w:type="dxa"/>
            <w:vAlign w:val="center"/>
          </w:tcPr>
          <w:p w:rsidR="00E504A1" w:rsidRDefault="00A152B0">
            <w:pPr>
              <w:jc w:val="right"/>
            </w:pPr>
            <w:r>
              <w:rPr>
                <w:rFonts w:eastAsiaTheme="minorEastAsia"/>
                <w:color w:val="000000"/>
                <w:sz w:val="24"/>
              </w:rPr>
              <w:t>1.52</w:t>
            </w:r>
          </w:p>
        </w:tc>
      </w:tr>
      <w:tr w:rsidR="00E504A1">
        <w:tc>
          <w:tcPr>
            <w:tcW w:w="817" w:type="dxa"/>
            <w:vAlign w:val="center"/>
          </w:tcPr>
          <w:p w:rsidR="00E504A1" w:rsidRDefault="00A152B0">
            <w:pPr>
              <w:jc w:val="center"/>
            </w:pPr>
            <w:r>
              <w:rPr>
                <w:rFonts w:eastAsiaTheme="minorEastAsia"/>
                <w:color w:val="000000"/>
                <w:sz w:val="24"/>
              </w:rPr>
              <w:t>8</w:t>
            </w:r>
          </w:p>
        </w:tc>
        <w:tc>
          <w:tcPr>
            <w:tcW w:w="1276" w:type="dxa"/>
            <w:vAlign w:val="center"/>
          </w:tcPr>
          <w:p w:rsidR="00E504A1" w:rsidRDefault="00A152B0">
            <w:pPr>
              <w:jc w:val="center"/>
            </w:pPr>
            <w:r>
              <w:rPr>
                <w:rFonts w:eastAsiaTheme="minorEastAsia"/>
                <w:color w:val="000000"/>
                <w:sz w:val="24"/>
              </w:rPr>
              <w:t>600089</w:t>
            </w:r>
          </w:p>
        </w:tc>
        <w:tc>
          <w:tcPr>
            <w:tcW w:w="1701" w:type="dxa"/>
            <w:vAlign w:val="center"/>
          </w:tcPr>
          <w:p w:rsidR="00E504A1" w:rsidRDefault="00A152B0">
            <w:pPr>
              <w:jc w:val="center"/>
            </w:pPr>
            <w:r>
              <w:rPr>
                <w:rFonts w:eastAsiaTheme="minorEastAsia"/>
                <w:color w:val="000000"/>
                <w:sz w:val="24"/>
              </w:rPr>
              <w:t>特变电工</w:t>
            </w:r>
          </w:p>
        </w:tc>
        <w:tc>
          <w:tcPr>
            <w:tcW w:w="1276" w:type="dxa"/>
            <w:vAlign w:val="center"/>
          </w:tcPr>
          <w:p w:rsidR="00E504A1" w:rsidRDefault="00A152B0">
            <w:pPr>
              <w:jc w:val="right"/>
            </w:pPr>
            <w:r>
              <w:rPr>
                <w:rFonts w:eastAsiaTheme="minorEastAsia"/>
                <w:color w:val="000000"/>
                <w:sz w:val="24"/>
              </w:rPr>
              <w:t>1,059,357</w:t>
            </w:r>
          </w:p>
        </w:tc>
        <w:tc>
          <w:tcPr>
            <w:tcW w:w="1842" w:type="dxa"/>
            <w:vAlign w:val="center"/>
          </w:tcPr>
          <w:p w:rsidR="00E504A1" w:rsidRDefault="00A152B0">
            <w:pPr>
              <w:jc w:val="right"/>
            </w:pPr>
            <w:r>
              <w:rPr>
                <w:rFonts w:eastAsiaTheme="minorEastAsia"/>
                <w:color w:val="000000"/>
                <w:sz w:val="24"/>
              </w:rPr>
              <w:t>11,854,204.83</w:t>
            </w:r>
          </w:p>
        </w:tc>
        <w:tc>
          <w:tcPr>
            <w:tcW w:w="1616" w:type="dxa"/>
            <w:vAlign w:val="center"/>
          </w:tcPr>
          <w:p w:rsidR="00E504A1" w:rsidRDefault="00A152B0">
            <w:pPr>
              <w:jc w:val="right"/>
            </w:pPr>
            <w:r>
              <w:rPr>
                <w:rFonts w:eastAsiaTheme="minorEastAsia"/>
                <w:color w:val="000000"/>
                <w:sz w:val="24"/>
              </w:rPr>
              <w:t>1.51</w:t>
            </w:r>
          </w:p>
        </w:tc>
      </w:tr>
      <w:tr w:rsidR="00E504A1">
        <w:tc>
          <w:tcPr>
            <w:tcW w:w="817" w:type="dxa"/>
            <w:vAlign w:val="center"/>
          </w:tcPr>
          <w:p w:rsidR="00E504A1" w:rsidRDefault="00A152B0">
            <w:pPr>
              <w:jc w:val="center"/>
            </w:pPr>
            <w:r>
              <w:rPr>
                <w:rFonts w:eastAsiaTheme="minorEastAsia"/>
                <w:color w:val="000000"/>
                <w:sz w:val="24"/>
              </w:rPr>
              <w:t>9</w:t>
            </w:r>
          </w:p>
        </w:tc>
        <w:tc>
          <w:tcPr>
            <w:tcW w:w="1276" w:type="dxa"/>
            <w:vAlign w:val="center"/>
          </w:tcPr>
          <w:p w:rsidR="00E504A1" w:rsidRDefault="00A152B0">
            <w:pPr>
              <w:jc w:val="center"/>
            </w:pPr>
            <w:r>
              <w:rPr>
                <w:rFonts w:eastAsiaTheme="minorEastAsia"/>
                <w:color w:val="000000"/>
                <w:sz w:val="24"/>
              </w:rPr>
              <w:t>300316</w:t>
            </w:r>
          </w:p>
        </w:tc>
        <w:tc>
          <w:tcPr>
            <w:tcW w:w="1701" w:type="dxa"/>
            <w:vAlign w:val="center"/>
          </w:tcPr>
          <w:p w:rsidR="00E504A1" w:rsidRDefault="00A152B0">
            <w:pPr>
              <w:jc w:val="center"/>
            </w:pPr>
            <w:r>
              <w:rPr>
                <w:rFonts w:eastAsiaTheme="minorEastAsia"/>
                <w:color w:val="000000"/>
                <w:sz w:val="24"/>
              </w:rPr>
              <w:t>晶盛机电</w:t>
            </w:r>
          </w:p>
        </w:tc>
        <w:tc>
          <w:tcPr>
            <w:tcW w:w="1276" w:type="dxa"/>
            <w:vAlign w:val="center"/>
          </w:tcPr>
          <w:p w:rsidR="00E504A1" w:rsidRDefault="00A152B0">
            <w:pPr>
              <w:jc w:val="right"/>
            </w:pPr>
            <w:r>
              <w:rPr>
                <w:rFonts w:eastAsiaTheme="minorEastAsia"/>
                <w:color w:val="000000"/>
                <w:sz w:val="24"/>
              </w:rPr>
              <w:t>821,895</w:t>
            </w:r>
          </w:p>
        </w:tc>
        <w:tc>
          <w:tcPr>
            <w:tcW w:w="1842" w:type="dxa"/>
            <w:vAlign w:val="center"/>
          </w:tcPr>
          <w:p w:rsidR="00E504A1" w:rsidRDefault="00A152B0">
            <w:pPr>
              <w:jc w:val="right"/>
            </w:pPr>
            <w:r>
              <w:rPr>
                <w:rFonts w:eastAsiaTheme="minorEastAsia"/>
                <w:color w:val="000000"/>
                <w:sz w:val="24"/>
              </w:rPr>
              <w:t>11,712,003.75</w:t>
            </w:r>
          </w:p>
        </w:tc>
        <w:tc>
          <w:tcPr>
            <w:tcW w:w="1616" w:type="dxa"/>
            <w:vAlign w:val="center"/>
          </w:tcPr>
          <w:p w:rsidR="00E504A1" w:rsidRDefault="00A152B0">
            <w:pPr>
              <w:jc w:val="right"/>
            </w:pPr>
            <w:r>
              <w:rPr>
                <w:rFonts w:eastAsiaTheme="minorEastAsia"/>
                <w:color w:val="000000"/>
                <w:sz w:val="24"/>
              </w:rPr>
              <w:t>1.49</w:t>
            </w:r>
          </w:p>
        </w:tc>
      </w:tr>
      <w:tr w:rsidR="00E504A1">
        <w:tc>
          <w:tcPr>
            <w:tcW w:w="817" w:type="dxa"/>
            <w:vAlign w:val="center"/>
          </w:tcPr>
          <w:p w:rsidR="00E504A1" w:rsidRDefault="00A152B0">
            <w:pPr>
              <w:jc w:val="center"/>
            </w:pPr>
            <w:r>
              <w:rPr>
                <w:rFonts w:eastAsiaTheme="minorEastAsia"/>
                <w:color w:val="000000"/>
                <w:sz w:val="24"/>
              </w:rPr>
              <w:t>10</w:t>
            </w:r>
          </w:p>
        </w:tc>
        <w:tc>
          <w:tcPr>
            <w:tcW w:w="1276" w:type="dxa"/>
            <w:vAlign w:val="center"/>
          </w:tcPr>
          <w:p w:rsidR="00E504A1" w:rsidRDefault="00A152B0">
            <w:pPr>
              <w:jc w:val="center"/>
            </w:pPr>
            <w:r>
              <w:rPr>
                <w:rFonts w:eastAsiaTheme="minorEastAsia"/>
                <w:color w:val="000000"/>
                <w:sz w:val="24"/>
              </w:rPr>
              <w:t>300068</w:t>
            </w:r>
          </w:p>
        </w:tc>
        <w:tc>
          <w:tcPr>
            <w:tcW w:w="1701" w:type="dxa"/>
            <w:vAlign w:val="center"/>
          </w:tcPr>
          <w:p w:rsidR="00E504A1" w:rsidRDefault="00A152B0">
            <w:pPr>
              <w:jc w:val="center"/>
            </w:pPr>
            <w:r>
              <w:rPr>
                <w:rFonts w:eastAsiaTheme="minorEastAsia"/>
                <w:color w:val="000000"/>
                <w:sz w:val="24"/>
              </w:rPr>
              <w:t>南都电源</w:t>
            </w:r>
          </w:p>
        </w:tc>
        <w:tc>
          <w:tcPr>
            <w:tcW w:w="1276" w:type="dxa"/>
            <w:vAlign w:val="center"/>
          </w:tcPr>
          <w:p w:rsidR="00E504A1" w:rsidRDefault="00A152B0">
            <w:pPr>
              <w:jc w:val="right"/>
            </w:pPr>
            <w:r>
              <w:rPr>
                <w:rFonts w:eastAsiaTheme="minorEastAsia"/>
                <w:color w:val="000000"/>
                <w:sz w:val="24"/>
              </w:rPr>
              <w:t>573,199</w:t>
            </w:r>
          </w:p>
        </w:tc>
        <w:tc>
          <w:tcPr>
            <w:tcW w:w="1842" w:type="dxa"/>
            <w:vAlign w:val="center"/>
          </w:tcPr>
          <w:p w:rsidR="00E504A1" w:rsidRDefault="00A152B0">
            <w:pPr>
              <w:jc w:val="right"/>
            </w:pPr>
            <w:r>
              <w:rPr>
                <w:rFonts w:eastAsiaTheme="minorEastAsia"/>
                <w:color w:val="000000"/>
                <w:sz w:val="24"/>
              </w:rPr>
              <w:t>11,544,227.86</w:t>
            </w:r>
          </w:p>
        </w:tc>
        <w:tc>
          <w:tcPr>
            <w:tcW w:w="1616" w:type="dxa"/>
            <w:vAlign w:val="center"/>
          </w:tcPr>
          <w:p w:rsidR="00E504A1" w:rsidRDefault="00A152B0">
            <w:pPr>
              <w:jc w:val="right"/>
            </w:pPr>
            <w:r>
              <w:rPr>
                <w:rFonts w:eastAsiaTheme="minorEastAsia"/>
                <w:color w:val="000000"/>
                <w:sz w:val="24"/>
              </w:rPr>
              <w:t>1.47</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656A06">
        <w:rPr>
          <w:rFonts w:eastAsiaTheme="minorEastAsia" w:hint="eastAsia"/>
          <w:b/>
          <w:bCs/>
          <w:color w:val="000000"/>
          <w:kern w:val="0"/>
          <w:sz w:val="24"/>
        </w:rPr>
        <w:t xml:space="preserve"> </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 xml:space="preserve"> </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3F30A8" w:rsidRPr="005E324A" w:rsidRDefault="003F30A8"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 xml:space="preserve"> </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656A06">
        <w:rPr>
          <w:rFonts w:eastAsiaTheme="minorEastAsia" w:hint="eastAsia"/>
          <w:b/>
          <w:bCs/>
          <w:color w:val="000000"/>
          <w:kern w:val="0"/>
          <w:sz w:val="24"/>
        </w:rPr>
        <w:t xml:space="preserve"> </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136,127.16</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9,957.35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93,729.70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239,814.21</w:t>
            </w:r>
          </w:p>
        </w:tc>
      </w:tr>
    </w:tbl>
    <w:p w:rsidR="003F30A8" w:rsidRDefault="003F30A8" w:rsidP="00576862">
      <w:pPr>
        <w:autoSpaceDE w:val="0"/>
        <w:autoSpaceDN w:val="0"/>
        <w:adjustRightInd w:val="0"/>
        <w:spacing w:line="360" w:lineRule="auto"/>
        <w:jc w:val="left"/>
        <w:rPr>
          <w:rFonts w:eastAsiaTheme="minorEastAsia"/>
          <w:b/>
          <w:bCs/>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774535">
        <w:rPr>
          <w:rFonts w:eastAsiaTheme="minorEastAsia" w:hint="eastAsia"/>
          <w:b/>
          <w:bCs/>
          <w:color w:val="000000"/>
          <w:kern w:val="0"/>
          <w:sz w:val="24"/>
        </w:rPr>
        <w:t xml:space="preserve"> </w:t>
      </w:r>
      <w:r w:rsidR="00220542" w:rsidRPr="005E324A">
        <w:rPr>
          <w:rFonts w:eastAsiaTheme="minorEastAsia"/>
          <w:b/>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3F30A8" w:rsidRPr="005E324A" w:rsidRDefault="003F30A8" w:rsidP="006B10DA">
      <w:pPr>
        <w:autoSpaceDE w:val="0"/>
        <w:autoSpaceDN w:val="0"/>
        <w:adjustRightInd w:val="0"/>
        <w:spacing w:line="360" w:lineRule="auto"/>
        <w:jc w:val="left"/>
        <w:rPr>
          <w:rFonts w:eastAsiaTheme="minor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5E324A" w:rsidTr="007A6BEA">
        <w:tc>
          <w:tcPr>
            <w:tcW w:w="1083"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E504A1">
        <w:tc>
          <w:tcPr>
            <w:tcW w:w="1083" w:type="dxa"/>
            <w:vAlign w:val="center"/>
          </w:tcPr>
          <w:p w:rsidR="00E504A1" w:rsidRDefault="00A152B0">
            <w:pPr>
              <w:jc w:val="center"/>
            </w:pPr>
            <w:r>
              <w:rPr>
                <w:rFonts w:eastAsiaTheme="minorEastAsia"/>
                <w:color w:val="000000"/>
                <w:sz w:val="24"/>
              </w:rPr>
              <w:t>1</w:t>
            </w:r>
          </w:p>
        </w:tc>
        <w:tc>
          <w:tcPr>
            <w:tcW w:w="1302" w:type="dxa"/>
            <w:vAlign w:val="center"/>
          </w:tcPr>
          <w:p w:rsidR="00E504A1" w:rsidRDefault="00A152B0">
            <w:pPr>
              <w:jc w:val="center"/>
            </w:pPr>
            <w:r>
              <w:rPr>
                <w:rFonts w:eastAsiaTheme="minorEastAsia"/>
                <w:color w:val="000000"/>
                <w:sz w:val="24"/>
              </w:rPr>
              <w:t>002129</w:t>
            </w:r>
          </w:p>
        </w:tc>
        <w:tc>
          <w:tcPr>
            <w:tcW w:w="1301" w:type="dxa"/>
            <w:vAlign w:val="center"/>
          </w:tcPr>
          <w:p w:rsidR="00E504A1" w:rsidRDefault="00A152B0">
            <w:pPr>
              <w:jc w:val="center"/>
            </w:pPr>
            <w:r>
              <w:rPr>
                <w:rFonts w:eastAsiaTheme="minorEastAsia"/>
                <w:color w:val="000000"/>
                <w:sz w:val="24"/>
              </w:rPr>
              <w:t>中环股份</w:t>
            </w:r>
          </w:p>
        </w:tc>
        <w:tc>
          <w:tcPr>
            <w:tcW w:w="1805" w:type="dxa"/>
            <w:vAlign w:val="center"/>
          </w:tcPr>
          <w:p w:rsidR="00E504A1" w:rsidRDefault="00A152B0">
            <w:pPr>
              <w:jc w:val="right"/>
            </w:pPr>
            <w:r>
              <w:rPr>
                <w:rFonts w:eastAsiaTheme="minorEastAsia"/>
                <w:color w:val="000000"/>
                <w:sz w:val="24"/>
              </w:rPr>
              <w:t>25,330,079.52</w:t>
            </w:r>
          </w:p>
        </w:tc>
        <w:tc>
          <w:tcPr>
            <w:tcW w:w="1655" w:type="dxa"/>
            <w:vAlign w:val="center"/>
          </w:tcPr>
          <w:p w:rsidR="00E504A1" w:rsidRDefault="00A152B0">
            <w:pPr>
              <w:jc w:val="right"/>
            </w:pPr>
            <w:r>
              <w:rPr>
                <w:rFonts w:eastAsiaTheme="minorEastAsia"/>
                <w:color w:val="000000"/>
                <w:sz w:val="24"/>
              </w:rPr>
              <w:t>3.22</w:t>
            </w:r>
          </w:p>
        </w:tc>
        <w:tc>
          <w:tcPr>
            <w:tcW w:w="1367" w:type="dxa"/>
            <w:vAlign w:val="center"/>
          </w:tcPr>
          <w:p w:rsidR="00E504A1" w:rsidRDefault="00A152B0">
            <w:pPr>
              <w:jc w:val="right"/>
            </w:pPr>
            <w:r>
              <w:rPr>
                <w:rFonts w:eastAsiaTheme="minorEastAsia"/>
                <w:color w:val="000000"/>
                <w:sz w:val="24"/>
              </w:rPr>
              <w:t>重大事项</w:t>
            </w:r>
          </w:p>
        </w:tc>
      </w:tr>
      <w:tr w:rsidR="00E504A1">
        <w:tc>
          <w:tcPr>
            <w:tcW w:w="1083" w:type="dxa"/>
            <w:vAlign w:val="center"/>
          </w:tcPr>
          <w:p w:rsidR="00E504A1" w:rsidRDefault="00A152B0">
            <w:pPr>
              <w:jc w:val="center"/>
            </w:pPr>
            <w:r>
              <w:rPr>
                <w:rFonts w:eastAsiaTheme="minorEastAsia"/>
                <w:color w:val="000000"/>
                <w:sz w:val="24"/>
              </w:rPr>
              <w:t>2</w:t>
            </w:r>
          </w:p>
        </w:tc>
        <w:tc>
          <w:tcPr>
            <w:tcW w:w="1302" w:type="dxa"/>
            <w:vAlign w:val="center"/>
          </w:tcPr>
          <w:p w:rsidR="00E504A1" w:rsidRDefault="00A152B0">
            <w:pPr>
              <w:jc w:val="center"/>
            </w:pPr>
            <w:r>
              <w:rPr>
                <w:rFonts w:eastAsiaTheme="minorEastAsia"/>
                <w:color w:val="000000"/>
                <w:sz w:val="24"/>
              </w:rPr>
              <w:t>601727</w:t>
            </w:r>
          </w:p>
        </w:tc>
        <w:tc>
          <w:tcPr>
            <w:tcW w:w="1301" w:type="dxa"/>
            <w:vAlign w:val="center"/>
          </w:tcPr>
          <w:p w:rsidR="00E504A1" w:rsidRDefault="00A152B0">
            <w:pPr>
              <w:jc w:val="center"/>
            </w:pPr>
            <w:r>
              <w:rPr>
                <w:rFonts w:eastAsiaTheme="minorEastAsia"/>
                <w:color w:val="000000"/>
                <w:sz w:val="24"/>
              </w:rPr>
              <w:t>上海电气</w:t>
            </w:r>
          </w:p>
        </w:tc>
        <w:tc>
          <w:tcPr>
            <w:tcW w:w="1805" w:type="dxa"/>
            <w:vAlign w:val="center"/>
          </w:tcPr>
          <w:p w:rsidR="00E504A1" w:rsidRDefault="00A152B0">
            <w:pPr>
              <w:jc w:val="right"/>
            </w:pPr>
            <w:r>
              <w:rPr>
                <w:rFonts w:eastAsiaTheme="minorEastAsia"/>
                <w:color w:val="000000"/>
                <w:sz w:val="24"/>
              </w:rPr>
              <w:t>19,446,890.94</w:t>
            </w:r>
          </w:p>
        </w:tc>
        <w:tc>
          <w:tcPr>
            <w:tcW w:w="1655" w:type="dxa"/>
            <w:vAlign w:val="center"/>
          </w:tcPr>
          <w:p w:rsidR="00E504A1" w:rsidRDefault="00A152B0">
            <w:pPr>
              <w:jc w:val="right"/>
            </w:pPr>
            <w:r>
              <w:rPr>
                <w:rFonts w:eastAsiaTheme="minorEastAsia"/>
                <w:color w:val="000000"/>
                <w:sz w:val="24"/>
              </w:rPr>
              <w:t>2.47</w:t>
            </w:r>
          </w:p>
        </w:tc>
        <w:tc>
          <w:tcPr>
            <w:tcW w:w="1367" w:type="dxa"/>
            <w:vAlign w:val="center"/>
          </w:tcPr>
          <w:p w:rsidR="00E504A1" w:rsidRDefault="00A152B0">
            <w:pPr>
              <w:jc w:val="right"/>
            </w:pPr>
            <w:r>
              <w:rPr>
                <w:rFonts w:eastAsiaTheme="minorEastAsia"/>
                <w:color w:val="000000"/>
                <w:sz w:val="24"/>
              </w:rPr>
              <w:t>重大事项</w:t>
            </w:r>
          </w:p>
        </w:tc>
      </w:tr>
      <w:tr w:rsidR="00E504A1">
        <w:tc>
          <w:tcPr>
            <w:tcW w:w="1083" w:type="dxa"/>
            <w:vAlign w:val="center"/>
          </w:tcPr>
          <w:p w:rsidR="00E504A1" w:rsidRDefault="00A152B0">
            <w:pPr>
              <w:jc w:val="center"/>
            </w:pPr>
            <w:r>
              <w:rPr>
                <w:rFonts w:eastAsiaTheme="minorEastAsia"/>
                <w:color w:val="000000"/>
                <w:sz w:val="24"/>
              </w:rPr>
              <w:t>3</w:t>
            </w:r>
          </w:p>
        </w:tc>
        <w:tc>
          <w:tcPr>
            <w:tcW w:w="1302" w:type="dxa"/>
            <w:vAlign w:val="center"/>
          </w:tcPr>
          <w:p w:rsidR="00E504A1" w:rsidRDefault="00A152B0">
            <w:pPr>
              <w:jc w:val="center"/>
            </w:pPr>
            <w:r>
              <w:rPr>
                <w:rFonts w:eastAsiaTheme="minorEastAsia"/>
                <w:color w:val="000000"/>
                <w:sz w:val="24"/>
              </w:rPr>
              <w:t>600406</w:t>
            </w:r>
          </w:p>
        </w:tc>
        <w:tc>
          <w:tcPr>
            <w:tcW w:w="1301" w:type="dxa"/>
            <w:vAlign w:val="center"/>
          </w:tcPr>
          <w:p w:rsidR="00E504A1" w:rsidRDefault="00A152B0">
            <w:pPr>
              <w:jc w:val="center"/>
            </w:pPr>
            <w:r>
              <w:rPr>
                <w:rFonts w:eastAsiaTheme="minorEastAsia"/>
                <w:color w:val="000000"/>
                <w:sz w:val="24"/>
              </w:rPr>
              <w:t>国电南瑞</w:t>
            </w:r>
          </w:p>
        </w:tc>
        <w:tc>
          <w:tcPr>
            <w:tcW w:w="1805" w:type="dxa"/>
            <w:vAlign w:val="center"/>
          </w:tcPr>
          <w:p w:rsidR="00E504A1" w:rsidRDefault="00A152B0">
            <w:pPr>
              <w:jc w:val="right"/>
            </w:pPr>
            <w:r>
              <w:rPr>
                <w:rFonts w:eastAsiaTheme="minorEastAsia"/>
                <w:color w:val="000000"/>
                <w:sz w:val="24"/>
              </w:rPr>
              <w:t>16,752,380.17</w:t>
            </w:r>
          </w:p>
        </w:tc>
        <w:tc>
          <w:tcPr>
            <w:tcW w:w="1655" w:type="dxa"/>
            <w:vAlign w:val="center"/>
          </w:tcPr>
          <w:p w:rsidR="00E504A1" w:rsidRDefault="00A152B0">
            <w:pPr>
              <w:jc w:val="right"/>
            </w:pPr>
            <w:r>
              <w:rPr>
                <w:rFonts w:eastAsiaTheme="minorEastAsia"/>
                <w:color w:val="000000"/>
                <w:sz w:val="24"/>
              </w:rPr>
              <w:t>2.13</w:t>
            </w:r>
          </w:p>
        </w:tc>
        <w:tc>
          <w:tcPr>
            <w:tcW w:w="1367" w:type="dxa"/>
            <w:vAlign w:val="center"/>
          </w:tcPr>
          <w:p w:rsidR="00E504A1" w:rsidRDefault="00A152B0">
            <w:pPr>
              <w:jc w:val="right"/>
            </w:pPr>
            <w:r>
              <w:rPr>
                <w:rFonts w:eastAsiaTheme="minorEastAsia"/>
                <w:color w:val="000000"/>
                <w:sz w:val="24"/>
              </w:rPr>
              <w:t>重大事项</w:t>
            </w:r>
          </w:p>
        </w:tc>
      </w:tr>
      <w:tr w:rsidR="00E504A1">
        <w:tc>
          <w:tcPr>
            <w:tcW w:w="1083" w:type="dxa"/>
            <w:vAlign w:val="center"/>
          </w:tcPr>
          <w:p w:rsidR="00E504A1" w:rsidRDefault="00A152B0">
            <w:pPr>
              <w:jc w:val="center"/>
            </w:pPr>
            <w:r>
              <w:rPr>
                <w:rFonts w:eastAsiaTheme="minorEastAsia"/>
                <w:color w:val="000000"/>
                <w:sz w:val="24"/>
              </w:rPr>
              <w:t>4</w:t>
            </w:r>
          </w:p>
        </w:tc>
        <w:tc>
          <w:tcPr>
            <w:tcW w:w="1302" w:type="dxa"/>
            <w:vAlign w:val="center"/>
          </w:tcPr>
          <w:p w:rsidR="00E504A1" w:rsidRDefault="00A152B0">
            <w:pPr>
              <w:jc w:val="center"/>
            </w:pPr>
            <w:r>
              <w:rPr>
                <w:rFonts w:eastAsiaTheme="minorEastAsia"/>
                <w:color w:val="000000"/>
                <w:sz w:val="24"/>
              </w:rPr>
              <w:t>600151</w:t>
            </w:r>
          </w:p>
        </w:tc>
        <w:tc>
          <w:tcPr>
            <w:tcW w:w="1301" w:type="dxa"/>
            <w:vAlign w:val="center"/>
          </w:tcPr>
          <w:p w:rsidR="00E504A1" w:rsidRDefault="00A152B0">
            <w:pPr>
              <w:jc w:val="center"/>
            </w:pPr>
            <w:r>
              <w:rPr>
                <w:rFonts w:eastAsiaTheme="minorEastAsia"/>
                <w:color w:val="000000"/>
                <w:sz w:val="24"/>
              </w:rPr>
              <w:t>航天机电</w:t>
            </w:r>
          </w:p>
        </w:tc>
        <w:tc>
          <w:tcPr>
            <w:tcW w:w="1805" w:type="dxa"/>
            <w:vAlign w:val="center"/>
          </w:tcPr>
          <w:p w:rsidR="00E504A1" w:rsidRDefault="00A152B0">
            <w:pPr>
              <w:jc w:val="right"/>
            </w:pPr>
            <w:r>
              <w:rPr>
                <w:rFonts w:eastAsiaTheme="minorEastAsia"/>
                <w:color w:val="000000"/>
                <w:sz w:val="24"/>
              </w:rPr>
              <w:t>15,677,325.73</w:t>
            </w:r>
          </w:p>
        </w:tc>
        <w:tc>
          <w:tcPr>
            <w:tcW w:w="1655" w:type="dxa"/>
            <w:vAlign w:val="center"/>
          </w:tcPr>
          <w:p w:rsidR="00E504A1" w:rsidRDefault="00A152B0">
            <w:pPr>
              <w:jc w:val="right"/>
            </w:pPr>
            <w:r>
              <w:rPr>
                <w:rFonts w:eastAsiaTheme="minorEastAsia"/>
                <w:color w:val="000000"/>
                <w:sz w:val="24"/>
              </w:rPr>
              <w:t>1.99</w:t>
            </w:r>
          </w:p>
        </w:tc>
        <w:tc>
          <w:tcPr>
            <w:tcW w:w="1367" w:type="dxa"/>
            <w:vAlign w:val="center"/>
          </w:tcPr>
          <w:p w:rsidR="00E504A1" w:rsidRDefault="00A152B0">
            <w:pPr>
              <w:jc w:val="right"/>
            </w:pPr>
            <w:r>
              <w:rPr>
                <w:rFonts w:eastAsiaTheme="minorEastAsia"/>
                <w:color w:val="000000"/>
                <w:sz w:val="24"/>
              </w:rPr>
              <w:t>重大事项</w:t>
            </w:r>
          </w:p>
        </w:tc>
      </w:tr>
      <w:tr w:rsidR="00E504A1">
        <w:tc>
          <w:tcPr>
            <w:tcW w:w="1083" w:type="dxa"/>
            <w:vAlign w:val="center"/>
          </w:tcPr>
          <w:p w:rsidR="00E504A1" w:rsidRDefault="00A152B0">
            <w:pPr>
              <w:jc w:val="center"/>
            </w:pPr>
            <w:r>
              <w:rPr>
                <w:rFonts w:eastAsiaTheme="minorEastAsia"/>
                <w:color w:val="000000"/>
                <w:sz w:val="24"/>
              </w:rPr>
              <w:t>5</w:t>
            </w:r>
          </w:p>
        </w:tc>
        <w:tc>
          <w:tcPr>
            <w:tcW w:w="1302" w:type="dxa"/>
            <w:vAlign w:val="center"/>
          </w:tcPr>
          <w:p w:rsidR="00E504A1" w:rsidRDefault="00A152B0">
            <w:pPr>
              <w:jc w:val="center"/>
            </w:pPr>
            <w:r>
              <w:rPr>
                <w:rFonts w:eastAsiaTheme="minorEastAsia"/>
                <w:color w:val="000000"/>
                <w:sz w:val="24"/>
              </w:rPr>
              <w:t>300068</w:t>
            </w:r>
          </w:p>
        </w:tc>
        <w:tc>
          <w:tcPr>
            <w:tcW w:w="1301" w:type="dxa"/>
            <w:vAlign w:val="center"/>
          </w:tcPr>
          <w:p w:rsidR="00E504A1" w:rsidRDefault="00A152B0">
            <w:pPr>
              <w:jc w:val="center"/>
            </w:pPr>
            <w:r>
              <w:rPr>
                <w:rFonts w:eastAsiaTheme="minorEastAsia"/>
                <w:color w:val="000000"/>
                <w:sz w:val="24"/>
              </w:rPr>
              <w:t>南都电源</w:t>
            </w:r>
          </w:p>
        </w:tc>
        <w:tc>
          <w:tcPr>
            <w:tcW w:w="1805" w:type="dxa"/>
            <w:vAlign w:val="center"/>
          </w:tcPr>
          <w:p w:rsidR="00E504A1" w:rsidRDefault="00A152B0">
            <w:pPr>
              <w:jc w:val="right"/>
            </w:pPr>
            <w:r>
              <w:rPr>
                <w:rFonts w:eastAsiaTheme="minorEastAsia"/>
                <w:color w:val="000000"/>
                <w:sz w:val="24"/>
              </w:rPr>
              <w:t>11,544,227.86</w:t>
            </w:r>
          </w:p>
        </w:tc>
        <w:tc>
          <w:tcPr>
            <w:tcW w:w="1655" w:type="dxa"/>
            <w:vAlign w:val="center"/>
          </w:tcPr>
          <w:p w:rsidR="00E504A1" w:rsidRDefault="00A152B0">
            <w:pPr>
              <w:jc w:val="right"/>
            </w:pPr>
            <w:r>
              <w:rPr>
                <w:rFonts w:eastAsiaTheme="minorEastAsia"/>
                <w:color w:val="000000"/>
                <w:sz w:val="24"/>
              </w:rPr>
              <w:t>1.47</w:t>
            </w:r>
          </w:p>
        </w:tc>
        <w:tc>
          <w:tcPr>
            <w:tcW w:w="1367" w:type="dxa"/>
            <w:vAlign w:val="center"/>
          </w:tcPr>
          <w:p w:rsidR="00E504A1" w:rsidRDefault="00A152B0">
            <w:pPr>
              <w:jc w:val="right"/>
            </w:pPr>
            <w:r>
              <w:rPr>
                <w:rFonts w:eastAsiaTheme="minorEastAsia"/>
                <w:color w:val="000000"/>
                <w:sz w:val="24"/>
              </w:rPr>
              <w:t>重大事项</w:t>
            </w:r>
          </w:p>
        </w:tc>
      </w:tr>
    </w:tbl>
    <w:p w:rsidR="003F30A8" w:rsidRDefault="003F30A8"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774535">
        <w:rPr>
          <w:rFonts w:eastAsiaTheme="minorEastAsia" w:hint="eastAsia"/>
          <w:b/>
          <w:bCs/>
          <w:color w:val="000000"/>
          <w:kern w:val="0"/>
          <w:sz w:val="24"/>
        </w:rPr>
        <w:t xml:space="preserve"> </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Default="007A6BEA" w:rsidP="00ED0A33">
      <w:pPr>
        <w:spacing w:line="360" w:lineRule="auto"/>
        <w:rPr>
          <w:rFonts w:eastAsiaTheme="minorEastAsia"/>
          <w:color w:val="000000"/>
          <w:kern w:val="0"/>
          <w:sz w:val="24"/>
        </w:rPr>
      </w:pPr>
      <w:r w:rsidRPr="005E324A">
        <w:rPr>
          <w:rFonts w:eastAsiaTheme="minorEastAsia"/>
          <w:color w:val="000000"/>
          <w:kern w:val="0"/>
          <w:sz w:val="24"/>
        </w:rPr>
        <w:t>由于四舍五入的原因，分项之和与合计项之间可能存在尾差。</w:t>
      </w:r>
    </w:p>
    <w:p w:rsidR="003F30A8" w:rsidRPr="005E324A" w:rsidRDefault="003F30A8" w:rsidP="00576862">
      <w:pPr>
        <w:spacing w:line="360" w:lineRule="auto"/>
        <w:ind w:firstLineChars="200" w:firstLine="480"/>
        <w:rPr>
          <w:rFonts w:eastAsiaTheme="minorEastAsia"/>
          <w:color w:val="000000"/>
          <w:sz w:val="24"/>
        </w:rPr>
      </w:pP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 xml:space="preserve">  </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578,132,002.56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266,213,108.00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266,213,108.00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112,090,850.03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261,794,756.15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130,051,350.00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-65,025,675.00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-65,025,675.00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558,479,446.44</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201,187,433.00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201,187,433.00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7674F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415" w:type="dxa"/>
        <w:tblInd w:w="108" w:type="dxa"/>
        <w:tblLayout w:type="fixed"/>
        <w:tblLook w:val="04A0" w:firstRow="1" w:lastRow="0" w:firstColumn="1" w:lastColumn="0" w:noHBand="0" w:noVBand="1"/>
      </w:tblPr>
      <w:tblGrid>
        <w:gridCol w:w="5037"/>
        <w:gridCol w:w="3378"/>
      </w:tblGrid>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pStyle w:val="ad"/>
              <w:adjustRightInd w:val="0"/>
              <w:snapToGrid w:val="0"/>
              <w:spacing w:line="360" w:lineRule="exact"/>
              <w:rPr>
                <w:rFonts w:eastAsia="方正仿宋简体"/>
                <w:color w:val="000000"/>
                <w:szCs w:val="24"/>
              </w:rPr>
            </w:pPr>
            <w:r w:rsidRPr="005E324A">
              <w:rPr>
                <w:color w:val="000000"/>
                <w:szCs w:val="24"/>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20,352,593.88</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买入</w:t>
            </w:r>
            <w:r w:rsidRPr="005E324A">
              <w:rPr>
                <w:color w:val="000000"/>
                <w:sz w:val="24"/>
              </w:rPr>
              <w:t>/</w:t>
            </w:r>
            <w:r w:rsidRPr="005E324A">
              <w:rPr>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卖出</w:t>
            </w:r>
            <w:r w:rsidRPr="005E324A">
              <w:rPr>
                <w:color w:val="000000"/>
                <w:sz w:val="24"/>
              </w:rPr>
              <w:t>/</w:t>
            </w:r>
            <w:r w:rsidRPr="005E324A">
              <w:rPr>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20,352,593.88</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报告期期末持有的本基金份额占基金总份额比例（</w:t>
            </w:r>
            <w:r w:rsidRPr="005E324A">
              <w:rPr>
                <w:color w:val="000000"/>
                <w:sz w:val="24"/>
              </w:rPr>
              <w:t>%</w:t>
            </w:r>
            <w:r w:rsidRPr="005E324A">
              <w:rPr>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w:t>
            </w:r>
          </w:p>
        </w:tc>
      </w:tr>
    </w:tbl>
    <w:p w:rsidR="003D4E5A" w:rsidRPr="005E324A" w:rsidRDefault="003D4E5A" w:rsidP="003D4E5A">
      <w:pPr>
        <w:autoSpaceDE w:val="0"/>
        <w:autoSpaceDN w:val="0"/>
        <w:adjustRightInd w:val="0"/>
        <w:spacing w:line="360" w:lineRule="auto"/>
        <w:jc w:val="left"/>
        <w:rPr>
          <w:rFonts w:eastAsiaTheme="minorEastAsia"/>
          <w:kern w:val="0"/>
          <w:sz w:val="24"/>
        </w:rPr>
      </w:pP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1"/>
        <w:gridCol w:w="1369"/>
        <w:gridCol w:w="1700"/>
        <w:gridCol w:w="1841"/>
        <w:gridCol w:w="1396"/>
      </w:tblGrid>
      <w:tr w:rsidR="003D4E5A" w:rsidRPr="005E324A" w:rsidTr="00ED0A33">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D4E5A" w:rsidRPr="005E324A" w:rsidRDefault="003D4E5A">
            <w:pPr>
              <w:pStyle w:val="ad"/>
              <w:adjustRightInd w:val="0"/>
              <w:snapToGrid w:val="0"/>
              <w:spacing w:line="360" w:lineRule="exact"/>
              <w:jc w:val="center"/>
              <w:rPr>
                <w:color w:val="000000"/>
                <w:kern w:val="0"/>
                <w:szCs w:val="24"/>
              </w:rPr>
            </w:pPr>
            <w:r w:rsidRPr="005E324A">
              <w:rPr>
                <w:color w:val="000000"/>
                <w:kern w:val="0"/>
                <w:szCs w:val="24"/>
              </w:rPr>
              <w:t>序号</w:t>
            </w:r>
          </w:p>
        </w:tc>
        <w:tc>
          <w:tcPr>
            <w:tcW w:w="1411" w:type="dxa"/>
            <w:tcBorders>
              <w:top w:val="single" w:sz="4" w:space="0" w:color="auto"/>
              <w:left w:val="single" w:sz="4" w:space="0" w:color="auto"/>
              <w:bottom w:val="single" w:sz="4" w:space="0" w:color="auto"/>
              <w:right w:val="single" w:sz="4" w:space="0" w:color="auto"/>
            </w:tcBorders>
            <w:hideMark/>
          </w:tcPr>
          <w:p w:rsidR="003D4E5A" w:rsidRPr="005E324A" w:rsidRDefault="003D4E5A">
            <w:pPr>
              <w:adjustRightInd w:val="0"/>
              <w:snapToGrid w:val="0"/>
              <w:spacing w:line="360" w:lineRule="exact"/>
              <w:jc w:val="center"/>
              <w:rPr>
                <w:color w:val="000000"/>
                <w:kern w:val="0"/>
                <w:sz w:val="24"/>
              </w:rPr>
            </w:pPr>
            <w:r w:rsidRPr="005E324A">
              <w:rPr>
                <w:color w:val="000000"/>
                <w:kern w:val="0"/>
                <w:sz w:val="24"/>
              </w:rPr>
              <w:t>交易方式</w:t>
            </w:r>
          </w:p>
        </w:tc>
        <w:tc>
          <w:tcPr>
            <w:tcW w:w="1369" w:type="dxa"/>
            <w:tcBorders>
              <w:top w:val="single" w:sz="4" w:space="0" w:color="auto"/>
              <w:left w:val="single" w:sz="4" w:space="0" w:color="auto"/>
              <w:bottom w:val="single" w:sz="4" w:space="0" w:color="auto"/>
              <w:right w:val="single" w:sz="4" w:space="0" w:color="auto"/>
            </w:tcBorders>
            <w:hideMark/>
          </w:tcPr>
          <w:p w:rsidR="003D4E5A" w:rsidRPr="005E324A" w:rsidRDefault="003D4E5A">
            <w:pPr>
              <w:adjustRightInd w:val="0"/>
              <w:snapToGrid w:val="0"/>
              <w:spacing w:line="360" w:lineRule="exact"/>
              <w:rPr>
                <w:color w:val="000000"/>
                <w:kern w:val="0"/>
                <w:sz w:val="24"/>
              </w:rPr>
            </w:pPr>
            <w:r w:rsidRPr="005E324A">
              <w:rPr>
                <w:color w:val="000000"/>
                <w:kern w:val="0"/>
                <w:sz w:val="24"/>
              </w:rPr>
              <w:t>交易日期</w:t>
            </w:r>
          </w:p>
        </w:tc>
        <w:tc>
          <w:tcPr>
            <w:tcW w:w="1700" w:type="dxa"/>
            <w:tcBorders>
              <w:top w:val="single" w:sz="4" w:space="0" w:color="auto"/>
              <w:left w:val="single" w:sz="4" w:space="0" w:color="auto"/>
              <w:bottom w:val="single" w:sz="4" w:space="0" w:color="auto"/>
              <w:right w:val="single" w:sz="4" w:space="0" w:color="auto"/>
            </w:tcBorders>
            <w:hideMark/>
          </w:tcPr>
          <w:p w:rsidR="003D4E5A" w:rsidRPr="005E324A" w:rsidRDefault="003D4E5A">
            <w:pPr>
              <w:adjustRightInd w:val="0"/>
              <w:snapToGrid w:val="0"/>
              <w:spacing w:line="360" w:lineRule="exact"/>
              <w:jc w:val="center"/>
              <w:rPr>
                <w:color w:val="000000"/>
                <w:kern w:val="0"/>
                <w:sz w:val="24"/>
              </w:rPr>
            </w:pPr>
            <w:r w:rsidRPr="005E324A">
              <w:rPr>
                <w:color w:val="000000"/>
                <w:kern w:val="0"/>
                <w:sz w:val="24"/>
              </w:rPr>
              <w:t>交易份额（份）</w:t>
            </w:r>
          </w:p>
        </w:tc>
        <w:tc>
          <w:tcPr>
            <w:tcW w:w="1841" w:type="dxa"/>
            <w:tcBorders>
              <w:top w:val="single" w:sz="4" w:space="0" w:color="auto"/>
              <w:left w:val="single" w:sz="4" w:space="0" w:color="auto"/>
              <w:bottom w:val="single" w:sz="4" w:space="0" w:color="auto"/>
              <w:right w:val="single" w:sz="4" w:space="0" w:color="auto"/>
            </w:tcBorders>
            <w:hideMark/>
          </w:tcPr>
          <w:p w:rsidR="003D4E5A" w:rsidRPr="005E324A" w:rsidRDefault="003D4E5A">
            <w:pPr>
              <w:adjustRightInd w:val="0"/>
              <w:snapToGrid w:val="0"/>
              <w:spacing w:line="360" w:lineRule="exact"/>
              <w:jc w:val="center"/>
              <w:rPr>
                <w:color w:val="000000"/>
                <w:kern w:val="0"/>
                <w:sz w:val="24"/>
              </w:rPr>
            </w:pPr>
            <w:r w:rsidRPr="005E324A">
              <w:rPr>
                <w:color w:val="000000"/>
                <w:kern w:val="0"/>
                <w:sz w:val="24"/>
              </w:rPr>
              <w:t>交易金额（元）</w:t>
            </w:r>
          </w:p>
        </w:tc>
        <w:tc>
          <w:tcPr>
            <w:tcW w:w="1396" w:type="dxa"/>
            <w:tcBorders>
              <w:top w:val="single" w:sz="4" w:space="0" w:color="auto"/>
              <w:left w:val="single" w:sz="4" w:space="0" w:color="auto"/>
              <w:bottom w:val="single" w:sz="4" w:space="0" w:color="auto"/>
              <w:right w:val="single" w:sz="4" w:space="0" w:color="auto"/>
            </w:tcBorders>
            <w:vAlign w:val="center"/>
            <w:hideMark/>
          </w:tcPr>
          <w:p w:rsidR="003D4E5A" w:rsidRPr="005E324A" w:rsidRDefault="003D4E5A">
            <w:pPr>
              <w:adjustRightInd w:val="0"/>
              <w:snapToGrid w:val="0"/>
              <w:spacing w:line="360" w:lineRule="exact"/>
              <w:jc w:val="center"/>
              <w:rPr>
                <w:color w:val="000000"/>
                <w:kern w:val="0"/>
                <w:sz w:val="24"/>
              </w:rPr>
            </w:pPr>
            <w:r w:rsidRPr="005E324A">
              <w:rPr>
                <w:color w:val="000000"/>
                <w:kern w:val="0"/>
                <w:sz w:val="24"/>
              </w:rPr>
              <w:t>适用费率</w:t>
            </w:r>
          </w:p>
        </w:tc>
      </w:tr>
      <w:tr w:rsidR="00E504A1" w:rsidTr="00ED0A33">
        <w:trPr>
          <w:jc w:val="center"/>
        </w:trPr>
        <w:tc>
          <w:tcPr>
            <w:tcW w:w="709" w:type="dxa"/>
            <w:vAlign w:val="center"/>
          </w:tcPr>
          <w:p w:rsidR="00E504A1" w:rsidRDefault="00A152B0">
            <w:pPr>
              <w:jc w:val="center"/>
            </w:pPr>
            <w:r>
              <w:rPr>
                <w:rFonts w:eastAsiaTheme="minorEastAsia"/>
                <w:color w:val="000000"/>
                <w:sz w:val="24"/>
              </w:rPr>
              <w:t>1</w:t>
            </w:r>
          </w:p>
        </w:tc>
        <w:tc>
          <w:tcPr>
            <w:tcW w:w="1411" w:type="dxa"/>
            <w:vAlign w:val="center"/>
          </w:tcPr>
          <w:p w:rsidR="00E504A1" w:rsidRDefault="00A152B0">
            <w:pPr>
              <w:jc w:val="center"/>
            </w:pPr>
            <w:r>
              <w:rPr>
                <w:rFonts w:eastAsiaTheme="minorEastAsia"/>
                <w:color w:val="000000"/>
                <w:sz w:val="24"/>
              </w:rPr>
              <w:t>定期折算</w:t>
            </w:r>
          </w:p>
        </w:tc>
        <w:tc>
          <w:tcPr>
            <w:tcW w:w="1369" w:type="dxa"/>
            <w:vAlign w:val="center"/>
          </w:tcPr>
          <w:p w:rsidR="00E504A1" w:rsidRDefault="00A152B0">
            <w:pPr>
              <w:jc w:val="center"/>
            </w:pPr>
            <w:r>
              <w:rPr>
                <w:rFonts w:eastAsiaTheme="minorEastAsia"/>
                <w:color w:val="000000"/>
                <w:sz w:val="24"/>
              </w:rPr>
              <w:t>2017-01-04</w:t>
            </w:r>
          </w:p>
        </w:tc>
        <w:tc>
          <w:tcPr>
            <w:tcW w:w="1700" w:type="dxa"/>
            <w:vAlign w:val="center"/>
          </w:tcPr>
          <w:p w:rsidR="00E504A1" w:rsidRDefault="00A152B0">
            <w:pPr>
              <w:jc w:val="right"/>
            </w:pPr>
            <w:r>
              <w:rPr>
                <w:rFonts w:eastAsiaTheme="minorEastAsia"/>
                <w:color w:val="000000"/>
                <w:sz w:val="24"/>
              </w:rPr>
              <w:t>736,303.71</w:t>
            </w:r>
          </w:p>
        </w:tc>
        <w:tc>
          <w:tcPr>
            <w:tcW w:w="1841" w:type="dxa"/>
            <w:vAlign w:val="center"/>
          </w:tcPr>
          <w:p w:rsidR="00E504A1" w:rsidRDefault="00A152B0">
            <w:pPr>
              <w:jc w:val="right"/>
            </w:pPr>
            <w:r>
              <w:rPr>
                <w:rFonts w:eastAsiaTheme="minorEastAsia"/>
                <w:color w:val="000000"/>
                <w:sz w:val="24"/>
              </w:rPr>
              <w:t>-</w:t>
            </w:r>
          </w:p>
        </w:tc>
        <w:tc>
          <w:tcPr>
            <w:tcW w:w="1396" w:type="dxa"/>
            <w:vAlign w:val="center"/>
          </w:tcPr>
          <w:p w:rsidR="00E504A1" w:rsidRDefault="00A152B0">
            <w:pPr>
              <w:jc w:val="center"/>
            </w:pPr>
            <w:r>
              <w:rPr>
                <w:rFonts w:eastAsiaTheme="minorEastAsia"/>
                <w:color w:val="000000"/>
                <w:sz w:val="24"/>
              </w:rPr>
              <w:t>-</w:t>
            </w:r>
          </w:p>
        </w:tc>
      </w:tr>
      <w:tr w:rsidR="00E504A1" w:rsidTr="00ED0A33">
        <w:trPr>
          <w:jc w:val="center"/>
        </w:trPr>
        <w:tc>
          <w:tcPr>
            <w:tcW w:w="709" w:type="dxa"/>
            <w:vAlign w:val="center"/>
          </w:tcPr>
          <w:p w:rsidR="00E504A1" w:rsidRDefault="00A152B0">
            <w:pPr>
              <w:jc w:val="center"/>
            </w:pPr>
            <w:r>
              <w:rPr>
                <w:rFonts w:eastAsiaTheme="minorEastAsia"/>
                <w:color w:val="000000"/>
                <w:sz w:val="24"/>
              </w:rPr>
              <w:t>2</w:t>
            </w:r>
          </w:p>
        </w:tc>
        <w:tc>
          <w:tcPr>
            <w:tcW w:w="1411" w:type="dxa"/>
            <w:vAlign w:val="center"/>
          </w:tcPr>
          <w:p w:rsidR="00E504A1" w:rsidRDefault="00A152B0">
            <w:pPr>
              <w:jc w:val="center"/>
            </w:pPr>
            <w:r>
              <w:rPr>
                <w:rFonts w:eastAsiaTheme="minorEastAsia"/>
                <w:color w:val="000000"/>
                <w:sz w:val="24"/>
              </w:rPr>
              <w:t>赎回</w:t>
            </w:r>
          </w:p>
        </w:tc>
        <w:tc>
          <w:tcPr>
            <w:tcW w:w="1369" w:type="dxa"/>
            <w:vAlign w:val="center"/>
          </w:tcPr>
          <w:p w:rsidR="00E504A1" w:rsidRDefault="00A152B0">
            <w:pPr>
              <w:jc w:val="center"/>
            </w:pPr>
            <w:r>
              <w:rPr>
                <w:rFonts w:eastAsiaTheme="minorEastAsia"/>
                <w:color w:val="000000"/>
                <w:sz w:val="24"/>
              </w:rPr>
              <w:t>2017-01-09</w:t>
            </w:r>
          </w:p>
        </w:tc>
        <w:tc>
          <w:tcPr>
            <w:tcW w:w="1700" w:type="dxa"/>
            <w:vAlign w:val="center"/>
          </w:tcPr>
          <w:p w:rsidR="00E504A1" w:rsidRDefault="00A152B0">
            <w:pPr>
              <w:jc w:val="right"/>
            </w:pPr>
            <w:r>
              <w:rPr>
                <w:rFonts w:eastAsiaTheme="minorEastAsia"/>
                <w:color w:val="000000"/>
                <w:sz w:val="24"/>
              </w:rPr>
              <w:t>20,352,593.88</w:t>
            </w:r>
          </w:p>
        </w:tc>
        <w:tc>
          <w:tcPr>
            <w:tcW w:w="1841" w:type="dxa"/>
            <w:vAlign w:val="center"/>
          </w:tcPr>
          <w:p w:rsidR="00E504A1" w:rsidRDefault="00A152B0">
            <w:pPr>
              <w:jc w:val="right"/>
            </w:pPr>
            <w:r>
              <w:rPr>
                <w:rFonts w:eastAsiaTheme="minorEastAsia"/>
                <w:color w:val="000000"/>
                <w:sz w:val="24"/>
              </w:rPr>
              <w:t>16,330,758.51</w:t>
            </w:r>
          </w:p>
        </w:tc>
        <w:tc>
          <w:tcPr>
            <w:tcW w:w="1396" w:type="dxa"/>
            <w:vAlign w:val="center"/>
          </w:tcPr>
          <w:p w:rsidR="00E504A1" w:rsidRDefault="00A152B0">
            <w:pPr>
              <w:jc w:val="center"/>
            </w:pPr>
            <w:r>
              <w:rPr>
                <w:rFonts w:eastAsiaTheme="minorEastAsia"/>
                <w:color w:val="000000"/>
                <w:sz w:val="24"/>
              </w:rPr>
              <w:t>0.20%</w:t>
            </w:r>
          </w:p>
        </w:tc>
      </w:tr>
      <w:tr w:rsidR="00E504A1" w:rsidTr="00ED0A33">
        <w:trPr>
          <w:jc w:val="center"/>
        </w:trPr>
        <w:tc>
          <w:tcPr>
            <w:tcW w:w="709" w:type="dxa"/>
            <w:vAlign w:val="center"/>
          </w:tcPr>
          <w:p w:rsidR="00E504A1" w:rsidRDefault="00A152B0">
            <w:pPr>
              <w:jc w:val="center"/>
            </w:pPr>
            <w:r>
              <w:rPr>
                <w:rFonts w:eastAsiaTheme="minorEastAsia"/>
                <w:color w:val="000000"/>
                <w:sz w:val="24"/>
              </w:rPr>
              <w:t>3</w:t>
            </w:r>
          </w:p>
        </w:tc>
        <w:tc>
          <w:tcPr>
            <w:tcW w:w="1411" w:type="dxa"/>
            <w:vAlign w:val="center"/>
          </w:tcPr>
          <w:p w:rsidR="00E504A1" w:rsidRDefault="00A152B0">
            <w:pPr>
              <w:jc w:val="center"/>
            </w:pPr>
            <w:r>
              <w:rPr>
                <w:rFonts w:eastAsiaTheme="minorEastAsia"/>
                <w:color w:val="000000"/>
                <w:sz w:val="24"/>
              </w:rPr>
              <w:t>赎回</w:t>
            </w:r>
          </w:p>
        </w:tc>
        <w:tc>
          <w:tcPr>
            <w:tcW w:w="1369" w:type="dxa"/>
            <w:vAlign w:val="center"/>
          </w:tcPr>
          <w:p w:rsidR="00E504A1" w:rsidRDefault="00A152B0">
            <w:pPr>
              <w:jc w:val="center"/>
            </w:pPr>
            <w:r>
              <w:rPr>
                <w:rFonts w:eastAsiaTheme="minorEastAsia"/>
                <w:color w:val="000000"/>
                <w:sz w:val="24"/>
              </w:rPr>
              <w:t>2017-01-09</w:t>
            </w:r>
          </w:p>
        </w:tc>
        <w:tc>
          <w:tcPr>
            <w:tcW w:w="1700" w:type="dxa"/>
            <w:vAlign w:val="center"/>
          </w:tcPr>
          <w:p w:rsidR="00E504A1" w:rsidRDefault="00A152B0">
            <w:pPr>
              <w:jc w:val="right"/>
            </w:pPr>
            <w:r>
              <w:rPr>
                <w:rFonts w:eastAsiaTheme="minorEastAsia"/>
                <w:color w:val="000000"/>
                <w:sz w:val="24"/>
              </w:rPr>
              <w:t>736,303.71</w:t>
            </w:r>
          </w:p>
        </w:tc>
        <w:tc>
          <w:tcPr>
            <w:tcW w:w="1841" w:type="dxa"/>
            <w:vAlign w:val="center"/>
          </w:tcPr>
          <w:p w:rsidR="00E504A1" w:rsidRDefault="00A152B0">
            <w:pPr>
              <w:jc w:val="right"/>
            </w:pPr>
            <w:r>
              <w:rPr>
                <w:rFonts w:eastAsiaTheme="minorEastAsia"/>
                <w:color w:val="000000"/>
                <w:sz w:val="24"/>
              </w:rPr>
              <w:t>590,804.20</w:t>
            </w:r>
          </w:p>
        </w:tc>
        <w:tc>
          <w:tcPr>
            <w:tcW w:w="1396" w:type="dxa"/>
            <w:vAlign w:val="center"/>
          </w:tcPr>
          <w:p w:rsidR="00E504A1" w:rsidRDefault="00A152B0">
            <w:pPr>
              <w:jc w:val="center"/>
            </w:pPr>
            <w:r>
              <w:rPr>
                <w:rFonts w:eastAsiaTheme="minorEastAsia"/>
                <w:color w:val="000000"/>
                <w:sz w:val="24"/>
              </w:rPr>
              <w:t>0.20%</w:t>
            </w:r>
          </w:p>
        </w:tc>
      </w:tr>
      <w:tr w:rsidR="003D4E5A" w:rsidRPr="005E324A" w:rsidTr="00ED0A33">
        <w:trPr>
          <w:trHeight w:val="340"/>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3D4E5A" w:rsidRPr="005E324A" w:rsidRDefault="003D4E5A">
            <w:pPr>
              <w:pStyle w:val="ad"/>
              <w:adjustRightInd w:val="0"/>
              <w:snapToGrid w:val="0"/>
              <w:spacing w:line="360" w:lineRule="exact"/>
              <w:jc w:val="center"/>
              <w:rPr>
                <w:color w:val="000000"/>
                <w:kern w:val="0"/>
                <w:szCs w:val="24"/>
              </w:rPr>
            </w:pPr>
            <w:r w:rsidRPr="005E324A">
              <w:rPr>
                <w:color w:val="000000"/>
                <w:kern w:val="0"/>
                <w:szCs w:val="24"/>
              </w:rPr>
              <w:t>合计</w:t>
            </w:r>
          </w:p>
        </w:tc>
        <w:tc>
          <w:tcPr>
            <w:tcW w:w="1411" w:type="dxa"/>
            <w:tcBorders>
              <w:top w:val="single" w:sz="4" w:space="0" w:color="auto"/>
              <w:left w:val="single" w:sz="4" w:space="0" w:color="auto"/>
              <w:bottom w:val="single" w:sz="4" w:space="0" w:color="auto"/>
              <w:right w:val="single" w:sz="4" w:space="0" w:color="auto"/>
            </w:tcBorders>
          </w:tcPr>
          <w:p w:rsidR="003D4E5A" w:rsidRPr="005E324A" w:rsidRDefault="003D4E5A">
            <w:pPr>
              <w:adjustRightInd w:val="0"/>
              <w:snapToGrid w:val="0"/>
              <w:spacing w:line="360" w:lineRule="exact"/>
              <w:jc w:val="right"/>
              <w:rPr>
                <w:color w:val="0000FF"/>
                <w:kern w:val="0"/>
                <w:sz w:val="18"/>
              </w:rPr>
            </w:pPr>
          </w:p>
        </w:tc>
        <w:tc>
          <w:tcPr>
            <w:tcW w:w="1369" w:type="dxa"/>
            <w:tcBorders>
              <w:top w:val="single" w:sz="4" w:space="0" w:color="auto"/>
              <w:left w:val="single" w:sz="4" w:space="0" w:color="auto"/>
              <w:bottom w:val="single" w:sz="4" w:space="0" w:color="auto"/>
              <w:right w:val="single" w:sz="4" w:space="0" w:color="auto"/>
            </w:tcBorders>
          </w:tcPr>
          <w:p w:rsidR="003D4E5A" w:rsidRPr="005E324A" w:rsidRDefault="003D4E5A">
            <w:pPr>
              <w:adjustRightInd w:val="0"/>
              <w:snapToGrid w:val="0"/>
              <w:spacing w:line="360" w:lineRule="exact"/>
              <w:jc w:val="right"/>
              <w:rPr>
                <w:color w:val="0000FF"/>
                <w:kern w:val="0"/>
                <w:sz w:val="18"/>
              </w:rPr>
            </w:pPr>
          </w:p>
        </w:tc>
        <w:tc>
          <w:tcPr>
            <w:tcW w:w="1700" w:type="dxa"/>
            <w:tcBorders>
              <w:top w:val="single" w:sz="4" w:space="0" w:color="auto"/>
              <w:left w:val="single" w:sz="4" w:space="0" w:color="auto"/>
              <w:bottom w:val="single" w:sz="4" w:space="0" w:color="auto"/>
              <w:right w:val="single" w:sz="4" w:space="0" w:color="auto"/>
            </w:tcBorders>
            <w:hideMark/>
          </w:tcPr>
          <w:p w:rsidR="003D4E5A" w:rsidRPr="005E324A" w:rsidRDefault="003D4E5A">
            <w:pPr>
              <w:adjustRightInd w:val="0"/>
              <w:snapToGrid w:val="0"/>
              <w:spacing w:line="360" w:lineRule="exact"/>
              <w:jc w:val="right"/>
              <w:rPr>
                <w:rFonts w:eastAsiaTheme="minorEastAsia"/>
                <w:color w:val="000000"/>
                <w:sz w:val="24"/>
              </w:rPr>
            </w:pPr>
            <w:r w:rsidRPr="005E324A">
              <w:rPr>
                <w:rFonts w:eastAsiaTheme="minorEastAsia"/>
                <w:color w:val="000000"/>
                <w:sz w:val="24"/>
              </w:rPr>
              <w:t>21,825,201.30</w:t>
            </w:r>
          </w:p>
        </w:tc>
        <w:tc>
          <w:tcPr>
            <w:tcW w:w="1841" w:type="dxa"/>
            <w:tcBorders>
              <w:top w:val="single" w:sz="4" w:space="0" w:color="auto"/>
              <w:left w:val="single" w:sz="4" w:space="0" w:color="auto"/>
              <w:bottom w:val="single" w:sz="4" w:space="0" w:color="auto"/>
              <w:right w:val="single" w:sz="4" w:space="0" w:color="auto"/>
            </w:tcBorders>
            <w:hideMark/>
          </w:tcPr>
          <w:p w:rsidR="003D4E5A" w:rsidRPr="005E324A" w:rsidRDefault="003D4E5A">
            <w:pPr>
              <w:adjustRightInd w:val="0"/>
              <w:snapToGrid w:val="0"/>
              <w:spacing w:line="360" w:lineRule="exact"/>
              <w:jc w:val="right"/>
              <w:rPr>
                <w:rFonts w:eastAsiaTheme="minorEastAsia"/>
                <w:color w:val="000000"/>
                <w:sz w:val="24"/>
              </w:rPr>
            </w:pPr>
            <w:r w:rsidRPr="005E324A">
              <w:rPr>
                <w:rFonts w:eastAsiaTheme="minorEastAsia"/>
                <w:color w:val="000000"/>
                <w:sz w:val="24"/>
              </w:rPr>
              <w:t>16,921,562.71</w:t>
            </w:r>
          </w:p>
        </w:tc>
        <w:tc>
          <w:tcPr>
            <w:tcW w:w="1396" w:type="dxa"/>
            <w:tcBorders>
              <w:top w:val="single" w:sz="4" w:space="0" w:color="auto"/>
              <w:left w:val="single" w:sz="4" w:space="0" w:color="auto"/>
              <w:bottom w:val="single" w:sz="4" w:space="0" w:color="auto"/>
              <w:right w:val="single" w:sz="4" w:space="0" w:color="auto"/>
            </w:tcBorders>
            <w:vAlign w:val="center"/>
          </w:tcPr>
          <w:p w:rsidR="003D4E5A" w:rsidRPr="005E324A" w:rsidRDefault="003D4E5A">
            <w:pPr>
              <w:adjustRightInd w:val="0"/>
              <w:snapToGrid w:val="0"/>
              <w:spacing w:line="360" w:lineRule="exact"/>
              <w:jc w:val="right"/>
              <w:rPr>
                <w:color w:val="0000FF"/>
                <w:kern w:val="0"/>
                <w:sz w:val="18"/>
              </w:rPr>
            </w:pPr>
          </w:p>
        </w:tc>
      </w:tr>
    </w:tbl>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Pr="005E324A">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 xml:space="preserve"> </w:t>
      </w:r>
      <w:r w:rsidR="00220542" w:rsidRPr="005E324A">
        <w:rPr>
          <w:rFonts w:eastAsiaTheme="minorEastAsia"/>
          <w:b/>
          <w:color w:val="000000"/>
          <w:sz w:val="24"/>
        </w:rPr>
        <w:t>备查文件目录</w:t>
      </w:r>
    </w:p>
    <w:p w:rsidR="00E504A1" w:rsidRDefault="00A152B0">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E504A1" w:rsidRDefault="00A152B0">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E504A1" w:rsidRDefault="00A152B0">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E504A1" w:rsidRDefault="00A152B0">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E504A1" w:rsidRDefault="00A152B0">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E504A1" w:rsidRDefault="00A152B0">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E504A1" w:rsidRDefault="00A152B0">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 xml:space="preserve"> </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 xml:space="preserve"> </w:t>
      </w:r>
      <w:r w:rsidR="00220542" w:rsidRPr="005E324A">
        <w:rPr>
          <w:rFonts w:eastAsiaTheme="minorEastAsia"/>
          <w:b/>
          <w:color w:val="000000"/>
          <w:sz w:val="24"/>
        </w:rPr>
        <w:t>查阅方式</w:t>
      </w:r>
    </w:p>
    <w:p w:rsidR="00E504A1" w:rsidRDefault="00A152B0">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F7F" w:rsidRDefault="00736F7F">
      <w:r>
        <w:separator/>
      </w:r>
    </w:p>
  </w:endnote>
  <w:endnote w:type="continuationSeparator" w:id="0">
    <w:p w:rsidR="00736F7F" w:rsidRDefault="0073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方正舒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9F7655">
      <w:rPr>
        <w:kern w:val="0"/>
        <w:szCs w:val="21"/>
      </w:rPr>
      <w:fldChar w:fldCharType="begin"/>
    </w:r>
    <w:r>
      <w:rPr>
        <w:kern w:val="0"/>
        <w:szCs w:val="21"/>
      </w:rPr>
      <w:instrText xml:space="preserve"> PAGE </w:instrText>
    </w:r>
    <w:r w:rsidR="009F7655">
      <w:rPr>
        <w:kern w:val="0"/>
        <w:szCs w:val="21"/>
      </w:rPr>
      <w:fldChar w:fldCharType="separate"/>
    </w:r>
    <w:r w:rsidR="00ED0A33">
      <w:rPr>
        <w:noProof/>
        <w:kern w:val="0"/>
        <w:szCs w:val="21"/>
      </w:rPr>
      <w:t>1</w:t>
    </w:r>
    <w:r w:rsidR="009F7655">
      <w:rPr>
        <w:kern w:val="0"/>
        <w:szCs w:val="21"/>
      </w:rPr>
      <w:fldChar w:fldCharType="end"/>
    </w:r>
    <w:proofErr w:type="gramStart"/>
    <w:r>
      <w:rPr>
        <w:rFonts w:hint="eastAsia"/>
        <w:kern w:val="0"/>
        <w:szCs w:val="21"/>
      </w:rPr>
      <w:t>页共</w:t>
    </w:r>
    <w:proofErr w:type="gramEnd"/>
    <w:r w:rsidR="009F7655">
      <w:rPr>
        <w:kern w:val="0"/>
        <w:szCs w:val="21"/>
      </w:rPr>
      <w:fldChar w:fldCharType="begin"/>
    </w:r>
    <w:r>
      <w:rPr>
        <w:kern w:val="0"/>
        <w:szCs w:val="21"/>
      </w:rPr>
      <w:instrText xml:space="preserve"> NUMPAGES </w:instrText>
    </w:r>
    <w:r w:rsidR="009F7655">
      <w:rPr>
        <w:kern w:val="0"/>
        <w:szCs w:val="21"/>
      </w:rPr>
      <w:fldChar w:fldCharType="separate"/>
    </w:r>
    <w:r w:rsidR="00ED0A33">
      <w:rPr>
        <w:noProof/>
        <w:kern w:val="0"/>
        <w:szCs w:val="21"/>
      </w:rPr>
      <w:t>15</w:t>
    </w:r>
    <w:r w:rsidR="009F7655">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F7655">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F7655">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ED0A33">
      <w:rPr>
        <w:rStyle w:val="a7"/>
        <w:noProof/>
      </w:rPr>
      <w:t>15</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F7F" w:rsidRDefault="00736F7F">
      <w:r>
        <w:separator/>
      </w:r>
    </w:p>
  </w:footnote>
  <w:footnote w:type="continuationSeparator" w:id="0">
    <w:p w:rsidR="00736F7F" w:rsidRDefault="00736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30A8"/>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07F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0131"/>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485"/>
    <w:rsid w:val="0072280F"/>
    <w:rsid w:val="00722B5E"/>
    <w:rsid w:val="00723EC0"/>
    <w:rsid w:val="0072708F"/>
    <w:rsid w:val="00727C6C"/>
    <w:rsid w:val="0073150B"/>
    <w:rsid w:val="00732D1D"/>
    <w:rsid w:val="00736034"/>
    <w:rsid w:val="0073681C"/>
    <w:rsid w:val="00736F7F"/>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870FC"/>
    <w:rsid w:val="0078729B"/>
    <w:rsid w:val="00787CD0"/>
    <w:rsid w:val="00791053"/>
    <w:rsid w:val="00791A3A"/>
    <w:rsid w:val="00794196"/>
    <w:rsid w:val="007951F3"/>
    <w:rsid w:val="0079671E"/>
    <w:rsid w:val="00797637"/>
    <w:rsid w:val="007A21F4"/>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52B0"/>
    <w:rsid w:val="00A16675"/>
    <w:rsid w:val="00A22CD6"/>
    <w:rsid w:val="00A234EC"/>
    <w:rsid w:val="00A2417A"/>
    <w:rsid w:val="00A2610D"/>
    <w:rsid w:val="00A26668"/>
    <w:rsid w:val="00A27804"/>
    <w:rsid w:val="00A36822"/>
    <w:rsid w:val="00A36AB5"/>
    <w:rsid w:val="00A37A23"/>
    <w:rsid w:val="00A411D1"/>
    <w:rsid w:val="00A43389"/>
    <w:rsid w:val="00A43E71"/>
    <w:rsid w:val="00A4442E"/>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4A1"/>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33"/>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F80957E-CA93-441F-9F01-2049EA55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1145</Words>
  <Characters>6530</Characters>
  <Application>Microsoft Office Word</Application>
  <DocSecurity>0</DocSecurity>
  <Lines>54</Lines>
  <Paragraphs>15</Paragraphs>
  <ScaleCrop>false</ScaleCrop>
  <Company>TRT. Ltd. Co.</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孙艳</dc:creator>
  <cp:lastModifiedBy>许帆</cp:lastModifiedBy>
  <cp:revision>2</cp:revision>
  <cp:lastPrinted>2007-07-19T00:46:00Z</cp:lastPrinted>
  <dcterms:created xsi:type="dcterms:W3CDTF">2017-04-20T09:41:00Z</dcterms:created>
  <dcterms:modified xsi:type="dcterms:W3CDTF">2017-04-20T09:41:00Z</dcterms:modified>
</cp:coreProperties>
</file>