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交银施罗德丰泽收益债券型证券投资基金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31046" w:rsidRDefault="0087535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31046" w:rsidRDefault="0087535F">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31046" w:rsidRDefault="0087535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31046" w:rsidRDefault="0087535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31046" w:rsidRDefault="0087535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交银丰泽收益债券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519749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519749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契约型，本基金在基金合同生效之日起两年（含两年）的期间内封闭式运作（按照基金合同的约定提前转换基金运作方式的除外），封闭期结束后转为开放式运作</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24,700,620.93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在严格控制风险的基础上</w:t>
            </w:r>
            <w:r w:rsidRPr="00414345">
              <w:rPr>
                <w:color w:val="000000"/>
                <w:kern w:val="0"/>
                <w:sz w:val="24"/>
                <w:szCs w:val="24"/>
              </w:rPr>
              <w:t>,</w:t>
            </w:r>
            <w:r w:rsidRPr="00414345">
              <w:rPr>
                <w:color w:val="000000"/>
                <w:kern w:val="0"/>
                <w:sz w:val="24"/>
                <w:szCs w:val="24"/>
              </w:rPr>
              <w:t>力争获取高于业绩比较基准的稳定收益。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531046" w:rsidRDefault="0087535F">
            <w:pPr>
              <w:adjustRightInd w:val="0"/>
              <w:spacing w:before="29" w:line="288" w:lineRule="auto"/>
              <w:ind w:left="17"/>
              <w:jc w:val="left"/>
              <w:rPr>
                <w:color w:val="000000"/>
                <w:sz w:val="24"/>
                <w:szCs w:val="24"/>
              </w:rPr>
            </w:pPr>
            <w:r>
              <w:rPr>
                <w:color w:val="000000"/>
                <w:kern w:val="0"/>
                <w:sz w:val="24"/>
                <w:szCs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w:t>
            </w:r>
            <w:r>
              <w:rPr>
                <w:color w:val="000000"/>
                <w:kern w:val="0"/>
                <w:sz w:val="24"/>
                <w:szCs w:val="24"/>
              </w:rPr>
              <w:lastRenderedPageBreak/>
              <w:t>类债券的流动性、供求关系和收益率水平等，自下而上精选个券。</w:t>
            </w:r>
          </w:p>
          <w:p w:rsidR="00531046" w:rsidRDefault="00531046">
            <w:pPr>
              <w:adjustRightInd w:val="0"/>
              <w:spacing w:before="29" w:line="288" w:lineRule="auto"/>
              <w:ind w:left="17"/>
              <w:jc w:val="left"/>
              <w:rPr>
                <w:color w:val="000000"/>
                <w:sz w:val="24"/>
                <w:szCs w:val="24"/>
              </w:rPr>
            </w:pP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531046" w:rsidRDefault="0087535F">
            <w:pPr>
              <w:adjustRightInd w:val="0"/>
              <w:spacing w:before="29" w:line="288" w:lineRule="auto"/>
              <w:ind w:left="17"/>
              <w:jc w:val="left"/>
              <w:rPr>
                <w:color w:val="000000"/>
                <w:sz w:val="24"/>
                <w:szCs w:val="24"/>
              </w:rPr>
            </w:pPr>
            <w:r>
              <w:rPr>
                <w:color w:val="000000"/>
                <w:kern w:val="0"/>
                <w:sz w:val="24"/>
                <w:szCs w:val="24"/>
              </w:rPr>
              <w:t>封闭期内业绩比较基准：两年期银行定期存款税后收益率</w:t>
            </w:r>
            <w:r>
              <w:rPr>
                <w:color w:val="000000"/>
                <w:kern w:val="0"/>
                <w:sz w:val="24"/>
                <w:szCs w:val="24"/>
              </w:rPr>
              <w:t>+1.25%</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开放期内业绩比较基准：中债综合全价指数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本基金是一只债券型基金，其风险与预期收益高于货币市场基金，低于混合型基金和股票型基金，属于证券投资基金中中等风险的品种。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注：本基金自</w:t>
      </w:r>
      <w:r w:rsidRPr="00414345">
        <w:rPr>
          <w:color w:val="000000"/>
          <w:sz w:val="24"/>
          <w:szCs w:val="24"/>
        </w:rPr>
        <w:t>2017</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6</w:t>
      </w:r>
      <w:r w:rsidRPr="00414345">
        <w:rPr>
          <w:color w:val="000000"/>
          <w:sz w:val="24"/>
          <w:szCs w:val="24"/>
        </w:rPr>
        <w:t>日起转为开放式运作。</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B181A" w:rsidRPr="00414345" w:rsidTr="00CB181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B181A" w:rsidRPr="00414345" w:rsidTr="00CB18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984,607.23</w:t>
            </w:r>
          </w:p>
        </w:tc>
      </w:tr>
      <w:tr w:rsidR="00CB181A" w:rsidRPr="00414345" w:rsidTr="00CB18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510,374.65</w:t>
            </w:r>
          </w:p>
        </w:tc>
      </w:tr>
      <w:tr w:rsidR="00CB181A" w:rsidRPr="00414345" w:rsidTr="00CB18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0.0044</w:t>
            </w:r>
          </w:p>
        </w:tc>
      </w:tr>
      <w:tr w:rsidR="00CB181A" w:rsidRPr="00414345" w:rsidTr="00CB181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24,972,859.24</w:t>
            </w:r>
          </w:p>
        </w:tc>
      </w:tr>
      <w:tr w:rsidR="00CB181A" w:rsidRPr="00414345" w:rsidTr="00CB181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1.011</w:t>
            </w:r>
          </w:p>
        </w:tc>
      </w:tr>
    </w:tbl>
    <w:p w:rsidR="00531046" w:rsidRDefault="0087535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31046">
        <w:trPr>
          <w:jc w:val="center"/>
        </w:trPr>
        <w:tc>
          <w:tcPr>
            <w:tcW w:w="1701" w:type="dxa"/>
            <w:vAlign w:val="center"/>
          </w:tcPr>
          <w:p w:rsidR="00531046" w:rsidRDefault="0087535F">
            <w:pPr>
              <w:jc w:val="left"/>
            </w:pPr>
            <w:r>
              <w:rPr>
                <w:color w:val="000000"/>
                <w:sz w:val="24"/>
                <w:szCs w:val="24"/>
              </w:rPr>
              <w:t>过去三个月</w:t>
            </w:r>
          </w:p>
        </w:tc>
        <w:tc>
          <w:tcPr>
            <w:tcW w:w="1045" w:type="dxa"/>
            <w:vAlign w:val="center"/>
          </w:tcPr>
          <w:p w:rsidR="00531046" w:rsidRDefault="0087535F">
            <w:pPr>
              <w:jc w:val="center"/>
            </w:pPr>
            <w:r>
              <w:rPr>
                <w:color w:val="000000"/>
                <w:sz w:val="24"/>
                <w:szCs w:val="24"/>
              </w:rPr>
              <w:t>0.00%</w:t>
            </w:r>
          </w:p>
        </w:tc>
        <w:tc>
          <w:tcPr>
            <w:tcW w:w="1344" w:type="dxa"/>
            <w:vAlign w:val="center"/>
          </w:tcPr>
          <w:p w:rsidR="00531046" w:rsidRDefault="0087535F">
            <w:pPr>
              <w:jc w:val="center"/>
            </w:pPr>
            <w:r>
              <w:rPr>
                <w:color w:val="000000"/>
                <w:sz w:val="24"/>
                <w:szCs w:val="24"/>
              </w:rPr>
              <w:t>0.06%</w:t>
            </w:r>
          </w:p>
        </w:tc>
        <w:tc>
          <w:tcPr>
            <w:tcW w:w="1194" w:type="dxa"/>
            <w:vAlign w:val="center"/>
          </w:tcPr>
          <w:p w:rsidR="00531046" w:rsidRDefault="0087535F">
            <w:pPr>
              <w:jc w:val="center"/>
            </w:pPr>
            <w:r>
              <w:rPr>
                <w:color w:val="000000"/>
                <w:sz w:val="24"/>
                <w:szCs w:val="24"/>
              </w:rPr>
              <w:t>-0.14%</w:t>
            </w:r>
          </w:p>
        </w:tc>
        <w:tc>
          <w:tcPr>
            <w:tcW w:w="1492" w:type="dxa"/>
            <w:vAlign w:val="center"/>
          </w:tcPr>
          <w:p w:rsidR="00531046" w:rsidRDefault="0087535F">
            <w:pPr>
              <w:jc w:val="center"/>
            </w:pPr>
            <w:r>
              <w:rPr>
                <w:color w:val="000000"/>
                <w:sz w:val="24"/>
                <w:szCs w:val="24"/>
              </w:rPr>
              <w:t>0.06%</w:t>
            </w:r>
          </w:p>
        </w:tc>
        <w:tc>
          <w:tcPr>
            <w:tcW w:w="1194" w:type="dxa"/>
            <w:vAlign w:val="center"/>
          </w:tcPr>
          <w:p w:rsidR="00531046" w:rsidRDefault="0087535F">
            <w:pPr>
              <w:jc w:val="center"/>
            </w:pPr>
            <w:r>
              <w:rPr>
                <w:color w:val="000000"/>
                <w:sz w:val="24"/>
                <w:szCs w:val="24"/>
              </w:rPr>
              <w:t>0.14%</w:t>
            </w:r>
          </w:p>
        </w:tc>
        <w:tc>
          <w:tcPr>
            <w:tcW w:w="898" w:type="dxa"/>
            <w:vAlign w:val="center"/>
          </w:tcPr>
          <w:p w:rsidR="00531046" w:rsidRDefault="0087535F">
            <w:pPr>
              <w:jc w:val="center"/>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注：本基金自</w:t>
      </w:r>
      <w:r w:rsidRPr="00414345">
        <w:rPr>
          <w:color w:val="000000"/>
          <w:sz w:val="24"/>
          <w:szCs w:val="24"/>
        </w:rPr>
        <w:t>2017</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6</w:t>
      </w:r>
      <w:r w:rsidRPr="00414345">
        <w:rPr>
          <w:color w:val="000000"/>
          <w:sz w:val="24"/>
          <w:szCs w:val="24"/>
        </w:rPr>
        <w:t>日起转为开放式运作，本基金的业绩比较基准由</w:t>
      </w:r>
      <w:r w:rsidRPr="00414345">
        <w:rPr>
          <w:color w:val="000000"/>
          <w:sz w:val="24"/>
          <w:szCs w:val="24"/>
        </w:rPr>
        <w:t>“</w:t>
      </w:r>
      <w:r w:rsidRPr="00414345">
        <w:rPr>
          <w:color w:val="000000"/>
          <w:sz w:val="24"/>
          <w:szCs w:val="24"/>
        </w:rPr>
        <w:t>两年期银行定期存款税后收益率</w:t>
      </w:r>
      <w:r w:rsidRPr="00414345">
        <w:rPr>
          <w:color w:val="000000"/>
          <w:sz w:val="24"/>
          <w:szCs w:val="24"/>
        </w:rPr>
        <w:t>+1.25%”</w:t>
      </w:r>
      <w:r w:rsidRPr="00414345">
        <w:rPr>
          <w:color w:val="000000"/>
          <w:sz w:val="24"/>
          <w:szCs w:val="24"/>
        </w:rPr>
        <w:t>变更为</w:t>
      </w:r>
      <w:r w:rsidRPr="00414345">
        <w:rPr>
          <w:color w:val="000000"/>
          <w:sz w:val="24"/>
          <w:szCs w:val="24"/>
        </w:rPr>
        <w:t>“</w:t>
      </w:r>
      <w:r w:rsidRPr="00414345">
        <w:rPr>
          <w:color w:val="000000"/>
          <w:sz w:val="24"/>
          <w:szCs w:val="24"/>
        </w:rPr>
        <w:t>中债综合全价指数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交银施罗德丰泽收益债券型证券投资基金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134"/>
        <w:gridCol w:w="1549"/>
        <w:gridCol w:w="1548"/>
        <w:gridCol w:w="1407"/>
        <w:gridCol w:w="2673"/>
      </w:tblGrid>
      <w:tr w:rsidR="00286BEF" w:rsidRPr="00414345" w:rsidTr="00FA2B52">
        <w:trPr>
          <w:trHeight w:val="292"/>
          <w:jc w:val="center"/>
        </w:trPr>
        <w:tc>
          <w:tcPr>
            <w:tcW w:w="846"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113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097"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0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73"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FA2B52">
        <w:trPr>
          <w:jc w:val="center"/>
        </w:trPr>
        <w:tc>
          <w:tcPr>
            <w:tcW w:w="846"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134"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4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48"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0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73"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31046" w:rsidTr="00FA2B52">
        <w:trPr>
          <w:jc w:val="center"/>
        </w:trPr>
        <w:tc>
          <w:tcPr>
            <w:tcW w:w="846" w:type="dxa"/>
            <w:vAlign w:val="center"/>
          </w:tcPr>
          <w:p w:rsidR="00531046" w:rsidRDefault="0087535F">
            <w:pPr>
              <w:jc w:val="center"/>
            </w:pPr>
            <w:r>
              <w:rPr>
                <w:color w:val="000000"/>
                <w:sz w:val="24"/>
                <w:szCs w:val="24"/>
              </w:rPr>
              <w:t>孙超</w:t>
            </w:r>
          </w:p>
        </w:tc>
        <w:tc>
          <w:tcPr>
            <w:tcW w:w="1134" w:type="dxa"/>
            <w:vAlign w:val="center"/>
          </w:tcPr>
          <w:p w:rsidR="00531046" w:rsidRDefault="0087535F">
            <w:pPr>
              <w:jc w:val="center"/>
            </w:pPr>
            <w:r>
              <w:rPr>
                <w:color w:val="000000"/>
                <w:sz w:val="24"/>
                <w:szCs w:val="24"/>
              </w:rPr>
              <w:t>交银增利债券、交银纯债债券发起、交银荣祥保本混合、交银定期支付月月丰债券、交银增强收益债券、交银强化回报债券、交银</w:t>
            </w:r>
            <w:r w:rsidR="007E3E47">
              <w:rPr>
                <w:rFonts w:hint="eastAsia"/>
                <w:color w:val="000000"/>
                <w:sz w:val="24"/>
              </w:rPr>
              <w:t>丰润收益债券、交银丰享收益债券、交银丰泽收益债券、交银</w:t>
            </w:r>
            <w:r>
              <w:rPr>
                <w:color w:val="000000"/>
                <w:sz w:val="24"/>
                <w:szCs w:val="24"/>
              </w:rPr>
              <w:t>丰硕收益债券、交银荣鑫保本混合的基金经理，公司固定收益部助理总经理</w:t>
            </w:r>
          </w:p>
        </w:tc>
        <w:tc>
          <w:tcPr>
            <w:tcW w:w="1549" w:type="dxa"/>
            <w:vAlign w:val="center"/>
          </w:tcPr>
          <w:p w:rsidR="00531046" w:rsidRDefault="0087535F">
            <w:pPr>
              <w:jc w:val="center"/>
            </w:pPr>
            <w:r>
              <w:rPr>
                <w:color w:val="000000"/>
                <w:sz w:val="24"/>
                <w:szCs w:val="24"/>
              </w:rPr>
              <w:t>2015-01-30</w:t>
            </w:r>
          </w:p>
        </w:tc>
        <w:tc>
          <w:tcPr>
            <w:tcW w:w="1548" w:type="dxa"/>
            <w:vAlign w:val="center"/>
          </w:tcPr>
          <w:p w:rsidR="00531046" w:rsidRDefault="0087535F">
            <w:pPr>
              <w:jc w:val="center"/>
            </w:pPr>
            <w:r>
              <w:rPr>
                <w:color w:val="000000"/>
                <w:sz w:val="24"/>
                <w:szCs w:val="24"/>
              </w:rPr>
              <w:t>2017-02-18</w:t>
            </w:r>
          </w:p>
        </w:tc>
        <w:tc>
          <w:tcPr>
            <w:tcW w:w="1407" w:type="dxa"/>
            <w:vAlign w:val="center"/>
          </w:tcPr>
          <w:p w:rsidR="00531046" w:rsidRDefault="0087535F">
            <w:pPr>
              <w:jc w:val="center"/>
            </w:pPr>
            <w:r>
              <w:rPr>
                <w:color w:val="000000"/>
                <w:sz w:val="24"/>
                <w:szCs w:val="24"/>
              </w:rPr>
              <w:t>6</w:t>
            </w:r>
            <w:r>
              <w:rPr>
                <w:color w:val="000000"/>
                <w:sz w:val="24"/>
                <w:szCs w:val="24"/>
              </w:rPr>
              <w:t>年</w:t>
            </w:r>
          </w:p>
        </w:tc>
        <w:tc>
          <w:tcPr>
            <w:tcW w:w="2673" w:type="dxa"/>
            <w:vAlign w:val="center"/>
          </w:tcPr>
          <w:p w:rsidR="00531046" w:rsidRDefault="0087535F">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15</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日担任交银施罗德丰润收益债券型证券投资基金基金经理，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日担任交银施罗德丰享收益债券型证券投资基金基金经理，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30</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日担任交银施罗德丰泽收益债券型证券投资基金基金经理，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日担任交银施罗德荣泰保本混合型证券投资基金的基金经理。</w:t>
            </w:r>
          </w:p>
        </w:tc>
      </w:tr>
      <w:tr w:rsidR="00531046" w:rsidTr="00FA2B52">
        <w:trPr>
          <w:jc w:val="center"/>
        </w:trPr>
        <w:tc>
          <w:tcPr>
            <w:tcW w:w="846" w:type="dxa"/>
            <w:vAlign w:val="center"/>
          </w:tcPr>
          <w:p w:rsidR="00531046" w:rsidRDefault="0087535F">
            <w:pPr>
              <w:jc w:val="center"/>
            </w:pPr>
            <w:r>
              <w:rPr>
                <w:color w:val="000000"/>
                <w:sz w:val="24"/>
                <w:szCs w:val="24"/>
              </w:rPr>
              <w:t>黄莹洁</w:t>
            </w:r>
          </w:p>
        </w:tc>
        <w:tc>
          <w:tcPr>
            <w:tcW w:w="1134" w:type="dxa"/>
            <w:vAlign w:val="center"/>
          </w:tcPr>
          <w:p w:rsidR="00531046" w:rsidRDefault="0087535F">
            <w:pPr>
              <w:jc w:val="center"/>
            </w:pPr>
            <w:r>
              <w:rPr>
                <w:color w:val="000000"/>
                <w:sz w:val="24"/>
                <w:szCs w:val="24"/>
              </w:rPr>
              <w:t>交银货币、交银理财</w:t>
            </w:r>
            <w:r>
              <w:rPr>
                <w:color w:val="000000"/>
                <w:sz w:val="24"/>
                <w:szCs w:val="24"/>
              </w:rPr>
              <w:t>21</w:t>
            </w:r>
            <w:r>
              <w:rPr>
                <w:color w:val="000000"/>
                <w:sz w:val="24"/>
                <w:szCs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549" w:type="dxa"/>
            <w:vAlign w:val="center"/>
          </w:tcPr>
          <w:p w:rsidR="00531046" w:rsidRDefault="0087535F">
            <w:pPr>
              <w:jc w:val="center"/>
            </w:pPr>
            <w:r>
              <w:rPr>
                <w:color w:val="000000"/>
                <w:sz w:val="24"/>
                <w:szCs w:val="24"/>
              </w:rPr>
              <w:t>2015-07-25</w:t>
            </w:r>
          </w:p>
        </w:tc>
        <w:tc>
          <w:tcPr>
            <w:tcW w:w="1548" w:type="dxa"/>
            <w:vAlign w:val="center"/>
          </w:tcPr>
          <w:p w:rsidR="00531046" w:rsidRDefault="0087535F">
            <w:pPr>
              <w:jc w:val="center"/>
            </w:pPr>
            <w:r>
              <w:rPr>
                <w:color w:val="000000"/>
                <w:sz w:val="24"/>
                <w:szCs w:val="24"/>
              </w:rPr>
              <w:t>-</w:t>
            </w:r>
          </w:p>
        </w:tc>
        <w:tc>
          <w:tcPr>
            <w:tcW w:w="1407" w:type="dxa"/>
            <w:vAlign w:val="center"/>
          </w:tcPr>
          <w:p w:rsidR="00531046" w:rsidRDefault="0087535F">
            <w:pPr>
              <w:jc w:val="center"/>
            </w:pPr>
            <w:r>
              <w:rPr>
                <w:color w:val="000000"/>
                <w:sz w:val="24"/>
                <w:szCs w:val="24"/>
              </w:rPr>
              <w:t>9</w:t>
            </w:r>
            <w:r>
              <w:rPr>
                <w:color w:val="000000"/>
                <w:sz w:val="24"/>
                <w:szCs w:val="24"/>
              </w:rPr>
              <w:t>年</w:t>
            </w:r>
          </w:p>
        </w:tc>
        <w:tc>
          <w:tcPr>
            <w:tcW w:w="2673" w:type="dxa"/>
            <w:vAlign w:val="center"/>
          </w:tcPr>
          <w:p w:rsidR="00531046" w:rsidRDefault="0087535F">
            <w:r>
              <w:rPr>
                <w:color w:val="000000"/>
                <w:sz w:val="24"/>
                <w:szCs w:val="24"/>
              </w:rPr>
              <w:t>黄莹洁女士，香港大学工商管理硕士、北京大学经济学、管理学双学士。历任中海基金管理有限公司交易员。</w:t>
            </w:r>
            <w:r>
              <w:rPr>
                <w:color w:val="000000"/>
                <w:sz w:val="24"/>
                <w:szCs w:val="24"/>
              </w:rPr>
              <w:t>2012</w:t>
            </w:r>
            <w:r>
              <w:rPr>
                <w:color w:val="000000"/>
                <w:sz w:val="24"/>
                <w:szCs w:val="24"/>
              </w:rPr>
              <w:t>年加入交银施罗德基金管理有限公司，历任中央交易室交易员。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31046" w:rsidRDefault="0087535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31046" w:rsidRDefault="0087535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31046" w:rsidRDefault="0087535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31046" w:rsidRDefault="0087535F">
      <w:pPr>
        <w:spacing w:before="29" w:line="288" w:lineRule="auto"/>
        <w:ind w:firstLineChars="200" w:firstLine="480"/>
        <w:rPr>
          <w:color w:val="000000"/>
          <w:sz w:val="24"/>
          <w:szCs w:val="24"/>
        </w:rPr>
      </w:pPr>
      <w:r>
        <w:rPr>
          <w:color w:val="000000"/>
          <w:sz w:val="24"/>
          <w:szCs w:val="24"/>
        </w:rPr>
        <w:t>本报告期内，受益于上游供需结构的改善，大宗商品价格回升，国内生产部门处于复苏状态，经济温和改善。央行货币政策的选择与通胀向上，经济改善的宏观环境相匹配，控制总体资金投放量且上调了公开市场操作以及</w:t>
      </w:r>
      <w:r>
        <w:rPr>
          <w:color w:val="000000"/>
          <w:sz w:val="24"/>
          <w:szCs w:val="24"/>
        </w:rPr>
        <w:t>MLF</w:t>
      </w:r>
      <w:r>
        <w:rPr>
          <w:color w:val="000000"/>
          <w:sz w:val="24"/>
          <w:szCs w:val="24"/>
        </w:rPr>
        <w:t>的利率。在去杠杆背景下，叠加</w:t>
      </w:r>
      <w:r>
        <w:rPr>
          <w:color w:val="000000"/>
          <w:sz w:val="24"/>
          <w:szCs w:val="24"/>
        </w:rPr>
        <w:t>MPA</w:t>
      </w:r>
      <w:r>
        <w:rPr>
          <w:color w:val="000000"/>
          <w:sz w:val="24"/>
          <w:szCs w:val="24"/>
        </w:rPr>
        <w:t>考核改革且从严的情况下，银行间市场流动性总体偏紧。受经济改善和流动性冲击的双重影响，一季度债券市场收益率曲线平坦化上行，信用利差小幅扩大。</w:t>
      </w:r>
    </w:p>
    <w:p w:rsidR="00531046" w:rsidRDefault="0087535F">
      <w:pPr>
        <w:spacing w:before="29" w:line="288" w:lineRule="auto"/>
        <w:ind w:firstLineChars="200" w:firstLine="480"/>
        <w:rPr>
          <w:color w:val="000000"/>
          <w:sz w:val="24"/>
          <w:szCs w:val="24"/>
        </w:rPr>
      </w:pPr>
      <w:r>
        <w:rPr>
          <w:color w:val="000000"/>
          <w:sz w:val="24"/>
          <w:szCs w:val="24"/>
        </w:rPr>
        <w:t>基金操作方面，本基金封闭期到期转为开放式运作，从绝对收益率、期限利差和金融去杠杆角度看，目前短端仍是较好的选择，基金以配置短久期的信用债为主。</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三月季末考核过后，短期资金面有望阶段性改善，经济数据预计整体弱于一季度，关注房地产投资及销售、基础设施投资以及财政支出增速等经济数据。市场走势预计将回归基本面，但在金融去杠杆以及金融监管升级的大背景下，预计流动性的压力始终存在，因此我们对债市表现持谨慎乐观态度。组合管理方面，本基金将维持合理仓位，计划采用中短久期的票息策略，努力为投资者创造较为稳健的收益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1.011</w:t>
      </w:r>
      <w:r w:rsidRPr="00414345">
        <w:rPr>
          <w:color w:val="000000"/>
          <w:sz w:val="24"/>
          <w:szCs w:val="24"/>
        </w:rPr>
        <w:t>元，本报告期份额净值增长率为</w:t>
      </w:r>
      <w:r w:rsidRPr="00414345">
        <w:rPr>
          <w:color w:val="000000"/>
          <w:sz w:val="24"/>
          <w:szCs w:val="24"/>
        </w:rPr>
        <w:t>0%</w:t>
      </w:r>
      <w:r w:rsidRPr="00414345">
        <w:rPr>
          <w:color w:val="000000"/>
          <w:sz w:val="24"/>
          <w:szCs w:val="24"/>
        </w:rPr>
        <w:t>，同期业绩比较基准增长率为</w:t>
      </w:r>
      <w:r w:rsidRPr="00414345">
        <w:rPr>
          <w:color w:val="000000"/>
          <w:sz w:val="24"/>
          <w:szCs w:val="24"/>
        </w:rPr>
        <w:t>-0.14%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21,741,000.00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86.15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21,741,000.00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86.15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2,604,965.28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10.32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489,128.65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25,235,093.93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CB181A" w:rsidRPr="00414345" w:rsidRDefault="00CB181A" w:rsidP="00C15CAC">
      <w:pPr>
        <w:autoSpaceDE w:val="0"/>
        <w:autoSpaceDN w:val="0"/>
        <w:adjustRightInd w:val="0"/>
        <w:spacing w:before="29" w:line="288" w:lineRule="auto"/>
        <w:jc w:val="left"/>
        <w:rPr>
          <w:color w:val="000000"/>
          <w:sz w:val="24"/>
          <w:szCs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FA2B52">
        <w:rPr>
          <w:rFonts w:eastAsiaTheme="minorEastAsia"/>
          <w:b/>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19,744,000.00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79.06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1,997,000.00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21,741,000.00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87.06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31046">
        <w:trPr>
          <w:jc w:val="center"/>
        </w:trPr>
        <w:tc>
          <w:tcPr>
            <w:tcW w:w="850" w:type="dxa"/>
            <w:vAlign w:val="center"/>
          </w:tcPr>
          <w:p w:rsidR="00531046" w:rsidRDefault="0087535F">
            <w:pPr>
              <w:jc w:val="center"/>
            </w:pPr>
            <w:r>
              <w:rPr>
                <w:color w:val="000000"/>
                <w:sz w:val="24"/>
                <w:szCs w:val="24"/>
              </w:rPr>
              <w:t>1</w:t>
            </w:r>
          </w:p>
        </w:tc>
        <w:tc>
          <w:tcPr>
            <w:tcW w:w="1475" w:type="dxa"/>
            <w:vAlign w:val="center"/>
          </w:tcPr>
          <w:p w:rsidR="00531046" w:rsidRDefault="0087535F">
            <w:pPr>
              <w:jc w:val="center"/>
            </w:pPr>
            <w:r>
              <w:rPr>
                <w:color w:val="000000"/>
                <w:sz w:val="24"/>
                <w:szCs w:val="24"/>
              </w:rPr>
              <w:t>140225</w:t>
            </w:r>
          </w:p>
        </w:tc>
        <w:tc>
          <w:tcPr>
            <w:tcW w:w="1769" w:type="dxa"/>
            <w:vAlign w:val="center"/>
          </w:tcPr>
          <w:p w:rsidR="00531046" w:rsidRDefault="0087535F">
            <w:pPr>
              <w:jc w:val="center"/>
            </w:pPr>
            <w:r>
              <w:rPr>
                <w:color w:val="000000"/>
                <w:sz w:val="24"/>
                <w:szCs w:val="24"/>
              </w:rPr>
              <w:t>14</w:t>
            </w:r>
            <w:r>
              <w:rPr>
                <w:color w:val="000000"/>
                <w:sz w:val="24"/>
                <w:szCs w:val="24"/>
              </w:rPr>
              <w:t>国开</w:t>
            </w:r>
            <w:r>
              <w:rPr>
                <w:color w:val="000000"/>
                <w:sz w:val="24"/>
                <w:szCs w:val="24"/>
              </w:rPr>
              <w:t>25</w:t>
            </w:r>
          </w:p>
        </w:tc>
        <w:tc>
          <w:tcPr>
            <w:tcW w:w="1387" w:type="dxa"/>
            <w:vAlign w:val="center"/>
          </w:tcPr>
          <w:p w:rsidR="00531046" w:rsidRDefault="0087535F">
            <w:pPr>
              <w:jc w:val="right"/>
            </w:pPr>
            <w:r>
              <w:rPr>
                <w:color w:val="000000"/>
                <w:sz w:val="24"/>
                <w:szCs w:val="24"/>
              </w:rPr>
              <w:t>100,000</w:t>
            </w:r>
          </w:p>
        </w:tc>
        <w:tc>
          <w:tcPr>
            <w:tcW w:w="2150" w:type="dxa"/>
            <w:vAlign w:val="center"/>
          </w:tcPr>
          <w:p w:rsidR="00531046" w:rsidRDefault="0087535F">
            <w:pPr>
              <w:jc w:val="right"/>
            </w:pPr>
            <w:r>
              <w:rPr>
                <w:color w:val="000000"/>
                <w:sz w:val="24"/>
                <w:szCs w:val="24"/>
              </w:rPr>
              <w:t>10,047,000.00</w:t>
            </w:r>
          </w:p>
        </w:tc>
        <w:tc>
          <w:tcPr>
            <w:tcW w:w="1237" w:type="dxa"/>
            <w:vAlign w:val="center"/>
          </w:tcPr>
          <w:p w:rsidR="00531046" w:rsidRDefault="0087535F">
            <w:pPr>
              <w:jc w:val="right"/>
            </w:pPr>
            <w:r>
              <w:rPr>
                <w:color w:val="000000"/>
                <w:sz w:val="24"/>
                <w:szCs w:val="24"/>
              </w:rPr>
              <w:t>40.23</w:t>
            </w:r>
          </w:p>
        </w:tc>
      </w:tr>
      <w:tr w:rsidR="00531046">
        <w:trPr>
          <w:jc w:val="center"/>
        </w:trPr>
        <w:tc>
          <w:tcPr>
            <w:tcW w:w="850" w:type="dxa"/>
            <w:vAlign w:val="center"/>
          </w:tcPr>
          <w:p w:rsidR="00531046" w:rsidRDefault="0087535F">
            <w:pPr>
              <w:jc w:val="center"/>
            </w:pPr>
            <w:r>
              <w:rPr>
                <w:color w:val="000000"/>
                <w:sz w:val="24"/>
                <w:szCs w:val="24"/>
              </w:rPr>
              <w:t>2</w:t>
            </w:r>
          </w:p>
        </w:tc>
        <w:tc>
          <w:tcPr>
            <w:tcW w:w="1475" w:type="dxa"/>
            <w:vAlign w:val="center"/>
          </w:tcPr>
          <w:p w:rsidR="00531046" w:rsidRDefault="0087535F">
            <w:pPr>
              <w:jc w:val="center"/>
            </w:pPr>
            <w:r>
              <w:rPr>
                <w:color w:val="000000"/>
                <w:sz w:val="24"/>
                <w:szCs w:val="24"/>
              </w:rPr>
              <w:t>160215</w:t>
            </w:r>
          </w:p>
        </w:tc>
        <w:tc>
          <w:tcPr>
            <w:tcW w:w="1769" w:type="dxa"/>
            <w:vAlign w:val="center"/>
          </w:tcPr>
          <w:p w:rsidR="00531046" w:rsidRDefault="0087535F">
            <w:pPr>
              <w:jc w:val="center"/>
            </w:pPr>
            <w:r>
              <w:rPr>
                <w:color w:val="000000"/>
                <w:sz w:val="24"/>
                <w:szCs w:val="24"/>
              </w:rPr>
              <w:t>16</w:t>
            </w:r>
            <w:r>
              <w:rPr>
                <w:color w:val="000000"/>
                <w:sz w:val="24"/>
                <w:szCs w:val="24"/>
              </w:rPr>
              <w:t>国开</w:t>
            </w:r>
            <w:r>
              <w:rPr>
                <w:color w:val="000000"/>
                <w:sz w:val="24"/>
                <w:szCs w:val="24"/>
              </w:rPr>
              <w:t>15</w:t>
            </w:r>
          </w:p>
        </w:tc>
        <w:tc>
          <w:tcPr>
            <w:tcW w:w="1387" w:type="dxa"/>
            <w:vAlign w:val="center"/>
          </w:tcPr>
          <w:p w:rsidR="00531046" w:rsidRDefault="0087535F">
            <w:pPr>
              <w:jc w:val="right"/>
            </w:pPr>
            <w:r>
              <w:rPr>
                <w:color w:val="000000"/>
                <w:sz w:val="24"/>
                <w:szCs w:val="24"/>
              </w:rPr>
              <w:t>100,000</w:t>
            </w:r>
          </w:p>
        </w:tc>
        <w:tc>
          <w:tcPr>
            <w:tcW w:w="2150" w:type="dxa"/>
            <w:vAlign w:val="center"/>
          </w:tcPr>
          <w:p w:rsidR="00531046" w:rsidRDefault="0087535F">
            <w:pPr>
              <w:jc w:val="right"/>
            </w:pPr>
            <w:r>
              <w:rPr>
                <w:color w:val="000000"/>
                <w:sz w:val="24"/>
                <w:szCs w:val="24"/>
              </w:rPr>
              <w:t>9,697,000.00</w:t>
            </w:r>
          </w:p>
        </w:tc>
        <w:tc>
          <w:tcPr>
            <w:tcW w:w="1237" w:type="dxa"/>
            <w:vAlign w:val="center"/>
          </w:tcPr>
          <w:p w:rsidR="00531046" w:rsidRDefault="0087535F">
            <w:pPr>
              <w:jc w:val="right"/>
            </w:pPr>
            <w:r>
              <w:rPr>
                <w:color w:val="000000"/>
                <w:sz w:val="24"/>
                <w:szCs w:val="24"/>
              </w:rPr>
              <w:t>38.83</w:t>
            </w:r>
          </w:p>
        </w:tc>
      </w:tr>
      <w:tr w:rsidR="00531046">
        <w:trPr>
          <w:jc w:val="center"/>
        </w:trPr>
        <w:tc>
          <w:tcPr>
            <w:tcW w:w="850" w:type="dxa"/>
            <w:vAlign w:val="center"/>
          </w:tcPr>
          <w:p w:rsidR="00531046" w:rsidRDefault="0087535F">
            <w:pPr>
              <w:jc w:val="center"/>
            </w:pPr>
            <w:r>
              <w:rPr>
                <w:color w:val="000000"/>
                <w:sz w:val="24"/>
                <w:szCs w:val="24"/>
              </w:rPr>
              <w:t>3</w:t>
            </w:r>
          </w:p>
        </w:tc>
        <w:tc>
          <w:tcPr>
            <w:tcW w:w="1475" w:type="dxa"/>
            <w:vAlign w:val="center"/>
          </w:tcPr>
          <w:p w:rsidR="00531046" w:rsidRDefault="0087535F">
            <w:pPr>
              <w:jc w:val="center"/>
            </w:pPr>
            <w:r>
              <w:rPr>
                <w:color w:val="000000"/>
                <w:sz w:val="24"/>
                <w:szCs w:val="24"/>
              </w:rPr>
              <w:t>122379</w:t>
            </w:r>
          </w:p>
        </w:tc>
        <w:tc>
          <w:tcPr>
            <w:tcW w:w="1769" w:type="dxa"/>
            <w:vAlign w:val="center"/>
          </w:tcPr>
          <w:p w:rsidR="00531046" w:rsidRDefault="0087535F">
            <w:pPr>
              <w:jc w:val="center"/>
            </w:pPr>
            <w:r>
              <w:rPr>
                <w:color w:val="000000"/>
                <w:sz w:val="24"/>
                <w:szCs w:val="24"/>
              </w:rPr>
              <w:t>14</w:t>
            </w:r>
            <w:r>
              <w:rPr>
                <w:color w:val="000000"/>
                <w:sz w:val="24"/>
                <w:szCs w:val="24"/>
              </w:rPr>
              <w:t>西南</w:t>
            </w:r>
            <w:r>
              <w:rPr>
                <w:color w:val="000000"/>
                <w:sz w:val="24"/>
                <w:szCs w:val="24"/>
              </w:rPr>
              <w:t>01</w:t>
            </w:r>
          </w:p>
        </w:tc>
        <w:tc>
          <w:tcPr>
            <w:tcW w:w="1387" w:type="dxa"/>
            <w:vAlign w:val="center"/>
          </w:tcPr>
          <w:p w:rsidR="00531046" w:rsidRDefault="0087535F">
            <w:pPr>
              <w:jc w:val="right"/>
            </w:pPr>
            <w:r>
              <w:rPr>
                <w:color w:val="000000"/>
                <w:sz w:val="24"/>
                <w:szCs w:val="24"/>
              </w:rPr>
              <w:t>20,000</w:t>
            </w:r>
          </w:p>
        </w:tc>
        <w:tc>
          <w:tcPr>
            <w:tcW w:w="2150" w:type="dxa"/>
            <w:vAlign w:val="center"/>
          </w:tcPr>
          <w:p w:rsidR="00531046" w:rsidRDefault="0087535F">
            <w:pPr>
              <w:jc w:val="right"/>
            </w:pPr>
            <w:r>
              <w:rPr>
                <w:color w:val="000000"/>
                <w:sz w:val="24"/>
                <w:szCs w:val="24"/>
              </w:rPr>
              <w:t>1,997,000.00</w:t>
            </w:r>
          </w:p>
        </w:tc>
        <w:tc>
          <w:tcPr>
            <w:tcW w:w="1237" w:type="dxa"/>
            <w:vAlign w:val="center"/>
          </w:tcPr>
          <w:p w:rsidR="00531046" w:rsidRDefault="0087535F">
            <w:pPr>
              <w:jc w:val="right"/>
            </w:pPr>
            <w:r>
              <w:rPr>
                <w:color w:val="000000"/>
                <w:sz w:val="24"/>
                <w:szCs w:val="24"/>
              </w:rPr>
              <w:t>8.00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14</w:t>
      </w:r>
      <w:r w:rsidRPr="00BE5388">
        <w:rPr>
          <w:bCs/>
          <w:color w:val="000000"/>
          <w:kern w:val="0"/>
          <w:sz w:val="24"/>
          <w:szCs w:val="24"/>
        </w:rPr>
        <w:t>西南</w:t>
      </w:r>
      <w:r w:rsidRPr="00BE5388">
        <w:rPr>
          <w:bCs/>
          <w:color w:val="000000"/>
          <w:kern w:val="0"/>
          <w:sz w:val="24"/>
          <w:szCs w:val="24"/>
        </w:rPr>
        <w:t>01</w:t>
      </w:r>
      <w:r w:rsidRPr="00BE5388">
        <w:rPr>
          <w:bCs/>
          <w:color w:val="000000"/>
          <w:kern w:val="0"/>
          <w:sz w:val="24"/>
          <w:szCs w:val="24"/>
        </w:rPr>
        <w:t>（证券代码</w:t>
      </w:r>
      <w:r w:rsidRPr="00BE5388">
        <w:rPr>
          <w:bCs/>
          <w:color w:val="000000"/>
          <w:kern w:val="0"/>
          <w:sz w:val="24"/>
          <w:szCs w:val="24"/>
        </w:rPr>
        <w:t>:122379</w:t>
      </w:r>
      <w:r w:rsidRPr="00BE5388">
        <w:rPr>
          <w:bCs/>
          <w:color w:val="000000"/>
          <w:kern w:val="0"/>
          <w:sz w:val="24"/>
          <w:szCs w:val="24"/>
        </w:rPr>
        <w:t>）外，未出现被监管部门立案调查，或在报告编制日前一年内受到公开谴责、处罚的情形。</w:t>
      </w:r>
    </w:p>
    <w:p w:rsidR="00531046" w:rsidRDefault="0087535F">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14</w:t>
      </w:r>
      <w:r>
        <w:rPr>
          <w:bCs/>
          <w:color w:val="000000"/>
          <w:kern w:val="0"/>
          <w:sz w:val="24"/>
          <w:szCs w:val="24"/>
        </w:rPr>
        <w:t>西南</w:t>
      </w:r>
      <w:r>
        <w:rPr>
          <w:bCs/>
          <w:color w:val="000000"/>
          <w:kern w:val="0"/>
          <w:sz w:val="24"/>
          <w:szCs w:val="24"/>
        </w:rPr>
        <w:t>01</w:t>
      </w:r>
      <w:r>
        <w:rPr>
          <w:bCs/>
          <w:color w:val="000000"/>
          <w:kern w:val="0"/>
          <w:sz w:val="24"/>
          <w:szCs w:val="24"/>
        </w:rPr>
        <w:t>（证券代码</w:t>
      </w:r>
      <w:r>
        <w:rPr>
          <w:bCs/>
          <w:color w:val="000000"/>
          <w:kern w:val="0"/>
          <w:sz w:val="24"/>
          <w:szCs w:val="24"/>
        </w:rPr>
        <w:t>:122379</w:t>
      </w:r>
      <w:r>
        <w:rPr>
          <w:bCs/>
          <w:color w:val="000000"/>
          <w:kern w:val="0"/>
          <w:sz w:val="24"/>
          <w:szCs w:val="24"/>
        </w:rPr>
        <w:t>）的发行主体西南证券于</w:t>
      </w:r>
      <w:r>
        <w:rPr>
          <w:bCs/>
          <w:color w:val="000000"/>
          <w:kern w:val="0"/>
          <w:sz w:val="24"/>
          <w:szCs w:val="24"/>
        </w:rPr>
        <w:t>2017</w:t>
      </w:r>
      <w:r>
        <w:rPr>
          <w:bCs/>
          <w:color w:val="000000"/>
          <w:kern w:val="0"/>
          <w:sz w:val="24"/>
          <w:szCs w:val="24"/>
        </w:rPr>
        <w:t>年</w:t>
      </w:r>
      <w:r>
        <w:rPr>
          <w:bCs/>
          <w:color w:val="000000"/>
          <w:kern w:val="0"/>
          <w:sz w:val="24"/>
          <w:szCs w:val="24"/>
        </w:rPr>
        <w:t>3</w:t>
      </w:r>
      <w:r>
        <w:rPr>
          <w:bCs/>
          <w:color w:val="000000"/>
          <w:kern w:val="0"/>
          <w:sz w:val="24"/>
          <w:szCs w:val="24"/>
        </w:rPr>
        <w:t>月</w:t>
      </w:r>
      <w:r>
        <w:rPr>
          <w:bCs/>
          <w:color w:val="000000"/>
          <w:kern w:val="0"/>
          <w:sz w:val="24"/>
          <w:szCs w:val="24"/>
        </w:rPr>
        <w:t>18</w:t>
      </w:r>
      <w:r>
        <w:rPr>
          <w:bCs/>
          <w:color w:val="000000"/>
          <w:kern w:val="0"/>
          <w:sz w:val="24"/>
          <w:szCs w:val="24"/>
        </w:rPr>
        <w:t>日公告，公司于</w:t>
      </w:r>
      <w:r>
        <w:rPr>
          <w:bCs/>
          <w:color w:val="000000"/>
          <w:kern w:val="0"/>
          <w:sz w:val="24"/>
          <w:szCs w:val="24"/>
        </w:rPr>
        <w:t>2017</w:t>
      </w:r>
      <w:r>
        <w:rPr>
          <w:bCs/>
          <w:color w:val="000000"/>
          <w:kern w:val="0"/>
          <w:sz w:val="24"/>
          <w:szCs w:val="24"/>
        </w:rPr>
        <w:t>年</w:t>
      </w:r>
      <w:r>
        <w:rPr>
          <w:bCs/>
          <w:color w:val="000000"/>
          <w:kern w:val="0"/>
          <w:sz w:val="24"/>
          <w:szCs w:val="24"/>
        </w:rPr>
        <w:t>3</w:t>
      </w:r>
      <w:r>
        <w:rPr>
          <w:bCs/>
          <w:color w:val="000000"/>
          <w:kern w:val="0"/>
          <w:sz w:val="24"/>
          <w:szCs w:val="24"/>
        </w:rPr>
        <w:t>月</w:t>
      </w:r>
      <w:r>
        <w:rPr>
          <w:bCs/>
          <w:color w:val="000000"/>
          <w:kern w:val="0"/>
          <w:sz w:val="24"/>
          <w:szCs w:val="24"/>
        </w:rPr>
        <w:t>17</w:t>
      </w:r>
      <w:r>
        <w:rPr>
          <w:bCs/>
          <w:color w:val="000000"/>
          <w:kern w:val="0"/>
          <w:sz w:val="24"/>
          <w:szCs w:val="24"/>
        </w:rPr>
        <w:t>日收到《中国证券监督管理委员会调查通知书》（编号：深专调查通字</w:t>
      </w:r>
      <w:r>
        <w:rPr>
          <w:bCs/>
          <w:color w:val="000000"/>
          <w:kern w:val="0"/>
          <w:sz w:val="24"/>
          <w:szCs w:val="24"/>
        </w:rPr>
        <w:t>2017194</w:t>
      </w:r>
      <w:r>
        <w:rPr>
          <w:bCs/>
          <w:color w:val="000000"/>
          <w:kern w:val="0"/>
          <w:sz w:val="24"/>
          <w:szCs w:val="24"/>
        </w:rPr>
        <w:t>号）。公司因在从事上市公司并购重组财务顾问业务活动中涉嫌违反证券法律法规，中国证监会决定对公司进行立案调查。</w:t>
      </w:r>
    </w:p>
    <w:p w:rsidR="00531046" w:rsidRDefault="0087535F">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17,006.81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100,354.03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371,767.81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489,128.65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226,060,553.36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108,632,240.48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309,992,172.91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24,700,620.93</w:t>
            </w:r>
          </w:p>
        </w:tc>
      </w:tr>
    </w:tbl>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3A58DC" w:rsidRPr="007E75F6" w:rsidTr="00B06DDA">
        <w:tc>
          <w:tcPr>
            <w:tcW w:w="851" w:type="dxa"/>
            <w:vMerge w:val="restart"/>
            <w:vAlign w:val="center"/>
          </w:tcPr>
          <w:p w:rsidR="003A58DC" w:rsidRPr="00FA2B52" w:rsidRDefault="003A58DC" w:rsidP="00B06DDA">
            <w:pPr>
              <w:autoSpaceDE w:val="0"/>
              <w:autoSpaceDN w:val="0"/>
              <w:adjustRightInd w:val="0"/>
              <w:jc w:val="center"/>
              <w:rPr>
                <w:rFonts w:ascii="宋体" w:hAnsi="宋体"/>
                <w:color w:val="000000"/>
                <w:sz w:val="24"/>
                <w:szCs w:val="24"/>
              </w:rPr>
            </w:pPr>
            <w:r w:rsidRPr="00FA2B52">
              <w:rPr>
                <w:rFonts w:ascii="宋体" w:hAnsi="宋体" w:hint="eastAsia"/>
                <w:color w:val="000000"/>
                <w:sz w:val="24"/>
                <w:szCs w:val="24"/>
              </w:rPr>
              <w:t>投资者类别</w:t>
            </w:r>
          </w:p>
        </w:tc>
        <w:tc>
          <w:tcPr>
            <w:tcW w:w="5670" w:type="dxa"/>
            <w:gridSpan w:val="5"/>
            <w:vAlign w:val="center"/>
          </w:tcPr>
          <w:p w:rsidR="003A58DC" w:rsidRPr="00FA2B52" w:rsidRDefault="003A58DC" w:rsidP="00B06DDA">
            <w:pPr>
              <w:autoSpaceDE w:val="0"/>
              <w:autoSpaceDN w:val="0"/>
              <w:adjustRightInd w:val="0"/>
              <w:jc w:val="center"/>
              <w:rPr>
                <w:rFonts w:ascii="宋体" w:hAnsi="宋体"/>
                <w:color w:val="000000"/>
                <w:sz w:val="24"/>
                <w:szCs w:val="24"/>
              </w:rPr>
            </w:pPr>
            <w:r w:rsidRPr="00FA2B52">
              <w:rPr>
                <w:rFonts w:ascii="宋体" w:hAnsi="宋体" w:hint="eastAsia"/>
                <w:color w:val="000000"/>
                <w:sz w:val="24"/>
                <w:szCs w:val="24"/>
              </w:rPr>
              <w:t>报告期内持有基金份额变化情况</w:t>
            </w:r>
          </w:p>
        </w:tc>
        <w:tc>
          <w:tcPr>
            <w:tcW w:w="2691" w:type="dxa"/>
            <w:gridSpan w:val="2"/>
            <w:vAlign w:val="center"/>
          </w:tcPr>
          <w:p w:rsidR="003A58DC" w:rsidRPr="00FA2B52" w:rsidRDefault="003A58DC" w:rsidP="00B06DDA">
            <w:pPr>
              <w:autoSpaceDE w:val="0"/>
              <w:autoSpaceDN w:val="0"/>
              <w:adjustRightInd w:val="0"/>
              <w:rPr>
                <w:rFonts w:ascii="宋体" w:hAnsi="宋体"/>
                <w:color w:val="000000"/>
                <w:sz w:val="24"/>
                <w:szCs w:val="24"/>
              </w:rPr>
            </w:pPr>
            <w:r w:rsidRPr="00FA2B52">
              <w:rPr>
                <w:rFonts w:ascii="宋体" w:hAnsi="宋体" w:hint="eastAsia"/>
                <w:color w:val="000000"/>
                <w:sz w:val="24"/>
                <w:szCs w:val="24"/>
              </w:rPr>
              <w:t>报告期末持有基金情况</w:t>
            </w:r>
          </w:p>
        </w:tc>
      </w:tr>
      <w:tr w:rsidR="003A58DC" w:rsidRPr="007E75F6" w:rsidTr="00B06DDA">
        <w:tc>
          <w:tcPr>
            <w:tcW w:w="851" w:type="dxa"/>
            <w:vMerge/>
            <w:vAlign w:val="center"/>
          </w:tcPr>
          <w:p w:rsidR="003A58DC" w:rsidRPr="00FA2B52" w:rsidRDefault="003A58DC" w:rsidP="00B06DDA">
            <w:pPr>
              <w:autoSpaceDE w:val="0"/>
              <w:autoSpaceDN w:val="0"/>
              <w:adjustRightInd w:val="0"/>
              <w:jc w:val="center"/>
              <w:rPr>
                <w:rFonts w:ascii="宋体" w:hAnsi="宋体"/>
                <w:color w:val="000000"/>
                <w:sz w:val="24"/>
                <w:szCs w:val="24"/>
              </w:rPr>
            </w:pPr>
          </w:p>
        </w:tc>
        <w:tc>
          <w:tcPr>
            <w:tcW w:w="1134" w:type="dxa"/>
            <w:vAlign w:val="center"/>
          </w:tcPr>
          <w:p w:rsidR="003A58DC" w:rsidRPr="00FA2B52" w:rsidRDefault="003A58DC" w:rsidP="00B06DDA">
            <w:pPr>
              <w:autoSpaceDE w:val="0"/>
              <w:autoSpaceDN w:val="0"/>
              <w:adjustRightInd w:val="0"/>
              <w:jc w:val="center"/>
              <w:rPr>
                <w:rFonts w:ascii="宋体" w:hAnsi="宋体"/>
                <w:color w:val="000000"/>
                <w:sz w:val="24"/>
                <w:szCs w:val="24"/>
              </w:rPr>
            </w:pPr>
            <w:r w:rsidRPr="00FA2B52">
              <w:rPr>
                <w:rFonts w:ascii="宋体" w:hAnsi="宋体" w:hint="eastAsia"/>
                <w:color w:val="000000"/>
                <w:sz w:val="24"/>
                <w:szCs w:val="24"/>
              </w:rPr>
              <w:t>序号</w:t>
            </w:r>
          </w:p>
        </w:tc>
        <w:tc>
          <w:tcPr>
            <w:tcW w:w="1843" w:type="dxa"/>
            <w:vAlign w:val="center"/>
          </w:tcPr>
          <w:p w:rsidR="003A58DC" w:rsidRPr="00FA2B52" w:rsidRDefault="003A58DC" w:rsidP="00B06DDA">
            <w:pPr>
              <w:autoSpaceDE w:val="0"/>
              <w:autoSpaceDN w:val="0"/>
              <w:adjustRightInd w:val="0"/>
              <w:rPr>
                <w:rFonts w:ascii="宋体" w:hAnsi="宋体"/>
                <w:color w:val="000000"/>
                <w:sz w:val="24"/>
                <w:szCs w:val="24"/>
              </w:rPr>
            </w:pPr>
            <w:r w:rsidRPr="00FA2B52">
              <w:rPr>
                <w:rFonts w:ascii="宋体" w:hAnsi="宋体" w:hint="eastAsia"/>
                <w:color w:val="000000"/>
                <w:sz w:val="24"/>
                <w:szCs w:val="24"/>
              </w:rPr>
              <w:t>持有基金份额比例达到或者超过</w:t>
            </w:r>
            <w:r w:rsidRPr="00FA2B52">
              <w:rPr>
                <w:rFonts w:ascii="宋体" w:hAnsi="宋体"/>
                <w:color w:val="000000"/>
                <w:sz w:val="24"/>
                <w:szCs w:val="24"/>
              </w:rPr>
              <w:t>20%的时间区间</w:t>
            </w:r>
          </w:p>
        </w:tc>
        <w:tc>
          <w:tcPr>
            <w:tcW w:w="851" w:type="dxa"/>
            <w:vAlign w:val="center"/>
          </w:tcPr>
          <w:p w:rsidR="003A58DC" w:rsidRPr="00FA2B52" w:rsidRDefault="003A58DC" w:rsidP="00B06DDA">
            <w:pPr>
              <w:widowControl/>
              <w:jc w:val="center"/>
              <w:rPr>
                <w:rFonts w:ascii="宋体" w:hAnsi="宋体"/>
                <w:color w:val="000000"/>
                <w:sz w:val="24"/>
                <w:szCs w:val="24"/>
              </w:rPr>
            </w:pPr>
            <w:r w:rsidRPr="00FA2B52">
              <w:rPr>
                <w:rFonts w:ascii="宋体" w:hAnsi="宋体" w:hint="eastAsia"/>
                <w:color w:val="000000"/>
                <w:sz w:val="24"/>
                <w:szCs w:val="24"/>
              </w:rPr>
              <w:t>期初份额</w:t>
            </w:r>
          </w:p>
          <w:p w:rsidR="003A58DC" w:rsidRPr="00FA2B52" w:rsidRDefault="003A58DC" w:rsidP="00B06DDA">
            <w:pPr>
              <w:autoSpaceDE w:val="0"/>
              <w:autoSpaceDN w:val="0"/>
              <w:adjustRightInd w:val="0"/>
              <w:jc w:val="center"/>
              <w:rPr>
                <w:rFonts w:ascii="宋体" w:hAnsi="宋体"/>
                <w:color w:val="000000"/>
                <w:sz w:val="24"/>
                <w:szCs w:val="24"/>
              </w:rPr>
            </w:pPr>
          </w:p>
        </w:tc>
        <w:tc>
          <w:tcPr>
            <w:tcW w:w="850" w:type="dxa"/>
            <w:vAlign w:val="center"/>
          </w:tcPr>
          <w:p w:rsidR="003A58DC" w:rsidRPr="00FA2B52" w:rsidRDefault="003A58DC" w:rsidP="00B06DDA">
            <w:pPr>
              <w:widowControl/>
              <w:jc w:val="center"/>
              <w:rPr>
                <w:rFonts w:ascii="宋体" w:hAnsi="宋体"/>
                <w:color w:val="000000"/>
                <w:sz w:val="24"/>
                <w:szCs w:val="24"/>
              </w:rPr>
            </w:pPr>
            <w:r w:rsidRPr="00FA2B52">
              <w:rPr>
                <w:rFonts w:ascii="宋体" w:hAnsi="宋体" w:hint="eastAsia"/>
                <w:color w:val="000000"/>
                <w:sz w:val="24"/>
                <w:szCs w:val="24"/>
              </w:rPr>
              <w:t>申购份额</w:t>
            </w:r>
          </w:p>
          <w:p w:rsidR="003A58DC" w:rsidRPr="00FA2B52" w:rsidRDefault="003A58DC" w:rsidP="00B06DDA">
            <w:pPr>
              <w:autoSpaceDE w:val="0"/>
              <w:autoSpaceDN w:val="0"/>
              <w:adjustRightInd w:val="0"/>
              <w:jc w:val="center"/>
              <w:rPr>
                <w:rFonts w:ascii="宋体" w:hAnsi="宋体"/>
                <w:color w:val="000000"/>
                <w:sz w:val="24"/>
                <w:szCs w:val="24"/>
              </w:rPr>
            </w:pPr>
          </w:p>
        </w:tc>
        <w:tc>
          <w:tcPr>
            <w:tcW w:w="992" w:type="dxa"/>
            <w:vAlign w:val="center"/>
          </w:tcPr>
          <w:p w:rsidR="003A58DC" w:rsidRPr="00FA2B52" w:rsidRDefault="003A58DC" w:rsidP="00B06DDA">
            <w:pPr>
              <w:autoSpaceDE w:val="0"/>
              <w:autoSpaceDN w:val="0"/>
              <w:adjustRightInd w:val="0"/>
              <w:jc w:val="center"/>
              <w:rPr>
                <w:rFonts w:ascii="宋体" w:hAnsi="宋体"/>
                <w:color w:val="000000"/>
                <w:sz w:val="24"/>
                <w:szCs w:val="24"/>
              </w:rPr>
            </w:pPr>
            <w:r w:rsidRPr="00FA2B52">
              <w:rPr>
                <w:rFonts w:ascii="宋体" w:hAnsi="宋体" w:hint="eastAsia"/>
                <w:color w:val="000000"/>
                <w:sz w:val="24"/>
                <w:szCs w:val="24"/>
              </w:rPr>
              <w:t>赎回份额</w:t>
            </w:r>
          </w:p>
        </w:tc>
        <w:tc>
          <w:tcPr>
            <w:tcW w:w="1418" w:type="dxa"/>
            <w:vAlign w:val="center"/>
          </w:tcPr>
          <w:p w:rsidR="003A58DC" w:rsidRPr="00FA2B52" w:rsidRDefault="003A58DC" w:rsidP="00B06DDA">
            <w:pPr>
              <w:autoSpaceDE w:val="0"/>
              <w:autoSpaceDN w:val="0"/>
              <w:adjustRightInd w:val="0"/>
              <w:rPr>
                <w:rFonts w:ascii="宋体" w:hAnsi="宋体"/>
                <w:color w:val="000000"/>
                <w:sz w:val="24"/>
                <w:szCs w:val="24"/>
              </w:rPr>
            </w:pPr>
            <w:r w:rsidRPr="00FA2B52">
              <w:rPr>
                <w:rFonts w:ascii="宋体" w:hAnsi="宋体" w:hint="eastAsia"/>
                <w:color w:val="000000"/>
                <w:sz w:val="24"/>
                <w:szCs w:val="24"/>
              </w:rPr>
              <w:t>持有份额</w:t>
            </w:r>
          </w:p>
        </w:tc>
        <w:tc>
          <w:tcPr>
            <w:tcW w:w="1273" w:type="dxa"/>
            <w:vAlign w:val="center"/>
          </w:tcPr>
          <w:p w:rsidR="003A58DC" w:rsidRPr="00FA2B52" w:rsidRDefault="003A58DC" w:rsidP="00B06DDA">
            <w:pPr>
              <w:autoSpaceDE w:val="0"/>
              <w:autoSpaceDN w:val="0"/>
              <w:adjustRightInd w:val="0"/>
              <w:jc w:val="center"/>
              <w:rPr>
                <w:rFonts w:ascii="宋体" w:hAnsi="宋体"/>
                <w:color w:val="000000"/>
                <w:sz w:val="24"/>
                <w:szCs w:val="24"/>
              </w:rPr>
            </w:pPr>
            <w:r w:rsidRPr="00FA2B52">
              <w:rPr>
                <w:rFonts w:ascii="宋体" w:hAnsi="宋体" w:hint="eastAsia"/>
                <w:color w:val="000000"/>
                <w:sz w:val="24"/>
                <w:szCs w:val="24"/>
              </w:rPr>
              <w:t>份额占比</w:t>
            </w:r>
          </w:p>
        </w:tc>
      </w:tr>
      <w:tr w:rsidR="00531046">
        <w:tc>
          <w:tcPr>
            <w:tcW w:w="851" w:type="dxa"/>
          </w:tcPr>
          <w:p w:rsidR="00531046" w:rsidRPr="00FA2B52" w:rsidRDefault="00531046">
            <w:pPr>
              <w:rPr>
                <w:sz w:val="24"/>
                <w:szCs w:val="24"/>
              </w:rPr>
            </w:pPr>
          </w:p>
          <w:p w:rsidR="00531046" w:rsidRPr="00FA2B52" w:rsidRDefault="0087535F">
            <w:pPr>
              <w:rPr>
                <w:sz w:val="24"/>
                <w:szCs w:val="24"/>
              </w:rPr>
            </w:pPr>
            <w:r w:rsidRPr="00290040">
              <w:rPr>
                <w:rFonts w:eastAsiaTheme="minorEastAsia" w:hint="eastAsia"/>
                <w:bCs/>
                <w:color w:val="000000" w:themeColor="text1"/>
                <w:sz w:val="24"/>
                <w:szCs w:val="24"/>
              </w:rPr>
              <w:t>机构</w:t>
            </w:r>
          </w:p>
        </w:tc>
        <w:tc>
          <w:tcPr>
            <w:tcW w:w="1134" w:type="dxa"/>
            <w:vAlign w:val="center"/>
          </w:tcPr>
          <w:p w:rsidR="00531046" w:rsidRPr="00FA2B52" w:rsidRDefault="0087535F">
            <w:pPr>
              <w:jc w:val="center"/>
              <w:rPr>
                <w:sz w:val="24"/>
                <w:szCs w:val="24"/>
              </w:rPr>
            </w:pPr>
            <w:r w:rsidRPr="00FA2B52">
              <w:rPr>
                <w:color w:val="000000"/>
                <w:sz w:val="24"/>
                <w:szCs w:val="24"/>
              </w:rPr>
              <w:t>1</w:t>
            </w:r>
          </w:p>
        </w:tc>
        <w:tc>
          <w:tcPr>
            <w:tcW w:w="1843" w:type="dxa"/>
            <w:vAlign w:val="center"/>
          </w:tcPr>
          <w:p w:rsidR="00531046" w:rsidRPr="00FA2B52" w:rsidRDefault="0087535F">
            <w:pPr>
              <w:jc w:val="center"/>
              <w:rPr>
                <w:sz w:val="24"/>
                <w:szCs w:val="24"/>
              </w:rPr>
            </w:pPr>
            <w:r w:rsidRPr="00FA2B52">
              <w:rPr>
                <w:color w:val="000000"/>
                <w:sz w:val="24"/>
                <w:szCs w:val="24"/>
              </w:rPr>
              <w:t>2017/02/21-2017/02/28</w:t>
            </w:r>
          </w:p>
        </w:tc>
        <w:tc>
          <w:tcPr>
            <w:tcW w:w="851" w:type="dxa"/>
            <w:vAlign w:val="center"/>
          </w:tcPr>
          <w:p w:rsidR="00531046" w:rsidRPr="00FA2B52" w:rsidRDefault="0087535F">
            <w:pPr>
              <w:jc w:val="center"/>
              <w:rPr>
                <w:sz w:val="24"/>
                <w:szCs w:val="24"/>
              </w:rPr>
            </w:pPr>
            <w:r w:rsidRPr="00FA2B52">
              <w:rPr>
                <w:color w:val="000000"/>
                <w:sz w:val="24"/>
                <w:szCs w:val="24"/>
              </w:rPr>
              <w:t>-</w:t>
            </w:r>
          </w:p>
        </w:tc>
        <w:tc>
          <w:tcPr>
            <w:tcW w:w="850" w:type="dxa"/>
            <w:vAlign w:val="center"/>
          </w:tcPr>
          <w:p w:rsidR="00531046" w:rsidRPr="00FA2B52" w:rsidRDefault="0087535F">
            <w:pPr>
              <w:jc w:val="center"/>
              <w:rPr>
                <w:sz w:val="24"/>
                <w:szCs w:val="24"/>
              </w:rPr>
            </w:pPr>
            <w:r w:rsidRPr="00FA2B52">
              <w:rPr>
                <w:color w:val="000000"/>
                <w:sz w:val="24"/>
                <w:szCs w:val="24"/>
              </w:rPr>
              <w:t>108,480,276.13</w:t>
            </w:r>
          </w:p>
        </w:tc>
        <w:tc>
          <w:tcPr>
            <w:tcW w:w="992" w:type="dxa"/>
            <w:vAlign w:val="center"/>
          </w:tcPr>
          <w:p w:rsidR="00531046" w:rsidRPr="00FA2B52" w:rsidRDefault="0087535F">
            <w:pPr>
              <w:jc w:val="center"/>
              <w:rPr>
                <w:sz w:val="24"/>
                <w:szCs w:val="24"/>
              </w:rPr>
            </w:pPr>
            <w:r w:rsidRPr="00FA2B52">
              <w:rPr>
                <w:color w:val="000000"/>
                <w:sz w:val="24"/>
                <w:szCs w:val="24"/>
              </w:rPr>
              <w:t>108,480,276.13</w:t>
            </w:r>
          </w:p>
        </w:tc>
        <w:tc>
          <w:tcPr>
            <w:tcW w:w="1418" w:type="dxa"/>
            <w:vAlign w:val="center"/>
          </w:tcPr>
          <w:p w:rsidR="00531046" w:rsidRPr="00FA2B52" w:rsidRDefault="0087535F">
            <w:pPr>
              <w:jc w:val="center"/>
              <w:rPr>
                <w:sz w:val="24"/>
                <w:szCs w:val="24"/>
              </w:rPr>
            </w:pPr>
            <w:r w:rsidRPr="00FA2B52">
              <w:rPr>
                <w:color w:val="000000"/>
                <w:sz w:val="24"/>
                <w:szCs w:val="24"/>
              </w:rPr>
              <w:t>-</w:t>
            </w:r>
          </w:p>
        </w:tc>
        <w:tc>
          <w:tcPr>
            <w:tcW w:w="1273" w:type="dxa"/>
            <w:vAlign w:val="center"/>
          </w:tcPr>
          <w:p w:rsidR="00531046" w:rsidRPr="00FA2B52" w:rsidRDefault="0087535F">
            <w:pPr>
              <w:jc w:val="center"/>
              <w:rPr>
                <w:sz w:val="24"/>
                <w:szCs w:val="24"/>
              </w:rPr>
            </w:pPr>
            <w:r w:rsidRPr="00FA2B52">
              <w:rPr>
                <w:color w:val="000000"/>
                <w:sz w:val="24"/>
                <w:szCs w:val="24"/>
              </w:rPr>
              <w:t>0.00%</w:t>
            </w:r>
          </w:p>
        </w:tc>
      </w:tr>
      <w:tr w:rsidR="003A58DC" w:rsidRPr="0077692E" w:rsidTr="00B06DDA">
        <w:tc>
          <w:tcPr>
            <w:tcW w:w="9212" w:type="dxa"/>
            <w:gridSpan w:val="8"/>
            <w:vAlign w:val="center"/>
          </w:tcPr>
          <w:p w:rsidR="003A58DC" w:rsidRPr="00FA2B52" w:rsidRDefault="003A58DC" w:rsidP="00B06DDA">
            <w:pPr>
              <w:autoSpaceDE w:val="0"/>
              <w:autoSpaceDN w:val="0"/>
              <w:adjustRightInd w:val="0"/>
              <w:ind w:firstLine="1126"/>
              <w:jc w:val="center"/>
              <w:rPr>
                <w:sz w:val="24"/>
                <w:szCs w:val="24"/>
              </w:rPr>
            </w:pPr>
            <w:r w:rsidRPr="00FA2B52">
              <w:rPr>
                <w:rFonts w:hint="eastAsia"/>
                <w:color w:val="000000"/>
                <w:sz w:val="24"/>
                <w:szCs w:val="24"/>
              </w:rPr>
              <w:t>产品特有风险</w:t>
            </w:r>
          </w:p>
        </w:tc>
      </w:tr>
      <w:tr w:rsidR="003A58DC" w:rsidRPr="00EF20F9" w:rsidTr="00B06DDA">
        <w:tc>
          <w:tcPr>
            <w:tcW w:w="9212" w:type="dxa"/>
            <w:gridSpan w:val="8"/>
            <w:vAlign w:val="center"/>
          </w:tcPr>
          <w:p w:rsidR="003A58DC" w:rsidRPr="00FA2B52" w:rsidRDefault="003A58DC" w:rsidP="00B06DDA">
            <w:pPr>
              <w:autoSpaceDE w:val="0"/>
              <w:autoSpaceDN w:val="0"/>
              <w:adjustRightInd w:val="0"/>
              <w:jc w:val="left"/>
              <w:rPr>
                <w:sz w:val="24"/>
                <w:szCs w:val="24"/>
              </w:rPr>
            </w:pPr>
            <w:r w:rsidRPr="00FA2B52">
              <w:rPr>
                <w:rFonts w:hint="eastAsia"/>
                <w:sz w:val="24"/>
                <w:szCs w:val="24"/>
              </w:rPr>
              <w:t>本基金本报告期内出现单一投资者持有基金份额比例超过基金总份额</w:t>
            </w:r>
            <w:r w:rsidRPr="00FA2B52">
              <w:rPr>
                <w:sz w:val="24"/>
                <w:szCs w:val="24"/>
              </w:rPr>
              <w:t>20%</w:t>
            </w:r>
            <w:r w:rsidRPr="00FA2B52">
              <w:rPr>
                <w:rFonts w:hint="eastAsia"/>
                <w:sz w:val="24"/>
                <w:szCs w:val="24"/>
              </w:rPr>
              <w:t>的情况。如该类投资者集中赎回，可能会对本基金带来流动性冲击，从而影响基金的投资运作和收益水平。基金管理人将加强流动性管理，防范相关风险，保护持有人利益。</w:t>
            </w:r>
          </w:p>
        </w:tc>
      </w:tr>
    </w:tbl>
    <w:p w:rsidR="00CB181A" w:rsidRDefault="00CB181A" w:rsidP="003A58DC">
      <w:pPr>
        <w:autoSpaceDE w:val="0"/>
        <w:autoSpaceDN w:val="0"/>
        <w:adjustRightInd w:val="0"/>
        <w:spacing w:line="360" w:lineRule="auto"/>
        <w:jc w:val="left"/>
        <w:rPr>
          <w:rFonts w:eastAsiaTheme="minorEastAsia"/>
          <w:b/>
          <w:bCs/>
          <w:color w:val="000000" w:themeColor="text1"/>
          <w:kern w:val="0"/>
          <w:sz w:val="24"/>
        </w:rPr>
      </w:pP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sidRPr="008B35EE">
        <w:rPr>
          <w:rFonts w:eastAsiaTheme="minorEastAsia" w:hint="eastAsia"/>
          <w:b/>
          <w:bCs/>
          <w:color w:val="000000" w:themeColor="text1"/>
          <w:kern w:val="0"/>
          <w:sz w:val="24"/>
        </w:rPr>
        <w:t>8.2</w:t>
      </w:r>
      <w:r>
        <w:rPr>
          <w:rFonts w:eastAsiaTheme="minorEastAsia" w:hint="eastAsia"/>
          <w:b/>
          <w:bCs/>
          <w:color w:val="000000" w:themeColor="text1"/>
          <w:kern w:val="0"/>
          <w:sz w:val="24"/>
        </w:rPr>
        <w:t xml:space="preserve"> </w:t>
      </w:r>
      <w:r w:rsidRPr="007E75F6">
        <w:rPr>
          <w:rFonts w:eastAsiaTheme="minorEastAsia" w:hint="eastAsia"/>
          <w:b/>
          <w:bCs/>
          <w:color w:val="000000" w:themeColor="text1"/>
          <w:kern w:val="0"/>
          <w:sz w:val="24"/>
        </w:rPr>
        <w:t>影响投资者决策的其他重要信息</w:t>
      </w:r>
    </w:p>
    <w:p w:rsidR="004061AC" w:rsidRPr="00414345" w:rsidRDefault="003A58DC" w:rsidP="003A58DC">
      <w:pPr>
        <w:spacing w:before="29" w:line="288" w:lineRule="auto"/>
        <w:ind w:firstLineChars="200" w:firstLine="480"/>
        <w:rPr>
          <w:color w:val="000000"/>
          <w:sz w:val="24"/>
          <w:szCs w:val="24"/>
        </w:rPr>
      </w:pPr>
      <w:r w:rsidRPr="007E75F6">
        <w:rPr>
          <w:rFonts w:eastAsiaTheme="minorEastAsia"/>
          <w:color w:val="000000" w:themeColor="text1"/>
          <w:sz w:val="24"/>
        </w:rPr>
        <w:t>本基金在基金合同生效之日起两年（含两年）的期间内封闭式运作（按照基金合同的约定提前转换基金运作方式的除外），封闭期结束后转为开放式运作。封闭期在本基金的基金合同中如无特别指明即为自基金合同生效之日起至两个公历年后对应日止，若两年后对应日为非工作日的，相应顺延。本基金的封闭期自</w:t>
      </w:r>
      <w:r w:rsidRPr="007E75F6">
        <w:rPr>
          <w:rFonts w:eastAsiaTheme="minorEastAsia"/>
          <w:color w:val="000000" w:themeColor="text1"/>
          <w:sz w:val="24"/>
        </w:rPr>
        <w:t>2015</w:t>
      </w:r>
      <w:r w:rsidRPr="007E75F6">
        <w:rPr>
          <w:rFonts w:eastAsiaTheme="minorEastAsia"/>
          <w:color w:val="000000" w:themeColor="text1"/>
          <w:sz w:val="24"/>
        </w:rPr>
        <w:t>年</w:t>
      </w:r>
      <w:r w:rsidRPr="007E75F6">
        <w:rPr>
          <w:rFonts w:eastAsiaTheme="minorEastAsia"/>
          <w:color w:val="000000" w:themeColor="text1"/>
          <w:sz w:val="24"/>
        </w:rPr>
        <w:t>1</w:t>
      </w:r>
      <w:r w:rsidRPr="007E75F6">
        <w:rPr>
          <w:rFonts w:eastAsiaTheme="minorEastAsia"/>
          <w:color w:val="000000" w:themeColor="text1"/>
          <w:sz w:val="24"/>
        </w:rPr>
        <w:t>月</w:t>
      </w:r>
      <w:r w:rsidRPr="007E75F6">
        <w:rPr>
          <w:rFonts w:eastAsiaTheme="minorEastAsia"/>
          <w:color w:val="000000" w:themeColor="text1"/>
          <w:sz w:val="24"/>
        </w:rPr>
        <w:t>30</w:t>
      </w:r>
      <w:r w:rsidRPr="007E75F6">
        <w:rPr>
          <w:rFonts w:eastAsiaTheme="minorEastAsia"/>
          <w:color w:val="000000" w:themeColor="text1"/>
          <w:sz w:val="24"/>
        </w:rPr>
        <w:t>日开始至</w:t>
      </w:r>
      <w:r w:rsidRPr="007E75F6">
        <w:rPr>
          <w:rFonts w:eastAsiaTheme="minorEastAsia"/>
          <w:color w:val="000000" w:themeColor="text1"/>
          <w:sz w:val="24"/>
        </w:rPr>
        <w:t>2017</w:t>
      </w:r>
      <w:r w:rsidRPr="007E75F6">
        <w:rPr>
          <w:rFonts w:eastAsiaTheme="minorEastAsia"/>
          <w:color w:val="000000" w:themeColor="text1"/>
          <w:sz w:val="24"/>
        </w:rPr>
        <w:t>年</w:t>
      </w:r>
      <w:r w:rsidRPr="007E75F6">
        <w:rPr>
          <w:rFonts w:eastAsiaTheme="minorEastAsia"/>
          <w:color w:val="000000" w:themeColor="text1"/>
          <w:sz w:val="24"/>
        </w:rPr>
        <w:t>2</w:t>
      </w:r>
      <w:r w:rsidRPr="007E75F6">
        <w:rPr>
          <w:rFonts w:eastAsiaTheme="minorEastAsia"/>
          <w:color w:val="000000" w:themeColor="text1"/>
          <w:sz w:val="24"/>
        </w:rPr>
        <w:t>月</w:t>
      </w:r>
      <w:r w:rsidRPr="007E75F6">
        <w:rPr>
          <w:rFonts w:eastAsiaTheme="minorEastAsia"/>
          <w:color w:val="000000" w:themeColor="text1"/>
          <w:sz w:val="24"/>
        </w:rPr>
        <w:t>3</w:t>
      </w:r>
      <w:r w:rsidRPr="007E75F6">
        <w:rPr>
          <w:rFonts w:eastAsiaTheme="minorEastAsia"/>
          <w:color w:val="000000" w:themeColor="text1"/>
          <w:sz w:val="24"/>
        </w:rPr>
        <w:t>日止，自</w:t>
      </w:r>
      <w:r w:rsidRPr="007E75F6">
        <w:rPr>
          <w:rFonts w:eastAsiaTheme="minorEastAsia"/>
          <w:color w:val="000000" w:themeColor="text1"/>
          <w:sz w:val="24"/>
        </w:rPr>
        <w:t>2017</w:t>
      </w:r>
      <w:r w:rsidRPr="007E75F6">
        <w:rPr>
          <w:rFonts w:eastAsiaTheme="minorEastAsia"/>
          <w:color w:val="000000" w:themeColor="text1"/>
          <w:sz w:val="24"/>
        </w:rPr>
        <w:t>年</w:t>
      </w:r>
      <w:r w:rsidRPr="007E75F6">
        <w:rPr>
          <w:rFonts w:eastAsiaTheme="minorEastAsia"/>
          <w:color w:val="000000" w:themeColor="text1"/>
          <w:sz w:val="24"/>
        </w:rPr>
        <w:t>2</w:t>
      </w:r>
      <w:r w:rsidRPr="007E75F6">
        <w:rPr>
          <w:rFonts w:eastAsiaTheme="minorEastAsia"/>
          <w:color w:val="000000" w:themeColor="text1"/>
          <w:sz w:val="24"/>
        </w:rPr>
        <w:t>月</w:t>
      </w:r>
      <w:r w:rsidRPr="007E75F6">
        <w:rPr>
          <w:rFonts w:eastAsiaTheme="minorEastAsia"/>
          <w:color w:val="000000" w:themeColor="text1"/>
          <w:sz w:val="24"/>
        </w:rPr>
        <w:t>6</w:t>
      </w:r>
      <w:r w:rsidRPr="007E75F6">
        <w:rPr>
          <w:rFonts w:eastAsiaTheme="minorEastAsia"/>
          <w:color w:val="000000" w:themeColor="text1"/>
          <w:sz w:val="24"/>
        </w:rPr>
        <w:t>日起转为开放式运作。本基金在转为开放式运作后，自</w:t>
      </w:r>
      <w:r w:rsidRPr="007E75F6">
        <w:rPr>
          <w:rFonts w:eastAsiaTheme="minorEastAsia"/>
          <w:color w:val="000000" w:themeColor="text1"/>
          <w:sz w:val="24"/>
        </w:rPr>
        <w:t>2017</w:t>
      </w:r>
      <w:r w:rsidRPr="007E75F6">
        <w:rPr>
          <w:rFonts w:eastAsiaTheme="minorEastAsia"/>
          <w:color w:val="000000" w:themeColor="text1"/>
          <w:sz w:val="24"/>
        </w:rPr>
        <w:t>年</w:t>
      </w:r>
      <w:r w:rsidRPr="007E75F6">
        <w:rPr>
          <w:rFonts w:eastAsiaTheme="minorEastAsia"/>
          <w:color w:val="000000" w:themeColor="text1"/>
          <w:sz w:val="24"/>
        </w:rPr>
        <w:t>2</w:t>
      </w:r>
      <w:r w:rsidRPr="007E75F6">
        <w:rPr>
          <w:rFonts w:eastAsiaTheme="minorEastAsia"/>
          <w:color w:val="000000" w:themeColor="text1"/>
          <w:sz w:val="24"/>
        </w:rPr>
        <w:t>月</w:t>
      </w:r>
      <w:r w:rsidRPr="007E75F6">
        <w:rPr>
          <w:rFonts w:eastAsiaTheme="minorEastAsia"/>
          <w:color w:val="000000" w:themeColor="text1"/>
          <w:sz w:val="24"/>
        </w:rPr>
        <w:t>6</w:t>
      </w:r>
      <w:r w:rsidRPr="007E75F6">
        <w:rPr>
          <w:rFonts w:eastAsiaTheme="minorEastAsia"/>
          <w:color w:val="000000" w:themeColor="text1"/>
          <w:sz w:val="24"/>
        </w:rPr>
        <w:t>日开始办理日常申购、赎回、定期定额投资等业务，并适用基金合同中关于转为开放式运作后的有关规定。详情请查阅本基金管理人于</w:t>
      </w:r>
      <w:r w:rsidRPr="007E75F6">
        <w:rPr>
          <w:rFonts w:eastAsiaTheme="minorEastAsia"/>
          <w:color w:val="000000" w:themeColor="text1"/>
          <w:sz w:val="24"/>
        </w:rPr>
        <w:t>2017</w:t>
      </w:r>
      <w:r w:rsidRPr="007E75F6">
        <w:rPr>
          <w:rFonts w:eastAsiaTheme="minorEastAsia"/>
          <w:color w:val="000000" w:themeColor="text1"/>
          <w:sz w:val="24"/>
        </w:rPr>
        <w:t>年</w:t>
      </w:r>
      <w:r w:rsidRPr="007E75F6">
        <w:rPr>
          <w:rFonts w:eastAsiaTheme="minorEastAsia"/>
          <w:color w:val="000000" w:themeColor="text1"/>
          <w:sz w:val="24"/>
        </w:rPr>
        <w:t>1</w:t>
      </w:r>
      <w:r w:rsidRPr="007E75F6">
        <w:rPr>
          <w:rFonts w:eastAsiaTheme="minorEastAsia"/>
          <w:color w:val="000000" w:themeColor="text1"/>
          <w:sz w:val="24"/>
        </w:rPr>
        <w:t>月</w:t>
      </w:r>
      <w:r w:rsidRPr="007E75F6">
        <w:rPr>
          <w:rFonts w:eastAsiaTheme="minorEastAsia"/>
          <w:color w:val="000000" w:themeColor="text1"/>
          <w:sz w:val="24"/>
        </w:rPr>
        <w:t>23</w:t>
      </w:r>
      <w:r w:rsidRPr="007E75F6">
        <w:rPr>
          <w:rFonts w:eastAsiaTheme="minorEastAsia"/>
          <w:color w:val="000000" w:themeColor="text1"/>
          <w:sz w:val="24"/>
        </w:rPr>
        <w:t>日发布的《交银施罗德基金管理有限公司关于交银施罗德丰泽收益债券型证券投资基金封闭期结束转为开放式运作的提示性公告》以及</w:t>
      </w:r>
      <w:r w:rsidRPr="007E75F6">
        <w:rPr>
          <w:rFonts w:eastAsiaTheme="minorEastAsia"/>
          <w:color w:val="000000" w:themeColor="text1"/>
          <w:sz w:val="24"/>
        </w:rPr>
        <w:t>2017</w:t>
      </w:r>
      <w:r w:rsidRPr="007E75F6">
        <w:rPr>
          <w:rFonts w:eastAsiaTheme="minorEastAsia"/>
          <w:color w:val="000000" w:themeColor="text1"/>
          <w:sz w:val="24"/>
        </w:rPr>
        <w:t>年</w:t>
      </w:r>
      <w:r w:rsidRPr="007E75F6">
        <w:rPr>
          <w:rFonts w:eastAsiaTheme="minorEastAsia"/>
          <w:color w:val="000000" w:themeColor="text1"/>
          <w:sz w:val="24"/>
        </w:rPr>
        <w:t>1</w:t>
      </w:r>
      <w:r w:rsidRPr="007E75F6">
        <w:rPr>
          <w:rFonts w:eastAsiaTheme="minorEastAsia"/>
          <w:color w:val="000000" w:themeColor="text1"/>
          <w:sz w:val="24"/>
        </w:rPr>
        <w:t>月</w:t>
      </w:r>
      <w:r w:rsidRPr="007E75F6">
        <w:rPr>
          <w:rFonts w:eastAsiaTheme="minorEastAsia"/>
          <w:color w:val="000000" w:themeColor="text1"/>
          <w:sz w:val="24"/>
        </w:rPr>
        <w:t>25</w:t>
      </w:r>
      <w:r w:rsidRPr="007E75F6">
        <w:rPr>
          <w:rFonts w:eastAsiaTheme="minorEastAsia"/>
          <w:color w:val="000000" w:themeColor="text1"/>
          <w:sz w:val="24"/>
        </w:rPr>
        <w:t>日发布的《交银施罗德基金管理有限公司关于交银施罗德丰泽收益债券型证券投资基金封闭期结束转为开放式运作暨开放日常申购、赎回、定期定额投资业务并参与部分销售机构申购费率优惠活动的公告》。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31046" w:rsidRDefault="0087535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、中国证监会准予交银施罗德丰泽收益债券型证券投资基金募集注册的文件；</w:t>
      </w:r>
      <w:r>
        <w:rPr>
          <w:color w:val="000000"/>
          <w:sz w:val="24"/>
          <w:szCs w:val="24"/>
        </w:rPr>
        <w:t xml:space="preserve"> </w:t>
      </w:r>
    </w:p>
    <w:p w:rsidR="00531046" w:rsidRDefault="0087535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、《交银施罗德丰泽收益债券型证券投资基金基金合同》；</w:t>
      </w:r>
    </w:p>
    <w:p w:rsidR="00531046" w:rsidRDefault="0087535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、《交银施罗德丰泽收益债券型证券投资基金招募说明书》；</w:t>
      </w:r>
      <w:r>
        <w:rPr>
          <w:color w:val="000000"/>
          <w:sz w:val="24"/>
          <w:szCs w:val="24"/>
        </w:rPr>
        <w:t xml:space="preserve"> </w:t>
      </w:r>
    </w:p>
    <w:p w:rsidR="00531046" w:rsidRDefault="0087535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、《交银施罗德丰泽收益债券型证券投资基金托管协议》；</w:t>
      </w:r>
      <w:r>
        <w:rPr>
          <w:color w:val="000000"/>
          <w:sz w:val="24"/>
          <w:szCs w:val="24"/>
        </w:rPr>
        <w:t xml:space="preserve"> </w:t>
      </w:r>
    </w:p>
    <w:p w:rsidR="00531046" w:rsidRDefault="0087535F">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531046" w:rsidRDefault="0087535F">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531046" w:rsidRDefault="0087535F">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、关于申请募集注册交银施罗德丰泽收益债券型证券投资基金的法律意见书；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、报告期内交银施罗德丰泽收益债券型证券投资基金在指定报刊上各项公告的原稿。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31046" w:rsidRDefault="0087535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917" w:rsidRDefault="000A1917" w:rsidP="00876D65">
      <w:r>
        <w:separator/>
      </w:r>
    </w:p>
  </w:endnote>
  <w:endnote w:type="continuationSeparator" w:id="0">
    <w:p w:rsidR="000A1917" w:rsidRDefault="000A191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FA2B52">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FA2B52">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917" w:rsidRDefault="000A1917" w:rsidP="00876D65">
      <w:r>
        <w:separator/>
      </w:r>
    </w:p>
  </w:footnote>
  <w:footnote w:type="continuationSeparator" w:id="0">
    <w:p w:rsidR="000A1917" w:rsidRDefault="000A191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1917"/>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040"/>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046"/>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3E47"/>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35F"/>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B181A"/>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2B52"/>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E62004F-753E-4E62-BA85-C37EFADD3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290040"/>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5CFF-CADE-4BF1-B0B3-02CA82A5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1163</Words>
  <Characters>6632</Characters>
  <Application>Microsoft Office Word</Application>
  <DocSecurity>0</DocSecurity>
  <Lines>55</Lines>
  <Paragraphs>15</Paragraphs>
  <ScaleCrop>false</ScaleCrop>
  <Company/>
  <LinksUpToDate>false</LinksUpToDate>
  <CharactersWithSpaces>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许帆</cp:lastModifiedBy>
  <cp:revision>2</cp:revision>
  <dcterms:created xsi:type="dcterms:W3CDTF">2017-04-20T09:41:00Z</dcterms:created>
  <dcterms:modified xsi:type="dcterms:W3CDTF">2017-04-20T09:41:00Z</dcterms:modified>
</cp:coreProperties>
</file>