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454,928,538.39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3873B2" w:rsidRDefault="00C22065">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w:t>
            </w:r>
            <w:r>
              <w:rPr>
                <w:color w:val="000000"/>
                <w:kern w:val="0"/>
                <w:sz w:val="24"/>
              </w:rPr>
              <w:lastRenderedPageBreak/>
              <w:t>上精选个券。</w:t>
            </w:r>
          </w:p>
          <w:p w:rsidR="003873B2" w:rsidRDefault="003873B2">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3873B2" w:rsidRDefault="00C22065">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396,053,134.70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58,875,403.69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2,586,835.36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617,265.28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2,051,510.48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724,572.68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0.0052</w:t>
            </w:r>
          </w:p>
        </w:tc>
        <w:tc>
          <w:tcPr>
            <w:tcW w:w="2481" w:type="dxa"/>
            <w:vAlign w:val="center"/>
          </w:tcPr>
          <w:p w:rsidR="005F293E" w:rsidRPr="007F52FA" w:rsidRDefault="00D02A0C" w:rsidP="007C14DF">
            <w:pPr>
              <w:adjustRightInd w:val="0"/>
              <w:spacing w:before="29" w:line="288" w:lineRule="auto"/>
              <w:ind w:left="17"/>
              <w:jc w:val="right"/>
              <w:rPr>
                <w:color w:val="000000"/>
                <w:sz w:val="24"/>
              </w:rPr>
            </w:pPr>
            <w:r w:rsidRPr="003649F3">
              <w:rPr>
                <w:color w:val="000000"/>
                <w:sz w:val="24"/>
              </w:rPr>
              <w:t>0.0059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402,065,201.24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59,701,561.11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1.014</w:t>
            </w:r>
          </w:p>
        </w:tc>
      </w:tr>
    </w:tbl>
    <w:p w:rsidR="003873B2" w:rsidRDefault="00C220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73B2">
        <w:trPr>
          <w:jc w:val="center"/>
        </w:trPr>
        <w:tc>
          <w:tcPr>
            <w:tcW w:w="1266" w:type="dxa"/>
            <w:vAlign w:val="center"/>
          </w:tcPr>
          <w:p w:rsidR="003873B2" w:rsidRDefault="00C22065">
            <w:pPr>
              <w:jc w:val="left"/>
            </w:pPr>
            <w:r>
              <w:rPr>
                <w:color w:val="000000"/>
                <w:sz w:val="24"/>
              </w:rPr>
              <w:t>过去三个月</w:t>
            </w:r>
          </w:p>
        </w:tc>
        <w:tc>
          <w:tcPr>
            <w:tcW w:w="1267" w:type="dxa"/>
            <w:vAlign w:val="center"/>
          </w:tcPr>
          <w:p w:rsidR="003873B2" w:rsidRDefault="00C22065">
            <w:pPr>
              <w:jc w:val="center"/>
            </w:pPr>
            <w:r>
              <w:rPr>
                <w:color w:val="000000"/>
                <w:sz w:val="24"/>
              </w:rPr>
              <w:t>0.50%</w:t>
            </w:r>
          </w:p>
        </w:tc>
        <w:tc>
          <w:tcPr>
            <w:tcW w:w="1267" w:type="dxa"/>
            <w:vAlign w:val="center"/>
          </w:tcPr>
          <w:p w:rsidR="003873B2" w:rsidRDefault="00C22065">
            <w:pPr>
              <w:jc w:val="center"/>
            </w:pPr>
            <w:r>
              <w:rPr>
                <w:color w:val="000000"/>
                <w:sz w:val="24"/>
              </w:rPr>
              <w:t>0.04%</w:t>
            </w:r>
          </w:p>
        </w:tc>
        <w:tc>
          <w:tcPr>
            <w:tcW w:w="1267" w:type="dxa"/>
            <w:vAlign w:val="center"/>
          </w:tcPr>
          <w:p w:rsidR="003873B2" w:rsidRDefault="00C22065">
            <w:pPr>
              <w:jc w:val="center"/>
            </w:pPr>
            <w:r>
              <w:rPr>
                <w:color w:val="000000"/>
                <w:sz w:val="24"/>
              </w:rPr>
              <w:t>-0.88%</w:t>
            </w:r>
          </w:p>
        </w:tc>
        <w:tc>
          <w:tcPr>
            <w:tcW w:w="1267" w:type="dxa"/>
            <w:vAlign w:val="center"/>
          </w:tcPr>
          <w:p w:rsidR="003873B2" w:rsidRDefault="00C22065">
            <w:pPr>
              <w:jc w:val="center"/>
            </w:pPr>
            <w:r>
              <w:rPr>
                <w:color w:val="000000"/>
                <w:sz w:val="24"/>
              </w:rPr>
              <w:t>0.08%</w:t>
            </w:r>
          </w:p>
        </w:tc>
        <w:tc>
          <w:tcPr>
            <w:tcW w:w="1267" w:type="dxa"/>
            <w:vAlign w:val="center"/>
          </w:tcPr>
          <w:p w:rsidR="003873B2" w:rsidRDefault="00C22065">
            <w:pPr>
              <w:jc w:val="center"/>
            </w:pPr>
            <w:r>
              <w:rPr>
                <w:color w:val="000000"/>
                <w:sz w:val="24"/>
              </w:rPr>
              <w:t>1.38%</w:t>
            </w:r>
          </w:p>
        </w:tc>
        <w:tc>
          <w:tcPr>
            <w:tcW w:w="1267" w:type="dxa"/>
            <w:vAlign w:val="center"/>
          </w:tcPr>
          <w:p w:rsidR="003873B2" w:rsidRDefault="00C22065">
            <w:pPr>
              <w:jc w:val="center"/>
            </w:pPr>
            <w:r>
              <w:rPr>
                <w:color w:val="000000"/>
                <w:sz w:val="24"/>
              </w:rPr>
              <w:t>-0.04%</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73B2">
        <w:trPr>
          <w:jc w:val="center"/>
        </w:trPr>
        <w:tc>
          <w:tcPr>
            <w:tcW w:w="1266" w:type="dxa"/>
            <w:vAlign w:val="center"/>
          </w:tcPr>
          <w:p w:rsidR="003873B2" w:rsidRDefault="00C22065">
            <w:pPr>
              <w:jc w:val="left"/>
            </w:pPr>
            <w:r>
              <w:rPr>
                <w:color w:val="000000"/>
                <w:sz w:val="24"/>
              </w:rPr>
              <w:t>过去三个月</w:t>
            </w:r>
          </w:p>
        </w:tc>
        <w:tc>
          <w:tcPr>
            <w:tcW w:w="1267" w:type="dxa"/>
            <w:vAlign w:val="center"/>
          </w:tcPr>
          <w:p w:rsidR="003873B2" w:rsidRDefault="00C22065">
            <w:pPr>
              <w:jc w:val="center"/>
            </w:pPr>
            <w:r>
              <w:rPr>
                <w:color w:val="000000"/>
                <w:sz w:val="24"/>
              </w:rPr>
              <w:t>0.60%</w:t>
            </w:r>
          </w:p>
        </w:tc>
        <w:tc>
          <w:tcPr>
            <w:tcW w:w="1267" w:type="dxa"/>
            <w:vAlign w:val="center"/>
          </w:tcPr>
          <w:p w:rsidR="003873B2" w:rsidRDefault="00C22065">
            <w:pPr>
              <w:jc w:val="center"/>
            </w:pPr>
            <w:r>
              <w:rPr>
                <w:color w:val="000000"/>
                <w:sz w:val="24"/>
              </w:rPr>
              <w:t>0.04%</w:t>
            </w:r>
          </w:p>
        </w:tc>
        <w:tc>
          <w:tcPr>
            <w:tcW w:w="1267" w:type="dxa"/>
            <w:vAlign w:val="center"/>
          </w:tcPr>
          <w:p w:rsidR="003873B2" w:rsidRDefault="00C22065">
            <w:pPr>
              <w:jc w:val="center"/>
            </w:pPr>
            <w:r>
              <w:rPr>
                <w:color w:val="000000"/>
                <w:sz w:val="24"/>
              </w:rPr>
              <w:t>-0.77%</w:t>
            </w:r>
          </w:p>
        </w:tc>
        <w:tc>
          <w:tcPr>
            <w:tcW w:w="1267" w:type="dxa"/>
            <w:vAlign w:val="center"/>
          </w:tcPr>
          <w:p w:rsidR="003873B2" w:rsidRDefault="00C22065">
            <w:pPr>
              <w:jc w:val="center"/>
            </w:pPr>
            <w:r>
              <w:rPr>
                <w:color w:val="000000"/>
                <w:sz w:val="24"/>
              </w:rPr>
              <w:t>0.07%</w:t>
            </w:r>
          </w:p>
        </w:tc>
        <w:tc>
          <w:tcPr>
            <w:tcW w:w="1267" w:type="dxa"/>
            <w:vAlign w:val="center"/>
          </w:tcPr>
          <w:p w:rsidR="003873B2" w:rsidRDefault="00C22065">
            <w:pPr>
              <w:jc w:val="center"/>
            </w:pPr>
            <w:r>
              <w:rPr>
                <w:color w:val="000000"/>
                <w:sz w:val="24"/>
              </w:rPr>
              <w:t>1.37%</w:t>
            </w:r>
          </w:p>
        </w:tc>
        <w:tc>
          <w:tcPr>
            <w:tcW w:w="1267" w:type="dxa"/>
            <w:vAlign w:val="center"/>
          </w:tcPr>
          <w:p w:rsidR="003873B2" w:rsidRDefault="00C22065">
            <w:pPr>
              <w:jc w:val="center"/>
            </w:pPr>
            <w:r>
              <w:rPr>
                <w:color w:val="000000"/>
                <w:sz w:val="24"/>
              </w:rPr>
              <w:t>-0.03%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291516" w:rsidRPr="003649F3" w:rsidRDefault="00291516" w:rsidP="003649F3">
      <w:pPr>
        <w:spacing w:before="29" w:line="288" w:lineRule="auto"/>
        <w:ind w:firstLineChars="200" w:firstLine="480"/>
        <w:rPr>
          <w:color w:val="000000"/>
          <w:sz w:val="24"/>
        </w:rPr>
      </w:pPr>
      <w:r w:rsidRPr="003649F3">
        <w:rPr>
          <w:rFonts w:hint="eastAsia"/>
          <w:color w:val="000000"/>
          <w:sz w:val="24"/>
        </w:rPr>
        <w:t>注：本基金自</w:t>
      </w:r>
      <w:r w:rsidRPr="003649F3">
        <w:rPr>
          <w:color w:val="000000"/>
          <w:sz w:val="24"/>
        </w:rPr>
        <w:t>2017</w:t>
      </w:r>
      <w:r w:rsidRPr="003649F3">
        <w:rPr>
          <w:rFonts w:hint="eastAsia"/>
          <w:color w:val="000000"/>
          <w:sz w:val="24"/>
        </w:rPr>
        <w:t>年</w:t>
      </w:r>
      <w:r w:rsidRPr="003649F3">
        <w:rPr>
          <w:color w:val="000000"/>
          <w:sz w:val="24"/>
        </w:rPr>
        <w:t>1</w:t>
      </w:r>
      <w:r w:rsidRPr="003649F3">
        <w:rPr>
          <w:rFonts w:hint="eastAsia"/>
          <w:color w:val="000000"/>
          <w:sz w:val="24"/>
        </w:rPr>
        <w:t>月</w:t>
      </w:r>
      <w:r w:rsidRPr="003649F3">
        <w:rPr>
          <w:color w:val="000000"/>
          <w:sz w:val="24"/>
        </w:rPr>
        <w:t>20</w:t>
      </w:r>
      <w:r w:rsidRPr="003649F3">
        <w:rPr>
          <w:rFonts w:hint="eastAsia"/>
          <w:color w:val="000000"/>
          <w:sz w:val="24"/>
        </w:rPr>
        <w:t>日起，开始销售</w:t>
      </w:r>
      <w:r w:rsidRPr="003649F3">
        <w:rPr>
          <w:color w:val="000000"/>
          <w:sz w:val="24"/>
        </w:rPr>
        <w:t>A</w:t>
      </w:r>
      <w:r w:rsidRPr="003649F3">
        <w:rPr>
          <w:rFonts w:hint="eastAsia"/>
          <w:color w:val="000000"/>
          <w:sz w:val="24"/>
        </w:rPr>
        <w:t>类份额，投资者提交的申购申请于</w:t>
      </w:r>
      <w:r w:rsidRPr="003649F3">
        <w:rPr>
          <w:color w:val="000000"/>
          <w:sz w:val="24"/>
        </w:rPr>
        <w:t>2017</w:t>
      </w:r>
      <w:r w:rsidRPr="003649F3">
        <w:rPr>
          <w:rFonts w:hint="eastAsia"/>
          <w:color w:val="000000"/>
          <w:sz w:val="24"/>
        </w:rPr>
        <w:t>年</w:t>
      </w:r>
      <w:r w:rsidRPr="003649F3">
        <w:rPr>
          <w:color w:val="000000"/>
          <w:sz w:val="24"/>
        </w:rPr>
        <w:t>1</w:t>
      </w:r>
      <w:r w:rsidRPr="003649F3">
        <w:rPr>
          <w:rFonts w:hint="eastAsia"/>
          <w:color w:val="000000"/>
          <w:sz w:val="24"/>
        </w:rPr>
        <w:t>月</w:t>
      </w:r>
      <w:r w:rsidRPr="003649F3">
        <w:rPr>
          <w:color w:val="000000"/>
          <w:sz w:val="24"/>
        </w:rPr>
        <w:t>25</w:t>
      </w:r>
      <w:r w:rsidRPr="003649F3">
        <w:rPr>
          <w:rFonts w:hint="eastAsia"/>
          <w:color w:val="000000"/>
          <w:sz w:val="24"/>
        </w:rPr>
        <w:t>日被确认并将有效份额登记在册。图示日期为</w:t>
      </w:r>
      <w:r w:rsidRPr="003649F3">
        <w:rPr>
          <w:color w:val="000000"/>
          <w:sz w:val="24"/>
        </w:rPr>
        <w:t>2017</w:t>
      </w:r>
      <w:r w:rsidRPr="003649F3">
        <w:rPr>
          <w:rFonts w:hint="eastAsia"/>
          <w:color w:val="000000"/>
          <w:sz w:val="24"/>
        </w:rPr>
        <w:t>年</w:t>
      </w:r>
      <w:r w:rsidRPr="003649F3">
        <w:rPr>
          <w:color w:val="000000"/>
          <w:sz w:val="24"/>
        </w:rPr>
        <w:t>1</w:t>
      </w:r>
      <w:r w:rsidRPr="003649F3">
        <w:rPr>
          <w:rFonts w:hint="eastAsia"/>
          <w:color w:val="000000"/>
          <w:sz w:val="24"/>
        </w:rPr>
        <w:t>月</w:t>
      </w:r>
      <w:r w:rsidRPr="003649F3">
        <w:rPr>
          <w:color w:val="000000"/>
          <w:sz w:val="24"/>
        </w:rPr>
        <w:t>25</w:t>
      </w:r>
      <w:r w:rsidRPr="003649F3">
        <w:rPr>
          <w:rFonts w:hint="eastAsia"/>
          <w:color w:val="000000"/>
          <w:sz w:val="24"/>
        </w:rPr>
        <w:t>日至</w:t>
      </w:r>
      <w:r w:rsidRPr="003649F3">
        <w:rPr>
          <w:color w:val="000000"/>
          <w:sz w:val="24"/>
        </w:rPr>
        <w:t>2017</w:t>
      </w:r>
      <w:r w:rsidRPr="003649F3">
        <w:rPr>
          <w:rFonts w:hint="eastAsia"/>
          <w:color w:val="000000"/>
          <w:sz w:val="24"/>
        </w:rPr>
        <w:t>年</w:t>
      </w:r>
      <w:r w:rsidRPr="003649F3">
        <w:rPr>
          <w:color w:val="000000"/>
          <w:sz w:val="24"/>
        </w:rPr>
        <w:t>3</w:t>
      </w:r>
      <w:r w:rsidRPr="003649F3">
        <w:rPr>
          <w:rFonts w:hint="eastAsia"/>
          <w:color w:val="000000"/>
          <w:sz w:val="24"/>
        </w:rPr>
        <w:t>月</w:t>
      </w:r>
      <w:r w:rsidRPr="003649F3">
        <w:rPr>
          <w:color w:val="000000"/>
          <w:sz w:val="24"/>
        </w:rPr>
        <w:t>31</w:t>
      </w:r>
      <w:r w:rsidRPr="003649F3">
        <w:rPr>
          <w:rFonts w:hint="eastAsia"/>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w:t>
      </w:r>
      <w:r w:rsidR="005B1A41" w:rsidRPr="003649F3">
        <w:rPr>
          <w:rFonts w:hint="eastAsia"/>
          <w:color w:val="000000"/>
          <w:sz w:val="24"/>
        </w:rPr>
        <w:t>图示日期为</w:t>
      </w:r>
      <w:r w:rsidR="005B1A41" w:rsidRPr="003649F3">
        <w:rPr>
          <w:color w:val="000000"/>
          <w:sz w:val="24"/>
        </w:rPr>
        <w:t>2015</w:t>
      </w:r>
      <w:r w:rsidR="005B1A41" w:rsidRPr="003649F3">
        <w:rPr>
          <w:rFonts w:hint="eastAsia"/>
          <w:color w:val="000000"/>
          <w:sz w:val="24"/>
        </w:rPr>
        <w:t>年</w:t>
      </w:r>
      <w:r w:rsidR="005B1A41" w:rsidRPr="003649F3">
        <w:rPr>
          <w:color w:val="000000"/>
          <w:sz w:val="24"/>
        </w:rPr>
        <w:t>1</w:t>
      </w:r>
      <w:r w:rsidR="005B1A41" w:rsidRPr="003649F3">
        <w:rPr>
          <w:rFonts w:hint="eastAsia"/>
          <w:color w:val="000000"/>
          <w:sz w:val="24"/>
        </w:rPr>
        <w:t>月</w:t>
      </w:r>
      <w:r w:rsidR="005B1A41" w:rsidRPr="003649F3">
        <w:rPr>
          <w:color w:val="000000"/>
          <w:sz w:val="24"/>
        </w:rPr>
        <w:t>19</w:t>
      </w:r>
      <w:r w:rsidR="005B1A41" w:rsidRPr="003649F3">
        <w:rPr>
          <w:rFonts w:hint="eastAsia"/>
          <w:color w:val="000000"/>
          <w:sz w:val="24"/>
        </w:rPr>
        <w:t>日至</w:t>
      </w:r>
      <w:r w:rsidR="005B1A41" w:rsidRPr="003649F3">
        <w:rPr>
          <w:color w:val="000000"/>
          <w:sz w:val="24"/>
        </w:rPr>
        <w:t>2017</w:t>
      </w:r>
      <w:r w:rsidR="005B1A41" w:rsidRPr="003649F3">
        <w:rPr>
          <w:rFonts w:hint="eastAsia"/>
          <w:color w:val="000000"/>
          <w:sz w:val="24"/>
        </w:rPr>
        <w:t>年</w:t>
      </w:r>
      <w:r w:rsidR="005B1A41" w:rsidRPr="003649F3">
        <w:rPr>
          <w:color w:val="000000"/>
          <w:sz w:val="24"/>
        </w:rPr>
        <w:t>3</w:t>
      </w:r>
      <w:r w:rsidR="005B1A41" w:rsidRPr="003649F3">
        <w:rPr>
          <w:rFonts w:hint="eastAsia"/>
          <w:color w:val="000000"/>
          <w:sz w:val="24"/>
        </w:rPr>
        <w:t>月</w:t>
      </w:r>
      <w:r w:rsidR="005B1A41" w:rsidRPr="003649F3">
        <w:rPr>
          <w:color w:val="000000"/>
          <w:sz w:val="24"/>
        </w:rPr>
        <w:t>31</w:t>
      </w:r>
      <w:r w:rsidR="005B1A41" w:rsidRPr="003649F3">
        <w:rPr>
          <w:rFonts w:hint="eastAsia"/>
          <w:color w:val="000000"/>
          <w:sz w:val="24"/>
        </w:rPr>
        <w:t>日。</w:t>
      </w:r>
      <w:r w:rsidRPr="007F52FA">
        <w:rPr>
          <w:color w:val="000000"/>
          <w:sz w:val="24"/>
        </w:rPr>
        <w:t>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176"/>
        <w:gridCol w:w="1202"/>
        <w:gridCol w:w="1300"/>
        <w:gridCol w:w="1245"/>
        <w:gridCol w:w="3251"/>
      </w:tblGrid>
      <w:tr w:rsidR="00C41617" w:rsidRPr="007F52FA" w:rsidTr="003649F3">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1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02"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45"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649F3">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1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02"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45"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873B2" w:rsidTr="003649F3">
        <w:trPr>
          <w:jc w:val="center"/>
        </w:trPr>
        <w:tc>
          <w:tcPr>
            <w:tcW w:w="946" w:type="dxa"/>
            <w:vAlign w:val="center"/>
          </w:tcPr>
          <w:p w:rsidR="003873B2" w:rsidRDefault="00C22065">
            <w:pPr>
              <w:jc w:val="center"/>
            </w:pPr>
            <w:r>
              <w:rPr>
                <w:color w:val="000000"/>
                <w:sz w:val="24"/>
              </w:rPr>
              <w:t>孙超</w:t>
            </w:r>
          </w:p>
        </w:tc>
        <w:tc>
          <w:tcPr>
            <w:tcW w:w="1176" w:type="dxa"/>
            <w:vAlign w:val="center"/>
          </w:tcPr>
          <w:p w:rsidR="003873B2" w:rsidRDefault="00C22065">
            <w:pPr>
              <w:jc w:val="center"/>
            </w:pPr>
            <w:r>
              <w:rPr>
                <w:color w:val="000000"/>
                <w:sz w:val="24"/>
              </w:rPr>
              <w:t>交银增利债券、交银纯债债券发起、交银荣祥保本混合、交银定期支付月月丰债券、交银增强收益债券、交银强化回报债券、交银</w:t>
            </w:r>
            <w:r w:rsidR="000E6BDF">
              <w:rPr>
                <w:rFonts w:hint="eastAsia"/>
                <w:color w:val="000000"/>
                <w:sz w:val="24"/>
              </w:rPr>
              <w:t>丰润收益债券、交银丰享收益债券、交银丰泽收益债券、交银</w:t>
            </w:r>
            <w:r>
              <w:rPr>
                <w:color w:val="000000"/>
                <w:sz w:val="24"/>
              </w:rPr>
              <w:t>丰硕收益债券、交银荣鑫保本混合的基金经理，公司固定收益部助理总经理</w:t>
            </w:r>
          </w:p>
        </w:tc>
        <w:tc>
          <w:tcPr>
            <w:tcW w:w="1202" w:type="dxa"/>
            <w:vAlign w:val="center"/>
          </w:tcPr>
          <w:p w:rsidR="003873B2" w:rsidRDefault="00C22065">
            <w:pPr>
              <w:jc w:val="center"/>
            </w:pPr>
            <w:r>
              <w:rPr>
                <w:color w:val="000000"/>
                <w:sz w:val="24"/>
              </w:rPr>
              <w:t>2015-01-19</w:t>
            </w:r>
          </w:p>
        </w:tc>
        <w:tc>
          <w:tcPr>
            <w:tcW w:w="1300" w:type="dxa"/>
            <w:vAlign w:val="center"/>
          </w:tcPr>
          <w:p w:rsidR="003873B2" w:rsidRDefault="00C22065">
            <w:pPr>
              <w:jc w:val="center"/>
            </w:pPr>
            <w:r>
              <w:rPr>
                <w:color w:val="000000"/>
                <w:sz w:val="24"/>
              </w:rPr>
              <w:t>2017-02-18</w:t>
            </w:r>
          </w:p>
        </w:tc>
        <w:tc>
          <w:tcPr>
            <w:tcW w:w="1245" w:type="dxa"/>
            <w:vAlign w:val="center"/>
          </w:tcPr>
          <w:p w:rsidR="003873B2" w:rsidRDefault="00C22065">
            <w:pPr>
              <w:jc w:val="center"/>
            </w:pPr>
            <w:r>
              <w:rPr>
                <w:color w:val="000000"/>
                <w:sz w:val="24"/>
              </w:rPr>
              <w:t>6</w:t>
            </w:r>
            <w:r>
              <w:rPr>
                <w:color w:val="000000"/>
                <w:sz w:val="24"/>
              </w:rPr>
              <w:t>年</w:t>
            </w:r>
          </w:p>
        </w:tc>
        <w:tc>
          <w:tcPr>
            <w:tcW w:w="3251" w:type="dxa"/>
            <w:vAlign w:val="center"/>
          </w:tcPr>
          <w:p w:rsidR="003873B2" w:rsidRDefault="00C2206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r w:rsidR="003873B2" w:rsidTr="003649F3">
        <w:trPr>
          <w:jc w:val="center"/>
        </w:trPr>
        <w:tc>
          <w:tcPr>
            <w:tcW w:w="946" w:type="dxa"/>
            <w:vAlign w:val="center"/>
          </w:tcPr>
          <w:p w:rsidR="003873B2" w:rsidRDefault="00C22065">
            <w:pPr>
              <w:jc w:val="center"/>
            </w:pPr>
            <w:r>
              <w:rPr>
                <w:color w:val="000000"/>
                <w:sz w:val="24"/>
              </w:rPr>
              <w:t>黄莹洁</w:t>
            </w:r>
          </w:p>
        </w:tc>
        <w:tc>
          <w:tcPr>
            <w:tcW w:w="1176" w:type="dxa"/>
            <w:vAlign w:val="center"/>
          </w:tcPr>
          <w:p w:rsidR="003873B2" w:rsidRDefault="00C22065">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3873B2" w:rsidRDefault="00C22065">
            <w:pPr>
              <w:jc w:val="center"/>
            </w:pPr>
            <w:r>
              <w:rPr>
                <w:color w:val="000000"/>
                <w:sz w:val="24"/>
              </w:rPr>
              <w:t>2015-07-25</w:t>
            </w:r>
          </w:p>
        </w:tc>
        <w:tc>
          <w:tcPr>
            <w:tcW w:w="1300" w:type="dxa"/>
            <w:vAlign w:val="center"/>
          </w:tcPr>
          <w:p w:rsidR="003873B2" w:rsidRDefault="00C22065">
            <w:pPr>
              <w:jc w:val="center"/>
            </w:pPr>
            <w:r>
              <w:rPr>
                <w:color w:val="000000"/>
                <w:sz w:val="24"/>
              </w:rPr>
              <w:t>-</w:t>
            </w:r>
          </w:p>
        </w:tc>
        <w:tc>
          <w:tcPr>
            <w:tcW w:w="1245" w:type="dxa"/>
            <w:vAlign w:val="center"/>
          </w:tcPr>
          <w:p w:rsidR="003873B2" w:rsidRDefault="00C22065">
            <w:pPr>
              <w:jc w:val="center"/>
            </w:pPr>
            <w:r>
              <w:rPr>
                <w:color w:val="000000"/>
                <w:sz w:val="24"/>
              </w:rPr>
              <w:t>9</w:t>
            </w:r>
            <w:r>
              <w:rPr>
                <w:color w:val="000000"/>
                <w:sz w:val="24"/>
              </w:rPr>
              <w:t>年</w:t>
            </w:r>
          </w:p>
        </w:tc>
        <w:tc>
          <w:tcPr>
            <w:tcW w:w="3251" w:type="dxa"/>
            <w:vAlign w:val="center"/>
          </w:tcPr>
          <w:p w:rsidR="003873B2" w:rsidRDefault="00C2206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873B2" w:rsidRDefault="00C2206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73B2" w:rsidRDefault="00C2206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73B2" w:rsidRDefault="00C2206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873B2" w:rsidRDefault="00C22065">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的利率。在去杠杆背景下，叠加</w:t>
      </w:r>
      <w:r>
        <w:rPr>
          <w:color w:val="000000"/>
          <w:sz w:val="24"/>
        </w:rPr>
        <w:t>MPA</w:t>
      </w:r>
      <w:r>
        <w:rPr>
          <w:color w:val="000000"/>
          <w:sz w:val="24"/>
        </w:rPr>
        <w:t>考核改革且从严的情况下，银行间市场流动性总体偏紧。受经济改善和流动性冲击的双重影响，一季度债券市场收益率曲线平坦化上行，信用利差小幅扩大。</w:t>
      </w:r>
    </w:p>
    <w:p w:rsidR="003873B2" w:rsidRDefault="00C22065">
      <w:pPr>
        <w:spacing w:before="29" w:line="288" w:lineRule="auto"/>
        <w:ind w:firstLineChars="200" w:firstLine="480"/>
        <w:rPr>
          <w:color w:val="000000"/>
          <w:sz w:val="24"/>
        </w:rPr>
      </w:pPr>
      <w:r>
        <w:rPr>
          <w:color w:val="000000"/>
          <w:sz w:val="24"/>
        </w:rPr>
        <w:t>基金操作方面，本基金封闭期到期转为开放式运作，从绝对收益率、期限利差和金融去杠杆角度看，目前短端仍是较好的选择，基金以配置短久期的信用债为主。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三月季末考核过后，短期资金面有望阶段性改善，经济数据预计整体弱于一季度，关注房地产投资及销售、基础设施投资以及财政支出增速等经济数据。市场走势预计将回归基本面，但在金融去杠杆以及金融监管升级的大背景下，预计流动性的压力始终存在，因此我们对债市表现持谨慎乐观态度。组合管理方面，本基金将维持合理仓位，计划采用中短久期的票息策略，努力为投资者创造较为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日，交银丰享收益债券</w:t>
      </w:r>
      <w:r w:rsidRPr="007F52FA">
        <w:rPr>
          <w:color w:val="000000"/>
          <w:sz w:val="24"/>
        </w:rPr>
        <w:t>A</w:t>
      </w:r>
      <w:r w:rsidRPr="007F52FA">
        <w:rPr>
          <w:color w:val="000000"/>
          <w:sz w:val="24"/>
        </w:rPr>
        <w:t>份额净值为</w:t>
      </w:r>
      <w:r w:rsidRPr="007F52FA">
        <w:rPr>
          <w:color w:val="000000"/>
          <w:sz w:val="24"/>
        </w:rPr>
        <w:t>1.015</w:t>
      </w:r>
      <w:r w:rsidRPr="007F52FA">
        <w:rPr>
          <w:color w:val="000000"/>
          <w:sz w:val="24"/>
        </w:rPr>
        <w:t>元，本报告期份额净值增长率为</w:t>
      </w:r>
      <w:r w:rsidRPr="007F52FA">
        <w:rPr>
          <w:color w:val="000000"/>
          <w:sz w:val="24"/>
        </w:rPr>
        <w:t>0.50%</w:t>
      </w:r>
      <w:r w:rsidRPr="007F52FA">
        <w:rPr>
          <w:color w:val="000000"/>
          <w:sz w:val="24"/>
        </w:rPr>
        <w:t>，同期业绩比较基准增长率为</w:t>
      </w:r>
      <w:r w:rsidRPr="007F52FA">
        <w:rPr>
          <w:color w:val="000000"/>
          <w:sz w:val="24"/>
        </w:rPr>
        <w:t>-0.88%</w:t>
      </w:r>
      <w:r w:rsidRPr="007F52FA">
        <w:rPr>
          <w:color w:val="000000"/>
          <w:sz w:val="24"/>
        </w:rPr>
        <w:t>；交银丰享收益债券</w:t>
      </w:r>
      <w:r w:rsidRPr="007F52FA">
        <w:rPr>
          <w:color w:val="000000"/>
          <w:sz w:val="24"/>
        </w:rPr>
        <w:t>C</w:t>
      </w:r>
      <w:r w:rsidRPr="007F52FA">
        <w:rPr>
          <w:color w:val="000000"/>
          <w:sz w:val="24"/>
        </w:rPr>
        <w:t>份额净值为</w:t>
      </w:r>
      <w:r w:rsidRPr="007F52FA">
        <w:rPr>
          <w:color w:val="000000"/>
          <w:sz w:val="24"/>
        </w:rPr>
        <w:t>1.014</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-0.77%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528,624,900.00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528,624,900.00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1,942,773.87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6,784,730.53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537,352,404.40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B02BF" w:rsidRPr="007F52FA" w:rsidRDefault="006B02BF"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3649F3">
        <w:rPr>
          <w:rFonts w:eastAsiaTheme="minor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25,004,500.00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25,004,500.00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14,654,400.00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59,987,000.00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303,555,000.00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65.74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125,424,000.00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27.16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528,624,900.00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873B2">
        <w:trPr>
          <w:jc w:val="center"/>
        </w:trPr>
        <w:tc>
          <w:tcPr>
            <w:tcW w:w="1075" w:type="dxa"/>
            <w:vAlign w:val="center"/>
          </w:tcPr>
          <w:p w:rsidR="003873B2" w:rsidRDefault="00C22065">
            <w:pPr>
              <w:jc w:val="center"/>
            </w:pPr>
            <w:r>
              <w:rPr>
                <w:color w:val="000000"/>
                <w:sz w:val="24"/>
              </w:rPr>
              <w:t>1</w:t>
            </w:r>
          </w:p>
        </w:tc>
        <w:tc>
          <w:tcPr>
            <w:tcW w:w="1533" w:type="dxa"/>
            <w:vAlign w:val="center"/>
          </w:tcPr>
          <w:p w:rsidR="003873B2" w:rsidRDefault="00C22065">
            <w:pPr>
              <w:jc w:val="center"/>
            </w:pPr>
            <w:r>
              <w:rPr>
                <w:color w:val="000000"/>
                <w:sz w:val="24"/>
              </w:rPr>
              <w:t>101551046</w:t>
            </w:r>
          </w:p>
        </w:tc>
        <w:tc>
          <w:tcPr>
            <w:tcW w:w="1533" w:type="dxa"/>
            <w:vAlign w:val="center"/>
          </w:tcPr>
          <w:p w:rsidR="003873B2" w:rsidRDefault="00C22065">
            <w:pPr>
              <w:jc w:val="center"/>
            </w:pPr>
            <w:r>
              <w:rPr>
                <w:color w:val="000000"/>
                <w:sz w:val="24"/>
              </w:rPr>
              <w:t>15</w:t>
            </w:r>
            <w:r>
              <w:rPr>
                <w:color w:val="000000"/>
                <w:sz w:val="24"/>
              </w:rPr>
              <w:t>张江高科</w:t>
            </w:r>
            <w:r>
              <w:rPr>
                <w:color w:val="000000"/>
                <w:sz w:val="24"/>
              </w:rPr>
              <w:t>MTN001</w:t>
            </w:r>
          </w:p>
        </w:tc>
        <w:tc>
          <w:tcPr>
            <w:tcW w:w="1394" w:type="dxa"/>
            <w:vAlign w:val="center"/>
          </w:tcPr>
          <w:p w:rsidR="003873B2" w:rsidRDefault="00C22065">
            <w:pPr>
              <w:jc w:val="right"/>
            </w:pPr>
            <w:r>
              <w:rPr>
                <w:color w:val="000000"/>
                <w:sz w:val="24"/>
              </w:rPr>
              <w:t>400,000</w:t>
            </w:r>
          </w:p>
        </w:tc>
        <w:tc>
          <w:tcPr>
            <w:tcW w:w="1944" w:type="dxa"/>
            <w:vAlign w:val="center"/>
          </w:tcPr>
          <w:p w:rsidR="003873B2" w:rsidRDefault="00C22065">
            <w:pPr>
              <w:jc w:val="right"/>
            </w:pPr>
            <w:r>
              <w:rPr>
                <w:color w:val="000000"/>
                <w:sz w:val="24"/>
              </w:rPr>
              <w:t>40,132,000.00</w:t>
            </w:r>
          </w:p>
        </w:tc>
        <w:tc>
          <w:tcPr>
            <w:tcW w:w="1389" w:type="dxa"/>
            <w:vAlign w:val="center"/>
          </w:tcPr>
          <w:p w:rsidR="003873B2" w:rsidRDefault="00C22065">
            <w:pPr>
              <w:jc w:val="right"/>
            </w:pPr>
            <w:r>
              <w:rPr>
                <w:color w:val="000000"/>
                <w:sz w:val="24"/>
              </w:rPr>
              <w:t>8.69</w:t>
            </w:r>
          </w:p>
        </w:tc>
      </w:tr>
      <w:tr w:rsidR="003873B2">
        <w:trPr>
          <w:jc w:val="center"/>
        </w:trPr>
        <w:tc>
          <w:tcPr>
            <w:tcW w:w="1075" w:type="dxa"/>
            <w:vAlign w:val="center"/>
          </w:tcPr>
          <w:p w:rsidR="003873B2" w:rsidRDefault="00C22065">
            <w:pPr>
              <w:jc w:val="center"/>
            </w:pPr>
            <w:r>
              <w:rPr>
                <w:color w:val="000000"/>
                <w:sz w:val="24"/>
              </w:rPr>
              <w:t>2</w:t>
            </w:r>
          </w:p>
        </w:tc>
        <w:tc>
          <w:tcPr>
            <w:tcW w:w="1533" w:type="dxa"/>
            <w:vAlign w:val="center"/>
          </w:tcPr>
          <w:p w:rsidR="003873B2" w:rsidRDefault="00C22065">
            <w:pPr>
              <w:jc w:val="center"/>
            </w:pPr>
            <w:r>
              <w:rPr>
                <w:color w:val="000000"/>
                <w:sz w:val="24"/>
              </w:rPr>
              <w:t>101466004</w:t>
            </w:r>
          </w:p>
        </w:tc>
        <w:tc>
          <w:tcPr>
            <w:tcW w:w="1533" w:type="dxa"/>
            <w:vAlign w:val="center"/>
          </w:tcPr>
          <w:p w:rsidR="003873B2" w:rsidRDefault="00C22065">
            <w:pPr>
              <w:jc w:val="center"/>
            </w:pPr>
            <w:r>
              <w:rPr>
                <w:color w:val="000000"/>
                <w:sz w:val="24"/>
              </w:rPr>
              <w:t>14</w:t>
            </w:r>
            <w:r>
              <w:rPr>
                <w:color w:val="000000"/>
                <w:sz w:val="24"/>
              </w:rPr>
              <w:t>扬州经开</w:t>
            </w:r>
            <w:r>
              <w:rPr>
                <w:color w:val="000000"/>
                <w:sz w:val="24"/>
              </w:rPr>
              <w:t>MTN001</w:t>
            </w:r>
          </w:p>
        </w:tc>
        <w:tc>
          <w:tcPr>
            <w:tcW w:w="1394" w:type="dxa"/>
            <w:vAlign w:val="center"/>
          </w:tcPr>
          <w:p w:rsidR="003873B2" w:rsidRDefault="00C22065">
            <w:pPr>
              <w:jc w:val="right"/>
            </w:pPr>
            <w:r>
              <w:rPr>
                <w:color w:val="000000"/>
                <w:sz w:val="24"/>
              </w:rPr>
              <w:t>300,000</w:t>
            </w:r>
          </w:p>
        </w:tc>
        <w:tc>
          <w:tcPr>
            <w:tcW w:w="1944" w:type="dxa"/>
            <w:vAlign w:val="center"/>
          </w:tcPr>
          <w:p w:rsidR="003873B2" w:rsidRDefault="00C22065">
            <w:pPr>
              <w:jc w:val="right"/>
            </w:pPr>
            <w:r>
              <w:rPr>
                <w:color w:val="000000"/>
                <w:sz w:val="24"/>
              </w:rPr>
              <w:t>31,701,000.00</w:t>
            </w:r>
          </w:p>
        </w:tc>
        <w:tc>
          <w:tcPr>
            <w:tcW w:w="1389" w:type="dxa"/>
            <w:vAlign w:val="center"/>
          </w:tcPr>
          <w:p w:rsidR="003873B2" w:rsidRDefault="00C22065">
            <w:pPr>
              <w:jc w:val="right"/>
            </w:pPr>
            <w:r>
              <w:rPr>
                <w:color w:val="000000"/>
                <w:sz w:val="24"/>
              </w:rPr>
              <w:t>6.87</w:t>
            </w:r>
          </w:p>
        </w:tc>
      </w:tr>
      <w:tr w:rsidR="003873B2">
        <w:trPr>
          <w:jc w:val="center"/>
        </w:trPr>
        <w:tc>
          <w:tcPr>
            <w:tcW w:w="1075" w:type="dxa"/>
            <w:vAlign w:val="center"/>
          </w:tcPr>
          <w:p w:rsidR="003873B2" w:rsidRDefault="00C22065">
            <w:pPr>
              <w:jc w:val="center"/>
            </w:pPr>
            <w:r>
              <w:rPr>
                <w:color w:val="000000"/>
                <w:sz w:val="24"/>
              </w:rPr>
              <w:t>3</w:t>
            </w:r>
          </w:p>
        </w:tc>
        <w:tc>
          <w:tcPr>
            <w:tcW w:w="1533" w:type="dxa"/>
            <w:vAlign w:val="center"/>
          </w:tcPr>
          <w:p w:rsidR="003873B2" w:rsidRDefault="00C22065">
            <w:pPr>
              <w:jc w:val="center"/>
            </w:pPr>
            <w:r>
              <w:rPr>
                <w:color w:val="000000"/>
                <w:sz w:val="24"/>
              </w:rPr>
              <w:t>101758011</w:t>
            </w:r>
          </w:p>
        </w:tc>
        <w:tc>
          <w:tcPr>
            <w:tcW w:w="1533" w:type="dxa"/>
            <w:vAlign w:val="center"/>
          </w:tcPr>
          <w:p w:rsidR="003873B2" w:rsidRDefault="00C22065">
            <w:pPr>
              <w:jc w:val="center"/>
            </w:pPr>
            <w:r>
              <w:rPr>
                <w:color w:val="000000"/>
                <w:sz w:val="24"/>
              </w:rPr>
              <w:t>17</w:t>
            </w:r>
            <w:r>
              <w:rPr>
                <w:color w:val="000000"/>
                <w:sz w:val="24"/>
              </w:rPr>
              <w:t>华侨城</w:t>
            </w:r>
            <w:r>
              <w:rPr>
                <w:color w:val="000000"/>
                <w:sz w:val="24"/>
              </w:rPr>
              <w:t>MTN002</w:t>
            </w:r>
          </w:p>
        </w:tc>
        <w:tc>
          <w:tcPr>
            <w:tcW w:w="1394" w:type="dxa"/>
            <w:vAlign w:val="center"/>
          </w:tcPr>
          <w:p w:rsidR="003873B2" w:rsidRDefault="00C22065">
            <w:pPr>
              <w:jc w:val="right"/>
            </w:pPr>
            <w:r>
              <w:rPr>
                <w:color w:val="000000"/>
                <w:sz w:val="24"/>
              </w:rPr>
              <w:t>300,000</w:t>
            </w:r>
          </w:p>
        </w:tc>
        <w:tc>
          <w:tcPr>
            <w:tcW w:w="1944" w:type="dxa"/>
            <w:vAlign w:val="center"/>
          </w:tcPr>
          <w:p w:rsidR="003873B2" w:rsidRDefault="00C22065">
            <w:pPr>
              <w:jc w:val="right"/>
            </w:pPr>
            <w:r>
              <w:rPr>
                <w:color w:val="000000"/>
                <w:sz w:val="24"/>
              </w:rPr>
              <w:t>30,192,000.00</w:t>
            </w:r>
          </w:p>
        </w:tc>
        <w:tc>
          <w:tcPr>
            <w:tcW w:w="1389" w:type="dxa"/>
            <w:vAlign w:val="center"/>
          </w:tcPr>
          <w:p w:rsidR="003873B2" w:rsidRDefault="00C22065">
            <w:pPr>
              <w:jc w:val="right"/>
            </w:pPr>
            <w:r>
              <w:rPr>
                <w:color w:val="000000"/>
                <w:sz w:val="24"/>
              </w:rPr>
              <w:t>6.54</w:t>
            </w:r>
          </w:p>
        </w:tc>
      </w:tr>
      <w:tr w:rsidR="003873B2">
        <w:trPr>
          <w:jc w:val="center"/>
        </w:trPr>
        <w:tc>
          <w:tcPr>
            <w:tcW w:w="1075" w:type="dxa"/>
            <w:vAlign w:val="center"/>
          </w:tcPr>
          <w:p w:rsidR="003873B2" w:rsidRDefault="00C22065">
            <w:pPr>
              <w:jc w:val="center"/>
            </w:pPr>
            <w:r>
              <w:rPr>
                <w:color w:val="000000"/>
                <w:sz w:val="24"/>
              </w:rPr>
              <w:t>4</w:t>
            </w:r>
          </w:p>
        </w:tc>
        <w:tc>
          <w:tcPr>
            <w:tcW w:w="1533" w:type="dxa"/>
            <w:vAlign w:val="center"/>
          </w:tcPr>
          <w:p w:rsidR="003873B2" w:rsidRDefault="00C22065">
            <w:pPr>
              <w:jc w:val="center"/>
            </w:pPr>
            <w:r>
              <w:rPr>
                <w:color w:val="000000"/>
                <w:sz w:val="24"/>
              </w:rPr>
              <w:t>101761002</w:t>
            </w:r>
          </w:p>
        </w:tc>
        <w:tc>
          <w:tcPr>
            <w:tcW w:w="1533" w:type="dxa"/>
            <w:vAlign w:val="center"/>
          </w:tcPr>
          <w:p w:rsidR="003873B2" w:rsidRDefault="00C22065">
            <w:pPr>
              <w:jc w:val="center"/>
            </w:pPr>
            <w:r>
              <w:rPr>
                <w:color w:val="000000"/>
                <w:sz w:val="24"/>
              </w:rPr>
              <w:t>17</w:t>
            </w:r>
            <w:r>
              <w:rPr>
                <w:color w:val="000000"/>
                <w:sz w:val="24"/>
              </w:rPr>
              <w:t>光大集团</w:t>
            </w:r>
            <w:r>
              <w:rPr>
                <w:color w:val="000000"/>
                <w:sz w:val="24"/>
              </w:rPr>
              <w:t>MTN001</w:t>
            </w:r>
          </w:p>
        </w:tc>
        <w:tc>
          <w:tcPr>
            <w:tcW w:w="1394" w:type="dxa"/>
            <w:vAlign w:val="center"/>
          </w:tcPr>
          <w:p w:rsidR="003873B2" w:rsidRDefault="00C22065">
            <w:pPr>
              <w:jc w:val="right"/>
            </w:pPr>
            <w:r>
              <w:rPr>
                <w:color w:val="000000"/>
                <w:sz w:val="24"/>
              </w:rPr>
              <w:t>300,000</w:t>
            </w:r>
          </w:p>
        </w:tc>
        <w:tc>
          <w:tcPr>
            <w:tcW w:w="1944" w:type="dxa"/>
            <w:vAlign w:val="center"/>
          </w:tcPr>
          <w:p w:rsidR="003873B2" w:rsidRDefault="00C22065">
            <w:pPr>
              <w:jc w:val="right"/>
            </w:pPr>
            <w:r>
              <w:rPr>
                <w:color w:val="000000"/>
                <w:sz w:val="24"/>
              </w:rPr>
              <w:t>30,012,000.00</w:t>
            </w:r>
          </w:p>
        </w:tc>
        <w:tc>
          <w:tcPr>
            <w:tcW w:w="1389" w:type="dxa"/>
            <w:vAlign w:val="center"/>
          </w:tcPr>
          <w:p w:rsidR="003873B2" w:rsidRDefault="00C22065">
            <w:pPr>
              <w:jc w:val="right"/>
            </w:pPr>
            <w:r>
              <w:rPr>
                <w:color w:val="000000"/>
                <w:sz w:val="24"/>
              </w:rPr>
              <w:t>6.50</w:t>
            </w:r>
          </w:p>
        </w:tc>
      </w:tr>
      <w:tr w:rsidR="003873B2">
        <w:trPr>
          <w:jc w:val="center"/>
        </w:trPr>
        <w:tc>
          <w:tcPr>
            <w:tcW w:w="1075" w:type="dxa"/>
            <w:vAlign w:val="center"/>
          </w:tcPr>
          <w:p w:rsidR="003873B2" w:rsidRDefault="00C22065">
            <w:pPr>
              <w:jc w:val="center"/>
            </w:pPr>
            <w:r>
              <w:rPr>
                <w:color w:val="000000"/>
                <w:sz w:val="24"/>
              </w:rPr>
              <w:t>5</w:t>
            </w:r>
          </w:p>
        </w:tc>
        <w:tc>
          <w:tcPr>
            <w:tcW w:w="1533" w:type="dxa"/>
            <w:vAlign w:val="center"/>
          </w:tcPr>
          <w:p w:rsidR="003873B2" w:rsidRDefault="00C22065">
            <w:pPr>
              <w:jc w:val="center"/>
            </w:pPr>
            <w:r>
              <w:rPr>
                <w:color w:val="000000"/>
                <w:sz w:val="24"/>
              </w:rPr>
              <w:t>101560047</w:t>
            </w:r>
          </w:p>
        </w:tc>
        <w:tc>
          <w:tcPr>
            <w:tcW w:w="1533" w:type="dxa"/>
            <w:vAlign w:val="center"/>
          </w:tcPr>
          <w:p w:rsidR="003873B2" w:rsidRDefault="00C22065">
            <w:pPr>
              <w:jc w:val="center"/>
            </w:pPr>
            <w:r>
              <w:rPr>
                <w:color w:val="000000"/>
                <w:sz w:val="24"/>
              </w:rPr>
              <w:t>15</w:t>
            </w:r>
            <w:r>
              <w:rPr>
                <w:color w:val="000000"/>
                <w:sz w:val="24"/>
              </w:rPr>
              <w:t>牧工商</w:t>
            </w:r>
            <w:r>
              <w:rPr>
                <w:color w:val="000000"/>
                <w:sz w:val="24"/>
              </w:rPr>
              <w:t>MTN001</w:t>
            </w:r>
          </w:p>
        </w:tc>
        <w:tc>
          <w:tcPr>
            <w:tcW w:w="1394" w:type="dxa"/>
            <w:vAlign w:val="center"/>
          </w:tcPr>
          <w:p w:rsidR="003873B2" w:rsidRDefault="00C22065">
            <w:pPr>
              <w:jc w:val="right"/>
            </w:pPr>
            <w:r>
              <w:rPr>
                <w:color w:val="000000"/>
                <w:sz w:val="24"/>
              </w:rPr>
              <w:t>300,000</w:t>
            </w:r>
          </w:p>
        </w:tc>
        <w:tc>
          <w:tcPr>
            <w:tcW w:w="1944" w:type="dxa"/>
            <w:vAlign w:val="center"/>
          </w:tcPr>
          <w:p w:rsidR="003873B2" w:rsidRDefault="00C22065">
            <w:pPr>
              <w:jc w:val="right"/>
            </w:pPr>
            <w:r>
              <w:rPr>
                <w:color w:val="000000"/>
                <w:sz w:val="24"/>
              </w:rPr>
              <w:t>29,922,000.00</w:t>
            </w:r>
          </w:p>
        </w:tc>
        <w:tc>
          <w:tcPr>
            <w:tcW w:w="1389" w:type="dxa"/>
            <w:vAlign w:val="center"/>
          </w:tcPr>
          <w:p w:rsidR="003873B2" w:rsidRDefault="00C22065">
            <w:pPr>
              <w:jc w:val="right"/>
            </w:pPr>
            <w:r>
              <w:rPr>
                <w:color w:val="000000"/>
                <w:sz w:val="24"/>
              </w:rPr>
              <w:t>6.48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12,744.21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6,767,989.52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3,996.80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6,784,730.53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259,386,490.95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396,100,741.42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64,033.07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47,606.72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200,575,120.33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396,053,134.70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58,875,403.69</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Pr="003649F3" w:rsidRDefault="003976A3" w:rsidP="003976A3">
      <w:pPr>
        <w:pStyle w:val="1"/>
        <w:spacing w:beforeLines="100" w:before="312" w:afterLines="100" w:after="312" w:line="360" w:lineRule="auto"/>
        <w:jc w:val="center"/>
        <w:rPr>
          <w:rFonts w:eastAsiaTheme="minorEastAsia"/>
          <w:color w:val="000000" w:themeColor="text1"/>
          <w:kern w:val="0"/>
          <w:sz w:val="24"/>
          <w:szCs w:val="24"/>
        </w:rPr>
      </w:pPr>
      <w:r w:rsidRPr="003649F3">
        <w:rPr>
          <w:rFonts w:eastAsiaTheme="minorEastAsia"/>
          <w:color w:val="000000" w:themeColor="text1"/>
          <w:kern w:val="0"/>
          <w:sz w:val="24"/>
          <w:szCs w:val="24"/>
        </w:rPr>
        <w:t xml:space="preserve">§8 </w:t>
      </w:r>
      <w:r w:rsidRPr="003649F3">
        <w:rPr>
          <w:rFonts w:eastAsiaTheme="minorEastAsia" w:hint="eastAsia"/>
          <w:color w:val="000000" w:themeColor="text1"/>
          <w:kern w:val="0"/>
          <w:sz w:val="24"/>
          <w:szCs w:val="24"/>
        </w:rPr>
        <w:t>影响投资者决策的其他重要信息</w:t>
      </w:r>
    </w:p>
    <w:p w:rsidR="003976A3" w:rsidRPr="003649F3" w:rsidRDefault="003976A3" w:rsidP="003976A3">
      <w:pPr>
        <w:autoSpaceDE w:val="0"/>
        <w:autoSpaceDN w:val="0"/>
        <w:adjustRightInd w:val="0"/>
        <w:spacing w:line="360" w:lineRule="auto"/>
        <w:jc w:val="left"/>
        <w:rPr>
          <w:rFonts w:eastAsiaTheme="minorEastAsia"/>
          <w:b/>
          <w:bCs/>
          <w:color w:val="000000" w:themeColor="text1"/>
          <w:kern w:val="0"/>
          <w:sz w:val="24"/>
        </w:rPr>
      </w:pPr>
      <w:r w:rsidRPr="003649F3">
        <w:rPr>
          <w:rFonts w:eastAsiaTheme="minorEastAsia"/>
          <w:b/>
          <w:bCs/>
          <w:color w:val="000000" w:themeColor="text1"/>
          <w:kern w:val="0"/>
          <w:sz w:val="24"/>
        </w:rPr>
        <w:t xml:space="preserve">8.1 </w:t>
      </w:r>
      <w:r w:rsidRPr="003649F3">
        <w:rPr>
          <w:rFonts w:eastAsiaTheme="minorEastAsia" w:hint="eastAsia"/>
          <w:b/>
          <w:bCs/>
          <w:color w:val="000000" w:themeColor="text1"/>
          <w:kern w:val="0"/>
          <w:sz w:val="24"/>
        </w:rPr>
        <w:t>报告期内单一投资者持有基金份额比例达到或超过</w:t>
      </w:r>
      <w:r w:rsidRPr="003649F3">
        <w:rPr>
          <w:rFonts w:eastAsiaTheme="minorEastAsia"/>
          <w:b/>
          <w:bCs/>
          <w:color w:val="000000" w:themeColor="text1"/>
          <w:kern w:val="0"/>
          <w:sz w:val="24"/>
        </w:rPr>
        <w:t>20%</w:t>
      </w:r>
      <w:r w:rsidRPr="003649F3">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RPr="006B02BF" w:rsidTr="00B06DDA">
        <w:tc>
          <w:tcPr>
            <w:tcW w:w="993" w:type="dxa"/>
            <w:vMerge w:val="restart"/>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投资者类别</w:t>
            </w:r>
            <w:r w:rsidRPr="003649F3">
              <w:rPr>
                <w:rFonts w:ascii="宋体" w:hAnsi="宋体"/>
                <w:color w:val="000000" w:themeColor="text1"/>
                <w:sz w:val="24"/>
              </w:rPr>
              <w:t xml:space="preserve">  </w:t>
            </w:r>
          </w:p>
        </w:tc>
        <w:tc>
          <w:tcPr>
            <w:tcW w:w="5670" w:type="dxa"/>
            <w:gridSpan w:val="5"/>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报告期内持有基金份额变化情况</w:t>
            </w:r>
          </w:p>
        </w:tc>
        <w:tc>
          <w:tcPr>
            <w:tcW w:w="2549" w:type="dxa"/>
            <w:gridSpan w:val="2"/>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报告期末持有基金情况</w:t>
            </w:r>
          </w:p>
        </w:tc>
      </w:tr>
      <w:tr w:rsidR="003976A3" w:rsidRPr="006B02BF" w:rsidTr="00B06DDA">
        <w:tc>
          <w:tcPr>
            <w:tcW w:w="993" w:type="dxa"/>
            <w:vMerge/>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p>
        </w:tc>
        <w:tc>
          <w:tcPr>
            <w:tcW w:w="992" w:type="dxa"/>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序号</w:t>
            </w:r>
          </w:p>
        </w:tc>
        <w:tc>
          <w:tcPr>
            <w:tcW w:w="1843" w:type="dxa"/>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持有基金份额比例达到或者超过</w:t>
            </w:r>
            <w:r w:rsidRPr="003649F3">
              <w:rPr>
                <w:rFonts w:ascii="宋体" w:hAnsi="宋体"/>
                <w:color w:val="000000"/>
                <w:sz w:val="24"/>
              </w:rPr>
              <w:t>20%的时间区间</w:t>
            </w:r>
          </w:p>
        </w:tc>
        <w:tc>
          <w:tcPr>
            <w:tcW w:w="851" w:type="dxa"/>
            <w:vAlign w:val="center"/>
          </w:tcPr>
          <w:p w:rsidR="003976A3" w:rsidRPr="003649F3" w:rsidRDefault="003976A3" w:rsidP="00B06DDA">
            <w:pPr>
              <w:widowControl/>
              <w:jc w:val="center"/>
              <w:rPr>
                <w:rFonts w:eastAsiaTheme="minorEastAsia"/>
                <w:b/>
                <w:bCs/>
                <w:color w:val="000000" w:themeColor="text1"/>
                <w:sz w:val="24"/>
              </w:rPr>
            </w:pPr>
            <w:r w:rsidRPr="003649F3">
              <w:rPr>
                <w:rFonts w:ascii="宋体" w:hAnsi="宋体" w:hint="eastAsia"/>
                <w:color w:val="000000"/>
                <w:sz w:val="24"/>
              </w:rPr>
              <w:t>期初份额</w:t>
            </w:r>
          </w:p>
        </w:tc>
        <w:tc>
          <w:tcPr>
            <w:tcW w:w="850" w:type="dxa"/>
            <w:vAlign w:val="center"/>
          </w:tcPr>
          <w:p w:rsidR="003976A3" w:rsidRPr="003649F3" w:rsidRDefault="003976A3" w:rsidP="00B06DDA">
            <w:pPr>
              <w:widowControl/>
              <w:jc w:val="center"/>
              <w:rPr>
                <w:rFonts w:eastAsiaTheme="minorEastAsia"/>
                <w:b/>
                <w:bCs/>
                <w:color w:val="000000" w:themeColor="text1"/>
                <w:sz w:val="24"/>
              </w:rPr>
            </w:pPr>
            <w:r w:rsidRPr="003649F3">
              <w:rPr>
                <w:rFonts w:ascii="宋体" w:hAnsi="宋体" w:hint="eastAsia"/>
                <w:color w:val="000000"/>
                <w:sz w:val="24"/>
              </w:rPr>
              <w:t>申购份额</w:t>
            </w:r>
          </w:p>
        </w:tc>
        <w:tc>
          <w:tcPr>
            <w:tcW w:w="1134" w:type="dxa"/>
            <w:vAlign w:val="center"/>
          </w:tcPr>
          <w:p w:rsidR="003976A3" w:rsidRPr="003649F3" w:rsidRDefault="003976A3" w:rsidP="00B06DDA">
            <w:pPr>
              <w:widowControl/>
              <w:jc w:val="center"/>
              <w:rPr>
                <w:rFonts w:eastAsiaTheme="minorEastAsia"/>
                <w:b/>
                <w:bCs/>
                <w:color w:val="000000" w:themeColor="text1"/>
                <w:sz w:val="24"/>
              </w:rPr>
            </w:pPr>
            <w:r w:rsidRPr="003649F3">
              <w:rPr>
                <w:rFonts w:ascii="宋体" w:hAnsi="宋体" w:hint="eastAsia"/>
                <w:color w:val="000000"/>
                <w:sz w:val="24"/>
              </w:rPr>
              <w:t>赎回份额</w:t>
            </w:r>
          </w:p>
        </w:tc>
        <w:tc>
          <w:tcPr>
            <w:tcW w:w="1419" w:type="dxa"/>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持有份额</w:t>
            </w:r>
          </w:p>
        </w:tc>
        <w:tc>
          <w:tcPr>
            <w:tcW w:w="1130" w:type="dxa"/>
            <w:vAlign w:val="center"/>
          </w:tcPr>
          <w:p w:rsidR="003976A3" w:rsidRPr="003649F3" w:rsidRDefault="003976A3" w:rsidP="00B06DDA">
            <w:pPr>
              <w:autoSpaceDE w:val="0"/>
              <w:autoSpaceDN w:val="0"/>
              <w:adjustRightInd w:val="0"/>
              <w:jc w:val="center"/>
              <w:rPr>
                <w:rFonts w:eastAsiaTheme="minorEastAsia"/>
                <w:b/>
                <w:bCs/>
                <w:color w:val="000000" w:themeColor="text1"/>
                <w:sz w:val="24"/>
              </w:rPr>
            </w:pPr>
            <w:r w:rsidRPr="003649F3">
              <w:rPr>
                <w:rFonts w:ascii="宋体" w:hAnsi="宋体" w:hint="eastAsia"/>
                <w:color w:val="000000"/>
                <w:sz w:val="24"/>
              </w:rPr>
              <w:t>份额占比</w:t>
            </w:r>
          </w:p>
        </w:tc>
      </w:tr>
      <w:tr w:rsidR="003873B2" w:rsidRPr="006B02BF">
        <w:tc>
          <w:tcPr>
            <w:tcW w:w="993" w:type="dxa"/>
          </w:tcPr>
          <w:p w:rsidR="003873B2" w:rsidRPr="003649F3" w:rsidRDefault="003873B2">
            <w:pPr>
              <w:rPr>
                <w:sz w:val="24"/>
              </w:rPr>
            </w:pPr>
          </w:p>
          <w:p w:rsidR="003873B2" w:rsidRPr="003649F3" w:rsidRDefault="00C22065">
            <w:pPr>
              <w:rPr>
                <w:sz w:val="24"/>
              </w:rPr>
            </w:pPr>
            <w:r w:rsidRPr="003649F3">
              <w:rPr>
                <w:rFonts w:eastAsiaTheme="minorEastAsia" w:hint="eastAsia"/>
                <w:bCs/>
                <w:color w:val="000000" w:themeColor="text1"/>
                <w:sz w:val="24"/>
              </w:rPr>
              <w:t>机构</w:t>
            </w:r>
          </w:p>
        </w:tc>
        <w:tc>
          <w:tcPr>
            <w:tcW w:w="992" w:type="dxa"/>
            <w:vAlign w:val="center"/>
          </w:tcPr>
          <w:p w:rsidR="003873B2" w:rsidRPr="003649F3" w:rsidRDefault="00C22065">
            <w:pPr>
              <w:jc w:val="center"/>
              <w:rPr>
                <w:sz w:val="24"/>
              </w:rPr>
            </w:pPr>
            <w:r w:rsidRPr="003649F3">
              <w:rPr>
                <w:color w:val="000000"/>
                <w:sz w:val="24"/>
              </w:rPr>
              <w:t>1</w:t>
            </w:r>
          </w:p>
        </w:tc>
        <w:tc>
          <w:tcPr>
            <w:tcW w:w="1843" w:type="dxa"/>
            <w:vAlign w:val="center"/>
          </w:tcPr>
          <w:p w:rsidR="003873B2" w:rsidRPr="003649F3" w:rsidRDefault="00C22065">
            <w:pPr>
              <w:jc w:val="center"/>
              <w:rPr>
                <w:sz w:val="24"/>
              </w:rPr>
            </w:pPr>
            <w:r w:rsidRPr="003649F3">
              <w:rPr>
                <w:color w:val="000000"/>
                <w:sz w:val="24"/>
              </w:rPr>
              <w:t>2017/01/25-2017/3/31</w:t>
            </w:r>
          </w:p>
        </w:tc>
        <w:tc>
          <w:tcPr>
            <w:tcW w:w="851" w:type="dxa"/>
            <w:vAlign w:val="center"/>
          </w:tcPr>
          <w:p w:rsidR="003873B2" w:rsidRPr="003649F3" w:rsidRDefault="00C22065">
            <w:pPr>
              <w:jc w:val="center"/>
              <w:rPr>
                <w:sz w:val="24"/>
              </w:rPr>
            </w:pPr>
            <w:r w:rsidRPr="003649F3">
              <w:rPr>
                <w:color w:val="000000"/>
                <w:sz w:val="24"/>
              </w:rPr>
              <w:t>-</w:t>
            </w:r>
          </w:p>
        </w:tc>
        <w:tc>
          <w:tcPr>
            <w:tcW w:w="850" w:type="dxa"/>
            <w:vAlign w:val="center"/>
          </w:tcPr>
          <w:p w:rsidR="003873B2" w:rsidRPr="003649F3" w:rsidRDefault="00C22065">
            <w:pPr>
              <w:jc w:val="center"/>
              <w:rPr>
                <w:sz w:val="24"/>
              </w:rPr>
            </w:pPr>
            <w:r w:rsidRPr="003649F3">
              <w:rPr>
                <w:color w:val="000000"/>
                <w:sz w:val="24"/>
              </w:rPr>
              <w:t>396,038,613.86</w:t>
            </w:r>
          </w:p>
        </w:tc>
        <w:tc>
          <w:tcPr>
            <w:tcW w:w="1134" w:type="dxa"/>
            <w:vAlign w:val="center"/>
          </w:tcPr>
          <w:p w:rsidR="003873B2" w:rsidRPr="003649F3" w:rsidRDefault="00C22065">
            <w:pPr>
              <w:jc w:val="center"/>
              <w:rPr>
                <w:sz w:val="24"/>
              </w:rPr>
            </w:pPr>
            <w:r w:rsidRPr="003649F3">
              <w:rPr>
                <w:color w:val="000000"/>
                <w:sz w:val="24"/>
              </w:rPr>
              <w:t>-</w:t>
            </w:r>
          </w:p>
        </w:tc>
        <w:tc>
          <w:tcPr>
            <w:tcW w:w="1419" w:type="dxa"/>
            <w:vAlign w:val="center"/>
          </w:tcPr>
          <w:p w:rsidR="003873B2" w:rsidRPr="003649F3" w:rsidRDefault="00C22065">
            <w:pPr>
              <w:jc w:val="center"/>
              <w:rPr>
                <w:sz w:val="24"/>
              </w:rPr>
            </w:pPr>
            <w:r w:rsidRPr="003649F3">
              <w:rPr>
                <w:color w:val="000000"/>
                <w:sz w:val="24"/>
              </w:rPr>
              <w:t>396,038,613.86</w:t>
            </w:r>
          </w:p>
        </w:tc>
        <w:tc>
          <w:tcPr>
            <w:tcW w:w="1130" w:type="dxa"/>
            <w:vAlign w:val="center"/>
          </w:tcPr>
          <w:p w:rsidR="003873B2" w:rsidRPr="003649F3" w:rsidRDefault="00C22065">
            <w:pPr>
              <w:jc w:val="center"/>
              <w:rPr>
                <w:sz w:val="24"/>
              </w:rPr>
            </w:pPr>
            <w:r w:rsidRPr="003649F3">
              <w:rPr>
                <w:color w:val="000000"/>
                <w:sz w:val="24"/>
              </w:rPr>
              <w:t>87.06%</w:t>
            </w:r>
          </w:p>
        </w:tc>
      </w:tr>
      <w:tr w:rsidR="003976A3" w:rsidRPr="006B02BF" w:rsidTr="00B06DDA">
        <w:tc>
          <w:tcPr>
            <w:tcW w:w="9212" w:type="dxa"/>
            <w:gridSpan w:val="8"/>
            <w:vAlign w:val="center"/>
          </w:tcPr>
          <w:p w:rsidR="003976A3" w:rsidRPr="003649F3" w:rsidRDefault="003976A3" w:rsidP="00B06DDA">
            <w:pPr>
              <w:autoSpaceDE w:val="0"/>
              <w:autoSpaceDN w:val="0"/>
              <w:adjustRightInd w:val="0"/>
              <w:jc w:val="center"/>
              <w:rPr>
                <w:sz w:val="24"/>
              </w:rPr>
            </w:pPr>
            <w:r w:rsidRPr="003649F3">
              <w:rPr>
                <w:rFonts w:hint="eastAsia"/>
                <w:color w:val="000000"/>
                <w:sz w:val="24"/>
              </w:rPr>
              <w:t>产品特有风险</w:t>
            </w:r>
          </w:p>
        </w:tc>
      </w:tr>
      <w:tr w:rsidR="003976A3" w:rsidRPr="006B02BF" w:rsidTr="00B06DDA">
        <w:tc>
          <w:tcPr>
            <w:tcW w:w="9212" w:type="dxa"/>
            <w:gridSpan w:val="8"/>
            <w:vAlign w:val="center"/>
          </w:tcPr>
          <w:p w:rsidR="003976A3" w:rsidRPr="003649F3" w:rsidRDefault="003976A3" w:rsidP="00B06DDA">
            <w:pPr>
              <w:autoSpaceDE w:val="0"/>
              <w:autoSpaceDN w:val="0"/>
              <w:adjustRightInd w:val="0"/>
              <w:jc w:val="left"/>
              <w:rPr>
                <w:sz w:val="24"/>
              </w:rPr>
            </w:pPr>
            <w:r w:rsidRPr="003649F3">
              <w:rPr>
                <w:rFonts w:hint="eastAsia"/>
                <w:sz w:val="24"/>
              </w:rPr>
              <w:t>本基金本报告期内出现单一投资者持有基金份额比例超过基金总份额</w:t>
            </w:r>
            <w:r w:rsidRPr="003649F3">
              <w:rPr>
                <w:sz w:val="24"/>
              </w:rPr>
              <w:t>20%</w:t>
            </w:r>
            <w:r w:rsidRPr="003649F3">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6B02BF" w:rsidRDefault="006B02BF" w:rsidP="003976A3">
      <w:pPr>
        <w:autoSpaceDE w:val="0"/>
        <w:autoSpaceDN w:val="0"/>
        <w:adjustRightInd w:val="0"/>
        <w:spacing w:line="360" w:lineRule="auto"/>
        <w:jc w:val="left"/>
        <w:rPr>
          <w:rFonts w:eastAsiaTheme="minorEastAsia"/>
          <w:b/>
          <w:bCs/>
          <w:color w:val="000000" w:themeColor="text1"/>
          <w:kern w:val="0"/>
          <w:sz w:val="24"/>
        </w:rPr>
      </w:pPr>
    </w:p>
    <w:p w:rsidR="003976A3" w:rsidRPr="003649F3" w:rsidRDefault="003976A3" w:rsidP="003976A3">
      <w:pPr>
        <w:autoSpaceDE w:val="0"/>
        <w:autoSpaceDN w:val="0"/>
        <w:adjustRightInd w:val="0"/>
        <w:spacing w:line="360" w:lineRule="auto"/>
        <w:jc w:val="left"/>
        <w:rPr>
          <w:rFonts w:eastAsiaTheme="minorEastAsia"/>
          <w:b/>
          <w:bCs/>
          <w:color w:val="000000" w:themeColor="text1"/>
          <w:kern w:val="0"/>
          <w:sz w:val="24"/>
        </w:rPr>
      </w:pPr>
      <w:r w:rsidRPr="003649F3">
        <w:rPr>
          <w:rFonts w:eastAsiaTheme="minorEastAsia"/>
          <w:b/>
          <w:bCs/>
          <w:color w:val="000000" w:themeColor="text1"/>
          <w:kern w:val="0"/>
          <w:sz w:val="24"/>
        </w:rPr>
        <w:t xml:space="preserve">8.2 </w:t>
      </w:r>
      <w:r w:rsidRPr="003649F3">
        <w:rPr>
          <w:rFonts w:eastAsiaTheme="minorEastAsia" w:hint="eastAsia"/>
          <w:b/>
          <w:bCs/>
          <w:color w:val="000000" w:themeColor="text1"/>
          <w:kern w:val="0"/>
          <w:sz w:val="24"/>
        </w:rPr>
        <w:t>影响投资者决策的其他重要信息</w:t>
      </w:r>
    </w:p>
    <w:p w:rsidR="003873B2" w:rsidRPr="006B02BF" w:rsidRDefault="00C22065">
      <w:pPr>
        <w:spacing w:before="29" w:line="288" w:lineRule="auto"/>
        <w:ind w:firstLineChars="200" w:firstLine="480"/>
        <w:rPr>
          <w:rFonts w:eastAsiaTheme="minorEastAsia"/>
          <w:color w:val="000000"/>
          <w:sz w:val="24"/>
        </w:rPr>
      </w:pPr>
      <w:r w:rsidRPr="003649F3">
        <w:rPr>
          <w:rFonts w:eastAsiaTheme="minorEastAsia"/>
          <w:color w:val="000000" w:themeColor="text1"/>
          <w:sz w:val="24"/>
        </w:rPr>
        <w:t>1</w:t>
      </w:r>
      <w:r w:rsidRPr="003649F3">
        <w:rPr>
          <w:rFonts w:eastAsiaTheme="minorEastAsia" w:hint="eastAsia"/>
          <w:color w:val="000000" w:themeColor="text1"/>
          <w:sz w:val="24"/>
        </w:rPr>
        <w:t>、根据本基金基金合同的规定，本基金在基金合同生效之日起两年（含两年）的期间内封闭式运作（按照基金合同的约定提前转换基金运作方式的除外），封闭期结束后转为开放式运作。本基金的封闭期自</w:t>
      </w:r>
      <w:r w:rsidRPr="003649F3">
        <w:rPr>
          <w:rFonts w:eastAsiaTheme="minorEastAsia"/>
          <w:color w:val="000000" w:themeColor="text1"/>
          <w:sz w:val="24"/>
        </w:rPr>
        <w:t>2015</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19</w:t>
      </w:r>
      <w:r w:rsidRPr="003649F3">
        <w:rPr>
          <w:rFonts w:eastAsiaTheme="minorEastAsia" w:hint="eastAsia"/>
          <w:color w:val="000000" w:themeColor="text1"/>
          <w:sz w:val="24"/>
        </w:rPr>
        <w:t>日开始至</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19</w:t>
      </w:r>
      <w:r w:rsidRPr="003649F3">
        <w:rPr>
          <w:rFonts w:eastAsiaTheme="minorEastAsia" w:hint="eastAsia"/>
          <w:color w:val="000000" w:themeColor="text1"/>
          <w:sz w:val="24"/>
        </w:rPr>
        <w:t>日止，自</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20</w:t>
      </w:r>
      <w:r w:rsidRPr="003649F3">
        <w:rPr>
          <w:rFonts w:eastAsiaTheme="minorEastAsia" w:hint="eastAsia"/>
          <w:color w:val="000000" w:themeColor="text1"/>
          <w:sz w:val="24"/>
        </w:rPr>
        <w:t>日起转为开放式运作。本基金在转为开放式运作后，同时增加开通</w:t>
      </w:r>
      <w:r w:rsidRPr="003649F3">
        <w:rPr>
          <w:rFonts w:eastAsiaTheme="minorEastAsia"/>
          <w:color w:val="000000" w:themeColor="text1"/>
          <w:sz w:val="24"/>
        </w:rPr>
        <w:t>A</w:t>
      </w:r>
      <w:r w:rsidRPr="003649F3">
        <w:rPr>
          <w:rFonts w:eastAsiaTheme="minorEastAsia" w:hint="eastAsia"/>
          <w:color w:val="000000" w:themeColor="text1"/>
          <w:sz w:val="24"/>
        </w:rPr>
        <w:t>类基金份额，并自</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20</w:t>
      </w:r>
      <w:r w:rsidRPr="003649F3">
        <w:rPr>
          <w:rFonts w:eastAsiaTheme="minorEastAsia" w:hint="eastAsia"/>
          <w:color w:val="000000" w:themeColor="text1"/>
          <w:sz w:val="24"/>
        </w:rPr>
        <w:t>日起开始办理</w:t>
      </w:r>
      <w:r w:rsidRPr="003649F3">
        <w:rPr>
          <w:rFonts w:eastAsiaTheme="minorEastAsia"/>
          <w:color w:val="000000" w:themeColor="text1"/>
          <w:sz w:val="24"/>
        </w:rPr>
        <w:t>A</w:t>
      </w:r>
      <w:r w:rsidRPr="003649F3">
        <w:rPr>
          <w:rFonts w:eastAsiaTheme="minorEastAsia" w:hint="eastAsia"/>
          <w:color w:val="000000" w:themeColor="text1"/>
          <w:sz w:val="24"/>
        </w:rPr>
        <w:t>类基金份额和</w:t>
      </w:r>
      <w:r w:rsidRPr="003649F3">
        <w:rPr>
          <w:rFonts w:eastAsiaTheme="minorEastAsia"/>
          <w:color w:val="000000" w:themeColor="text1"/>
          <w:sz w:val="24"/>
        </w:rPr>
        <w:t>C</w:t>
      </w:r>
      <w:r w:rsidRPr="003649F3">
        <w:rPr>
          <w:rFonts w:eastAsiaTheme="minorEastAsia" w:hint="eastAsia"/>
          <w:color w:val="000000" w:themeColor="text1"/>
          <w:sz w:val="24"/>
        </w:rPr>
        <w:t>类基金份额的日常申购、赎回、定期定额投资等业务，并适用基金合同中关于转为开放式运作后的有关规定。详情请查阅本基金管理人于</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13</w:t>
      </w:r>
      <w:r w:rsidRPr="003649F3">
        <w:rPr>
          <w:rFonts w:eastAsiaTheme="minorEastAsia" w:hint="eastAsia"/>
          <w:color w:val="000000" w:themeColor="text1"/>
          <w:sz w:val="24"/>
        </w:rPr>
        <w:t>日发布的《交银施罗德基金管理有限公司关于交银施罗德丰享收益债券型证券投资基金封闭期结束转为开放式运作并同时增加开通</w:t>
      </w:r>
      <w:r w:rsidRPr="003649F3">
        <w:rPr>
          <w:rFonts w:eastAsiaTheme="minorEastAsia"/>
          <w:color w:val="000000" w:themeColor="text1"/>
          <w:sz w:val="24"/>
        </w:rPr>
        <w:t>A</w:t>
      </w:r>
      <w:r w:rsidRPr="003649F3">
        <w:rPr>
          <w:rFonts w:eastAsiaTheme="minorEastAsia" w:hint="eastAsia"/>
          <w:color w:val="000000" w:themeColor="text1"/>
          <w:sz w:val="24"/>
        </w:rPr>
        <w:t>类基金份额的提示性公告》以及</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1</w:t>
      </w:r>
      <w:r w:rsidRPr="003649F3">
        <w:rPr>
          <w:rFonts w:eastAsiaTheme="minorEastAsia" w:hint="eastAsia"/>
          <w:color w:val="000000" w:themeColor="text1"/>
          <w:sz w:val="24"/>
        </w:rPr>
        <w:t>月</w:t>
      </w:r>
      <w:r w:rsidRPr="003649F3">
        <w:rPr>
          <w:rFonts w:eastAsiaTheme="minorEastAsia"/>
          <w:color w:val="000000" w:themeColor="text1"/>
          <w:sz w:val="24"/>
        </w:rPr>
        <w:t>18</w:t>
      </w:r>
      <w:r w:rsidRPr="003649F3">
        <w:rPr>
          <w:rFonts w:eastAsiaTheme="minorEastAsia" w:hint="eastAsia"/>
          <w:color w:val="000000" w:themeColor="text1"/>
          <w:sz w:val="24"/>
        </w:rPr>
        <w:t>日发布的《交银施罗德基金管理有限公司关于交银施罗德丰享收益债券型证券投资基金封闭期结束转为开放式运作并同时增加开通</w:t>
      </w:r>
      <w:r w:rsidRPr="003649F3">
        <w:rPr>
          <w:rFonts w:eastAsiaTheme="minorEastAsia"/>
          <w:color w:val="000000" w:themeColor="text1"/>
          <w:sz w:val="24"/>
        </w:rPr>
        <w:t>A</w:t>
      </w:r>
      <w:r w:rsidRPr="003649F3">
        <w:rPr>
          <w:rFonts w:eastAsiaTheme="minorEastAsia" w:hint="eastAsia"/>
          <w:color w:val="000000" w:themeColor="text1"/>
          <w:sz w:val="24"/>
        </w:rPr>
        <w:t>类基金份额暨开放基金日常申购、赎回、定期定额投资业务并参与部分销售机构申购费率优惠活动的公告》。</w:t>
      </w:r>
    </w:p>
    <w:p w:rsidR="00FB3C94" w:rsidRPr="006B02BF" w:rsidRDefault="003976A3" w:rsidP="003976A3">
      <w:pPr>
        <w:spacing w:before="29" w:line="288" w:lineRule="auto"/>
        <w:ind w:firstLineChars="200" w:firstLine="480"/>
        <w:rPr>
          <w:rFonts w:eastAsiaTheme="minorEastAsia"/>
          <w:color w:val="000000"/>
          <w:sz w:val="24"/>
        </w:rPr>
      </w:pPr>
      <w:r w:rsidRPr="003649F3">
        <w:rPr>
          <w:rFonts w:eastAsiaTheme="minorEastAsia"/>
          <w:color w:val="000000" w:themeColor="text1"/>
          <w:sz w:val="24"/>
        </w:rPr>
        <w:t>2</w:t>
      </w:r>
      <w:r w:rsidRPr="003649F3">
        <w:rPr>
          <w:rFonts w:eastAsiaTheme="minorEastAsia" w:hint="eastAsia"/>
          <w:color w:val="000000" w:themeColor="text1"/>
          <w:sz w:val="24"/>
        </w:rPr>
        <w:t>、根据《中华人民共和国证券投资基金法》、《公开募集证券投资基金运作管理办法》和《交银施罗德丰享收益债券型证券投资基金基金合同》的有关规定，本基金管理人决定自</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4</w:t>
      </w:r>
      <w:r w:rsidRPr="003649F3">
        <w:rPr>
          <w:rFonts w:eastAsiaTheme="minorEastAsia" w:hint="eastAsia"/>
          <w:color w:val="000000" w:themeColor="text1"/>
          <w:sz w:val="24"/>
        </w:rPr>
        <w:t>月</w:t>
      </w:r>
      <w:r w:rsidRPr="003649F3">
        <w:rPr>
          <w:rFonts w:eastAsiaTheme="minorEastAsia"/>
          <w:color w:val="000000" w:themeColor="text1"/>
          <w:sz w:val="24"/>
        </w:rPr>
        <w:t>1</w:t>
      </w:r>
      <w:r w:rsidRPr="003649F3">
        <w:rPr>
          <w:rFonts w:eastAsiaTheme="minorEastAsia" w:hint="eastAsia"/>
          <w:color w:val="000000" w:themeColor="text1"/>
          <w:sz w:val="24"/>
        </w:rPr>
        <w:t>日起至</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4</w:t>
      </w:r>
      <w:r w:rsidRPr="003649F3">
        <w:rPr>
          <w:rFonts w:eastAsiaTheme="minorEastAsia" w:hint="eastAsia"/>
          <w:color w:val="000000" w:themeColor="text1"/>
          <w:sz w:val="24"/>
        </w:rPr>
        <w:t>月</w:t>
      </w:r>
      <w:r w:rsidRPr="003649F3">
        <w:rPr>
          <w:rFonts w:eastAsiaTheme="minorEastAsia"/>
          <w:color w:val="000000" w:themeColor="text1"/>
          <w:sz w:val="24"/>
        </w:rPr>
        <w:t>24</w:t>
      </w:r>
      <w:r w:rsidRPr="003649F3">
        <w:rPr>
          <w:rFonts w:eastAsiaTheme="minorEastAsia" w:hint="eastAsia"/>
          <w:color w:val="000000" w:themeColor="text1"/>
          <w:sz w:val="24"/>
        </w:rPr>
        <w:t>日止以通讯方式召开本基金的基金份额持有人大会审议本基金调整管理费率、托管费率、</w:t>
      </w:r>
      <w:r w:rsidRPr="003649F3">
        <w:rPr>
          <w:rFonts w:eastAsiaTheme="minorEastAsia"/>
          <w:color w:val="000000" w:themeColor="text1"/>
          <w:sz w:val="24"/>
        </w:rPr>
        <w:t>A</w:t>
      </w:r>
      <w:r w:rsidRPr="003649F3">
        <w:rPr>
          <w:rFonts w:eastAsiaTheme="minorEastAsia" w:hint="eastAsia"/>
          <w:color w:val="000000" w:themeColor="text1"/>
          <w:sz w:val="24"/>
        </w:rPr>
        <w:t>类基金份额的赎回费率及基金合同修改事宜，本基金管理人已分别于</w:t>
      </w:r>
      <w:r w:rsidRPr="003649F3">
        <w:rPr>
          <w:rFonts w:eastAsiaTheme="minorEastAsia"/>
          <w:color w:val="000000" w:themeColor="text1"/>
          <w:sz w:val="24"/>
        </w:rPr>
        <w:t>2017</w:t>
      </w:r>
      <w:r w:rsidRPr="003649F3">
        <w:rPr>
          <w:rFonts w:eastAsiaTheme="minorEastAsia" w:hint="eastAsia"/>
          <w:color w:val="000000" w:themeColor="text1"/>
          <w:sz w:val="24"/>
        </w:rPr>
        <w:t>年</w:t>
      </w:r>
      <w:r w:rsidRPr="003649F3">
        <w:rPr>
          <w:rFonts w:eastAsiaTheme="minorEastAsia"/>
          <w:color w:val="000000" w:themeColor="text1"/>
          <w:sz w:val="24"/>
        </w:rPr>
        <w:t>3</w:t>
      </w:r>
      <w:r w:rsidRPr="003649F3">
        <w:rPr>
          <w:rFonts w:eastAsiaTheme="minorEastAsia" w:hint="eastAsia"/>
          <w:color w:val="000000" w:themeColor="text1"/>
          <w:sz w:val="24"/>
        </w:rPr>
        <w:t>月</w:t>
      </w:r>
      <w:r w:rsidRPr="003649F3">
        <w:rPr>
          <w:rFonts w:eastAsiaTheme="minorEastAsia"/>
          <w:color w:val="000000" w:themeColor="text1"/>
          <w:sz w:val="24"/>
        </w:rPr>
        <w:t>24</w:t>
      </w:r>
      <w:r w:rsidRPr="003649F3">
        <w:rPr>
          <w:rFonts w:eastAsiaTheme="minorEastAsia" w:hint="eastAsia"/>
          <w:color w:val="000000" w:themeColor="text1"/>
          <w:sz w:val="24"/>
        </w:rPr>
        <w:t>日、</w:t>
      </w:r>
      <w:r w:rsidRPr="003649F3">
        <w:rPr>
          <w:rFonts w:eastAsiaTheme="minorEastAsia"/>
          <w:color w:val="000000" w:themeColor="text1"/>
          <w:sz w:val="24"/>
        </w:rPr>
        <w:t>3</w:t>
      </w:r>
      <w:r w:rsidRPr="003649F3">
        <w:rPr>
          <w:rFonts w:eastAsiaTheme="minorEastAsia" w:hint="eastAsia"/>
          <w:color w:val="000000" w:themeColor="text1"/>
          <w:sz w:val="24"/>
        </w:rPr>
        <w:t>月</w:t>
      </w:r>
      <w:r w:rsidRPr="003649F3">
        <w:rPr>
          <w:rFonts w:eastAsiaTheme="minorEastAsia"/>
          <w:color w:val="000000" w:themeColor="text1"/>
          <w:sz w:val="24"/>
        </w:rPr>
        <w:t>27</w:t>
      </w:r>
      <w:r w:rsidRPr="003649F3">
        <w:rPr>
          <w:rFonts w:eastAsiaTheme="minorEastAsia" w:hint="eastAsia"/>
          <w:color w:val="000000" w:themeColor="text1"/>
          <w:sz w:val="24"/>
        </w:rPr>
        <w:t>日、</w:t>
      </w:r>
      <w:r w:rsidRPr="003649F3">
        <w:rPr>
          <w:rFonts w:eastAsiaTheme="minorEastAsia"/>
          <w:color w:val="000000" w:themeColor="text1"/>
          <w:sz w:val="24"/>
        </w:rPr>
        <w:t>3</w:t>
      </w:r>
      <w:r w:rsidRPr="003649F3">
        <w:rPr>
          <w:rFonts w:eastAsiaTheme="minorEastAsia" w:hint="eastAsia"/>
          <w:color w:val="000000" w:themeColor="text1"/>
          <w:sz w:val="24"/>
        </w:rPr>
        <w:t>月</w:t>
      </w:r>
      <w:r w:rsidRPr="003649F3">
        <w:rPr>
          <w:rFonts w:eastAsiaTheme="minorEastAsia"/>
          <w:color w:val="000000" w:themeColor="text1"/>
          <w:sz w:val="24"/>
        </w:rPr>
        <w:t>28</w:t>
      </w:r>
      <w:r w:rsidRPr="003649F3">
        <w:rPr>
          <w:rFonts w:eastAsiaTheme="minorEastAsia" w:hint="eastAsia"/>
          <w:color w:val="000000" w:themeColor="text1"/>
          <w:sz w:val="24"/>
        </w:rPr>
        <w:t>日在《中国证券报》、《上海证券报》、《证券时报》及本公司网站发布了《交银施罗德基金管理有限公司关于以通讯方式召开交银施罗德丰享收益债券型证券投资基金基金份额持有人大会的公告》及第一次、第二次提示性公告，详情请见相关公告。</w:t>
      </w:r>
    </w:p>
    <w:p w:rsidR="00BB1033" w:rsidRPr="006B02BF" w:rsidRDefault="00BB1033" w:rsidP="007C14DF">
      <w:pPr>
        <w:spacing w:before="29" w:line="288" w:lineRule="auto"/>
        <w:ind w:firstLineChars="200" w:firstLine="480"/>
        <w:rPr>
          <w:rFonts w:eastAsiaTheme="minorEastAsia"/>
          <w:color w:val="000000"/>
          <w:sz w:val="24"/>
        </w:rPr>
      </w:pPr>
    </w:p>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873B2" w:rsidRDefault="00C2206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84" w:rsidRDefault="00B33084">
      <w:r>
        <w:separator/>
      </w:r>
    </w:p>
  </w:endnote>
  <w:endnote w:type="continuationSeparator" w:id="0">
    <w:p w:rsidR="00B33084" w:rsidRDefault="00B3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3649F3">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3649F3">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84" w:rsidRDefault="00B33084">
      <w:r>
        <w:separator/>
      </w:r>
    </w:p>
  </w:footnote>
  <w:footnote w:type="continuationSeparator" w:id="0">
    <w:p w:rsidR="00B33084" w:rsidRDefault="00B33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B02BF"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6BDF"/>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151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49F3"/>
    <w:rsid w:val="00367770"/>
    <w:rsid w:val="00370FE2"/>
    <w:rsid w:val="00371424"/>
    <w:rsid w:val="00371FF4"/>
    <w:rsid w:val="00372209"/>
    <w:rsid w:val="003771ED"/>
    <w:rsid w:val="0037768B"/>
    <w:rsid w:val="00382E6F"/>
    <w:rsid w:val="00384E65"/>
    <w:rsid w:val="00386EBC"/>
    <w:rsid w:val="003873B2"/>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1A41"/>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2BF"/>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3084"/>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2065"/>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2A0C"/>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EA9"/>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098BA75E-AE49-4E47-9D06-96D632A5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45891532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794521576">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E349-B31A-47F0-8B97-A270BCE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14</Pages>
  <Words>6723</Words>
  <Characters>1800</Characters>
  <Application>Microsoft Office Word</Application>
  <DocSecurity>0</DocSecurity>
  <Lines>15</Lines>
  <Paragraphs>17</Paragraphs>
  <ScaleCrop>false</ScaleCrop>
  <Company>TRT. Ltd. Co.</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cp:revision>
  <cp:lastPrinted>2007-07-19T00:46:00Z</cp:lastPrinted>
  <dcterms:created xsi:type="dcterms:W3CDTF">2017-04-20T09:40:00Z</dcterms:created>
  <dcterms:modified xsi:type="dcterms:W3CDTF">2017-04-20T09:40:00Z</dcterms:modified>
</cp:coreProperties>
</file>