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43,272,815.76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BD7D72" w:rsidRDefault="00240D98">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BD7D72" w:rsidRDefault="00240D98">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240D98">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39,025,274.94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4,247,540.82</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287,281.61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32,227.87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137,859.07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12,470.41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0.0019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39,543,767.81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4,294,084.18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1.011</w:t>
            </w:r>
          </w:p>
        </w:tc>
      </w:tr>
    </w:tbl>
    <w:p w:rsidR="00BD7D72" w:rsidRDefault="00240D9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D7D72">
        <w:trPr>
          <w:jc w:val="center"/>
        </w:trPr>
        <w:tc>
          <w:tcPr>
            <w:tcW w:w="1266" w:type="dxa"/>
            <w:vAlign w:val="center"/>
          </w:tcPr>
          <w:p w:rsidR="00BD7D72" w:rsidRDefault="00240D98">
            <w:pPr>
              <w:jc w:val="left"/>
            </w:pPr>
            <w:r>
              <w:rPr>
                <w:color w:val="000000"/>
                <w:sz w:val="24"/>
              </w:rPr>
              <w:t>过去三个月</w:t>
            </w:r>
          </w:p>
        </w:tc>
        <w:tc>
          <w:tcPr>
            <w:tcW w:w="1267" w:type="dxa"/>
            <w:vAlign w:val="center"/>
          </w:tcPr>
          <w:p w:rsidR="00BD7D72" w:rsidRDefault="00240D98">
            <w:pPr>
              <w:jc w:val="center"/>
            </w:pPr>
            <w:r>
              <w:rPr>
                <w:color w:val="000000"/>
                <w:sz w:val="24"/>
              </w:rPr>
              <w:t>0.20%</w:t>
            </w:r>
          </w:p>
        </w:tc>
        <w:tc>
          <w:tcPr>
            <w:tcW w:w="1267" w:type="dxa"/>
            <w:vAlign w:val="center"/>
          </w:tcPr>
          <w:p w:rsidR="00BD7D72" w:rsidRDefault="00240D98">
            <w:pPr>
              <w:jc w:val="center"/>
            </w:pPr>
            <w:r>
              <w:rPr>
                <w:color w:val="000000"/>
                <w:sz w:val="24"/>
              </w:rPr>
              <w:t>0.02%</w:t>
            </w:r>
          </w:p>
        </w:tc>
        <w:tc>
          <w:tcPr>
            <w:tcW w:w="1267" w:type="dxa"/>
            <w:vAlign w:val="center"/>
          </w:tcPr>
          <w:p w:rsidR="00BD7D72" w:rsidRDefault="00240D98">
            <w:pPr>
              <w:jc w:val="center"/>
            </w:pPr>
            <w:r>
              <w:rPr>
                <w:color w:val="000000"/>
                <w:sz w:val="24"/>
              </w:rPr>
              <w:t>-1.25%</w:t>
            </w:r>
          </w:p>
        </w:tc>
        <w:tc>
          <w:tcPr>
            <w:tcW w:w="1267" w:type="dxa"/>
            <w:vAlign w:val="center"/>
          </w:tcPr>
          <w:p w:rsidR="00BD7D72" w:rsidRDefault="00240D98">
            <w:pPr>
              <w:jc w:val="center"/>
            </w:pPr>
            <w:r>
              <w:rPr>
                <w:color w:val="000000"/>
                <w:sz w:val="24"/>
              </w:rPr>
              <w:t>0.07%</w:t>
            </w:r>
          </w:p>
        </w:tc>
        <w:tc>
          <w:tcPr>
            <w:tcW w:w="1267" w:type="dxa"/>
            <w:vAlign w:val="center"/>
          </w:tcPr>
          <w:p w:rsidR="00BD7D72" w:rsidRDefault="00240D98">
            <w:pPr>
              <w:jc w:val="center"/>
            </w:pPr>
            <w:r>
              <w:rPr>
                <w:color w:val="000000"/>
                <w:sz w:val="24"/>
              </w:rPr>
              <w:t>1.45%</w:t>
            </w:r>
          </w:p>
        </w:tc>
        <w:tc>
          <w:tcPr>
            <w:tcW w:w="1267" w:type="dxa"/>
            <w:vAlign w:val="center"/>
          </w:tcPr>
          <w:p w:rsidR="00BD7D72" w:rsidRDefault="00240D98">
            <w:pPr>
              <w:jc w:val="center"/>
            </w:pPr>
            <w:r>
              <w:rPr>
                <w:color w:val="000000"/>
                <w:sz w:val="24"/>
              </w:rPr>
              <w:t>-0.05%</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D7D72">
        <w:trPr>
          <w:jc w:val="center"/>
        </w:trPr>
        <w:tc>
          <w:tcPr>
            <w:tcW w:w="1266" w:type="dxa"/>
            <w:vAlign w:val="center"/>
          </w:tcPr>
          <w:p w:rsidR="00BD7D72" w:rsidRDefault="00240D98">
            <w:pPr>
              <w:jc w:val="left"/>
            </w:pPr>
            <w:r>
              <w:rPr>
                <w:color w:val="000000"/>
                <w:sz w:val="24"/>
              </w:rPr>
              <w:t>过去三个月</w:t>
            </w:r>
          </w:p>
        </w:tc>
        <w:tc>
          <w:tcPr>
            <w:tcW w:w="1267" w:type="dxa"/>
            <w:vAlign w:val="center"/>
          </w:tcPr>
          <w:p w:rsidR="00BD7D72" w:rsidRDefault="00240D98">
            <w:pPr>
              <w:jc w:val="center"/>
            </w:pPr>
            <w:r>
              <w:rPr>
                <w:color w:val="000000"/>
                <w:sz w:val="24"/>
              </w:rPr>
              <w:t>0.20%</w:t>
            </w:r>
          </w:p>
        </w:tc>
        <w:tc>
          <w:tcPr>
            <w:tcW w:w="1267" w:type="dxa"/>
            <w:vAlign w:val="center"/>
          </w:tcPr>
          <w:p w:rsidR="00BD7D72" w:rsidRDefault="00240D98">
            <w:pPr>
              <w:jc w:val="center"/>
            </w:pPr>
            <w:r>
              <w:rPr>
                <w:color w:val="000000"/>
                <w:sz w:val="24"/>
              </w:rPr>
              <w:t>0.02%</w:t>
            </w:r>
          </w:p>
        </w:tc>
        <w:tc>
          <w:tcPr>
            <w:tcW w:w="1267" w:type="dxa"/>
            <w:vAlign w:val="center"/>
          </w:tcPr>
          <w:p w:rsidR="00BD7D72" w:rsidRDefault="00240D98">
            <w:pPr>
              <w:jc w:val="center"/>
            </w:pPr>
            <w:r>
              <w:rPr>
                <w:color w:val="000000"/>
                <w:sz w:val="24"/>
              </w:rPr>
              <w:t>-1.25%</w:t>
            </w:r>
          </w:p>
        </w:tc>
        <w:tc>
          <w:tcPr>
            <w:tcW w:w="1267" w:type="dxa"/>
            <w:vAlign w:val="center"/>
          </w:tcPr>
          <w:p w:rsidR="00BD7D72" w:rsidRDefault="00240D98">
            <w:pPr>
              <w:jc w:val="center"/>
            </w:pPr>
            <w:r>
              <w:rPr>
                <w:color w:val="000000"/>
                <w:sz w:val="24"/>
              </w:rPr>
              <w:t>0.07%</w:t>
            </w:r>
          </w:p>
        </w:tc>
        <w:tc>
          <w:tcPr>
            <w:tcW w:w="1267" w:type="dxa"/>
            <w:vAlign w:val="center"/>
          </w:tcPr>
          <w:p w:rsidR="00BD7D72" w:rsidRDefault="00240D98">
            <w:pPr>
              <w:jc w:val="center"/>
            </w:pPr>
            <w:r>
              <w:rPr>
                <w:color w:val="000000"/>
                <w:sz w:val="24"/>
              </w:rPr>
              <w:t>1.45%</w:t>
            </w:r>
          </w:p>
        </w:tc>
        <w:tc>
          <w:tcPr>
            <w:tcW w:w="1267" w:type="dxa"/>
            <w:vAlign w:val="center"/>
          </w:tcPr>
          <w:p w:rsidR="00BD7D72" w:rsidRDefault="00240D98">
            <w:pPr>
              <w:jc w:val="center"/>
            </w:pPr>
            <w:r>
              <w:rPr>
                <w:color w:val="000000"/>
                <w:sz w:val="24"/>
              </w:rPr>
              <w:t>-0.05%</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1D6216" w:rsidRDefault="001D6216" w:rsidP="007C14DF">
      <w:pPr>
        <w:pStyle w:val="20"/>
        <w:spacing w:before="29" w:line="288" w:lineRule="auto"/>
        <w:ind w:firstLineChars="0" w:firstLine="0"/>
        <w:rPr>
          <w:rFonts w:ascii="Times New Roman" w:hAnsi="Times New Roman"/>
          <w:color w:val="000000"/>
        </w:rPr>
      </w:pPr>
      <w:r w:rsidRPr="001D6216">
        <w:rPr>
          <w:rFonts w:ascii="Times New Roman" w:hAnsi="Times New Roman" w:hint="eastAsia"/>
          <w:color w:val="000000"/>
        </w:rPr>
        <w:t>注：本基金建仓期为自基金合同生效日起的</w:t>
      </w:r>
      <w:r w:rsidRPr="001D6216">
        <w:rPr>
          <w:rFonts w:ascii="Times New Roman" w:hAnsi="Times New Roman" w:hint="eastAsia"/>
          <w:color w:val="000000"/>
        </w:rPr>
        <w:t>6</w:t>
      </w:r>
      <w:r w:rsidRPr="001D6216">
        <w:rPr>
          <w:rFonts w:ascii="Times New Roman" w:hAnsi="Times New Roman" w:hint="eastAsia"/>
          <w:color w:val="000000"/>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757FD7" w:rsidRPr="007F52FA" w:rsidRDefault="001D6216" w:rsidP="00634D28">
      <w:pPr>
        <w:spacing w:before="29" w:line="288" w:lineRule="auto"/>
        <w:rPr>
          <w:color w:val="000000"/>
          <w:sz w:val="24"/>
        </w:rPr>
      </w:pPr>
      <w:r w:rsidRPr="001D6216">
        <w:rPr>
          <w:rFonts w:hint="eastAsia"/>
          <w:color w:val="000000"/>
          <w:sz w:val="24"/>
        </w:rPr>
        <w:t>注：本基金建仓期为自基金合同生效日起的</w:t>
      </w:r>
      <w:r w:rsidRPr="001D6216">
        <w:rPr>
          <w:rFonts w:hint="eastAsia"/>
          <w:color w:val="000000"/>
          <w:sz w:val="24"/>
        </w:rPr>
        <w:t>6</w:t>
      </w:r>
      <w:r w:rsidRPr="001D6216">
        <w:rPr>
          <w:rFonts w:hint="eastAsia"/>
          <w:color w:val="000000"/>
          <w:sz w:val="24"/>
        </w:rPr>
        <w:t>个月。截至建仓期结束，本基金各项资产配置比例符合基金合同及招募说明书有关投资比例的约定。</w:t>
      </w: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D7D72">
        <w:trPr>
          <w:jc w:val="center"/>
        </w:trPr>
        <w:tc>
          <w:tcPr>
            <w:tcW w:w="946" w:type="dxa"/>
            <w:vAlign w:val="center"/>
          </w:tcPr>
          <w:p w:rsidR="00BD7D72" w:rsidRDefault="00240D98">
            <w:pPr>
              <w:jc w:val="center"/>
            </w:pPr>
            <w:r>
              <w:rPr>
                <w:color w:val="000000"/>
                <w:sz w:val="24"/>
              </w:rPr>
              <w:t>孙超</w:t>
            </w:r>
          </w:p>
        </w:tc>
        <w:tc>
          <w:tcPr>
            <w:tcW w:w="924" w:type="dxa"/>
            <w:vAlign w:val="center"/>
          </w:tcPr>
          <w:p w:rsidR="00BD7D72" w:rsidRDefault="00240D98">
            <w:pPr>
              <w:jc w:val="center"/>
            </w:pPr>
            <w:r>
              <w:rPr>
                <w:color w:val="000000"/>
                <w:sz w:val="24"/>
              </w:rPr>
              <w:t>交银增利债券、交银纯债债券发起、交银荣祥保本混合、交银定期支付月月丰债券、交银增强收益债券、交银强化回报债券、</w:t>
            </w:r>
            <w:r w:rsidR="005D64F6">
              <w:rPr>
                <w:rFonts w:hint="eastAsia"/>
                <w:color w:val="000000"/>
                <w:kern w:val="0"/>
                <w:sz w:val="24"/>
              </w:rPr>
              <w:t>交银丰润收益债券、交银丰享收益债券、交银丰泽收益债</w:t>
            </w:r>
            <w:r w:rsidR="005D64F6">
              <w:rPr>
                <w:rFonts w:hint="eastAsia"/>
                <w:color w:val="000000"/>
                <w:kern w:val="0"/>
                <w:sz w:val="24"/>
              </w:rPr>
              <w:lastRenderedPageBreak/>
              <w:t>券、</w:t>
            </w:r>
            <w:bookmarkStart w:id="0" w:name="_GoBack"/>
            <w:bookmarkEnd w:id="0"/>
            <w:r>
              <w:rPr>
                <w:color w:val="000000"/>
                <w:sz w:val="24"/>
              </w:rPr>
              <w:t>交银丰硕收益债券、交银荣鑫保本混合的基金经理，公司固定收益部助理总经理</w:t>
            </w:r>
          </w:p>
        </w:tc>
        <w:tc>
          <w:tcPr>
            <w:tcW w:w="1202" w:type="dxa"/>
            <w:vAlign w:val="center"/>
          </w:tcPr>
          <w:p w:rsidR="00BD7D72" w:rsidRDefault="00240D98">
            <w:pPr>
              <w:jc w:val="center"/>
            </w:pPr>
            <w:r>
              <w:rPr>
                <w:color w:val="000000"/>
                <w:sz w:val="24"/>
              </w:rPr>
              <w:lastRenderedPageBreak/>
              <w:t>2014-12-15</w:t>
            </w:r>
          </w:p>
        </w:tc>
        <w:tc>
          <w:tcPr>
            <w:tcW w:w="1300" w:type="dxa"/>
            <w:vAlign w:val="center"/>
          </w:tcPr>
          <w:p w:rsidR="00BD7D72" w:rsidRDefault="00240D98">
            <w:pPr>
              <w:jc w:val="center"/>
            </w:pPr>
            <w:r>
              <w:rPr>
                <w:color w:val="000000"/>
                <w:sz w:val="24"/>
              </w:rPr>
              <w:t>2017-02-18</w:t>
            </w:r>
          </w:p>
        </w:tc>
        <w:tc>
          <w:tcPr>
            <w:tcW w:w="1245" w:type="dxa"/>
            <w:vAlign w:val="center"/>
          </w:tcPr>
          <w:p w:rsidR="00BD7D72" w:rsidRDefault="00CA3541">
            <w:pPr>
              <w:jc w:val="center"/>
            </w:pPr>
            <w:r>
              <w:rPr>
                <w:color w:val="000000"/>
                <w:sz w:val="24"/>
              </w:rPr>
              <w:t>6</w:t>
            </w:r>
            <w:r w:rsidR="00240D98">
              <w:rPr>
                <w:color w:val="000000"/>
                <w:sz w:val="24"/>
              </w:rPr>
              <w:t>年</w:t>
            </w:r>
          </w:p>
        </w:tc>
        <w:tc>
          <w:tcPr>
            <w:tcW w:w="3251" w:type="dxa"/>
            <w:vAlign w:val="center"/>
          </w:tcPr>
          <w:p w:rsidR="00BD7D72" w:rsidRDefault="00240D98">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r w:rsidR="00BD7D72">
        <w:trPr>
          <w:jc w:val="center"/>
        </w:trPr>
        <w:tc>
          <w:tcPr>
            <w:tcW w:w="946" w:type="dxa"/>
            <w:vAlign w:val="center"/>
          </w:tcPr>
          <w:p w:rsidR="00BD7D72" w:rsidRDefault="00240D98">
            <w:pPr>
              <w:jc w:val="center"/>
            </w:pPr>
            <w:r>
              <w:rPr>
                <w:color w:val="000000"/>
                <w:sz w:val="24"/>
              </w:rPr>
              <w:lastRenderedPageBreak/>
              <w:t>连端清</w:t>
            </w:r>
          </w:p>
        </w:tc>
        <w:tc>
          <w:tcPr>
            <w:tcW w:w="924" w:type="dxa"/>
            <w:vAlign w:val="center"/>
          </w:tcPr>
          <w:p w:rsidR="00BD7D72" w:rsidRDefault="00240D9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w:t>
            </w:r>
            <w:r>
              <w:rPr>
                <w:color w:val="000000"/>
                <w:sz w:val="24"/>
              </w:rPr>
              <w:lastRenderedPageBreak/>
              <w:t>兴纯债债券、交银裕盈纯债债券、交银裕利纯债</w:t>
            </w:r>
            <w:r w:rsidR="00CA3541">
              <w:rPr>
                <w:rFonts w:hint="eastAsia"/>
                <w:color w:val="000000"/>
                <w:sz w:val="24"/>
              </w:rPr>
              <w:t>债券</w:t>
            </w:r>
            <w:r>
              <w:rPr>
                <w:color w:val="000000"/>
                <w:sz w:val="24"/>
              </w:rPr>
              <w:t>、交银裕隆纯债债券、交银天鑫宝货币、交银天益宝货币、交银境尚收益债券的基金经理</w:t>
            </w:r>
          </w:p>
        </w:tc>
        <w:tc>
          <w:tcPr>
            <w:tcW w:w="1202" w:type="dxa"/>
            <w:vAlign w:val="center"/>
          </w:tcPr>
          <w:p w:rsidR="00BD7D72" w:rsidRDefault="00240D98">
            <w:pPr>
              <w:jc w:val="center"/>
            </w:pPr>
            <w:r>
              <w:rPr>
                <w:color w:val="000000"/>
                <w:sz w:val="24"/>
              </w:rPr>
              <w:lastRenderedPageBreak/>
              <w:t>2015-08-04</w:t>
            </w:r>
          </w:p>
        </w:tc>
        <w:tc>
          <w:tcPr>
            <w:tcW w:w="1300" w:type="dxa"/>
            <w:vAlign w:val="center"/>
          </w:tcPr>
          <w:p w:rsidR="00BD7D72" w:rsidRDefault="00240D98">
            <w:pPr>
              <w:jc w:val="center"/>
            </w:pPr>
            <w:r>
              <w:rPr>
                <w:color w:val="000000"/>
                <w:sz w:val="24"/>
              </w:rPr>
              <w:t>-</w:t>
            </w:r>
          </w:p>
        </w:tc>
        <w:tc>
          <w:tcPr>
            <w:tcW w:w="1245" w:type="dxa"/>
            <w:vAlign w:val="center"/>
          </w:tcPr>
          <w:p w:rsidR="00BD7D72" w:rsidRDefault="00240D98">
            <w:pPr>
              <w:jc w:val="center"/>
            </w:pPr>
            <w:r>
              <w:rPr>
                <w:color w:val="000000"/>
                <w:sz w:val="24"/>
              </w:rPr>
              <w:t>4</w:t>
            </w:r>
            <w:r>
              <w:rPr>
                <w:color w:val="000000"/>
                <w:sz w:val="24"/>
              </w:rPr>
              <w:t>年</w:t>
            </w:r>
          </w:p>
        </w:tc>
        <w:tc>
          <w:tcPr>
            <w:tcW w:w="3251" w:type="dxa"/>
            <w:vAlign w:val="center"/>
          </w:tcPr>
          <w:p w:rsidR="00BD7D72" w:rsidRDefault="00240D9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BD7D72" w:rsidRDefault="00240D98">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D7D72" w:rsidRDefault="00240D9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lastRenderedPageBreak/>
          <w:t>4.3.1</w:t>
        </w:r>
      </w:smartTag>
      <w:r w:rsidRPr="007F52FA">
        <w:rPr>
          <w:sz w:val="24"/>
        </w:rPr>
        <w:t>公平交易制度的执行情况</w:t>
      </w:r>
    </w:p>
    <w:p w:rsidR="00BD7D72" w:rsidRDefault="00240D9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D7D72" w:rsidRDefault="00240D9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D7D72" w:rsidRDefault="00240D9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D7D72" w:rsidRDefault="00240D98">
      <w:pPr>
        <w:spacing w:before="29" w:line="288" w:lineRule="auto"/>
        <w:ind w:firstLineChars="200" w:firstLine="480"/>
        <w:rPr>
          <w:color w:val="000000"/>
          <w:sz w:val="24"/>
        </w:rPr>
      </w:pPr>
      <w:r>
        <w:rPr>
          <w:color w:val="000000"/>
          <w:sz w:val="24"/>
        </w:rPr>
        <w:t>2017</w:t>
      </w:r>
      <w:r>
        <w:rPr>
          <w:color w:val="000000"/>
          <w:sz w:val="24"/>
        </w:rPr>
        <w:t>年一季度，国内经济保持了企稳回暖的势头。一方面，尽管一季度楼市调控政策进一步加码，但是国内楼市价格并未出现拐点，房地产投资增速进一步攀升，</w:t>
      </w:r>
      <w:r>
        <w:rPr>
          <w:color w:val="000000"/>
          <w:sz w:val="24"/>
        </w:rPr>
        <w:t>70</w:t>
      </w:r>
      <w:r>
        <w:rPr>
          <w:color w:val="000000"/>
          <w:sz w:val="24"/>
        </w:rPr>
        <w:t>个大中城市新建商品住宅价格指数</w:t>
      </w:r>
      <w:r>
        <w:rPr>
          <w:color w:val="000000"/>
          <w:sz w:val="24"/>
        </w:rPr>
        <w:t>1-2</w:t>
      </w:r>
      <w:r>
        <w:rPr>
          <w:color w:val="000000"/>
          <w:sz w:val="24"/>
        </w:rPr>
        <w:t>月份同比依然在</w:t>
      </w:r>
      <w:r>
        <w:rPr>
          <w:color w:val="000000"/>
          <w:sz w:val="24"/>
        </w:rPr>
        <w:t>10%</w:t>
      </w:r>
      <w:r>
        <w:rPr>
          <w:color w:val="000000"/>
          <w:sz w:val="24"/>
        </w:rPr>
        <w:t>以上，环比继续上涨，商品房销售面积同比增速保持</w:t>
      </w:r>
      <w:r>
        <w:rPr>
          <w:color w:val="000000"/>
          <w:sz w:val="24"/>
        </w:rPr>
        <w:t>25%</w:t>
      </w:r>
      <w:r>
        <w:rPr>
          <w:color w:val="000000"/>
          <w:sz w:val="24"/>
        </w:rPr>
        <w:t>以上，房地产投资同比增速上升至</w:t>
      </w:r>
      <w:r>
        <w:rPr>
          <w:color w:val="000000"/>
          <w:sz w:val="24"/>
        </w:rPr>
        <w:t>8.9%</w:t>
      </w:r>
      <w:r>
        <w:rPr>
          <w:color w:val="000000"/>
          <w:sz w:val="24"/>
        </w:rPr>
        <w:t>；另一方面，国内制造业与美欧等发达经济体处于同步回暖的态势中，</w:t>
      </w:r>
      <w:r>
        <w:rPr>
          <w:color w:val="000000"/>
          <w:sz w:val="24"/>
        </w:rPr>
        <w:t xml:space="preserve"> 3</w:t>
      </w:r>
      <w:r>
        <w:rPr>
          <w:color w:val="000000"/>
          <w:sz w:val="24"/>
        </w:rPr>
        <w:t>月份中采制造业</w:t>
      </w:r>
      <w:r>
        <w:rPr>
          <w:color w:val="000000"/>
          <w:sz w:val="24"/>
        </w:rPr>
        <w:t>PMI</w:t>
      </w:r>
      <w:r>
        <w:rPr>
          <w:color w:val="000000"/>
          <w:sz w:val="24"/>
        </w:rPr>
        <w:t>上升至</w:t>
      </w:r>
      <w:r>
        <w:rPr>
          <w:color w:val="000000"/>
          <w:sz w:val="24"/>
        </w:rPr>
        <w:t>51.8%</w:t>
      </w:r>
      <w:r>
        <w:rPr>
          <w:color w:val="000000"/>
          <w:sz w:val="24"/>
        </w:rPr>
        <w:t>。货币政策上，鉴于国内经济继续回暖且美联储加息频率加快，一季度央行货币政策继续向中性偏紧方向回归。央行于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万亿，为</w:t>
      </w:r>
      <w:r>
        <w:rPr>
          <w:color w:val="000000"/>
          <w:sz w:val="24"/>
        </w:rPr>
        <w:t>2016</w:t>
      </w:r>
      <w:r>
        <w:rPr>
          <w:color w:val="000000"/>
          <w:sz w:val="24"/>
        </w:rPr>
        <w:t>年以来首次季度净回笼。</w:t>
      </w:r>
    </w:p>
    <w:p w:rsidR="00BD7D72" w:rsidRDefault="00240D98">
      <w:pPr>
        <w:spacing w:before="29" w:line="288" w:lineRule="auto"/>
        <w:ind w:firstLineChars="200" w:firstLine="480"/>
        <w:rPr>
          <w:color w:val="000000"/>
          <w:sz w:val="24"/>
        </w:rPr>
      </w:pPr>
      <w:r>
        <w:rPr>
          <w:color w:val="000000"/>
          <w:sz w:val="24"/>
        </w:rPr>
        <w:t>资金面上，尽管一季度资金面较去年</w:t>
      </w:r>
      <w:r>
        <w:rPr>
          <w:color w:val="000000"/>
          <w:sz w:val="24"/>
        </w:rPr>
        <w:t>12</w:t>
      </w:r>
      <w:r>
        <w:rPr>
          <w:color w:val="000000"/>
          <w:sz w:val="24"/>
        </w:rPr>
        <w:t>月份好转，但是受央行货币政策影响，资金价格中枢继续上移。受央行上调公开市场操作利率、经济回暖及</w:t>
      </w:r>
      <w:r>
        <w:rPr>
          <w:color w:val="000000"/>
          <w:sz w:val="24"/>
        </w:rPr>
        <w:t>3</w:t>
      </w:r>
      <w:r>
        <w:rPr>
          <w:color w:val="000000"/>
          <w:sz w:val="24"/>
        </w:rPr>
        <w:t>月份资金面好于预期等因素交替冲击，一季度</w:t>
      </w:r>
      <w:r>
        <w:rPr>
          <w:color w:val="000000"/>
          <w:sz w:val="24"/>
        </w:rPr>
        <w:t>10</w:t>
      </w:r>
      <w:r>
        <w:rPr>
          <w:color w:val="000000"/>
          <w:sz w:val="24"/>
        </w:rPr>
        <w:t>年期国开债先下跌，但</w:t>
      </w:r>
      <w:r>
        <w:rPr>
          <w:color w:val="000000"/>
          <w:sz w:val="24"/>
        </w:rPr>
        <w:t>3</w:t>
      </w:r>
      <w:r>
        <w:rPr>
          <w:color w:val="000000"/>
          <w:sz w:val="24"/>
        </w:rPr>
        <w:t>月中下旬开始上涨，信用债主要呈震荡回调走势。其中，银行间市场</w:t>
      </w:r>
      <w:r>
        <w:rPr>
          <w:color w:val="000000"/>
          <w:sz w:val="24"/>
        </w:rPr>
        <w:t>10</w:t>
      </w:r>
      <w:r>
        <w:rPr>
          <w:color w:val="000000"/>
          <w:sz w:val="24"/>
        </w:rPr>
        <w:t>年期国开债</w:t>
      </w:r>
      <w:r>
        <w:rPr>
          <w:color w:val="000000"/>
          <w:sz w:val="24"/>
        </w:rPr>
        <w:t>YTM</w:t>
      </w:r>
      <w:r>
        <w:rPr>
          <w:color w:val="000000"/>
          <w:sz w:val="24"/>
        </w:rPr>
        <w:t>较去年底上升</w:t>
      </w:r>
      <w:r>
        <w:rPr>
          <w:color w:val="000000"/>
          <w:sz w:val="24"/>
        </w:rPr>
        <w:t>37</w:t>
      </w:r>
      <w:r>
        <w:rPr>
          <w:color w:val="000000"/>
          <w:sz w:val="24"/>
        </w:rPr>
        <w:t>个</w:t>
      </w:r>
      <w:r>
        <w:rPr>
          <w:color w:val="000000"/>
          <w:sz w:val="24"/>
        </w:rPr>
        <w:t>BP</w:t>
      </w:r>
      <w:r>
        <w:rPr>
          <w:color w:val="000000"/>
          <w:sz w:val="24"/>
        </w:rPr>
        <w:t>以</w:t>
      </w:r>
      <w:r>
        <w:rPr>
          <w:color w:val="000000"/>
          <w:sz w:val="24"/>
        </w:rPr>
        <w:lastRenderedPageBreak/>
        <w:t>上，</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40</w:t>
      </w:r>
      <w:r>
        <w:rPr>
          <w:color w:val="000000"/>
          <w:sz w:val="24"/>
        </w:rPr>
        <w:t>个</w:t>
      </w:r>
      <w:r>
        <w:rPr>
          <w:color w:val="000000"/>
          <w:sz w:val="24"/>
        </w:rPr>
        <w:t>BP</w:t>
      </w:r>
      <w:r>
        <w:rPr>
          <w:color w:val="000000"/>
          <w:sz w:val="24"/>
        </w:rPr>
        <w:t>以上，</w:t>
      </w:r>
      <w:r>
        <w:rPr>
          <w:color w:val="000000"/>
          <w:sz w:val="24"/>
        </w:rPr>
        <w:t>5</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44</w:t>
      </w:r>
      <w:r>
        <w:rPr>
          <w:color w:val="000000"/>
          <w:sz w:val="24"/>
        </w:rPr>
        <w:t>个</w:t>
      </w:r>
      <w:r>
        <w:rPr>
          <w:color w:val="000000"/>
          <w:sz w:val="24"/>
        </w:rPr>
        <w:t>BP</w:t>
      </w:r>
      <w:r>
        <w:rPr>
          <w:color w:val="000000"/>
          <w:sz w:val="24"/>
        </w:rPr>
        <w:t>以上。</w:t>
      </w:r>
    </w:p>
    <w:p w:rsidR="00BD7D72" w:rsidRDefault="00240D98">
      <w:pPr>
        <w:spacing w:before="29" w:line="288" w:lineRule="auto"/>
        <w:ind w:firstLineChars="200" w:firstLine="480"/>
        <w:rPr>
          <w:color w:val="000000"/>
          <w:sz w:val="24"/>
        </w:rPr>
      </w:pPr>
      <w:r>
        <w:rPr>
          <w:color w:val="000000"/>
          <w:sz w:val="24"/>
        </w:rPr>
        <w:t>基金操作方面，报告期内本基金继续加强信用风险管控，顺应市场走势调整持仓债券，降低组合杠杆与久期，努力为持有人创造较为稳健的回报。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国内经济整体保持弱势平稳的概率较大，央行货币政策仍将更倾向于抑制资产价格泡沫，除非出现超预期的经济下行风险，否则预计短期内央行将以稳健偏紧的货币政策为主。另外，二季度需警惕企业信用风险。组合管理方面，本基金将紧密跟踪经济走势与央行货币政策操作动态，尽力控制信用风险，计划继续调整部分债券，积极跟踪把握市场节奏，努力为份额持有人创造较为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1.013</w:t>
      </w:r>
      <w:r w:rsidRPr="007F52FA">
        <w:rPr>
          <w:color w:val="000000"/>
          <w:sz w:val="24"/>
        </w:rPr>
        <w:t>元，本报告期份额净值增长率为</w:t>
      </w:r>
      <w:r w:rsidRPr="007F52FA">
        <w:rPr>
          <w:color w:val="000000"/>
          <w:sz w:val="24"/>
        </w:rPr>
        <w:t>0.20%</w:t>
      </w:r>
      <w:r w:rsidRPr="007F52FA">
        <w:rPr>
          <w:color w:val="000000"/>
          <w:sz w:val="24"/>
        </w:rPr>
        <w:t>，同期业绩比较基准增长率为</w:t>
      </w:r>
      <w:r w:rsidRPr="007F52FA">
        <w:rPr>
          <w:color w:val="000000"/>
          <w:sz w:val="24"/>
        </w:rPr>
        <w:t>-1.25%</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1.011</w:t>
      </w:r>
      <w:r w:rsidRPr="007F52FA">
        <w:rPr>
          <w:color w:val="000000"/>
          <w:sz w:val="24"/>
        </w:rPr>
        <w:t>元，本报告期份额净值增长率为</w:t>
      </w:r>
      <w:r w:rsidRPr="007F52FA">
        <w:rPr>
          <w:color w:val="000000"/>
          <w:sz w:val="24"/>
        </w:rPr>
        <w:t>0.20%</w:t>
      </w:r>
      <w:r w:rsidRPr="007F52FA">
        <w:rPr>
          <w:color w:val="000000"/>
          <w:sz w:val="24"/>
        </w:rPr>
        <w:t>，同期业绩比较基准增长率为</w:t>
      </w:r>
      <w:r w:rsidRPr="007F52FA">
        <w:rPr>
          <w:color w:val="000000"/>
          <w:sz w:val="24"/>
        </w:rPr>
        <w:t>-1.25%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EE0E52" w:rsidRPr="00634D28" w:rsidRDefault="00EE0E52" w:rsidP="00634D28">
      <w:pPr>
        <w:pStyle w:val="af7"/>
        <w:adjustRightInd w:val="0"/>
        <w:snapToGrid w:val="0"/>
        <w:ind w:firstLineChars="200" w:firstLine="480"/>
        <w:rPr>
          <w:rFonts w:ascii="Times New Roman" w:hAnsi="Times New Roman" w:cs="Times New Roman"/>
          <w:color w:val="000000"/>
          <w:kern w:val="2"/>
          <w:sz w:val="24"/>
          <w:szCs w:val="24"/>
        </w:rPr>
      </w:pPr>
      <w:r w:rsidRPr="00634D28">
        <w:rPr>
          <w:rFonts w:ascii="Times New Roman" w:hAnsi="Times New Roman" w:cs="Times New Roman" w:hint="eastAsia"/>
          <w:color w:val="000000"/>
          <w:kern w:val="2"/>
          <w:sz w:val="24"/>
          <w:szCs w:val="24"/>
        </w:rPr>
        <w:t>截至本报告期末，本基金已经连续二十个工作日以上出现基金资产净值低于五千万元的情形。</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40,104,000.00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90.64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40,104,000.00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90.64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2,442,632.48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1,698,452.08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3.84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44,245,084.56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34D28" w:rsidRPr="007F52FA" w:rsidRDefault="00634D28"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40,104,000.00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D7D72">
        <w:trPr>
          <w:jc w:val="center"/>
        </w:trPr>
        <w:tc>
          <w:tcPr>
            <w:tcW w:w="1075" w:type="dxa"/>
            <w:vAlign w:val="center"/>
          </w:tcPr>
          <w:p w:rsidR="00BD7D72" w:rsidRDefault="00240D98">
            <w:pPr>
              <w:jc w:val="center"/>
            </w:pPr>
            <w:r>
              <w:rPr>
                <w:color w:val="000000"/>
                <w:sz w:val="24"/>
              </w:rPr>
              <w:t>1</w:t>
            </w:r>
          </w:p>
        </w:tc>
        <w:tc>
          <w:tcPr>
            <w:tcW w:w="1533" w:type="dxa"/>
            <w:vAlign w:val="center"/>
          </w:tcPr>
          <w:p w:rsidR="00BD7D72" w:rsidRDefault="00240D98">
            <w:pPr>
              <w:jc w:val="center"/>
            </w:pPr>
            <w:r>
              <w:rPr>
                <w:color w:val="000000"/>
                <w:sz w:val="24"/>
              </w:rPr>
              <w:t>140220</w:t>
            </w:r>
          </w:p>
        </w:tc>
        <w:tc>
          <w:tcPr>
            <w:tcW w:w="1533" w:type="dxa"/>
            <w:vAlign w:val="center"/>
          </w:tcPr>
          <w:p w:rsidR="00BD7D72" w:rsidRDefault="00240D98">
            <w:pPr>
              <w:jc w:val="center"/>
            </w:pPr>
            <w:r>
              <w:rPr>
                <w:color w:val="000000"/>
                <w:sz w:val="24"/>
              </w:rPr>
              <w:t>14</w:t>
            </w:r>
            <w:r>
              <w:rPr>
                <w:color w:val="000000"/>
                <w:sz w:val="24"/>
              </w:rPr>
              <w:t>国开</w:t>
            </w:r>
            <w:r>
              <w:rPr>
                <w:color w:val="000000"/>
                <w:sz w:val="24"/>
              </w:rPr>
              <w:t>20</w:t>
            </w:r>
          </w:p>
        </w:tc>
        <w:tc>
          <w:tcPr>
            <w:tcW w:w="1394" w:type="dxa"/>
            <w:vAlign w:val="center"/>
          </w:tcPr>
          <w:p w:rsidR="00BD7D72" w:rsidRDefault="00240D98">
            <w:pPr>
              <w:jc w:val="right"/>
            </w:pPr>
            <w:r>
              <w:rPr>
                <w:color w:val="000000"/>
                <w:sz w:val="24"/>
              </w:rPr>
              <w:t>200,000</w:t>
            </w:r>
          </w:p>
        </w:tc>
        <w:tc>
          <w:tcPr>
            <w:tcW w:w="1944" w:type="dxa"/>
            <w:vAlign w:val="center"/>
          </w:tcPr>
          <w:p w:rsidR="00BD7D72" w:rsidRDefault="00240D98">
            <w:pPr>
              <w:jc w:val="right"/>
            </w:pPr>
            <w:r>
              <w:rPr>
                <w:color w:val="000000"/>
                <w:sz w:val="24"/>
              </w:rPr>
              <w:t>20,098,000.00</w:t>
            </w:r>
          </w:p>
        </w:tc>
        <w:tc>
          <w:tcPr>
            <w:tcW w:w="1389" w:type="dxa"/>
            <w:vAlign w:val="center"/>
          </w:tcPr>
          <w:p w:rsidR="00BD7D72" w:rsidRDefault="00240D98">
            <w:pPr>
              <w:jc w:val="right"/>
            </w:pPr>
            <w:r>
              <w:rPr>
                <w:color w:val="000000"/>
                <w:sz w:val="24"/>
              </w:rPr>
              <w:t>45.85</w:t>
            </w:r>
          </w:p>
        </w:tc>
      </w:tr>
      <w:tr w:rsidR="00BD7D72">
        <w:trPr>
          <w:jc w:val="center"/>
        </w:trPr>
        <w:tc>
          <w:tcPr>
            <w:tcW w:w="1075" w:type="dxa"/>
            <w:vAlign w:val="center"/>
          </w:tcPr>
          <w:p w:rsidR="00BD7D72" w:rsidRDefault="00240D98">
            <w:pPr>
              <w:jc w:val="center"/>
            </w:pPr>
            <w:r>
              <w:rPr>
                <w:color w:val="000000"/>
                <w:sz w:val="24"/>
              </w:rPr>
              <w:t>2</w:t>
            </w:r>
          </w:p>
        </w:tc>
        <w:tc>
          <w:tcPr>
            <w:tcW w:w="1533" w:type="dxa"/>
            <w:vAlign w:val="center"/>
          </w:tcPr>
          <w:p w:rsidR="00BD7D72" w:rsidRDefault="00240D98">
            <w:pPr>
              <w:jc w:val="center"/>
            </w:pPr>
            <w:r>
              <w:rPr>
                <w:color w:val="000000"/>
                <w:sz w:val="24"/>
              </w:rPr>
              <w:t>140208</w:t>
            </w:r>
          </w:p>
        </w:tc>
        <w:tc>
          <w:tcPr>
            <w:tcW w:w="1533" w:type="dxa"/>
            <w:vAlign w:val="center"/>
          </w:tcPr>
          <w:p w:rsidR="00BD7D72" w:rsidRDefault="00240D98">
            <w:pPr>
              <w:jc w:val="center"/>
            </w:pPr>
            <w:r>
              <w:rPr>
                <w:color w:val="000000"/>
                <w:sz w:val="24"/>
              </w:rPr>
              <w:t>14</w:t>
            </w:r>
            <w:r>
              <w:rPr>
                <w:color w:val="000000"/>
                <w:sz w:val="24"/>
              </w:rPr>
              <w:t>国开</w:t>
            </w:r>
            <w:r>
              <w:rPr>
                <w:color w:val="000000"/>
                <w:sz w:val="24"/>
              </w:rPr>
              <w:t>08</w:t>
            </w:r>
          </w:p>
        </w:tc>
        <w:tc>
          <w:tcPr>
            <w:tcW w:w="1394" w:type="dxa"/>
            <w:vAlign w:val="center"/>
          </w:tcPr>
          <w:p w:rsidR="00BD7D72" w:rsidRDefault="00240D98">
            <w:pPr>
              <w:jc w:val="right"/>
            </w:pPr>
            <w:r>
              <w:rPr>
                <w:color w:val="000000"/>
                <w:sz w:val="24"/>
              </w:rPr>
              <w:t>200,000</w:t>
            </w:r>
          </w:p>
        </w:tc>
        <w:tc>
          <w:tcPr>
            <w:tcW w:w="1944" w:type="dxa"/>
            <w:vAlign w:val="center"/>
          </w:tcPr>
          <w:p w:rsidR="00BD7D72" w:rsidRDefault="00240D98">
            <w:pPr>
              <w:jc w:val="right"/>
            </w:pPr>
            <w:r>
              <w:rPr>
                <w:color w:val="000000"/>
                <w:sz w:val="24"/>
              </w:rPr>
              <w:t>20,006,000.00</w:t>
            </w:r>
          </w:p>
        </w:tc>
        <w:tc>
          <w:tcPr>
            <w:tcW w:w="1389" w:type="dxa"/>
            <w:vAlign w:val="center"/>
          </w:tcPr>
          <w:p w:rsidR="00BD7D72" w:rsidRDefault="00240D98">
            <w:pPr>
              <w:jc w:val="right"/>
            </w:pPr>
            <w:r>
              <w:rPr>
                <w:color w:val="000000"/>
                <w:sz w:val="24"/>
              </w:rPr>
              <w:t>45.64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9,169.53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1,638,964.46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50,318.09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1,698,452.08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70,646,479.84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8,405,149.12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518,676.33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939,098.80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32,139,881.23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5,096,707.10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39,025,274.94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4,247,540.82</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D7D72" w:rsidRDefault="00240D9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65F" w:rsidRDefault="0030165F">
      <w:r>
        <w:separator/>
      </w:r>
    </w:p>
  </w:endnote>
  <w:endnote w:type="continuationSeparator" w:id="0">
    <w:p w:rsidR="0030165F" w:rsidRDefault="0030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5D64F6">
      <w:rPr>
        <w:noProof/>
        <w:kern w:val="0"/>
        <w:szCs w:val="21"/>
      </w:rPr>
      <w:t>6</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5D64F6">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65F" w:rsidRDefault="0030165F">
      <w:r>
        <w:separator/>
      </w:r>
    </w:p>
  </w:footnote>
  <w:footnote w:type="continuationSeparator" w:id="0">
    <w:p w:rsidR="0030165F" w:rsidRDefault="0030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5D64F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6216"/>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0D98"/>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165F"/>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375F4"/>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D64F6"/>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4D28"/>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245B"/>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D7D72"/>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3541"/>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0E52"/>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744B970-DB38-4390-9AC5-E6526A40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List Paragraph"/>
    <w:basedOn w:val="a"/>
    <w:uiPriority w:val="34"/>
    <w:qFormat/>
    <w:rsid w:val="00EE0E52"/>
    <w:pPr>
      <w:widowControl/>
      <w:ind w:firstLine="420"/>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167">
      <w:bodyDiv w:val="1"/>
      <w:marLeft w:val="0"/>
      <w:marRight w:val="0"/>
      <w:marTop w:val="0"/>
      <w:marBottom w:val="0"/>
      <w:divBdr>
        <w:top w:val="none" w:sz="0" w:space="0" w:color="auto"/>
        <w:left w:val="none" w:sz="0" w:space="0" w:color="auto"/>
        <w:bottom w:val="none" w:sz="0" w:space="0" w:color="auto"/>
        <w:right w:val="none" w:sz="0" w:space="0" w:color="auto"/>
      </w:divBdr>
    </w:div>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023675663">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A56D-F273-445F-B125-08C1295C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195</TotalTime>
  <Pages>14</Pages>
  <Words>1137</Words>
  <Characters>6481</Characters>
  <Application>Microsoft Office Word</Application>
  <DocSecurity>0</DocSecurity>
  <Lines>54</Lines>
  <Paragraphs>15</Paragraphs>
  <ScaleCrop>false</ScaleCrop>
  <Company>TRT. Ltd. Co.</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373</cp:revision>
  <cp:lastPrinted>2007-07-19T00:46:00Z</cp:lastPrinted>
  <dcterms:created xsi:type="dcterms:W3CDTF">2014-01-17T06:19:00Z</dcterms:created>
  <dcterms:modified xsi:type="dcterms:W3CDTF">2017-04-20T08:50:00Z</dcterms:modified>
</cp:coreProperties>
</file>