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490,317,916.40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284,885,333.13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205,432,583.27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2,538,998.19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2,218,071.79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6,830,906.70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5,827,308.03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332,871,552.11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243,120,301.95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1.183</w:t>
            </w:r>
          </w:p>
        </w:tc>
      </w:tr>
    </w:tbl>
    <w:p w:rsidR="00572411" w:rsidRDefault="003F55A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005825" w:rsidRDefault="00005825" w:rsidP="00005825">
      <w:pPr>
        <w:autoSpaceDE w:val="0"/>
        <w:autoSpaceDN w:val="0"/>
        <w:spacing w:before="29" w:line="288" w:lineRule="auto"/>
        <w:jc w:val="left"/>
        <w:rPr>
          <w:b/>
          <w:bCs/>
          <w:color w:val="000000"/>
          <w:kern w:val="0"/>
          <w:sz w:val="24"/>
        </w:rPr>
      </w:pPr>
      <w:r>
        <w:rPr>
          <w:b/>
          <w:bCs/>
          <w:color w:val="000000"/>
          <w:sz w:val="24"/>
        </w:rPr>
        <w:t xml:space="preserve">3.2 </w:t>
      </w:r>
      <w:r>
        <w:rPr>
          <w:rFonts w:ascii="宋体" w:hAnsi="宋体" w:hint="eastAsia"/>
          <w:b/>
          <w:bCs/>
          <w:color w:val="000000"/>
          <w:sz w:val="24"/>
        </w:rPr>
        <w:t>基金净值表现</w:t>
      </w:r>
    </w:p>
    <w:p w:rsidR="00005825" w:rsidRDefault="00005825" w:rsidP="00005825">
      <w:pPr>
        <w:autoSpaceDE w:val="0"/>
        <w:autoSpaceDN w:val="0"/>
        <w:spacing w:before="29" w:line="288" w:lineRule="auto"/>
        <w:jc w:val="left"/>
        <w:rPr>
          <w:b/>
          <w:bCs/>
          <w:color w:val="000000"/>
          <w:sz w:val="24"/>
        </w:rPr>
      </w:pPr>
      <w:r>
        <w:rPr>
          <w:b/>
          <w:bCs/>
          <w:color w:val="000000"/>
          <w:sz w:val="24"/>
        </w:rPr>
        <w:t xml:space="preserve">3.2.1 </w:t>
      </w:r>
      <w:r>
        <w:rPr>
          <w:rFonts w:ascii="宋体" w:hAnsi="宋体" w:hint="eastAsia"/>
          <w:b/>
          <w:bCs/>
          <w:color w:val="000000"/>
          <w:sz w:val="24"/>
        </w:rPr>
        <w:t>本报告期基金份额净值增长率及其与同期业绩比较基准收益率的比较</w:t>
      </w:r>
    </w:p>
    <w:p w:rsidR="00005825" w:rsidRDefault="00005825" w:rsidP="00005825">
      <w:pPr>
        <w:spacing w:before="29" w:line="288" w:lineRule="auto"/>
        <w:rPr>
          <w:b/>
          <w:bCs/>
          <w:sz w:val="24"/>
        </w:rPr>
      </w:pPr>
      <w:r>
        <w:rPr>
          <w:b/>
          <w:bCs/>
          <w:sz w:val="24"/>
        </w:rPr>
        <w:t>1</w:t>
      </w:r>
      <w:r>
        <w:rPr>
          <w:rFonts w:ascii="宋体" w:hAnsi="宋体" w:hint="eastAsia"/>
          <w:b/>
          <w:bCs/>
          <w:sz w:val="24"/>
        </w:rPr>
        <w:t>、</w:t>
      </w:r>
      <w:r>
        <w:rPr>
          <w:rFonts w:ascii="宋体" w:hAnsi="宋体" w:hint="eastAsia"/>
          <w:b/>
          <w:bCs/>
          <w:color w:val="000000"/>
          <w:sz w:val="24"/>
        </w:rPr>
        <w:t>交银周期回报灵活配置混合</w:t>
      </w:r>
      <w:r>
        <w:rPr>
          <w:b/>
          <w:bCs/>
          <w:color w:val="000000"/>
          <w:sz w:val="24"/>
        </w:rPr>
        <w:t>A</w:t>
      </w:r>
      <w:r>
        <w:rPr>
          <w:rFonts w:ascii="宋体" w:hAnsi="宋体" w:hint="eastAsia"/>
          <w:b/>
          <w:bCs/>
          <w:sz w:val="24"/>
        </w:rPr>
        <w:t>：</w:t>
      </w:r>
    </w:p>
    <w:tbl>
      <w:tblPr>
        <w:tblW w:w="8865" w:type="dxa"/>
        <w:jc w:val="center"/>
        <w:tblCellMar>
          <w:left w:w="0" w:type="dxa"/>
          <w:right w:w="0" w:type="dxa"/>
        </w:tblCellMar>
        <w:tblLook w:val="04A0" w:firstRow="1" w:lastRow="0" w:firstColumn="1" w:lastColumn="0" w:noHBand="0" w:noVBand="1"/>
      </w:tblPr>
      <w:tblGrid>
        <w:gridCol w:w="1248"/>
        <w:gridCol w:w="1269"/>
        <w:gridCol w:w="1268"/>
        <w:gridCol w:w="1269"/>
        <w:gridCol w:w="1269"/>
        <w:gridCol w:w="1269"/>
        <w:gridCol w:w="1273"/>
      </w:tblGrid>
      <w:tr w:rsidR="00005825" w:rsidTr="00005825">
        <w:trPr>
          <w:jc w:val="center"/>
        </w:trPr>
        <w:tc>
          <w:tcPr>
            <w:tcW w:w="1290"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阶段</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净值增长率①</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净值增长率标准差②</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业绩比较基准收益率③</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业绩比较基准收益率标准差④</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①－③</w:t>
            </w:r>
          </w:p>
        </w:tc>
        <w:tc>
          <w:tcPr>
            <w:tcW w:w="1291"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snapToGrid w:val="0"/>
              <w:spacing w:before="29" w:line="288" w:lineRule="auto"/>
              <w:jc w:val="center"/>
              <w:rPr>
                <w:color w:val="000000"/>
                <w:sz w:val="24"/>
              </w:rPr>
            </w:pPr>
            <w:r>
              <w:rPr>
                <w:rFonts w:ascii="宋体" w:hAnsi="宋体" w:hint="eastAsia"/>
                <w:color w:val="000000"/>
                <w:sz w:val="24"/>
              </w:rPr>
              <w:t>②－④</w:t>
            </w:r>
          </w:p>
        </w:tc>
      </w:tr>
      <w:tr w:rsidR="00005825" w:rsidTr="00005825">
        <w:trPr>
          <w:jc w:val="center"/>
        </w:trPr>
        <w:tc>
          <w:tcPr>
            <w:tcW w:w="1266"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left"/>
              <w:rPr>
                <w:szCs w:val="21"/>
              </w:rPr>
            </w:pPr>
            <w:r>
              <w:rPr>
                <w:rFonts w:ascii="宋体" w:hAnsi="宋体" w:hint="eastAsia"/>
                <w:color w:val="000000"/>
                <w:sz w:val="24"/>
              </w:rPr>
              <w:t>过去三个月</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2.09%</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0.11%</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1.56%</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0.27%</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0.53%</w:t>
            </w:r>
          </w:p>
        </w:tc>
        <w:tc>
          <w:tcPr>
            <w:tcW w:w="1267"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005825" w:rsidRDefault="00005825">
            <w:pPr>
              <w:jc w:val="center"/>
              <w:rPr>
                <w:sz w:val="20"/>
                <w:szCs w:val="20"/>
              </w:rP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bookmarkStart w:id="0" w:name="_GoBack"/>
      <w:bookmarkEnd w:id="0"/>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72411">
        <w:trPr>
          <w:jc w:val="center"/>
        </w:trPr>
        <w:tc>
          <w:tcPr>
            <w:tcW w:w="1266" w:type="dxa"/>
            <w:vAlign w:val="center"/>
          </w:tcPr>
          <w:p w:rsidR="00572411" w:rsidRDefault="003F55AB">
            <w:pPr>
              <w:jc w:val="left"/>
            </w:pPr>
            <w:r>
              <w:rPr>
                <w:color w:val="000000"/>
                <w:sz w:val="24"/>
              </w:rPr>
              <w:t>过去三个月</w:t>
            </w:r>
          </w:p>
        </w:tc>
        <w:tc>
          <w:tcPr>
            <w:tcW w:w="1267" w:type="dxa"/>
            <w:vAlign w:val="center"/>
          </w:tcPr>
          <w:p w:rsidR="00572411" w:rsidRDefault="003F55AB">
            <w:pPr>
              <w:jc w:val="center"/>
            </w:pPr>
            <w:r>
              <w:rPr>
                <w:color w:val="000000"/>
                <w:sz w:val="24"/>
              </w:rPr>
              <w:t>1.98%</w:t>
            </w:r>
          </w:p>
        </w:tc>
        <w:tc>
          <w:tcPr>
            <w:tcW w:w="1267" w:type="dxa"/>
            <w:vAlign w:val="center"/>
          </w:tcPr>
          <w:p w:rsidR="00572411" w:rsidRDefault="003F55AB">
            <w:pPr>
              <w:jc w:val="center"/>
            </w:pPr>
            <w:r>
              <w:rPr>
                <w:color w:val="000000"/>
                <w:sz w:val="24"/>
              </w:rPr>
              <w:t>0.11%</w:t>
            </w:r>
          </w:p>
        </w:tc>
        <w:tc>
          <w:tcPr>
            <w:tcW w:w="1267" w:type="dxa"/>
            <w:vAlign w:val="center"/>
          </w:tcPr>
          <w:p w:rsidR="00572411" w:rsidRDefault="003F55AB">
            <w:pPr>
              <w:jc w:val="center"/>
            </w:pPr>
            <w:r>
              <w:rPr>
                <w:color w:val="000000"/>
                <w:sz w:val="24"/>
              </w:rPr>
              <w:t>1.56%</w:t>
            </w:r>
          </w:p>
        </w:tc>
        <w:tc>
          <w:tcPr>
            <w:tcW w:w="1267" w:type="dxa"/>
            <w:vAlign w:val="center"/>
          </w:tcPr>
          <w:p w:rsidR="00572411" w:rsidRDefault="003F55AB">
            <w:pPr>
              <w:jc w:val="center"/>
            </w:pPr>
            <w:r>
              <w:rPr>
                <w:color w:val="000000"/>
                <w:sz w:val="24"/>
              </w:rPr>
              <w:t>0.27%</w:t>
            </w:r>
          </w:p>
        </w:tc>
        <w:tc>
          <w:tcPr>
            <w:tcW w:w="1267" w:type="dxa"/>
            <w:vAlign w:val="center"/>
          </w:tcPr>
          <w:p w:rsidR="00572411" w:rsidRDefault="003F55AB">
            <w:pPr>
              <w:jc w:val="center"/>
            </w:pPr>
            <w:r>
              <w:rPr>
                <w:color w:val="000000"/>
                <w:sz w:val="24"/>
              </w:rPr>
              <w:t>0.42%</w:t>
            </w:r>
          </w:p>
        </w:tc>
        <w:tc>
          <w:tcPr>
            <w:tcW w:w="1267" w:type="dxa"/>
            <w:vAlign w:val="center"/>
          </w:tcPr>
          <w:p w:rsidR="00572411" w:rsidRDefault="003F55AB">
            <w:pPr>
              <w:jc w:val="center"/>
            </w:pPr>
            <w:r>
              <w:rPr>
                <w:color w:val="000000"/>
                <w:sz w:val="24"/>
              </w:rPr>
              <w:t>-0.16%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72411">
        <w:trPr>
          <w:jc w:val="center"/>
        </w:trPr>
        <w:tc>
          <w:tcPr>
            <w:tcW w:w="946" w:type="dxa"/>
            <w:vAlign w:val="center"/>
          </w:tcPr>
          <w:p w:rsidR="00572411" w:rsidRDefault="003F55AB">
            <w:pPr>
              <w:jc w:val="center"/>
            </w:pPr>
            <w:r>
              <w:rPr>
                <w:color w:val="000000"/>
                <w:sz w:val="24"/>
              </w:rPr>
              <w:t>李娜</w:t>
            </w:r>
          </w:p>
        </w:tc>
        <w:tc>
          <w:tcPr>
            <w:tcW w:w="924" w:type="dxa"/>
            <w:vAlign w:val="center"/>
          </w:tcPr>
          <w:p w:rsidR="00572411" w:rsidRDefault="003F55AB">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02" w:type="dxa"/>
            <w:vAlign w:val="center"/>
          </w:tcPr>
          <w:p w:rsidR="00572411" w:rsidRDefault="003F55AB">
            <w:pPr>
              <w:jc w:val="center"/>
            </w:pPr>
            <w:r>
              <w:rPr>
                <w:color w:val="000000"/>
                <w:sz w:val="24"/>
              </w:rPr>
              <w:t>2015-08-04</w:t>
            </w:r>
          </w:p>
        </w:tc>
        <w:tc>
          <w:tcPr>
            <w:tcW w:w="1300" w:type="dxa"/>
            <w:vAlign w:val="center"/>
          </w:tcPr>
          <w:p w:rsidR="00572411" w:rsidRDefault="003F55AB">
            <w:pPr>
              <w:jc w:val="center"/>
            </w:pPr>
            <w:r>
              <w:rPr>
                <w:color w:val="000000"/>
                <w:sz w:val="24"/>
              </w:rPr>
              <w:t>-</w:t>
            </w:r>
          </w:p>
        </w:tc>
        <w:tc>
          <w:tcPr>
            <w:tcW w:w="1245" w:type="dxa"/>
            <w:vAlign w:val="center"/>
          </w:tcPr>
          <w:p w:rsidR="00572411" w:rsidRDefault="003F55AB">
            <w:pPr>
              <w:jc w:val="center"/>
            </w:pPr>
            <w:r>
              <w:rPr>
                <w:color w:val="000000"/>
                <w:sz w:val="24"/>
              </w:rPr>
              <w:t>7</w:t>
            </w:r>
            <w:r>
              <w:rPr>
                <w:color w:val="000000"/>
                <w:sz w:val="24"/>
              </w:rPr>
              <w:t>年</w:t>
            </w:r>
          </w:p>
        </w:tc>
        <w:tc>
          <w:tcPr>
            <w:tcW w:w="3251" w:type="dxa"/>
            <w:vAlign w:val="center"/>
          </w:tcPr>
          <w:p w:rsidR="00572411" w:rsidRDefault="003F55A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72411" w:rsidRDefault="003F55A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2411" w:rsidRDefault="003F55A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2411" w:rsidRDefault="003F55A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72411" w:rsidRDefault="003F55AB">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572411" w:rsidRDefault="003F55AB">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1.168</w:t>
      </w:r>
      <w:r w:rsidRPr="007F52FA">
        <w:rPr>
          <w:color w:val="000000"/>
          <w:sz w:val="24"/>
        </w:rPr>
        <w:t>元，本报告期份额净值增长率为</w:t>
      </w:r>
      <w:r w:rsidR="008A74B4">
        <w:rPr>
          <w:color w:val="000000"/>
          <w:sz w:val="24"/>
        </w:rPr>
        <w:t>2.09</w:t>
      </w:r>
      <w:r w:rsidRPr="007F52FA">
        <w:rPr>
          <w:color w:val="000000"/>
          <w:sz w:val="24"/>
        </w:rPr>
        <w:t>%</w:t>
      </w:r>
      <w:r w:rsidRPr="007F52FA">
        <w:rPr>
          <w:color w:val="000000"/>
          <w:sz w:val="24"/>
        </w:rPr>
        <w:t>，同期业绩比较基准增长率为</w:t>
      </w:r>
      <w:r w:rsidR="008A74B4">
        <w:rPr>
          <w:color w:val="000000"/>
          <w:sz w:val="24"/>
        </w:rPr>
        <w:t>1.56</w:t>
      </w:r>
      <w:r w:rsidRPr="007F52FA">
        <w:rPr>
          <w:color w:val="000000"/>
          <w:sz w:val="24"/>
        </w:rPr>
        <w:t>%</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1.183</w:t>
      </w:r>
      <w:r w:rsidRPr="007F52FA">
        <w:rPr>
          <w:color w:val="000000"/>
          <w:sz w:val="24"/>
        </w:rPr>
        <w:t>元，本报告期份额净值增长率为</w:t>
      </w:r>
      <w:r w:rsidRPr="007F52FA">
        <w:rPr>
          <w:color w:val="000000"/>
          <w:sz w:val="24"/>
        </w:rPr>
        <w:t>1.98%</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123,215,887.64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123,215,887.64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453,214,568.00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453,214,568.00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77.21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5,111,019.53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5,477,748.30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587,019,223.47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71,430,962.69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1,817,554.59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10,669,500.00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1,027,200.00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0.18</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38,253,740.20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123,215,887.64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21.39</w:t>
            </w:r>
          </w:p>
        </w:tc>
      </w:tr>
    </w:tbl>
    <w:p w:rsidR="00ED37D7" w:rsidRDefault="00ED37D7"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72411">
        <w:trPr>
          <w:jc w:val="center"/>
        </w:trPr>
        <w:tc>
          <w:tcPr>
            <w:tcW w:w="850" w:type="dxa"/>
            <w:vAlign w:val="center"/>
          </w:tcPr>
          <w:p w:rsidR="00572411" w:rsidRDefault="003F55AB">
            <w:pPr>
              <w:jc w:val="center"/>
            </w:pPr>
            <w:r>
              <w:rPr>
                <w:color w:val="000000"/>
                <w:sz w:val="24"/>
              </w:rPr>
              <w:t>1</w:t>
            </w:r>
          </w:p>
        </w:tc>
        <w:tc>
          <w:tcPr>
            <w:tcW w:w="1327" w:type="dxa"/>
            <w:vAlign w:val="center"/>
          </w:tcPr>
          <w:p w:rsidR="00572411" w:rsidRDefault="003F55AB">
            <w:pPr>
              <w:jc w:val="center"/>
            </w:pPr>
            <w:r>
              <w:rPr>
                <w:color w:val="000000"/>
                <w:sz w:val="24"/>
              </w:rPr>
              <w:t>000423</w:t>
            </w:r>
          </w:p>
        </w:tc>
        <w:tc>
          <w:tcPr>
            <w:tcW w:w="1769" w:type="dxa"/>
            <w:vAlign w:val="center"/>
          </w:tcPr>
          <w:p w:rsidR="00572411" w:rsidRDefault="003F55AB">
            <w:pPr>
              <w:jc w:val="center"/>
            </w:pPr>
            <w:r>
              <w:rPr>
                <w:color w:val="000000"/>
                <w:sz w:val="24"/>
              </w:rPr>
              <w:t>东阿阿胶</w:t>
            </w:r>
          </w:p>
        </w:tc>
        <w:tc>
          <w:tcPr>
            <w:tcW w:w="1327" w:type="dxa"/>
            <w:vAlign w:val="center"/>
          </w:tcPr>
          <w:p w:rsidR="00572411" w:rsidRDefault="003F55AB">
            <w:pPr>
              <w:jc w:val="right"/>
            </w:pPr>
            <w:r>
              <w:rPr>
                <w:color w:val="000000"/>
                <w:sz w:val="24"/>
              </w:rPr>
              <w:t>200,000</w:t>
            </w:r>
          </w:p>
        </w:tc>
        <w:tc>
          <w:tcPr>
            <w:tcW w:w="1915" w:type="dxa"/>
            <w:vAlign w:val="center"/>
          </w:tcPr>
          <w:p w:rsidR="00572411" w:rsidRDefault="003F55AB">
            <w:pPr>
              <w:jc w:val="right"/>
            </w:pPr>
            <w:r>
              <w:rPr>
                <w:color w:val="000000"/>
                <w:sz w:val="24"/>
              </w:rPr>
              <w:t>13,120,000.00</w:t>
            </w:r>
          </w:p>
        </w:tc>
        <w:tc>
          <w:tcPr>
            <w:tcW w:w="1680" w:type="dxa"/>
            <w:vAlign w:val="center"/>
          </w:tcPr>
          <w:p w:rsidR="00572411" w:rsidRDefault="003F55AB">
            <w:pPr>
              <w:jc w:val="right"/>
            </w:pPr>
            <w:r>
              <w:rPr>
                <w:color w:val="000000"/>
                <w:sz w:val="24"/>
              </w:rPr>
              <w:t>2.28</w:t>
            </w:r>
          </w:p>
        </w:tc>
      </w:tr>
      <w:tr w:rsidR="00572411">
        <w:trPr>
          <w:jc w:val="center"/>
        </w:trPr>
        <w:tc>
          <w:tcPr>
            <w:tcW w:w="850" w:type="dxa"/>
            <w:vAlign w:val="center"/>
          </w:tcPr>
          <w:p w:rsidR="00572411" w:rsidRDefault="003F55AB">
            <w:pPr>
              <w:jc w:val="center"/>
            </w:pPr>
            <w:r>
              <w:rPr>
                <w:color w:val="000000"/>
                <w:sz w:val="24"/>
              </w:rPr>
              <w:t>2</w:t>
            </w:r>
          </w:p>
        </w:tc>
        <w:tc>
          <w:tcPr>
            <w:tcW w:w="1327" w:type="dxa"/>
            <w:vAlign w:val="center"/>
          </w:tcPr>
          <w:p w:rsidR="00572411" w:rsidRDefault="003F55AB">
            <w:pPr>
              <w:jc w:val="center"/>
            </w:pPr>
            <w:r>
              <w:rPr>
                <w:color w:val="000000"/>
                <w:sz w:val="24"/>
              </w:rPr>
              <w:t>601398</w:t>
            </w:r>
          </w:p>
        </w:tc>
        <w:tc>
          <w:tcPr>
            <w:tcW w:w="1769" w:type="dxa"/>
            <w:vAlign w:val="center"/>
          </w:tcPr>
          <w:p w:rsidR="00572411" w:rsidRDefault="003F55AB">
            <w:pPr>
              <w:jc w:val="center"/>
            </w:pPr>
            <w:r>
              <w:rPr>
                <w:color w:val="000000"/>
                <w:sz w:val="24"/>
              </w:rPr>
              <w:t>工商银行</w:t>
            </w:r>
          </w:p>
        </w:tc>
        <w:tc>
          <w:tcPr>
            <w:tcW w:w="1327" w:type="dxa"/>
            <w:vAlign w:val="center"/>
          </w:tcPr>
          <w:p w:rsidR="00572411" w:rsidRDefault="003F55AB">
            <w:pPr>
              <w:jc w:val="right"/>
            </w:pPr>
            <w:r>
              <w:rPr>
                <w:color w:val="000000"/>
                <w:sz w:val="24"/>
              </w:rPr>
              <w:t>2,479,905</w:t>
            </w:r>
          </w:p>
        </w:tc>
        <w:tc>
          <w:tcPr>
            <w:tcW w:w="1915" w:type="dxa"/>
            <w:vAlign w:val="center"/>
          </w:tcPr>
          <w:p w:rsidR="00572411" w:rsidRDefault="003F55AB">
            <w:pPr>
              <w:jc w:val="right"/>
            </w:pPr>
            <w:r>
              <w:rPr>
                <w:color w:val="000000"/>
                <w:sz w:val="24"/>
              </w:rPr>
              <w:t>12,002,740.20</w:t>
            </w:r>
          </w:p>
        </w:tc>
        <w:tc>
          <w:tcPr>
            <w:tcW w:w="1680" w:type="dxa"/>
            <w:vAlign w:val="center"/>
          </w:tcPr>
          <w:p w:rsidR="00572411" w:rsidRDefault="003F55AB">
            <w:pPr>
              <w:jc w:val="right"/>
            </w:pPr>
            <w:r>
              <w:rPr>
                <w:color w:val="000000"/>
                <w:sz w:val="24"/>
              </w:rPr>
              <w:t>2.08</w:t>
            </w:r>
          </w:p>
        </w:tc>
      </w:tr>
      <w:tr w:rsidR="00572411">
        <w:trPr>
          <w:jc w:val="center"/>
        </w:trPr>
        <w:tc>
          <w:tcPr>
            <w:tcW w:w="850" w:type="dxa"/>
            <w:vAlign w:val="center"/>
          </w:tcPr>
          <w:p w:rsidR="00572411" w:rsidRDefault="003F55AB">
            <w:pPr>
              <w:jc w:val="center"/>
            </w:pPr>
            <w:r>
              <w:rPr>
                <w:color w:val="000000"/>
                <w:sz w:val="24"/>
              </w:rPr>
              <w:t>3</w:t>
            </w:r>
          </w:p>
        </w:tc>
        <w:tc>
          <w:tcPr>
            <w:tcW w:w="1327" w:type="dxa"/>
            <w:vAlign w:val="center"/>
          </w:tcPr>
          <w:p w:rsidR="00572411" w:rsidRDefault="003F55AB">
            <w:pPr>
              <w:jc w:val="center"/>
            </w:pPr>
            <w:r>
              <w:rPr>
                <w:color w:val="000000"/>
                <w:sz w:val="24"/>
              </w:rPr>
              <w:t>000858</w:t>
            </w:r>
          </w:p>
        </w:tc>
        <w:tc>
          <w:tcPr>
            <w:tcW w:w="1769" w:type="dxa"/>
            <w:vAlign w:val="center"/>
          </w:tcPr>
          <w:p w:rsidR="00572411" w:rsidRDefault="003F55AB">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572411" w:rsidRDefault="003F55AB">
            <w:pPr>
              <w:jc w:val="right"/>
            </w:pPr>
            <w:r>
              <w:rPr>
                <w:color w:val="000000"/>
                <w:sz w:val="24"/>
              </w:rPr>
              <w:t>200,000</w:t>
            </w:r>
          </w:p>
        </w:tc>
        <w:tc>
          <w:tcPr>
            <w:tcW w:w="1915" w:type="dxa"/>
            <w:vAlign w:val="center"/>
          </w:tcPr>
          <w:p w:rsidR="00572411" w:rsidRDefault="003F55AB">
            <w:pPr>
              <w:jc w:val="right"/>
            </w:pPr>
            <w:r>
              <w:rPr>
                <w:color w:val="000000"/>
                <w:sz w:val="24"/>
              </w:rPr>
              <w:t>8,600,000.00</w:t>
            </w:r>
          </w:p>
        </w:tc>
        <w:tc>
          <w:tcPr>
            <w:tcW w:w="1680" w:type="dxa"/>
            <w:vAlign w:val="center"/>
          </w:tcPr>
          <w:p w:rsidR="00572411" w:rsidRDefault="003F55AB">
            <w:pPr>
              <w:jc w:val="right"/>
            </w:pPr>
            <w:r>
              <w:rPr>
                <w:color w:val="000000"/>
                <w:sz w:val="24"/>
              </w:rPr>
              <w:t>1.49</w:t>
            </w:r>
          </w:p>
        </w:tc>
      </w:tr>
      <w:tr w:rsidR="00572411">
        <w:trPr>
          <w:jc w:val="center"/>
        </w:trPr>
        <w:tc>
          <w:tcPr>
            <w:tcW w:w="850" w:type="dxa"/>
            <w:vAlign w:val="center"/>
          </w:tcPr>
          <w:p w:rsidR="00572411" w:rsidRDefault="003F55AB">
            <w:pPr>
              <w:jc w:val="center"/>
            </w:pPr>
            <w:r>
              <w:rPr>
                <w:color w:val="000000"/>
                <w:sz w:val="24"/>
              </w:rPr>
              <w:t>4</w:t>
            </w:r>
          </w:p>
        </w:tc>
        <w:tc>
          <w:tcPr>
            <w:tcW w:w="1327" w:type="dxa"/>
            <w:vAlign w:val="center"/>
          </w:tcPr>
          <w:p w:rsidR="00572411" w:rsidRDefault="003F55AB">
            <w:pPr>
              <w:jc w:val="center"/>
            </w:pPr>
            <w:r>
              <w:rPr>
                <w:color w:val="000000"/>
                <w:sz w:val="24"/>
              </w:rPr>
              <w:t>600887</w:t>
            </w:r>
          </w:p>
        </w:tc>
        <w:tc>
          <w:tcPr>
            <w:tcW w:w="1769" w:type="dxa"/>
            <w:vAlign w:val="center"/>
          </w:tcPr>
          <w:p w:rsidR="00572411" w:rsidRDefault="003F55AB">
            <w:pPr>
              <w:jc w:val="center"/>
            </w:pPr>
            <w:r>
              <w:rPr>
                <w:color w:val="000000"/>
                <w:sz w:val="24"/>
              </w:rPr>
              <w:t>伊利股份</w:t>
            </w:r>
          </w:p>
        </w:tc>
        <w:tc>
          <w:tcPr>
            <w:tcW w:w="1327" w:type="dxa"/>
            <w:vAlign w:val="center"/>
          </w:tcPr>
          <w:p w:rsidR="00572411" w:rsidRDefault="003F55AB">
            <w:pPr>
              <w:jc w:val="right"/>
            </w:pPr>
            <w:r>
              <w:rPr>
                <w:color w:val="000000"/>
                <w:sz w:val="24"/>
              </w:rPr>
              <w:t>450,000</w:t>
            </w:r>
          </w:p>
        </w:tc>
        <w:tc>
          <w:tcPr>
            <w:tcW w:w="1915" w:type="dxa"/>
            <w:vAlign w:val="center"/>
          </w:tcPr>
          <w:p w:rsidR="00572411" w:rsidRDefault="003F55AB">
            <w:pPr>
              <w:jc w:val="right"/>
            </w:pPr>
            <w:r>
              <w:rPr>
                <w:color w:val="000000"/>
                <w:sz w:val="24"/>
              </w:rPr>
              <w:t>8,509,500.00</w:t>
            </w:r>
          </w:p>
        </w:tc>
        <w:tc>
          <w:tcPr>
            <w:tcW w:w="1680" w:type="dxa"/>
            <w:vAlign w:val="center"/>
          </w:tcPr>
          <w:p w:rsidR="00572411" w:rsidRDefault="003F55AB">
            <w:pPr>
              <w:jc w:val="right"/>
            </w:pPr>
            <w:r>
              <w:rPr>
                <w:color w:val="000000"/>
                <w:sz w:val="24"/>
              </w:rPr>
              <w:t>1.48</w:t>
            </w:r>
          </w:p>
        </w:tc>
      </w:tr>
      <w:tr w:rsidR="00572411">
        <w:trPr>
          <w:jc w:val="center"/>
        </w:trPr>
        <w:tc>
          <w:tcPr>
            <w:tcW w:w="850" w:type="dxa"/>
            <w:vAlign w:val="center"/>
          </w:tcPr>
          <w:p w:rsidR="00572411" w:rsidRDefault="003F55AB">
            <w:pPr>
              <w:jc w:val="center"/>
            </w:pPr>
            <w:r>
              <w:rPr>
                <w:color w:val="000000"/>
                <w:sz w:val="24"/>
              </w:rPr>
              <w:t>5</w:t>
            </w:r>
          </w:p>
        </w:tc>
        <w:tc>
          <w:tcPr>
            <w:tcW w:w="1327" w:type="dxa"/>
            <w:vAlign w:val="center"/>
          </w:tcPr>
          <w:p w:rsidR="00572411" w:rsidRDefault="003F55AB">
            <w:pPr>
              <w:jc w:val="center"/>
            </w:pPr>
            <w:r>
              <w:rPr>
                <w:color w:val="000000"/>
                <w:sz w:val="24"/>
              </w:rPr>
              <w:t>000963</w:t>
            </w:r>
          </w:p>
        </w:tc>
        <w:tc>
          <w:tcPr>
            <w:tcW w:w="1769" w:type="dxa"/>
            <w:vAlign w:val="center"/>
          </w:tcPr>
          <w:p w:rsidR="00572411" w:rsidRDefault="003F55AB">
            <w:pPr>
              <w:jc w:val="center"/>
            </w:pPr>
            <w:r>
              <w:rPr>
                <w:color w:val="000000"/>
                <w:sz w:val="24"/>
              </w:rPr>
              <w:t>华东医药</w:t>
            </w:r>
          </w:p>
        </w:tc>
        <w:tc>
          <w:tcPr>
            <w:tcW w:w="1327" w:type="dxa"/>
            <w:vAlign w:val="center"/>
          </w:tcPr>
          <w:p w:rsidR="00572411" w:rsidRDefault="003F55AB">
            <w:pPr>
              <w:jc w:val="right"/>
            </w:pPr>
            <w:r>
              <w:rPr>
                <w:color w:val="000000"/>
                <w:sz w:val="24"/>
              </w:rPr>
              <w:t>90,000</w:t>
            </w:r>
          </w:p>
        </w:tc>
        <w:tc>
          <w:tcPr>
            <w:tcW w:w="1915" w:type="dxa"/>
            <w:vAlign w:val="center"/>
          </w:tcPr>
          <w:p w:rsidR="00572411" w:rsidRDefault="003F55AB">
            <w:pPr>
              <w:jc w:val="right"/>
            </w:pPr>
            <w:r>
              <w:rPr>
                <w:color w:val="000000"/>
                <w:sz w:val="24"/>
              </w:rPr>
              <w:t>8,338,500.00</w:t>
            </w:r>
          </w:p>
        </w:tc>
        <w:tc>
          <w:tcPr>
            <w:tcW w:w="1680" w:type="dxa"/>
            <w:vAlign w:val="center"/>
          </w:tcPr>
          <w:p w:rsidR="00572411" w:rsidRDefault="003F55AB">
            <w:pPr>
              <w:jc w:val="right"/>
            </w:pPr>
            <w:r>
              <w:rPr>
                <w:color w:val="000000"/>
                <w:sz w:val="24"/>
              </w:rPr>
              <w:t>1.45</w:t>
            </w:r>
          </w:p>
        </w:tc>
      </w:tr>
      <w:tr w:rsidR="00572411">
        <w:trPr>
          <w:jc w:val="center"/>
        </w:trPr>
        <w:tc>
          <w:tcPr>
            <w:tcW w:w="850" w:type="dxa"/>
            <w:vAlign w:val="center"/>
          </w:tcPr>
          <w:p w:rsidR="00572411" w:rsidRDefault="003F55AB">
            <w:pPr>
              <w:jc w:val="center"/>
            </w:pPr>
            <w:r>
              <w:rPr>
                <w:color w:val="000000"/>
                <w:sz w:val="24"/>
              </w:rPr>
              <w:t>6</w:t>
            </w:r>
          </w:p>
        </w:tc>
        <w:tc>
          <w:tcPr>
            <w:tcW w:w="1327" w:type="dxa"/>
            <w:vAlign w:val="center"/>
          </w:tcPr>
          <w:p w:rsidR="00572411" w:rsidRDefault="003F55AB">
            <w:pPr>
              <w:jc w:val="center"/>
            </w:pPr>
            <w:r>
              <w:rPr>
                <w:color w:val="000000"/>
                <w:sz w:val="24"/>
              </w:rPr>
              <w:t>002142</w:t>
            </w:r>
          </w:p>
        </w:tc>
        <w:tc>
          <w:tcPr>
            <w:tcW w:w="1769" w:type="dxa"/>
            <w:vAlign w:val="center"/>
          </w:tcPr>
          <w:p w:rsidR="00572411" w:rsidRDefault="003F55AB">
            <w:pPr>
              <w:jc w:val="center"/>
            </w:pPr>
            <w:r>
              <w:rPr>
                <w:color w:val="000000"/>
                <w:sz w:val="24"/>
              </w:rPr>
              <w:t>宁波银行</w:t>
            </w:r>
          </w:p>
        </w:tc>
        <w:tc>
          <w:tcPr>
            <w:tcW w:w="1327" w:type="dxa"/>
            <w:vAlign w:val="center"/>
          </w:tcPr>
          <w:p w:rsidR="00572411" w:rsidRDefault="003F55AB">
            <w:pPr>
              <w:jc w:val="right"/>
            </w:pPr>
            <w:r>
              <w:rPr>
                <w:color w:val="000000"/>
                <w:sz w:val="24"/>
              </w:rPr>
              <w:t>450,000</w:t>
            </w:r>
          </w:p>
        </w:tc>
        <w:tc>
          <w:tcPr>
            <w:tcW w:w="1915" w:type="dxa"/>
            <w:vAlign w:val="center"/>
          </w:tcPr>
          <w:p w:rsidR="00572411" w:rsidRDefault="003F55AB">
            <w:pPr>
              <w:jc w:val="right"/>
            </w:pPr>
            <w:r>
              <w:rPr>
                <w:color w:val="000000"/>
                <w:sz w:val="24"/>
              </w:rPr>
              <w:t>8,289,000.00</w:t>
            </w:r>
          </w:p>
        </w:tc>
        <w:tc>
          <w:tcPr>
            <w:tcW w:w="1680" w:type="dxa"/>
            <w:vAlign w:val="center"/>
          </w:tcPr>
          <w:p w:rsidR="00572411" w:rsidRDefault="003F55AB">
            <w:pPr>
              <w:jc w:val="right"/>
            </w:pPr>
            <w:r>
              <w:rPr>
                <w:color w:val="000000"/>
                <w:sz w:val="24"/>
              </w:rPr>
              <w:t>1.44</w:t>
            </w:r>
          </w:p>
        </w:tc>
      </w:tr>
      <w:tr w:rsidR="00572411">
        <w:trPr>
          <w:jc w:val="center"/>
        </w:trPr>
        <w:tc>
          <w:tcPr>
            <w:tcW w:w="850" w:type="dxa"/>
            <w:vAlign w:val="center"/>
          </w:tcPr>
          <w:p w:rsidR="00572411" w:rsidRDefault="003F55AB">
            <w:pPr>
              <w:jc w:val="center"/>
            </w:pPr>
            <w:r>
              <w:rPr>
                <w:color w:val="000000"/>
                <w:sz w:val="24"/>
              </w:rPr>
              <w:t>7</w:t>
            </w:r>
          </w:p>
        </w:tc>
        <w:tc>
          <w:tcPr>
            <w:tcW w:w="1327" w:type="dxa"/>
            <w:vAlign w:val="center"/>
          </w:tcPr>
          <w:p w:rsidR="00572411" w:rsidRDefault="003F55AB">
            <w:pPr>
              <w:jc w:val="center"/>
            </w:pPr>
            <w:r>
              <w:rPr>
                <w:color w:val="000000"/>
                <w:sz w:val="24"/>
              </w:rPr>
              <w:t>000001</w:t>
            </w:r>
          </w:p>
        </w:tc>
        <w:tc>
          <w:tcPr>
            <w:tcW w:w="1769" w:type="dxa"/>
            <w:vAlign w:val="center"/>
          </w:tcPr>
          <w:p w:rsidR="00572411" w:rsidRDefault="003F55AB">
            <w:pPr>
              <w:jc w:val="center"/>
            </w:pPr>
            <w:r>
              <w:rPr>
                <w:color w:val="000000"/>
                <w:sz w:val="24"/>
              </w:rPr>
              <w:t>平安银行</w:t>
            </w:r>
          </w:p>
        </w:tc>
        <w:tc>
          <w:tcPr>
            <w:tcW w:w="1327" w:type="dxa"/>
            <w:vAlign w:val="center"/>
          </w:tcPr>
          <w:p w:rsidR="00572411" w:rsidRDefault="003F55AB">
            <w:pPr>
              <w:jc w:val="right"/>
            </w:pPr>
            <w:r>
              <w:rPr>
                <w:color w:val="000000"/>
                <w:sz w:val="24"/>
              </w:rPr>
              <w:t>900,000</w:t>
            </w:r>
          </w:p>
        </w:tc>
        <w:tc>
          <w:tcPr>
            <w:tcW w:w="1915" w:type="dxa"/>
            <w:vAlign w:val="center"/>
          </w:tcPr>
          <w:p w:rsidR="00572411" w:rsidRDefault="003F55AB">
            <w:pPr>
              <w:jc w:val="right"/>
            </w:pPr>
            <w:r>
              <w:rPr>
                <w:color w:val="000000"/>
                <w:sz w:val="24"/>
              </w:rPr>
              <w:t>8,253,000.00</w:t>
            </w:r>
          </w:p>
        </w:tc>
        <w:tc>
          <w:tcPr>
            <w:tcW w:w="1680" w:type="dxa"/>
            <w:vAlign w:val="center"/>
          </w:tcPr>
          <w:p w:rsidR="00572411" w:rsidRDefault="003F55AB">
            <w:pPr>
              <w:jc w:val="right"/>
            </w:pPr>
            <w:r>
              <w:rPr>
                <w:color w:val="000000"/>
                <w:sz w:val="24"/>
              </w:rPr>
              <w:t>1.43</w:t>
            </w:r>
          </w:p>
        </w:tc>
      </w:tr>
      <w:tr w:rsidR="00572411">
        <w:trPr>
          <w:jc w:val="center"/>
        </w:trPr>
        <w:tc>
          <w:tcPr>
            <w:tcW w:w="850" w:type="dxa"/>
            <w:vAlign w:val="center"/>
          </w:tcPr>
          <w:p w:rsidR="00572411" w:rsidRDefault="003F55AB">
            <w:pPr>
              <w:jc w:val="center"/>
            </w:pPr>
            <w:r>
              <w:rPr>
                <w:color w:val="000000"/>
                <w:sz w:val="24"/>
              </w:rPr>
              <w:t>8</w:t>
            </w:r>
          </w:p>
        </w:tc>
        <w:tc>
          <w:tcPr>
            <w:tcW w:w="1327" w:type="dxa"/>
            <w:vAlign w:val="center"/>
          </w:tcPr>
          <w:p w:rsidR="00572411" w:rsidRDefault="003F55AB">
            <w:pPr>
              <w:jc w:val="center"/>
            </w:pPr>
            <w:r>
              <w:rPr>
                <w:color w:val="000000"/>
                <w:sz w:val="24"/>
              </w:rPr>
              <w:t>600519</w:t>
            </w:r>
          </w:p>
        </w:tc>
        <w:tc>
          <w:tcPr>
            <w:tcW w:w="1769" w:type="dxa"/>
            <w:vAlign w:val="center"/>
          </w:tcPr>
          <w:p w:rsidR="00572411" w:rsidRDefault="003F55AB">
            <w:pPr>
              <w:jc w:val="center"/>
            </w:pPr>
            <w:r>
              <w:rPr>
                <w:color w:val="000000"/>
                <w:sz w:val="24"/>
              </w:rPr>
              <w:t>贵州茅台</w:t>
            </w:r>
          </w:p>
        </w:tc>
        <w:tc>
          <w:tcPr>
            <w:tcW w:w="1327" w:type="dxa"/>
            <w:vAlign w:val="center"/>
          </w:tcPr>
          <w:p w:rsidR="00572411" w:rsidRDefault="003F55AB">
            <w:pPr>
              <w:jc w:val="right"/>
            </w:pPr>
            <w:r>
              <w:rPr>
                <w:color w:val="000000"/>
                <w:sz w:val="24"/>
              </w:rPr>
              <w:t>13,000</w:t>
            </w:r>
          </w:p>
        </w:tc>
        <w:tc>
          <w:tcPr>
            <w:tcW w:w="1915" w:type="dxa"/>
            <w:vAlign w:val="center"/>
          </w:tcPr>
          <w:p w:rsidR="00572411" w:rsidRDefault="003F55AB">
            <w:pPr>
              <w:jc w:val="right"/>
            </w:pPr>
            <w:r>
              <w:rPr>
                <w:color w:val="000000"/>
                <w:sz w:val="24"/>
              </w:rPr>
              <w:t>5,022,680.00</w:t>
            </w:r>
          </w:p>
        </w:tc>
        <w:tc>
          <w:tcPr>
            <w:tcW w:w="1680" w:type="dxa"/>
            <w:vAlign w:val="center"/>
          </w:tcPr>
          <w:p w:rsidR="00572411" w:rsidRDefault="003F55AB">
            <w:pPr>
              <w:jc w:val="right"/>
            </w:pPr>
            <w:r>
              <w:rPr>
                <w:color w:val="000000"/>
                <w:sz w:val="24"/>
              </w:rPr>
              <w:t>0.87</w:t>
            </w:r>
          </w:p>
        </w:tc>
      </w:tr>
      <w:tr w:rsidR="00572411">
        <w:trPr>
          <w:jc w:val="center"/>
        </w:trPr>
        <w:tc>
          <w:tcPr>
            <w:tcW w:w="850" w:type="dxa"/>
            <w:vAlign w:val="center"/>
          </w:tcPr>
          <w:p w:rsidR="00572411" w:rsidRDefault="003F55AB">
            <w:pPr>
              <w:jc w:val="center"/>
            </w:pPr>
            <w:r>
              <w:rPr>
                <w:color w:val="000000"/>
                <w:sz w:val="24"/>
              </w:rPr>
              <w:t>9</w:t>
            </w:r>
          </w:p>
        </w:tc>
        <w:tc>
          <w:tcPr>
            <w:tcW w:w="1327" w:type="dxa"/>
            <w:vAlign w:val="center"/>
          </w:tcPr>
          <w:p w:rsidR="00572411" w:rsidRDefault="003F55AB">
            <w:pPr>
              <w:jc w:val="center"/>
            </w:pPr>
            <w:r>
              <w:rPr>
                <w:color w:val="000000"/>
                <w:sz w:val="24"/>
              </w:rPr>
              <w:t>600056</w:t>
            </w:r>
          </w:p>
        </w:tc>
        <w:tc>
          <w:tcPr>
            <w:tcW w:w="1769" w:type="dxa"/>
            <w:vAlign w:val="center"/>
          </w:tcPr>
          <w:p w:rsidR="00572411" w:rsidRDefault="003F55AB">
            <w:pPr>
              <w:jc w:val="center"/>
            </w:pPr>
            <w:r>
              <w:rPr>
                <w:color w:val="000000"/>
                <w:sz w:val="24"/>
              </w:rPr>
              <w:t>中国医药</w:t>
            </w:r>
          </w:p>
        </w:tc>
        <w:tc>
          <w:tcPr>
            <w:tcW w:w="1327" w:type="dxa"/>
            <w:vAlign w:val="center"/>
          </w:tcPr>
          <w:p w:rsidR="00572411" w:rsidRDefault="003F55AB">
            <w:pPr>
              <w:jc w:val="right"/>
            </w:pPr>
            <w:r>
              <w:rPr>
                <w:color w:val="000000"/>
                <w:sz w:val="24"/>
              </w:rPr>
              <w:t>190,000</w:t>
            </w:r>
          </w:p>
        </w:tc>
        <w:tc>
          <w:tcPr>
            <w:tcW w:w="1915" w:type="dxa"/>
            <w:vAlign w:val="center"/>
          </w:tcPr>
          <w:p w:rsidR="00572411" w:rsidRDefault="003F55AB">
            <w:pPr>
              <w:jc w:val="right"/>
            </w:pPr>
            <w:r>
              <w:rPr>
                <w:color w:val="000000"/>
                <w:sz w:val="24"/>
              </w:rPr>
              <w:t>4,491,600.00</w:t>
            </w:r>
          </w:p>
        </w:tc>
        <w:tc>
          <w:tcPr>
            <w:tcW w:w="1680" w:type="dxa"/>
            <w:vAlign w:val="center"/>
          </w:tcPr>
          <w:p w:rsidR="00572411" w:rsidRDefault="003F55AB">
            <w:pPr>
              <w:jc w:val="right"/>
            </w:pPr>
            <w:r>
              <w:rPr>
                <w:color w:val="000000"/>
                <w:sz w:val="24"/>
              </w:rPr>
              <w:t>0.78</w:t>
            </w:r>
          </w:p>
        </w:tc>
      </w:tr>
      <w:tr w:rsidR="00572411">
        <w:trPr>
          <w:jc w:val="center"/>
        </w:trPr>
        <w:tc>
          <w:tcPr>
            <w:tcW w:w="850" w:type="dxa"/>
            <w:vAlign w:val="center"/>
          </w:tcPr>
          <w:p w:rsidR="00572411" w:rsidRDefault="003F55AB">
            <w:pPr>
              <w:jc w:val="center"/>
            </w:pPr>
            <w:r>
              <w:rPr>
                <w:color w:val="000000"/>
                <w:sz w:val="24"/>
              </w:rPr>
              <w:t>10</w:t>
            </w:r>
          </w:p>
        </w:tc>
        <w:tc>
          <w:tcPr>
            <w:tcW w:w="1327" w:type="dxa"/>
            <w:vAlign w:val="center"/>
          </w:tcPr>
          <w:p w:rsidR="00572411" w:rsidRDefault="003F55AB">
            <w:pPr>
              <w:jc w:val="center"/>
            </w:pPr>
            <w:r>
              <w:rPr>
                <w:color w:val="000000"/>
                <w:sz w:val="24"/>
              </w:rPr>
              <w:t>601939</w:t>
            </w:r>
          </w:p>
        </w:tc>
        <w:tc>
          <w:tcPr>
            <w:tcW w:w="1769" w:type="dxa"/>
            <w:vAlign w:val="center"/>
          </w:tcPr>
          <w:p w:rsidR="00572411" w:rsidRDefault="003F55AB">
            <w:pPr>
              <w:jc w:val="center"/>
            </w:pPr>
            <w:r>
              <w:rPr>
                <w:color w:val="000000"/>
                <w:sz w:val="24"/>
              </w:rPr>
              <w:t>建设银行</w:t>
            </w:r>
          </w:p>
        </w:tc>
        <w:tc>
          <w:tcPr>
            <w:tcW w:w="1327" w:type="dxa"/>
            <w:vAlign w:val="center"/>
          </w:tcPr>
          <w:p w:rsidR="00572411" w:rsidRDefault="003F55AB">
            <w:pPr>
              <w:jc w:val="right"/>
            </w:pPr>
            <w:r>
              <w:rPr>
                <w:color w:val="000000"/>
                <w:sz w:val="24"/>
              </w:rPr>
              <w:t>700,000</w:t>
            </w:r>
          </w:p>
        </w:tc>
        <w:tc>
          <w:tcPr>
            <w:tcW w:w="1915" w:type="dxa"/>
            <w:vAlign w:val="center"/>
          </w:tcPr>
          <w:p w:rsidR="00572411" w:rsidRDefault="003F55AB">
            <w:pPr>
              <w:jc w:val="right"/>
            </w:pPr>
            <w:r>
              <w:rPr>
                <w:color w:val="000000"/>
                <w:sz w:val="24"/>
              </w:rPr>
              <w:t>4,158,000.00</w:t>
            </w:r>
          </w:p>
        </w:tc>
        <w:tc>
          <w:tcPr>
            <w:tcW w:w="1680" w:type="dxa"/>
            <w:vAlign w:val="center"/>
          </w:tcPr>
          <w:p w:rsidR="00572411" w:rsidRDefault="003F55AB">
            <w:pPr>
              <w:jc w:val="right"/>
            </w:pPr>
            <w:r>
              <w:rPr>
                <w:color w:val="000000"/>
                <w:sz w:val="24"/>
              </w:rPr>
              <w:t>0.72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68,542,000.00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51,988,000.00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270,023,000.00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46.88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39,794,000.00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3,301,568.00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0.57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19,566,000.00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453,214,568.00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78.68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72411">
        <w:trPr>
          <w:jc w:val="center"/>
        </w:trPr>
        <w:tc>
          <w:tcPr>
            <w:tcW w:w="1075" w:type="dxa"/>
            <w:vAlign w:val="center"/>
          </w:tcPr>
          <w:p w:rsidR="00572411" w:rsidRDefault="003F55AB">
            <w:pPr>
              <w:jc w:val="center"/>
            </w:pPr>
            <w:r>
              <w:rPr>
                <w:color w:val="000000"/>
                <w:sz w:val="24"/>
              </w:rPr>
              <w:t>1</w:t>
            </w:r>
          </w:p>
        </w:tc>
        <w:tc>
          <w:tcPr>
            <w:tcW w:w="1533" w:type="dxa"/>
            <w:vAlign w:val="center"/>
          </w:tcPr>
          <w:p w:rsidR="00572411" w:rsidRDefault="003F55AB">
            <w:pPr>
              <w:jc w:val="center"/>
            </w:pPr>
            <w:r>
              <w:rPr>
                <w:color w:val="000000"/>
                <w:sz w:val="24"/>
              </w:rPr>
              <w:t>011698319</w:t>
            </w:r>
          </w:p>
        </w:tc>
        <w:tc>
          <w:tcPr>
            <w:tcW w:w="1533" w:type="dxa"/>
            <w:vAlign w:val="center"/>
          </w:tcPr>
          <w:p w:rsidR="00572411" w:rsidRDefault="003F55AB">
            <w:pPr>
              <w:jc w:val="center"/>
            </w:pPr>
            <w:r>
              <w:rPr>
                <w:color w:val="000000"/>
                <w:sz w:val="24"/>
              </w:rPr>
              <w:t>16</w:t>
            </w:r>
            <w:r>
              <w:rPr>
                <w:color w:val="000000"/>
                <w:sz w:val="24"/>
              </w:rPr>
              <w:t>雅砻江</w:t>
            </w:r>
            <w:r>
              <w:rPr>
                <w:color w:val="000000"/>
                <w:sz w:val="24"/>
              </w:rPr>
              <w:t>SCP004</w:t>
            </w:r>
          </w:p>
        </w:tc>
        <w:tc>
          <w:tcPr>
            <w:tcW w:w="1394" w:type="dxa"/>
            <w:vAlign w:val="center"/>
          </w:tcPr>
          <w:p w:rsidR="00572411" w:rsidRDefault="003F55AB">
            <w:pPr>
              <w:jc w:val="right"/>
            </w:pPr>
            <w:r>
              <w:rPr>
                <w:color w:val="000000"/>
                <w:sz w:val="24"/>
              </w:rPr>
              <w:t>400,000</w:t>
            </w:r>
          </w:p>
        </w:tc>
        <w:tc>
          <w:tcPr>
            <w:tcW w:w="1944" w:type="dxa"/>
            <w:vAlign w:val="center"/>
          </w:tcPr>
          <w:p w:rsidR="00572411" w:rsidRDefault="003F55AB">
            <w:pPr>
              <w:jc w:val="right"/>
            </w:pPr>
            <w:r>
              <w:rPr>
                <w:color w:val="000000"/>
                <w:sz w:val="24"/>
              </w:rPr>
              <w:t>40,036,000.00</w:t>
            </w:r>
          </w:p>
        </w:tc>
        <w:tc>
          <w:tcPr>
            <w:tcW w:w="1389" w:type="dxa"/>
            <w:vAlign w:val="center"/>
          </w:tcPr>
          <w:p w:rsidR="00572411" w:rsidRDefault="003F55AB">
            <w:pPr>
              <w:jc w:val="right"/>
            </w:pPr>
            <w:r>
              <w:rPr>
                <w:color w:val="000000"/>
                <w:sz w:val="24"/>
              </w:rPr>
              <w:t>6.95</w:t>
            </w:r>
          </w:p>
        </w:tc>
      </w:tr>
      <w:tr w:rsidR="00572411">
        <w:trPr>
          <w:jc w:val="center"/>
        </w:trPr>
        <w:tc>
          <w:tcPr>
            <w:tcW w:w="1075" w:type="dxa"/>
            <w:vAlign w:val="center"/>
          </w:tcPr>
          <w:p w:rsidR="00572411" w:rsidRDefault="003F55AB">
            <w:pPr>
              <w:jc w:val="center"/>
            </w:pPr>
            <w:r>
              <w:rPr>
                <w:color w:val="000000"/>
                <w:sz w:val="24"/>
              </w:rPr>
              <w:t>2</w:t>
            </w:r>
          </w:p>
        </w:tc>
        <w:tc>
          <w:tcPr>
            <w:tcW w:w="1533" w:type="dxa"/>
            <w:vAlign w:val="center"/>
          </w:tcPr>
          <w:p w:rsidR="00572411" w:rsidRDefault="003F55AB">
            <w:pPr>
              <w:jc w:val="center"/>
            </w:pPr>
            <w:r>
              <w:rPr>
                <w:color w:val="000000"/>
                <w:sz w:val="24"/>
              </w:rPr>
              <w:t>011754005</w:t>
            </w:r>
          </w:p>
        </w:tc>
        <w:tc>
          <w:tcPr>
            <w:tcW w:w="1533" w:type="dxa"/>
            <w:vAlign w:val="center"/>
          </w:tcPr>
          <w:p w:rsidR="00572411" w:rsidRDefault="003F55AB">
            <w:pPr>
              <w:jc w:val="center"/>
            </w:pPr>
            <w:r>
              <w:rPr>
                <w:color w:val="000000"/>
                <w:sz w:val="24"/>
              </w:rPr>
              <w:t>17</w:t>
            </w:r>
            <w:r>
              <w:rPr>
                <w:color w:val="000000"/>
                <w:sz w:val="24"/>
              </w:rPr>
              <w:t>华能</w:t>
            </w:r>
            <w:r>
              <w:rPr>
                <w:color w:val="000000"/>
                <w:sz w:val="24"/>
              </w:rPr>
              <w:t>SCP001</w:t>
            </w:r>
          </w:p>
        </w:tc>
        <w:tc>
          <w:tcPr>
            <w:tcW w:w="1394" w:type="dxa"/>
            <w:vAlign w:val="center"/>
          </w:tcPr>
          <w:p w:rsidR="00572411" w:rsidRDefault="003F55AB">
            <w:pPr>
              <w:jc w:val="right"/>
            </w:pPr>
            <w:r>
              <w:rPr>
                <w:color w:val="000000"/>
                <w:sz w:val="24"/>
              </w:rPr>
              <w:t>400,000</w:t>
            </w:r>
          </w:p>
        </w:tc>
        <w:tc>
          <w:tcPr>
            <w:tcW w:w="1944" w:type="dxa"/>
            <w:vAlign w:val="center"/>
          </w:tcPr>
          <w:p w:rsidR="00572411" w:rsidRDefault="003F55AB">
            <w:pPr>
              <w:jc w:val="right"/>
            </w:pPr>
            <w:r>
              <w:rPr>
                <w:color w:val="000000"/>
                <w:sz w:val="24"/>
              </w:rPr>
              <w:t>39,876,000.00</w:t>
            </w:r>
          </w:p>
        </w:tc>
        <w:tc>
          <w:tcPr>
            <w:tcW w:w="1389" w:type="dxa"/>
            <w:vAlign w:val="center"/>
          </w:tcPr>
          <w:p w:rsidR="00572411" w:rsidRDefault="003F55AB">
            <w:pPr>
              <w:jc w:val="right"/>
            </w:pPr>
            <w:r>
              <w:rPr>
                <w:color w:val="000000"/>
                <w:sz w:val="24"/>
              </w:rPr>
              <w:t>6.92</w:t>
            </w:r>
          </w:p>
        </w:tc>
      </w:tr>
      <w:tr w:rsidR="00572411">
        <w:trPr>
          <w:jc w:val="center"/>
        </w:trPr>
        <w:tc>
          <w:tcPr>
            <w:tcW w:w="1075" w:type="dxa"/>
            <w:vAlign w:val="center"/>
          </w:tcPr>
          <w:p w:rsidR="00572411" w:rsidRDefault="003F55AB">
            <w:pPr>
              <w:jc w:val="center"/>
            </w:pPr>
            <w:r>
              <w:rPr>
                <w:color w:val="000000"/>
                <w:sz w:val="24"/>
              </w:rPr>
              <w:t>3</w:t>
            </w:r>
          </w:p>
        </w:tc>
        <w:tc>
          <w:tcPr>
            <w:tcW w:w="1533" w:type="dxa"/>
            <w:vAlign w:val="center"/>
          </w:tcPr>
          <w:p w:rsidR="00572411" w:rsidRDefault="003F55AB">
            <w:pPr>
              <w:jc w:val="center"/>
            </w:pPr>
            <w:r>
              <w:rPr>
                <w:color w:val="000000"/>
                <w:sz w:val="24"/>
              </w:rPr>
              <w:t>160010</w:t>
            </w:r>
          </w:p>
        </w:tc>
        <w:tc>
          <w:tcPr>
            <w:tcW w:w="1533" w:type="dxa"/>
            <w:vAlign w:val="center"/>
          </w:tcPr>
          <w:p w:rsidR="00572411" w:rsidRDefault="003F55AB">
            <w:pPr>
              <w:jc w:val="center"/>
            </w:pPr>
            <w:r>
              <w:rPr>
                <w:color w:val="000000"/>
                <w:sz w:val="24"/>
              </w:rPr>
              <w:t>16</w:t>
            </w:r>
            <w:r>
              <w:rPr>
                <w:color w:val="000000"/>
                <w:sz w:val="24"/>
              </w:rPr>
              <w:t>附息国债</w:t>
            </w:r>
            <w:r>
              <w:rPr>
                <w:color w:val="000000"/>
                <w:sz w:val="24"/>
              </w:rPr>
              <w:t>10</w:t>
            </w:r>
          </w:p>
        </w:tc>
        <w:tc>
          <w:tcPr>
            <w:tcW w:w="1394" w:type="dxa"/>
            <w:vAlign w:val="center"/>
          </w:tcPr>
          <w:p w:rsidR="00572411" w:rsidRDefault="003F55AB">
            <w:pPr>
              <w:jc w:val="right"/>
            </w:pPr>
            <w:r>
              <w:rPr>
                <w:color w:val="000000"/>
                <w:sz w:val="24"/>
              </w:rPr>
              <w:t>400,000</w:t>
            </w:r>
          </w:p>
        </w:tc>
        <w:tc>
          <w:tcPr>
            <w:tcW w:w="1944" w:type="dxa"/>
            <w:vAlign w:val="center"/>
          </w:tcPr>
          <w:p w:rsidR="00572411" w:rsidRDefault="003F55AB">
            <w:pPr>
              <w:jc w:val="right"/>
            </w:pPr>
            <w:r>
              <w:rPr>
                <w:color w:val="000000"/>
                <w:sz w:val="24"/>
              </w:rPr>
              <w:t>38,740,000.00</w:t>
            </w:r>
          </w:p>
        </w:tc>
        <w:tc>
          <w:tcPr>
            <w:tcW w:w="1389" w:type="dxa"/>
            <w:vAlign w:val="center"/>
          </w:tcPr>
          <w:p w:rsidR="00572411" w:rsidRDefault="003F55AB">
            <w:pPr>
              <w:jc w:val="right"/>
            </w:pPr>
            <w:r>
              <w:rPr>
                <w:color w:val="000000"/>
                <w:sz w:val="24"/>
              </w:rPr>
              <w:t>6.73</w:t>
            </w:r>
          </w:p>
        </w:tc>
      </w:tr>
      <w:tr w:rsidR="00572411">
        <w:trPr>
          <w:jc w:val="center"/>
        </w:trPr>
        <w:tc>
          <w:tcPr>
            <w:tcW w:w="1075" w:type="dxa"/>
            <w:vAlign w:val="center"/>
          </w:tcPr>
          <w:p w:rsidR="00572411" w:rsidRDefault="003F55AB">
            <w:pPr>
              <w:jc w:val="center"/>
            </w:pPr>
            <w:r>
              <w:rPr>
                <w:color w:val="000000"/>
                <w:sz w:val="24"/>
              </w:rPr>
              <w:t>4</w:t>
            </w:r>
          </w:p>
        </w:tc>
        <w:tc>
          <w:tcPr>
            <w:tcW w:w="1533" w:type="dxa"/>
            <w:vAlign w:val="center"/>
          </w:tcPr>
          <w:p w:rsidR="00572411" w:rsidRDefault="003F55AB">
            <w:pPr>
              <w:jc w:val="center"/>
            </w:pPr>
            <w:r>
              <w:rPr>
                <w:color w:val="000000"/>
                <w:sz w:val="24"/>
              </w:rPr>
              <w:t>011698451</w:t>
            </w:r>
          </w:p>
        </w:tc>
        <w:tc>
          <w:tcPr>
            <w:tcW w:w="1533" w:type="dxa"/>
            <w:vAlign w:val="center"/>
          </w:tcPr>
          <w:p w:rsidR="00572411" w:rsidRDefault="003F55AB">
            <w:pPr>
              <w:jc w:val="center"/>
            </w:pPr>
            <w:r>
              <w:rPr>
                <w:color w:val="000000"/>
                <w:sz w:val="24"/>
              </w:rPr>
              <w:t>16</w:t>
            </w:r>
            <w:r>
              <w:rPr>
                <w:color w:val="000000"/>
                <w:sz w:val="24"/>
              </w:rPr>
              <w:t>澜沧江</w:t>
            </w:r>
            <w:r>
              <w:rPr>
                <w:color w:val="000000"/>
                <w:sz w:val="24"/>
              </w:rPr>
              <w:t>SCP005</w:t>
            </w:r>
          </w:p>
        </w:tc>
        <w:tc>
          <w:tcPr>
            <w:tcW w:w="1394" w:type="dxa"/>
            <w:vAlign w:val="center"/>
          </w:tcPr>
          <w:p w:rsidR="00572411" w:rsidRDefault="003F55AB">
            <w:pPr>
              <w:jc w:val="right"/>
            </w:pPr>
            <w:r>
              <w:rPr>
                <w:color w:val="000000"/>
                <w:sz w:val="24"/>
              </w:rPr>
              <w:t>300,000</w:t>
            </w:r>
          </w:p>
        </w:tc>
        <w:tc>
          <w:tcPr>
            <w:tcW w:w="1944" w:type="dxa"/>
            <w:vAlign w:val="center"/>
          </w:tcPr>
          <w:p w:rsidR="00572411" w:rsidRDefault="003F55AB">
            <w:pPr>
              <w:jc w:val="right"/>
            </w:pPr>
            <w:r>
              <w:rPr>
                <w:color w:val="000000"/>
                <w:sz w:val="24"/>
              </w:rPr>
              <w:t>30,066,000.00</w:t>
            </w:r>
          </w:p>
        </w:tc>
        <w:tc>
          <w:tcPr>
            <w:tcW w:w="1389" w:type="dxa"/>
            <w:vAlign w:val="center"/>
          </w:tcPr>
          <w:p w:rsidR="00572411" w:rsidRDefault="003F55AB">
            <w:pPr>
              <w:jc w:val="right"/>
            </w:pPr>
            <w:r>
              <w:rPr>
                <w:color w:val="000000"/>
                <w:sz w:val="24"/>
              </w:rPr>
              <w:t>5.22</w:t>
            </w:r>
          </w:p>
        </w:tc>
      </w:tr>
      <w:tr w:rsidR="00572411">
        <w:trPr>
          <w:jc w:val="center"/>
        </w:trPr>
        <w:tc>
          <w:tcPr>
            <w:tcW w:w="1075" w:type="dxa"/>
            <w:vAlign w:val="center"/>
          </w:tcPr>
          <w:p w:rsidR="00572411" w:rsidRDefault="003F55AB">
            <w:pPr>
              <w:jc w:val="center"/>
            </w:pPr>
            <w:r>
              <w:rPr>
                <w:color w:val="000000"/>
                <w:sz w:val="24"/>
              </w:rPr>
              <w:t>5</w:t>
            </w:r>
          </w:p>
        </w:tc>
        <w:tc>
          <w:tcPr>
            <w:tcW w:w="1533" w:type="dxa"/>
            <w:vAlign w:val="center"/>
          </w:tcPr>
          <w:p w:rsidR="00572411" w:rsidRDefault="003F55AB">
            <w:pPr>
              <w:jc w:val="center"/>
            </w:pPr>
            <w:r>
              <w:rPr>
                <w:color w:val="000000"/>
                <w:sz w:val="24"/>
              </w:rPr>
              <w:t>011698461</w:t>
            </w:r>
          </w:p>
        </w:tc>
        <w:tc>
          <w:tcPr>
            <w:tcW w:w="1533" w:type="dxa"/>
            <w:vAlign w:val="center"/>
          </w:tcPr>
          <w:p w:rsidR="00572411" w:rsidRDefault="003F55AB">
            <w:pPr>
              <w:jc w:val="center"/>
            </w:pPr>
            <w:r>
              <w:rPr>
                <w:color w:val="000000"/>
                <w:sz w:val="24"/>
              </w:rPr>
              <w:t>16</w:t>
            </w:r>
            <w:r>
              <w:rPr>
                <w:color w:val="000000"/>
                <w:sz w:val="24"/>
              </w:rPr>
              <w:t>中电投</w:t>
            </w:r>
            <w:r>
              <w:rPr>
                <w:color w:val="000000"/>
                <w:sz w:val="24"/>
              </w:rPr>
              <w:t>SCP012</w:t>
            </w:r>
          </w:p>
        </w:tc>
        <w:tc>
          <w:tcPr>
            <w:tcW w:w="1394" w:type="dxa"/>
            <w:vAlign w:val="center"/>
          </w:tcPr>
          <w:p w:rsidR="00572411" w:rsidRDefault="003F55AB">
            <w:pPr>
              <w:jc w:val="right"/>
            </w:pPr>
            <w:r>
              <w:rPr>
                <w:color w:val="000000"/>
                <w:sz w:val="24"/>
              </w:rPr>
              <w:t>300,000</w:t>
            </w:r>
          </w:p>
        </w:tc>
        <w:tc>
          <w:tcPr>
            <w:tcW w:w="1944" w:type="dxa"/>
            <w:vAlign w:val="center"/>
          </w:tcPr>
          <w:p w:rsidR="00572411" w:rsidRDefault="003F55AB">
            <w:pPr>
              <w:jc w:val="right"/>
            </w:pPr>
            <w:r>
              <w:rPr>
                <w:color w:val="000000"/>
                <w:sz w:val="24"/>
              </w:rPr>
              <w:t>30,024,000.00</w:t>
            </w:r>
          </w:p>
        </w:tc>
        <w:tc>
          <w:tcPr>
            <w:tcW w:w="1389" w:type="dxa"/>
            <w:vAlign w:val="center"/>
          </w:tcPr>
          <w:p w:rsidR="00572411" w:rsidRDefault="003F55AB">
            <w:pPr>
              <w:jc w:val="right"/>
            </w:pPr>
            <w:r>
              <w:rPr>
                <w:color w:val="000000"/>
                <w:sz w:val="24"/>
              </w:rPr>
              <w:t>5.21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48,505.41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5,429,232.90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5,477,748.30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572411">
        <w:trPr>
          <w:jc w:val="center"/>
        </w:trPr>
        <w:tc>
          <w:tcPr>
            <w:tcW w:w="0" w:type="auto"/>
            <w:vAlign w:val="center"/>
          </w:tcPr>
          <w:p w:rsidR="00572411" w:rsidRDefault="003F55AB">
            <w:pPr>
              <w:jc w:val="center"/>
            </w:pPr>
            <w:r>
              <w:rPr>
                <w:rFonts w:eastAsiaTheme="minorEastAsia"/>
                <w:color w:val="000000"/>
                <w:sz w:val="24"/>
              </w:rPr>
              <w:t>1</w:t>
            </w:r>
          </w:p>
        </w:tc>
        <w:tc>
          <w:tcPr>
            <w:tcW w:w="0" w:type="auto"/>
            <w:vAlign w:val="center"/>
          </w:tcPr>
          <w:p w:rsidR="00572411" w:rsidRDefault="003F55AB">
            <w:pPr>
              <w:jc w:val="center"/>
            </w:pPr>
            <w:r>
              <w:rPr>
                <w:rFonts w:eastAsiaTheme="minorEastAsia"/>
                <w:color w:val="000000"/>
                <w:sz w:val="24"/>
              </w:rPr>
              <w:t>113010</w:t>
            </w:r>
          </w:p>
        </w:tc>
        <w:tc>
          <w:tcPr>
            <w:tcW w:w="0" w:type="auto"/>
            <w:vAlign w:val="center"/>
          </w:tcPr>
          <w:p w:rsidR="00572411" w:rsidRDefault="003F55AB">
            <w:pPr>
              <w:jc w:val="center"/>
            </w:pPr>
            <w:r>
              <w:rPr>
                <w:rFonts w:eastAsiaTheme="minorEastAsia"/>
                <w:color w:val="000000"/>
                <w:sz w:val="24"/>
              </w:rPr>
              <w:t>江南转债</w:t>
            </w:r>
          </w:p>
        </w:tc>
        <w:tc>
          <w:tcPr>
            <w:tcW w:w="0" w:type="auto"/>
            <w:vAlign w:val="center"/>
          </w:tcPr>
          <w:p w:rsidR="00572411" w:rsidRDefault="003F55AB">
            <w:pPr>
              <w:jc w:val="right"/>
            </w:pPr>
            <w:r>
              <w:rPr>
                <w:rFonts w:eastAsiaTheme="minorEastAsia"/>
                <w:color w:val="000000"/>
                <w:sz w:val="24"/>
              </w:rPr>
              <w:t>722,568.00</w:t>
            </w:r>
          </w:p>
        </w:tc>
        <w:tc>
          <w:tcPr>
            <w:tcW w:w="0" w:type="auto"/>
            <w:vAlign w:val="center"/>
          </w:tcPr>
          <w:p w:rsidR="00572411" w:rsidRDefault="003F55AB">
            <w:pPr>
              <w:jc w:val="right"/>
            </w:pPr>
            <w:r>
              <w:rPr>
                <w:rFonts w:eastAsiaTheme="minorEastAsia"/>
                <w:color w:val="000000"/>
                <w:sz w:val="24"/>
              </w:rPr>
              <w:t>0.13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284,474,005.95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255,439,440.09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803,764.68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53,063.15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392,437.50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50,059,919.97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284,885,333.13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205,432,583.27</w:t>
            </w:r>
          </w:p>
        </w:tc>
      </w:tr>
    </w:tbl>
    <w:p w:rsidR="00572411" w:rsidRDefault="003F55A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Default="00F2646E" w:rsidP="007C14DF">
      <w:pPr>
        <w:autoSpaceDE w:val="0"/>
        <w:autoSpaceDN w:val="0"/>
        <w:adjustRightInd w:val="0"/>
        <w:spacing w:before="29" w:line="288" w:lineRule="auto"/>
        <w:jc w:val="left"/>
        <w:rPr>
          <w:rFonts w:eastAsiaTheme="minorEastAsia"/>
          <w:color w:val="000000"/>
          <w:sz w:val="24"/>
        </w:rPr>
      </w:pPr>
    </w:p>
    <w:p w:rsidR="00172E9B" w:rsidRDefault="00172E9B" w:rsidP="00172E9B">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§8 </w:t>
      </w:r>
      <w:r w:rsidRPr="004264FD">
        <w:rPr>
          <w:rFonts w:eastAsiaTheme="minorEastAsia"/>
          <w:color w:val="000000" w:themeColor="text1"/>
          <w:kern w:val="0"/>
          <w:sz w:val="21"/>
          <w:szCs w:val="21"/>
        </w:rPr>
        <w:t>影响投资者决策的其他重要信息</w:t>
      </w:r>
    </w:p>
    <w:p w:rsidR="00172E9B" w:rsidRDefault="00172E9B" w:rsidP="00172E9B">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hint="eastAsia"/>
          <w:b/>
          <w:bCs/>
          <w:color w:val="000000" w:themeColor="text1"/>
          <w:kern w:val="0"/>
          <w:szCs w:val="21"/>
        </w:rPr>
        <w:t xml:space="preserve">1 </w:t>
      </w:r>
      <w:r w:rsidRPr="003F6DC4">
        <w:rPr>
          <w:rFonts w:eastAsiaTheme="minorEastAsia" w:hint="eastAsia"/>
          <w:b/>
          <w:bCs/>
          <w:color w:val="000000" w:themeColor="text1"/>
          <w:kern w:val="0"/>
          <w:szCs w:val="21"/>
        </w:rPr>
        <w:t>报告期内单一投资者持有基金份额比例达到或超过</w:t>
      </w:r>
      <w:r w:rsidRPr="003F6DC4">
        <w:rPr>
          <w:rFonts w:eastAsiaTheme="minorEastAsia" w:hint="eastAsia"/>
          <w:b/>
          <w:bCs/>
          <w:color w:val="000000" w:themeColor="text1"/>
          <w:kern w:val="0"/>
          <w:szCs w:val="21"/>
        </w:rPr>
        <w:t>20%</w:t>
      </w:r>
      <w:r w:rsidRPr="003F6DC4">
        <w:rPr>
          <w:rFonts w:eastAsiaTheme="minorEastAsia" w:hint="eastAsia"/>
          <w:b/>
          <w:bCs/>
          <w:color w:val="000000" w:themeColor="text1"/>
          <w:kern w:val="0"/>
          <w:szCs w:val="21"/>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172E9B" w:rsidTr="00CE34D6">
        <w:tc>
          <w:tcPr>
            <w:tcW w:w="993" w:type="dxa"/>
            <w:vMerge w:val="restart"/>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172E9B" w:rsidTr="00CE34D6">
        <w:tc>
          <w:tcPr>
            <w:tcW w:w="993" w:type="dxa"/>
            <w:vMerge/>
            <w:vAlign w:val="center"/>
          </w:tcPr>
          <w:p w:rsidR="00172E9B" w:rsidRDefault="00172E9B" w:rsidP="00CE34D6">
            <w:pPr>
              <w:autoSpaceDE w:val="0"/>
              <w:autoSpaceDN w:val="0"/>
              <w:adjustRightInd w:val="0"/>
              <w:jc w:val="center"/>
              <w:rPr>
                <w:rFonts w:eastAsiaTheme="minorEastAsia"/>
                <w:b/>
                <w:bCs/>
                <w:color w:val="000000" w:themeColor="text1"/>
                <w:szCs w:val="21"/>
              </w:rPr>
            </w:pPr>
          </w:p>
        </w:tc>
        <w:tc>
          <w:tcPr>
            <w:tcW w:w="992" w:type="dxa"/>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172E9B" w:rsidRDefault="00172E9B" w:rsidP="00CE34D6">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172E9B" w:rsidRDefault="00172E9B" w:rsidP="00CE34D6">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172E9B" w:rsidRDefault="00172E9B" w:rsidP="00CE34D6">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172E9B" w:rsidRDefault="00172E9B" w:rsidP="00CE34D6">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172E9B" w:rsidTr="00CE34D6">
        <w:tc>
          <w:tcPr>
            <w:tcW w:w="993" w:type="dxa"/>
            <w:vMerge w:val="restart"/>
          </w:tcPr>
          <w:p w:rsidR="00172E9B" w:rsidRDefault="00172E9B" w:rsidP="00CE34D6"/>
          <w:p w:rsidR="00172E9B" w:rsidRDefault="00172E9B" w:rsidP="00CE34D6">
            <w:r>
              <w:rPr>
                <w:rFonts w:eastAsiaTheme="minorEastAsia" w:hint="eastAsia"/>
                <w:bCs/>
                <w:color w:val="000000" w:themeColor="text1"/>
                <w:szCs w:val="21"/>
              </w:rPr>
              <w:t>机构</w:t>
            </w:r>
          </w:p>
        </w:tc>
        <w:tc>
          <w:tcPr>
            <w:tcW w:w="992" w:type="dxa"/>
            <w:vAlign w:val="center"/>
          </w:tcPr>
          <w:p w:rsidR="00172E9B" w:rsidRDefault="00172E9B" w:rsidP="00CE34D6">
            <w:pPr>
              <w:jc w:val="center"/>
            </w:pPr>
            <w:r>
              <w:rPr>
                <w:color w:val="000000"/>
                <w:sz w:val="22"/>
              </w:rPr>
              <w:t>1</w:t>
            </w:r>
          </w:p>
        </w:tc>
        <w:tc>
          <w:tcPr>
            <w:tcW w:w="1843" w:type="dxa"/>
            <w:vAlign w:val="center"/>
          </w:tcPr>
          <w:p w:rsidR="00172E9B" w:rsidRDefault="00172E9B" w:rsidP="00CE34D6">
            <w:pPr>
              <w:jc w:val="center"/>
            </w:pPr>
            <w:r>
              <w:rPr>
                <w:color w:val="000000"/>
                <w:sz w:val="22"/>
              </w:rPr>
              <w:t>2017/1/1-2017/3/31</w:t>
            </w:r>
          </w:p>
        </w:tc>
        <w:tc>
          <w:tcPr>
            <w:tcW w:w="851" w:type="dxa"/>
            <w:vAlign w:val="center"/>
          </w:tcPr>
          <w:p w:rsidR="00172E9B" w:rsidRDefault="00172E9B" w:rsidP="00CE34D6">
            <w:pPr>
              <w:jc w:val="center"/>
            </w:pPr>
            <w:r>
              <w:rPr>
                <w:color w:val="000000"/>
                <w:sz w:val="22"/>
              </w:rPr>
              <w:t>510,456,585.75</w:t>
            </w:r>
          </w:p>
        </w:tc>
        <w:tc>
          <w:tcPr>
            <w:tcW w:w="850" w:type="dxa"/>
            <w:vAlign w:val="center"/>
          </w:tcPr>
          <w:p w:rsidR="00172E9B" w:rsidRDefault="00172E9B" w:rsidP="00CE34D6">
            <w:pPr>
              <w:jc w:val="center"/>
            </w:pPr>
            <w:r>
              <w:rPr>
                <w:color w:val="000000"/>
                <w:sz w:val="22"/>
              </w:rPr>
              <w:t>-</w:t>
            </w:r>
          </w:p>
        </w:tc>
        <w:tc>
          <w:tcPr>
            <w:tcW w:w="1134" w:type="dxa"/>
            <w:vAlign w:val="center"/>
          </w:tcPr>
          <w:p w:rsidR="00172E9B" w:rsidRDefault="00172E9B" w:rsidP="00CE34D6">
            <w:pPr>
              <w:jc w:val="center"/>
            </w:pPr>
            <w:r>
              <w:rPr>
                <w:color w:val="000000"/>
                <w:sz w:val="22"/>
              </w:rPr>
              <w:t>50,000,000.00</w:t>
            </w:r>
          </w:p>
        </w:tc>
        <w:tc>
          <w:tcPr>
            <w:tcW w:w="1419" w:type="dxa"/>
            <w:vAlign w:val="center"/>
          </w:tcPr>
          <w:p w:rsidR="00172E9B" w:rsidRDefault="00172E9B" w:rsidP="00CE34D6">
            <w:pPr>
              <w:jc w:val="center"/>
            </w:pPr>
            <w:r>
              <w:rPr>
                <w:color w:val="000000"/>
                <w:sz w:val="22"/>
              </w:rPr>
              <w:t>460,456,585.75</w:t>
            </w:r>
          </w:p>
        </w:tc>
        <w:tc>
          <w:tcPr>
            <w:tcW w:w="1130" w:type="dxa"/>
            <w:vAlign w:val="center"/>
          </w:tcPr>
          <w:p w:rsidR="00172E9B" w:rsidRDefault="00172E9B" w:rsidP="00CE34D6">
            <w:pPr>
              <w:jc w:val="center"/>
            </w:pPr>
            <w:r>
              <w:rPr>
                <w:color w:val="000000"/>
                <w:sz w:val="22"/>
              </w:rPr>
              <w:t>93.91%</w:t>
            </w:r>
          </w:p>
        </w:tc>
      </w:tr>
      <w:tr w:rsidR="00172E9B" w:rsidRPr="0077692E" w:rsidTr="00CE34D6">
        <w:tc>
          <w:tcPr>
            <w:tcW w:w="9212" w:type="dxa"/>
            <w:gridSpan w:val="8"/>
            <w:vAlign w:val="center"/>
          </w:tcPr>
          <w:p w:rsidR="00172E9B" w:rsidRPr="0077692E" w:rsidRDefault="00172E9B" w:rsidP="00CE34D6">
            <w:pPr>
              <w:autoSpaceDE w:val="0"/>
              <w:autoSpaceDN w:val="0"/>
              <w:adjustRightInd w:val="0"/>
              <w:jc w:val="center"/>
              <w:rPr>
                <w:sz w:val="22"/>
              </w:rPr>
            </w:pPr>
            <w:r w:rsidRPr="0077692E">
              <w:rPr>
                <w:color w:val="000000"/>
                <w:sz w:val="22"/>
              </w:rPr>
              <w:t>产品特有风险</w:t>
            </w:r>
          </w:p>
        </w:tc>
      </w:tr>
      <w:tr w:rsidR="00172E9B" w:rsidRPr="00EF20F9" w:rsidTr="00CE34D6">
        <w:tc>
          <w:tcPr>
            <w:tcW w:w="9212" w:type="dxa"/>
            <w:gridSpan w:val="8"/>
            <w:vAlign w:val="center"/>
          </w:tcPr>
          <w:p w:rsidR="00172E9B" w:rsidRPr="00EF20F9" w:rsidRDefault="00172E9B" w:rsidP="00CE34D6">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172E9B" w:rsidRPr="00172E9B" w:rsidRDefault="00172E9B"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172E9B">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172E9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172E9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172E9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72411" w:rsidRDefault="003F55A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AC2" w:rsidRDefault="00794AC2">
      <w:r>
        <w:separator/>
      </w:r>
    </w:p>
  </w:endnote>
  <w:endnote w:type="continuationSeparator" w:id="0">
    <w:p w:rsidR="00794AC2" w:rsidRDefault="0079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005825">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005825">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AC2" w:rsidRDefault="00794AC2">
      <w:r>
        <w:separator/>
      </w:r>
    </w:p>
  </w:footnote>
  <w:footnote w:type="continuationSeparator" w:id="0">
    <w:p w:rsidR="00794AC2" w:rsidRDefault="00794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0582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5825"/>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2E9B"/>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55AB"/>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2411"/>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4787"/>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A74B4"/>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1052"/>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67EAB"/>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37D7"/>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4761397-AB04-45A3-9C91-9E3C0298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1508">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DCBF-49D7-44A4-B9D1-9C9719D3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194</TotalTime>
  <Pages>15</Pages>
  <Words>1210</Words>
  <Characters>6897</Characters>
  <Application>Microsoft Office Word</Application>
  <DocSecurity>0</DocSecurity>
  <Lines>57</Lines>
  <Paragraphs>16</Paragraphs>
  <ScaleCrop>false</ScaleCrop>
  <Company>TRT. Ltd. Co.</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2017-04-21T07:01:00Z</dcterms:modified>
</cp:coreProperties>
</file>