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bookmarkStart w:id="0" w:name="_GoBack"/>
      <w:bookmarkEnd w:id="0"/>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交银施罗德新成长混合型证券投资基金</w:t>
      </w:r>
    </w:p>
    <w:p w:rsidR="002279D3" w:rsidRPr="0081286B" w:rsidRDefault="002279D3" w:rsidP="00C15CAC">
      <w:pPr>
        <w:spacing w:before="29" w:line="288" w:lineRule="auto"/>
        <w:jc w:val="center"/>
        <w:rPr>
          <w:b/>
          <w:sz w:val="36"/>
          <w:szCs w:val="36"/>
        </w:rPr>
      </w:pPr>
      <w:r w:rsidRPr="0081286B">
        <w:rPr>
          <w:b/>
          <w:sz w:val="36"/>
          <w:szCs w:val="36"/>
        </w:rPr>
        <w:t>2017</w:t>
      </w:r>
      <w:r w:rsidRPr="0081286B">
        <w:rPr>
          <w:b/>
          <w:sz w:val="36"/>
          <w:szCs w:val="36"/>
        </w:rPr>
        <w:t>年第</w:t>
      </w:r>
      <w:r w:rsidRPr="0081286B">
        <w:rPr>
          <w:b/>
          <w:sz w:val="36"/>
          <w:szCs w:val="36"/>
        </w:rPr>
        <w:t>1</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2017</w:t>
      </w:r>
      <w:r w:rsidRPr="0081286B">
        <w:rPr>
          <w:b/>
          <w:sz w:val="36"/>
          <w:szCs w:val="36"/>
        </w:rPr>
        <w:t>年</w:t>
      </w:r>
      <w:r w:rsidRPr="0081286B">
        <w:rPr>
          <w:b/>
          <w:sz w:val="36"/>
          <w:szCs w:val="36"/>
        </w:rPr>
        <w:t>3</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基金托管人：招商银行股份有限公司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二〇一七年四月二十四日</w:t>
      </w:r>
    </w:p>
    <w:p w:rsidR="004061AC" w:rsidRPr="00414345" w:rsidRDefault="004061AC" w:rsidP="00AB6E79">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484610" w:rsidRDefault="00374824">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484610" w:rsidRDefault="00374824">
      <w:pPr>
        <w:spacing w:before="29" w:line="288" w:lineRule="auto"/>
        <w:ind w:firstLineChars="200" w:firstLine="480"/>
        <w:rPr>
          <w:color w:val="000000"/>
          <w:sz w:val="24"/>
          <w:szCs w:val="24"/>
        </w:rPr>
      </w:pPr>
      <w:r>
        <w:rPr>
          <w:color w:val="000000"/>
          <w:sz w:val="24"/>
          <w:szCs w:val="24"/>
        </w:rPr>
        <w:t>基金托管人招商银行股份有限公司根据本基金合同规定，于</w:t>
      </w:r>
      <w:r>
        <w:rPr>
          <w:color w:val="000000"/>
          <w:sz w:val="24"/>
          <w:szCs w:val="24"/>
        </w:rPr>
        <w:t>2017</w:t>
      </w:r>
      <w:r>
        <w:rPr>
          <w:color w:val="000000"/>
          <w:sz w:val="24"/>
          <w:szCs w:val="24"/>
        </w:rPr>
        <w:t>年</w:t>
      </w:r>
      <w:r>
        <w:rPr>
          <w:color w:val="000000"/>
          <w:sz w:val="24"/>
          <w:szCs w:val="24"/>
        </w:rPr>
        <w:t>4</w:t>
      </w:r>
      <w:r>
        <w:rPr>
          <w:color w:val="000000"/>
          <w:sz w:val="24"/>
          <w:szCs w:val="24"/>
        </w:rPr>
        <w:t>月</w:t>
      </w:r>
      <w:r>
        <w:rPr>
          <w:color w:val="000000"/>
          <w:sz w:val="24"/>
          <w:szCs w:val="24"/>
        </w:rPr>
        <w:t>21</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484610" w:rsidRDefault="00374824">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484610" w:rsidRDefault="00374824">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484610" w:rsidRDefault="00374824">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2017</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交银新成长混合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519736</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519736</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519737</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2014</w:t>
            </w:r>
            <w:r w:rsidRPr="00414345">
              <w:rPr>
                <w:color w:val="000000"/>
                <w:kern w:val="0"/>
                <w:sz w:val="24"/>
                <w:szCs w:val="24"/>
              </w:rPr>
              <w:t>年</w:t>
            </w:r>
            <w:r w:rsidRPr="00414345">
              <w:rPr>
                <w:color w:val="000000"/>
                <w:kern w:val="0"/>
                <w:sz w:val="24"/>
                <w:szCs w:val="24"/>
              </w:rPr>
              <w:t>5</w:t>
            </w:r>
            <w:r w:rsidRPr="00414345">
              <w:rPr>
                <w:color w:val="000000"/>
                <w:kern w:val="0"/>
                <w:sz w:val="24"/>
                <w:szCs w:val="24"/>
              </w:rPr>
              <w:t>月</w:t>
            </w:r>
            <w:r w:rsidRPr="00414345">
              <w:rPr>
                <w:color w:val="000000"/>
                <w:kern w:val="0"/>
                <w:sz w:val="24"/>
                <w:szCs w:val="24"/>
              </w:rPr>
              <w:t>9</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282,689,013.91</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深入挖掘经济转型背景下的投资机会，自下而上精选个股，力争实现基金资产的长期稳定增值。</w:t>
            </w:r>
            <w:r w:rsidRPr="00414345">
              <w:rPr>
                <w:color w:val="000000"/>
                <w:kern w:val="0"/>
                <w:sz w:val="24"/>
                <w:szCs w:val="24"/>
              </w:rPr>
              <w:t xml:space="preserve"> </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研究优势，在经济转型大背景下，分析和判断宏观经济运行变化和政府产业政策等多因素影响，积极挖掘不同行业和子行业景气度新变化下的个股投资机会，通过团队对个股深入的基本面研究和细致的实地调研，精选公司品质良好、成长具有可持续性、定价相对合理的股票进行投资，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富时中国</w:t>
            </w:r>
            <w:r w:rsidRPr="00414345">
              <w:rPr>
                <w:color w:val="000000"/>
                <w:kern w:val="0"/>
                <w:sz w:val="24"/>
                <w:szCs w:val="24"/>
              </w:rPr>
              <w:t>A600</w:t>
            </w:r>
            <w:r w:rsidRPr="00414345">
              <w:rPr>
                <w:color w:val="000000"/>
                <w:kern w:val="0"/>
                <w:sz w:val="24"/>
                <w:szCs w:val="24"/>
              </w:rPr>
              <w:t>成长指数</w:t>
            </w:r>
            <w:r w:rsidRPr="00414345">
              <w:rPr>
                <w:color w:val="000000"/>
                <w:kern w:val="0"/>
                <w:sz w:val="24"/>
                <w:szCs w:val="24"/>
              </w:rPr>
              <w:t>+25%×</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w:t>
            </w:r>
            <w:r w:rsidRPr="00414345">
              <w:rPr>
                <w:color w:val="000000"/>
                <w:kern w:val="0"/>
                <w:sz w:val="24"/>
                <w:szCs w:val="24"/>
              </w:rPr>
              <w:lastRenderedPageBreak/>
              <w:t>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招商银行股份有限公司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374824" w:rsidRPr="00414345" w:rsidTr="00374824">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(2017</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-2017</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374824" w:rsidRPr="00414345" w:rsidTr="0037482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18,771,443.39</w:t>
            </w:r>
          </w:p>
        </w:tc>
      </w:tr>
      <w:tr w:rsidR="00374824" w:rsidRPr="00414345" w:rsidTr="0037482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35,392,609.43</w:t>
            </w:r>
          </w:p>
        </w:tc>
      </w:tr>
      <w:tr w:rsidR="00374824" w:rsidRPr="00414345" w:rsidTr="0037482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0.1296</w:t>
            </w:r>
          </w:p>
        </w:tc>
      </w:tr>
      <w:tr w:rsidR="00374824" w:rsidRPr="00414345" w:rsidTr="0037482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559,218,405.41</w:t>
            </w:r>
          </w:p>
        </w:tc>
      </w:tr>
      <w:tr w:rsidR="00374824" w:rsidRPr="00414345" w:rsidTr="00374824">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1.978</w:t>
            </w:r>
          </w:p>
        </w:tc>
      </w:tr>
    </w:tbl>
    <w:p w:rsidR="00484610" w:rsidRDefault="00374824">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374824">
      <w:pPr>
        <w:autoSpaceDE w:val="0"/>
        <w:autoSpaceDN w:val="0"/>
        <w:adjustRightInd w:val="0"/>
        <w:spacing w:before="29" w:line="288" w:lineRule="auto"/>
        <w:ind w:firstLineChars="200" w:firstLine="480"/>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484610">
        <w:trPr>
          <w:jc w:val="center"/>
        </w:trPr>
        <w:tc>
          <w:tcPr>
            <w:tcW w:w="1701" w:type="dxa"/>
            <w:vAlign w:val="center"/>
          </w:tcPr>
          <w:p w:rsidR="00484610" w:rsidRDefault="00374824">
            <w:pPr>
              <w:jc w:val="left"/>
            </w:pPr>
            <w:r>
              <w:rPr>
                <w:color w:val="000000"/>
                <w:sz w:val="24"/>
                <w:szCs w:val="24"/>
              </w:rPr>
              <w:t>过去三个月</w:t>
            </w:r>
          </w:p>
        </w:tc>
        <w:tc>
          <w:tcPr>
            <w:tcW w:w="1045" w:type="dxa"/>
            <w:vAlign w:val="center"/>
          </w:tcPr>
          <w:p w:rsidR="00484610" w:rsidRDefault="00374824">
            <w:pPr>
              <w:jc w:val="center"/>
            </w:pPr>
            <w:r>
              <w:rPr>
                <w:color w:val="000000"/>
                <w:sz w:val="24"/>
                <w:szCs w:val="24"/>
              </w:rPr>
              <w:t>7.03%</w:t>
            </w:r>
          </w:p>
        </w:tc>
        <w:tc>
          <w:tcPr>
            <w:tcW w:w="1344" w:type="dxa"/>
            <w:vAlign w:val="center"/>
          </w:tcPr>
          <w:p w:rsidR="00484610" w:rsidRDefault="00374824">
            <w:pPr>
              <w:jc w:val="center"/>
            </w:pPr>
            <w:r>
              <w:rPr>
                <w:color w:val="000000"/>
                <w:sz w:val="24"/>
                <w:szCs w:val="24"/>
              </w:rPr>
              <w:t>0.83%</w:t>
            </w:r>
          </w:p>
        </w:tc>
        <w:tc>
          <w:tcPr>
            <w:tcW w:w="1194" w:type="dxa"/>
            <w:vAlign w:val="center"/>
          </w:tcPr>
          <w:p w:rsidR="00484610" w:rsidRDefault="00374824">
            <w:pPr>
              <w:jc w:val="center"/>
            </w:pPr>
            <w:r>
              <w:rPr>
                <w:color w:val="000000"/>
                <w:sz w:val="24"/>
                <w:szCs w:val="24"/>
              </w:rPr>
              <w:t>1.82%</w:t>
            </w:r>
          </w:p>
        </w:tc>
        <w:tc>
          <w:tcPr>
            <w:tcW w:w="1492" w:type="dxa"/>
            <w:vAlign w:val="center"/>
          </w:tcPr>
          <w:p w:rsidR="00484610" w:rsidRDefault="00374824">
            <w:pPr>
              <w:jc w:val="center"/>
            </w:pPr>
            <w:r>
              <w:rPr>
                <w:color w:val="000000"/>
                <w:sz w:val="24"/>
                <w:szCs w:val="24"/>
              </w:rPr>
              <w:t>0.44%</w:t>
            </w:r>
          </w:p>
        </w:tc>
        <w:tc>
          <w:tcPr>
            <w:tcW w:w="1194" w:type="dxa"/>
            <w:vAlign w:val="center"/>
          </w:tcPr>
          <w:p w:rsidR="00484610" w:rsidRDefault="00374824">
            <w:pPr>
              <w:jc w:val="center"/>
            </w:pPr>
            <w:r>
              <w:rPr>
                <w:color w:val="000000"/>
                <w:sz w:val="24"/>
                <w:szCs w:val="24"/>
              </w:rPr>
              <w:t>5.21%</w:t>
            </w:r>
          </w:p>
        </w:tc>
        <w:tc>
          <w:tcPr>
            <w:tcW w:w="898" w:type="dxa"/>
            <w:vAlign w:val="center"/>
          </w:tcPr>
          <w:p w:rsidR="00484610" w:rsidRDefault="00374824">
            <w:pPr>
              <w:jc w:val="center"/>
            </w:pPr>
            <w:r>
              <w:rPr>
                <w:color w:val="000000"/>
                <w:sz w:val="24"/>
                <w:szCs w:val="24"/>
              </w:rPr>
              <w:t>0.39%</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富时中国</w:t>
      </w:r>
      <w:r w:rsidRPr="00414345">
        <w:rPr>
          <w:color w:val="000000"/>
          <w:sz w:val="24"/>
          <w:szCs w:val="24"/>
        </w:rPr>
        <w:t>A600</w:t>
      </w:r>
      <w:r w:rsidRPr="00414345">
        <w:rPr>
          <w:color w:val="000000"/>
          <w:sz w:val="24"/>
          <w:szCs w:val="24"/>
        </w:rPr>
        <w:t>成长指数</w:t>
      </w:r>
      <w:r w:rsidRPr="00414345">
        <w:rPr>
          <w:color w:val="000000"/>
          <w:sz w:val="24"/>
          <w:szCs w:val="24"/>
        </w:rPr>
        <w:t>+25%×</w:t>
      </w:r>
      <w:r w:rsidRPr="00414345">
        <w:rPr>
          <w:color w:val="000000"/>
          <w:sz w:val="24"/>
          <w:szCs w:val="24"/>
        </w:rPr>
        <w:t>中信标普全债指数</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富时中国</w:t>
      </w:r>
      <w:r w:rsidRPr="00414345">
        <w:rPr>
          <w:color w:val="000000"/>
          <w:sz w:val="24"/>
          <w:szCs w:val="24"/>
        </w:rPr>
        <w:t>A600</w:t>
      </w:r>
      <w:r w:rsidRPr="00414345">
        <w:rPr>
          <w:color w:val="000000"/>
          <w:sz w:val="24"/>
          <w:szCs w:val="24"/>
        </w:rPr>
        <w:t>成长指数</w:t>
      </w:r>
      <w:r w:rsidRPr="00414345">
        <w:rPr>
          <w:color w:val="000000"/>
          <w:sz w:val="24"/>
          <w:szCs w:val="24"/>
        </w:rPr>
        <w:t>+25%×</w:t>
      </w:r>
      <w:r w:rsidRPr="00414345">
        <w:rPr>
          <w:color w:val="000000"/>
          <w:sz w:val="24"/>
          <w:szCs w:val="24"/>
        </w:rPr>
        <w:t>中证综合债券指数</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w:t>
      </w:r>
      <w:r w:rsidR="00C6002A" w:rsidRPr="00414345">
        <w:rPr>
          <w:b/>
          <w:bCs/>
          <w:color w:val="000000"/>
          <w:sz w:val="24"/>
        </w:rPr>
        <w:lastRenderedPageBreak/>
        <w:t>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交银施罗德新成长混合型证券投资基金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2014</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5</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9</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2017</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3</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484610">
        <w:trPr>
          <w:jc w:val="center"/>
        </w:trPr>
        <w:tc>
          <w:tcPr>
            <w:tcW w:w="846" w:type="dxa"/>
            <w:vAlign w:val="center"/>
          </w:tcPr>
          <w:p w:rsidR="00484610" w:rsidRDefault="00374824">
            <w:pPr>
              <w:jc w:val="center"/>
            </w:pPr>
            <w:r>
              <w:rPr>
                <w:color w:val="000000"/>
                <w:sz w:val="24"/>
                <w:szCs w:val="24"/>
              </w:rPr>
              <w:t>王崇</w:t>
            </w:r>
          </w:p>
        </w:tc>
        <w:tc>
          <w:tcPr>
            <w:tcW w:w="845" w:type="dxa"/>
            <w:vAlign w:val="center"/>
          </w:tcPr>
          <w:p w:rsidR="00484610" w:rsidRDefault="00374824">
            <w:pPr>
              <w:jc w:val="center"/>
            </w:pPr>
            <w:r>
              <w:rPr>
                <w:color w:val="000000"/>
                <w:sz w:val="24"/>
                <w:szCs w:val="24"/>
              </w:rPr>
              <w:t>交银新成长混合的基金经理</w:t>
            </w:r>
          </w:p>
        </w:tc>
        <w:tc>
          <w:tcPr>
            <w:tcW w:w="1549" w:type="dxa"/>
            <w:vAlign w:val="center"/>
          </w:tcPr>
          <w:p w:rsidR="00484610" w:rsidRDefault="00374824">
            <w:pPr>
              <w:jc w:val="center"/>
            </w:pPr>
            <w:r>
              <w:rPr>
                <w:color w:val="000000"/>
                <w:sz w:val="24"/>
                <w:szCs w:val="24"/>
              </w:rPr>
              <w:t>2014-10-22</w:t>
            </w:r>
          </w:p>
        </w:tc>
        <w:tc>
          <w:tcPr>
            <w:tcW w:w="1548" w:type="dxa"/>
            <w:vAlign w:val="center"/>
          </w:tcPr>
          <w:p w:rsidR="00484610" w:rsidRDefault="00374824">
            <w:pPr>
              <w:jc w:val="center"/>
            </w:pPr>
            <w:r>
              <w:rPr>
                <w:color w:val="000000"/>
                <w:sz w:val="24"/>
                <w:szCs w:val="24"/>
              </w:rPr>
              <w:t>-</w:t>
            </w:r>
          </w:p>
        </w:tc>
        <w:tc>
          <w:tcPr>
            <w:tcW w:w="1407" w:type="dxa"/>
            <w:vAlign w:val="center"/>
          </w:tcPr>
          <w:p w:rsidR="00484610" w:rsidRDefault="00374824">
            <w:pPr>
              <w:jc w:val="center"/>
            </w:pPr>
            <w:r>
              <w:rPr>
                <w:color w:val="000000"/>
                <w:sz w:val="24"/>
                <w:szCs w:val="24"/>
              </w:rPr>
              <w:t>9</w:t>
            </w:r>
            <w:r>
              <w:rPr>
                <w:color w:val="000000"/>
                <w:sz w:val="24"/>
                <w:szCs w:val="24"/>
              </w:rPr>
              <w:t>年</w:t>
            </w:r>
          </w:p>
        </w:tc>
        <w:tc>
          <w:tcPr>
            <w:tcW w:w="2673" w:type="dxa"/>
            <w:vAlign w:val="center"/>
          </w:tcPr>
          <w:p w:rsidR="00484610" w:rsidRDefault="00374824">
            <w:r>
              <w:rPr>
                <w:color w:val="000000"/>
                <w:sz w:val="24"/>
                <w:szCs w:val="24"/>
              </w:rPr>
              <w:t>王崇先生，北京大学金融学博士。</w:t>
            </w:r>
            <w:r>
              <w:rPr>
                <w:color w:val="000000"/>
                <w:sz w:val="24"/>
                <w:szCs w:val="24"/>
              </w:rPr>
              <w:t>2008</w:t>
            </w:r>
            <w:r>
              <w:rPr>
                <w:color w:val="000000"/>
                <w:sz w:val="24"/>
                <w:szCs w:val="24"/>
              </w:rPr>
              <w:t>年加入交银施罗德基金管理有限公司，历任行业分析师、高级研究员。</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lastRenderedPageBreak/>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484610" w:rsidRDefault="00374824">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484610" w:rsidRDefault="00374824">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484610" w:rsidRDefault="00374824">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484610" w:rsidRDefault="00374824">
      <w:pPr>
        <w:spacing w:before="29" w:line="288" w:lineRule="auto"/>
        <w:ind w:firstLineChars="200" w:firstLine="480"/>
        <w:rPr>
          <w:color w:val="000000"/>
          <w:sz w:val="24"/>
          <w:szCs w:val="24"/>
        </w:rPr>
      </w:pPr>
      <w:r>
        <w:rPr>
          <w:color w:val="000000"/>
          <w:sz w:val="24"/>
          <w:szCs w:val="24"/>
        </w:rPr>
        <w:t>2017</w:t>
      </w:r>
      <w:r>
        <w:rPr>
          <w:color w:val="000000"/>
          <w:sz w:val="24"/>
          <w:szCs w:val="24"/>
        </w:rPr>
        <w:t>年一季度经济延续去年以来的复苏趋势进入过热阶段，通胀维持较高位置，利率维持高位，房价继续上涨。宏观政策方面整体维持中性略偏紧货币政策，但一季度去杠杆防风险紧缩力度比预期弱。一季度</w:t>
      </w:r>
      <w:r>
        <w:rPr>
          <w:color w:val="000000"/>
          <w:sz w:val="24"/>
          <w:szCs w:val="24"/>
        </w:rPr>
        <w:t>A</w:t>
      </w:r>
      <w:r>
        <w:rPr>
          <w:color w:val="000000"/>
          <w:sz w:val="24"/>
          <w:szCs w:val="24"/>
        </w:rPr>
        <w:t>股市场在</w:t>
      </w:r>
      <w:r>
        <w:rPr>
          <w:color w:val="000000"/>
          <w:sz w:val="24"/>
          <w:szCs w:val="24"/>
        </w:rPr>
        <w:t>1</w:t>
      </w:r>
      <w:r>
        <w:rPr>
          <w:color w:val="000000"/>
          <w:sz w:val="24"/>
          <w:szCs w:val="24"/>
        </w:rPr>
        <w:t>月份短暂回调后持续小幅反弹，其中传统行业低估值价值股表现大幅好于新兴产业成长股，家电、食品饮料、建筑建材等行业涨幅居前，计算机、纺织服装、传媒等行业跌幅居前。</w:t>
      </w:r>
    </w:p>
    <w:p w:rsidR="00484610" w:rsidRDefault="00374824">
      <w:pPr>
        <w:spacing w:before="29" w:line="288" w:lineRule="auto"/>
        <w:ind w:firstLineChars="200" w:firstLine="480"/>
        <w:rPr>
          <w:color w:val="000000"/>
          <w:sz w:val="24"/>
          <w:szCs w:val="24"/>
        </w:rPr>
      </w:pPr>
      <w:r>
        <w:rPr>
          <w:color w:val="000000"/>
          <w:sz w:val="24"/>
          <w:szCs w:val="24"/>
        </w:rPr>
        <w:t>本基金一季度采取稳健投资策略，维持中性仓位，精选估值合理的优质新兴成长股布局，超配了医药、电子、高端制造等新兴产业。整体来看本基金业绩跑赢业绩比较基准，并获得正回报。</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lastRenderedPageBreak/>
        <w:t>展望二季度的</w:t>
      </w:r>
      <w:r w:rsidRPr="00414345">
        <w:rPr>
          <w:color w:val="000000"/>
          <w:sz w:val="24"/>
          <w:szCs w:val="24"/>
        </w:rPr>
        <w:t>A</w:t>
      </w:r>
      <w:r w:rsidRPr="00414345">
        <w:rPr>
          <w:color w:val="000000"/>
          <w:sz w:val="24"/>
          <w:szCs w:val="24"/>
        </w:rPr>
        <w:t>股市场，我们继续维持谨慎乐观的态度。一方面，国内通胀压力仍旧较大，资产价格尤其是房地产价格高企，海外美联储延续加息趋势，国内货币政策后续易紧难松；另一方面，自下而上来看，部分新兴成长子行业景气良好，一批估值合理的优质公司中期来看投资价值明显。本基金二季度将继续关注医药、电子、高端制造、通信等新兴产业的投资机会，精选新兴成长优质公司，坚守安全边际，努力为基金持有人带来较为稳定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2017</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日，本基金份额净值为</w:t>
      </w:r>
      <w:r w:rsidRPr="00414345">
        <w:rPr>
          <w:color w:val="000000"/>
          <w:sz w:val="24"/>
          <w:szCs w:val="24"/>
        </w:rPr>
        <w:t>1.978</w:t>
      </w:r>
      <w:r w:rsidRPr="00414345">
        <w:rPr>
          <w:color w:val="000000"/>
          <w:sz w:val="24"/>
          <w:szCs w:val="24"/>
        </w:rPr>
        <w:t>元，本报告期份额净值增长率为</w:t>
      </w:r>
      <w:r w:rsidRPr="00414345">
        <w:rPr>
          <w:color w:val="000000"/>
          <w:sz w:val="24"/>
          <w:szCs w:val="24"/>
        </w:rPr>
        <w:t>7.03%</w:t>
      </w:r>
      <w:r w:rsidRPr="00414345">
        <w:rPr>
          <w:color w:val="000000"/>
          <w:sz w:val="24"/>
          <w:szCs w:val="24"/>
        </w:rPr>
        <w:t>，同期业绩比较基准增长率为</w:t>
      </w:r>
      <w:r w:rsidRPr="00414345">
        <w:rPr>
          <w:color w:val="000000"/>
          <w:sz w:val="24"/>
          <w:szCs w:val="24"/>
        </w:rPr>
        <w:t>1.82%</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AB0A81" w:rsidRPr="00AB0A81" w:rsidRDefault="00AB0A81" w:rsidP="00421CD2">
      <w:pPr>
        <w:spacing w:before="29" w:line="288" w:lineRule="auto"/>
        <w:ind w:firstLineChars="200" w:firstLine="480"/>
        <w:rPr>
          <w:color w:val="000000"/>
          <w:sz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452,068,554.98</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75.98</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452,068,554.98</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75.98</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20,173,000.00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3.39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20,173,000.00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3.39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95,194,409.63</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16.00</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27,547,790.38</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4.63</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594,983,754.99</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lastRenderedPageBreak/>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301,432,121.92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53.90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135,563.04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56,896.00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29,459,207.61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5.27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14,126,083.02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2.53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41,976,920.00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7.51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7,302,000.00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16,930.16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7,785,000.00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32,817,395.12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5.87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16,960,438.11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452,068,554.98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80.84</w:t>
            </w:r>
          </w:p>
        </w:tc>
      </w:tr>
    </w:tbl>
    <w:p w:rsidR="00AB0A81" w:rsidRDefault="00AB0A81"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本基金本报告期末未持有通过沪港通投资的股票。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lastRenderedPageBreak/>
              <w:t>（％）</w:t>
            </w:r>
          </w:p>
        </w:tc>
      </w:tr>
      <w:tr w:rsidR="00484610">
        <w:trPr>
          <w:jc w:val="center"/>
        </w:trPr>
        <w:tc>
          <w:tcPr>
            <w:tcW w:w="855" w:type="dxa"/>
            <w:vAlign w:val="center"/>
          </w:tcPr>
          <w:p w:rsidR="00484610" w:rsidRDefault="00374824">
            <w:pPr>
              <w:jc w:val="center"/>
            </w:pPr>
            <w:r>
              <w:rPr>
                <w:color w:val="000000"/>
                <w:sz w:val="24"/>
                <w:szCs w:val="24"/>
              </w:rPr>
              <w:lastRenderedPageBreak/>
              <w:t>1</w:t>
            </w:r>
          </w:p>
        </w:tc>
        <w:tc>
          <w:tcPr>
            <w:tcW w:w="1334" w:type="dxa"/>
            <w:vAlign w:val="center"/>
          </w:tcPr>
          <w:p w:rsidR="00484610" w:rsidRDefault="00374824">
            <w:pPr>
              <w:jc w:val="center"/>
            </w:pPr>
            <w:r>
              <w:rPr>
                <w:color w:val="000000"/>
                <w:sz w:val="24"/>
                <w:szCs w:val="24"/>
              </w:rPr>
              <w:t>002045</w:t>
            </w:r>
          </w:p>
        </w:tc>
        <w:tc>
          <w:tcPr>
            <w:tcW w:w="1777" w:type="dxa"/>
            <w:vAlign w:val="center"/>
          </w:tcPr>
          <w:p w:rsidR="00484610" w:rsidRDefault="00374824">
            <w:pPr>
              <w:jc w:val="center"/>
            </w:pPr>
            <w:r>
              <w:rPr>
                <w:color w:val="000000"/>
                <w:sz w:val="24"/>
                <w:szCs w:val="24"/>
              </w:rPr>
              <w:t>国光电器</w:t>
            </w:r>
          </w:p>
        </w:tc>
        <w:tc>
          <w:tcPr>
            <w:tcW w:w="1334" w:type="dxa"/>
            <w:vAlign w:val="center"/>
          </w:tcPr>
          <w:p w:rsidR="00484610" w:rsidRDefault="00374824">
            <w:pPr>
              <w:jc w:val="right"/>
            </w:pPr>
            <w:r>
              <w:rPr>
                <w:color w:val="000000"/>
                <w:sz w:val="24"/>
                <w:szCs w:val="24"/>
              </w:rPr>
              <w:t>2,800,001</w:t>
            </w:r>
          </w:p>
        </w:tc>
        <w:tc>
          <w:tcPr>
            <w:tcW w:w="1924" w:type="dxa"/>
            <w:vAlign w:val="center"/>
          </w:tcPr>
          <w:p w:rsidR="00484610" w:rsidRDefault="00374824">
            <w:pPr>
              <w:jc w:val="right"/>
            </w:pPr>
            <w:r>
              <w:rPr>
                <w:color w:val="000000"/>
                <w:sz w:val="24"/>
                <w:szCs w:val="24"/>
              </w:rPr>
              <w:t>44,240,015.80</w:t>
            </w:r>
          </w:p>
        </w:tc>
        <w:tc>
          <w:tcPr>
            <w:tcW w:w="1644" w:type="dxa"/>
            <w:vAlign w:val="center"/>
          </w:tcPr>
          <w:p w:rsidR="00484610" w:rsidRDefault="00374824">
            <w:pPr>
              <w:jc w:val="right"/>
            </w:pPr>
            <w:r>
              <w:rPr>
                <w:color w:val="000000"/>
                <w:sz w:val="24"/>
                <w:szCs w:val="24"/>
              </w:rPr>
              <w:t>7.91</w:t>
            </w:r>
          </w:p>
        </w:tc>
      </w:tr>
      <w:tr w:rsidR="00484610">
        <w:trPr>
          <w:jc w:val="center"/>
        </w:trPr>
        <w:tc>
          <w:tcPr>
            <w:tcW w:w="855" w:type="dxa"/>
            <w:vAlign w:val="center"/>
          </w:tcPr>
          <w:p w:rsidR="00484610" w:rsidRDefault="00374824">
            <w:pPr>
              <w:jc w:val="center"/>
            </w:pPr>
            <w:r>
              <w:rPr>
                <w:color w:val="000000"/>
                <w:sz w:val="24"/>
                <w:szCs w:val="24"/>
              </w:rPr>
              <w:t>2</w:t>
            </w:r>
          </w:p>
        </w:tc>
        <w:tc>
          <w:tcPr>
            <w:tcW w:w="1334" w:type="dxa"/>
            <w:vAlign w:val="center"/>
          </w:tcPr>
          <w:p w:rsidR="00484610" w:rsidRDefault="00374824">
            <w:pPr>
              <w:jc w:val="center"/>
            </w:pPr>
            <w:r>
              <w:rPr>
                <w:color w:val="000000"/>
                <w:sz w:val="24"/>
                <w:szCs w:val="24"/>
              </w:rPr>
              <w:t>300115</w:t>
            </w:r>
          </w:p>
        </w:tc>
        <w:tc>
          <w:tcPr>
            <w:tcW w:w="1777" w:type="dxa"/>
            <w:vAlign w:val="center"/>
          </w:tcPr>
          <w:p w:rsidR="00484610" w:rsidRDefault="00374824">
            <w:pPr>
              <w:jc w:val="center"/>
            </w:pPr>
            <w:r>
              <w:rPr>
                <w:color w:val="000000"/>
                <w:sz w:val="24"/>
                <w:szCs w:val="24"/>
              </w:rPr>
              <w:t>长盈精密</w:t>
            </w:r>
          </w:p>
        </w:tc>
        <w:tc>
          <w:tcPr>
            <w:tcW w:w="1334" w:type="dxa"/>
            <w:vAlign w:val="center"/>
          </w:tcPr>
          <w:p w:rsidR="00484610" w:rsidRDefault="00374824">
            <w:pPr>
              <w:jc w:val="right"/>
            </w:pPr>
            <w:r>
              <w:rPr>
                <w:color w:val="000000"/>
                <w:sz w:val="24"/>
                <w:szCs w:val="24"/>
              </w:rPr>
              <w:t>1,361,721</w:t>
            </w:r>
          </w:p>
        </w:tc>
        <w:tc>
          <w:tcPr>
            <w:tcW w:w="1924" w:type="dxa"/>
            <w:vAlign w:val="center"/>
          </w:tcPr>
          <w:p w:rsidR="00484610" w:rsidRDefault="00374824">
            <w:pPr>
              <w:jc w:val="right"/>
            </w:pPr>
            <w:r>
              <w:rPr>
                <w:color w:val="000000"/>
                <w:sz w:val="24"/>
                <w:szCs w:val="24"/>
              </w:rPr>
              <w:t>39,571,612.26</w:t>
            </w:r>
          </w:p>
        </w:tc>
        <w:tc>
          <w:tcPr>
            <w:tcW w:w="1644" w:type="dxa"/>
            <w:vAlign w:val="center"/>
          </w:tcPr>
          <w:p w:rsidR="00484610" w:rsidRDefault="00374824">
            <w:pPr>
              <w:jc w:val="right"/>
            </w:pPr>
            <w:r>
              <w:rPr>
                <w:color w:val="000000"/>
                <w:sz w:val="24"/>
                <w:szCs w:val="24"/>
              </w:rPr>
              <w:t>7.08</w:t>
            </w:r>
          </w:p>
        </w:tc>
      </w:tr>
      <w:tr w:rsidR="00484610">
        <w:trPr>
          <w:jc w:val="center"/>
        </w:trPr>
        <w:tc>
          <w:tcPr>
            <w:tcW w:w="855" w:type="dxa"/>
            <w:vAlign w:val="center"/>
          </w:tcPr>
          <w:p w:rsidR="00484610" w:rsidRDefault="00374824">
            <w:pPr>
              <w:jc w:val="center"/>
            </w:pPr>
            <w:r>
              <w:rPr>
                <w:color w:val="000000"/>
                <w:sz w:val="24"/>
                <w:szCs w:val="24"/>
              </w:rPr>
              <w:t>3</w:t>
            </w:r>
          </w:p>
        </w:tc>
        <w:tc>
          <w:tcPr>
            <w:tcW w:w="1334" w:type="dxa"/>
            <w:vAlign w:val="center"/>
          </w:tcPr>
          <w:p w:rsidR="00484610" w:rsidRDefault="00374824">
            <w:pPr>
              <w:jc w:val="center"/>
            </w:pPr>
            <w:r>
              <w:rPr>
                <w:color w:val="000000"/>
                <w:sz w:val="24"/>
                <w:szCs w:val="24"/>
              </w:rPr>
              <w:t>300308</w:t>
            </w:r>
          </w:p>
        </w:tc>
        <w:tc>
          <w:tcPr>
            <w:tcW w:w="1777" w:type="dxa"/>
            <w:vAlign w:val="center"/>
          </w:tcPr>
          <w:p w:rsidR="00484610" w:rsidRDefault="00374824">
            <w:pPr>
              <w:jc w:val="center"/>
            </w:pPr>
            <w:r>
              <w:rPr>
                <w:color w:val="000000"/>
                <w:sz w:val="24"/>
                <w:szCs w:val="24"/>
              </w:rPr>
              <w:t>中际装备</w:t>
            </w:r>
          </w:p>
        </w:tc>
        <w:tc>
          <w:tcPr>
            <w:tcW w:w="1334" w:type="dxa"/>
            <w:vAlign w:val="center"/>
          </w:tcPr>
          <w:p w:rsidR="00484610" w:rsidRDefault="00374824">
            <w:pPr>
              <w:jc w:val="right"/>
            </w:pPr>
            <w:r>
              <w:rPr>
                <w:color w:val="000000"/>
                <w:sz w:val="24"/>
                <w:szCs w:val="24"/>
              </w:rPr>
              <w:t>1,104,818</w:t>
            </w:r>
          </w:p>
        </w:tc>
        <w:tc>
          <w:tcPr>
            <w:tcW w:w="1924" w:type="dxa"/>
            <w:vAlign w:val="center"/>
          </w:tcPr>
          <w:p w:rsidR="00484610" w:rsidRDefault="00374824">
            <w:pPr>
              <w:jc w:val="right"/>
            </w:pPr>
            <w:r>
              <w:rPr>
                <w:color w:val="000000"/>
                <w:sz w:val="24"/>
                <w:szCs w:val="24"/>
              </w:rPr>
              <w:t>37,895,257.40</w:t>
            </w:r>
          </w:p>
        </w:tc>
        <w:tc>
          <w:tcPr>
            <w:tcW w:w="1644" w:type="dxa"/>
            <w:vAlign w:val="center"/>
          </w:tcPr>
          <w:p w:rsidR="00484610" w:rsidRDefault="00374824">
            <w:pPr>
              <w:jc w:val="right"/>
            </w:pPr>
            <w:r>
              <w:rPr>
                <w:color w:val="000000"/>
                <w:sz w:val="24"/>
                <w:szCs w:val="24"/>
              </w:rPr>
              <w:t>6.78</w:t>
            </w:r>
          </w:p>
        </w:tc>
      </w:tr>
      <w:tr w:rsidR="00484610">
        <w:trPr>
          <w:jc w:val="center"/>
        </w:trPr>
        <w:tc>
          <w:tcPr>
            <w:tcW w:w="855" w:type="dxa"/>
            <w:vAlign w:val="center"/>
          </w:tcPr>
          <w:p w:rsidR="00484610" w:rsidRDefault="00374824">
            <w:pPr>
              <w:jc w:val="center"/>
            </w:pPr>
            <w:r>
              <w:rPr>
                <w:color w:val="000000"/>
                <w:sz w:val="24"/>
                <w:szCs w:val="24"/>
              </w:rPr>
              <w:t>4</w:t>
            </w:r>
          </w:p>
        </w:tc>
        <w:tc>
          <w:tcPr>
            <w:tcW w:w="1334" w:type="dxa"/>
            <w:vAlign w:val="center"/>
          </w:tcPr>
          <w:p w:rsidR="00484610" w:rsidRDefault="00374824">
            <w:pPr>
              <w:jc w:val="center"/>
            </w:pPr>
            <w:r>
              <w:rPr>
                <w:color w:val="000000"/>
                <w:sz w:val="24"/>
                <w:szCs w:val="24"/>
              </w:rPr>
              <w:t>300347</w:t>
            </w:r>
          </w:p>
        </w:tc>
        <w:tc>
          <w:tcPr>
            <w:tcW w:w="1777" w:type="dxa"/>
            <w:vAlign w:val="center"/>
          </w:tcPr>
          <w:p w:rsidR="00484610" w:rsidRDefault="00374824">
            <w:pPr>
              <w:jc w:val="center"/>
            </w:pPr>
            <w:r>
              <w:rPr>
                <w:color w:val="000000"/>
                <w:sz w:val="24"/>
                <w:szCs w:val="24"/>
              </w:rPr>
              <w:t>泰格医药</w:t>
            </w:r>
          </w:p>
        </w:tc>
        <w:tc>
          <w:tcPr>
            <w:tcW w:w="1334" w:type="dxa"/>
            <w:vAlign w:val="center"/>
          </w:tcPr>
          <w:p w:rsidR="00484610" w:rsidRDefault="00374824">
            <w:pPr>
              <w:jc w:val="right"/>
            </w:pPr>
            <w:r>
              <w:rPr>
                <w:color w:val="000000"/>
                <w:sz w:val="24"/>
                <w:szCs w:val="24"/>
              </w:rPr>
              <w:t>1,278,932</w:t>
            </w:r>
          </w:p>
        </w:tc>
        <w:tc>
          <w:tcPr>
            <w:tcW w:w="1924" w:type="dxa"/>
            <w:vAlign w:val="center"/>
          </w:tcPr>
          <w:p w:rsidR="00484610" w:rsidRDefault="00374824">
            <w:pPr>
              <w:jc w:val="right"/>
            </w:pPr>
            <w:r>
              <w:rPr>
                <w:color w:val="000000"/>
                <w:sz w:val="24"/>
                <w:szCs w:val="24"/>
              </w:rPr>
              <w:t>32,817,395.12</w:t>
            </w:r>
          </w:p>
        </w:tc>
        <w:tc>
          <w:tcPr>
            <w:tcW w:w="1644" w:type="dxa"/>
            <w:vAlign w:val="center"/>
          </w:tcPr>
          <w:p w:rsidR="00484610" w:rsidRDefault="00374824">
            <w:pPr>
              <w:jc w:val="right"/>
            </w:pPr>
            <w:r>
              <w:rPr>
                <w:color w:val="000000"/>
                <w:sz w:val="24"/>
                <w:szCs w:val="24"/>
              </w:rPr>
              <w:t>5.87</w:t>
            </w:r>
          </w:p>
        </w:tc>
      </w:tr>
      <w:tr w:rsidR="00484610">
        <w:trPr>
          <w:jc w:val="center"/>
        </w:trPr>
        <w:tc>
          <w:tcPr>
            <w:tcW w:w="855" w:type="dxa"/>
            <w:vAlign w:val="center"/>
          </w:tcPr>
          <w:p w:rsidR="00484610" w:rsidRDefault="00374824">
            <w:pPr>
              <w:jc w:val="center"/>
            </w:pPr>
            <w:r>
              <w:rPr>
                <w:color w:val="000000"/>
                <w:sz w:val="24"/>
                <w:szCs w:val="24"/>
              </w:rPr>
              <w:t>5</w:t>
            </w:r>
          </w:p>
        </w:tc>
        <w:tc>
          <w:tcPr>
            <w:tcW w:w="1334" w:type="dxa"/>
            <w:vAlign w:val="center"/>
          </w:tcPr>
          <w:p w:rsidR="00484610" w:rsidRDefault="00374824">
            <w:pPr>
              <w:jc w:val="center"/>
            </w:pPr>
            <w:r>
              <w:rPr>
                <w:color w:val="000000"/>
                <w:sz w:val="24"/>
                <w:szCs w:val="24"/>
              </w:rPr>
              <w:t>002120</w:t>
            </w:r>
          </w:p>
        </w:tc>
        <w:tc>
          <w:tcPr>
            <w:tcW w:w="1777" w:type="dxa"/>
            <w:vAlign w:val="center"/>
          </w:tcPr>
          <w:p w:rsidR="00484610" w:rsidRDefault="00374824">
            <w:pPr>
              <w:jc w:val="center"/>
            </w:pPr>
            <w:r>
              <w:rPr>
                <w:color w:val="000000"/>
                <w:sz w:val="24"/>
                <w:szCs w:val="24"/>
              </w:rPr>
              <w:t>韵达股份</w:t>
            </w:r>
          </w:p>
        </w:tc>
        <w:tc>
          <w:tcPr>
            <w:tcW w:w="1334" w:type="dxa"/>
            <w:vAlign w:val="center"/>
          </w:tcPr>
          <w:p w:rsidR="00484610" w:rsidRDefault="00374824">
            <w:pPr>
              <w:jc w:val="right"/>
            </w:pPr>
            <w:r>
              <w:rPr>
                <w:color w:val="000000"/>
                <w:sz w:val="24"/>
                <w:szCs w:val="24"/>
              </w:rPr>
              <w:t>629,067</w:t>
            </w:r>
          </w:p>
        </w:tc>
        <w:tc>
          <w:tcPr>
            <w:tcW w:w="1924" w:type="dxa"/>
            <w:vAlign w:val="center"/>
          </w:tcPr>
          <w:p w:rsidR="00484610" w:rsidRDefault="00374824">
            <w:pPr>
              <w:jc w:val="right"/>
            </w:pPr>
            <w:r>
              <w:rPr>
                <w:color w:val="000000"/>
                <w:sz w:val="24"/>
                <w:szCs w:val="24"/>
              </w:rPr>
              <w:t>29,459,207.61</w:t>
            </w:r>
          </w:p>
        </w:tc>
        <w:tc>
          <w:tcPr>
            <w:tcW w:w="1644" w:type="dxa"/>
            <w:vAlign w:val="center"/>
          </w:tcPr>
          <w:p w:rsidR="00484610" w:rsidRDefault="00374824">
            <w:pPr>
              <w:jc w:val="right"/>
            </w:pPr>
            <w:r>
              <w:rPr>
                <w:color w:val="000000"/>
                <w:sz w:val="24"/>
                <w:szCs w:val="24"/>
              </w:rPr>
              <w:t>5.27</w:t>
            </w:r>
          </w:p>
        </w:tc>
      </w:tr>
      <w:tr w:rsidR="00484610">
        <w:trPr>
          <w:jc w:val="center"/>
        </w:trPr>
        <w:tc>
          <w:tcPr>
            <w:tcW w:w="855" w:type="dxa"/>
            <w:vAlign w:val="center"/>
          </w:tcPr>
          <w:p w:rsidR="00484610" w:rsidRDefault="00374824">
            <w:pPr>
              <w:jc w:val="center"/>
            </w:pPr>
            <w:r>
              <w:rPr>
                <w:color w:val="000000"/>
                <w:sz w:val="24"/>
                <w:szCs w:val="24"/>
              </w:rPr>
              <w:t>6</w:t>
            </w:r>
          </w:p>
        </w:tc>
        <w:tc>
          <w:tcPr>
            <w:tcW w:w="1334" w:type="dxa"/>
            <w:vAlign w:val="center"/>
          </w:tcPr>
          <w:p w:rsidR="00484610" w:rsidRDefault="00374824">
            <w:pPr>
              <w:jc w:val="center"/>
            </w:pPr>
            <w:r>
              <w:rPr>
                <w:color w:val="000000"/>
                <w:sz w:val="24"/>
                <w:szCs w:val="24"/>
              </w:rPr>
              <w:t>000423</w:t>
            </w:r>
          </w:p>
        </w:tc>
        <w:tc>
          <w:tcPr>
            <w:tcW w:w="1777" w:type="dxa"/>
            <w:vAlign w:val="center"/>
          </w:tcPr>
          <w:p w:rsidR="00484610" w:rsidRDefault="00374824">
            <w:pPr>
              <w:jc w:val="center"/>
            </w:pPr>
            <w:r>
              <w:rPr>
                <w:color w:val="000000"/>
                <w:sz w:val="24"/>
                <w:szCs w:val="24"/>
              </w:rPr>
              <w:t>东阿阿胶</w:t>
            </w:r>
          </w:p>
        </w:tc>
        <w:tc>
          <w:tcPr>
            <w:tcW w:w="1334" w:type="dxa"/>
            <w:vAlign w:val="center"/>
          </w:tcPr>
          <w:p w:rsidR="00484610" w:rsidRDefault="00374824">
            <w:pPr>
              <w:jc w:val="right"/>
            </w:pPr>
            <w:r>
              <w:rPr>
                <w:color w:val="000000"/>
                <w:sz w:val="24"/>
                <w:szCs w:val="24"/>
              </w:rPr>
              <w:t>410,000</w:t>
            </w:r>
          </w:p>
        </w:tc>
        <w:tc>
          <w:tcPr>
            <w:tcW w:w="1924" w:type="dxa"/>
            <w:vAlign w:val="center"/>
          </w:tcPr>
          <w:p w:rsidR="00484610" w:rsidRDefault="00374824">
            <w:pPr>
              <w:jc w:val="right"/>
            </w:pPr>
            <w:r>
              <w:rPr>
                <w:color w:val="000000"/>
                <w:sz w:val="24"/>
                <w:szCs w:val="24"/>
              </w:rPr>
              <w:t>26,896,000.00</w:t>
            </w:r>
          </w:p>
        </w:tc>
        <w:tc>
          <w:tcPr>
            <w:tcW w:w="1644" w:type="dxa"/>
            <w:vAlign w:val="center"/>
          </w:tcPr>
          <w:p w:rsidR="00484610" w:rsidRDefault="00374824">
            <w:pPr>
              <w:jc w:val="right"/>
            </w:pPr>
            <w:r>
              <w:rPr>
                <w:color w:val="000000"/>
                <w:sz w:val="24"/>
                <w:szCs w:val="24"/>
              </w:rPr>
              <w:t>4.81</w:t>
            </w:r>
          </w:p>
        </w:tc>
      </w:tr>
      <w:tr w:rsidR="00484610">
        <w:trPr>
          <w:jc w:val="center"/>
        </w:trPr>
        <w:tc>
          <w:tcPr>
            <w:tcW w:w="855" w:type="dxa"/>
            <w:vAlign w:val="center"/>
          </w:tcPr>
          <w:p w:rsidR="00484610" w:rsidRDefault="00374824">
            <w:pPr>
              <w:jc w:val="center"/>
            </w:pPr>
            <w:r>
              <w:rPr>
                <w:color w:val="000000"/>
                <w:sz w:val="24"/>
                <w:szCs w:val="24"/>
              </w:rPr>
              <w:t>7</w:t>
            </w:r>
          </w:p>
        </w:tc>
        <w:tc>
          <w:tcPr>
            <w:tcW w:w="1334" w:type="dxa"/>
            <w:vAlign w:val="center"/>
          </w:tcPr>
          <w:p w:rsidR="00484610" w:rsidRDefault="00374824">
            <w:pPr>
              <w:jc w:val="center"/>
            </w:pPr>
            <w:r>
              <w:rPr>
                <w:color w:val="000000"/>
                <w:sz w:val="24"/>
                <w:szCs w:val="24"/>
              </w:rPr>
              <w:t>300161</w:t>
            </w:r>
          </w:p>
        </w:tc>
        <w:tc>
          <w:tcPr>
            <w:tcW w:w="1777" w:type="dxa"/>
            <w:vAlign w:val="center"/>
          </w:tcPr>
          <w:p w:rsidR="00484610" w:rsidRDefault="00374824">
            <w:pPr>
              <w:jc w:val="center"/>
            </w:pPr>
            <w:r>
              <w:rPr>
                <w:color w:val="000000"/>
                <w:sz w:val="24"/>
                <w:szCs w:val="24"/>
              </w:rPr>
              <w:t>华中数控</w:t>
            </w:r>
          </w:p>
        </w:tc>
        <w:tc>
          <w:tcPr>
            <w:tcW w:w="1334" w:type="dxa"/>
            <w:vAlign w:val="center"/>
          </w:tcPr>
          <w:p w:rsidR="00484610" w:rsidRDefault="00374824">
            <w:pPr>
              <w:jc w:val="right"/>
            </w:pPr>
            <w:r>
              <w:rPr>
                <w:color w:val="000000"/>
                <w:sz w:val="24"/>
                <w:szCs w:val="24"/>
              </w:rPr>
              <w:t>1,074,616</w:t>
            </w:r>
          </w:p>
        </w:tc>
        <w:tc>
          <w:tcPr>
            <w:tcW w:w="1924" w:type="dxa"/>
            <w:vAlign w:val="center"/>
          </w:tcPr>
          <w:p w:rsidR="00484610" w:rsidRDefault="00374824">
            <w:pPr>
              <w:jc w:val="right"/>
            </w:pPr>
            <w:r>
              <w:rPr>
                <w:color w:val="000000"/>
                <w:sz w:val="24"/>
                <w:szCs w:val="24"/>
              </w:rPr>
              <w:t>26,714,953.76</w:t>
            </w:r>
          </w:p>
        </w:tc>
        <w:tc>
          <w:tcPr>
            <w:tcW w:w="1644" w:type="dxa"/>
            <w:vAlign w:val="center"/>
          </w:tcPr>
          <w:p w:rsidR="00484610" w:rsidRDefault="00374824">
            <w:pPr>
              <w:jc w:val="right"/>
            </w:pPr>
            <w:r>
              <w:rPr>
                <w:color w:val="000000"/>
                <w:sz w:val="24"/>
                <w:szCs w:val="24"/>
              </w:rPr>
              <w:t>4.78</w:t>
            </w:r>
          </w:p>
        </w:tc>
      </w:tr>
      <w:tr w:rsidR="00484610">
        <w:trPr>
          <w:jc w:val="center"/>
        </w:trPr>
        <w:tc>
          <w:tcPr>
            <w:tcW w:w="855" w:type="dxa"/>
            <w:vAlign w:val="center"/>
          </w:tcPr>
          <w:p w:rsidR="00484610" w:rsidRDefault="00374824">
            <w:pPr>
              <w:jc w:val="center"/>
            </w:pPr>
            <w:r>
              <w:rPr>
                <w:color w:val="000000"/>
                <w:sz w:val="24"/>
                <w:szCs w:val="24"/>
              </w:rPr>
              <w:t>8</w:t>
            </w:r>
          </w:p>
        </w:tc>
        <w:tc>
          <w:tcPr>
            <w:tcW w:w="1334" w:type="dxa"/>
            <w:vAlign w:val="center"/>
          </w:tcPr>
          <w:p w:rsidR="00484610" w:rsidRDefault="00374824">
            <w:pPr>
              <w:jc w:val="center"/>
            </w:pPr>
            <w:r>
              <w:rPr>
                <w:color w:val="000000"/>
                <w:sz w:val="24"/>
                <w:szCs w:val="24"/>
              </w:rPr>
              <w:t>601318</w:t>
            </w:r>
          </w:p>
        </w:tc>
        <w:tc>
          <w:tcPr>
            <w:tcW w:w="1777" w:type="dxa"/>
            <w:vAlign w:val="center"/>
          </w:tcPr>
          <w:p w:rsidR="00484610" w:rsidRDefault="00374824">
            <w:pPr>
              <w:jc w:val="center"/>
            </w:pPr>
            <w:r>
              <w:rPr>
                <w:color w:val="000000"/>
                <w:sz w:val="24"/>
                <w:szCs w:val="24"/>
              </w:rPr>
              <w:t>中国平安</w:t>
            </w:r>
          </w:p>
        </w:tc>
        <w:tc>
          <w:tcPr>
            <w:tcW w:w="1334" w:type="dxa"/>
            <w:vAlign w:val="center"/>
          </w:tcPr>
          <w:p w:rsidR="00484610" w:rsidRDefault="00374824">
            <w:pPr>
              <w:jc w:val="right"/>
            </w:pPr>
            <w:r>
              <w:rPr>
                <w:color w:val="000000"/>
                <w:sz w:val="24"/>
                <w:szCs w:val="24"/>
              </w:rPr>
              <w:t>692,000</w:t>
            </w:r>
          </w:p>
        </w:tc>
        <w:tc>
          <w:tcPr>
            <w:tcW w:w="1924" w:type="dxa"/>
            <w:vAlign w:val="center"/>
          </w:tcPr>
          <w:p w:rsidR="00484610" w:rsidRDefault="00374824">
            <w:pPr>
              <w:jc w:val="right"/>
            </w:pPr>
            <w:r>
              <w:rPr>
                <w:color w:val="000000"/>
                <w:sz w:val="24"/>
                <w:szCs w:val="24"/>
              </w:rPr>
              <w:t>25,610,920.00</w:t>
            </w:r>
          </w:p>
        </w:tc>
        <w:tc>
          <w:tcPr>
            <w:tcW w:w="1644" w:type="dxa"/>
            <w:vAlign w:val="center"/>
          </w:tcPr>
          <w:p w:rsidR="00484610" w:rsidRDefault="00374824">
            <w:pPr>
              <w:jc w:val="right"/>
            </w:pPr>
            <w:r>
              <w:rPr>
                <w:color w:val="000000"/>
                <w:sz w:val="24"/>
                <w:szCs w:val="24"/>
              </w:rPr>
              <w:t>4.58</w:t>
            </w:r>
          </w:p>
        </w:tc>
      </w:tr>
      <w:tr w:rsidR="00484610">
        <w:trPr>
          <w:jc w:val="center"/>
        </w:trPr>
        <w:tc>
          <w:tcPr>
            <w:tcW w:w="855" w:type="dxa"/>
            <w:vAlign w:val="center"/>
          </w:tcPr>
          <w:p w:rsidR="00484610" w:rsidRDefault="00374824">
            <w:pPr>
              <w:jc w:val="center"/>
            </w:pPr>
            <w:r>
              <w:rPr>
                <w:color w:val="000000"/>
                <w:sz w:val="24"/>
                <w:szCs w:val="24"/>
              </w:rPr>
              <w:t>9</w:t>
            </w:r>
          </w:p>
        </w:tc>
        <w:tc>
          <w:tcPr>
            <w:tcW w:w="1334" w:type="dxa"/>
            <w:vAlign w:val="center"/>
          </w:tcPr>
          <w:p w:rsidR="00484610" w:rsidRDefault="00374824">
            <w:pPr>
              <w:jc w:val="center"/>
            </w:pPr>
            <w:r>
              <w:rPr>
                <w:color w:val="000000"/>
                <w:sz w:val="24"/>
                <w:szCs w:val="24"/>
              </w:rPr>
              <w:t>002202</w:t>
            </w:r>
          </w:p>
        </w:tc>
        <w:tc>
          <w:tcPr>
            <w:tcW w:w="1777" w:type="dxa"/>
            <w:vAlign w:val="center"/>
          </w:tcPr>
          <w:p w:rsidR="00484610" w:rsidRDefault="00374824">
            <w:pPr>
              <w:jc w:val="center"/>
            </w:pPr>
            <w:r>
              <w:rPr>
                <w:color w:val="000000"/>
                <w:sz w:val="24"/>
                <w:szCs w:val="24"/>
              </w:rPr>
              <w:t>金风科技</w:t>
            </w:r>
          </w:p>
        </w:tc>
        <w:tc>
          <w:tcPr>
            <w:tcW w:w="1334" w:type="dxa"/>
            <w:vAlign w:val="center"/>
          </w:tcPr>
          <w:p w:rsidR="00484610" w:rsidRDefault="00374824">
            <w:pPr>
              <w:jc w:val="right"/>
            </w:pPr>
            <w:r>
              <w:rPr>
                <w:color w:val="000000"/>
                <w:sz w:val="24"/>
                <w:szCs w:val="24"/>
              </w:rPr>
              <w:t>1,309,964</w:t>
            </w:r>
          </w:p>
        </w:tc>
        <w:tc>
          <w:tcPr>
            <w:tcW w:w="1924" w:type="dxa"/>
            <w:vAlign w:val="center"/>
          </w:tcPr>
          <w:p w:rsidR="00484610" w:rsidRDefault="00374824">
            <w:pPr>
              <w:jc w:val="right"/>
            </w:pPr>
            <w:r>
              <w:rPr>
                <w:color w:val="000000"/>
                <w:sz w:val="24"/>
                <w:szCs w:val="24"/>
              </w:rPr>
              <w:t>21,038,021.84</w:t>
            </w:r>
          </w:p>
        </w:tc>
        <w:tc>
          <w:tcPr>
            <w:tcW w:w="1644" w:type="dxa"/>
            <w:vAlign w:val="center"/>
          </w:tcPr>
          <w:p w:rsidR="00484610" w:rsidRDefault="00374824">
            <w:pPr>
              <w:jc w:val="right"/>
            </w:pPr>
            <w:r>
              <w:rPr>
                <w:color w:val="000000"/>
                <w:sz w:val="24"/>
                <w:szCs w:val="24"/>
              </w:rPr>
              <w:t>3.76</w:t>
            </w:r>
          </w:p>
        </w:tc>
      </w:tr>
      <w:tr w:rsidR="00484610">
        <w:trPr>
          <w:jc w:val="center"/>
        </w:trPr>
        <w:tc>
          <w:tcPr>
            <w:tcW w:w="855" w:type="dxa"/>
            <w:vAlign w:val="center"/>
          </w:tcPr>
          <w:p w:rsidR="00484610" w:rsidRDefault="00374824">
            <w:pPr>
              <w:jc w:val="center"/>
            </w:pPr>
            <w:r>
              <w:rPr>
                <w:color w:val="000000"/>
                <w:sz w:val="24"/>
                <w:szCs w:val="24"/>
              </w:rPr>
              <w:t>10</w:t>
            </w:r>
          </w:p>
        </w:tc>
        <w:tc>
          <w:tcPr>
            <w:tcW w:w="1334" w:type="dxa"/>
            <w:vAlign w:val="center"/>
          </w:tcPr>
          <w:p w:rsidR="00484610" w:rsidRDefault="00374824">
            <w:pPr>
              <w:jc w:val="center"/>
            </w:pPr>
            <w:r>
              <w:rPr>
                <w:color w:val="000000"/>
                <w:sz w:val="24"/>
                <w:szCs w:val="24"/>
              </w:rPr>
              <w:t>002343</w:t>
            </w:r>
          </w:p>
        </w:tc>
        <w:tc>
          <w:tcPr>
            <w:tcW w:w="1777" w:type="dxa"/>
            <w:vAlign w:val="center"/>
          </w:tcPr>
          <w:p w:rsidR="00484610" w:rsidRDefault="00374824">
            <w:pPr>
              <w:jc w:val="center"/>
            </w:pPr>
            <w:r>
              <w:rPr>
                <w:color w:val="000000"/>
                <w:sz w:val="24"/>
                <w:szCs w:val="24"/>
              </w:rPr>
              <w:t>慈文传媒</w:t>
            </w:r>
          </w:p>
        </w:tc>
        <w:tc>
          <w:tcPr>
            <w:tcW w:w="1334" w:type="dxa"/>
            <w:vAlign w:val="center"/>
          </w:tcPr>
          <w:p w:rsidR="00484610" w:rsidRDefault="00374824">
            <w:pPr>
              <w:jc w:val="right"/>
            </w:pPr>
            <w:r>
              <w:rPr>
                <w:color w:val="000000"/>
                <w:sz w:val="24"/>
                <w:szCs w:val="24"/>
              </w:rPr>
              <w:t>438,141</w:t>
            </w:r>
          </w:p>
        </w:tc>
        <w:tc>
          <w:tcPr>
            <w:tcW w:w="1924" w:type="dxa"/>
            <w:vAlign w:val="center"/>
          </w:tcPr>
          <w:p w:rsidR="00484610" w:rsidRDefault="00374824">
            <w:pPr>
              <w:jc w:val="right"/>
            </w:pPr>
            <w:r>
              <w:rPr>
                <w:color w:val="000000"/>
                <w:sz w:val="24"/>
                <w:szCs w:val="24"/>
              </w:rPr>
              <w:t>16,960,438.11</w:t>
            </w:r>
          </w:p>
        </w:tc>
        <w:tc>
          <w:tcPr>
            <w:tcW w:w="1644" w:type="dxa"/>
            <w:vAlign w:val="center"/>
          </w:tcPr>
          <w:p w:rsidR="00484610" w:rsidRDefault="00374824">
            <w:pPr>
              <w:jc w:val="right"/>
            </w:pPr>
            <w:r>
              <w:rPr>
                <w:color w:val="000000"/>
                <w:sz w:val="24"/>
                <w:szCs w:val="24"/>
              </w:rPr>
              <w:t>3.03</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20,094,000.00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3.59</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20,094,000.00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3.59</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79,000.00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0.01</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20,173,000.00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3.61</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484610">
        <w:trPr>
          <w:jc w:val="center"/>
        </w:trPr>
        <w:tc>
          <w:tcPr>
            <w:tcW w:w="850" w:type="dxa"/>
            <w:vAlign w:val="center"/>
          </w:tcPr>
          <w:p w:rsidR="00484610" w:rsidRDefault="00374824">
            <w:pPr>
              <w:jc w:val="center"/>
            </w:pPr>
            <w:r>
              <w:rPr>
                <w:color w:val="000000"/>
                <w:sz w:val="24"/>
                <w:szCs w:val="24"/>
              </w:rPr>
              <w:t>1</w:t>
            </w:r>
          </w:p>
        </w:tc>
        <w:tc>
          <w:tcPr>
            <w:tcW w:w="1475" w:type="dxa"/>
            <w:vAlign w:val="center"/>
          </w:tcPr>
          <w:p w:rsidR="00484610" w:rsidRDefault="00374824">
            <w:pPr>
              <w:jc w:val="center"/>
            </w:pPr>
            <w:r>
              <w:rPr>
                <w:color w:val="000000"/>
                <w:sz w:val="24"/>
                <w:szCs w:val="24"/>
              </w:rPr>
              <w:t>140225</w:t>
            </w:r>
          </w:p>
        </w:tc>
        <w:tc>
          <w:tcPr>
            <w:tcW w:w="1769" w:type="dxa"/>
            <w:vAlign w:val="center"/>
          </w:tcPr>
          <w:p w:rsidR="00484610" w:rsidRDefault="00374824">
            <w:pPr>
              <w:jc w:val="center"/>
            </w:pPr>
            <w:r>
              <w:rPr>
                <w:color w:val="000000"/>
                <w:sz w:val="24"/>
                <w:szCs w:val="24"/>
              </w:rPr>
              <w:t>14</w:t>
            </w:r>
            <w:r>
              <w:rPr>
                <w:color w:val="000000"/>
                <w:sz w:val="24"/>
                <w:szCs w:val="24"/>
              </w:rPr>
              <w:t>国开</w:t>
            </w:r>
            <w:r>
              <w:rPr>
                <w:color w:val="000000"/>
                <w:sz w:val="24"/>
                <w:szCs w:val="24"/>
              </w:rPr>
              <w:t>25</w:t>
            </w:r>
          </w:p>
        </w:tc>
        <w:tc>
          <w:tcPr>
            <w:tcW w:w="1387" w:type="dxa"/>
            <w:vAlign w:val="center"/>
          </w:tcPr>
          <w:p w:rsidR="00484610" w:rsidRDefault="00374824">
            <w:pPr>
              <w:jc w:val="right"/>
            </w:pPr>
            <w:r>
              <w:rPr>
                <w:color w:val="000000"/>
                <w:sz w:val="24"/>
                <w:szCs w:val="24"/>
              </w:rPr>
              <w:t>200,000</w:t>
            </w:r>
          </w:p>
        </w:tc>
        <w:tc>
          <w:tcPr>
            <w:tcW w:w="2150" w:type="dxa"/>
            <w:vAlign w:val="center"/>
          </w:tcPr>
          <w:p w:rsidR="00484610" w:rsidRDefault="00374824">
            <w:pPr>
              <w:jc w:val="right"/>
            </w:pPr>
            <w:r>
              <w:rPr>
                <w:color w:val="000000"/>
                <w:sz w:val="24"/>
                <w:szCs w:val="24"/>
              </w:rPr>
              <w:t>20,094,000.00</w:t>
            </w:r>
          </w:p>
        </w:tc>
        <w:tc>
          <w:tcPr>
            <w:tcW w:w="1237" w:type="dxa"/>
            <w:vAlign w:val="center"/>
          </w:tcPr>
          <w:p w:rsidR="00484610" w:rsidRDefault="00374824">
            <w:pPr>
              <w:jc w:val="right"/>
            </w:pPr>
            <w:r>
              <w:rPr>
                <w:color w:val="000000"/>
                <w:sz w:val="24"/>
                <w:szCs w:val="24"/>
              </w:rPr>
              <w:t>3.59</w:t>
            </w:r>
          </w:p>
        </w:tc>
      </w:tr>
      <w:tr w:rsidR="00484610">
        <w:trPr>
          <w:jc w:val="center"/>
        </w:trPr>
        <w:tc>
          <w:tcPr>
            <w:tcW w:w="850" w:type="dxa"/>
            <w:vAlign w:val="center"/>
          </w:tcPr>
          <w:p w:rsidR="00484610" w:rsidRDefault="00374824">
            <w:pPr>
              <w:jc w:val="center"/>
            </w:pPr>
            <w:r>
              <w:rPr>
                <w:color w:val="000000"/>
                <w:sz w:val="24"/>
                <w:szCs w:val="24"/>
              </w:rPr>
              <w:lastRenderedPageBreak/>
              <w:t>2</w:t>
            </w:r>
          </w:p>
        </w:tc>
        <w:tc>
          <w:tcPr>
            <w:tcW w:w="1475" w:type="dxa"/>
            <w:vAlign w:val="center"/>
          </w:tcPr>
          <w:p w:rsidR="00484610" w:rsidRDefault="00374824">
            <w:pPr>
              <w:jc w:val="center"/>
            </w:pPr>
            <w:r>
              <w:rPr>
                <w:color w:val="000000"/>
                <w:sz w:val="24"/>
                <w:szCs w:val="24"/>
              </w:rPr>
              <w:t>113012</w:t>
            </w:r>
          </w:p>
        </w:tc>
        <w:tc>
          <w:tcPr>
            <w:tcW w:w="1769" w:type="dxa"/>
            <w:vAlign w:val="center"/>
          </w:tcPr>
          <w:p w:rsidR="00484610" w:rsidRDefault="00374824">
            <w:pPr>
              <w:jc w:val="center"/>
            </w:pPr>
            <w:r>
              <w:rPr>
                <w:color w:val="000000"/>
                <w:sz w:val="24"/>
                <w:szCs w:val="24"/>
              </w:rPr>
              <w:t>骆驼转债</w:t>
            </w:r>
          </w:p>
        </w:tc>
        <w:tc>
          <w:tcPr>
            <w:tcW w:w="1387" w:type="dxa"/>
            <w:vAlign w:val="center"/>
          </w:tcPr>
          <w:p w:rsidR="00484610" w:rsidRDefault="00374824">
            <w:pPr>
              <w:jc w:val="right"/>
            </w:pPr>
            <w:r>
              <w:rPr>
                <w:color w:val="000000"/>
                <w:sz w:val="24"/>
                <w:szCs w:val="24"/>
              </w:rPr>
              <w:t>790</w:t>
            </w:r>
          </w:p>
        </w:tc>
        <w:tc>
          <w:tcPr>
            <w:tcW w:w="2150" w:type="dxa"/>
            <w:vAlign w:val="center"/>
          </w:tcPr>
          <w:p w:rsidR="00484610" w:rsidRDefault="00374824">
            <w:pPr>
              <w:jc w:val="right"/>
            </w:pPr>
            <w:r>
              <w:rPr>
                <w:color w:val="000000"/>
                <w:sz w:val="24"/>
                <w:szCs w:val="24"/>
              </w:rPr>
              <w:t>79,000.00</w:t>
            </w:r>
          </w:p>
        </w:tc>
        <w:tc>
          <w:tcPr>
            <w:tcW w:w="1237" w:type="dxa"/>
            <w:vAlign w:val="center"/>
          </w:tcPr>
          <w:p w:rsidR="00484610" w:rsidRDefault="00374824">
            <w:pPr>
              <w:jc w:val="right"/>
            </w:pPr>
            <w:r>
              <w:rPr>
                <w:color w:val="000000"/>
                <w:sz w:val="24"/>
                <w:szCs w:val="24"/>
              </w:rPr>
              <w:t>0.01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296,381.17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418,168.34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26,833,240.87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27,547,790.38</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275,586,147.78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30,225,511.31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23,122,645.18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282,689,013.91</w:t>
            </w:r>
          </w:p>
        </w:tc>
      </w:tr>
    </w:tbl>
    <w:p w:rsidR="00484610" w:rsidRDefault="00374824">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374824">
      <w:pPr>
        <w:autoSpaceDE w:val="0"/>
        <w:autoSpaceDN w:val="0"/>
        <w:adjustRightInd w:val="0"/>
        <w:spacing w:before="29" w:line="288" w:lineRule="auto"/>
        <w:ind w:firstLineChars="200" w:firstLine="480"/>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B6E79">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A58DC" w:rsidRPr="007E75F6" w:rsidRDefault="003A58DC" w:rsidP="003A58DC">
      <w:pPr>
        <w:pStyle w:val="1"/>
        <w:spacing w:beforeLines="100" w:before="312" w:afterLines="100" w:after="312" w:line="360" w:lineRule="auto"/>
        <w:jc w:val="center"/>
        <w:rPr>
          <w:rFonts w:eastAsiaTheme="minorEastAsia"/>
          <w:color w:val="000000" w:themeColor="text1"/>
          <w:kern w:val="0"/>
          <w:sz w:val="24"/>
          <w:szCs w:val="24"/>
        </w:rPr>
      </w:pPr>
      <w:r w:rsidRPr="007E75F6">
        <w:rPr>
          <w:rFonts w:eastAsiaTheme="minorEastAsia"/>
          <w:color w:val="000000" w:themeColor="text1"/>
          <w:kern w:val="0"/>
          <w:sz w:val="24"/>
          <w:szCs w:val="24"/>
        </w:rPr>
        <w:t>§8</w:t>
      </w:r>
      <w:r w:rsidRPr="007E75F6">
        <w:rPr>
          <w:rFonts w:eastAsiaTheme="minorEastAsia"/>
          <w:color w:val="000000" w:themeColor="text1"/>
          <w:kern w:val="0"/>
          <w:sz w:val="24"/>
          <w:szCs w:val="24"/>
        </w:rPr>
        <w:t>影响投资者决策的其他重要信息</w:t>
      </w:r>
    </w:p>
    <w:p w:rsidR="003A58DC" w:rsidRPr="007E75F6" w:rsidRDefault="003A58DC" w:rsidP="003A58DC">
      <w:pPr>
        <w:autoSpaceDE w:val="0"/>
        <w:autoSpaceDN w:val="0"/>
        <w:adjustRightInd w:val="0"/>
        <w:spacing w:line="360" w:lineRule="auto"/>
        <w:jc w:val="left"/>
        <w:rPr>
          <w:rFonts w:eastAsiaTheme="minorEastAsia"/>
          <w:b/>
          <w:bCs/>
          <w:color w:val="000000" w:themeColor="text1"/>
          <w:kern w:val="0"/>
          <w:sz w:val="24"/>
        </w:rPr>
      </w:pPr>
      <w:r>
        <w:rPr>
          <w:rFonts w:eastAsiaTheme="minorEastAsia"/>
          <w:b/>
          <w:bCs/>
          <w:color w:val="000000" w:themeColor="text1"/>
          <w:kern w:val="0"/>
          <w:sz w:val="24"/>
        </w:rPr>
        <w:t>8.</w:t>
      </w:r>
      <w:r>
        <w:rPr>
          <w:rFonts w:eastAsiaTheme="minorEastAsia" w:hint="eastAsia"/>
          <w:b/>
          <w:bCs/>
          <w:color w:val="000000" w:themeColor="text1"/>
          <w:kern w:val="0"/>
          <w:sz w:val="24"/>
        </w:rPr>
        <w:t xml:space="preserve">1 </w:t>
      </w:r>
      <w:r w:rsidRPr="007E75F6">
        <w:rPr>
          <w:rFonts w:eastAsiaTheme="minorEastAsia" w:hint="eastAsia"/>
          <w:b/>
          <w:bCs/>
          <w:color w:val="000000" w:themeColor="text1"/>
          <w:kern w:val="0"/>
          <w:sz w:val="24"/>
        </w:rPr>
        <w:t>报告期内单一投资者持有基金份额比例达到或超过</w:t>
      </w:r>
      <w:r w:rsidRPr="007E75F6">
        <w:rPr>
          <w:rFonts w:eastAsiaTheme="minorEastAsia" w:hint="eastAsia"/>
          <w:b/>
          <w:bCs/>
          <w:color w:val="000000" w:themeColor="text1"/>
          <w:kern w:val="0"/>
          <w:sz w:val="24"/>
        </w:rPr>
        <w:t>20%</w:t>
      </w:r>
      <w:r w:rsidRPr="007E75F6">
        <w:rPr>
          <w:rFonts w:eastAsiaTheme="minorEastAsia" w:hint="eastAsia"/>
          <w:b/>
          <w:bCs/>
          <w:color w:val="000000" w:themeColor="text1"/>
          <w:kern w:val="0"/>
          <w:sz w:val="24"/>
        </w:rPr>
        <w:t>的情况</w:t>
      </w:r>
    </w:p>
    <w:tbl>
      <w:tblPr>
        <w:tblStyle w:val="af7"/>
        <w:tblW w:w="8928" w:type="dxa"/>
        <w:tblInd w:w="108" w:type="dxa"/>
        <w:tblLayout w:type="fixed"/>
        <w:tblLook w:val="04A0" w:firstRow="1" w:lastRow="0" w:firstColumn="1" w:lastColumn="0" w:noHBand="0" w:noVBand="1"/>
      </w:tblPr>
      <w:tblGrid>
        <w:gridCol w:w="851"/>
        <w:gridCol w:w="709"/>
        <w:gridCol w:w="1984"/>
        <w:gridCol w:w="851"/>
        <w:gridCol w:w="850"/>
        <w:gridCol w:w="992"/>
        <w:gridCol w:w="1418"/>
        <w:gridCol w:w="1273"/>
      </w:tblGrid>
      <w:tr w:rsidR="003A58DC" w:rsidRPr="002D7535" w:rsidTr="0067677C">
        <w:tc>
          <w:tcPr>
            <w:tcW w:w="851" w:type="dxa"/>
            <w:vMerge w:val="restart"/>
            <w:vAlign w:val="center"/>
          </w:tcPr>
          <w:p w:rsidR="003A58DC" w:rsidRPr="0067677C" w:rsidRDefault="003A58DC" w:rsidP="00B06DDA">
            <w:pPr>
              <w:autoSpaceDE w:val="0"/>
              <w:autoSpaceDN w:val="0"/>
              <w:adjustRightInd w:val="0"/>
              <w:jc w:val="center"/>
              <w:rPr>
                <w:rFonts w:ascii="宋体" w:hAnsi="宋体"/>
                <w:color w:val="000000"/>
                <w:sz w:val="24"/>
                <w:szCs w:val="24"/>
              </w:rPr>
            </w:pPr>
            <w:r w:rsidRPr="0067677C">
              <w:rPr>
                <w:rFonts w:ascii="宋体" w:hAnsi="宋体" w:hint="eastAsia"/>
                <w:color w:val="000000"/>
                <w:sz w:val="24"/>
                <w:szCs w:val="24"/>
              </w:rPr>
              <w:t>投资</w:t>
            </w:r>
            <w:r w:rsidRPr="0067677C">
              <w:rPr>
                <w:rFonts w:ascii="宋体" w:hAnsi="宋体" w:hint="eastAsia"/>
                <w:color w:val="000000"/>
                <w:sz w:val="24"/>
                <w:szCs w:val="24"/>
              </w:rPr>
              <w:lastRenderedPageBreak/>
              <w:t>者类别</w:t>
            </w:r>
          </w:p>
        </w:tc>
        <w:tc>
          <w:tcPr>
            <w:tcW w:w="5386" w:type="dxa"/>
            <w:gridSpan w:val="5"/>
            <w:vAlign w:val="center"/>
          </w:tcPr>
          <w:p w:rsidR="003A58DC" w:rsidRPr="0067677C" w:rsidRDefault="003A58DC" w:rsidP="00B06DDA">
            <w:pPr>
              <w:autoSpaceDE w:val="0"/>
              <w:autoSpaceDN w:val="0"/>
              <w:adjustRightInd w:val="0"/>
              <w:jc w:val="center"/>
              <w:rPr>
                <w:rFonts w:ascii="宋体" w:hAnsi="宋体"/>
                <w:color w:val="000000"/>
                <w:sz w:val="24"/>
                <w:szCs w:val="24"/>
              </w:rPr>
            </w:pPr>
            <w:r w:rsidRPr="0067677C">
              <w:rPr>
                <w:rFonts w:ascii="宋体" w:hAnsi="宋体" w:hint="eastAsia"/>
                <w:color w:val="000000"/>
                <w:sz w:val="24"/>
                <w:szCs w:val="24"/>
              </w:rPr>
              <w:lastRenderedPageBreak/>
              <w:t>报告期内持有基金份额变化情况</w:t>
            </w:r>
          </w:p>
        </w:tc>
        <w:tc>
          <w:tcPr>
            <w:tcW w:w="2691" w:type="dxa"/>
            <w:gridSpan w:val="2"/>
            <w:vAlign w:val="center"/>
          </w:tcPr>
          <w:p w:rsidR="003A58DC" w:rsidRPr="0067677C" w:rsidRDefault="003A58DC" w:rsidP="00B06DDA">
            <w:pPr>
              <w:autoSpaceDE w:val="0"/>
              <w:autoSpaceDN w:val="0"/>
              <w:adjustRightInd w:val="0"/>
              <w:rPr>
                <w:rFonts w:ascii="宋体" w:hAnsi="宋体"/>
                <w:color w:val="000000"/>
                <w:sz w:val="24"/>
                <w:szCs w:val="24"/>
              </w:rPr>
            </w:pPr>
            <w:r w:rsidRPr="0067677C">
              <w:rPr>
                <w:rFonts w:ascii="宋体" w:hAnsi="宋体" w:hint="eastAsia"/>
                <w:color w:val="000000"/>
                <w:sz w:val="24"/>
                <w:szCs w:val="24"/>
              </w:rPr>
              <w:t>报告期末持有基金情况</w:t>
            </w:r>
          </w:p>
        </w:tc>
      </w:tr>
      <w:tr w:rsidR="003A58DC" w:rsidRPr="002D7535" w:rsidTr="0067677C">
        <w:tc>
          <w:tcPr>
            <w:tcW w:w="851" w:type="dxa"/>
            <w:vMerge/>
            <w:vAlign w:val="center"/>
          </w:tcPr>
          <w:p w:rsidR="003A58DC" w:rsidRPr="0067677C" w:rsidRDefault="003A58DC" w:rsidP="00B06DDA">
            <w:pPr>
              <w:autoSpaceDE w:val="0"/>
              <w:autoSpaceDN w:val="0"/>
              <w:adjustRightInd w:val="0"/>
              <w:jc w:val="center"/>
              <w:rPr>
                <w:rFonts w:ascii="宋体" w:hAnsi="宋体"/>
                <w:color w:val="000000"/>
                <w:sz w:val="24"/>
                <w:szCs w:val="24"/>
              </w:rPr>
            </w:pPr>
          </w:p>
        </w:tc>
        <w:tc>
          <w:tcPr>
            <w:tcW w:w="709" w:type="dxa"/>
            <w:vAlign w:val="center"/>
          </w:tcPr>
          <w:p w:rsidR="003A58DC" w:rsidRPr="0067677C" w:rsidRDefault="003A58DC" w:rsidP="00B06DDA">
            <w:pPr>
              <w:autoSpaceDE w:val="0"/>
              <w:autoSpaceDN w:val="0"/>
              <w:adjustRightInd w:val="0"/>
              <w:jc w:val="center"/>
              <w:rPr>
                <w:rFonts w:ascii="宋体" w:hAnsi="宋体"/>
                <w:color w:val="000000"/>
                <w:sz w:val="24"/>
                <w:szCs w:val="24"/>
              </w:rPr>
            </w:pPr>
            <w:r w:rsidRPr="0067677C">
              <w:rPr>
                <w:rFonts w:ascii="宋体" w:hAnsi="宋体" w:hint="eastAsia"/>
                <w:color w:val="000000"/>
                <w:sz w:val="24"/>
                <w:szCs w:val="24"/>
              </w:rPr>
              <w:t>序号</w:t>
            </w:r>
          </w:p>
        </w:tc>
        <w:tc>
          <w:tcPr>
            <w:tcW w:w="1984" w:type="dxa"/>
            <w:vAlign w:val="center"/>
          </w:tcPr>
          <w:p w:rsidR="003A58DC" w:rsidRPr="0067677C" w:rsidRDefault="003A58DC" w:rsidP="00B06DDA">
            <w:pPr>
              <w:autoSpaceDE w:val="0"/>
              <w:autoSpaceDN w:val="0"/>
              <w:adjustRightInd w:val="0"/>
              <w:rPr>
                <w:rFonts w:ascii="宋体" w:hAnsi="宋体"/>
                <w:color w:val="000000"/>
                <w:sz w:val="24"/>
                <w:szCs w:val="24"/>
              </w:rPr>
            </w:pPr>
            <w:r w:rsidRPr="0067677C">
              <w:rPr>
                <w:rFonts w:ascii="宋体" w:hAnsi="宋体" w:hint="eastAsia"/>
                <w:color w:val="000000"/>
                <w:sz w:val="24"/>
                <w:szCs w:val="24"/>
              </w:rPr>
              <w:t>持有基金份额比例达到或者超过</w:t>
            </w:r>
            <w:r w:rsidRPr="0067677C">
              <w:rPr>
                <w:rFonts w:ascii="宋体" w:hAnsi="宋体"/>
                <w:color w:val="000000"/>
                <w:sz w:val="24"/>
                <w:szCs w:val="24"/>
              </w:rPr>
              <w:t>20%的时间区间</w:t>
            </w:r>
          </w:p>
        </w:tc>
        <w:tc>
          <w:tcPr>
            <w:tcW w:w="851" w:type="dxa"/>
            <w:vAlign w:val="center"/>
          </w:tcPr>
          <w:p w:rsidR="003A58DC" w:rsidRPr="0067677C" w:rsidRDefault="003A58DC" w:rsidP="00AB0A81">
            <w:pPr>
              <w:widowControl/>
              <w:jc w:val="center"/>
              <w:rPr>
                <w:rFonts w:ascii="宋体" w:hAnsi="宋体"/>
                <w:color w:val="000000"/>
                <w:sz w:val="24"/>
                <w:szCs w:val="24"/>
              </w:rPr>
            </w:pPr>
            <w:r w:rsidRPr="0067677C">
              <w:rPr>
                <w:rFonts w:ascii="宋体" w:hAnsi="宋体" w:hint="eastAsia"/>
                <w:color w:val="000000"/>
                <w:sz w:val="24"/>
                <w:szCs w:val="24"/>
              </w:rPr>
              <w:t>期初份额</w:t>
            </w:r>
          </w:p>
        </w:tc>
        <w:tc>
          <w:tcPr>
            <w:tcW w:w="850" w:type="dxa"/>
            <w:vAlign w:val="center"/>
          </w:tcPr>
          <w:p w:rsidR="003A58DC" w:rsidRPr="0067677C" w:rsidRDefault="003A58DC" w:rsidP="00AB0A81">
            <w:pPr>
              <w:widowControl/>
              <w:jc w:val="center"/>
              <w:rPr>
                <w:rFonts w:ascii="宋体" w:hAnsi="宋体"/>
                <w:color w:val="000000"/>
                <w:sz w:val="24"/>
                <w:szCs w:val="24"/>
              </w:rPr>
            </w:pPr>
            <w:r w:rsidRPr="0067677C">
              <w:rPr>
                <w:rFonts w:ascii="宋体" w:hAnsi="宋体" w:hint="eastAsia"/>
                <w:color w:val="000000"/>
                <w:sz w:val="24"/>
                <w:szCs w:val="24"/>
              </w:rPr>
              <w:t>申购份额</w:t>
            </w:r>
          </w:p>
        </w:tc>
        <w:tc>
          <w:tcPr>
            <w:tcW w:w="992" w:type="dxa"/>
            <w:vAlign w:val="center"/>
          </w:tcPr>
          <w:p w:rsidR="003A58DC" w:rsidRPr="0067677C" w:rsidRDefault="003A58DC" w:rsidP="00B06DDA">
            <w:pPr>
              <w:autoSpaceDE w:val="0"/>
              <w:autoSpaceDN w:val="0"/>
              <w:adjustRightInd w:val="0"/>
              <w:jc w:val="center"/>
              <w:rPr>
                <w:rFonts w:ascii="宋体" w:hAnsi="宋体"/>
                <w:color w:val="000000"/>
                <w:sz w:val="24"/>
                <w:szCs w:val="24"/>
              </w:rPr>
            </w:pPr>
            <w:r w:rsidRPr="0067677C">
              <w:rPr>
                <w:rFonts w:ascii="宋体" w:hAnsi="宋体" w:hint="eastAsia"/>
                <w:color w:val="000000"/>
                <w:sz w:val="24"/>
                <w:szCs w:val="24"/>
              </w:rPr>
              <w:t>赎回份额</w:t>
            </w:r>
          </w:p>
        </w:tc>
        <w:tc>
          <w:tcPr>
            <w:tcW w:w="1418" w:type="dxa"/>
            <w:vAlign w:val="center"/>
          </w:tcPr>
          <w:p w:rsidR="003A58DC" w:rsidRPr="0067677C" w:rsidRDefault="003A58DC" w:rsidP="00B06DDA">
            <w:pPr>
              <w:autoSpaceDE w:val="0"/>
              <w:autoSpaceDN w:val="0"/>
              <w:adjustRightInd w:val="0"/>
              <w:rPr>
                <w:rFonts w:ascii="宋体" w:hAnsi="宋体"/>
                <w:color w:val="000000"/>
                <w:sz w:val="24"/>
                <w:szCs w:val="24"/>
              </w:rPr>
            </w:pPr>
            <w:r w:rsidRPr="0067677C">
              <w:rPr>
                <w:rFonts w:ascii="宋体" w:hAnsi="宋体" w:hint="eastAsia"/>
                <w:color w:val="000000"/>
                <w:sz w:val="24"/>
                <w:szCs w:val="24"/>
              </w:rPr>
              <w:t>持有份额</w:t>
            </w:r>
          </w:p>
        </w:tc>
        <w:tc>
          <w:tcPr>
            <w:tcW w:w="1273" w:type="dxa"/>
            <w:vAlign w:val="center"/>
          </w:tcPr>
          <w:p w:rsidR="003A58DC" w:rsidRPr="0067677C" w:rsidRDefault="003A58DC" w:rsidP="00B06DDA">
            <w:pPr>
              <w:autoSpaceDE w:val="0"/>
              <w:autoSpaceDN w:val="0"/>
              <w:adjustRightInd w:val="0"/>
              <w:jc w:val="center"/>
              <w:rPr>
                <w:rFonts w:ascii="宋体" w:hAnsi="宋体"/>
                <w:color w:val="000000"/>
                <w:sz w:val="24"/>
                <w:szCs w:val="24"/>
              </w:rPr>
            </w:pPr>
            <w:r w:rsidRPr="0067677C">
              <w:rPr>
                <w:rFonts w:ascii="宋体" w:hAnsi="宋体" w:hint="eastAsia"/>
                <w:color w:val="000000"/>
                <w:sz w:val="24"/>
                <w:szCs w:val="24"/>
              </w:rPr>
              <w:t>份额占比</w:t>
            </w:r>
          </w:p>
        </w:tc>
      </w:tr>
      <w:tr w:rsidR="00484610" w:rsidRPr="002D7535" w:rsidTr="0067677C">
        <w:tc>
          <w:tcPr>
            <w:tcW w:w="851" w:type="dxa"/>
          </w:tcPr>
          <w:p w:rsidR="00484610" w:rsidRPr="0067677C" w:rsidRDefault="00484610">
            <w:pPr>
              <w:rPr>
                <w:sz w:val="24"/>
                <w:szCs w:val="24"/>
              </w:rPr>
            </w:pPr>
          </w:p>
          <w:p w:rsidR="00484610" w:rsidRPr="0067677C" w:rsidRDefault="00374824">
            <w:pPr>
              <w:rPr>
                <w:sz w:val="24"/>
                <w:szCs w:val="24"/>
              </w:rPr>
            </w:pPr>
            <w:r w:rsidRPr="002D7535">
              <w:rPr>
                <w:rFonts w:eastAsiaTheme="minorEastAsia" w:hint="eastAsia"/>
                <w:bCs/>
                <w:color w:val="000000" w:themeColor="text1"/>
                <w:sz w:val="24"/>
                <w:szCs w:val="24"/>
              </w:rPr>
              <w:t>机构</w:t>
            </w:r>
          </w:p>
        </w:tc>
        <w:tc>
          <w:tcPr>
            <w:tcW w:w="709" w:type="dxa"/>
            <w:vAlign w:val="center"/>
          </w:tcPr>
          <w:p w:rsidR="00484610" w:rsidRPr="0067677C" w:rsidRDefault="00374824">
            <w:pPr>
              <w:jc w:val="center"/>
              <w:rPr>
                <w:sz w:val="24"/>
                <w:szCs w:val="24"/>
              </w:rPr>
            </w:pPr>
            <w:r w:rsidRPr="0067677C">
              <w:rPr>
                <w:color w:val="000000"/>
                <w:sz w:val="24"/>
                <w:szCs w:val="24"/>
              </w:rPr>
              <w:t>1</w:t>
            </w:r>
          </w:p>
        </w:tc>
        <w:tc>
          <w:tcPr>
            <w:tcW w:w="1984" w:type="dxa"/>
            <w:vAlign w:val="center"/>
          </w:tcPr>
          <w:p w:rsidR="00484610" w:rsidRPr="0067677C" w:rsidRDefault="00374824">
            <w:pPr>
              <w:jc w:val="center"/>
              <w:rPr>
                <w:sz w:val="24"/>
                <w:szCs w:val="24"/>
              </w:rPr>
            </w:pPr>
            <w:r w:rsidRPr="0067677C">
              <w:rPr>
                <w:color w:val="000000"/>
                <w:sz w:val="24"/>
                <w:szCs w:val="24"/>
              </w:rPr>
              <w:t>2017/1/1-2017/3/31</w:t>
            </w:r>
          </w:p>
        </w:tc>
        <w:tc>
          <w:tcPr>
            <w:tcW w:w="851" w:type="dxa"/>
            <w:vAlign w:val="center"/>
          </w:tcPr>
          <w:p w:rsidR="00484610" w:rsidRPr="0067677C" w:rsidRDefault="00374824">
            <w:pPr>
              <w:jc w:val="center"/>
              <w:rPr>
                <w:sz w:val="24"/>
                <w:szCs w:val="24"/>
              </w:rPr>
            </w:pPr>
            <w:r w:rsidRPr="0067677C">
              <w:rPr>
                <w:color w:val="000000"/>
                <w:sz w:val="24"/>
                <w:szCs w:val="24"/>
              </w:rPr>
              <w:t>76,000,000.00</w:t>
            </w:r>
          </w:p>
        </w:tc>
        <w:tc>
          <w:tcPr>
            <w:tcW w:w="850" w:type="dxa"/>
            <w:vAlign w:val="center"/>
          </w:tcPr>
          <w:p w:rsidR="00484610" w:rsidRPr="0067677C" w:rsidRDefault="00374824">
            <w:pPr>
              <w:jc w:val="center"/>
              <w:rPr>
                <w:sz w:val="24"/>
                <w:szCs w:val="24"/>
              </w:rPr>
            </w:pPr>
            <w:r w:rsidRPr="0067677C">
              <w:rPr>
                <w:color w:val="000000"/>
                <w:sz w:val="24"/>
                <w:szCs w:val="24"/>
              </w:rPr>
              <w:t>-</w:t>
            </w:r>
          </w:p>
        </w:tc>
        <w:tc>
          <w:tcPr>
            <w:tcW w:w="992" w:type="dxa"/>
            <w:vAlign w:val="center"/>
          </w:tcPr>
          <w:p w:rsidR="00484610" w:rsidRPr="0067677C" w:rsidRDefault="00374824">
            <w:pPr>
              <w:jc w:val="center"/>
              <w:rPr>
                <w:sz w:val="24"/>
                <w:szCs w:val="24"/>
              </w:rPr>
            </w:pPr>
            <w:r w:rsidRPr="0067677C">
              <w:rPr>
                <w:color w:val="000000"/>
                <w:sz w:val="24"/>
                <w:szCs w:val="24"/>
              </w:rPr>
              <w:t>-</w:t>
            </w:r>
          </w:p>
        </w:tc>
        <w:tc>
          <w:tcPr>
            <w:tcW w:w="1418" w:type="dxa"/>
            <w:vAlign w:val="center"/>
          </w:tcPr>
          <w:p w:rsidR="00484610" w:rsidRPr="0067677C" w:rsidRDefault="00374824">
            <w:pPr>
              <w:jc w:val="center"/>
              <w:rPr>
                <w:sz w:val="24"/>
                <w:szCs w:val="24"/>
              </w:rPr>
            </w:pPr>
            <w:r w:rsidRPr="0067677C">
              <w:rPr>
                <w:color w:val="000000"/>
                <w:sz w:val="24"/>
                <w:szCs w:val="24"/>
              </w:rPr>
              <w:t>76,000,000.00</w:t>
            </w:r>
          </w:p>
        </w:tc>
        <w:tc>
          <w:tcPr>
            <w:tcW w:w="1273" w:type="dxa"/>
            <w:vAlign w:val="center"/>
          </w:tcPr>
          <w:p w:rsidR="00484610" w:rsidRPr="0067677C" w:rsidRDefault="00374824">
            <w:pPr>
              <w:jc w:val="center"/>
              <w:rPr>
                <w:sz w:val="24"/>
                <w:szCs w:val="24"/>
              </w:rPr>
            </w:pPr>
            <w:r w:rsidRPr="0067677C">
              <w:rPr>
                <w:color w:val="000000"/>
                <w:sz w:val="24"/>
                <w:szCs w:val="24"/>
              </w:rPr>
              <w:t>26.88%</w:t>
            </w:r>
          </w:p>
        </w:tc>
      </w:tr>
      <w:tr w:rsidR="003A58DC" w:rsidRPr="002D7535" w:rsidTr="0067677C">
        <w:tc>
          <w:tcPr>
            <w:tcW w:w="8928" w:type="dxa"/>
            <w:gridSpan w:val="8"/>
            <w:vAlign w:val="center"/>
          </w:tcPr>
          <w:p w:rsidR="003A58DC" w:rsidRPr="0067677C" w:rsidRDefault="003A58DC" w:rsidP="002D7535">
            <w:pPr>
              <w:autoSpaceDE w:val="0"/>
              <w:autoSpaceDN w:val="0"/>
              <w:adjustRightInd w:val="0"/>
              <w:jc w:val="center"/>
              <w:rPr>
                <w:sz w:val="24"/>
                <w:szCs w:val="24"/>
              </w:rPr>
            </w:pPr>
            <w:r w:rsidRPr="0067677C">
              <w:rPr>
                <w:rFonts w:hint="eastAsia"/>
                <w:color w:val="000000"/>
                <w:sz w:val="24"/>
                <w:szCs w:val="24"/>
              </w:rPr>
              <w:t>产品特有风险</w:t>
            </w:r>
          </w:p>
        </w:tc>
      </w:tr>
      <w:tr w:rsidR="003A58DC" w:rsidRPr="002D7535" w:rsidTr="0067677C">
        <w:tc>
          <w:tcPr>
            <w:tcW w:w="8928" w:type="dxa"/>
            <w:gridSpan w:val="8"/>
            <w:vAlign w:val="center"/>
          </w:tcPr>
          <w:p w:rsidR="003A58DC" w:rsidRPr="0067677C" w:rsidRDefault="003A58DC" w:rsidP="00B06DDA">
            <w:pPr>
              <w:autoSpaceDE w:val="0"/>
              <w:autoSpaceDN w:val="0"/>
              <w:adjustRightInd w:val="0"/>
              <w:jc w:val="left"/>
              <w:rPr>
                <w:sz w:val="24"/>
                <w:szCs w:val="24"/>
              </w:rPr>
            </w:pPr>
            <w:r w:rsidRPr="0067677C">
              <w:rPr>
                <w:rFonts w:hint="eastAsia"/>
                <w:sz w:val="24"/>
                <w:szCs w:val="24"/>
              </w:rPr>
              <w:t>本基金本报告期内出现单一投资者持有基金份额比例超过基金总份额</w:t>
            </w:r>
            <w:r w:rsidRPr="0067677C">
              <w:rPr>
                <w:sz w:val="24"/>
                <w:szCs w:val="24"/>
              </w:rPr>
              <w:t>20%</w:t>
            </w:r>
            <w:r w:rsidRPr="0067677C">
              <w:rPr>
                <w:rFonts w:hint="eastAsia"/>
                <w:sz w:val="24"/>
                <w:szCs w:val="24"/>
              </w:rPr>
              <w:t>的情况。如该类投资者集中赎回，可能会对本基金带来流动性冲击，从而影响基金的投资运作和收益水平。基金管理人将加强流动性管理，防范相关风险，保护持有人利益。</w:t>
            </w:r>
          </w:p>
        </w:tc>
      </w:tr>
    </w:tbl>
    <w:p w:rsidR="00A30DBD" w:rsidRPr="00414345" w:rsidRDefault="00A30DBD" w:rsidP="00A30DBD">
      <w:pPr>
        <w:autoSpaceDE w:val="0"/>
        <w:autoSpaceDN w:val="0"/>
        <w:adjustRightInd w:val="0"/>
        <w:spacing w:before="29" w:line="288" w:lineRule="auto"/>
        <w:jc w:val="left"/>
        <w:rPr>
          <w:color w:val="000000"/>
          <w:sz w:val="24"/>
        </w:rPr>
      </w:pPr>
    </w:p>
    <w:p w:rsidR="00B22DEE" w:rsidRPr="00E02660"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484610" w:rsidRDefault="00374824">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、中国证监会准予交银施罗德新成长股票型证券投资基金募集注册的文件；</w:t>
      </w:r>
    </w:p>
    <w:p w:rsidR="00484610" w:rsidRDefault="00374824">
      <w:pPr>
        <w:spacing w:before="29" w:line="288" w:lineRule="auto"/>
        <w:ind w:firstLineChars="200" w:firstLine="480"/>
        <w:rPr>
          <w:color w:val="000000"/>
          <w:sz w:val="24"/>
          <w:szCs w:val="24"/>
        </w:rPr>
      </w:pPr>
      <w:r>
        <w:rPr>
          <w:color w:val="000000"/>
          <w:sz w:val="24"/>
          <w:szCs w:val="24"/>
        </w:rPr>
        <w:t>2</w:t>
      </w:r>
      <w:r>
        <w:rPr>
          <w:color w:val="000000"/>
          <w:sz w:val="24"/>
          <w:szCs w:val="24"/>
        </w:rPr>
        <w:t>、《交银施罗德新成长混合型证券投资基金基金合同》；</w:t>
      </w:r>
      <w:r>
        <w:rPr>
          <w:color w:val="000000"/>
          <w:sz w:val="24"/>
          <w:szCs w:val="24"/>
        </w:rPr>
        <w:t xml:space="preserve"> </w:t>
      </w:r>
    </w:p>
    <w:p w:rsidR="00484610" w:rsidRDefault="00374824">
      <w:pPr>
        <w:spacing w:before="29" w:line="288" w:lineRule="auto"/>
        <w:ind w:firstLineChars="200" w:firstLine="480"/>
        <w:rPr>
          <w:color w:val="000000"/>
          <w:sz w:val="24"/>
          <w:szCs w:val="24"/>
        </w:rPr>
      </w:pPr>
      <w:r>
        <w:rPr>
          <w:color w:val="000000"/>
          <w:sz w:val="24"/>
          <w:szCs w:val="24"/>
        </w:rPr>
        <w:t>3</w:t>
      </w:r>
      <w:r>
        <w:rPr>
          <w:color w:val="000000"/>
          <w:sz w:val="24"/>
          <w:szCs w:val="24"/>
        </w:rPr>
        <w:t>、《交银施罗德新成长混合型证券投资基金招募说明书》；</w:t>
      </w:r>
      <w:r>
        <w:rPr>
          <w:color w:val="000000"/>
          <w:sz w:val="24"/>
          <w:szCs w:val="24"/>
        </w:rPr>
        <w:t xml:space="preserve"> </w:t>
      </w:r>
    </w:p>
    <w:p w:rsidR="00484610" w:rsidRDefault="00374824">
      <w:pPr>
        <w:spacing w:before="29" w:line="288" w:lineRule="auto"/>
        <w:ind w:firstLineChars="200" w:firstLine="480"/>
        <w:rPr>
          <w:color w:val="000000"/>
          <w:sz w:val="24"/>
          <w:szCs w:val="24"/>
        </w:rPr>
      </w:pPr>
      <w:r>
        <w:rPr>
          <w:color w:val="000000"/>
          <w:sz w:val="24"/>
          <w:szCs w:val="24"/>
        </w:rPr>
        <w:t>4</w:t>
      </w:r>
      <w:r>
        <w:rPr>
          <w:color w:val="000000"/>
          <w:sz w:val="24"/>
          <w:szCs w:val="24"/>
        </w:rPr>
        <w:t>、《交银施罗德新成长混合型证券投资基金托管协议》；</w:t>
      </w:r>
    </w:p>
    <w:p w:rsidR="00484610" w:rsidRDefault="00374824">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、关于申请募集注册交银施罗德新成长股票型证券投资基金的法律意见书；</w:t>
      </w:r>
      <w:r>
        <w:rPr>
          <w:color w:val="000000"/>
          <w:sz w:val="24"/>
          <w:szCs w:val="24"/>
        </w:rPr>
        <w:t xml:space="preserve"> </w:t>
      </w:r>
    </w:p>
    <w:p w:rsidR="00484610" w:rsidRDefault="00374824">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p>
    <w:p w:rsidR="00484610" w:rsidRDefault="00374824">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、报告期内交银施罗德新成长混合型证券投资基金在指定报刊上各项公告的原稿。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484610" w:rsidRDefault="00374824">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0A12EA" w:rsidRDefault="002C3C7A" w:rsidP="00C15CAC">
      <w:pPr>
        <w:spacing w:before="29" w:line="288" w:lineRule="auto"/>
        <w:ind w:firstLineChars="200" w:firstLine="480"/>
        <w:rPr>
          <w:color w:val="000000"/>
          <w:sz w:val="24"/>
          <w:szCs w:val="24"/>
        </w:rPr>
      </w:pPr>
    </w:p>
    <w:sectPr w:rsidR="002C3C7A" w:rsidRPr="000A12EA"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F32" w:rsidRDefault="005A5F32" w:rsidP="00876D65">
      <w:r>
        <w:separator/>
      </w:r>
    </w:p>
  </w:endnote>
  <w:endnote w:type="continuationSeparator" w:id="0">
    <w:p w:rsidR="005A5F32" w:rsidRDefault="005A5F32"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B62AC1">
      <w:rPr>
        <w:kern w:val="0"/>
        <w:szCs w:val="21"/>
      </w:rPr>
      <w:fldChar w:fldCharType="begin"/>
    </w:r>
    <w:r>
      <w:rPr>
        <w:kern w:val="0"/>
        <w:szCs w:val="21"/>
      </w:rPr>
      <w:instrText xml:space="preserve"> PAGE </w:instrText>
    </w:r>
    <w:r w:rsidR="00B62AC1">
      <w:rPr>
        <w:kern w:val="0"/>
        <w:szCs w:val="21"/>
      </w:rPr>
      <w:fldChar w:fldCharType="separate"/>
    </w:r>
    <w:r w:rsidR="0067677C">
      <w:rPr>
        <w:noProof/>
        <w:kern w:val="0"/>
        <w:szCs w:val="21"/>
      </w:rPr>
      <w:t>1</w:t>
    </w:r>
    <w:r w:rsidR="00B62AC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B62AC1">
      <w:rPr>
        <w:kern w:val="0"/>
        <w:szCs w:val="21"/>
      </w:rPr>
      <w:fldChar w:fldCharType="begin"/>
    </w:r>
    <w:r>
      <w:rPr>
        <w:kern w:val="0"/>
        <w:szCs w:val="21"/>
      </w:rPr>
      <w:instrText xml:space="preserve"> NUMPAGES </w:instrText>
    </w:r>
    <w:r w:rsidR="00B62AC1">
      <w:rPr>
        <w:kern w:val="0"/>
        <w:szCs w:val="21"/>
      </w:rPr>
      <w:fldChar w:fldCharType="separate"/>
    </w:r>
    <w:r w:rsidR="0067677C">
      <w:rPr>
        <w:noProof/>
        <w:kern w:val="0"/>
        <w:szCs w:val="21"/>
      </w:rPr>
      <w:t>11</w:t>
    </w:r>
    <w:r w:rsidR="00B62AC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F32" w:rsidRDefault="005A5F32" w:rsidP="00876D65">
      <w:r>
        <w:separator/>
      </w:r>
    </w:p>
  </w:footnote>
  <w:footnote w:type="continuationSeparator" w:id="0">
    <w:p w:rsidR="005A5F32" w:rsidRDefault="005A5F32"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12EA"/>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D7535"/>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74824"/>
    <w:rsid w:val="0039085F"/>
    <w:rsid w:val="00394069"/>
    <w:rsid w:val="00396809"/>
    <w:rsid w:val="003A58DC"/>
    <w:rsid w:val="003A6061"/>
    <w:rsid w:val="003B3494"/>
    <w:rsid w:val="003B5E08"/>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039"/>
    <w:rsid w:val="00427F58"/>
    <w:rsid w:val="00433805"/>
    <w:rsid w:val="00443869"/>
    <w:rsid w:val="00443ABF"/>
    <w:rsid w:val="00460575"/>
    <w:rsid w:val="00463EC0"/>
    <w:rsid w:val="00464787"/>
    <w:rsid w:val="00471408"/>
    <w:rsid w:val="00480B35"/>
    <w:rsid w:val="00484610"/>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5F32"/>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7677C"/>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3AE9"/>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0DBD"/>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0A81"/>
    <w:rsid w:val="00AB4DB6"/>
    <w:rsid w:val="00AB6E79"/>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0D21"/>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BD2"/>
    <w:rsid w:val="00F31F6E"/>
    <w:rsid w:val="00F323FF"/>
    <w:rsid w:val="00F3389C"/>
    <w:rsid w:val="00F375F2"/>
    <w:rsid w:val="00F422AE"/>
    <w:rsid w:val="00F45C47"/>
    <w:rsid w:val="00F51C4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A0C4DF-DD4B-4B2C-9CC6-47F05221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8CE59-3755-436A-8C7B-63F47872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1793</TotalTime>
  <Pages>1</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孙文婷</cp:lastModifiedBy>
  <cp:revision>570</cp:revision>
  <dcterms:created xsi:type="dcterms:W3CDTF">2012-10-16T06:07:00Z</dcterms:created>
  <dcterms:modified xsi:type="dcterms:W3CDTF">2017-04-20T08:24:00Z</dcterms:modified>
</cp:coreProperties>
</file>