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E4DAC" w:rsidRDefault="003B5C7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E4DAC" w:rsidRDefault="003B5C7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E4DAC" w:rsidRDefault="003B5C7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E4DAC" w:rsidRDefault="003B5C7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E4DAC" w:rsidRDefault="003B5C7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43,507,163.14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497A25" w:rsidP="00C15CAC">
            <w:pPr>
              <w:adjustRightInd w:val="0"/>
              <w:spacing w:before="29" w:line="288" w:lineRule="auto"/>
              <w:ind w:left="17"/>
              <w:jc w:val="left"/>
              <w:rPr>
                <w:color w:val="000000"/>
                <w:sz w:val="24"/>
                <w:szCs w:val="24"/>
              </w:rPr>
            </w:pPr>
            <w:r w:rsidRPr="00B56C4B">
              <w:rPr>
                <w:rFonts w:ascii="宋体" w:hAnsi="宋体"/>
                <w:color w:val="000000"/>
                <w:kern w:val="0"/>
                <w:sz w:val="24"/>
                <w:szCs w:val="24"/>
              </w:rPr>
              <w:t>本基金为债券型证券投资基金，其长期平均的预期收</w:t>
            </w:r>
            <w:r w:rsidRPr="00B56C4B">
              <w:rPr>
                <w:rFonts w:ascii="宋体" w:hAnsi="宋体"/>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778EB" w:rsidRPr="00414345" w:rsidTr="00D778E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778EB" w:rsidRPr="00414345" w:rsidTr="00D778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333,969.17</w:t>
            </w:r>
          </w:p>
        </w:tc>
      </w:tr>
      <w:tr w:rsidR="00D778EB" w:rsidRPr="00414345" w:rsidTr="00D778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-229,157.33</w:t>
            </w:r>
          </w:p>
        </w:tc>
      </w:tr>
      <w:tr w:rsidR="00D778EB" w:rsidRPr="00414345" w:rsidTr="00D778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-0.0035</w:t>
            </w:r>
          </w:p>
        </w:tc>
      </w:tr>
      <w:tr w:rsidR="00D778EB" w:rsidRPr="00414345" w:rsidTr="00D778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55,171,706.78</w:t>
            </w:r>
          </w:p>
        </w:tc>
      </w:tr>
      <w:tr w:rsidR="00D778EB" w:rsidRPr="00414345" w:rsidTr="00D778E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1.268</w:t>
            </w:r>
          </w:p>
        </w:tc>
      </w:tr>
    </w:tbl>
    <w:p w:rsidR="005E4DAC" w:rsidRDefault="003B5C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5000" w:type="pct"/>
        <w:jc w:val="center"/>
        <w:tblLayout w:type="fixed"/>
        <w:tblCellMar>
          <w:top w:w="57" w:type="dxa"/>
          <w:bottom w:w="57" w:type="dxa"/>
        </w:tblCellMar>
        <w:tblLook w:val="04A0" w:firstRow="1" w:lastRow="0" w:firstColumn="1" w:lastColumn="0" w:noHBand="0" w:noVBand="1"/>
      </w:tblPr>
      <w:tblGrid>
        <w:gridCol w:w="1774"/>
        <w:gridCol w:w="1089"/>
        <w:gridCol w:w="1401"/>
        <w:gridCol w:w="1244"/>
        <w:gridCol w:w="1555"/>
        <w:gridCol w:w="1244"/>
        <w:gridCol w:w="935"/>
      </w:tblGrid>
      <w:tr w:rsidR="00EF6FA5" w:rsidRPr="00414345" w:rsidTr="00982AFF">
        <w:trPr>
          <w:jc w:val="center"/>
        </w:trPr>
        <w:tc>
          <w:tcPr>
            <w:tcW w:w="95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589"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758"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841"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673"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506" w:type="pct"/>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E4DAC" w:rsidTr="00982AFF">
        <w:trPr>
          <w:jc w:val="center"/>
        </w:trPr>
        <w:tc>
          <w:tcPr>
            <w:tcW w:w="959" w:type="pct"/>
            <w:vAlign w:val="center"/>
          </w:tcPr>
          <w:p w:rsidR="005E4DAC" w:rsidRDefault="003B5C7C">
            <w:pPr>
              <w:jc w:val="left"/>
            </w:pPr>
            <w:r>
              <w:rPr>
                <w:color w:val="000000"/>
                <w:sz w:val="24"/>
                <w:szCs w:val="24"/>
              </w:rPr>
              <w:t>过去三个月</w:t>
            </w:r>
          </w:p>
        </w:tc>
        <w:tc>
          <w:tcPr>
            <w:tcW w:w="589" w:type="pct"/>
            <w:vAlign w:val="center"/>
          </w:tcPr>
          <w:p w:rsidR="005E4DAC" w:rsidRDefault="003B5C7C">
            <w:pPr>
              <w:jc w:val="center"/>
            </w:pPr>
            <w:r>
              <w:rPr>
                <w:color w:val="000000"/>
                <w:sz w:val="24"/>
                <w:szCs w:val="24"/>
              </w:rPr>
              <w:t>-0.24%</w:t>
            </w:r>
          </w:p>
        </w:tc>
        <w:tc>
          <w:tcPr>
            <w:tcW w:w="758" w:type="pct"/>
            <w:vAlign w:val="center"/>
          </w:tcPr>
          <w:p w:rsidR="005E4DAC" w:rsidRDefault="003B5C7C">
            <w:pPr>
              <w:jc w:val="center"/>
            </w:pPr>
            <w:r>
              <w:rPr>
                <w:color w:val="000000"/>
                <w:sz w:val="24"/>
                <w:szCs w:val="24"/>
              </w:rPr>
              <w:t>0.06%</w:t>
            </w:r>
          </w:p>
        </w:tc>
        <w:tc>
          <w:tcPr>
            <w:tcW w:w="673" w:type="pct"/>
            <w:vAlign w:val="center"/>
          </w:tcPr>
          <w:p w:rsidR="005E4DAC" w:rsidRDefault="003B5C7C">
            <w:pPr>
              <w:jc w:val="center"/>
            </w:pPr>
            <w:r>
              <w:rPr>
                <w:color w:val="000000"/>
                <w:sz w:val="24"/>
                <w:szCs w:val="24"/>
              </w:rPr>
              <w:t>0.32%</w:t>
            </w:r>
          </w:p>
        </w:tc>
        <w:tc>
          <w:tcPr>
            <w:tcW w:w="841" w:type="pct"/>
            <w:vAlign w:val="center"/>
          </w:tcPr>
          <w:p w:rsidR="005E4DAC" w:rsidRDefault="003B5C7C">
            <w:pPr>
              <w:jc w:val="center"/>
            </w:pPr>
            <w:r>
              <w:rPr>
                <w:color w:val="000000"/>
                <w:sz w:val="24"/>
                <w:szCs w:val="24"/>
              </w:rPr>
              <w:t>0.08%</w:t>
            </w:r>
          </w:p>
        </w:tc>
        <w:tc>
          <w:tcPr>
            <w:tcW w:w="673" w:type="pct"/>
            <w:vAlign w:val="center"/>
          </w:tcPr>
          <w:p w:rsidR="005E4DAC" w:rsidRDefault="003B5C7C">
            <w:pPr>
              <w:jc w:val="center"/>
            </w:pPr>
            <w:r>
              <w:rPr>
                <w:color w:val="000000"/>
                <w:sz w:val="24"/>
                <w:szCs w:val="24"/>
              </w:rPr>
              <w:t>-0.56%</w:t>
            </w:r>
          </w:p>
        </w:tc>
        <w:tc>
          <w:tcPr>
            <w:tcW w:w="506" w:type="pct"/>
            <w:vAlign w:val="center"/>
          </w:tcPr>
          <w:p w:rsidR="005E4DAC" w:rsidRDefault="003B5C7C">
            <w:pPr>
              <w:jc w:val="center"/>
            </w:pPr>
            <w:r>
              <w:rPr>
                <w:color w:val="000000"/>
                <w:sz w:val="24"/>
                <w:szCs w:val="24"/>
              </w:rPr>
              <w:t>-0.02%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日，基金转型日至报告期期末，本基金转型时间未满一年。本基金的投资转型期为交银施罗德荣泰保本混合型证券投资基金保本周期到期期间截止日的次日（即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E4DAC">
        <w:trPr>
          <w:jc w:val="center"/>
        </w:trPr>
        <w:tc>
          <w:tcPr>
            <w:tcW w:w="846" w:type="dxa"/>
            <w:vAlign w:val="center"/>
          </w:tcPr>
          <w:p w:rsidR="005E4DAC" w:rsidRDefault="003B5C7C">
            <w:pPr>
              <w:jc w:val="center"/>
            </w:pPr>
            <w:r>
              <w:rPr>
                <w:color w:val="000000"/>
                <w:sz w:val="24"/>
                <w:szCs w:val="24"/>
              </w:rPr>
              <w:t>孙超</w:t>
            </w:r>
          </w:p>
        </w:tc>
        <w:tc>
          <w:tcPr>
            <w:tcW w:w="845" w:type="dxa"/>
            <w:vAlign w:val="center"/>
          </w:tcPr>
          <w:p w:rsidR="005E4DAC" w:rsidRDefault="003B5C7C">
            <w:pPr>
              <w:jc w:val="center"/>
            </w:pPr>
            <w:r>
              <w:rPr>
                <w:color w:val="000000"/>
                <w:sz w:val="24"/>
                <w:szCs w:val="24"/>
              </w:rPr>
              <w:t>交银增利债券、交银纯债债券发起、交银荣祥保本混合、交银定期</w:t>
            </w:r>
            <w:r>
              <w:rPr>
                <w:color w:val="000000"/>
                <w:sz w:val="24"/>
                <w:szCs w:val="24"/>
              </w:rPr>
              <w:lastRenderedPageBreak/>
              <w:t>支付月月丰债券、交银增强收益债券、交银强化回报债券、交银丰硕收益债券、交银荣鑫保本混合的基金经理，公司固定收益部助理总经理</w:t>
            </w:r>
          </w:p>
        </w:tc>
        <w:tc>
          <w:tcPr>
            <w:tcW w:w="1549" w:type="dxa"/>
            <w:vAlign w:val="center"/>
          </w:tcPr>
          <w:p w:rsidR="005E4DAC" w:rsidRDefault="003B5C7C">
            <w:pPr>
              <w:jc w:val="center"/>
            </w:pPr>
            <w:r>
              <w:rPr>
                <w:color w:val="000000"/>
                <w:sz w:val="24"/>
                <w:szCs w:val="24"/>
              </w:rPr>
              <w:lastRenderedPageBreak/>
              <w:t>2015-11-07</w:t>
            </w:r>
          </w:p>
        </w:tc>
        <w:tc>
          <w:tcPr>
            <w:tcW w:w="1548" w:type="dxa"/>
            <w:vAlign w:val="center"/>
          </w:tcPr>
          <w:p w:rsidR="005E4DAC" w:rsidRDefault="003B5C7C">
            <w:pPr>
              <w:jc w:val="center"/>
            </w:pPr>
            <w:r>
              <w:rPr>
                <w:color w:val="000000"/>
                <w:sz w:val="24"/>
                <w:szCs w:val="24"/>
              </w:rPr>
              <w:t>-</w:t>
            </w:r>
          </w:p>
        </w:tc>
        <w:tc>
          <w:tcPr>
            <w:tcW w:w="1407" w:type="dxa"/>
            <w:vAlign w:val="center"/>
          </w:tcPr>
          <w:p w:rsidR="005E4DAC" w:rsidRDefault="003B5C7C">
            <w:pPr>
              <w:jc w:val="center"/>
            </w:pPr>
            <w:r>
              <w:rPr>
                <w:color w:val="000000"/>
                <w:sz w:val="24"/>
                <w:szCs w:val="24"/>
              </w:rPr>
              <w:t>6</w:t>
            </w:r>
            <w:r>
              <w:rPr>
                <w:color w:val="000000"/>
                <w:sz w:val="24"/>
                <w:szCs w:val="24"/>
              </w:rPr>
              <w:t>年</w:t>
            </w:r>
          </w:p>
        </w:tc>
        <w:tc>
          <w:tcPr>
            <w:tcW w:w="2673" w:type="dxa"/>
            <w:vAlign w:val="center"/>
          </w:tcPr>
          <w:p w:rsidR="005E4DAC" w:rsidRDefault="003B5C7C">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lastRenderedPageBreak/>
              <w:t>17</w:t>
            </w:r>
            <w:r>
              <w:rPr>
                <w:color w:val="000000"/>
                <w:sz w:val="24"/>
                <w:szCs w:val="24"/>
              </w:rPr>
              <w:t>日担任交银施罗德双轮动债券型证券投资基金基金经理，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p>
        </w:tc>
      </w:tr>
      <w:tr w:rsidR="005E4DAC">
        <w:trPr>
          <w:jc w:val="center"/>
        </w:trPr>
        <w:tc>
          <w:tcPr>
            <w:tcW w:w="846" w:type="dxa"/>
            <w:vAlign w:val="center"/>
          </w:tcPr>
          <w:p w:rsidR="005E4DAC" w:rsidRDefault="003B5C7C">
            <w:pPr>
              <w:jc w:val="center"/>
            </w:pPr>
            <w:r>
              <w:rPr>
                <w:color w:val="000000"/>
                <w:sz w:val="24"/>
                <w:szCs w:val="24"/>
              </w:rPr>
              <w:lastRenderedPageBreak/>
              <w:t>章妍</w:t>
            </w:r>
          </w:p>
        </w:tc>
        <w:tc>
          <w:tcPr>
            <w:tcW w:w="845" w:type="dxa"/>
            <w:vAlign w:val="center"/>
          </w:tcPr>
          <w:p w:rsidR="005E4DAC" w:rsidRDefault="003B5C7C">
            <w:pPr>
              <w:jc w:val="center"/>
            </w:pPr>
            <w:r>
              <w:rPr>
                <w:color w:val="000000"/>
                <w:sz w:val="24"/>
                <w:szCs w:val="24"/>
              </w:rPr>
              <w:t>交银荣祥保本混合、交银增强收益债券、交银裕通纯债债券、交银裕兴纯债债券、</w:t>
            </w:r>
            <w:r>
              <w:rPr>
                <w:color w:val="000000"/>
                <w:sz w:val="24"/>
                <w:szCs w:val="24"/>
              </w:rPr>
              <w:lastRenderedPageBreak/>
              <w:t>交银裕盈纯债债券、交银裕利纯债债券、交银启通灵活配置混合的基金经理</w:t>
            </w:r>
          </w:p>
        </w:tc>
        <w:tc>
          <w:tcPr>
            <w:tcW w:w="1549" w:type="dxa"/>
            <w:vAlign w:val="center"/>
          </w:tcPr>
          <w:p w:rsidR="005E4DAC" w:rsidRDefault="003B5C7C">
            <w:pPr>
              <w:jc w:val="center"/>
            </w:pPr>
            <w:r>
              <w:rPr>
                <w:color w:val="000000"/>
                <w:sz w:val="24"/>
                <w:szCs w:val="24"/>
              </w:rPr>
              <w:lastRenderedPageBreak/>
              <w:t>2015-11-21</w:t>
            </w:r>
          </w:p>
        </w:tc>
        <w:tc>
          <w:tcPr>
            <w:tcW w:w="1548" w:type="dxa"/>
            <w:vAlign w:val="center"/>
          </w:tcPr>
          <w:p w:rsidR="005E4DAC" w:rsidRDefault="003B5C7C">
            <w:pPr>
              <w:jc w:val="center"/>
            </w:pPr>
            <w:r>
              <w:rPr>
                <w:color w:val="000000"/>
                <w:sz w:val="24"/>
                <w:szCs w:val="24"/>
              </w:rPr>
              <w:t>2017-03-31</w:t>
            </w:r>
          </w:p>
        </w:tc>
        <w:tc>
          <w:tcPr>
            <w:tcW w:w="1407" w:type="dxa"/>
            <w:vAlign w:val="center"/>
          </w:tcPr>
          <w:p w:rsidR="005E4DAC" w:rsidRDefault="003B5C7C">
            <w:pPr>
              <w:jc w:val="center"/>
            </w:pPr>
            <w:r>
              <w:rPr>
                <w:color w:val="000000"/>
                <w:sz w:val="24"/>
                <w:szCs w:val="24"/>
              </w:rPr>
              <w:t>2</w:t>
            </w:r>
            <w:r>
              <w:rPr>
                <w:color w:val="000000"/>
                <w:sz w:val="24"/>
                <w:szCs w:val="24"/>
              </w:rPr>
              <w:t>年</w:t>
            </w:r>
          </w:p>
        </w:tc>
        <w:tc>
          <w:tcPr>
            <w:tcW w:w="2673" w:type="dxa"/>
            <w:vAlign w:val="center"/>
          </w:tcPr>
          <w:p w:rsidR="005E4DAC" w:rsidRDefault="003B5C7C">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日担任交银施罗德裕通纯债债券型证</w:t>
            </w:r>
            <w:r>
              <w:rPr>
                <w:color w:val="000000"/>
                <w:sz w:val="24"/>
                <w:szCs w:val="24"/>
              </w:rPr>
              <w:lastRenderedPageBreak/>
              <w:t>券投资基金的基金经理，</w:t>
            </w:r>
            <w:r>
              <w:rPr>
                <w:color w:val="000000"/>
                <w:sz w:val="24"/>
                <w:szCs w:val="24"/>
              </w:rPr>
              <w:t>2016</w:t>
            </w:r>
            <w:r>
              <w:rPr>
                <w:color w:val="000000"/>
                <w:sz w:val="24"/>
                <w:szCs w:val="24"/>
              </w:rPr>
              <w:t>年</w:t>
            </w:r>
            <w:r>
              <w:rPr>
                <w:color w:val="000000"/>
                <w:sz w:val="24"/>
                <w:szCs w:val="24"/>
              </w:rPr>
              <w:t>6</w:t>
            </w:r>
            <w:r>
              <w:rPr>
                <w:color w:val="000000"/>
                <w:sz w:val="24"/>
                <w:szCs w:val="24"/>
              </w:rPr>
              <w:t>月</w:t>
            </w:r>
            <w:r>
              <w:rPr>
                <w:color w:val="000000"/>
                <w:sz w:val="24"/>
                <w:szCs w:val="24"/>
              </w:rPr>
              <w:t>20</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日担任交银施罗德荣祥保本混合型证券投资基金的基金经理，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7</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日担任交银施罗德裕兴纯债债券型证券投资基金的基金经理，</w:t>
            </w:r>
            <w:r>
              <w:rPr>
                <w:color w:val="000000"/>
                <w:sz w:val="24"/>
                <w:szCs w:val="24"/>
              </w:rPr>
              <w:t>2016</w:t>
            </w:r>
            <w:r>
              <w:rPr>
                <w:color w:val="000000"/>
                <w:sz w:val="24"/>
                <w:szCs w:val="24"/>
              </w:rPr>
              <w:t>年</w:t>
            </w:r>
            <w:r>
              <w:rPr>
                <w:color w:val="000000"/>
                <w:sz w:val="24"/>
                <w:szCs w:val="24"/>
              </w:rPr>
              <w:t>11</w:t>
            </w:r>
            <w:r>
              <w:rPr>
                <w:color w:val="000000"/>
                <w:sz w:val="24"/>
                <w:szCs w:val="24"/>
              </w:rPr>
              <w:t>月</w:t>
            </w:r>
            <w:r>
              <w:rPr>
                <w:color w:val="000000"/>
                <w:sz w:val="24"/>
                <w:szCs w:val="24"/>
              </w:rPr>
              <w:t>4</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日担任交银施罗德裕盈纯债债券型证券投资基金的基金经理，</w:t>
            </w:r>
            <w:r>
              <w:rPr>
                <w:color w:val="000000"/>
                <w:sz w:val="24"/>
                <w:szCs w:val="24"/>
              </w:rPr>
              <w:t>2016</w:t>
            </w:r>
            <w:r>
              <w:rPr>
                <w:color w:val="000000"/>
                <w:sz w:val="24"/>
                <w:szCs w:val="24"/>
              </w:rPr>
              <w:t>年</w:t>
            </w:r>
            <w:r>
              <w:rPr>
                <w:color w:val="000000"/>
                <w:sz w:val="24"/>
                <w:szCs w:val="24"/>
              </w:rPr>
              <w:t>11</w:t>
            </w:r>
            <w:r>
              <w:rPr>
                <w:color w:val="000000"/>
                <w:sz w:val="24"/>
                <w:szCs w:val="24"/>
              </w:rPr>
              <w:t>月</w:t>
            </w:r>
            <w:r>
              <w:rPr>
                <w:color w:val="000000"/>
                <w:sz w:val="24"/>
                <w:szCs w:val="24"/>
              </w:rPr>
              <w:t>23</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日担任交银施罗德裕利纯债债券型证券投资基金的基金经理，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日担任交银施罗德增强收益债券型证券投资基金的基金经理，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30</w:t>
            </w:r>
            <w:r>
              <w:rPr>
                <w:color w:val="000000"/>
                <w:sz w:val="24"/>
                <w:szCs w:val="24"/>
              </w:rPr>
              <w:t>日担任交银施罗德启通灵活配置混合型证券投资基金的基金经理。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E4DAC" w:rsidRDefault="003B5C7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E4DAC" w:rsidRDefault="003B5C7C">
      <w:pPr>
        <w:spacing w:before="29" w:line="288" w:lineRule="auto"/>
        <w:ind w:firstLineChars="200" w:firstLine="480"/>
        <w:rPr>
          <w:color w:val="000000"/>
          <w:sz w:val="24"/>
          <w:szCs w:val="24"/>
        </w:rPr>
      </w:pPr>
      <w:r>
        <w:rPr>
          <w:color w:val="000000"/>
          <w:sz w:val="24"/>
          <w:szCs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E4DAC" w:rsidRDefault="003B5C7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E4DAC" w:rsidRDefault="003B5C7C">
      <w:pPr>
        <w:spacing w:before="29" w:line="288" w:lineRule="auto"/>
        <w:ind w:firstLineChars="200" w:firstLine="480"/>
        <w:rPr>
          <w:color w:val="000000"/>
          <w:sz w:val="24"/>
          <w:szCs w:val="24"/>
        </w:rPr>
      </w:pPr>
      <w:r>
        <w:rPr>
          <w:color w:val="000000"/>
          <w:sz w:val="24"/>
          <w:szCs w:val="24"/>
        </w:rPr>
        <w:t>本报告期内，经济基本面走势较为平稳，</w:t>
      </w:r>
      <w:r>
        <w:rPr>
          <w:color w:val="000000"/>
          <w:sz w:val="24"/>
          <w:szCs w:val="24"/>
        </w:rPr>
        <w:t>PPI</w:t>
      </w:r>
      <w:r>
        <w:rPr>
          <w:color w:val="000000"/>
          <w:sz w:val="24"/>
          <w:szCs w:val="24"/>
        </w:rPr>
        <w:t>环比增速和上游资源品价格缓步走低。央行先后于</w:t>
      </w:r>
      <w:r>
        <w:rPr>
          <w:color w:val="000000"/>
          <w:sz w:val="24"/>
          <w:szCs w:val="24"/>
        </w:rPr>
        <w:t>1</w:t>
      </w:r>
      <w:r>
        <w:rPr>
          <w:color w:val="000000"/>
          <w:sz w:val="24"/>
          <w:szCs w:val="24"/>
        </w:rPr>
        <w:t>月</w:t>
      </w:r>
      <w:r>
        <w:rPr>
          <w:color w:val="000000"/>
          <w:sz w:val="24"/>
          <w:szCs w:val="24"/>
        </w:rPr>
        <w:t>24</w:t>
      </w:r>
      <w:r>
        <w:rPr>
          <w:color w:val="000000"/>
          <w:sz w:val="24"/>
          <w:szCs w:val="24"/>
        </w:rPr>
        <w:t>日、</w:t>
      </w:r>
      <w:r>
        <w:rPr>
          <w:color w:val="000000"/>
          <w:sz w:val="24"/>
          <w:szCs w:val="24"/>
        </w:rPr>
        <w:t>2</w:t>
      </w:r>
      <w:r>
        <w:rPr>
          <w:color w:val="000000"/>
          <w:sz w:val="24"/>
          <w:szCs w:val="24"/>
        </w:rPr>
        <w:t>月</w:t>
      </w:r>
      <w:r>
        <w:rPr>
          <w:color w:val="000000"/>
          <w:sz w:val="24"/>
          <w:szCs w:val="24"/>
        </w:rPr>
        <w:t>3</w:t>
      </w:r>
      <w:r>
        <w:rPr>
          <w:color w:val="000000"/>
          <w:sz w:val="24"/>
          <w:szCs w:val="24"/>
        </w:rPr>
        <w:t>日上调</w:t>
      </w:r>
      <w:r>
        <w:rPr>
          <w:color w:val="000000"/>
          <w:sz w:val="24"/>
          <w:szCs w:val="24"/>
        </w:rPr>
        <w:t>MLF</w:t>
      </w:r>
      <w:r>
        <w:rPr>
          <w:color w:val="000000"/>
          <w:sz w:val="24"/>
          <w:szCs w:val="24"/>
        </w:rPr>
        <w:t>和公开市场操作利率，资金面整体处于紧平衡状态，资金利率在每月</w:t>
      </w:r>
      <w:r>
        <w:rPr>
          <w:color w:val="000000"/>
          <w:sz w:val="24"/>
          <w:szCs w:val="24"/>
        </w:rPr>
        <w:t>7-9</w:t>
      </w:r>
      <w:r>
        <w:rPr>
          <w:color w:val="000000"/>
          <w:sz w:val="24"/>
          <w:szCs w:val="24"/>
        </w:rPr>
        <w:t>日、</w:t>
      </w:r>
      <w:r>
        <w:rPr>
          <w:color w:val="000000"/>
          <w:sz w:val="24"/>
          <w:szCs w:val="24"/>
        </w:rPr>
        <w:t>18-21</w:t>
      </w:r>
      <w:r>
        <w:rPr>
          <w:color w:val="000000"/>
          <w:sz w:val="24"/>
          <w:szCs w:val="24"/>
        </w:rPr>
        <w:t>日以及月末出现不同程度的抬升。现券收益率呈现震荡上行态势，首次政策利率上调令十年国债收益率上行至</w:t>
      </w:r>
      <w:r>
        <w:rPr>
          <w:color w:val="000000"/>
          <w:sz w:val="24"/>
          <w:szCs w:val="24"/>
        </w:rPr>
        <w:t>3.49%</w:t>
      </w:r>
      <w:r>
        <w:rPr>
          <w:color w:val="000000"/>
          <w:sz w:val="24"/>
          <w:szCs w:val="24"/>
        </w:rPr>
        <w:t>，十年国开收益率上行至</w:t>
      </w:r>
      <w:r>
        <w:rPr>
          <w:color w:val="000000"/>
          <w:sz w:val="24"/>
          <w:szCs w:val="24"/>
        </w:rPr>
        <w:t>4.19%</w:t>
      </w:r>
      <w:r>
        <w:rPr>
          <w:color w:val="000000"/>
          <w:sz w:val="24"/>
          <w:szCs w:val="24"/>
        </w:rPr>
        <w:t>的阶段高点；</w:t>
      </w:r>
      <w:r>
        <w:rPr>
          <w:color w:val="000000"/>
          <w:sz w:val="24"/>
          <w:szCs w:val="24"/>
        </w:rPr>
        <w:t>2</w:t>
      </w:r>
      <w:r>
        <w:rPr>
          <w:color w:val="000000"/>
          <w:sz w:val="24"/>
          <w:szCs w:val="24"/>
        </w:rPr>
        <w:t>月中旬现券收益率开始回落，国债期货在基差修复下连续大涨对债市情绪也有一定推动作用，</w:t>
      </w:r>
      <w:r>
        <w:rPr>
          <w:color w:val="000000"/>
          <w:sz w:val="24"/>
          <w:szCs w:val="24"/>
        </w:rPr>
        <w:t>2</w:t>
      </w:r>
      <w:r>
        <w:rPr>
          <w:color w:val="000000"/>
          <w:sz w:val="24"/>
          <w:szCs w:val="24"/>
        </w:rPr>
        <w:t>月末十年国债及国开收益率分别下行至</w:t>
      </w:r>
      <w:r>
        <w:rPr>
          <w:color w:val="000000"/>
          <w:sz w:val="24"/>
          <w:szCs w:val="24"/>
        </w:rPr>
        <w:t>3.29%</w:t>
      </w:r>
      <w:r>
        <w:rPr>
          <w:color w:val="000000"/>
          <w:sz w:val="24"/>
          <w:szCs w:val="24"/>
        </w:rPr>
        <w:t>和</w:t>
      </w:r>
      <w:r>
        <w:rPr>
          <w:color w:val="000000"/>
          <w:sz w:val="24"/>
          <w:szCs w:val="24"/>
        </w:rPr>
        <w:t>4.06%</w:t>
      </w:r>
      <w:r>
        <w:rPr>
          <w:color w:val="000000"/>
          <w:sz w:val="24"/>
          <w:szCs w:val="24"/>
        </w:rPr>
        <w:t>；</w:t>
      </w:r>
      <w:r>
        <w:rPr>
          <w:color w:val="000000"/>
          <w:sz w:val="24"/>
          <w:szCs w:val="24"/>
        </w:rPr>
        <w:t>3</w:t>
      </w:r>
      <w:r>
        <w:rPr>
          <w:color w:val="000000"/>
          <w:sz w:val="24"/>
          <w:szCs w:val="24"/>
        </w:rPr>
        <w:t>月受联储加息预期升温影响，国内债市收益率再度上调，但随着联储加息及央行再度上调政策利率两件事情靴子落地，现券市场收益率回落，月末</w:t>
      </w:r>
      <w:r>
        <w:rPr>
          <w:color w:val="000000"/>
          <w:sz w:val="24"/>
          <w:szCs w:val="24"/>
        </w:rPr>
        <w:t>MPA</w:t>
      </w:r>
      <w:r>
        <w:rPr>
          <w:color w:val="000000"/>
          <w:sz w:val="24"/>
          <w:szCs w:val="24"/>
        </w:rPr>
        <w:t>考核尽管令非银资金面高度紧张，但因被市场预期未对现券形成过大冲击。权益市场方面，</w:t>
      </w:r>
      <w:r>
        <w:rPr>
          <w:color w:val="000000"/>
          <w:sz w:val="24"/>
          <w:szCs w:val="24"/>
        </w:rPr>
        <w:t>1</w:t>
      </w:r>
      <w:r>
        <w:rPr>
          <w:color w:val="000000"/>
          <w:sz w:val="24"/>
          <w:szCs w:val="24"/>
        </w:rPr>
        <w:t>月整体处于调整阶段，随后一带一路、消费、苹果产业链、新能源汽车等主题发力，带动大盘缓步上涨，</w:t>
      </w:r>
      <w:r>
        <w:rPr>
          <w:color w:val="000000"/>
          <w:sz w:val="24"/>
          <w:szCs w:val="24"/>
        </w:rPr>
        <w:t>3</w:t>
      </w:r>
      <w:r>
        <w:rPr>
          <w:color w:val="000000"/>
          <w:sz w:val="24"/>
          <w:szCs w:val="24"/>
        </w:rPr>
        <w:t>月底市场寻顶，创业板出现较大幅度回调。</w:t>
      </w:r>
    </w:p>
    <w:p w:rsidR="005E4DAC" w:rsidRDefault="003B5C7C">
      <w:pPr>
        <w:spacing w:before="29" w:line="288" w:lineRule="auto"/>
        <w:ind w:firstLineChars="200" w:firstLine="480"/>
        <w:rPr>
          <w:color w:val="000000"/>
          <w:sz w:val="24"/>
          <w:szCs w:val="24"/>
        </w:rPr>
      </w:pPr>
      <w:r>
        <w:rPr>
          <w:color w:val="000000"/>
          <w:sz w:val="24"/>
          <w:szCs w:val="24"/>
        </w:rPr>
        <w:t>我们认为，经济增长在今年上半年难以出现明显回落，央行去杠杆将令资金面维持紧平衡状态，债市或难有趋势性机会。因此组合操作中我们不断降低长久期信用债配置比例，增配收益较好的高等级存单及短久期高等级信用。权益操作方面，我们择机配置了部分苹果产业链品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展望后市，我们认为在顺应大方向、确保自身资产负债安全稳定的同时，如何抓住市场情绪波动的投资机会，在波动中更好地改善资产负债结构，将是</w:t>
      </w:r>
      <w:r w:rsidRPr="00414345">
        <w:rPr>
          <w:color w:val="000000"/>
          <w:sz w:val="24"/>
          <w:szCs w:val="24"/>
        </w:rPr>
        <w:t>2017</w:t>
      </w:r>
      <w:r w:rsidRPr="00414345">
        <w:rPr>
          <w:color w:val="000000"/>
          <w:sz w:val="24"/>
          <w:szCs w:val="24"/>
        </w:rPr>
        <w:t>年投资中最</w:t>
      </w:r>
      <w:r w:rsidRPr="00414345">
        <w:rPr>
          <w:color w:val="000000"/>
          <w:sz w:val="24"/>
          <w:szCs w:val="24"/>
        </w:rPr>
        <w:lastRenderedPageBreak/>
        <w:t>值得关注的事情。二季度债券市场在前期利空落地后或将迎来阶段性反弹，但在经济没有出现明显下行前，金融去杠杆将制约债券收益率的下行空间，因此预计信用债配置中高等级短久期相对更优。利率债操作方面，长债的趋势性机会还未出现前，我们将侧重于博弈市场对已知风险的预期程度，寻找区间博弈机会。权益方面，</w:t>
      </w:r>
      <w:r w:rsidRPr="00414345">
        <w:rPr>
          <w:color w:val="000000"/>
          <w:sz w:val="24"/>
          <w:szCs w:val="24"/>
        </w:rPr>
        <w:t>2017</w:t>
      </w:r>
      <w:r w:rsidRPr="00414345">
        <w:rPr>
          <w:color w:val="000000"/>
          <w:sz w:val="24"/>
          <w:szCs w:val="24"/>
        </w:rPr>
        <w:t>年二季度我们将重点关注混改和电子产业链、</w:t>
      </w:r>
      <w:r w:rsidRPr="00414345">
        <w:rPr>
          <w:color w:val="000000"/>
          <w:sz w:val="24"/>
          <w:szCs w:val="24"/>
        </w:rPr>
        <w:t>PPP</w:t>
      </w:r>
      <w:r w:rsidRPr="00414345">
        <w:rPr>
          <w:color w:val="000000"/>
          <w:sz w:val="24"/>
          <w:szCs w:val="24"/>
        </w:rPr>
        <w:t>等行业表现。</w:t>
      </w:r>
    </w:p>
    <w:p w:rsidR="00627E2D" w:rsidRPr="00414345" w:rsidRDefault="00627E2D" w:rsidP="00C15CAC">
      <w:pPr>
        <w:spacing w:before="29" w:line="288" w:lineRule="auto"/>
        <w:ind w:firstLineChars="200" w:firstLine="480"/>
        <w:rPr>
          <w:color w:val="000000"/>
          <w:sz w:val="24"/>
          <w:szCs w:val="24"/>
        </w:rPr>
      </w:pPr>
    </w:p>
    <w:p w:rsidR="004061AC" w:rsidRPr="007B4DF7" w:rsidRDefault="00D44EE8" w:rsidP="00C15CAC">
      <w:pPr>
        <w:spacing w:before="29" w:line="288" w:lineRule="auto"/>
        <w:rPr>
          <w:sz w:val="24"/>
          <w:szCs w:val="24"/>
        </w:rPr>
      </w:pPr>
      <w:r w:rsidRPr="007B4DF7">
        <w:rPr>
          <w:b/>
          <w:color w:val="000000"/>
          <w:kern w:val="0"/>
          <w:sz w:val="24"/>
        </w:rPr>
        <w:t>4.5</w:t>
      </w:r>
      <w:r w:rsidRPr="007B4DF7">
        <w:rPr>
          <w:rFonts w:hint="eastAsia"/>
          <w:b/>
          <w:color w:val="000000"/>
          <w:kern w:val="0"/>
          <w:sz w:val="24"/>
        </w:rPr>
        <w:t>报告期内基金的业绩表现</w:t>
      </w:r>
    </w:p>
    <w:p w:rsidR="004B68A3" w:rsidRPr="00414345" w:rsidRDefault="004061AC" w:rsidP="00982AFF">
      <w:pPr>
        <w:spacing w:before="29" w:line="288" w:lineRule="auto"/>
        <w:ind w:firstLine="420"/>
        <w:rPr>
          <w:color w:val="000000"/>
          <w:sz w:val="24"/>
          <w:szCs w:val="24"/>
        </w:rPr>
      </w:pPr>
      <w:r w:rsidRPr="007B4DF7">
        <w:rPr>
          <w:rFonts w:hint="eastAsia"/>
          <w:color w:val="000000"/>
          <w:sz w:val="24"/>
          <w:szCs w:val="24"/>
        </w:rPr>
        <w:t>截至</w:t>
      </w:r>
      <w:r w:rsidRPr="007B4DF7">
        <w:rPr>
          <w:color w:val="000000"/>
          <w:sz w:val="24"/>
          <w:szCs w:val="24"/>
        </w:rPr>
        <w:t>2017</w:t>
      </w:r>
      <w:r w:rsidRPr="007B4DF7">
        <w:rPr>
          <w:rFonts w:hint="eastAsia"/>
          <w:color w:val="000000"/>
          <w:sz w:val="24"/>
          <w:szCs w:val="24"/>
        </w:rPr>
        <w:t>年</w:t>
      </w:r>
      <w:r w:rsidRPr="007B4DF7">
        <w:rPr>
          <w:color w:val="000000"/>
          <w:sz w:val="24"/>
          <w:szCs w:val="24"/>
        </w:rPr>
        <w:t>3</w:t>
      </w:r>
      <w:r w:rsidRPr="007B4DF7">
        <w:rPr>
          <w:rFonts w:hint="eastAsia"/>
          <w:color w:val="000000"/>
          <w:sz w:val="24"/>
          <w:szCs w:val="24"/>
        </w:rPr>
        <w:t>月</w:t>
      </w:r>
      <w:r w:rsidRPr="007B4DF7">
        <w:rPr>
          <w:color w:val="000000"/>
          <w:sz w:val="24"/>
          <w:szCs w:val="24"/>
        </w:rPr>
        <w:t>31</w:t>
      </w:r>
      <w:r w:rsidRPr="007B4DF7">
        <w:rPr>
          <w:rFonts w:hint="eastAsia"/>
          <w:color w:val="000000"/>
          <w:sz w:val="24"/>
          <w:szCs w:val="24"/>
        </w:rPr>
        <w:t>日，</w:t>
      </w:r>
      <w:r w:rsidR="004B68A3" w:rsidRPr="007B4DF7">
        <w:rPr>
          <w:rFonts w:hint="eastAsia"/>
          <w:color w:val="000000"/>
          <w:sz w:val="24"/>
          <w:szCs w:val="24"/>
        </w:rPr>
        <w:t>本</w:t>
      </w:r>
      <w:r w:rsidRPr="007B4DF7">
        <w:rPr>
          <w:rFonts w:hint="eastAsia"/>
          <w:color w:val="000000"/>
          <w:sz w:val="24"/>
          <w:szCs w:val="24"/>
        </w:rPr>
        <w:t>基金份额净值为</w:t>
      </w:r>
      <w:r w:rsidRPr="007B4DF7">
        <w:rPr>
          <w:color w:val="000000"/>
          <w:sz w:val="24"/>
          <w:szCs w:val="24"/>
        </w:rPr>
        <w:t>1.268</w:t>
      </w:r>
      <w:r w:rsidRPr="007B4DF7">
        <w:rPr>
          <w:rFonts w:hint="eastAsia"/>
          <w:color w:val="000000"/>
          <w:sz w:val="24"/>
          <w:szCs w:val="24"/>
        </w:rPr>
        <w:t>元</w:t>
      </w:r>
      <w:r w:rsidR="004B68A3" w:rsidRPr="007B4DF7">
        <w:rPr>
          <w:rFonts w:hint="eastAsia"/>
          <w:color w:val="000000"/>
          <w:sz w:val="24"/>
          <w:szCs w:val="24"/>
        </w:rPr>
        <w:t>，本报告期份额净值增长率为</w:t>
      </w:r>
      <w:r w:rsidR="004B68A3" w:rsidRPr="007B4DF7">
        <w:rPr>
          <w:color w:val="000000"/>
          <w:sz w:val="24"/>
          <w:szCs w:val="24"/>
        </w:rPr>
        <w:t>-0.24%</w:t>
      </w:r>
      <w:r w:rsidR="004B68A3" w:rsidRPr="007B4DF7">
        <w:rPr>
          <w:rFonts w:hint="eastAsia"/>
          <w:color w:val="000000"/>
          <w:sz w:val="24"/>
          <w:szCs w:val="24"/>
        </w:rPr>
        <w:t>，同期业绩比较基准增长率为</w:t>
      </w:r>
      <w:r w:rsidR="004B68A3" w:rsidRPr="007B4DF7">
        <w:rPr>
          <w:color w:val="000000"/>
          <w:sz w:val="24"/>
          <w:szCs w:val="24"/>
        </w:rPr>
        <w:t>0.32%</w:t>
      </w:r>
      <w:r w:rsidR="004B68A3" w:rsidRPr="007B4DF7">
        <w:rPr>
          <w:rFonts w:hint="eastAsia"/>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60,877,312.40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60,877,312.40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96.06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1,386,865.12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1,110,682.91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63,374,860.43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06286E" w:rsidRPr="00414345" w:rsidRDefault="0006286E" w:rsidP="00982AFF">
      <w:pPr>
        <w:rPr>
          <w:color w:val="000000"/>
          <w:sz w:val="24"/>
          <w:szCs w:val="24"/>
        </w:rPr>
      </w:pPr>
    </w:p>
    <w:p w:rsidR="00F51C4E" w:rsidRPr="008A409E" w:rsidRDefault="00F51C4E" w:rsidP="00982AFF">
      <w:pPr>
        <w:rPr>
          <w:rFonts w:asciiTheme="minorEastAsia" w:eastAsiaTheme="minorEastAsia" w:hAnsiTheme="minorEastAsia"/>
          <w:b/>
          <w:bCs/>
          <w:color w:val="000000" w:themeColor="text1"/>
          <w:kern w:val="0"/>
          <w:sz w:val="24"/>
        </w:rPr>
      </w:pPr>
      <w:r w:rsidRPr="00982AFF">
        <w:rPr>
          <w:rFonts w:eastAsiaTheme="minorEastAsia"/>
          <w:b/>
          <w:color w:val="000000" w:themeColor="text1"/>
          <w:kern w:val="0"/>
          <w:sz w:val="24"/>
        </w:rPr>
        <w:t>5.2.2</w:t>
      </w:r>
      <w:r w:rsidRPr="00982AFF">
        <w:rPr>
          <w:rFonts w:eastAsiaTheme="minorEastAsia" w:hint="eastAsia"/>
          <w:b/>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5,566,312.40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14,851,500.00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26.92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40,459,500.00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73.33</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60,877,312.40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110.34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E4DAC">
        <w:trPr>
          <w:jc w:val="center"/>
        </w:trPr>
        <w:tc>
          <w:tcPr>
            <w:tcW w:w="850" w:type="dxa"/>
            <w:vAlign w:val="center"/>
          </w:tcPr>
          <w:p w:rsidR="005E4DAC" w:rsidRDefault="003B5C7C">
            <w:pPr>
              <w:jc w:val="center"/>
            </w:pPr>
            <w:r>
              <w:rPr>
                <w:color w:val="000000"/>
                <w:sz w:val="24"/>
                <w:szCs w:val="24"/>
              </w:rPr>
              <w:t>1</w:t>
            </w:r>
          </w:p>
        </w:tc>
        <w:tc>
          <w:tcPr>
            <w:tcW w:w="1475" w:type="dxa"/>
            <w:vAlign w:val="center"/>
          </w:tcPr>
          <w:p w:rsidR="005E4DAC" w:rsidRDefault="003B5C7C">
            <w:pPr>
              <w:jc w:val="center"/>
            </w:pPr>
            <w:r>
              <w:rPr>
                <w:color w:val="000000"/>
                <w:sz w:val="24"/>
                <w:szCs w:val="24"/>
              </w:rPr>
              <w:t>019546</w:t>
            </w:r>
          </w:p>
        </w:tc>
        <w:tc>
          <w:tcPr>
            <w:tcW w:w="1769" w:type="dxa"/>
            <w:vAlign w:val="center"/>
          </w:tcPr>
          <w:p w:rsidR="005E4DAC" w:rsidRDefault="003B5C7C">
            <w:pPr>
              <w:jc w:val="center"/>
            </w:pPr>
            <w:r>
              <w:rPr>
                <w:color w:val="000000"/>
                <w:sz w:val="24"/>
                <w:szCs w:val="24"/>
              </w:rPr>
              <w:t>16</w:t>
            </w:r>
            <w:r>
              <w:rPr>
                <w:color w:val="000000"/>
                <w:sz w:val="24"/>
                <w:szCs w:val="24"/>
              </w:rPr>
              <w:t>国债</w:t>
            </w:r>
            <w:r>
              <w:rPr>
                <w:color w:val="000000"/>
                <w:sz w:val="24"/>
                <w:szCs w:val="24"/>
              </w:rPr>
              <w:t>18</w:t>
            </w:r>
          </w:p>
        </w:tc>
        <w:tc>
          <w:tcPr>
            <w:tcW w:w="1387" w:type="dxa"/>
            <w:vAlign w:val="center"/>
          </w:tcPr>
          <w:p w:rsidR="005E4DAC" w:rsidRDefault="003B5C7C">
            <w:pPr>
              <w:jc w:val="right"/>
            </w:pPr>
            <w:r>
              <w:rPr>
                <w:color w:val="000000"/>
                <w:sz w:val="24"/>
                <w:szCs w:val="24"/>
              </w:rPr>
              <w:t>55,730</w:t>
            </w:r>
          </w:p>
        </w:tc>
        <w:tc>
          <w:tcPr>
            <w:tcW w:w="2150" w:type="dxa"/>
            <w:vAlign w:val="center"/>
          </w:tcPr>
          <w:p w:rsidR="005E4DAC" w:rsidRDefault="003B5C7C">
            <w:pPr>
              <w:jc w:val="right"/>
            </w:pPr>
            <w:r>
              <w:rPr>
                <w:color w:val="000000"/>
                <w:sz w:val="24"/>
                <w:szCs w:val="24"/>
              </w:rPr>
              <w:t>5,566,312.40</w:t>
            </w:r>
          </w:p>
        </w:tc>
        <w:tc>
          <w:tcPr>
            <w:tcW w:w="1237" w:type="dxa"/>
            <w:vAlign w:val="center"/>
          </w:tcPr>
          <w:p w:rsidR="005E4DAC" w:rsidRDefault="003B5C7C">
            <w:pPr>
              <w:jc w:val="right"/>
            </w:pPr>
            <w:r>
              <w:rPr>
                <w:color w:val="000000"/>
                <w:sz w:val="24"/>
                <w:szCs w:val="24"/>
              </w:rPr>
              <w:t>10.09</w:t>
            </w:r>
          </w:p>
        </w:tc>
      </w:tr>
      <w:tr w:rsidR="005E4DAC">
        <w:trPr>
          <w:jc w:val="center"/>
        </w:trPr>
        <w:tc>
          <w:tcPr>
            <w:tcW w:w="850" w:type="dxa"/>
            <w:vAlign w:val="center"/>
          </w:tcPr>
          <w:p w:rsidR="005E4DAC" w:rsidRDefault="003B5C7C">
            <w:pPr>
              <w:jc w:val="center"/>
            </w:pPr>
            <w:r>
              <w:rPr>
                <w:color w:val="000000"/>
                <w:sz w:val="24"/>
                <w:szCs w:val="24"/>
              </w:rPr>
              <w:t>2</w:t>
            </w:r>
          </w:p>
        </w:tc>
        <w:tc>
          <w:tcPr>
            <w:tcW w:w="1475" w:type="dxa"/>
            <w:vAlign w:val="center"/>
          </w:tcPr>
          <w:p w:rsidR="005E4DAC" w:rsidRDefault="003B5C7C">
            <w:pPr>
              <w:jc w:val="center"/>
            </w:pPr>
            <w:r>
              <w:rPr>
                <w:color w:val="000000"/>
                <w:sz w:val="24"/>
                <w:szCs w:val="24"/>
              </w:rPr>
              <w:t>101461018</w:t>
            </w:r>
          </w:p>
        </w:tc>
        <w:tc>
          <w:tcPr>
            <w:tcW w:w="1769" w:type="dxa"/>
            <w:vAlign w:val="center"/>
          </w:tcPr>
          <w:p w:rsidR="005E4DAC" w:rsidRDefault="003B5C7C">
            <w:pPr>
              <w:jc w:val="center"/>
            </w:pPr>
            <w:r>
              <w:rPr>
                <w:color w:val="000000"/>
                <w:sz w:val="24"/>
                <w:szCs w:val="24"/>
              </w:rPr>
              <w:t>14</w:t>
            </w:r>
            <w:r>
              <w:rPr>
                <w:color w:val="000000"/>
                <w:sz w:val="24"/>
                <w:szCs w:val="24"/>
              </w:rPr>
              <w:t>株城发</w:t>
            </w:r>
            <w:r>
              <w:rPr>
                <w:color w:val="000000"/>
                <w:sz w:val="24"/>
                <w:szCs w:val="24"/>
              </w:rPr>
              <w:t>MTN001</w:t>
            </w:r>
          </w:p>
        </w:tc>
        <w:tc>
          <w:tcPr>
            <w:tcW w:w="1387" w:type="dxa"/>
            <w:vAlign w:val="center"/>
          </w:tcPr>
          <w:p w:rsidR="005E4DAC" w:rsidRDefault="003B5C7C">
            <w:pPr>
              <w:jc w:val="right"/>
            </w:pPr>
            <w:r>
              <w:rPr>
                <w:color w:val="000000"/>
                <w:sz w:val="24"/>
                <w:szCs w:val="24"/>
              </w:rPr>
              <w:t>50,000</w:t>
            </w:r>
          </w:p>
        </w:tc>
        <w:tc>
          <w:tcPr>
            <w:tcW w:w="2150" w:type="dxa"/>
            <w:vAlign w:val="center"/>
          </w:tcPr>
          <w:p w:rsidR="005E4DAC" w:rsidRDefault="003B5C7C">
            <w:pPr>
              <w:jc w:val="right"/>
            </w:pPr>
            <w:r>
              <w:rPr>
                <w:color w:val="000000"/>
                <w:sz w:val="24"/>
                <w:szCs w:val="24"/>
              </w:rPr>
              <w:t>5,269,000.00</w:t>
            </w:r>
          </w:p>
        </w:tc>
        <w:tc>
          <w:tcPr>
            <w:tcW w:w="1237" w:type="dxa"/>
            <w:vAlign w:val="center"/>
          </w:tcPr>
          <w:p w:rsidR="005E4DAC" w:rsidRDefault="003B5C7C">
            <w:pPr>
              <w:jc w:val="right"/>
            </w:pPr>
            <w:r>
              <w:rPr>
                <w:color w:val="000000"/>
                <w:sz w:val="24"/>
                <w:szCs w:val="24"/>
              </w:rPr>
              <w:t>9.55</w:t>
            </w:r>
          </w:p>
        </w:tc>
      </w:tr>
      <w:tr w:rsidR="005E4DAC">
        <w:trPr>
          <w:jc w:val="center"/>
        </w:trPr>
        <w:tc>
          <w:tcPr>
            <w:tcW w:w="850" w:type="dxa"/>
            <w:vAlign w:val="center"/>
          </w:tcPr>
          <w:p w:rsidR="005E4DAC" w:rsidRDefault="003B5C7C">
            <w:pPr>
              <w:jc w:val="center"/>
            </w:pPr>
            <w:r>
              <w:rPr>
                <w:color w:val="000000"/>
                <w:sz w:val="24"/>
                <w:szCs w:val="24"/>
              </w:rPr>
              <w:t>3</w:t>
            </w:r>
          </w:p>
        </w:tc>
        <w:tc>
          <w:tcPr>
            <w:tcW w:w="1475" w:type="dxa"/>
            <w:vAlign w:val="center"/>
          </w:tcPr>
          <w:p w:rsidR="005E4DAC" w:rsidRDefault="003B5C7C">
            <w:pPr>
              <w:jc w:val="center"/>
            </w:pPr>
            <w:r>
              <w:rPr>
                <w:color w:val="000000"/>
                <w:sz w:val="24"/>
                <w:szCs w:val="24"/>
              </w:rPr>
              <w:t>101554011</w:t>
            </w:r>
          </w:p>
        </w:tc>
        <w:tc>
          <w:tcPr>
            <w:tcW w:w="1769" w:type="dxa"/>
            <w:vAlign w:val="center"/>
          </w:tcPr>
          <w:p w:rsidR="005E4DAC" w:rsidRDefault="003B5C7C">
            <w:pPr>
              <w:jc w:val="center"/>
            </w:pPr>
            <w:r>
              <w:rPr>
                <w:color w:val="000000"/>
                <w:sz w:val="24"/>
                <w:szCs w:val="24"/>
              </w:rPr>
              <w:t>15</w:t>
            </w:r>
            <w:r>
              <w:rPr>
                <w:color w:val="000000"/>
                <w:sz w:val="24"/>
                <w:szCs w:val="24"/>
              </w:rPr>
              <w:t>淄博城运</w:t>
            </w:r>
            <w:r>
              <w:rPr>
                <w:color w:val="000000"/>
                <w:sz w:val="24"/>
                <w:szCs w:val="24"/>
              </w:rPr>
              <w:t>MTN001</w:t>
            </w:r>
          </w:p>
        </w:tc>
        <w:tc>
          <w:tcPr>
            <w:tcW w:w="1387" w:type="dxa"/>
            <w:vAlign w:val="center"/>
          </w:tcPr>
          <w:p w:rsidR="005E4DAC" w:rsidRDefault="003B5C7C">
            <w:pPr>
              <w:jc w:val="right"/>
            </w:pPr>
            <w:r>
              <w:rPr>
                <w:color w:val="000000"/>
                <w:sz w:val="24"/>
                <w:szCs w:val="24"/>
              </w:rPr>
              <w:t>50,000</w:t>
            </w:r>
          </w:p>
        </w:tc>
        <w:tc>
          <w:tcPr>
            <w:tcW w:w="2150" w:type="dxa"/>
            <w:vAlign w:val="center"/>
          </w:tcPr>
          <w:p w:rsidR="005E4DAC" w:rsidRDefault="003B5C7C">
            <w:pPr>
              <w:jc w:val="right"/>
            </w:pPr>
            <w:r>
              <w:rPr>
                <w:color w:val="000000"/>
                <w:sz w:val="24"/>
                <w:szCs w:val="24"/>
              </w:rPr>
              <w:t>5,140,500.00</w:t>
            </w:r>
          </w:p>
        </w:tc>
        <w:tc>
          <w:tcPr>
            <w:tcW w:w="1237" w:type="dxa"/>
            <w:vAlign w:val="center"/>
          </w:tcPr>
          <w:p w:rsidR="005E4DAC" w:rsidRDefault="003B5C7C">
            <w:pPr>
              <w:jc w:val="right"/>
            </w:pPr>
            <w:r>
              <w:rPr>
                <w:color w:val="000000"/>
                <w:sz w:val="24"/>
                <w:szCs w:val="24"/>
              </w:rPr>
              <w:t>9.32</w:t>
            </w:r>
          </w:p>
        </w:tc>
      </w:tr>
      <w:tr w:rsidR="005E4DAC">
        <w:trPr>
          <w:jc w:val="center"/>
        </w:trPr>
        <w:tc>
          <w:tcPr>
            <w:tcW w:w="850" w:type="dxa"/>
            <w:vAlign w:val="center"/>
          </w:tcPr>
          <w:p w:rsidR="005E4DAC" w:rsidRDefault="003B5C7C">
            <w:pPr>
              <w:jc w:val="center"/>
            </w:pPr>
            <w:r>
              <w:rPr>
                <w:color w:val="000000"/>
                <w:sz w:val="24"/>
                <w:szCs w:val="24"/>
              </w:rPr>
              <w:t>4</w:t>
            </w:r>
          </w:p>
        </w:tc>
        <w:tc>
          <w:tcPr>
            <w:tcW w:w="1475" w:type="dxa"/>
            <w:vAlign w:val="center"/>
          </w:tcPr>
          <w:p w:rsidR="005E4DAC" w:rsidRDefault="003B5C7C">
            <w:pPr>
              <w:jc w:val="center"/>
            </w:pPr>
            <w:r>
              <w:rPr>
                <w:color w:val="000000"/>
                <w:sz w:val="24"/>
                <w:szCs w:val="24"/>
              </w:rPr>
              <w:t>101354002</w:t>
            </w:r>
          </w:p>
        </w:tc>
        <w:tc>
          <w:tcPr>
            <w:tcW w:w="1769" w:type="dxa"/>
            <w:vAlign w:val="center"/>
          </w:tcPr>
          <w:p w:rsidR="005E4DAC" w:rsidRDefault="003B5C7C">
            <w:pPr>
              <w:jc w:val="center"/>
            </w:pPr>
            <w:r>
              <w:rPr>
                <w:color w:val="000000"/>
                <w:sz w:val="24"/>
                <w:szCs w:val="24"/>
              </w:rPr>
              <w:t>13</w:t>
            </w:r>
            <w:r>
              <w:rPr>
                <w:color w:val="000000"/>
                <w:sz w:val="24"/>
                <w:szCs w:val="24"/>
              </w:rPr>
              <w:t>桂机场</w:t>
            </w:r>
            <w:r>
              <w:rPr>
                <w:color w:val="000000"/>
                <w:sz w:val="24"/>
                <w:szCs w:val="24"/>
              </w:rPr>
              <w:t>MTN001</w:t>
            </w:r>
          </w:p>
        </w:tc>
        <w:tc>
          <w:tcPr>
            <w:tcW w:w="1387" w:type="dxa"/>
            <w:vAlign w:val="center"/>
          </w:tcPr>
          <w:p w:rsidR="005E4DAC" w:rsidRDefault="003B5C7C">
            <w:pPr>
              <w:jc w:val="right"/>
            </w:pPr>
            <w:r>
              <w:rPr>
                <w:color w:val="000000"/>
                <w:sz w:val="24"/>
                <w:szCs w:val="24"/>
              </w:rPr>
              <w:t>50,000</w:t>
            </w:r>
          </w:p>
        </w:tc>
        <w:tc>
          <w:tcPr>
            <w:tcW w:w="2150" w:type="dxa"/>
            <w:vAlign w:val="center"/>
          </w:tcPr>
          <w:p w:rsidR="005E4DAC" w:rsidRDefault="003B5C7C">
            <w:pPr>
              <w:jc w:val="right"/>
            </w:pPr>
            <w:r>
              <w:rPr>
                <w:color w:val="000000"/>
                <w:sz w:val="24"/>
                <w:szCs w:val="24"/>
              </w:rPr>
              <w:t>5,095,000.00</w:t>
            </w:r>
          </w:p>
        </w:tc>
        <w:tc>
          <w:tcPr>
            <w:tcW w:w="1237" w:type="dxa"/>
            <w:vAlign w:val="center"/>
          </w:tcPr>
          <w:p w:rsidR="005E4DAC" w:rsidRDefault="003B5C7C">
            <w:pPr>
              <w:jc w:val="right"/>
            </w:pPr>
            <w:r>
              <w:rPr>
                <w:color w:val="000000"/>
                <w:sz w:val="24"/>
                <w:szCs w:val="24"/>
              </w:rPr>
              <w:t>9.23</w:t>
            </w:r>
          </w:p>
        </w:tc>
      </w:tr>
      <w:tr w:rsidR="005E4DAC">
        <w:trPr>
          <w:jc w:val="center"/>
        </w:trPr>
        <w:tc>
          <w:tcPr>
            <w:tcW w:w="850" w:type="dxa"/>
            <w:vAlign w:val="center"/>
          </w:tcPr>
          <w:p w:rsidR="005E4DAC" w:rsidRDefault="003B5C7C">
            <w:pPr>
              <w:jc w:val="center"/>
            </w:pPr>
            <w:r>
              <w:rPr>
                <w:color w:val="000000"/>
                <w:sz w:val="24"/>
                <w:szCs w:val="24"/>
              </w:rPr>
              <w:t>5</w:t>
            </w:r>
          </w:p>
        </w:tc>
        <w:tc>
          <w:tcPr>
            <w:tcW w:w="1475" w:type="dxa"/>
            <w:vAlign w:val="center"/>
          </w:tcPr>
          <w:p w:rsidR="005E4DAC" w:rsidRDefault="003B5C7C">
            <w:pPr>
              <w:jc w:val="center"/>
            </w:pPr>
            <w:r>
              <w:rPr>
                <w:color w:val="000000"/>
                <w:sz w:val="24"/>
                <w:szCs w:val="24"/>
              </w:rPr>
              <w:t>101551028</w:t>
            </w:r>
          </w:p>
        </w:tc>
        <w:tc>
          <w:tcPr>
            <w:tcW w:w="1769" w:type="dxa"/>
            <w:vAlign w:val="center"/>
          </w:tcPr>
          <w:p w:rsidR="005E4DAC" w:rsidRDefault="003B5C7C">
            <w:pPr>
              <w:jc w:val="center"/>
            </w:pPr>
            <w:r>
              <w:rPr>
                <w:color w:val="000000"/>
                <w:sz w:val="24"/>
                <w:szCs w:val="24"/>
              </w:rPr>
              <w:t>15</w:t>
            </w:r>
            <w:r>
              <w:rPr>
                <w:color w:val="000000"/>
                <w:sz w:val="24"/>
                <w:szCs w:val="24"/>
              </w:rPr>
              <w:t>华侨城</w:t>
            </w:r>
            <w:r>
              <w:rPr>
                <w:color w:val="000000"/>
                <w:sz w:val="24"/>
                <w:szCs w:val="24"/>
              </w:rPr>
              <w:lastRenderedPageBreak/>
              <w:t>MTN001</w:t>
            </w:r>
          </w:p>
        </w:tc>
        <w:tc>
          <w:tcPr>
            <w:tcW w:w="1387" w:type="dxa"/>
            <w:vAlign w:val="center"/>
          </w:tcPr>
          <w:p w:rsidR="005E4DAC" w:rsidRDefault="003B5C7C">
            <w:pPr>
              <w:jc w:val="right"/>
            </w:pPr>
            <w:r>
              <w:rPr>
                <w:color w:val="000000"/>
                <w:sz w:val="24"/>
                <w:szCs w:val="24"/>
              </w:rPr>
              <w:lastRenderedPageBreak/>
              <w:t>50,000</w:t>
            </w:r>
          </w:p>
        </w:tc>
        <w:tc>
          <w:tcPr>
            <w:tcW w:w="2150" w:type="dxa"/>
            <w:vAlign w:val="center"/>
          </w:tcPr>
          <w:p w:rsidR="005E4DAC" w:rsidRDefault="003B5C7C">
            <w:pPr>
              <w:jc w:val="right"/>
            </w:pPr>
            <w:r>
              <w:rPr>
                <w:color w:val="000000"/>
                <w:sz w:val="24"/>
                <w:szCs w:val="24"/>
              </w:rPr>
              <w:t>5,085,000.00</w:t>
            </w:r>
          </w:p>
        </w:tc>
        <w:tc>
          <w:tcPr>
            <w:tcW w:w="1237" w:type="dxa"/>
            <w:vAlign w:val="center"/>
          </w:tcPr>
          <w:p w:rsidR="005E4DAC" w:rsidRDefault="003B5C7C">
            <w:pPr>
              <w:jc w:val="right"/>
            </w:pPr>
            <w:r>
              <w:rPr>
                <w:color w:val="000000"/>
                <w:sz w:val="24"/>
                <w:szCs w:val="24"/>
              </w:rPr>
              <w:t>9.22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7B4DF7" w:rsidRDefault="00A54C7D" w:rsidP="00C15CAC">
      <w:pPr>
        <w:autoSpaceDE w:val="0"/>
        <w:autoSpaceDN w:val="0"/>
        <w:adjustRightInd w:val="0"/>
        <w:spacing w:before="29" w:line="288" w:lineRule="auto"/>
        <w:jc w:val="left"/>
        <w:rPr>
          <w:rFonts w:hAnsi="宋体"/>
          <w:b/>
          <w:bCs/>
          <w:color w:val="000000"/>
          <w:kern w:val="0"/>
          <w:sz w:val="24"/>
          <w:szCs w:val="24"/>
        </w:rPr>
      </w:pPr>
      <w:r w:rsidRPr="007B4DF7">
        <w:rPr>
          <w:b/>
          <w:bCs/>
          <w:color w:val="000000"/>
          <w:kern w:val="0"/>
          <w:sz w:val="24"/>
          <w:szCs w:val="24"/>
        </w:rPr>
        <w:t>5.7</w:t>
      </w:r>
      <w:r w:rsidRPr="007B4DF7">
        <w:rPr>
          <w:rFonts w:eastAsiaTheme="minorEastAsia"/>
          <w:b/>
          <w:bCs/>
          <w:color w:val="000000"/>
          <w:kern w:val="0"/>
          <w:sz w:val="24"/>
          <w:szCs w:val="24"/>
        </w:rPr>
        <w:t xml:space="preserve"> </w:t>
      </w:r>
      <w:r w:rsidRPr="007B4DF7">
        <w:rPr>
          <w:rFonts w:hAnsi="宋体"/>
          <w:b/>
          <w:bCs/>
          <w:color w:val="000000"/>
          <w:kern w:val="0"/>
          <w:sz w:val="24"/>
          <w:szCs w:val="24"/>
        </w:rPr>
        <w:t>报告期末按公允价值占基金资产净值比例大小排序的前五名贵金属投资明细</w:t>
      </w:r>
    </w:p>
    <w:p w:rsidR="00497A25" w:rsidRPr="00982AFF" w:rsidRDefault="00497A25" w:rsidP="00C15CAC">
      <w:pPr>
        <w:autoSpaceDE w:val="0"/>
        <w:autoSpaceDN w:val="0"/>
        <w:adjustRightInd w:val="0"/>
        <w:spacing w:before="29" w:line="288" w:lineRule="auto"/>
        <w:jc w:val="left"/>
        <w:rPr>
          <w:sz w:val="24"/>
        </w:rPr>
      </w:pPr>
      <w:r w:rsidRPr="007B4DF7">
        <w:rPr>
          <w:rFonts w:hint="eastAsia"/>
          <w:sz w:val="24"/>
        </w:rPr>
        <w:t>本基金本报告期末未持有贵金属。</w:t>
      </w:r>
    </w:p>
    <w:p w:rsidR="00497A25" w:rsidRPr="00414345" w:rsidRDefault="00497A25"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16</w:t>
      </w:r>
      <w:r w:rsidRPr="00BE5388">
        <w:rPr>
          <w:bCs/>
          <w:color w:val="000000"/>
          <w:kern w:val="0"/>
          <w:sz w:val="24"/>
          <w:szCs w:val="24"/>
        </w:rPr>
        <w:t>华泰</w:t>
      </w:r>
      <w:r w:rsidRPr="00BE5388">
        <w:rPr>
          <w:bCs/>
          <w:color w:val="000000"/>
          <w:kern w:val="0"/>
          <w:sz w:val="24"/>
          <w:szCs w:val="24"/>
        </w:rPr>
        <w:t>G3</w:t>
      </w:r>
      <w:r w:rsidRPr="00BE5388">
        <w:rPr>
          <w:bCs/>
          <w:color w:val="000000"/>
          <w:kern w:val="0"/>
          <w:sz w:val="24"/>
          <w:szCs w:val="24"/>
        </w:rPr>
        <w:t>（证券代码：</w:t>
      </w:r>
      <w:r w:rsidRPr="00BE5388">
        <w:rPr>
          <w:bCs/>
          <w:color w:val="000000"/>
          <w:kern w:val="0"/>
          <w:sz w:val="24"/>
          <w:szCs w:val="24"/>
        </w:rPr>
        <w:t>136873</w:t>
      </w:r>
      <w:r w:rsidRPr="00BE5388">
        <w:rPr>
          <w:bCs/>
          <w:color w:val="000000"/>
          <w:kern w:val="0"/>
          <w:sz w:val="24"/>
          <w:szCs w:val="24"/>
        </w:rPr>
        <w:t>）外，未出现被监管部门立案调查，或在报告编制日前一年内受到公开谴责、处罚的情形。</w:t>
      </w:r>
    </w:p>
    <w:p w:rsidR="005E4DAC" w:rsidRDefault="003B5C7C">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16</w:t>
      </w:r>
      <w:r>
        <w:rPr>
          <w:bCs/>
          <w:color w:val="000000"/>
          <w:kern w:val="0"/>
          <w:sz w:val="24"/>
          <w:szCs w:val="24"/>
        </w:rPr>
        <w:t>华泰</w:t>
      </w:r>
      <w:r>
        <w:rPr>
          <w:bCs/>
          <w:color w:val="000000"/>
          <w:kern w:val="0"/>
          <w:sz w:val="24"/>
          <w:szCs w:val="24"/>
        </w:rPr>
        <w:t>G3</w:t>
      </w:r>
      <w:r>
        <w:rPr>
          <w:bCs/>
          <w:color w:val="000000"/>
          <w:kern w:val="0"/>
          <w:sz w:val="24"/>
          <w:szCs w:val="24"/>
        </w:rPr>
        <w:t>（证券代码：</w:t>
      </w:r>
      <w:r>
        <w:rPr>
          <w:bCs/>
          <w:color w:val="000000"/>
          <w:kern w:val="0"/>
          <w:sz w:val="24"/>
          <w:szCs w:val="24"/>
        </w:rPr>
        <w:t>136873</w:t>
      </w:r>
      <w:r>
        <w:rPr>
          <w:bCs/>
          <w:color w:val="000000"/>
          <w:kern w:val="0"/>
          <w:sz w:val="24"/>
          <w:szCs w:val="24"/>
        </w:rPr>
        <w:t>）的发行主体华泰证券于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29</w:t>
      </w:r>
      <w:r>
        <w:rPr>
          <w:bCs/>
          <w:color w:val="000000"/>
          <w:kern w:val="0"/>
          <w:sz w:val="24"/>
          <w:szCs w:val="24"/>
        </w:rPr>
        <w:t>日公告，公司因未按规定审查、了解客户真实身份违法违规行为于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28</w:t>
      </w:r>
      <w:r>
        <w:rPr>
          <w:bCs/>
          <w:color w:val="000000"/>
          <w:kern w:val="0"/>
          <w:sz w:val="24"/>
          <w:szCs w:val="24"/>
        </w:rPr>
        <w:t>日收到中国证监会《行政处罚决定书》（</w:t>
      </w:r>
      <w:r>
        <w:rPr>
          <w:bCs/>
          <w:color w:val="000000"/>
          <w:kern w:val="0"/>
          <w:sz w:val="24"/>
          <w:szCs w:val="24"/>
        </w:rPr>
        <w:t>[2016]126</w:t>
      </w:r>
      <w:r>
        <w:rPr>
          <w:bCs/>
          <w:color w:val="000000"/>
          <w:kern w:val="0"/>
          <w:sz w:val="24"/>
          <w:szCs w:val="24"/>
        </w:rPr>
        <w:t>号）。据此，中国证监会决定对公司责令改正，给予警告，没收违法所得</w:t>
      </w:r>
      <w:r>
        <w:rPr>
          <w:bCs/>
          <w:color w:val="000000"/>
          <w:kern w:val="0"/>
          <w:sz w:val="24"/>
          <w:szCs w:val="24"/>
        </w:rPr>
        <w:t>18,235,275.00</w:t>
      </w:r>
      <w:r>
        <w:rPr>
          <w:bCs/>
          <w:color w:val="000000"/>
          <w:kern w:val="0"/>
          <w:sz w:val="24"/>
          <w:szCs w:val="24"/>
        </w:rPr>
        <w:t>元，并处以</w:t>
      </w:r>
      <w:r>
        <w:rPr>
          <w:bCs/>
          <w:color w:val="000000"/>
          <w:kern w:val="0"/>
          <w:sz w:val="24"/>
          <w:szCs w:val="24"/>
        </w:rPr>
        <w:t>54,705,825.00</w:t>
      </w:r>
      <w:r>
        <w:rPr>
          <w:bCs/>
          <w:color w:val="000000"/>
          <w:kern w:val="0"/>
          <w:sz w:val="24"/>
          <w:szCs w:val="24"/>
        </w:rPr>
        <w:t>元罚款。</w:t>
      </w:r>
    </w:p>
    <w:p w:rsidR="005E4DAC" w:rsidRDefault="003B5C7C">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30,455.96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1,078,234.91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1,992.04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1,110,682.91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06286E" w:rsidRDefault="0006286E" w:rsidP="00C15CAC">
      <w:pPr>
        <w:autoSpaceDE w:val="0"/>
        <w:autoSpaceDN w:val="0"/>
        <w:adjustRightInd w:val="0"/>
        <w:spacing w:before="29" w:line="288" w:lineRule="auto"/>
        <w:jc w:val="left"/>
        <w:rPr>
          <w:color w:val="000000"/>
          <w:sz w:val="24"/>
          <w:szCs w:val="24"/>
        </w:rPr>
      </w:pPr>
    </w:p>
    <w:p w:rsidR="0006286E" w:rsidRPr="007B4DF7" w:rsidRDefault="0006286E" w:rsidP="0006286E">
      <w:pPr>
        <w:spacing w:before="29" w:line="288" w:lineRule="auto"/>
        <w:rPr>
          <w:rFonts w:eastAsiaTheme="minorEastAsia"/>
          <w:color w:val="000000"/>
          <w:kern w:val="0"/>
          <w:sz w:val="24"/>
        </w:rPr>
      </w:pPr>
      <w:bookmarkStart w:id="0" w:name="_GoBack"/>
      <w:bookmarkEnd w:id="0"/>
      <w:r w:rsidRPr="007B4DF7">
        <w:rPr>
          <w:rFonts w:eastAsiaTheme="minorEastAsia"/>
          <w:kern w:val="0"/>
          <w:sz w:val="24"/>
        </w:rPr>
        <w:t xml:space="preserve">5.11.6 </w:t>
      </w:r>
      <w:r w:rsidRPr="007B4DF7">
        <w:rPr>
          <w:rFonts w:eastAsiaTheme="minorEastAsia" w:hint="eastAsia"/>
          <w:color w:val="000000"/>
          <w:kern w:val="0"/>
          <w:sz w:val="24"/>
        </w:rPr>
        <w:t>投资组合报告附注的其他文字描述部分</w:t>
      </w:r>
    </w:p>
    <w:p w:rsidR="0006286E" w:rsidRPr="00982AFF" w:rsidRDefault="0006286E" w:rsidP="00982AFF">
      <w:pPr>
        <w:spacing w:before="29" w:line="288" w:lineRule="auto"/>
        <w:rPr>
          <w:rFonts w:eastAsiaTheme="minorEastAsia"/>
          <w:color w:val="000000"/>
          <w:sz w:val="24"/>
        </w:rPr>
      </w:pPr>
      <w:r w:rsidRPr="007B4DF7">
        <w:rPr>
          <w:rFonts w:eastAsiaTheme="minorEastAsia" w:hint="eastAsia"/>
          <w:color w:val="000000"/>
          <w:sz w:val="24"/>
        </w:rPr>
        <w:t>由于四舍五入的原因，分项之和与合计项之间可能存在尾差。</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78,679,121.31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534,777.94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35,706,736.11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43,507,163.14</w:t>
            </w:r>
          </w:p>
        </w:tc>
      </w:tr>
    </w:tbl>
    <w:p w:rsidR="005E4DAC" w:rsidRDefault="003B5C7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7E75F6" w:rsidTr="00B06DDA">
        <w:tc>
          <w:tcPr>
            <w:tcW w:w="851" w:type="dxa"/>
            <w:vMerge w:val="restart"/>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A58DC" w:rsidRPr="007E75F6" w:rsidTr="00B06DDA">
        <w:tc>
          <w:tcPr>
            <w:tcW w:w="851" w:type="dxa"/>
            <w:vMerge/>
            <w:vAlign w:val="center"/>
          </w:tcPr>
          <w:p w:rsidR="003A58DC" w:rsidRPr="00412CB5" w:rsidRDefault="003A58DC" w:rsidP="00B06DDA">
            <w:pPr>
              <w:autoSpaceDE w:val="0"/>
              <w:autoSpaceDN w:val="0"/>
              <w:adjustRightInd w:val="0"/>
              <w:jc w:val="center"/>
              <w:rPr>
                <w:rFonts w:ascii="宋体" w:hAnsi="宋体"/>
                <w:color w:val="000000"/>
                <w:sz w:val="22"/>
              </w:rPr>
            </w:pPr>
          </w:p>
        </w:tc>
        <w:tc>
          <w:tcPr>
            <w:tcW w:w="1134"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3A58DC" w:rsidRPr="00412CB5" w:rsidRDefault="003A58DC" w:rsidP="00982AFF">
            <w:pPr>
              <w:widowControl/>
              <w:jc w:val="center"/>
              <w:rPr>
                <w:rFonts w:ascii="宋体" w:hAnsi="宋体"/>
                <w:color w:val="000000"/>
                <w:sz w:val="22"/>
              </w:rPr>
            </w:pPr>
            <w:r w:rsidRPr="00412CB5">
              <w:rPr>
                <w:rFonts w:ascii="宋体" w:hAnsi="宋体" w:hint="eastAsia"/>
                <w:color w:val="000000"/>
                <w:sz w:val="22"/>
              </w:rPr>
              <w:t>期初份额</w:t>
            </w:r>
          </w:p>
        </w:tc>
        <w:tc>
          <w:tcPr>
            <w:tcW w:w="850" w:type="dxa"/>
            <w:vAlign w:val="center"/>
          </w:tcPr>
          <w:p w:rsidR="003A58DC" w:rsidRPr="00412CB5" w:rsidRDefault="003A58DC" w:rsidP="00982AFF">
            <w:pPr>
              <w:widowControl/>
              <w:jc w:val="center"/>
              <w:rPr>
                <w:rFonts w:ascii="宋体" w:hAnsi="宋体"/>
                <w:color w:val="000000"/>
                <w:sz w:val="22"/>
              </w:rPr>
            </w:pPr>
            <w:r w:rsidRPr="00412CB5">
              <w:rPr>
                <w:rFonts w:ascii="宋体" w:hAnsi="宋体" w:hint="eastAsia"/>
                <w:color w:val="000000"/>
                <w:sz w:val="22"/>
              </w:rPr>
              <w:t>申购份额</w:t>
            </w:r>
          </w:p>
        </w:tc>
        <w:tc>
          <w:tcPr>
            <w:tcW w:w="992"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5E4DAC">
        <w:tc>
          <w:tcPr>
            <w:tcW w:w="851" w:type="dxa"/>
          </w:tcPr>
          <w:p w:rsidR="005E4DAC" w:rsidRDefault="005E4DAC"/>
          <w:p w:rsidR="005E4DAC" w:rsidRDefault="003B5C7C">
            <w:r>
              <w:rPr>
                <w:rFonts w:eastAsiaTheme="minorEastAsia" w:hint="eastAsia"/>
                <w:bCs/>
                <w:color w:val="000000" w:themeColor="text1"/>
                <w:sz w:val="24"/>
              </w:rPr>
              <w:t>机构</w:t>
            </w:r>
          </w:p>
        </w:tc>
        <w:tc>
          <w:tcPr>
            <w:tcW w:w="1134" w:type="dxa"/>
            <w:vAlign w:val="center"/>
          </w:tcPr>
          <w:p w:rsidR="005E4DAC" w:rsidRDefault="003B5C7C">
            <w:pPr>
              <w:jc w:val="center"/>
            </w:pPr>
            <w:r>
              <w:rPr>
                <w:color w:val="000000"/>
                <w:sz w:val="22"/>
              </w:rPr>
              <w:t>1</w:t>
            </w:r>
          </w:p>
        </w:tc>
        <w:tc>
          <w:tcPr>
            <w:tcW w:w="1843" w:type="dxa"/>
            <w:vAlign w:val="center"/>
          </w:tcPr>
          <w:p w:rsidR="005E4DAC" w:rsidRDefault="003B5C7C">
            <w:pPr>
              <w:jc w:val="center"/>
            </w:pPr>
            <w:r>
              <w:rPr>
                <w:color w:val="000000"/>
                <w:sz w:val="22"/>
              </w:rPr>
              <w:t>2017/1/1-2017/3/10</w:t>
            </w:r>
          </w:p>
        </w:tc>
        <w:tc>
          <w:tcPr>
            <w:tcW w:w="851" w:type="dxa"/>
            <w:vAlign w:val="center"/>
          </w:tcPr>
          <w:p w:rsidR="005E4DAC" w:rsidRDefault="003B5C7C">
            <w:pPr>
              <w:jc w:val="center"/>
            </w:pPr>
            <w:r>
              <w:rPr>
                <w:color w:val="000000"/>
                <w:sz w:val="22"/>
              </w:rPr>
              <w:t>20,000,800.00</w:t>
            </w:r>
          </w:p>
        </w:tc>
        <w:tc>
          <w:tcPr>
            <w:tcW w:w="850" w:type="dxa"/>
            <w:vAlign w:val="center"/>
          </w:tcPr>
          <w:p w:rsidR="005E4DAC" w:rsidRDefault="003B5C7C">
            <w:pPr>
              <w:jc w:val="center"/>
            </w:pPr>
            <w:r>
              <w:rPr>
                <w:color w:val="000000"/>
                <w:sz w:val="22"/>
              </w:rPr>
              <w:t>-</w:t>
            </w:r>
          </w:p>
        </w:tc>
        <w:tc>
          <w:tcPr>
            <w:tcW w:w="992" w:type="dxa"/>
            <w:vAlign w:val="center"/>
          </w:tcPr>
          <w:p w:rsidR="005E4DAC" w:rsidRDefault="003B5C7C">
            <w:pPr>
              <w:jc w:val="center"/>
            </w:pPr>
            <w:r>
              <w:rPr>
                <w:color w:val="000000"/>
                <w:sz w:val="22"/>
              </w:rPr>
              <w:t>20,000,800.00</w:t>
            </w:r>
          </w:p>
        </w:tc>
        <w:tc>
          <w:tcPr>
            <w:tcW w:w="1418" w:type="dxa"/>
            <w:vAlign w:val="center"/>
          </w:tcPr>
          <w:p w:rsidR="005E4DAC" w:rsidRDefault="003B5C7C">
            <w:pPr>
              <w:jc w:val="center"/>
            </w:pPr>
            <w:r>
              <w:rPr>
                <w:color w:val="000000"/>
                <w:sz w:val="22"/>
              </w:rPr>
              <w:t>-</w:t>
            </w:r>
          </w:p>
        </w:tc>
        <w:tc>
          <w:tcPr>
            <w:tcW w:w="1273" w:type="dxa"/>
            <w:vAlign w:val="center"/>
          </w:tcPr>
          <w:p w:rsidR="005E4DAC" w:rsidRDefault="003B5C7C">
            <w:pPr>
              <w:jc w:val="center"/>
            </w:pPr>
            <w:r>
              <w:rPr>
                <w:color w:val="000000"/>
                <w:sz w:val="22"/>
              </w:rPr>
              <w:t>-</w:t>
            </w:r>
          </w:p>
        </w:tc>
      </w:tr>
      <w:tr w:rsidR="003A58DC" w:rsidRPr="0077692E" w:rsidTr="00B06DDA">
        <w:tc>
          <w:tcPr>
            <w:tcW w:w="9212" w:type="dxa"/>
            <w:gridSpan w:val="8"/>
            <w:vAlign w:val="center"/>
          </w:tcPr>
          <w:p w:rsidR="003A58DC" w:rsidRPr="0077692E" w:rsidRDefault="003A58DC" w:rsidP="00B06DDA">
            <w:pPr>
              <w:autoSpaceDE w:val="0"/>
              <w:autoSpaceDN w:val="0"/>
              <w:adjustRightInd w:val="0"/>
              <w:ind w:firstLine="1126"/>
              <w:jc w:val="center"/>
              <w:rPr>
                <w:sz w:val="22"/>
              </w:rPr>
            </w:pPr>
            <w:r w:rsidRPr="0077692E">
              <w:rPr>
                <w:color w:val="000000"/>
                <w:sz w:val="22"/>
              </w:rPr>
              <w:t>产品特有风险</w:t>
            </w:r>
          </w:p>
        </w:tc>
      </w:tr>
      <w:tr w:rsidR="003A58DC" w:rsidRPr="00EF20F9" w:rsidTr="00B06DDA">
        <w:tc>
          <w:tcPr>
            <w:tcW w:w="9212" w:type="dxa"/>
            <w:gridSpan w:val="8"/>
            <w:vAlign w:val="center"/>
          </w:tcPr>
          <w:p w:rsidR="003A58DC" w:rsidRPr="00EF20F9" w:rsidRDefault="003A58DC"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E4DAC" w:rsidRDefault="003B5C7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5E4DAC" w:rsidRDefault="003B5C7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5E4DAC" w:rsidRDefault="003B5C7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5E4DAC" w:rsidRDefault="003B5C7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5E4DAC" w:rsidRDefault="003B5C7C">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5E4DAC" w:rsidRDefault="003B5C7C">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5E4DAC" w:rsidRDefault="003B5C7C">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5E4DAC" w:rsidRDefault="003B5C7C">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5E4DAC" w:rsidRDefault="003B5C7C">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5E4DAC" w:rsidRDefault="003B5C7C">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5E4DAC" w:rsidRDefault="003B5C7C">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5E4DAC" w:rsidRDefault="003B5C7C">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E4DAC" w:rsidRDefault="003B5C7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194" w:rsidRDefault="00327194" w:rsidP="00876D65">
      <w:r>
        <w:separator/>
      </w:r>
    </w:p>
  </w:endnote>
  <w:endnote w:type="continuationSeparator" w:id="0">
    <w:p w:rsidR="00327194" w:rsidRDefault="0032719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B4DF7">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B4DF7">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194" w:rsidRDefault="00327194" w:rsidP="00876D65">
      <w:r>
        <w:separator/>
      </w:r>
    </w:p>
  </w:footnote>
  <w:footnote w:type="continuationSeparator" w:id="0">
    <w:p w:rsidR="00327194" w:rsidRDefault="0032719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286E"/>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190"/>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0788"/>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27194"/>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C7C"/>
    <w:rsid w:val="003B5E08"/>
    <w:rsid w:val="003B6FBC"/>
    <w:rsid w:val="003D742E"/>
    <w:rsid w:val="003E431B"/>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97A25"/>
    <w:rsid w:val="004A11A7"/>
    <w:rsid w:val="004A459C"/>
    <w:rsid w:val="004A7B1D"/>
    <w:rsid w:val="004B68A3"/>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E4DAC"/>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4DF7"/>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2AFF"/>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778EB"/>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4859"/>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4F96C4-4724-4409-87D8-2AFFD4ED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D2EAD-B2AF-4D3C-A0A9-9D5A4EFEF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13</Pages>
  <Words>1208</Words>
  <Characters>6889</Characters>
  <Application>Microsoft Office Word</Application>
  <DocSecurity>0</DocSecurity>
  <Lines>57</Lines>
  <Paragraphs>16</Paragraphs>
  <ScaleCrop>false</ScaleCrop>
  <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571</cp:revision>
  <dcterms:created xsi:type="dcterms:W3CDTF">2012-10-16T06:07:00Z</dcterms:created>
  <dcterms:modified xsi:type="dcterms:W3CDTF">2017-04-20T08:36:00Z</dcterms:modified>
</cp:coreProperties>
</file>