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交银施罗德定期支付双息平衡混合型证券投资基金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二〇一七年四月二十四日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9364D7" w:rsidRDefault="00334958">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9364D7" w:rsidRDefault="00334958">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2017</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9364D7" w:rsidRDefault="00334958">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9364D7" w:rsidRDefault="00334958">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9364D7" w:rsidRDefault="00334958">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交银定期支付双息平衡混合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519732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519732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46,307,773.74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本基金精选具有长期增长潜力和较好分红能力的股票，以及具有较高息票率的债券，力争实现基金资产的长期增值。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中证红利指数收益率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本基金是一只混合型基金，在证券投资基金中属于较高风险的品种，其长期平均风险和预期收益高于货币</w:t>
            </w:r>
            <w:r w:rsidRPr="00414345">
              <w:rPr>
                <w:color w:val="000000"/>
                <w:kern w:val="0"/>
                <w:sz w:val="24"/>
                <w:szCs w:val="24"/>
              </w:rPr>
              <w:lastRenderedPageBreak/>
              <w:t>市场基金和债券型基金，低于股票型基金。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C94835" w:rsidRPr="00414345" w:rsidTr="00C9483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C94835" w:rsidRPr="00414345" w:rsidTr="00C9483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1,081,014.78</w:t>
            </w:r>
          </w:p>
        </w:tc>
      </w:tr>
      <w:tr w:rsidR="00C94835" w:rsidRPr="00414345" w:rsidTr="00C9483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3,742,452.61</w:t>
            </w:r>
          </w:p>
        </w:tc>
      </w:tr>
      <w:tr w:rsidR="00C94835" w:rsidRPr="00414345" w:rsidTr="00C9483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0.0848</w:t>
            </w:r>
          </w:p>
        </w:tc>
      </w:tr>
      <w:tr w:rsidR="00C94835" w:rsidRPr="00414345" w:rsidTr="00C9483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100,196,618.79</w:t>
            </w:r>
          </w:p>
        </w:tc>
      </w:tr>
      <w:tr w:rsidR="00C94835" w:rsidRPr="00414345" w:rsidTr="00C9483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2.164</w:t>
            </w:r>
          </w:p>
        </w:tc>
      </w:tr>
    </w:tbl>
    <w:p w:rsidR="009364D7" w:rsidRDefault="0033495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9364D7">
        <w:trPr>
          <w:jc w:val="center"/>
        </w:trPr>
        <w:tc>
          <w:tcPr>
            <w:tcW w:w="1701" w:type="dxa"/>
            <w:vAlign w:val="center"/>
          </w:tcPr>
          <w:p w:rsidR="009364D7" w:rsidRDefault="00334958">
            <w:pPr>
              <w:jc w:val="left"/>
            </w:pPr>
            <w:r>
              <w:rPr>
                <w:color w:val="000000"/>
                <w:sz w:val="24"/>
                <w:szCs w:val="24"/>
              </w:rPr>
              <w:t>过去三个月</w:t>
            </w:r>
          </w:p>
        </w:tc>
        <w:tc>
          <w:tcPr>
            <w:tcW w:w="1045" w:type="dxa"/>
            <w:vAlign w:val="center"/>
          </w:tcPr>
          <w:p w:rsidR="009364D7" w:rsidRDefault="00334958">
            <w:pPr>
              <w:jc w:val="center"/>
            </w:pPr>
            <w:r>
              <w:rPr>
                <w:color w:val="000000"/>
                <w:sz w:val="24"/>
                <w:szCs w:val="24"/>
              </w:rPr>
              <w:t>4.19%</w:t>
            </w:r>
          </w:p>
        </w:tc>
        <w:tc>
          <w:tcPr>
            <w:tcW w:w="1344" w:type="dxa"/>
            <w:vAlign w:val="center"/>
          </w:tcPr>
          <w:p w:rsidR="009364D7" w:rsidRDefault="00334958">
            <w:pPr>
              <w:jc w:val="center"/>
            </w:pPr>
            <w:r>
              <w:rPr>
                <w:color w:val="000000"/>
                <w:sz w:val="24"/>
                <w:szCs w:val="24"/>
              </w:rPr>
              <w:t>0.72%</w:t>
            </w:r>
          </w:p>
        </w:tc>
        <w:tc>
          <w:tcPr>
            <w:tcW w:w="1194" w:type="dxa"/>
            <w:vAlign w:val="center"/>
          </w:tcPr>
          <w:p w:rsidR="009364D7" w:rsidRDefault="00334958">
            <w:pPr>
              <w:jc w:val="center"/>
            </w:pPr>
            <w:r>
              <w:rPr>
                <w:color w:val="000000"/>
                <w:sz w:val="24"/>
                <w:szCs w:val="24"/>
              </w:rPr>
              <w:t>2.82%</w:t>
            </w:r>
          </w:p>
        </w:tc>
        <w:tc>
          <w:tcPr>
            <w:tcW w:w="1492" w:type="dxa"/>
            <w:vAlign w:val="center"/>
          </w:tcPr>
          <w:p w:rsidR="009364D7" w:rsidRDefault="00334958">
            <w:pPr>
              <w:jc w:val="center"/>
            </w:pPr>
            <w:r>
              <w:rPr>
                <w:color w:val="000000"/>
                <w:sz w:val="24"/>
                <w:szCs w:val="24"/>
              </w:rPr>
              <w:t>0.29%</w:t>
            </w:r>
          </w:p>
        </w:tc>
        <w:tc>
          <w:tcPr>
            <w:tcW w:w="1194" w:type="dxa"/>
            <w:vAlign w:val="center"/>
          </w:tcPr>
          <w:p w:rsidR="009364D7" w:rsidRDefault="00334958">
            <w:pPr>
              <w:jc w:val="center"/>
            </w:pPr>
            <w:r>
              <w:rPr>
                <w:color w:val="000000"/>
                <w:sz w:val="24"/>
                <w:szCs w:val="24"/>
              </w:rPr>
              <w:t>1.37%</w:t>
            </w:r>
          </w:p>
        </w:tc>
        <w:tc>
          <w:tcPr>
            <w:tcW w:w="898" w:type="dxa"/>
            <w:vAlign w:val="center"/>
          </w:tcPr>
          <w:p w:rsidR="009364D7" w:rsidRDefault="00334958">
            <w:pPr>
              <w:jc w:val="center"/>
            </w:pPr>
            <w:r>
              <w:rPr>
                <w:color w:val="000000"/>
                <w:sz w:val="24"/>
                <w:szCs w:val="24"/>
              </w:rPr>
              <w:t>0.43%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交银施罗德定期支付双息平衡混合型证券投资基金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9364D7">
        <w:trPr>
          <w:jc w:val="center"/>
        </w:trPr>
        <w:tc>
          <w:tcPr>
            <w:tcW w:w="846" w:type="dxa"/>
            <w:vAlign w:val="center"/>
          </w:tcPr>
          <w:p w:rsidR="009364D7" w:rsidRDefault="00334958">
            <w:pPr>
              <w:jc w:val="center"/>
            </w:pPr>
            <w:r>
              <w:rPr>
                <w:color w:val="000000"/>
                <w:sz w:val="24"/>
                <w:szCs w:val="24"/>
              </w:rPr>
              <w:t>杨浩</w:t>
            </w:r>
          </w:p>
        </w:tc>
        <w:tc>
          <w:tcPr>
            <w:tcW w:w="845" w:type="dxa"/>
            <w:vAlign w:val="center"/>
          </w:tcPr>
          <w:p w:rsidR="009364D7" w:rsidRDefault="00334958">
            <w:pPr>
              <w:jc w:val="center"/>
            </w:pPr>
            <w:r>
              <w:rPr>
                <w:color w:val="000000"/>
                <w:sz w:val="24"/>
                <w:szCs w:val="24"/>
              </w:rPr>
              <w:t>交银定期支付双息平衡混合、交银新生活力灵活配置混合的基金经理</w:t>
            </w:r>
          </w:p>
        </w:tc>
        <w:tc>
          <w:tcPr>
            <w:tcW w:w="1549" w:type="dxa"/>
            <w:vAlign w:val="center"/>
          </w:tcPr>
          <w:p w:rsidR="009364D7" w:rsidRDefault="00334958">
            <w:pPr>
              <w:jc w:val="center"/>
            </w:pPr>
            <w:r>
              <w:rPr>
                <w:color w:val="000000"/>
                <w:sz w:val="24"/>
                <w:szCs w:val="24"/>
              </w:rPr>
              <w:t>2015-08-15</w:t>
            </w:r>
          </w:p>
        </w:tc>
        <w:tc>
          <w:tcPr>
            <w:tcW w:w="1548" w:type="dxa"/>
            <w:vAlign w:val="center"/>
          </w:tcPr>
          <w:p w:rsidR="009364D7" w:rsidRDefault="00334958">
            <w:pPr>
              <w:jc w:val="center"/>
            </w:pPr>
            <w:r>
              <w:rPr>
                <w:color w:val="000000"/>
                <w:sz w:val="24"/>
                <w:szCs w:val="24"/>
              </w:rPr>
              <w:t>-</w:t>
            </w:r>
          </w:p>
        </w:tc>
        <w:tc>
          <w:tcPr>
            <w:tcW w:w="1407" w:type="dxa"/>
            <w:vAlign w:val="center"/>
          </w:tcPr>
          <w:p w:rsidR="009364D7" w:rsidRDefault="00334958">
            <w:pPr>
              <w:jc w:val="center"/>
            </w:pPr>
            <w:r>
              <w:rPr>
                <w:color w:val="000000"/>
                <w:sz w:val="24"/>
                <w:szCs w:val="24"/>
              </w:rPr>
              <w:t>7</w:t>
            </w:r>
            <w:r>
              <w:rPr>
                <w:color w:val="000000"/>
                <w:sz w:val="24"/>
                <w:szCs w:val="24"/>
              </w:rPr>
              <w:t>年</w:t>
            </w:r>
          </w:p>
        </w:tc>
        <w:tc>
          <w:tcPr>
            <w:tcW w:w="2673" w:type="dxa"/>
            <w:vAlign w:val="center"/>
          </w:tcPr>
          <w:p w:rsidR="009364D7" w:rsidRDefault="00334958">
            <w:r>
              <w:rPr>
                <w:color w:val="000000"/>
                <w:sz w:val="24"/>
                <w:szCs w:val="24"/>
              </w:rPr>
              <w:t>杨浩先生，北京邮电大学通信与信息系统专业硕士。</w:t>
            </w:r>
            <w:r>
              <w:rPr>
                <w:color w:val="000000"/>
                <w:sz w:val="24"/>
                <w:szCs w:val="24"/>
              </w:rPr>
              <w:t>2010</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9364D7" w:rsidRDefault="00334958">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9364D7" w:rsidRDefault="00334958">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9364D7" w:rsidRDefault="00334958">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9364D7" w:rsidRDefault="00334958">
      <w:pPr>
        <w:spacing w:before="29" w:line="288" w:lineRule="auto"/>
        <w:ind w:firstLineChars="200" w:firstLine="480"/>
        <w:rPr>
          <w:color w:val="000000"/>
          <w:sz w:val="24"/>
          <w:szCs w:val="24"/>
        </w:rPr>
      </w:pPr>
      <w:r>
        <w:rPr>
          <w:color w:val="000000"/>
          <w:sz w:val="24"/>
          <w:szCs w:val="24"/>
        </w:rPr>
        <w:t>2017</w:t>
      </w:r>
      <w:r>
        <w:rPr>
          <w:color w:val="000000"/>
          <w:sz w:val="24"/>
          <w:szCs w:val="24"/>
        </w:rPr>
        <w:t>年一季度宏观方面维持中性偏紧的政策，美国加息，全球流动性边际紧缩。三四线城市地产成交超预期，整体房价继续上涨。</w:t>
      </w:r>
      <w:r>
        <w:rPr>
          <w:color w:val="000000"/>
          <w:sz w:val="24"/>
          <w:szCs w:val="24"/>
        </w:rPr>
        <w:t>A</w:t>
      </w:r>
      <w:r>
        <w:rPr>
          <w:color w:val="000000"/>
          <w:sz w:val="24"/>
          <w:szCs w:val="24"/>
        </w:rPr>
        <w:t>股市场</w:t>
      </w:r>
      <w:r>
        <w:rPr>
          <w:color w:val="000000"/>
          <w:sz w:val="24"/>
          <w:szCs w:val="24"/>
        </w:rPr>
        <w:t>2017</w:t>
      </w:r>
      <w:r>
        <w:rPr>
          <w:color w:val="000000"/>
          <w:sz w:val="24"/>
          <w:szCs w:val="24"/>
        </w:rPr>
        <w:t>年开年先跌后涨，分化明显，与地产基建相关联的周期性行业、避险低估值消费品行业涨幅靠前，而中小型公司基本面在此时期受制于各类创业成本的上升，收购并购重组审批难度加大，弯道超车的概率降低，表现较差。</w:t>
      </w:r>
    </w:p>
    <w:p w:rsidR="009364D7" w:rsidRDefault="00334958">
      <w:pPr>
        <w:spacing w:before="29" w:line="288" w:lineRule="auto"/>
        <w:ind w:firstLineChars="200" w:firstLine="480"/>
        <w:rPr>
          <w:color w:val="000000"/>
          <w:sz w:val="24"/>
          <w:szCs w:val="24"/>
        </w:rPr>
      </w:pPr>
      <w:r>
        <w:rPr>
          <w:color w:val="000000"/>
          <w:sz w:val="24"/>
          <w:szCs w:val="24"/>
        </w:rPr>
        <w:t>一季度本基金减持了周期性行业，择机增持了新兴消费和科技类成长股。我们认为周期性行业的库存周期见顶迹象明显，消费品中单纯的低估值修复空间已不大。</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展望二季度，未来将围绕下述两个中长期成长方向，不断地甄选标的：（</w:t>
      </w:r>
      <w:r w:rsidRPr="00414345">
        <w:rPr>
          <w:color w:val="000000"/>
          <w:sz w:val="24"/>
          <w:szCs w:val="24"/>
        </w:rPr>
        <w:t>1</w:t>
      </w:r>
      <w:r w:rsidRPr="00414345">
        <w:rPr>
          <w:color w:val="000000"/>
          <w:sz w:val="24"/>
          <w:szCs w:val="24"/>
        </w:rPr>
        <w:t>）</w:t>
      </w:r>
      <w:r w:rsidRPr="00414345">
        <w:rPr>
          <w:color w:val="000000"/>
          <w:sz w:val="24"/>
          <w:szCs w:val="24"/>
        </w:rPr>
        <w:t>G2</w:t>
      </w:r>
      <w:r w:rsidRPr="00414345">
        <w:rPr>
          <w:color w:val="000000"/>
          <w:sz w:val="24"/>
          <w:szCs w:val="24"/>
        </w:rPr>
        <w:t>（中美两极）概念，我们观察到越来越多的中国高端科技服务与制造企业开始具有全球竞争力，在一带一路政策的带领下获得加速发展，同时又具备长期持续性。信息设备、机械设备仪表、</w:t>
      </w:r>
      <w:r w:rsidRPr="00414345">
        <w:rPr>
          <w:color w:val="000000"/>
          <w:sz w:val="24"/>
          <w:szCs w:val="24"/>
        </w:rPr>
        <w:t>3C</w:t>
      </w:r>
      <w:r w:rsidRPr="00414345">
        <w:rPr>
          <w:color w:val="000000"/>
          <w:sz w:val="24"/>
          <w:szCs w:val="24"/>
        </w:rPr>
        <w:t>电子与电动汽车、建筑工程等细分行业中不乏有投资机会。（</w:t>
      </w:r>
      <w:r w:rsidRPr="00414345">
        <w:rPr>
          <w:color w:val="000000"/>
          <w:sz w:val="24"/>
          <w:szCs w:val="24"/>
        </w:rPr>
        <w:t>2</w:t>
      </w:r>
      <w:r w:rsidRPr="00414345">
        <w:rPr>
          <w:color w:val="000000"/>
          <w:sz w:val="24"/>
          <w:szCs w:val="24"/>
        </w:rPr>
        <w:t>）消费升级，我们认为消费升级的含义在不断深化，除了延续去年至今的经济后周期拉动，我们往后更关注代际消费习惯、媒介变革新品牌构建、物流供应链变革、消费金融这些更深层次的变化对消费的增量影响，在食品饮料、酒店、服装、文化等细分行业中不断找寻出新的消费品标的。</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w:t>
      </w:r>
      <w:r w:rsidR="00C94835">
        <w:rPr>
          <w:color w:val="000000"/>
          <w:sz w:val="24"/>
          <w:szCs w:val="24"/>
        </w:rPr>
        <w:t>7</w:t>
      </w:r>
      <w:r w:rsidRPr="00414345">
        <w:rPr>
          <w:color w:val="000000"/>
          <w:sz w:val="24"/>
          <w:szCs w:val="24"/>
        </w:rPr>
        <w:t>年</w:t>
      </w:r>
      <w:r w:rsidR="00C94835">
        <w:rPr>
          <w:rFonts w:hint="eastAsia"/>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00C94835" w:rsidRPr="00414345">
        <w:rPr>
          <w:color w:val="000000"/>
          <w:sz w:val="24"/>
          <w:szCs w:val="24"/>
        </w:rPr>
        <w:t>2.164</w:t>
      </w:r>
      <w:r w:rsidRPr="00414345">
        <w:rPr>
          <w:color w:val="000000"/>
          <w:sz w:val="24"/>
          <w:szCs w:val="24"/>
        </w:rPr>
        <w:t>元，本报告期份额净值增长率为</w:t>
      </w:r>
      <w:r w:rsidR="00C94835">
        <w:rPr>
          <w:color w:val="000000"/>
          <w:sz w:val="24"/>
          <w:szCs w:val="24"/>
        </w:rPr>
        <w:t>4.19%</w:t>
      </w:r>
      <w:r w:rsidRPr="00414345">
        <w:rPr>
          <w:color w:val="000000"/>
          <w:sz w:val="24"/>
          <w:szCs w:val="24"/>
        </w:rPr>
        <w:t>，同期业绩比较基准增长率为</w:t>
      </w:r>
      <w:r w:rsidR="00C94835">
        <w:rPr>
          <w:color w:val="000000"/>
          <w:sz w:val="24"/>
          <w:szCs w:val="24"/>
        </w:rPr>
        <w:t>2.82%</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62,722,380.06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62.20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62,722,380.06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62.20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10,022,000.00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9.94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10,022,000.00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9.94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27,704,604.34</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27.47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389,077.88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0.39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100,838,062.28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51,112,881.62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2,931,158.00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2.93</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6,589,020.00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1,045,310.00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1,044,010.44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62,722,380.06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62.60</w:t>
            </w:r>
          </w:p>
        </w:tc>
      </w:tr>
    </w:tbl>
    <w:p w:rsidR="00C94835" w:rsidRDefault="00C94835"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C35C6D">
        <w:rPr>
          <w:b/>
          <w:bCs/>
          <w:color w:val="000000"/>
          <w:kern w:val="0"/>
          <w:sz w:val="24"/>
          <w:szCs w:val="24"/>
        </w:rPr>
        <w:t>5.2.2</w:t>
      </w:r>
      <w:r w:rsidRPr="008A409E">
        <w:rPr>
          <w:rFonts w:asciiTheme="minorEastAsia" w:eastAsiaTheme="minorEastAsia" w:hAnsiTheme="minorEastAsia" w:hint="eastAsia"/>
          <w:b/>
          <w:bCs/>
          <w:color w:val="000000" w:themeColor="text1"/>
          <w:kern w:val="0"/>
          <w:sz w:val="24"/>
        </w:rPr>
        <w:t>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9364D7">
        <w:trPr>
          <w:jc w:val="center"/>
        </w:trPr>
        <w:tc>
          <w:tcPr>
            <w:tcW w:w="855" w:type="dxa"/>
            <w:vAlign w:val="center"/>
          </w:tcPr>
          <w:p w:rsidR="009364D7" w:rsidRDefault="00334958">
            <w:pPr>
              <w:jc w:val="center"/>
            </w:pPr>
            <w:r>
              <w:rPr>
                <w:color w:val="000000"/>
                <w:sz w:val="24"/>
                <w:szCs w:val="24"/>
              </w:rPr>
              <w:t>1</w:t>
            </w:r>
          </w:p>
        </w:tc>
        <w:tc>
          <w:tcPr>
            <w:tcW w:w="1334" w:type="dxa"/>
            <w:vAlign w:val="center"/>
          </w:tcPr>
          <w:p w:rsidR="009364D7" w:rsidRDefault="00334958">
            <w:pPr>
              <w:jc w:val="center"/>
            </w:pPr>
            <w:r>
              <w:rPr>
                <w:color w:val="000000"/>
                <w:sz w:val="24"/>
                <w:szCs w:val="24"/>
              </w:rPr>
              <w:t>002583</w:t>
            </w:r>
          </w:p>
        </w:tc>
        <w:tc>
          <w:tcPr>
            <w:tcW w:w="1777" w:type="dxa"/>
            <w:vAlign w:val="center"/>
          </w:tcPr>
          <w:p w:rsidR="009364D7" w:rsidRDefault="00334958">
            <w:pPr>
              <w:jc w:val="center"/>
            </w:pPr>
            <w:r>
              <w:rPr>
                <w:color w:val="000000"/>
                <w:sz w:val="24"/>
                <w:szCs w:val="24"/>
              </w:rPr>
              <w:t>海能达</w:t>
            </w:r>
          </w:p>
        </w:tc>
        <w:tc>
          <w:tcPr>
            <w:tcW w:w="1334" w:type="dxa"/>
            <w:vAlign w:val="center"/>
          </w:tcPr>
          <w:p w:rsidR="009364D7" w:rsidRDefault="00334958">
            <w:pPr>
              <w:jc w:val="right"/>
            </w:pPr>
            <w:r>
              <w:rPr>
                <w:color w:val="000000"/>
                <w:sz w:val="24"/>
                <w:szCs w:val="24"/>
              </w:rPr>
              <w:t>463,646</w:t>
            </w:r>
          </w:p>
        </w:tc>
        <w:tc>
          <w:tcPr>
            <w:tcW w:w="1924" w:type="dxa"/>
            <w:vAlign w:val="center"/>
          </w:tcPr>
          <w:p w:rsidR="009364D7" w:rsidRDefault="00334958">
            <w:pPr>
              <w:jc w:val="right"/>
            </w:pPr>
            <w:r>
              <w:rPr>
                <w:color w:val="000000"/>
                <w:sz w:val="24"/>
                <w:szCs w:val="24"/>
              </w:rPr>
              <w:t>6,764,595.14</w:t>
            </w:r>
          </w:p>
        </w:tc>
        <w:tc>
          <w:tcPr>
            <w:tcW w:w="1644" w:type="dxa"/>
            <w:vAlign w:val="center"/>
          </w:tcPr>
          <w:p w:rsidR="009364D7" w:rsidRDefault="00334958">
            <w:pPr>
              <w:jc w:val="right"/>
            </w:pPr>
            <w:r>
              <w:rPr>
                <w:color w:val="000000"/>
                <w:sz w:val="24"/>
                <w:szCs w:val="24"/>
              </w:rPr>
              <w:t>6.75</w:t>
            </w:r>
          </w:p>
        </w:tc>
      </w:tr>
      <w:tr w:rsidR="009364D7">
        <w:trPr>
          <w:jc w:val="center"/>
        </w:trPr>
        <w:tc>
          <w:tcPr>
            <w:tcW w:w="855" w:type="dxa"/>
            <w:vAlign w:val="center"/>
          </w:tcPr>
          <w:p w:rsidR="009364D7" w:rsidRDefault="00334958">
            <w:pPr>
              <w:jc w:val="center"/>
            </w:pPr>
            <w:r>
              <w:rPr>
                <w:color w:val="000000"/>
                <w:sz w:val="24"/>
                <w:szCs w:val="24"/>
              </w:rPr>
              <w:t>2</w:t>
            </w:r>
          </w:p>
        </w:tc>
        <w:tc>
          <w:tcPr>
            <w:tcW w:w="1334" w:type="dxa"/>
            <w:vAlign w:val="center"/>
          </w:tcPr>
          <w:p w:rsidR="009364D7" w:rsidRDefault="00334958">
            <w:pPr>
              <w:jc w:val="center"/>
            </w:pPr>
            <w:r>
              <w:rPr>
                <w:color w:val="000000"/>
                <w:sz w:val="24"/>
                <w:szCs w:val="24"/>
              </w:rPr>
              <w:t>002045</w:t>
            </w:r>
          </w:p>
        </w:tc>
        <w:tc>
          <w:tcPr>
            <w:tcW w:w="1777" w:type="dxa"/>
            <w:vAlign w:val="center"/>
          </w:tcPr>
          <w:p w:rsidR="009364D7" w:rsidRDefault="00334958">
            <w:pPr>
              <w:jc w:val="center"/>
            </w:pPr>
            <w:r>
              <w:rPr>
                <w:color w:val="000000"/>
                <w:sz w:val="24"/>
                <w:szCs w:val="24"/>
              </w:rPr>
              <w:t>国光电器</w:t>
            </w:r>
          </w:p>
        </w:tc>
        <w:tc>
          <w:tcPr>
            <w:tcW w:w="1334" w:type="dxa"/>
            <w:vAlign w:val="center"/>
          </w:tcPr>
          <w:p w:rsidR="009364D7" w:rsidRDefault="00334958">
            <w:pPr>
              <w:jc w:val="right"/>
            </w:pPr>
            <w:r>
              <w:rPr>
                <w:color w:val="000000"/>
                <w:sz w:val="24"/>
                <w:szCs w:val="24"/>
              </w:rPr>
              <w:t>419,600</w:t>
            </w:r>
          </w:p>
        </w:tc>
        <w:tc>
          <w:tcPr>
            <w:tcW w:w="1924" w:type="dxa"/>
            <w:vAlign w:val="center"/>
          </w:tcPr>
          <w:p w:rsidR="009364D7" w:rsidRDefault="00334958">
            <w:pPr>
              <w:jc w:val="right"/>
            </w:pPr>
            <w:r>
              <w:rPr>
                <w:color w:val="000000"/>
                <w:sz w:val="24"/>
                <w:szCs w:val="24"/>
              </w:rPr>
              <w:t>6,629,680.00</w:t>
            </w:r>
          </w:p>
        </w:tc>
        <w:tc>
          <w:tcPr>
            <w:tcW w:w="1644" w:type="dxa"/>
            <w:vAlign w:val="center"/>
          </w:tcPr>
          <w:p w:rsidR="009364D7" w:rsidRDefault="00334958">
            <w:pPr>
              <w:jc w:val="right"/>
            </w:pPr>
            <w:r>
              <w:rPr>
                <w:color w:val="000000"/>
                <w:sz w:val="24"/>
                <w:szCs w:val="24"/>
              </w:rPr>
              <w:t>6.62</w:t>
            </w:r>
          </w:p>
        </w:tc>
      </w:tr>
      <w:tr w:rsidR="009364D7">
        <w:trPr>
          <w:jc w:val="center"/>
        </w:trPr>
        <w:tc>
          <w:tcPr>
            <w:tcW w:w="855" w:type="dxa"/>
            <w:vAlign w:val="center"/>
          </w:tcPr>
          <w:p w:rsidR="009364D7" w:rsidRDefault="00334958">
            <w:pPr>
              <w:jc w:val="center"/>
            </w:pPr>
            <w:r>
              <w:rPr>
                <w:color w:val="000000"/>
                <w:sz w:val="24"/>
                <w:szCs w:val="24"/>
              </w:rPr>
              <w:t>3</w:t>
            </w:r>
          </w:p>
        </w:tc>
        <w:tc>
          <w:tcPr>
            <w:tcW w:w="1334" w:type="dxa"/>
            <w:vAlign w:val="center"/>
          </w:tcPr>
          <w:p w:rsidR="009364D7" w:rsidRDefault="00334958">
            <w:pPr>
              <w:jc w:val="center"/>
            </w:pPr>
            <w:r>
              <w:rPr>
                <w:color w:val="000000"/>
                <w:sz w:val="24"/>
                <w:szCs w:val="24"/>
              </w:rPr>
              <w:t>002195</w:t>
            </w:r>
          </w:p>
        </w:tc>
        <w:tc>
          <w:tcPr>
            <w:tcW w:w="1777" w:type="dxa"/>
            <w:vAlign w:val="center"/>
          </w:tcPr>
          <w:p w:rsidR="009364D7" w:rsidRDefault="00334958">
            <w:pPr>
              <w:jc w:val="center"/>
            </w:pPr>
            <w:r>
              <w:rPr>
                <w:color w:val="000000"/>
                <w:sz w:val="24"/>
                <w:szCs w:val="24"/>
              </w:rPr>
              <w:t>二三四五</w:t>
            </w:r>
          </w:p>
        </w:tc>
        <w:tc>
          <w:tcPr>
            <w:tcW w:w="1334" w:type="dxa"/>
            <w:vAlign w:val="center"/>
          </w:tcPr>
          <w:p w:rsidR="009364D7" w:rsidRDefault="00334958">
            <w:pPr>
              <w:jc w:val="right"/>
            </w:pPr>
            <w:r>
              <w:rPr>
                <w:color w:val="000000"/>
                <w:sz w:val="24"/>
                <w:szCs w:val="24"/>
              </w:rPr>
              <w:t>569,000</w:t>
            </w:r>
          </w:p>
        </w:tc>
        <w:tc>
          <w:tcPr>
            <w:tcW w:w="1924" w:type="dxa"/>
            <w:vAlign w:val="center"/>
          </w:tcPr>
          <w:p w:rsidR="009364D7" w:rsidRDefault="00334958">
            <w:pPr>
              <w:jc w:val="right"/>
            </w:pPr>
            <w:r>
              <w:rPr>
                <w:color w:val="000000"/>
                <w:sz w:val="24"/>
                <w:szCs w:val="24"/>
              </w:rPr>
              <w:t>6,589,020.00</w:t>
            </w:r>
          </w:p>
        </w:tc>
        <w:tc>
          <w:tcPr>
            <w:tcW w:w="1644" w:type="dxa"/>
            <w:vAlign w:val="center"/>
          </w:tcPr>
          <w:p w:rsidR="009364D7" w:rsidRDefault="00334958">
            <w:pPr>
              <w:jc w:val="right"/>
            </w:pPr>
            <w:r>
              <w:rPr>
                <w:color w:val="000000"/>
                <w:sz w:val="24"/>
                <w:szCs w:val="24"/>
              </w:rPr>
              <w:t>6.58</w:t>
            </w:r>
          </w:p>
        </w:tc>
      </w:tr>
      <w:tr w:rsidR="009364D7">
        <w:trPr>
          <w:jc w:val="center"/>
        </w:trPr>
        <w:tc>
          <w:tcPr>
            <w:tcW w:w="855" w:type="dxa"/>
            <w:vAlign w:val="center"/>
          </w:tcPr>
          <w:p w:rsidR="009364D7" w:rsidRDefault="00334958">
            <w:pPr>
              <w:jc w:val="center"/>
            </w:pPr>
            <w:r>
              <w:rPr>
                <w:color w:val="000000"/>
                <w:sz w:val="24"/>
                <w:szCs w:val="24"/>
              </w:rPr>
              <w:t>4</w:t>
            </w:r>
          </w:p>
        </w:tc>
        <w:tc>
          <w:tcPr>
            <w:tcW w:w="1334" w:type="dxa"/>
            <w:vAlign w:val="center"/>
          </w:tcPr>
          <w:p w:rsidR="009364D7" w:rsidRDefault="00334958">
            <w:pPr>
              <w:jc w:val="center"/>
            </w:pPr>
            <w:r>
              <w:rPr>
                <w:color w:val="000000"/>
                <w:sz w:val="24"/>
                <w:szCs w:val="24"/>
              </w:rPr>
              <w:t>000821</w:t>
            </w:r>
          </w:p>
        </w:tc>
        <w:tc>
          <w:tcPr>
            <w:tcW w:w="1777" w:type="dxa"/>
            <w:vAlign w:val="center"/>
          </w:tcPr>
          <w:p w:rsidR="009364D7" w:rsidRDefault="00334958">
            <w:pPr>
              <w:jc w:val="center"/>
            </w:pPr>
            <w:r>
              <w:rPr>
                <w:color w:val="000000"/>
                <w:sz w:val="24"/>
                <w:szCs w:val="24"/>
              </w:rPr>
              <w:t>京山轻机</w:t>
            </w:r>
          </w:p>
        </w:tc>
        <w:tc>
          <w:tcPr>
            <w:tcW w:w="1334" w:type="dxa"/>
            <w:vAlign w:val="center"/>
          </w:tcPr>
          <w:p w:rsidR="009364D7" w:rsidRDefault="00334958">
            <w:pPr>
              <w:jc w:val="right"/>
            </w:pPr>
            <w:r>
              <w:rPr>
                <w:color w:val="000000"/>
                <w:sz w:val="24"/>
                <w:szCs w:val="24"/>
              </w:rPr>
              <w:t>342,100</w:t>
            </w:r>
          </w:p>
        </w:tc>
        <w:tc>
          <w:tcPr>
            <w:tcW w:w="1924" w:type="dxa"/>
            <w:vAlign w:val="center"/>
          </w:tcPr>
          <w:p w:rsidR="009364D7" w:rsidRDefault="00334958">
            <w:pPr>
              <w:jc w:val="right"/>
            </w:pPr>
            <w:r>
              <w:rPr>
                <w:color w:val="000000"/>
                <w:sz w:val="24"/>
                <w:szCs w:val="24"/>
              </w:rPr>
              <w:t>5,418,864.00</w:t>
            </w:r>
          </w:p>
        </w:tc>
        <w:tc>
          <w:tcPr>
            <w:tcW w:w="1644" w:type="dxa"/>
            <w:vAlign w:val="center"/>
          </w:tcPr>
          <w:p w:rsidR="009364D7" w:rsidRDefault="00334958">
            <w:pPr>
              <w:jc w:val="right"/>
            </w:pPr>
            <w:r>
              <w:rPr>
                <w:color w:val="000000"/>
                <w:sz w:val="24"/>
                <w:szCs w:val="24"/>
              </w:rPr>
              <w:t>5.41</w:t>
            </w:r>
          </w:p>
        </w:tc>
      </w:tr>
      <w:tr w:rsidR="009364D7">
        <w:trPr>
          <w:jc w:val="center"/>
        </w:trPr>
        <w:tc>
          <w:tcPr>
            <w:tcW w:w="855" w:type="dxa"/>
            <w:vAlign w:val="center"/>
          </w:tcPr>
          <w:p w:rsidR="009364D7" w:rsidRDefault="00334958">
            <w:pPr>
              <w:jc w:val="center"/>
            </w:pPr>
            <w:r>
              <w:rPr>
                <w:color w:val="000000"/>
                <w:sz w:val="24"/>
                <w:szCs w:val="24"/>
              </w:rPr>
              <w:t>5</w:t>
            </w:r>
          </w:p>
        </w:tc>
        <w:tc>
          <w:tcPr>
            <w:tcW w:w="1334" w:type="dxa"/>
            <w:vAlign w:val="center"/>
          </w:tcPr>
          <w:p w:rsidR="009364D7" w:rsidRDefault="00334958">
            <w:pPr>
              <w:jc w:val="center"/>
            </w:pPr>
            <w:r>
              <w:rPr>
                <w:color w:val="000000"/>
                <w:sz w:val="24"/>
                <w:szCs w:val="24"/>
              </w:rPr>
              <w:t>300129</w:t>
            </w:r>
          </w:p>
        </w:tc>
        <w:tc>
          <w:tcPr>
            <w:tcW w:w="1777" w:type="dxa"/>
            <w:vAlign w:val="center"/>
          </w:tcPr>
          <w:p w:rsidR="009364D7" w:rsidRDefault="00334958">
            <w:pPr>
              <w:jc w:val="center"/>
            </w:pPr>
            <w:r>
              <w:rPr>
                <w:color w:val="000000"/>
                <w:sz w:val="24"/>
                <w:szCs w:val="24"/>
              </w:rPr>
              <w:t>泰胜风能</w:t>
            </w:r>
          </w:p>
        </w:tc>
        <w:tc>
          <w:tcPr>
            <w:tcW w:w="1334" w:type="dxa"/>
            <w:vAlign w:val="center"/>
          </w:tcPr>
          <w:p w:rsidR="009364D7" w:rsidRDefault="00334958">
            <w:pPr>
              <w:jc w:val="right"/>
            </w:pPr>
            <w:r>
              <w:rPr>
                <w:color w:val="000000"/>
                <w:sz w:val="24"/>
                <w:szCs w:val="24"/>
              </w:rPr>
              <w:t>598,300</w:t>
            </w:r>
          </w:p>
        </w:tc>
        <w:tc>
          <w:tcPr>
            <w:tcW w:w="1924" w:type="dxa"/>
            <w:vAlign w:val="center"/>
          </w:tcPr>
          <w:p w:rsidR="009364D7" w:rsidRDefault="00334958">
            <w:pPr>
              <w:jc w:val="right"/>
            </w:pPr>
            <w:r>
              <w:rPr>
                <w:color w:val="000000"/>
                <w:sz w:val="24"/>
                <w:szCs w:val="24"/>
              </w:rPr>
              <w:t>4,929,992.00</w:t>
            </w:r>
          </w:p>
        </w:tc>
        <w:tc>
          <w:tcPr>
            <w:tcW w:w="1644" w:type="dxa"/>
            <w:vAlign w:val="center"/>
          </w:tcPr>
          <w:p w:rsidR="009364D7" w:rsidRDefault="00334958">
            <w:pPr>
              <w:jc w:val="right"/>
            </w:pPr>
            <w:r>
              <w:rPr>
                <w:color w:val="000000"/>
                <w:sz w:val="24"/>
                <w:szCs w:val="24"/>
              </w:rPr>
              <w:t>4.92</w:t>
            </w:r>
          </w:p>
        </w:tc>
      </w:tr>
      <w:tr w:rsidR="009364D7">
        <w:trPr>
          <w:jc w:val="center"/>
        </w:trPr>
        <w:tc>
          <w:tcPr>
            <w:tcW w:w="855" w:type="dxa"/>
            <w:vAlign w:val="center"/>
          </w:tcPr>
          <w:p w:rsidR="009364D7" w:rsidRDefault="00334958">
            <w:pPr>
              <w:jc w:val="center"/>
            </w:pPr>
            <w:r>
              <w:rPr>
                <w:color w:val="000000"/>
                <w:sz w:val="24"/>
                <w:szCs w:val="24"/>
              </w:rPr>
              <w:t>6</w:t>
            </w:r>
          </w:p>
        </w:tc>
        <w:tc>
          <w:tcPr>
            <w:tcW w:w="1334" w:type="dxa"/>
            <w:vAlign w:val="center"/>
          </w:tcPr>
          <w:p w:rsidR="009364D7" w:rsidRDefault="00334958">
            <w:pPr>
              <w:jc w:val="center"/>
            </w:pPr>
            <w:r>
              <w:rPr>
                <w:color w:val="000000"/>
                <w:sz w:val="24"/>
                <w:szCs w:val="24"/>
              </w:rPr>
              <w:t>600703</w:t>
            </w:r>
          </w:p>
        </w:tc>
        <w:tc>
          <w:tcPr>
            <w:tcW w:w="1777" w:type="dxa"/>
            <w:vAlign w:val="center"/>
          </w:tcPr>
          <w:p w:rsidR="009364D7" w:rsidRDefault="00334958">
            <w:pPr>
              <w:jc w:val="center"/>
            </w:pPr>
            <w:r>
              <w:rPr>
                <w:color w:val="000000"/>
                <w:sz w:val="24"/>
                <w:szCs w:val="24"/>
              </w:rPr>
              <w:t>三安光电</w:t>
            </w:r>
          </w:p>
        </w:tc>
        <w:tc>
          <w:tcPr>
            <w:tcW w:w="1334" w:type="dxa"/>
            <w:vAlign w:val="center"/>
          </w:tcPr>
          <w:p w:rsidR="009364D7" w:rsidRDefault="00334958">
            <w:pPr>
              <w:jc w:val="right"/>
            </w:pPr>
            <w:r>
              <w:rPr>
                <w:color w:val="000000"/>
                <w:sz w:val="24"/>
                <w:szCs w:val="24"/>
              </w:rPr>
              <w:t>275,000</w:t>
            </w:r>
          </w:p>
        </w:tc>
        <w:tc>
          <w:tcPr>
            <w:tcW w:w="1924" w:type="dxa"/>
            <w:vAlign w:val="center"/>
          </w:tcPr>
          <w:p w:rsidR="009364D7" w:rsidRDefault="00334958">
            <w:pPr>
              <w:jc w:val="right"/>
            </w:pPr>
            <w:r>
              <w:rPr>
                <w:color w:val="000000"/>
                <w:sz w:val="24"/>
                <w:szCs w:val="24"/>
              </w:rPr>
              <w:t>4,397,250.00</w:t>
            </w:r>
          </w:p>
        </w:tc>
        <w:tc>
          <w:tcPr>
            <w:tcW w:w="1644" w:type="dxa"/>
            <w:vAlign w:val="center"/>
          </w:tcPr>
          <w:p w:rsidR="009364D7" w:rsidRDefault="00334958">
            <w:pPr>
              <w:jc w:val="right"/>
            </w:pPr>
            <w:r>
              <w:rPr>
                <w:color w:val="000000"/>
                <w:sz w:val="24"/>
                <w:szCs w:val="24"/>
              </w:rPr>
              <w:t>4.39</w:t>
            </w:r>
          </w:p>
        </w:tc>
      </w:tr>
      <w:tr w:rsidR="009364D7">
        <w:trPr>
          <w:jc w:val="center"/>
        </w:trPr>
        <w:tc>
          <w:tcPr>
            <w:tcW w:w="855" w:type="dxa"/>
            <w:vAlign w:val="center"/>
          </w:tcPr>
          <w:p w:rsidR="009364D7" w:rsidRDefault="00334958">
            <w:pPr>
              <w:jc w:val="center"/>
            </w:pPr>
            <w:r>
              <w:rPr>
                <w:color w:val="000000"/>
                <w:sz w:val="24"/>
                <w:szCs w:val="24"/>
              </w:rPr>
              <w:t>7</w:t>
            </w:r>
          </w:p>
        </w:tc>
        <w:tc>
          <w:tcPr>
            <w:tcW w:w="1334" w:type="dxa"/>
            <w:vAlign w:val="center"/>
          </w:tcPr>
          <w:p w:rsidR="009364D7" w:rsidRDefault="00334958">
            <w:pPr>
              <w:jc w:val="center"/>
            </w:pPr>
            <w:r>
              <w:rPr>
                <w:color w:val="000000"/>
                <w:sz w:val="24"/>
                <w:szCs w:val="24"/>
              </w:rPr>
              <w:t>300308</w:t>
            </w:r>
          </w:p>
        </w:tc>
        <w:tc>
          <w:tcPr>
            <w:tcW w:w="1777" w:type="dxa"/>
            <w:vAlign w:val="center"/>
          </w:tcPr>
          <w:p w:rsidR="009364D7" w:rsidRDefault="00334958">
            <w:pPr>
              <w:jc w:val="center"/>
            </w:pPr>
            <w:r>
              <w:rPr>
                <w:color w:val="000000"/>
                <w:sz w:val="24"/>
                <w:szCs w:val="24"/>
              </w:rPr>
              <w:t>中际装备</w:t>
            </w:r>
          </w:p>
        </w:tc>
        <w:tc>
          <w:tcPr>
            <w:tcW w:w="1334" w:type="dxa"/>
            <w:vAlign w:val="center"/>
          </w:tcPr>
          <w:p w:rsidR="009364D7" w:rsidRDefault="00334958">
            <w:pPr>
              <w:jc w:val="right"/>
            </w:pPr>
            <w:r>
              <w:rPr>
                <w:color w:val="000000"/>
                <w:sz w:val="24"/>
                <w:szCs w:val="24"/>
              </w:rPr>
              <w:t>111,600</w:t>
            </w:r>
          </w:p>
        </w:tc>
        <w:tc>
          <w:tcPr>
            <w:tcW w:w="1924" w:type="dxa"/>
            <w:vAlign w:val="center"/>
          </w:tcPr>
          <w:p w:rsidR="009364D7" w:rsidRDefault="00334958">
            <w:pPr>
              <w:jc w:val="right"/>
            </w:pPr>
            <w:r>
              <w:rPr>
                <w:color w:val="000000"/>
                <w:sz w:val="24"/>
                <w:szCs w:val="24"/>
              </w:rPr>
              <w:t>3,827,880.00</w:t>
            </w:r>
          </w:p>
        </w:tc>
        <w:tc>
          <w:tcPr>
            <w:tcW w:w="1644" w:type="dxa"/>
            <w:vAlign w:val="center"/>
          </w:tcPr>
          <w:p w:rsidR="009364D7" w:rsidRDefault="00334958">
            <w:pPr>
              <w:jc w:val="right"/>
            </w:pPr>
            <w:r>
              <w:rPr>
                <w:color w:val="000000"/>
                <w:sz w:val="24"/>
                <w:szCs w:val="24"/>
              </w:rPr>
              <w:t>3.82</w:t>
            </w:r>
          </w:p>
        </w:tc>
      </w:tr>
      <w:tr w:rsidR="009364D7">
        <w:trPr>
          <w:jc w:val="center"/>
        </w:trPr>
        <w:tc>
          <w:tcPr>
            <w:tcW w:w="855" w:type="dxa"/>
            <w:vAlign w:val="center"/>
          </w:tcPr>
          <w:p w:rsidR="009364D7" w:rsidRDefault="00334958">
            <w:pPr>
              <w:jc w:val="center"/>
            </w:pPr>
            <w:r>
              <w:rPr>
                <w:color w:val="000000"/>
                <w:sz w:val="24"/>
                <w:szCs w:val="24"/>
              </w:rPr>
              <w:t>8</w:t>
            </w:r>
          </w:p>
        </w:tc>
        <w:tc>
          <w:tcPr>
            <w:tcW w:w="1334" w:type="dxa"/>
            <w:vAlign w:val="center"/>
          </w:tcPr>
          <w:p w:rsidR="009364D7" w:rsidRDefault="00334958">
            <w:pPr>
              <w:jc w:val="center"/>
            </w:pPr>
            <w:r>
              <w:rPr>
                <w:color w:val="000000"/>
                <w:sz w:val="24"/>
                <w:szCs w:val="24"/>
              </w:rPr>
              <w:t>600967</w:t>
            </w:r>
          </w:p>
        </w:tc>
        <w:tc>
          <w:tcPr>
            <w:tcW w:w="1777" w:type="dxa"/>
            <w:vAlign w:val="center"/>
          </w:tcPr>
          <w:p w:rsidR="009364D7" w:rsidRDefault="00334958">
            <w:pPr>
              <w:jc w:val="center"/>
            </w:pPr>
            <w:r>
              <w:rPr>
                <w:color w:val="000000"/>
                <w:sz w:val="24"/>
                <w:szCs w:val="24"/>
              </w:rPr>
              <w:t>北方创业</w:t>
            </w:r>
          </w:p>
        </w:tc>
        <w:tc>
          <w:tcPr>
            <w:tcW w:w="1334" w:type="dxa"/>
            <w:vAlign w:val="center"/>
          </w:tcPr>
          <w:p w:rsidR="009364D7" w:rsidRDefault="00334958">
            <w:pPr>
              <w:jc w:val="right"/>
            </w:pPr>
            <w:r>
              <w:rPr>
                <w:color w:val="000000"/>
                <w:sz w:val="24"/>
                <w:szCs w:val="24"/>
              </w:rPr>
              <w:t>215,971</w:t>
            </w:r>
          </w:p>
        </w:tc>
        <w:tc>
          <w:tcPr>
            <w:tcW w:w="1924" w:type="dxa"/>
            <w:vAlign w:val="center"/>
          </w:tcPr>
          <w:p w:rsidR="009364D7" w:rsidRDefault="00334958">
            <w:pPr>
              <w:jc w:val="right"/>
            </w:pPr>
            <w:r>
              <w:rPr>
                <w:color w:val="000000"/>
                <w:sz w:val="24"/>
                <w:szCs w:val="24"/>
              </w:rPr>
              <w:t>3,267,641.23</w:t>
            </w:r>
          </w:p>
        </w:tc>
        <w:tc>
          <w:tcPr>
            <w:tcW w:w="1644" w:type="dxa"/>
            <w:vAlign w:val="center"/>
          </w:tcPr>
          <w:p w:rsidR="009364D7" w:rsidRDefault="00334958">
            <w:pPr>
              <w:jc w:val="right"/>
            </w:pPr>
            <w:r>
              <w:rPr>
                <w:color w:val="000000"/>
                <w:sz w:val="24"/>
                <w:szCs w:val="24"/>
              </w:rPr>
              <w:t>3.26</w:t>
            </w:r>
          </w:p>
        </w:tc>
      </w:tr>
      <w:tr w:rsidR="009364D7">
        <w:trPr>
          <w:jc w:val="center"/>
        </w:trPr>
        <w:tc>
          <w:tcPr>
            <w:tcW w:w="855" w:type="dxa"/>
            <w:vAlign w:val="center"/>
          </w:tcPr>
          <w:p w:rsidR="009364D7" w:rsidRDefault="00334958">
            <w:pPr>
              <w:jc w:val="center"/>
            </w:pPr>
            <w:r>
              <w:rPr>
                <w:color w:val="000000"/>
                <w:sz w:val="24"/>
                <w:szCs w:val="24"/>
              </w:rPr>
              <w:t>9</w:t>
            </w:r>
          </w:p>
        </w:tc>
        <w:tc>
          <w:tcPr>
            <w:tcW w:w="1334" w:type="dxa"/>
            <w:vAlign w:val="center"/>
          </w:tcPr>
          <w:p w:rsidR="009364D7" w:rsidRDefault="00334958">
            <w:pPr>
              <w:jc w:val="center"/>
            </w:pPr>
            <w:r>
              <w:rPr>
                <w:color w:val="000000"/>
                <w:sz w:val="24"/>
                <w:szCs w:val="24"/>
              </w:rPr>
              <w:t>300161</w:t>
            </w:r>
          </w:p>
        </w:tc>
        <w:tc>
          <w:tcPr>
            <w:tcW w:w="1777" w:type="dxa"/>
            <w:vAlign w:val="center"/>
          </w:tcPr>
          <w:p w:rsidR="009364D7" w:rsidRDefault="00334958">
            <w:pPr>
              <w:jc w:val="center"/>
            </w:pPr>
            <w:r>
              <w:rPr>
                <w:color w:val="000000"/>
                <w:sz w:val="24"/>
                <w:szCs w:val="24"/>
              </w:rPr>
              <w:t>华中数控</w:t>
            </w:r>
          </w:p>
        </w:tc>
        <w:tc>
          <w:tcPr>
            <w:tcW w:w="1334" w:type="dxa"/>
            <w:vAlign w:val="center"/>
          </w:tcPr>
          <w:p w:rsidR="009364D7" w:rsidRDefault="00334958">
            <w:pPr>
              <w:jc w:val="right"/>
            </w:pPr>
            <w:r>
              <w:rPr>
                <w:color w:val="000000"/>
                <w:sz w:val="24"/>
                <w:szCs w:val="24"/>
              </w:rPr>
              <w:t>120,800</w:t>
            </w:r>
          </w:p>
        </w:tc>
        <w:tc>
          <w:tcPr>
            <w:tcW w:w="1924" w:type="dxa"/>
            <w:vAlign w:val="center"/>
          </w:tcPr>
          <w:p w:rsidR="009364D7" w:rsidRDefault="00334958">
            <w:pPr>
              <w:jc w:val="right"/>
            </w:pPr>
            <w:r>
              <w:rPr>
                <w:color w:val="000000"/>
                <w:sz w:val="24"/>
                <w:szCs w:val="24"/>
              </w:rPr>
              <w:t>3,003,088.00</w:t>
            </w:r>
          </w:p>
        </w:tc>
        <w:tc>
          <w:tcPr>
            <w:tcW w:w="1644" w:type="dxa"/>
            <w:vAlign w:val="center"/>
          </w:tcPr>
          <w:p w:rsidR="009364D7" w:rsidRDefault="00334958">
            <w:pPr>
              <w:jc w:val="right"/>
            </w:pPr>
            <w:r>
              <w:rPr>
                <w:color w:val="000000"/>
                <w:sz w:val="24"/>
                <w:szCs w:val="24"/>
              </w:rPr>
              <w:t>3.00</w:t>
            </w:r>
          </w:p>
        </w:tc>
      </w:tr>
      <w:tr w:rsidR="009364D7">
        <w:trPr>
          <w:jc w:val="center"/>
        </w:trPr>
        <w:tc>
          <w:tcPr>
            <w:tcW w:w="855" w:type="dxa"/>
            <w:vAlign w:val="center"/>
          </w:tcPr>
          <w:p w:rsidR="009364D7" w:rsidRDefault="00334958">
            <w:pPr>
              <w:jc w:val="center"/>
            </w:pPr>
            <w:r>
              <w:rPr>
                <w:color w:val="000000"/>
                <w:sz w:val="24"/>
                <w:szCs w:val="24"/>
              </w:rPr>
              <w:t>10</w:t>
            </w:r>
          </w:p>
        </w:tc>
        <w:tc>
          <w:tcPr>
            <w:tcW w:w="1334" w:type="dxa"/>
            <w:vAlign w:val="center"/>
          </w:tcPr>
          <w:p w:rsidR="009364D7" w:rsidRDefault="00334958">
            <w:pPr>
              <w:jc w:val="center"/>
            </w:pPr>
            <w:r>
              <w:rPr>
                <w:color w:val="000000"/>
                <w:sz w:val="24"/>
                <w:szCs w:val="24"/>
              </w:rPr>
              <w:t>600258</w:t>
            </w:r>
          </w:p>
        </w:tc>
        <w:tc>
          <w:tcPr>
            <w:tcW w:w="1777" w:type="dxa"/>
            <w:vAlign w:val="center"/>
          </w:tcPr>
          <w:p w:rsidR="009364D7" w:rsidRDefault="00334958">
            <w:pPr>
              <w:jc w:val="center"/>
            </w:pPr>
            <w:r>
              <w:rPr>
                <w:color w:val="000000"/>
                <w:sz w:val="24"/>
                <w:szCs w:val="24"/>
              </w:rPr>
              <w:t>首旅酒店</w:t>
            </w:r>
          </w:p>
        </w:tc>
        <w:tc>
          <w:tcPr>
            <w:tcW w:w="1334" w:type="dxa"/>
            <w:vAlign w:val="center"/>
          </w:tcPr>
          <w:p w:rsidR="009364D7" w:rsidRDefault="00334958">
            <w:pPr>
              <w:jc w:val="right"/>
            </w:pPr>
            <w:r>
              <w:rPr>
                <w:color w:val="000000"/>
                <w:sz w:val="24"/>
                <w:szCs w:val="24"/>
              </w:rPr>
              <w:t>109,576</w:t>
            </w:r>
          </w:p>
        </w:tc>
        <w:tc>
          <w:tcPr>
            <w:tcW w:w="1924" w:type="dxa"/>
            <w:vAlign w:val="center"/>
          </w:tcPr>
          <w:p w:rsidR="009364D7" w:rsidRDefault="00334958">
            <w:pPr>
              <w:jc w:val="right"/>
            </w:pPr>
            <w:r>
              <w:rPr>
                <w:color w:val="000000"/>
                <w:sz w:val="24"/>
                <w:szCs w:val="24"/>
              </w:rPr>
              <w:t>2,931,158.00</w:t>
            </w:r>
          </w:p>
        </w:tc>
        <w:tc>
          <w:tcPr>
            <w:tcW w:w="1644" w:type="dxa"/>
            <w:vAlign w:val="center"/>
          </w:tcPr>
          <w:p w:rsidR="009364D7" w:rsidRDefault="00334958">
            <w:pPr>
              <w:jc w:val="right"/>
            </w:pPr>
            <w:r>
              <w:rPr>
                <w:color w:val="000000"/>
                <w:sz w:val="24"/>
                <w:szCs w:val="24"/>
              </w:rPr>
              <w:t>2.93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10,022,000.00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10,022,000.00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10,022,000.00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9364D7">
        <w:trPr>
          <w:jc w:val="center"/>
        </w:trPr>
        <w:tc>
          <w:tcPr>
            <w:tcW w:w="850" w:type="dxa"/>
            <w:vAlign w:val="center"/>
          </w:tcPr>
          <w:p w:rsidR="009364D7" w:rsidRDefault="00334958">
            <w:pPr>
              <w:jc w:val="center"/>
            </w:pPr>
            <w:r>
              <w:rPr>
                <w:color w:val="000000"/>
                <w:sz w:val="24"/>
                <w:szCs w:val="24"/>
              </w:rPr>
              <w:t>1</w:t>
            </w:r>
          </w:p>
        </w:tc>
        <w:tc>
          <w:tcPr>
            <w:tcW w:w="1475" w:type="dxa"/>
            <w:vAlign w:val="center"/>
          </w:tcPr>
          <w:p w:rsidR="009364D7" w:rsidRDefault="00334958">
            <w:pPr>
              <w:jc w:val="center"/>
            </w:pPr>
            <w:r>
              <w:rPr>
                <w:color w:val="000000"/>
                <w:sz w:val="24"/>
                <w:szCs w:val="24"/>
              </w:rPr>
              <w:t>150201</w:t>
            </w:r>
          </w:p>
        </w:tc>
        <w:tc>
          <w:tcPr>
            <w:tcW w:w="1769" w:type="dxa"/>
            <w:vAlign w:val="center"/>
          </w:tcPr>
          <w:p w:rsidR="009364D7" w:rsidRDefault="00334958">
            <w:pPr>
              <w:jc w:val="center"/>
            </w:pPr>
            <w:r>
              <w:rPr>
                <w:color w:val="000000"/>
                <w:sz w:val="24"/>
                <w:szCs w:val="24"/>
              </w:rPr>
              <w:t>15</w:t>
            </w:r>
            <w:r>
              <w:rPr>
                <w:color w:val="000000"/>
                <w:sz w:val="24"/>
                <w:szCs w:val="24"/>
              </w:rPr>
              <w:t>国开</w:t>
            </w:r>
            <w:r>
              <w:rPr>
                <w:color w:val="000000"/>
                <w:sz w:val="24"/>
                <w:szCs w:val="24"/>
              </w:rPr>
              <w:t>01</w:t>
            </w:r>
          </w:p>
        </w:tc>
        <w:tc>
          <w:tcPr>
            <w:tcW w:w="1387" w:type="dxa"/>
            <w:vAlign w:val="center"/>
          </w:tcPr>
          <w:p w:rsidR="009364D7" w:rsidRDefault="00334958">
            <w:pPr>
              <w:jc w:val="right"/>
            </w:pPr>
            <w:r>
              <w:rPr>
                <w:color w:val="000000"/>
                <w:sz w:val="24"/>
                <w:szCs w:val="24"/>
              </w:rPr>
              <w:t>100,000</w:t>
            </w:r>
          </w:p>
        </w:tc>
        <w:tc>
          <w:tcPr>
            <w:tcW w:w="2150" w:type="dxa"/>
            <w:vAlign w:val="center"/>
          </w:tcPr>
          <w:p w:rsidR="009364D7" w:rsidRDefault="00334958">
            <w:pPr>
              <w:jc w:val="right"/>
            </w:pPr>
            <w:r>
              <w:rPr>
                <w:color w:val="000000"/>
                <w:sz w:val="24"/>
                <w:szCs w:val="24"/>
              </w:rPr>
              <w:t>10,022,000.00</w:t>
            </w:r>
          </w:p>
        </w:tc>
        <w:tc>
          <w:tcPr>
            <w:tcW w:w="1237" w:type="dxa"/>
            <w:vAlign w:val="center"/>
          </w:tcPr>
          <w:p w:rsidR="009364D7" w:rsidRDefault="00334958">
            <w:pPr>
              <w:jc w:val="right"/>
            </w:pPr>
            <w:r>
              <w:rPr>
                <w:color w:val="000000"/>
                <w:sz w:val="24"/>
                <w:szCs w:val="24"/>
              </w:rPr>
              <w:t>10.00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74,095.05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93,085.28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221,897.55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389,077.88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44,481,269.20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4,940,965.58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3,114,461.04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46,307,773.74</w:t>
            </w:r>
          </w:p>
        </w:tc>
      </w:tr>
    </w:tbl>
    <w:p w:rsidR="009364D7" w:rsidRDefault="0033495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9364D7" w:rsidRDefault="00334958">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、中国证监会批准交银施罗德定期支付双息平衡混合型证券投资基金募集的文件；</w:t>
      </w:r>
      <w:r>
        <w:rPr>
          <w:color w:val="000000"/>
          <w:sz w:val="24"/>
          <w:szCs w:val="24"/>
        </w:rPr>
        <w:t xml:space="preserve"> </w:t>
      </w:r>
    </w:p>
    <w:p w:rsidR="009364D7" w:rsidRDefault="00334958">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、《交银施罗德定期支付双息平衡混合型证券投资基金基金合同》；</w:t>
      </w:r>
      <w:r>
        <w:rPr>
          <w:color w:val="000000"/>
          <w:sz w:val="24"/>
          <w:szCs w:val="24"/>
        </w:rPr>
        <w:t xml:space="preserve"> </w:t>
      </w:r>
    </w:p>
    <w:p w:rsidR="009364D7" w:rsidRDefault="00334958">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、《交银施罗德定期支付双息平衡混合型证券投资基金招募说明书》；</w:t>
      </w:r>
      <w:r>
        <w:rPr>
          <w:color w:val="000000"/>
          <w:sz w:val="24"/>
          <w:szCs w:val="24"/>
        </w:rPr>
        <w:t xml:space="preserve"> </w:t>
      </w:r>
    </w:p>
    <w:p w:rsidR="009364D7" w:rsidRDefault="00334958">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、《交银施罗德定期支付双息平衡混合型证券投资基金托管协议》；</w:t>
      </w:r>
      <w:r>
        <w:rPr>
          <w:color w:val="000000"/>
          <w:sz w:val="24"/>
          <w:szCs w:val="24"/>
        </w:rPr>
        <w:t xml:space="preserve"> </w:t>
      </w:r>
    </w:p>
    <w:p w:rsidR="009364D7" w:rsidRDefault="00334958">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、关于募集交银施罗德定期支付双息平衡混合型证券投资基金之法律意见书；</w:t>
      </w:r>
      <w:r>
        <w:rPr>
          <w:color w:val="000000"/>
          <w:sz w:val="24"/>
          <w:szCs w:val="24"/>
        </w:rPr>
        <w:t xml:space="preserve"> </w:t>
      </w:r>
    </w:p>
    <w:p w:rsidR="009364D7" w:rsidRDefault="00334958">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9364D7" w:rsidRDefault="00334958">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、报告期内交银施罗德定期支付双息平衡混合型证券投资基金在指定报刊上各项公告的原稿。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9364D7" w:rsidRDefault="00334958">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958" w:rsidRDefault="00334958" w:rsidP="00876D65">
      <w:r>
        <w:separator/>
      </w:r>
    </w:p>
  </w:endnote>
  <w:endnote w:type="continuationSeparator" w:id="0">
    <w:p w:rsidR="00334958" w:rsidRDefault="0033495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C35C6D">
      <w:rPr>
        <w:noProof/>
        <w:kern w:val="0"/>
        <w:szCs w:val="21"/>
      </w:rPr>
      <w:t>1</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C35C6D">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958" w:rsidRDefault="00334958" w:rsidP="00876D65">
      <w:r>
        <w:separator/>
      </w:r>
    </w:p>
  </w:footnote>
  <w:footnote w:type="continuationSeparator" w:id="0">
    <w:p w:rsidR="00334958" w:rsidRDefault="0033495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4958"/>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364D7"/>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35C6D"/>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4835"/>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3C795-7790-4784-A556-FF6D19D28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973</Words>
  <Characters>5552</Characters>
  <Application>Microsoft Office Word</Application>
  <DocSecurity>0</DocSecurity>
  <Lines>46</Lines>
  <Paragraphs>13</Paragraphs>
  <ScaleCrop>false</ScaleCrop>
  <Company/>
  <LinksUpToDate>false</LinksUpToDate>
  <CharactersWithSpaces>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孙艳</dc:creator>
  <cp:lastModifiedBy>许帆</cp:lastModifiedBy>
  <cp:revision>2</cp:revision>
  <dcterms:created xsi:type="dcterms:W3CDTF">2017-04-20T09:40:00Z</dcterms:created>
  <dcterms:modified xsi:type="dcterms:W3CDTF">2017-04-20T09:40:00Z</dcterms:modified>
</cp:coreProperties>
</file>