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023E80">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23E8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93,418,156.21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023E80">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87,827,085.78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5,591,070.43</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23E80">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619,808.57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29,505.69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426,333.80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15,636.00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121,790,140.14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7,632,544.01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1.365</w:t>
            </w:r>
          </w:p>
        </w:tc>
      </w:tr>
    </w:tbl>
    <w:p w:rsidR="00FC1970" w:rsidRDefault="00023E8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C1970">
        <w:trPr>
          <w:jc w:val="center"/>
        </w:trPr>
        <w:tc>
          <w:tcPr>
            <w:tcW w:w="1266" w:type="dxa"/>
            <w:vAlign w:val="center"/>
          </w:tcPr>
          <w:p w:rsidR="00FC1970" w:rsidRDefault="00023E80">
            <w:pPr>
              <w:jc w:val="left"/>
            </w:pPr>
            <w:r>
              <w:rPr>
                <w:color w:val="000000"/>
                <w:sz w:val="24"/>
              </w:rPr>
              <w:t>过去三个月</w:t>
            </w:r>
          </w:p>
        </w:tc>
        <w:tc>
          <w:tcPr>
            <w:tcW w:w="1267" w:type="dxa"/>
            <w:vAlign w:val="center"/>
          </w:tcPr>
          <w:p w:rsidR="00FC1970" w:rsidRDefault="00023E80">
            <w:pPr>
              <w:jc w:val="center"/>
            </w:pPr>
            <w:r>
              <w:rPr>
                <w:color w:val="000000"/>
                <w:sz w:val="24"/>
              </w:rPr>
              <w:t>0.36%</w:t>
            </w:r>
          </w:p>
        </w:tc>
        <w:tc>
          <w:tcPr>
            <w:tcW w:w="1267" w:type="dxa"/>
            <w:vAlign w:val="center"/>
          </w:tcPr>
          <w:p w:rsidR="00FC1970" w:rsidRDefault="00023E80">
            <w:pPr>
              <w:jc w:val="center"/>
            </w:pPr>
            <w:r>
              <w:rPr>
                <w:color w:val="000000"/>
                <w:sz w:val="24"/>
              </w:rPr>
              <w:t>0.10%</w:t>
            </w:r>
          </w:p>
        </w:tc>
        <w:tc>
          <w:tcPr>
            <w:tcW w:w="1267" w:type="dxa"/>
            <w:vAlign w:val="center"/>
          </w:tcPr>
          <w:p w:rsidR="00FC1970" w:rsidRDefault="00023E80">
            <w:pPr>
              <w:jc w:val="center"/>
            </w:pPr>
            <w:r>
              <w:rPr>
                <w:color w:val="000000"/>
                <w:sz w:val="24"/>
              </w:rPr>
              <w:t>-0.69%</w:t>
            </w:r>
          </w:p>
        </w:tc>
        <w:tc>
          <w:tcPr>
            <w:tcW w:w="1267" w:type="dxa"/>
            <w:vAlign w:val="center"/>
          </w:tcPr>
          <w:p w:rsidR="00FC1970" w:rsidRDefault="00023E80">
            <w:pPr>
              <w:jc w:val="center"/>
            </w:pPr>
            <w:r>
              <w:rPr>
                <w:color w:val="000000"/>
                <w:sz w:val="24"/>
              </w:rPr>
              <w:t>0.09%</w:t>
            </w:r>
          </w:p>
        </w:tc>
        <w:tc>
          <w:tcPr>
            <w:tcW w:w="1267" w:type="dxa"/>
            <w:vAlign w:val="center"/>
          </w:tcPr>
          <w:p w:rsidR="00FC1970" w:rsidRDefault="00023E80">
            <w:pPr>
              <w:jc w:val="center"/>
            </w:pPr>
            <w:r>
              <w:rPr>
                <w:color w:val="000000"/>
                <w:sz w:val="24"/>
              </w:rPr>
              <w:t>1.05%</w:t>
            </w:r>
          </w:p>
        </w:tc>
        <w:tc>
          <w:tcPr>
            <w:tcW w:w="1267" w:type="dxa"/>
            <w:vAlign w:val="center"/>
          </w:tcPr>
          <w:p w:rsidR="00FC1970" w:rsidRDefault="00023E80">
            <w:pPr>
              <w:jc w:val="center"/>
            </w:pPr>
            <w:r>
              <w:rPr>
                <w:color w:val="000000"/>
                <w:sz w:val="24"/>
              </w:rPr>
              <w:t>0.01%</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C1970">
        <w:trPr>
          <w:jc w:val="center"/>
        </w:trPr>
        <w:tc>
          <w:tcPr>
            <w:tcW w:w="1266" w:type="dxa"/>
            <w:vAlign w:val="center"/>
          </w:tcPr>
          <w:p w:rsidR="00FC1970" w:rsidRDefault="00023E80">
            <w:pPr>
              <w:jc w:val="left"/>
            </w:pPr>
            <w:r>
              <w:rPr>
                <w:color w:val="000000"/>
                <w:sz w:val="24"/>
              </w:rPr>
              <w:t>过去三个月</w:t>
            </w:r>
          </w:p>
        </w:tc>
        <w:tc>
          <w:tcPr>
            <w:tcW w:w="1267" w:type="dxa"/>
            <w:vAlign w:val="center"/>
          </w:tcPr>
          <w:p w:rsidR="00FC1970" w:rsidRDefault="00023E80">
            <w:pPr>
              <w:jc w:val="center"/>
            </w:pPr>
            <w:r>
              <w:rPr>
                <w:color w:val="000000"/>
                <w:sz w:val="24"/>
              </w:rPr>
              <w:t>0.22%</w:t>
            </w:r>
          </w:p>
        </w:tc>
        <w:tc>
          <w:tcPr>
            <w:tcW w:w="1267" w:type="dxa"/>
            <w:vAlign w:val="center"/>
          </w:tcPr>
          <w:p w:rsidR="00FC1970" w:rsidRDefault="00023E80">
            <w:pPr>
              <w:jc w:val="center"/>
            </w:pPr>
            <w:r>
              <w:rPr>
                <w:color w:val="000000"/>
                <w:sz w:val="24"/>
              </w:rPr>
              <w:t>0.10%</w:t>
            </w:r>
          </w:p>
        </w:tc>
        <w:tc>
          <w:tcPr>
            <w:tcW w:w="1267" w:type="dxa"/>
            <w:vAlign w:val="center"/>
          </w:tcPr>
          <w:p w:rsidR="00FC1970" w:rsidRDefault="00023E80">
            <w:pPr>
              <w:jc w:val="center"/>
            </w:pPr>
            <w:r>
              <w:rPr>
                <w:color w:val="000000"/>
                <w:sz w:val="24"/>
              </w:rPr>
              <w:t>-0.69%</w:t>
            </w:r>
          </w:p>
        </w:tc>
        <w:tc>
          <w:tcPr>
            <w:tcW w:w="1267" w:type="dxa"/>
            <w:vAlign w:val="center"/>
          </w:tcPr>
          <w:p w:rsidR="00FC1970" w:rsidRDefault="00023E80">
            <w:pPr>
              <w:jc w:val="center"/>
            </w:pPr>
            <w:r>
              <w:rPr>
                <w:color w:val="000000"/>
                <w:sz w:val="24"/>
              </w:rPr>
              <w:t>0.09%</w:t>
            </w:r>
          </w:p>
        </w:tc>
        <w:tc>
          <w:tcPr>
            <w:tcW w:w="1267" w:type="dxa"/>
            <w:vAlign w:val="center"/>
          </w:tcPr>
          <w:p w:rsidR="00FC1970" w:rsidRDefault="00023E80">
            <w:pPr>
              <w:jc w:val="center"/>
            </w:pPr>
            <w:r>
              <w:rPr>
                <w:color w:val="000000"/>
                <w:sz w:val="24"/>
              </w:rPr>
              <w:t>0.91%</w:t>
            </w:r>
          </w:p>
        </w:tc>
        <w:tc>
          <w:tcPr>
            <w:tcW w:w="1267" w:type="dxa"/>
            <w:vAlign w:val="center"/>
          </w:tcPr>
          <w:p w:rsidR="00FC1970" w:rsidRDefault="00023E80">
            <w:pPr>
              <w:jc w:val="center"/>
            </w:pPr>
            <w:r>
              <w:rPr>
                <w:color w:val="000000"/>
                <w:sz w:val="24"/>
              </w:rPr>
              <w:t>0.01%</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23E8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C1970">
        <w:trPr>
          <w:jc w:val="center"/>
        </w:trPr>
        <w:tc>
          <w:tcPr>
            <w:tcW w:w="946" w:type="dxa"/>
            <w:vAlign w:val="center"/>
          </w:tcPr>
          <w:p w:rsidR="00FC1970" w:rsidRDefault="00023E80">
            <w:pPr>
              <w:jc w:val="center"/>
            </w:pPr>
            <w:r>
              <w:rPr>
                <w:color w:val="000000"/>
                <w:sz w:val="24"/>
              </w:rPr>
              <w:t>孙超</w:t>
            </w:r>
          </w:p>
        </w:tc>
        <w:tc>
          <w:tcPr>
            <w:tcW w:w="924" w:type="dxa"/>
            <w:vAlign w:val="center"/>
          </w:tcPr>
          <w:p w:rsidR="00FC1970" w:rsidRDefault="00023E80">
            <w:pPr>
              <w:jc w:val="center"/>
            </w:pPr>
            <w:r>
              <w:rPr>
                <w:color w:val="000000"/>
                <w:sz w:val="24"/>
              </w:rPr>
              <w:t>交银增利债券、交银纯债债券发起、交银荣祥保本混合、交银定期支付月月丰债券、交银增强收益债券、交银强化回报债券、交银丰硕收益债券、交银荣鑫保本混合的基金经理，公司固定收益部助理总经理</w:t>
            </w:r>
          </w:p>
        </w:tc>
        <w:tc>
          <w:tcPr>
            <w:tcW w:w="1202" w:type="dxa"/>
            <w:vAlign w:val="center"/>
          </w:tcPr>
          <w:p w:rsidR="00FC1970" w:rsidRDefault="00023E80">
            <w:pPr>
              <w:jc w:val="center"/>
            </w:pPr>
            <w:r>
              <w:rPr>
                <w:color w:val="000000"/>
                <w:sz w:val="24"/>
              </w:rPr>
              <w:t>2014-08-26</w:t>
            </w:r>
          </w:p>
        </w:tc>
        <w:tc>
          <w:tcPr>
            <w:tcW w:w="1300" w:type="dxa"/>
            <w:vAlign w:val="center"/>
          </w:tcPr>
          <w:p w:rsidR="00FC1970" w:rsidRDefault="00023E80">
            <w:pPr>
              <w:jc w:val="center"/>
            </w:pPr>
            <w:r>
              <w:rPr>
                <w:color w:val="000000"/>
                <w:sz w:val="24"/>
              </w:rPr>
              <w:t>-</w:t>
            </w:r>
          </w:p>
        </w:tc>
        <w:tc>
          <w:tcPr>
            <w:tcW w:w="1245" w:type="dxa"/>
            <w:vAlign w:val="center"/>
          </w:tcPr>
          <w:p w:rsidR="00FC1970" w:rsidRDefault="0077585D">
            <w:pPr>
              <w:jc w:val="center"/>
            </w:pPr>
            <w:r>
              <w:rPr>
                <w:color w:val="000000"/>
                <w:sz w:val="24"/>
              </w:rPr>
              <w:t>6</w:t>
            </w:r>
            <w:bookmarkStart w:id="0" w:name="_GoBack"/>
            <w:bookmarkEnd w:id="0"/>
            <w:r w:rsidR="00023E80">
              <w:rPr>
                <w:color w:val="000000"/>
                <w:sz w:val="24"/>
              </w:rPr>
              <w:t>年</w:t>
            </w:r>
          </w:p>
        </w:tc>
        <w:tc>
          <w:tcPr>
            <w:tcW w:w="3251" w:type="dxa"/>
            <w:vAlign w:val="center"/>
          </w:tcPr>
          <w:p w:rsidR="00FC1970" w:rsidRDefault="00023E80">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C1970" w:rsidRDefault="00023E8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C1970" w:rsidRDefault="00023E8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FC1970" w:rsidRDefault="00023E8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FC1970" w:rsidRDefault="00023E80">
      <w:pPr>
        <w:spacing w:before="29" w:line="288" w:lineRule="auto"/>
        <w:ind w:firstLineChars="200" w:firstLine="480"/>
        <w:rPr>
          <w:color w:val="000000"/>
          <w:sz w:val="24"/>
        </w:rPr>
      </w:pPr>
      <w:r>
        <w:rPr>
          <w:color w:val="000000"/>
          <w:sz w:val="24"/>
        </w:rPr>
        <w:t>本报告期内，经济基本面走势较为平稳，</w:t>
      </w:r>
      <w:r>
        <w:rPr>
          <w:color w:val="000000"/>
          <w:sz w:val="24"/>
        </w:rPr>
        <w:t>PPI</w:t>
      </w:r>
      <w:r>
        <w:rPr>
          <w:color w:val="000000"/>
          <w:sz w:val="24"/>
        </w:rPr>
        <w:t>环比增速和上游资源品价格缓步走低。央行先后于</w:t>
      </w:r>
      <w:r>
        <w:rPr>
          <w:color w:val="000000"/>
          <w:sz w:val="24"/>
        </w:rPr>
        <w:t>1</w:t>
      </w:r>
      <w:r>
        <w:rPr>
          <w:color w:val="000000"/>
          <w:sz w:val="24"/>
        </w:rPr>
        <w:t>月</w:t>
      </w:r>
      <w:r>
        <w:rPr>
          <w:color w:val="000000"/>
          <w:sz w:val="24"/>
        </w:rPr>
        <w:t>24</w:t>
      </w:r>
      <w:r>
        <w:rPr>
          <w:color w:val="000000"/>
          <w:sz w:val="24"/>
        </w:rPr>
        <w:t>日、</w:t>
      </w:r>
      <w:r>
        <w:rPr>
          <w:color w:val="000000"/>
          <w:sz w:val="24"/>
        </w:rPr>
        <w:t>2</w:t>
      </w:r>
      <w:r>
        <w:rPr>
          <w:color w:val="000000"/>
          <w:sz w:val="24"/>
        </w:rPr>
        <w:t>月</w:t>
      </w:r>
      <w:r>
        <w:rPr>
          <w:color w:val="000000"/>
          <w:sz w:val="24"/>
        </w:rPr>
        <w:t>3</w:t>
      </w:r>
      <w:r>
        <w:rPr>
          <w:color w:val="000000"/>
          <w:sz w:val="24"/>
        </w:rPr>
        <w:t>日上调</w:t>
      </w:r>
      <w:r>
        <w:rPr>
          <w:color w:val="000000"/>
          <w:sz w:val="24"/>
        </w:rPr>
        <w:t>MLF</w:t>
      </w:r>
      <w:r>
        <w:rPr>
          <w:color w:val="000000"/>
          <w:sz w:val="24"/>
        </w:rPr>
        <w:t>和公开市场操作利率，资金面整体处于紧平衡状态，资金利率在每月</w:t>
      </w:r>
      <w:r>
        <w:rPr>
          <w:color w:val="000000"/>
          <w:sz w:val="24"/>
        </w:rPr>
        <w:t>7-9</w:t>
      </w:r>
      <w:r>
        <w:rPr>
          <w:color w:val="000000"/>
          <w:sz w:val="24"/>
        </w:rPr>
        <w:t>日、</w:t>
      </w:r>
      <w:r>
        <w:rPr>
          <w:color w:val="000000"/>
          <w:sz w:val="24"/>
        </w:rPr>
        <w:t>18-21</w:t>
      </w:r>
      <w:r>
        <w:rPr>
          <w:color w:val="000000"/>
          <w:sz w:val="24"/>
        </w:rPr>
        <w:t>日以及月末出现不同程度的抬升。现券收益率呈现震荡上行态势，首次政策利率上调令十年国债收益率上行至</w:t>
      </w:r>
      <w:r>
        <w:rPr>
          <w:color w:val="000000"/>
          <w:sz w:val="24"/>
        </w:rPr>
        <w:t>3.49%</w:t>
      </w:r>
      <w:r>
        <w:rPr>
          <w:color w:val="000000"/>
          <w:sz w:val="24"/>
        </w:rPr>
        <w:t>，十年国开收益率上行至</w:t>
      </w:r>
      <w:r>
        <w:rPr>
          <w:color w:val="000000"/>
          <w:sz w:val="24"/>
        </w:rPr>
        <w:t>4.19%</w:t>
      </w:r>
      <w:r>
        <w:rPr>
          <w:color w:val="000000"/>
          <w:sz w:val="24"/>
        </w:rPr>
        <w:t>的阶段高点；</w:t>
      </w:r>
      <w:r>
        <w:rPr>
          <w:color w:val="000000"/>
          <w:sz w:val="24"/>
        </w:rPr>
        <w:t>2</w:t>
      </w:r>
      <w:r>
        <w:rPr>
          <w:color w:val="000000"/>
          <w:sz w:val="24"/>
        </w:rPr>
        <w:t>月中旬现券收益率开始回落，国债期货在基差修复下连续大涨对债市情绪也有一定推动作用，</w:t>
      </w:r>
      <w:r>
        <w:rPr>
          <w:color w:val="000000"/>
          <w:sz w:val="24"/>
        </w:rPr>
        <w:t>2</w:t>
      </w:r>
      <w:r>
        <w:rPr>
          <w:color w:val="000000"/>
          <w:sz w:val="24"/>
        </w:rPr>
        <w:t>月末十年国债及国开收益率分别下行至</w:t>
      </w:r>
      <w:r>
        <w:rPr>
          <w:color w:val="000000"/>
          <w:sz w:val="24"/>
        </w:rPr>
        <w:t>3.29%</w:t>
      </w:r>
      <w:r>
        <w:rPr>
          <w:color w:val="000000"/>
          <w:sz w:val="24"/>
        </w:rPr>
        <w:t>和</w:t>
      </w:r>
      <w:r>
        <w:rPr>
          <w:color w:val="000000"/>
          <w:sz w:val="24"/>
        </w:rPr>
        <w:t>4.06%</w:t>
      </w:r>
      <w:r>
        <w:rPr>
          <w:color w:val="000000"/>
          <w:sz w:val="24"/>
        </w:rPr>
        <w:t>；</w:t>
      </w:r>
      <w:r>
        <w:rPr>
          <w:color w:val="000000"/>
          <w:sz w:val="24"/>
        </w:rPr>
        <w:t>3</w:t>
      </w:r>
      <w:r>
        <w:rPr>
          <w:color w:val="000000"/>
          <w:sz w:val="24"/>
        </w:rPr>
        <w:t>月受联储加息预期升温影响，国内债市收益率再度上调，但随着联储加息及央行再度上调政策利率两件事情靴子落地，现券市场收益率回落，月末</w:t>
      </w:r>
      <w:r>
        <w:rPr>
          <w:color w:val="000000"/>
          <w:sz w:val="24"/>
        </w:rPr>
        <w:t>MPA</w:t>
      </w:r>
      <w:r>
        <w:rPr>
          <w:color w:val="000000"/>
          <w:sz w:val="24"/>
        </w:rPr>
        <w:t>考核尽管令非银资金面高度紧张，但因被市场预期未对现券形成过大冲击。权益市场方面，</w:t>
      </w:r>
      <w:r>
        <w:rPr>
          <w:color w:val="000000"/>
          <w:sz w:val="24"/>
        </w:rPr>
        <w:t>1</w:t>
      </w:r>
      <w:r>
        <w:rPr>
          <w:color w:val="000000"/>
          <w:sz w:val="24"/>
        </w:rPr>
        <w:t>月整体处于调整阶段，随后一带一路、消费、苹果产业链、新能源汽车等主题发力，带动大盘缓步上涨，</w:t>
      </w:r>
      <w:r>
        <w:rPr>
          <w:color w:val="000000"/>
          <w:sz w:val="24"/>
        </w:rPr>
        <w:t>3</w:t>
      </w:r>
      <w:r>
        <w:rPr>
          <w:color w:val="000000"/>
          <w:sz w:val="24"/>
        </w:rPr>
        <w:t>月底市场寻顶，创业板出现较大幅度回调。</w:t>
      </w:r>
    </w:p>
    <w:p w:rsidR="00FC1970" w:rsidRDefault="00023E80">
      <w:pPr>
        <w:spacing w:before="29" w:line="288" w:lineRule="auto"/>
        <w:ind w:firstLineChars="200" w:firstLine="480"/>
        <w:rPr>
          <w:color w:val="000000"/>
          <w:sz w:val="24"/>
        </w:rPr>
      </w:pPr>
      <w:r>
        <w:rPr>
          <w:color w:val="000000"/>
          <w:sz w:val="24"/>
        </w:rPr>
        <w:t>我们认为，经济增长在今年上半年难以出现明显回落，央行去杠杆将令资金面维持紧平衡状态，债市难有趋势性机会。因此组合操作中我们不断降低长久期信用债配置比例，增配收益较好的高等级存单及短久期高等级信用，辅以利率债波段赚取超额收益。在权益配置方面，我们于</w:t>
      </w:r>
      <w:r>
        <w:rPr>
          <w:color w:val="000000"/>
          <w:sz w:val="24"/>
        </w:rPr>
        <w:t>2</w:t>
      </w:r>
      <w:r>
        <w:rPr>
          <w:color w:val="000000"/>
          <w:sz w:val="24"/>
        </w:rPr>
        <w:t>月上旬开始布局一带一路及白酒、医药、地产产业链相关的消费板块，取得了较好收益。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展望后市，我们认为在顺应大方向、确保自身资产负债安全稳定的同时，如何抓住市场情绪波动的投资机会，在波动中更好地改善资产负债结构，将是</w:t>
      </w:r>
      <w:r w:rsidRPr="007F52FA">
        <w:rPr>
          <w:color w:val="000000"/>
          <w:sz w:val="24"/>
        </w:rPr>
        <w:t>2017</w:t>
      </w:r>
      <w:r w:rsidRPr="007F52FA">
        <w:rPr>
          <w:color w:val="000000"/>
          <w:sz w:val="24"/>
        </w:rPr>
        <w:t>年投资中最值得关注的事情。二季度债券市场在前期利空落地后或将迎来阶段性反弹，但在经济没有出现明显下行前，金融去杠杆将制约债券收益率的下行空间，因此信用债配置中高等级短久期可能相对更优。利率债操作方面，长债的趋势性机会还未出现前，我们将侧重于博弈市场对已知风险的预期程度，寻找区间博弈机会。权益方面，</w:t>
      </w:r>
      <w:r w:rsidRPr="007F52FA">
        <w:rPr>
          <w:color w:val="000000"/>
          <w:sz w:val="24"/>
        </w:rPr>
        <w:t>2017</w:t>
      </w:r>
      <w:r w:rsidRPr="007F52FA">
        <w:rPr>
          <w:color w:val="000000"/>
          <w:sz w:val="24"/>
        </w:rPr>
        <w:t>年二季度我们将重点关注混改和电子产业链、</w:t>
      </w:r>
      <w:r w:rsidRPr="007F52FA">
        <w:rPr>
          <w:color w:val="000000"/>
          <w:sz w:val="24"/>
        </w:rPr>
        <w:t>PPP</w:t>
      </w:r>
      <w:r w:rsidRPr="007F52FA">
        <w:rPr>
          <w:color w:val="000000"/>
          <w:sz w:val="24"/>
        </w:rPr>
        <w:t>等行业表现。</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日，交银定期支付月月丰债券</w:t>
      </w:r>
      <w:r w:rsidRPr="007F52FA">
        <w:rPr>
          <w:color w:val="000000"/>
          <w:sz w:val="24"/>
        </w:rPr>
        <w:t>A</w:t>
      </w:r>
      <w:r w:rsidRPr="007F52FA">
        <w:rPr>
          <w:color w:val="000000"/>
          <w:sz w:val="24"/>
        </w:rPr>
        <w:t>类份额净值为</w:t>
      </w:r>
      <w:r w:rsidRPr="007F52FA">
        <w:rPr>
          <w:color w:val="000000"/>
          <w:sz w:val="24"/>
        </w:rPr>
        <w:t>1.387</w:t>
      </w:r>
      <w:r w:rsidRPr="007F52FA">
        <w:rPr>
          <w:color w:val="000000"/>
          <w:sz w:val="24"/>
        </w:rPr>
        <w:t>元，本报告期份额净值增长率为</w:t>
      </w:r>
      <w:r w:rsidRPr="007F52FA">
        <w:rPr>
          <w:color w:val="000000"/>
          <w:sz w:val="24"/>
        </w:rPr>
        <w:t>0.36%</w:t>
      </w:r>
      <w:r w:rsidRPr="007F52FA">
        <w:rPr>
          <w:color w:val="000000"/>
          <w:sz w:val="24"/>
        </w:rPr>
        <w:t>，同期业绩比较基准增长率为</w:t>
      </w:r>
      <w:r w:rsidRPr="007F52FA">
        <w:rPr>
          <w:color w:val="000000"/>
          <w:sz w:val="24"/>
        </w:rPr>
        <w:t>-0.69%</w:t>
      </w:r>
      <w:r w:rsidRPr="007F52FA">
        <w:rPr>
          <w:color w:val="000000"/>
          <w:sz w:val="24"/>
        </w:rPr>
        <w:t>；交银定期支付月月丰债券</w:t>
      </w:r>
      <w:r w:rsidRPr="007F52FA">
        <w:rPr>
          <w:color w:val="000000"/>
          <w:sz w:val="24"/>
        </w:rPr>
        <w:t>C</w:t>
      </w:r>
      <w:r w:rsidRPr="007F52FA">
        <w:rPr>
          <w:color w:val="000000"/>
          <w:sz w:val="24"/>
        </w:rPr>
        <w:t>类份额净值为</w:t>
      </w:r>
      <w:r w:rsidRPr="007F52FA">
        <w:rPr>
          <w:color w:val="000000"/>
          <w:sz w:val="24"/>
        </w:rPr>
        <w:t>1.365</w:t>
      </w:r>
      <w:r w:rsidRPr="007F52FA">
        <w:rPr>
          <w:color w:val="000000"/>
          <w:sz w:val="24"/>
        </w:rPr>
        <w:t>元，本报告期份额净值增长率为</w:t>
      </w:r>
      <w:r w:rsidRPr="007F52FA">
        <w:rPr>
          <w:color w:val="000000"/>
          <w:sz w:val="24"/>
        </w:rPr>
        <w:t>0.22%</w:t>
      </w:r>
      <w:r w:rsidRPr="007F52FA">
        <w:rPr>
          <w:color w:val="000000"/>
          <w:sz w:val="24"/>
        </w:rPr>
        <w:t>，同期业绩比较基准增长率为</w:t>
      </w:r>
      <w:r w:rsidRPr="007F52FA">
        <w:rPr>
          <w:color w:val="000000"/>
          <w:sz w:val="24"/>
        </w:rPr>
        <w:t>-0.69%</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023E80">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12,995,318.42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9.93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12,995,318.42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9.93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106,177,685.56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106,177,685.56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10,619,351.61</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1,139,868.22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0.87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130,932,223.81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8,204,380.00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6.34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323,281.42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2,016,757.00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541,200.00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1,176,700.00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733,000.00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12,995,318.42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10.04</w:t>
            </w:r>
          </w:p>
        </w:tc>
      </w:tr>
    </w:tbl>
    <w:p w:rsidR="006B4DEE" w:rsidRDefault="006B4DEE" w:rsidP="00023E80">
      <w:pPr>
        <w:autoSpaceDE w:val="0"/>
        <w:autoSpaceDN w:val="0"/>
        <w:adjustRightInd w:val="0"/>
        <w:spacing w:before="29" w:line="288" w:lineRule="auto"/>
        <w:jc w:val="left"/>
        <w:rPr>
          <w:b/>
          <w:color w:val="000000"/>
          <w:kern w:val="0"/>
          <w:sz w:val="24"/>
        </w:rPr>
      </w:pPr>
    </w:p>
    <w:p w:rsidR="001A5D39" w:rsidRPr="00023E80" w:rsidRDefault="001A5D39" w:rsidP="00023E80">
      <w:pPr>
        <w:autoSpaceDE w:val="0"/>
        <w:autoSpaceDN w:val="0"/>
        <w:adjustRightInd w:val="0"/>
        <w:spacing w:before="29" w:line="288" w:lineRule="auto"/>
        <w:jc w:val="left"/>
        <w:rPr>
          <w:b/>
          <w:color w:val="000000"/>
          <w:kern w:val="0"/>
          <w:sz w:val="24"/>
        </w:rPr>
      </w:pPr>
      <w:r w:rsidRPr="00023E80">
        <w:rPr>
          <w:rFonts w:hint="eastAsia"/>
          <w:b/>
          <w:color w:val="000000"/>
          <w:kern w:val="0"/>
          <w:sz w:val="24"/>
        </w:rPr>
        <w:t>5.2.2</w:t>
      </w:r>
      <w:r w:rsidRPr="00023E80">
        <w:rPr>
          <w:rFonts w:hint="eastAsia"/>
          <w:b/>
          <w:color w:val="000000"/>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FC1970">
        <w:trPr>
          <w:jc w:val="center"/>
        </w:trPr>
        <w:tc>
          <w:tcPr>
            <w:tcW w:w="850" w:type="dxa"/>
            <w:vAlign w:val="center"/>
          </w:tcPr>
          <w:p w:rsidR="00FC1970" w:rsidRDefault="00023E80">
            <w:pPr>
              <w:jc w:val="center"/>
            </w:pPr>
            <w:r>
              <w:rPr>
                <w:color w:val="000000"/>
                <w:sz w:val="24"/>
              </w:rPr>
              <w:t>1</w:t>
            </w:r>
          </w:p>
        </w:tc>
        <w:tc>
          <w:tcPr>
            <w:tcW w:w="1327" w:type="dxa"/>
            <w:vAlign w:val="center"/>
          </w:tcPr>
          <w:p w:rsidR="00FC1970" w:rsidRDefault="00023E80">
            <w:pPr>
              <w:jc w:val="center"/>
            </w:pPr>
            <w:r>
              <w:rPr>
                <w:color w:val="000000"/>
                <w:sz w:val="24"/>
              </w:rPr>
              <w:t>000928</w:t>
            </w:r>
          </w:p>
        </w:tc>
        <w:tc>
          <w:tcPr>
            <w:tcW w:w="1769" w:type="dxa"/>
            <w:vAlign w:val="center"/>
          </w:tcPr>
          <w:p w:rsidR="00FC1970" w:rsidRDefault="00023E80">
            <w:pPr>
              <w:jc w:val="center"/>
            </w:pPr>
            <w:r>
              <w:rPr>
                <w:color w:val="000000"/>
                <w:sz w:val="24"/>
              </w:rPr>
              <w:t>中钢国际</w:t>
            </w:r>
          </w:p>
        </w:tc>
        <w:tc>
          <w:tcPr>
            <w:tcW w:w="1327" w:type="dxa"/>
            <w:vAlign w:val="center"/>
          </w:tcPr>
          <w:p w:rsidR="00FC1970" w:rsidRDefault="00023E80">
            <w:pPr>
              <w:jc w:val="right"/>
            </w:pPr>
            <w:r>
              <w:rPr>
                <w:color w:val="000000"/>
                <w:sz w:val="24"/>
              </w:rPr>
              <w:t>60,000</w:t>
            </w:r>
          </w:p>
        </w:tc>
        <w:tc>
          <w:tcPr>
            <w:tcW w:w="1915" w:type="dxa"/>
            <w:vAlign w:val="center"/>
          </w:tcPr>
          <w:p w:rsidR="00FC1970" w:rsidRDefault="00023E80">
            <w:pPr>
              <w:jc w:val="right"/>
            </w:pPr>
            <w:r>
              <w:rPr>
                <w:color w:val="000000"/>
                <w:sz w:val="24"/>
              </w:rPr>
              <w:t>1,380,000.00</w:t>
            </w:r>
          </w:p>
        </w:tc>
        <w:tc>
          <w:tcPr>
            <w:tcW w:w="1680" w:type="dxa"/>
            <w:vAlign w:val="center"/>
          </w:tcPr>
          <w:p w:rsidR="00FC1970" w:rsidRDefault="00023E80">
            <w:pPr>
              <w:jc w:val="right"/>
            </w:pPr>
            <w:r>
              <w:rPr>
                <w:color w:val="000000"/>
                <w:sz w:val="24"/>
              </w:rPr>
              <w:t>1.07</w:t>
            </w:r>
          </w:p>
        </w:tc>
      </w:tr>
      <w:tr w:rsidR="00FC1970">
        <w:trPr>
          <w:jc w:val="center"/>
        </w:trPr>
        <w:tc>
          <w:tcPr>
            <w:tcW w:w="850" w:type="dxa"/>
            <w:vAlign w:val="center"/>
          </w:tcPr>
          <w:p w:rsidR="00FC1970" w:rsidRDefault="00023E80">
            <w:pPr>
              <w:jc w:val="center"/>
            </w:pPr>
            <w:r>
              <w:rPr>
                <w:color w:val="000000"/>
                <w:sz w:val="24"/>
              </w:rPr>
              <w:t>2</w:t>
            </w:r>
          </w:p>
        </w:tc>
        <w:tc>
          <w:tcPr>
            <w:tcW w:w="1327" w:type="dxa"/>
            <w:vAlign w:val="center"/>
          </w:tcPr>
          <w:p w:rsidR="00FC1970" w:rsidRDefault="00023E80">
            <w:pPr>
              <w:jc w:val="center"/>
            </w:pPr>
            <w:r>
              <w:rPr>
                <w:color w:val="000000"/>
                <w:sz w:val="24"/>
              </w:rPr>
              <w:t>603556</w:t>
            </w:r>
          </w:p>
        </w:tc>
        <w:tc>
          <w:tcPr>
            <w:tcW w:w="1769" w:type="dxa"/>
            <w:vAlign w:val="center"/>
          </w:tcPr>
          <w:p w:rsidR="00FC1970" w:rsidRDefault="00023E80">
            <w:pPr>
              <w:jc w:val="center"/>
            </w:pPr>
            <w:r>
              <w:rPr>
                <w:color w:val="000000"/>
                <w:sz w:val="24"/>
              </w:rPr>
              <w:t>海兴电力</w:t>
            </w:r>
          </w:p>
        </w:tc>
        <w:tc>
          <w:tcPr>
            <w:tcW w:w="1327" w:type="dxa"/>
            <w:vAlign w:val="center"/>
          </w:tcPr>
          <w:p w:rsidR="00FC1970" w:rsidRDefault="00023E80">
            <w:pPr>
              <w:jc w:val="right"/>
            </w:pPr>
            <w:r>
              <w:rPr>
                <w:color w:val="000000"/>
                <w:sz w:val="24"/>
              </w:rPr>
              <w:t>28,000</w:t>
            </w:r>
          </w:p>
        </w:tc>
        <w:tc>
          <w:tcPr>
            <w:tcW w:w="1915" w:type="dxa"/>
            <w:vAlign w:val="center"/>
          </w:tcPr>
          <w:p w:rsidR="00FC1970" w:rsidRDefault="00023E80">
            <w:pPr>
              <w:jc w:val="right"/>
            </w:pPr>
            <w:r>
              <w:rPr>
                <w:color w:val="000000"/>
                <w:sz w:val="24"/>
              </w:rPr>
              <w:t>1,356,880.00</w:t>
            </w:r>
          </w:p>
        </w:tc>
        <w:tc>
          <w:tcPr>
            <w:tcW w:w="1680" w:type="dxa"/>
            <w:vAlign w:val="center"/>
          </w:tcPr>
          <w:p w:rsidR="00FC1970" w:rsidRDefault="00023E80">
            <w:pPr>
              <w:jc w:val="right"/>
            </w:pPr>
            <w:r>
              <w:rPr>
                <w:color w:val="000000"/>
                <w:sz w:val="24"/>
              </w:rPr>
              <w:t>1.05</w:t>
            </w:r>
          </w:p>
        </w:tc>
      </w:tr>
      <w:tr w:rsidR="00FC1970">
        <w:trPr>
          <w:jc w:val="center"/>
        </w:trPr>
        <w:tc>
          <w:tcPr>
            <w:tcW w:w="850" w:type="dxa"/>
            <w:vAlign w:val="center"/>
          </w:tcPr>
          <w:p w:rsidR="00FC1970" w:rsidRDefault="00023E80">
            <w:pPr>
              <w:jc w:val="center"/>
            </w:pPr>
            <w:r>
              <w:rPr>
                <w:color w:val="000000"/>
                <w:sz w:val="24"/>
              </w:rPr>
              <w:t>3</w:t>
            </w:r>
          </w:p>
        </w:tc>
        <w:tc>
          <w:tcPr>
            <w:tcW w:w="1327" w:type="dxa"/>
            <w:vAlign w:val="center"/>
          </w:tcPr>
          <w:p w:rsidR="00FC1970" w:rsidRDefault="00023E80">
            <w:pPr>
              <w:jc w:val="center"/>
            </w:pPr>
            <w:r>
              <w:rPr>
                <w:color w:val="000000"/>
                <w:sz w:val="24"/>
              </w:rPr>
              <w:t>000799</w:t>
            </w:r>
          </w:p>
        </w:tc>
        <w:tc>
          <w:tcPr>
            <w:tcW w:w="1769" w:type="dxa"/>
            <w:vAlign w:val="center"/>
          </w:tcPr>
          <w:p w:rsidR="00FC1970" w:rsidRDefault="00023E80">
            <w:pPr>
              <w:jc w:val="center"/>
            </w:pPr>
            <w:r>
              <w:rPr>
                <w:color w:val="000000"/>
                <w:sz w:val="24"/>
              </w:rPr>
              <w:t>酒鬼酒</w:t>
            </w:r>
          </w:p>
        </w:tc>
        <w:tc>
          <w:tcPr>
            <w:tcW w:w="1327" w:type="dxa"/>
            <w:vAlign w:val="center"/>
          </w:tcPr>
          <w:p w:rsidR="00FC1970" w:rsidRDefault="00023E80">
            <w:pPr>
              <w:jc w:val="right"/>
            </w:pPr>
            <w:r>
              <w:rPr>
                <w:color w:val="000000"/>
                <w:sz w:val="24"/>
              </w:rPr>
              <w:t>60,000</w:t>
            </w:r>
          </w:p>
        </w:tc>
        <w:tc>
          <w:tcPr>
            <w:tcW w:w="1915" w:type="dxa"/>
            <w:vAlign w:val="center"/>
          </w:tcPr>
          <w:p w:rsidR="00FC1970" w:rsidRDefault="00023E80">
            <w:pPr>
              <w:jc w:val="right"/>
            </w:pPr>
            <w:r>
              <w:rPr>
                <w:color w:val="000000"/>
                <w:sz w:val="24"/>
              </w:rPr>
              <w:t>1,327,200.00</w:t>
            </w:r>
          </w:p>
        </w:tc>
        <w:tc>
          <w:tcPr>
            <w:tcW w:w="1680" w:type="dxa"/>
            <w:vAlign w:val="center"/>
          </w:tcPr>
          <w:p w:rsidR="00FC1970" w:rsidRDefault="00023E80">
            <w:pPr>
              <w:jc w:val="right"/>
            </w:pPr>
            <w:r>
              <w:rPr>
                <w:color w:val="000000"/>
                <w:sz w:val="24"/>
              </w:rPr>
              <w:t>1.03</w:t>
            </w:r>
          </w:p>
        </w:tc>
      </w:tr>
      <w:tr w:rsidR="00FC1970">
        <w:trPr>
          <w:jc w:val="center"/>
        </w:trPr>
        <w:tc>
          <w:tcPr>
            <w:tcW w:w="850" w:type="dxa"/>
            <w:vAlign w:val="center"/>
          </w:tcPr>
          <w:p w:rsidR="00FC1970" w:rsidRDefault="00023E80">
            <w:pPr>
              <w:jc w:val="center"/>
            </w:pPr>
            <w:r>
              <w:rPr>
                <w:color w:val="000000"/>
                <w:sz w:val="24"/>
              </w:rPr>
              <w:t>4</w:t>
            </w:r>
          </w:p>
        </w:tc>
        <w:tc>
          <w:tcPr>
            <w:tcW w:w="1327" w:type="dxa"/>
            <w:vAlign w:val="center"/>
          </w:tcPr>
          <w:p w:rsidR="00FC1970" w:rsidRDefault="00023E80">
            <w:pPr>
              <w:jc w:val="center"/>
            </w:pPr>
            <w:r>
              <w:rPr>
                <w:color w:val="000000"/>
                <w:sz w:val="24"/>
              </w:rPr>
              <w:t>601688</w:t>
            </w:r>
          </w:p>
        </w:tc>
        <w:tc>
          <w:tcPr>
            <w:tcW w:w="1769" w:type="dxa"/>
            <w:vAlign w:val="center"/>
          </w:tcPr>
          <w:p w:rsidR="00FC1970" w:rsidRDefault="00023E80">
            <w:pPr>
              <w:jc w:val="center"/>
            </w:pPr>
            <w:r>
              <w:rPr>
                <w:color w:val="000000"/>
                <w:sz w:val="24"/>
              </w:rPr>
              <w:t>华泰证券</w:t>
            </w:r>
          </w:p>
        </w:tc>
        <w:tc>
          <w:tcPr>
            <w:tcW w:w="1327" w:type="dxa"/>
            <w:vAlign w:val="center"/>
          </w:tcPr>
          <w:p w:rsidR="00FC1970" w:rsidRDefault="00023E80">
            <w:pPr>
              <w:jc w:val="right"/>
            </w:pPr>
            <w:r>
              <w:rPr>
                <w:color w:val="000000"/>
                <w:sz w:val="24"/>
              </w:rPr>
              <w:t>70,000</w:t>
            </w:r>
          </w:p>
        </w:tc>
        <w:tc>
          <w:tcPr>
            <w:tcW w:w="1915" w:type="dxa"/>
            <w:vAlign w:val="center"/>
          </w:tcPr>
          <w:p w:rsidR="00FC1970" w:rsidRDefault="00023E80">
            <w:pPr>
              <w:jc w:val="right"/>
            </w:pPr>
            <w:r>
              <w:rPr>
                <w:color w:val="000000"/>
                <w:sz w:val="24"/>
              </w:rPr>
              <w:t>1,176,700.00</w:t>
            </w:r>
          </w:p>
        </w:tc>
        <w:tc>
          <w:tcPr>
            <w:tcW w:w="1680" w:type="dxa"/>
            <w:vAlign w:val="center"/>
          </w:tcPr>
          <w:p w:rsidR="00FC1970" w:rsidRDefault="00023E80">
            <w:pPr>
              <w:jc w:val="right"/>
            </w:pPr>
            <w:r>
              <w:rPr>
                <w:color w:val="000000"/>
                <w:sz w:val="24"/>
              </w:rPr>
              <w:t>0.91</w:t>
            </w:r>
          </w:p>
        </w:tc>
      </w:tr>
      <w:tr w:rsidR="00FC1970">
        <w:trPr>
          <w:jc w:val="center"/>
        </w:trPr>
        <w:tc>
          <w:tcPr>
            <w:tcW w:w="850" w:type="dxa"/>
            <w:vAlign w:val="center"/>
          </w:tcPr>
          <w:p w:rsidR="00FC1970" w:rsidRDefault="00023E80">
            <w:pPr>
              <w:jc w:val="center"/>
            </w:pPr>
            <w:r>
              <w:rPr>
                <w:color w:val="000000"/>
                <w:sz w:val="24"/>
              </w:rPr>
              <w:t>5</w:t>
            </w:r>
          </w:p>
        </w:tc>
        <w:tc>
          <w:tcPr>
            <w:tcW w:w="1327" w:type="dxa"/>
            <w:vAlign w:val="center"/>
          </w:tcPr>
          <w:p w:rsidR="00FC1970" w:rsidRDefault="00023E80">
            <w:pPr>
              <w:jc w:val="center"/>
            </w:pPr>
            <w:r>
              <w:rPr>
                <w:color w:val="000000"/>
                <w:sz w:val="24"/>
              </w:rPr>
              <w:t>600320</w:t>
            </w:r>
          </w:p>
        </w:tc>
        <w:tc>
          <w:tcPr>
            <w:tcW w:w="1769" w:type="dxa"/>
            <w:vAlign w:val="center"/>
          </w:tcPr>
          <w:p w:rsidR="00FC1970" w:rsidRDefault="00023E80">
            <w:pPr>
              <w:jc w:val="center"/>
            </w:pPr>
            <w:r>
              <w:rPr>
                <w:color w:val="000000"/>
                <w:sz w:val="24"/>
              </w:rPr>
              <w:t>振华重工</w:t>
            </w:r>
          </w:p>
        </w:tc>
        <w:tc>
          <w:tcPr>
            <w:tcW w:w="1327" w:type="dxa"/>
            <w:vAlign w:val="center"/>
          </w:tcPr>
          <w:p w:rsidR="00FC1970" w:rsidRDefault="00023E80">
            <w:pPr>
              <w:jc w:val="right"/>
            </w:pPr>
            <w:r>
              <w:rPr>
                <w:color w:val="000000"/>
                <w:sz w:val="24"/>
              </w:rPr>
              <w:t>200,000</w:t>
            </w:r>
          </w:p>
        </w:tc>
        <w:tc>
          <w:tcPr>
            <w:tcW w:w="1915" w:type="dxa"/>
            <w:vAlign w:val="center"/>
          </w:tcPr>
          <w:p w:rsidR="00FC1970" w:rsidRDefault="00023E80">
            <w:pPr>
              <w:jc w:val="right"/>
            </w:pPr>
            <w:r>
              <w:rPr>
                <w:color w:val="000000"/>
                <w:sz w:val="24"/>
              </w:rPr>
              <w:t>1,156,000.00</w:t>
            </w:r>
          </w:p>
        </w:tc>
        <w:tc>
          <w:tcPr>
            <w:tcW w:w="1680" w:type="dxa"/>
            <w:vAlign w:val="center"/>
          </w:tcPr>
          <w:p w:rsidR="00FC1970" w:rsidRDefault="00023E80">
            <w:pPr>
              <w:jc w:val="right"/>
            </w:pPr>
            <w:r>
              <w:rPr>
                <w:color w:val="000000"/>
                <w:sz w:val="24"/>
              </w:rPr>
              <w:t>0.89</w:t>
            </w:r>
          </w:p>
        </w:tc>
      </w:tr>
      <w:tr w:rsidR="00FC1970">
        <w:trPr>
          <w:jc w:val="center"/>
        </w:trPr>
        <w:tc>
          <w:tcPr>
            <w:tcW w:w="850" w:type="dxa"/>
            <w:vAlign w:val="center"/>
          </w:tcPr>
          <w:p w:rsidR="00FC1970" w:rsidRDefault="00023E80">
            <w:pPr>
              <w:jc w:val="center"/>
            </w:pPr>
            <w:r>
              <w:rPr>
                <w:color w:val="000000"/>
                <w:sz w:val="24"/>
              </w:rPr>
              <w:t>6</w:t>
            </w:r>
          </w:p>
        </w:tc>
        <w:tc>
          <w:tcPr>
            <w:tcW w:w="1327" w:type="dxa"/>
            <w:vAlign w:val="center"/>
          </w:tcPr>
          <w:p w:rsidR="00FC1970" w:rsidRDefault="00023E80">
            <w:pPr>
              <w:jc w:val="center"/>
            </w:pPr>
            <w:r>
              <w:rPr>
                <w:color w:val="000000"/>
                <w:sz w:val="24"/>
              </w:rPr>
              <w:t>000858</w:t>
            </w:r>
          </w:p>
        </w:tc>
        <w:tc>
          <w:tcPr>
            <w:tcW w:w="1769" w:type="dxa"/>
            <w:vAlign w:val="center"/>
          </w:tcPr>
          <w:p w:rsidR="00FC1970" w:rsidRDefault="00023E80">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FC1970" w:rsidRDefault="00023E80">
            <w:pPr>
              <w:jc w:val="right"/>
            </w:pPr>
            <w:r>
              <w:rPr>
                <w:color w:val="000000"/>
                <w:sz w:val="24"/>
              </w:rPr>
              <w:t>20,000</w:t>
            </w:r>
          </w:p>
        </w:tc>
        <w:tc>
          <w:tcPr>
            <w:tcW w:w="1915" w:type="dxa"/>
            <w:vAlign w:val="center"/>
          </w:tcPr>
          <w:p w:rsidR="00FC1970" w:rsidRDefault="00023E80">
            <w:pPr>
              <w:jc w:val="right"/>
            </w:pPr>
            <w:r>
              <w:rPr>
                <w:color w:val="000000"/>
                <w:sz w:val="24"/>
              </w:rPr>
              <w:t>860,000.00</w:t>
            </w:r>
          </w:p>
        </w:tc>
        <w:tc>
          <w:tcPr>
            <w:tcW w:w="1680" w:type="dxa"/>
            <w:vAlign w:val="center"/>
          </w:tcPr>
          <w:p w:rsidR="00FC1970" w:rsidRDefault="00023E80">
            <w:pPr>
              <w:jc w:val="right"/>
            </w:pPr>
            <w:r>
              <w:rPr>
                <w:color w:val="000000"/>
                <w:sz w:val="24"/>
              </w:rPr>
              <w:t>0.66</w:t>
            </w:r>
          </w:p>
        </w:tc>
      </w:tr>
      <w:tr w:rsidR="00FC1970">
        <w:trPr>
          <w:jc w:val="center"/>
        </w:trPr>
        <w:tc>
          <w:tcPr>
            <w:tcW w:w="850" w:type="dxa"/>
            <w:vAlign w:val="center"/>
          </w:tcPr>
          <w:p w:rsidR="00FC1970" w:rsidRDefault="00023E80">
            <w:pPr>
              <w:jc w:val="center"/>
            </w:pPr>
            <w:r>
              <w:rPr>
                <w:color w:val="000000"/>
                <w:sz w:val="24"/>
              </w:rPr>
              <w:t>7</w:t>
            </w:r>
          </w:p>
        </w:tc>
        <w:tc>
          <w:tcPr>
            <w:tcW w:w="1327" w:type="dxa"/>
            <w:vAlign w:val="center"/>
          </w:tcPr>
          <w:p w:rsidR="00FC1970" w:rsidRDefault="00023E80">
            <w:pPr>
              <w:jc w:val="center"/>
            </w:pPr>
            <w:r>
              <w:rPr>
                <w:color w:val="000000"/>
                <w:sz w:val="24"/>
              </w:rPr>
              <w:t>603008</w:t>
            </w:r>
          </w:p>
        </w:tc>
        <w:tc>
          <w:tcPr>
            <w:tcW w:w="1769" w:type="dxa"/>
            <w:vAlign w:val="center"/>
          </w:tcPr>
          <w:p w:rsidR="00FC1970" w:rsidRDefault="00023E80">
            <w:pPr>
              <w:jc w:val="center"/>
            </w:pPr>
            <w:r>
              <w:rPr>
                <w:color w:val="000000"/>
                <w:sz w:val="24"/>
              </w:rPr>
              <w:t>喜临门</w:t>
            </w:r>
          </w:p>
        </w:tc>
        <w:tc>
          <w:tcPr>
            <w:tcW w:w="1327" w:type="dxa"/>
            <w:vAlign w:val="center"/>
          </w:tcPr>
          <w:p w:rsidR="00FC1970" w:rsidRDefault="00023E80">
            <w:pPr>
              <w:jc w:val="right"/>
            </w:pPr>
            <w:r>
              <w:rPr>
                <w:color w:val="000000"/>
                <w:sz w:val="24"/>
              </w:rPr>
              <w:t>40,000</w:t>
            </w:r>
          </w:p>
        </w:tc>
        <w:tc>
          <w:tcPr>
            <w:tcW w:w="1915" w:type="dxa"/>
            <w:vAlign w:val="center"/>
          </w:tcPr>
          <w:p w:rsidR="00FC1970" w:rsidRDefault="00023E80">
            <w:pPr>
              <w:jc w:val="right"/>
            </w:pPr>
            <w:r>
              <w:rPr>
                <w:color w:val="000000"/>
                <w:sz w:val="24"/>
              </w:rPr>
              <w:t>811,200.00</w:t>
            </w:r>
          </w:p>
        </w:tc>
        <w:tc>
          <w:tcPr>
            <w:tcW w:w="1680" w:type="dxa"/>
            <w:vAlign w:val="center"/>
          </w:tcPr>
          <w:p w:rsidR="00FC1970" w:rsidRDefault="00023E80">
            <w:pPr>
              <w:jc w:val="right"/>
            </w:pPr>
            <w:r>
              <w:rPr>
                <w:color w:val="000000"/>
                <w:sz w:val="24"/>
              </w:rPr>
              <w:t>0.63</w:t>
            </w:r>
          </w:p>
        </w:tc>
      </w:tr>
      <w:tr w:rsidR="00FC1970">
        <w:trPr>
          <w:jc w:val="center"/>
        </w:trPr>
        <w:tc>
          <w:tcPr>
            <w:tcW w:w="850" w:type="dxa"/>
            <w:vAlign w:val="center"/>
          </w:tcPr>
          <w:p w:rsidR="00FC1970" w:rsidRDefault="00023E80">
            <w:pPr>
              <w:jc w:val="center"/>
            </w:pPr>
            <w:r>
              <w:rPr>
                <w:color w:val="000000"/>
                <w:sz w:val="24"/>
              </w:rPr>
              <w:t>8</w:t>
            </w:r>
          </w:p>
        </w:tc>
        <w:tc>
          <w:tcPr>
            <w:tcW w:w="1327" w:type="dxa"/>
            <w:vAlign w:val="center"/>
          </w:tcPr>
          <w:p w:rsidR="00FC1970" w:rsidRDefault="00023E80">
            <w:pPr>
              <w:jc w:val="center"/>
            </w:pPr>
            <w:r>
              <w:rPr>
                <w:color w:val="000000"/>
                <w:sz w:val="24"/>
              </w:rPr>
              <w:t>000821</w:t>
            </w:r>
          </w:p>
        </w:tc>
        <w:tc>
          <w:tcPr>
            <w:tcW w:w="1769" w:type="dxa"/>
            <w:vAlign w:val="center"/>
          </w:tcPr>
          <w:p w:rsidR="00FC1970" w:rsidRDefault="00023E80">
            <w:pPr>
              <w:jc w:val="center"/>
            </w:pPr>
            <w:r>
              <w:rPr>
                <w:color w:val="000000"/>
                <w:sz w:val="24"/>
              </w:rPr>
              <w:t>京山轻机</w:t>
            </w:r>
          </w:p>
        </w:tc>
        <w:tc>
          <w:tcPr>
            <w:tcW w:w="1327" w:type="dxa"/>
            <w:vAlign w:val="center"/>
          </w:tcPr>
          <w:p w:rsidR="00FC1970" w:rsidRDefault="00023E80">
            <w:pPr>
              <w:jc w:val="right"/>
            </w:pPr>
            <w:r>
              <w:rPr>
                <w:color w:val="000000"/>
                <w:sz w:val="24"/>
              </w:rPr>
              <w:t>50,000</w:t>
            </w:r>
          </w:p>
        </w:tc>
        <w:tc>
          <w:tcPr>
            <w:tcW w:w="1915" w:type="dxa"/>
            <w:vAlign w:val="center"/>
          </w:tcPr>
          <w:p w:rsidR="00FC1970" w:rsidRDefault="00023E80">
            <w:pPr>
              <w:jc w:val="right"/>
            </w:pPr>
            <w:r>
              <w:rPr>
                <w:color w:val="000000"/>
                <w:sz w:val="24"/>
              </w:rPr>
              <w:t>792,000.00</w:t>
            </w:r>
          </w:p>
        </w:tc>
        <w:tc>
          <w:tcPr>
            <w:tcW w:w="1680" w:type="dxa"/>
            <w:vAlign w:val="center"/>
          </w:tcPr>
          <w:p w:rsidR="00FC1970" w:rsidRDefault="00023E80">
            <w:pPr>
              <w:jc w:val="right"/>
            </w:pPr>
            <w:r>
              <w:rPr>
                <w:color w:val="000000"/>
                <w:sz w:val="24"/>
              </w:rPr>
              <w:t>0.61</w:t>
            </w:r>
          </w:p>
        </w:tc>
      </w:tr>
      <w:tr w:rsidR="00FC1970">
        <w:trPr>
          <w:jc w:val="center"/>
        </w:trPr>
        <w:tc>
          <w:tcPr>
            <w:tcW w:w="850" w:type="dxa"/>
            <w:vAlign w:val="center"/>
          </w:tcPr>
          <w:p w:rsidR="00FC1970" w:rsidRDefault="00023E80">
            <w:pPr>
              <w:jc w:val="center"/>
            </w:pPr>
            <w:r>
              <w:rPr>
                <w:color w:val="000000"/>
                <w:sz w:val="24"/>
              </w:rPr>
              <w:t>9</w:t>
            </w:r>
          </w:p>
        </w:tc>
        <w:tc>
          <w:tcPr>
            <w:tcW w:w="1327" w:type="dxa"/>
            <w:vAlign w:val="center"/>
          </w:tcPr>
          <w:p w:rsidR="00FC1970" w:rsidRDefault="00023E80">
            <w:pPr>
              <w:jc w:val="center"/>
            </w:pPr>
            <w:r>
              <w:rPr>
                <w:color w:val="000000"/>
                <w:sz w:val="24"/>
              </w:rPr>
              <w:t>300407</w:t>
            </w:r>
          </w:p>
        </w:tc>
        <w:tc>
          <w:tcPr>
            <w:tcW w:w="1769" w:type="dxa"/>
            <w:vAlign w:val="center"/>
          </w:tcPr>
          <w:p w:rsidR="00FC1970" w:rsidRDefault="00023E80">
            <w:pPr>
              <w:jc w:val="center"/>
            </w:pPr>
            <w:r>
              <w:rPr>
                <w:color w:val="000000"/>
                <w:sz w:val="24"/>
              </w:rPr>
              <w:t>凯发电气</w:t>
            </w:r>
          </w:p>
        </w:tc>
        <w:tc>
          <w:tcPr>
            <w:tcW w:w="1327" w:type="dxa"/>
            <w:vAlign w:val="center"/>
          </w:tcPr>
          <w:p w:rsidR="00FC1970" w:rsidRDefault="00023E80">
            <w:pPr>
              <w:jc w:val="right"/>
            </w:pPr>
            <w:r>
              <w:rPr>
                <w:color w:val="000000"/>
                <w:sz w:val="24"/>
              </w:rPr>
              <w:t>44,900</w:t>
            </w:r>
          </w:p>
        </w:tc>
        <w:tc>
          <w:tcPr>
            <w:tcW w:w="1915" w:type="dxa"/>
            <w:vAlign w:val="center"/>
          </w:tcPr>
          <w:p w:rsidR="00FC1970" w:rsidRDefault="00023E80">
            <w:pPr>
              <w:jc w:val="right"/>
            </w:pPr>
            <w:r>
              <w:rPr>
                <w:color w:val="000000"/>
                <w:sz w:val="24"/>
              </w:rPr>
              <w:t>763,300.00</w:t>
            </w:r>
          </w:p>
        </w:tc>
        <w:tc>
          <w:tcPr>
            <w:tcW w:w="1680" w:type="dxa"/>
            <w:vAlign w:val="center"/>
          </w:tcPr>
          <w:p w:rsidR="00FC1970" w:rsidRDefault="00023E80">
            <w:pPr>
              <w:jc w:val="right"/>
            </w:pPr>
            <w:r>
              <w:rPr>
                <w:color w:val="000000"/>
                <w:sz w:val="24"/>
              </w:rPr>
              <w:t>0.59</w:t>
            </w:r>
          </w:p>
        </w:tc>
      </w:tr>
      <w:tr w:rsidR="00FC1970">
        <w:trPr>
          <w:jc w:val="center"/>
        </w:trPr>
        <w:tc>
          <w:tcPr>
            <w:tcW w:w="850" w:type="dxa"/>
            <w:vAlign w:val="center"/>
          </w:tcPr>
          <w:p w:rsidR="00FC1970" w:rsidRDefault="00023E80">
            <w:pPr>
              <w:jc w:val="center"/>
            </w:pPr>
            <w:r>
              <w:rPr>
                <w:color w:val="000000"/>
                <w:sz w:val="24"/>
              </w:rPr>
              <w:t>10</w:t>
            </w:r>
          </w:p>
        </w:tc>
        <w:tc>
          <w:tcPr>
            <w:tcW w:w="1327" w:type="dxa"/>
            <w:vAlign w:val="center"/>
          </w:tcPr>
          <w:p w:rsidR="00FC1970" w:rsidRDefault="00023E80">
            <w:pPr>
              <w:jc w:val="center"/>
            </w:pPr>
            <w:r>
              <w:rPr>
                <w:color w:val="000000"/>
                <w:sz w:val="24"/>
              </w:rPr>
              <w:t>603018</w:t>
            </w:r>
          </w:p>
        </w:tc>
        <w:tc>
          <w:tcPr>
            <w:tcW w:w="1769" w:type="dxa"/>
            <w:vAlign w:val="center"/>
          </w:tcPr>
          <w:p w:rsidR="00FC1970" w:rsidRDefault="00023E80">
            <w:pPr>
              <w:jc w:val="center"/>
            </w:pPr>
            <w:r>
              <w:rPr>
                <w:color w:val="000000"/>
                <w:sz w:val="24"/>
              </w:rPr>
              <w:t>中设集团</w:t>
            </w:r>
          </w:p>
        </w:tc>
        <w:tc>
          <w:tcPr>
            <w:tcW w:w="1327" w:type="dxa"/>
            <w:vAlign w:val="center"/>
          </w:tcPr>
          <w:p w:rsidR="00FC1970" w:rsidRDefault="00023E80">
            <w:pPr>
              <w:jc w:val="right"/>
            </w:pPr>
            <w:r>
              <w:rPr>
                <w:color w:val="000000"/>
                <w:sz w:val="24"/>
              </w:rPr>
              <w:t>20,000</w:t>
            </w:r>
          </w:p>
        </w:tc>
        <w:tc>
          <w:tcPr>
            <w:tcW w:w="1915" w:type="dxa"/>
            <w:vAlign w:val="center"/>
          </w:tcPr>
          <w:p w:rsidR="00FC1970" w:rsidRDefault="00023E80">
            <w:pPr>
              <w:jc w:val="right"/>
            </w:pPr>
            <w:r>
              <w:rPr>
                <w:color w:val="000000"/>
                <w:sz w:val="24"/>
              </w:rPr>
              <w:t>733,000.00</w:t>
            </w:r>
          </w:p>
        </w:tc>
        <w:tc>
          <w:tcPr>
            <w:tcW w:w="1680" w:type="dxa"/>
            <w:vAlign w:val="center"/>
          </w:tcPr>
          <w:p w:rsidR="00FC1970" w:rsidRDefault="00023E80">
            <w:pPr>
              <w:jc w:val="right"/>
            </w:pPr>
            <w:r>
              <w:rPr>
                <w:color w:val="000000"/>
                <w:sz w:val="24"/>
              </w:rPr>
              <w:t>0.57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2,998,200.00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79,808,000.00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79,808,000.00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61.66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4,262,000.00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3.29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10,019,000.00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9,090,485.56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7.02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106,177,685.56</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82.04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C1970">
        <w:trPr>
          <w:jc w:val="center"/>
        </w:trPr>
        <w:tc>
          <w:tcPr>
            <w:tcW w:w="1075" w:type="dxa"/>
            <w:vAlign w:val="center"/>
          </w:tcPr>
          <w:p w:rsidR="00FC1970" w:rsidRDefault="00023E80">
            <w:pPr>
              <w:jc w:val="center"/>
            </w:pPr>
            <w:r>
              <w:rPr>
                <w:color w:val="000000"/>
                <w:sz w:val="24"/>
              </w:rPr>
              <w:t>1</w:t>
            </w:r>
          </w:p>
        </w:tc>
        <w:tc>
          <w:tcPr>
            <w:tcW w:w="1533" w:type="dxa"/>
            <w:vAlign w:val="center"/>
          </w:tcPr>
          <w:p w:rsidR="00FC1970" w:rsidRDefault="00023E80">
            <w:pPr>
              <w:jc w:val="center"/>
            </w:pPr>
            <w:r>
              <w:rPr>
                <w:color w:val="000000"/>
                <w:sz w:val="24"/>
              </w:rPr>
              <w:t>170401</w:t>
            </w:r>
          </w:p>
        </w:tc>
        <w:tc>
          <w:tcPr>
            <w:tcW w:w="1533" w:type="dxa"/>
            <w:vAlign w:val="center"/>
          </w:tcPr>
          <w:p w:rsidR="00FC1970" w:rsidRDefault="00023E80">
            <w:pPr>
              <w:jc w:val="center"/>
            </w:pPr>
            <w:r>
              <w:rPr>
                <w:color w:val="000000"/>
                <w:sz w:val="24"/>
              </w:rPr>
              <w:t>17</w:t>
            </w:r>
            <w:r>
              <w:rPr>
                <w:color w:val="000000"/>
                <w:sz w:val="24"/>
              </w:rPr>
              <w:t>农发</w:t>
            </w:r>
            <w:r>
              <w:rPr>
                <w:color w:val="000000"/>
                <w:sz w:val="24"/>
              </w:rPr>
              <w:t>01</w:t>
            </w:r>
          </w:p>
        </w:tc>
        <w:tc>
          <w:tcPr>
            <w:tcW w:w="1394" w:type="dxa"/>
            <w:vAlign w:val="center"/>
          </w:tcPr>
          <w:p w:rsidR="00FC1970" w:rsidRDefault="00023E80">
            <w:pPr>
              <w:jc w:val="right"/>
            </w:pPr>
            <w:r>
              <w:rPr>
                <w:color w:val="000000"/>
                <w:sz w:val="24"/>
              </w:rPr>
              <w:t>600,000</w:t>
            </w:r>
          </w:p>
        </w:tc>
        <w:tc>
          <w:tcPr>
            <w:tcW w:w="1944" w:type="dxa"/>
            <w:vAlign w:val="center"/>
          </w:tcPr>
          <w:p w:rsidR="00FC1970" w:rsidRDefault="00023E80">
            <w:pPr>
              <w:jc w:val="right"/>
            </w:pPr>
            <w:r>
              <w:rPr>
                <w:color w:val="000000"/>
                <w:sz w:val="24"/>
              </w:rPr>
              <w:t>59,820,000.00</w:t>
            </w:r>
          </w:p>
        </w:tc>
        <w:tc>
          <w:tcPr>
            <w:tcW w:w="1389" w:type="dxa"/>
            <w:vAlign w:val="center"/>
          </w:tcPr>
          <w:p w:rsidR="00FC1970" w:rsidRDefault="00023E80">
            <w:pPr>
              <w:jc w:val="right"/>
            </w:pPr>
            <w:r>
              <w:rPr>
                <w:color w:val="000000"/>
                <w:sz w:val="24"/>
              </w:rPr>
              <w:t>46.22</w:t>
            </w:r>
          </w:p>
        </w:tc>
      </w:tr>
      <w:tr w:rsidR="00FC1970">
        <w:trPr>
          <w:jc w:val="center"/>
        </w:trPr>
        <w:tc>
          <w:tcPr>
            <w:tcW w:w="1075" w:type="dxa"/>
            <w:vAlign w:val="center"/>
          </w:tcPr>
          <w:p w:rsidR="00FC1970" w:rsidRDefault="00023E80">
            <w:pPr>
              <w:jc w:val="center"/>
            </w:pPr>
            <w:r>
              <w:rPr>
                <w:color w:val="000000"/>
                <w:sz w:val="24"/>
              </w:rPr>
              <w:t>2</w:t>
            </w:r>
          </w:p>
        </w:tc>
        <w:tc>
          <w:tcPr>
            <w:tcW w:w="1533" w:type="dxa"/>
            <w:vAlign w:val="center"/>
          </w:tcPr>
          <w:p w:rsidR="00FC1970" w:rsidRDefault="00023E80">
            <w:pPr>
              <w:jc w:val="center"/>
            </w:pPr>
            <w:r>
              <w:rPr>
                <w:color w:val="000000"/>
                <w:sz w:val="24"/>
              </w:rPr>
              <w:t>160211</w:t>
            </w:r>
          </w:p>
        </w:tc>
        <w:tc>
          <w:tcPr>
            <w:tcW w:w="1533" w:type="dxa"/>
            <w:vAlign w:val="center"/>
          </w:tcPr>
          <w:p w:rsidR="00FC1970" w:rsidRDefault="00023E80">
            <w:pPr>
              <w:jc w:val="center"/>
            </w:pPr>
            <w:r>
              <w:rPr>
                <w:color w:val="000000"/>
                <w:sz w:val="24"/>
              </w:rPr>
              <w:t>16</w:t>
            </w:r>
            <w:r>
              <w:rPr>
                <w:color w:val="000000"/>
                <w:sz w:val="24"/>
              </w:rPr>
              <w:t>国开</w:t>
            </w:r>
            <w:r>
              <w:rPr>
                <w:color w:val="000000"/>
                <w:sz w:val="24"/>
              </w:rPr>
              <w:t>11</w:t>
            </w:r>
          </w:p>
        </w:tc>
        <w:tc>
          <w:tcPr>
            <w:tcW w:w="1394" w:type="dxa"/>
            <w:vAlign w:val="center"/>
          </w:tcPr>
          <w:p w:rsidR="00FC1970" w:rsidRDefault="00023E80">
            <w:pPr>
              <w:jc w:val="right"/>
            </w:pPr>
            <w:r>
              <w:rPr>
                <w:color w:val="000000"/>
                <w:sz w:val="24"/>
              </w:rPr>
              <w:t>200,000</w:t>
            </w:r>
          </w:p>
        </w:tc>
        <w:tc>
          <w:tcPr>
            <w:tcW w:w="1944" w:type="dxa"/>
            <w:vAlign w:val="center"/>
          </w:tcPr>
          <w:p w:rsidR="00FC1970" w:rsidRDefault="00023E80">
            <w:pPr>
              <w:jc w:val="right"/>
            </w:pPr>
            <w:r>
              <w:rPr>
                <w:color w:val="000000"/>
                <w:sz w:val="24"/>
              </w:rPr>
              <w:t>19,988,000.00</w:t>
            </w:r>
          </w:p>
        </w:tc>
        <w:tc>
          <w:tcPr>
            <w:tcW w:w="1389" w:type="dxa"/>
            <w:vAlign w:val="center"/>
          </w:tcPr>
          <w:p w:rsidR="00FC1970" w:rsidRDefault="00023E80">
            <w:pPr>
              <w:jc w:val="right"/>
            </w:pPr>
            <w:r>
              <w:rPr>
                <w:color w:val="000000"/>
                <w:sz w:val="24"/>
              </w:rPr>
              <w:t>15.44</w:t>
            </w:r>
          </w:p>
        </w:tc>
      </w:tr>
      <w:tr w:rsidR="00FC1970">
        <w:trPr>
          <w:jc w:val="center"/>
        </w:trPr>
        <w:tc>
          <w:tcPr>
            <w:tcW w:w="1075" w:type="dxa"/>
            <w:vAlign w:val="center"/>
          </w:tcPr>
          <w:p w:rsidR="00FC1970" w:rsidRDefault="00023E80">
            <w:pPr>
              <w:jc w:val="center"/>
            </w:pPr>
            <w:r>
              <w:rPr>
                <w:color w:val="000000"/>
                <w:sz w:val="24"/>
              </w:rPr>
              <w:t>3</w:t>
            </w:r>
          </w:p>
        </w:tc>
        <w:tc>
          <w:tcPr>
            <w:tcW w:w="1533" w:type="dxa"/>
            <w:vAlign w:val="center"/>
          </w:tcPr>
          <w:p w:rsidR="00FC1970" w:rsidRDefault="00023E80">
            <w:pPr>
              <w:jc w:val="center"/>
            </w:pPr>
            <w:r>
              <w:rPr>
                <w:color w:val="000000"/>
                <w:sz w:val="24"/>
              </w:rPr>
              <w:t>011762005</w:t>
            </w:r>
          </w:p>
        </w:tc>
        <w:tc>
          <w:tcPr>
            <w:tcW w:w="1533" w:type="dxa"/>
            <w:vAlign w:val="center"/>
          </w:tcPr>
          <w:p w:rsidR="00FC1970" w:rsidRDefault="00023E80">
            <w:pPr>
              <w:jc w:val="center"/>
            </w:pPr>
            <w:r>
              <w:rPr>
                <w:color w:val="000000"/>
                <w:sz w:val="24"/>
              </w:rPr>
              <w:t>17</w:t>
            </w:r>
            <w:r>
              <w:rPr>
                <w:color w:val="000000"/>
                <w:sz w:val="24"/>
              </w:rPr>
              <w:t>滇世博</w:t>
            </w:r>
            <w:r>
              <w:rPr>
                <w:color w:val="000000"/>
                <w:sz w:val="24"/>
              </w:rPr>
              <w:t>SCP001</w:t>
            </w:r>
          </w:p>
        </w:tc>
        <w:tc>
          <w:tcPr>
            <w:tcW w:w="1394" w:type="dxa"/>
            <w:vAlign w:val="center"/>
          </w:tcPr>
          <w:p w:rsidR="00FC1970" w:rsidRDefault="00023E80">
            <w:pPr>
              <w:jc w:val="right"/>
            </w:pPr>
            <w:r>
              <w:rPr>
                <w:color w:val="000000"/>
                <w:sz w:val="24"/>
              </w:rPr>
              <w:t>100,000</w:t>
            </w:r>
          </w:p>
        </w:tc>
        <w:tc>
          <w:tcPr>
            <w:tcW w:w="1944" w:type="dxa"/>
            <w:vAlign w:val="center"/>
          </w:tcPr>
          <w:p w:rsidR="00FC1970" w:rsidRDefault="00023E80">
            <w:pPr>
              <w:jc w:val="right"/>
            </w:pPr>
            <w:r>
              <w:rPr>
                <w:color w:val="000000"/>
                <w:sz w:val="24"/>
              </w:rPr>
              <w:t>10,019,000.00</w:t>
            </w:r>
          </w:p>
        </w:tc>
        <w:tc>
          <w:tcPr>
            <w:tcW w:w="1389" w:type="dxa"/>
            <w:vAlign w:val="center"/>
          </w:tcPr>
          <w:p w:rsidR="00FC1970" w:rsidRDefault="00023E80">
            <w:pPr>
              <w:jc w:val="right"/>
            </w:pPr>
            <w:r>
              <w:rPr>
                <w:color w:val="000000"/>
                <w:sz w:val="24"/>
              </w:rPr>
              <w:t>7.74</w:t>
            </w:r>
          </w:p>
        </w:tc>
      </w:tr>
      <w:tr w:rsidR="00FC1970">
        <w:trPr>
          <w:jc w:val="center"/>
        </w:trPr>
        <w:tc>
          <w:tcPr>
            <w:tcW w:w="1075" w:type="dxa"/>
            <w:vAlign w:val="center"/>
          </w:tcPr>
          <w:p w:rsidR="00FC1970" w:rsidRDefault="00023E80">
            <w:pPr>
              <w:jc w:val="center"/>
            </w:pPr>
            <w:r>
              <w:rPr>
                <w:color w:val="000000"/>
                <w:sz w:val="24"/>
              </w:rPr>
              <w:t>4</w:t>
            </w:r>
          </w:p>
        </w:tc>
        <w:tc>
          <w:tcPr>
            <w:tcW w:w="1533" w:type="dxa"/>
            <w:vAlign w:val="center"/>
          </w:tcPr>
          <w:p w:rsidR="00FC1970" w:rsidRDefault="00023E80">
            <w:pPr>
              <w:jc w:val="center"/>
            </w:pPr>
            <w:r>
              <w:rPr>
                <w:color w:val="000000"/>
                <w:sz w:val="24"/>
              </w:rPr>
              <w:t>113008</w:t>
            </w:r>
          </w:p>
        </w:tc>
        <w:tc>
          <w:tcPr>
            <w:tcW w:w="1533" w:type="dxa"/>
            <w:vAlign w:val="center"/>
          </w:tcPr>
          <w:p w:rsidR="00FC1970" w:rsidRDefault="00023E80">
            <w:pPr>
              <w:jc w:val="center"/>
            </w:pPr>
            <w:r>
              <w:rPr>
                <w:color w:val="000000"/>
                <w:sz w:val="24"/>
              </w:rPr>
              <w:t>电气转债</w:t>
            </w:r>
          </w:p>
        </w:tc>
        <w:tc>
          <w:tcPr>
            <w:tcW w:w="1394" w:type="dxa"/>
            <w:vAlign w:val="center"/>
          </w:tcPr>
          <w:p w:rsidR="00FC1970" w:rsidRDefault="00023E80">
            <w:pPr>
              <w:jc w:val="right"/>
            </w:pPr>
            <w:r>
              <w:rPr>
                <w:color w:val="000000"/>
                <w:sz w:val="24"/>
              </w:rPr>
              <w:t>40,000</w:t>
            </w:r>
          </w:p>
        </w:tc>
        <w:tc>
          <w:tcPr>
            <w:tcW w:w="1944" w:type="dxa"/>
            <w:vAlign w:val="center"/>
          </w:tcPr>
          <w:p w:rsidR="00FC1970" w:rsidRDefault="00023E80">
            <w:pPr>
              <w:jc w:val="right"/>
            </w:pPr>
            <w:r>
              <w:rPr>
                <w:color w:val="000000"/>
                <w:sz w:val="24"/>
              </w:rPr>
              <w:t>4,566,400.00</w:t>
            </w:r>
          </w:p>
        </w:tc>
        <w:tc>
          <w:tcPr>
            <w:tcW w:w="1389" w:type="dxa"/>
            <w:vAlign w:val="center"/>
          </w:tcPr>
          <w:p w:rsidR="00FC1970" w:rsidRDefault="00023E80">
            <w:pPr>
              <w:jc w:val="right"/>
            </w:pPr>
            <w:r>
              <w:rPr>
                <w:color w:val="000000"/>
                <w:sz w:val="24"/>
              </w:rPr>
              <w:t>3.53</w:t>
            </w:r>
          </w:p>
        </w:tc>
      </w:tr>
      <w:tr w:rsidR="00FC1970">
        <w:trPr>
          <w:jc w:val="center"/>
        </w:trPr>
        <w:tc>
          <w:tcPr>
            <w:tcW w:w="1075" w:type="dxa"/>
            <w:vAlign w:val="center"/>
          </w:tcPr>
          <w:p w:rsidR="00FC1970" w:rsidRDefault="00023E80">
            <w:pPr>
              <w:jc w:val="center"/>
            </w:pPr>
            <w:r>
              <w:rPr>
                <w:color w:val="000000"/>
                <w:sz w:val="24"/>
              </w:rPr>
              <w:t>5</w:t>
            </w:r>
          </w:p>
        </w:tc>
        <w:tc>
          <w:tcPr>
            <w:tcW w:w="1533" w:type="dxa"/>
            <w:vAlign w:val="center"/>
          </w:tcPr>
          <w:p w:rsidR="00FC1970" w:rsidRDefault="00023E80">
            <w:pPr>
              <w:jc w:val="center"/>
            </w:pPr>
            <w:r>
              <w:rPr>
                <w:color w:val="000000"/>
                <w:sz w:val="24"/>
              </w:rPr>
              <w:t>1280076</w:t>
            </w:r>
          </w:p>
        </w:tc>
        <w:tc>
          <w:tcPr>
            <w:tcW w:w="1533" w:type="dxa"/>
            <w:vAlign w:val="center"/>
          </w:tcPr>
          <w:p w:rsidR="00FC1970" w:rsidRDefault="00023E80">
            <w:pPr>
              <w:jc w:val="center"/>
            </w:pPr>
            <w:r>
              <w:rPr>
                <w:color w:val="000000"/>
                <w:sz w:val="24"/>
              </w:rPr>
              <w:t>12</w:t>
            </w:r>
            <w:r>
              <w:rPr>
                <w:color w:val="000000"/>
                <w:sz w:val="24"/>
              </w:rPr>
              <w:t>芜湖建投债</w:t>
            </w:r>
            <w:r>
              <w:rPr>
                <w:color w:val="000000"/>
                <w:sz w:val="24"/>
              </w:rPr>
              <w:t>01</w:t>
            </w:r>
          </w:p>
        </w:tc>
        <w:tc>
          <w:tcPr>
            <w:tcW w:w="1394" w:type="dxa"/>
            <w:vAlign w:val="center"/>
          </w:tcPr>
          <w:p w:rsidR="00FC1970" w:rsidRDefault="00023E80">
            <w:pPr>
              <w:jc w:val="right"/>
            </w:pPr>
            <w:r>
              <w:rPr>
                <w:color w:val="000000"/>
                <w:sz w:val="24"/>
              </w:rPr>
              <w:t>40,000</w:t>
            </w:r>
          </w:p>
        </w:tc>
        <w:tc>
          <w:tcPr>
            <w:tcW w:w="1944" w:type="dxa"/>
            <w:vAlign w:val="center"/>
          </w:tcPr>
          <w:p w:rsidR="00FC1970" w:rsidRDefault="00023E80">
            <w:pPr>
              <w:jc w:val="right"/>
            </w:pPr>
            <w:r>
              <w:rPr>
                <w:color w:val="000000"/>
                <w:sz w:val="24"/>
              </w:rPr>
              <w:t>4,262,000.00</w:t>
            </w:r>
          </w:p>
        </w:tc>
        <w:tc>
          <w:tcPr>
            <w:tcW w:w="1389" w:type="dxa"/>
            <w:vAlign w:val="center"/>
          </w:tcPr>
          <w:p w:rsidR="00FC1970" w:rsidRDefault="00023E80">
            <w:pPr>
              <w:jc w:val="right"/>
            </w:pPr>
            <w:r>
              <w:rPr>
                <w:color w:val="000000"/>
                <w:sz w:val="24"/>
              </w:rPr>
              <w:t>3.29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69,639.14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1,065,647.83</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4,581.25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1,139,868.22</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FC1970">
        <w:trPr>
          <w:jc w:val="center"/>
        </w:trPr>
        <w:tc>
          <w:tcPr>
            <w:tcW w:w="0" w:type="auto"/>
            <w:vAlign w:val="center"/>
          </w:tcPr>
          <w:p w:rsidR="00FC1970" w:rsidRDefault="00023E80">
            <w:pPr>
              <w:jc w:val="center"/>
            </w:pPr>
            <w:r>
              <w:rPr>
                <w:rFonts w:eastAsiaTheme="minorEastAsia"/>
                <w:color w:val="000000"/>
                <w:sz w:val="24"/>
              </w:rPr>
              <w:t>1</w:t>
            </w:r>
          </w:p>
        </w:tc>
        <w:tc>
          <w:tcPr>
            <w:tcW w:w="0" w:type="auto"/>
            <w:vAlign w:val="center"/>
          </w:tcPr>
          <w:p w:rsidR="00FC1970" w:rsidRDefault="00023E80">
            <w:pPr>
              <w:jc w:val="center"/>
            </w:pPr>
            <w:r>
              <w:rPr>
                <w:rFonts w:eastAsiaTheme="minorEastAsia"/>
                <w:color w:val="000000"/>
                <w:sz w:val="24"/>
              </w:rPr>
              <w:t>113008</w:t>
            </w:r>
          </w:p>
        </w:tc>
        <w:tc>
          <w:tcPr>
            <w:tcW w:w="0" w:type="auto"/>
            <w:vAlign w:val="center"/>
          </w:tcPr>
          <w:p w:rsidR="00FC1970" w:rsidRDefault="00023E80">
            <w:pPr>
              <w:jc w:val="center"/>
            </w:pPr>
            <w:r>
              <w:rPr>
                <w:rFonts w:eastAsiaTheme="minorEastAsia"/>
                <w:color w:val="000000"/>
                <w:sz w:val="24"/>
              </w:rPr>
              <w:t>电气转债</w:t>
            </w:r>
          </w:p>
        </w:tc>
        <w:tc>
          <w:tcPr>
            <w:tcW w:w="0" w:type="auto"/>
            <w:vAlign w:val="center"/>
          </w:tcPr>
          <w:p w:rsidR="00FC1970" w:rsidRDefault="00023E80">
            <w:pPr>
              <w:jc w:val="right"/>
            </w:pPr>
            <w:r>
              <w:rPr>
                <w:rFonts w:eastAsiaTheme="minorEastAsia"/>
                <w:color w:val="000000"/>
                <w:sz w:val="24"/>
              </w:rPr>
              <w:t>4,566,400.00</w:t>
            </w:r>
          </w:p>
        </w:tc>
        <w:tc>
          <w:tcPr>
            <w:tcW w:w="0" w:type="auto"/>
            <w:vAlign w:val="center"/>
          </w:tcPr>
          <w:p w:rsidR="00FC1970" w:rsidRDefault="00023E80">
            <w:pPr>
              <w:jc w:val="right"/>
            </w:pPr>
            <w:r>
              <w:rPr>
                <w:rFonts w:eastAsiaTheme="minorEastAsia"/>
                <w:color w:val="000000"/>
                <w:sz w:val="24"/>
              </w:rPr>
              <w:t>3.53</w:t>
            </w:r>
          </w:p>
        </w:tc>
      </w:tr>
      <w:tr w:rsidR="00FC1970">
        <w:trPr>
          <w:jc w:val="center"/>
        </w:trPr>
        <w:tc>
          <w:tcPr>
            <w:tcW w:w="0" w:type="auto"/>
            <w:vAlign w:val="center"/>
          </w:tcPr>
          <w:p w:rsidR="00FC1970" w:rsidRDefault="00023E80">
            <w:pPr>
              <w:jc w:val="center"/>
            </w:pPr>
            <w:r>
              <w:rPr>
                <w:rFonts w:eastAsiaTheme="minorEastAsia"/>
                <w:color w:val="000000"/>
                <w:sz w:val="24"/>
              </w:rPr>
              <w:t>2</w:t>
            </w:r>
          </w:p>
        </w:tc>
        <w:tc>
          <w:tcPr>
            <w:tcW w:w="0" w:type="auto"/>
            <w:vAlign w:val="center"/>
          </w:tcPr>
          <w:p w:rsidR="00FC1970" w:rsidRDefault="00023E80">
            <w:pPr>
              <w:jc w:val="center"/>
            </w:pPr>
            <w:r>
              <w:rPr>
                <w:rFonts w:eastAsiaTheme="minorEastAsia"/>
                <w:color w:val="000000"/>
                <w:sz w:val="24"/>
              </w:rPr>
              <w:t>123001</w:t>
            </w:r>
          </w:p>
        </w:tc>
        <w:tc>
          <w:tcPr>
            <w:tcW w:w="0" w:type="auto"/>
            <w:vAlign w:val="center"/>
          </w:tcPr>
          <w:p w:rsidR="00FC1970" w:rsidRDefault="00023E80">
            <w:pPr>
              <w:jc w:val="center"/>
            </w:pPr>
            <w:r>
              <w:rPr>
                <w:rFonts w:eastAsiaTheme="minorEastAsia"/>
                <w:color w:val="000000"/>
                <w:sz w:val="24"/>
              </w:rPr>
              <w:t>蓝标转债</w:t>
            </w:r>
          </w:p>
        </w:tc>
        <w:tc>
          <w:tcPr>
            <w:tcW w:w="0" w:type="auto"/>
            <w:vAlign w:val="center"/>
          </w:tcPr>
          <w:p w:rsidR="00FC1970" w:rsidRDefault="00023E80">
            <w:pPr>
              <w:jc w:val="right"/>
            </w:pPr>
            <w:r>
              <w:rPr>
                <w:rFonts w:eastAsiaTheme="minorEastAsia"/>
                <w:color w:val="000000"/>
                <w:sz w:val="24"/>
              </w:rPr>
              <w:t>516,900.00</w:t>
            </w:r>
          </w:p>
        </w:tc>
        <w:tc>
          <w:tcPr>
            <w:tcW w:w="0" w:type="auto"/>
            <w:vAlign w:val="center"/>
          </w:tcPr>
          <w:p w:rsidR="00FC1970" w:rsidRDefault="00023E80">
            <w:pPr>
              <w:jc w:val="right"/>
            </w:pPr>
            <w:r>
              <w:rPr>
                <w:rFonts w:eastAsiaTheme="minorEastAsia"/>
                <w:color w:val="000000"/>
                <w:sz w:val="24"/>
              </w:rPr>
              <w:t>0.40</w:t>
            </w:r>
          </w:p>
        </w:tc>
      </w:tr>
      <w:tr w:rsidR="00FC1970">
        <w:trPr>
          <w:jc w:val="center"/>
        </w:trPr>
        <w:tc>
          <w:tcPr>
            <w:tcW w:w="0" w:type="auto"/>
            <w:vAlign w:val="center"/>
          </w:tcPr>
          <w:p w:rsidR="00FC1970" w:rsidRDefault="00023E80">
            <w:pPr>
              <w:jc w:val="center"/>
            </w:pPr>
            <w:r>
              <w:rPr>
                <w:rFonts w:eastAsiaTheme="minorEastAsia"/>
                <w:color w:val="000000"/>
                <w:sz w:val="24"/>
              </w:rPr>
              <w:t>3</w:t>
            </w:r>
          </w:p>
        </w:tc>
        <w:tc>
          <w:tcPr>
            <w:tcW w:w="0" w:type="auto"/>
            <w:vAlign w:val="center"/>
          </w:tcPr>
          <w:p w:rsidR="00FC1970" w:rsidRDefault="00023E80">
            <w:pPr>
              <w:jc w:val="center"/>
            </w:pPr>
            <w:r>
              <w:rPr>
                <w:rFonts w:eastAsiaTheme="minorEastAsia"/>
                <w:color w:val="000000"/>
                <w:sz w:val="24"/>
              </w:rPr>
              <w:t>128013</w:t>
            </w:r>
          </w:p>
        </w:tc>
        <w:tc>
          <w:tcPr>
            <w:tcW w:w="0" w:type="auto"/>
            <w:vAlign w:val="center"/>
          </w:tcPr>
          <w:p w:rsidR="00FC1970" w:rsidRDefault="00023E80">
            <w:pPr>
              <w:jc w:val="center"/>
            </w:pPr>
            <w:r>
              <w:rPr>
                <w:rFonts w:eastAsiaTheme="minorEastAsia"/>
                <w:color w:val="000000"/>
                <w:sz w:val="24"/>
              </w:rPr>
              <w:t>洪涛转债</w:t>
            </w:r>
          </w:p>
        </w:tc>
        <w:tc>
          <w:tcPr>
            <w:tcW w:w="0" w:type="auto"/>
            <w:vAlign w:val="center"/>
          </w:tcPr>
          <w:p w:rsidR="00FC1970" w:rsidRDefault="00023E80">
            <w:pPr>
              <w:jc w:val="right"/>
            </w:pPr>
            <w:r>
              <w:rPr>
                <w:rFonts w:eastAsiaTheme="minorEastAsia"/>
                <w:color w:val="000000"/>
                <w:sz w:val="24"/>
              </w:rPr>
              <w:t>311,962.68</w:t>
            </w:r>
          </w:p>
        </w:tc>
        <w:tc>
          <w:tcPr>
            <w:tcW w:w="0" w:type="auto"/>
            <w:vAlign w:val="center"/>
          </w:tcPr>
          <w:p w:rsidR="00FC1970" w:rsidRDefault="00023E80">
            <w:pPr>
              <w:jc w:val="right"/>
            </w:pPr>
            <w:r>
              <w:rPr>
                <w:rFonts w:eastAsiaTheme="minorEastAsia"/>
                <w:color w:val="000000"/>
                <w:sz w:val="24"/>
              </w:rPr>
              <w:t>0.24</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023E8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99,523,285.52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8,043,402.69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1,883,325.46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2,660,862.15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13,579,525.20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5,113,194.41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87,827,085.78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5,591,070.43</w:t>
            </w:r>
          </w:p>
        </w:tc>
      </w:tr>
    </w:tbl>
    <w:p w:rsidR="00FC1970" w:rsidRDefault="00023E80">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023E80">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交银定期支付月月丰债券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18,691,668.48</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183,753.66</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18,507,914.82</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19.81</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FC1970" w:rsidRDefault="00023E80">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2"/>
        <w:gridCol w:w="1776"/>
        <w:gridCol w:w="1317"/>
        <w:gridCol w:w="1633"/>
        <w:gridCol w:w="1767"/>
        <w:gridCol w:w="1343"/>
      </w:tblGrid>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序号</w:t>
            </w:r>
          </w:p>
        </w:tc>
        <w:tc>
          <w:tcPr>
            <w:tcW w:w="185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交易方式</w:t>
            </w:r>
          </w:p>
        </w:tc>
        <w:tc>
          <w:tcPr>
            <w:tcW w:w="1370" w:type="dxa"/>
            <w:vAlign w:val="center"/>
          </w:tcPr>
          <w:p w:rsidR="00285618" w:rsidRPr="007F52FA" w:rsidRDefault="00285618" w:rsidP="007C14DF">
            <w:pPr>
              <w:adjustRightInd w:val="0"/>
              <w:snapToGrid w:val="0"/>
              <w:spacing w:before="29" w:line="288" w:lineRule="auto"/>
              <w:rPr>
                <w:color w:val="000000"/>
                <w:kern w:val="0"/>
                <w:sz w:val="24"/>
              </w:rPr>
            </w:pPr>
            <w:r w:rsidRPr="007F52FA">
              <w:rPr>
                <w:color w:val="000000"/>
                <w:kern w:val="0"/>
                <w:sz w:val="24"/>
              </w:rPr>
              <w:t>交易日期</w:t>
            </w:r>
          </w:p>
        </w:tc>
        <w:tc>
          <w:tcPr>
            <w:tcW w:w="1701"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交易份额（份</w:t>
            </w:r>
            <w:r w:rsidR="006B2CE8" w:rsidRPr="007F52FA">
              <w:rPr>
                <w:color w:val="000000"/>
                <w:kern w:val="0"/>
                <w:sz w:val="24"/>
              </w:rPr>
              <w:t>）</w:t>
            </w:r>
          </w:p>
        </w:tc>
        <w:tc>
          <w:tcPr>
            <w:tcW w:w="1842"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交易金额（元）</w:t>
            </w:r>
          </w:p>
        </w:tc>
        <w:tc>
          <w:tcPr>
            <w:tcW w:w="1397" w:type="dxa"/>
            <w:vAlign w:val="center"/>
          </w:tcPr>
          <w:p w:rsidR="00285618" w:rsidRPr="007F52FA" w:rsidRDefault="00285618" w:rsidP="007C14DF">
            <w:pPr>
              <w:adjustRightInd w:val="0"/>
              <w:snapToGrid w:val="0"/>
              <w:spacing w:before="29" w:line="288" w:lineRule="auto"/>
              <w:jc w:val="center"/>
              <w:rPr>
                <w:color w:val="000000"/>
                <w:kern w:val="0"/>
                <w:sz w:val="24"/>
              </w:rPr>
            </w:pPr>
            <w:r w:rsidRPr="007F52FA">
              <w:rPr>
                <w:color w:val="000000"/>
                <w:kern w:val="0"/>
                <w:sz w:val="24"/>
              </w:rPr>
              <w:t>适用费率</w:t>
            </w:r>
          </w:p>
        </w:tc>
      </w:tr>
      <w:tr w:rsidR="00FC1970">
        <w:trPr>
          <w:jc w:val="center"/>
        </w:trPr>
        <w:tc>
          <w:tcPr>
            <w:tcW w:w="1032" w:type="dxa"/>
            <w:vAlign w:val="center"/>
          </w:tcPr>
          <w:p w:rsidR="00FC1970" w:rsidRDefault="00023E80">
            <w:pPr>
              <w:jc w:val="center"/>
            </w:pPr>
            <w:r>
              <w:rPr>
                <w:rFonts w:eastAsiaTheme="minorEastAsia"/>
                <w:color w:val="000000"/>
                <w:sz w:val="24"/>
              </w:rPr>
              <w:t>1</w:t>
            </w:r>
          </w:p>
        </w:tc>
        <w:tc>
          <w:tcPr>
            <w:tcW w:w="1776" w:type="dxa"/>
            <w:vAlign w:val="center"/>
          </w:tcPr>
          <w:p w:rsidR="00FC1970" w:rsidRDefault="00023E80">
            <w:pPr>
              <w:jc w:val="center"/>
            </w:pPr>
            <w:r>
              <w:rPr>
                <w:rFonts w:eastAsiaTheme="minorEastAsia"/>
                <w:color w:val="000000"/>
                <w:sz w:val="24"/>
              </w:rPr>
              <w:t>自动赎回</w:t>
            </w:r>
          </w:p>
        </w:tc>
        <w:tc>
          <w:tcPr>
            <w:tcW w:w="1317" w:type="dxa"/>
            <w:vAlign w:val="center"/>
          </w:tcPr>
          <w:p w:rsidR="00FC1970" w:rsidRDefault="00023E80">
            <w:pPr>
              <w:jc w:val="center"/>
            </w:pPr>
            <w:r>
              <w:rPr>
                <w:rFonts w:eastAsiaTheme="minorEastAsia"/>
                <w:color w:val="000000"/>
                <w:sz w:val="24"/>
              </w:rPr>
              <w:t>2017-01-04</w:t>
            </w:r>
          </w:p>
        </w:tc>
        <w:tc>
          <w:tcPr>
            <w:tcW w:w="1633" w:type="dxa"/>
            <w:vAlign w:val="center"/>
          </w:tcPr>
          <w:p w:rsidR="00FC1970" w:rsidRDefault="00023E80">
            <w:pPr>
              <w:jc w:val="right"/>
            </w:pPr>
            <w:r>
              <w:rPr>
                <w:rFonts w:eastAsiaTheme="minorEastAsia"/>
                <w:color w:val="000000"/>
                <w:sz w:val="24"/>
              </w:rPr>
              <w:t>-67,597.27</w:t>
            </w:r>
          </w:p>
        </w:tc>
        <w:tc>
          <w:tcPr>
            <w:tcW w:w="1767" w:type="dxa"/>
            <w:vAlign w:val="center"/>
          </w:tcPr>
          <w:p w:rsidR="00FC1970" w:rsidRDefault="00023E80">
            <w:pPr>
              <w:jc w:val="right"/>
            </w:pPr>
            <w:r>
              <w:rPr>
                <w:rFonts w:eastAsiaTheme="minorEastAsia"/>
                <w:color w:val="000000"/>
                <w:sz w:val="24"/>
              </w:rPr>
              <w:t>-93,487.02</w:t>
            </w:r>
          </w:p>
        </w:tc>
        <w:tc>
          <w:tcPr>
            <w:tcW w:w="1343" w:type="dxa"/>
            <w:vAlign w:val="center"/>
          </w:tcPr>
          <w:p w:rsidR="00FC1970" w:rsidRDefault="00023E80">
            <w:pPr>
              <w:jc w:val="center"/>
            </w:pPr>
            <w:r>
              <w:rPr>
                <w:rFonts w:eastAsiaTheme="minorEastAsia"/>
                <w:color w:val="000000"/>
                <w:sz w:val="24"/>
              </w:rPr>
              <w:t>0.000%</w:t>
            </w:r>
          </w:p>
        </w:tc>
      </w:tr>
      <w:tr w:rsidR="00FC1970">
        <w:trPr>
          <w:jc w:val="center"/>
        </w:trPr>
        <w:tc>
          <w:tcPr>
            <w:tcW w:w="1032" w:type="dxa"/>
            <w:vAlign w:val="center"/>
          </w:tcPr>
          <w:p w:rsidR="00FC1970" w:rsidRDefault="00023E80">
            <w:pPr>
              <w:jc w:val="center"/>
            </w:pPr>
            <w:r>
              <w:rPr>
                <w:rFonts w:eastAsiaTheme="minorEastAsia"/>
                <w:color w:val="000000"/>
                <w:sz w:val="24"/>
              </w:rPr>
              <w:t>2</w:t>
            </w:r>
          </w:p>
        </w:tc>
        <w:tc>
          <w:tcPr>
            <w:tcW w:w="1776" w:type="dxa"/>
            <w:vAlign w:val="center"/>
          </w:tcPr>
          <w:p w:rsidR="00FC1970" w:rsidRDefault="00023E80">
            <w:pPr>
              <w:jc w:val="center"/>
            </w:pPr>
            <w:r>
              <w:rPr>
                <w:rFonts w:eastAsiaTheme="minorEastAsia"/>
                <w:color w:val="000000"/>
                <w:sz w:val="24"/>
              </w:rPr>
              <w:t>自动赎回</w:t>
            </w:r>
          </w:p>
        </w:tc>
        <w:tc>
          <w:tcPr>
            <w:tcW w:w="1317" w:type="dxa"/>
            <w:vAlign w:val="center"/>
          </w:tcPr>
          <w:p w:rsidR="00FC1970" w:rsidRDefault="00023E80">
            <w:pPr>
              <w:jc w:val="center"/>
            </w:pPr>
            <w:r>
              <w:rPr>
                <w:rFonts w:eastAsiaTheme="minorEastAsia"/>
                <w:color w:val="000000"/>
                <w:sz w:val="24"/>
              </w:rPr>
              <w:t>2017-02-06</w:t>
            </w:r>
          </w:p>
        </w:tc>
        <w:tc>
          <w:tcPr>
            <w:tcW w:w="1633" w:type="dxa"/>
            <w:vAlign w:val="center"/>
          </w:tcPr>
          <w:p w:rsidR="00FC1970" w:rsidRDefault="00023E80">
            <w:pPr>
              <w:jc w:val="right"/>
            </w:pPr>
            <w:r>
              <w:rPr>
                <w:rFonts w:eastAsiaTheme="minorEastAsia"/>
                <w:color w:val="000000"/>
                <w:sz w:val="24"/>
              </w:rPr>
              <w:t>-63,270.82</w:t>
            </w:r>
          </w:p>
        </w:tc>
        <w:tc>
          <w:tcPr>
            <w:tcW w:w="1767" w:type="dxa"/>
            <w:vAlign w:val="center"/>
          </w:tcPr>
          <w:p w:rsidR="00FC1970" w:rsidRDefault="00023E80">
            <w:pPr>
              <w:jc w:val="right"/>
            </w:pPr>
            <w:r>
              <w:rPr>
                <w:rFonts w:eastAsiaTheme="minorEastAsia"/>
                <w:color w:val="000000"/>
                <w:sz w:val="24"/>
              </w:rPr>
              <w:t>-87,313.73</w:t>
            </w:r>
          </w:p>
        </w:tc>
        <w:tc>
          <w:tcPr>
            <w:tcW w:w="1343" w:type="dxa"/>
            <w:vAlign w:val="center"/>
          </w:tcPr>
          <w:p w:rsidR="00FC1970" w:rsidRDefault="00023E80">
            <w:pPr>
              <w:jc w:val="center"/>
            </w:pPr>
            <w:r>
              <w:rPr>
                <w:rFonts w:eastAsiaTheme="minorEastAsia"/>
                <w:color w:val="000000"/>
                <w:sz w:val="24"/>
              </w:rPr>
              <w:t>0.000%</w:t>
            </w:r>
          </w:p>
        </w:tc>
      </w:tr>
      <w:tr w:rsidR="00FC1970">
        <w:trPr>
          <w:jc w:val="center"/>
        </w:trPr>
        <w:tc>
          <w:tcPr>
            <w:tcW w:w="1032" w:type="dxa"/>
            <w:vAlign w:val="center"/>
          </w:tcPr>
          <w:p w:rsidR="00FC1970" w:rsidRDefault="00023E80">
            <w:pPr>
              <w:jc w:val="center"/>
            </w:pPr>
            <w:r>
              <w:rPr>
                <w:rFonts w:eastAsiaTheme="minorEastAsia"/>
                <w:color w:val="000000"/>
                <w:sz w:val="24"/>
              </w:rPr>
              <w:t>3</w:t>
            </w:r>
          </w:p>
        </w:tc>
        <w:tc>
          <w:tcPr>
            <w:tcW w:w="1776" w:type="dxa"/>
            <w:vAlign w:val="center"/>
          </w:tcPr>
          <w:p w:rsidR="00FC1970" w:rsidRDefault="00023E80">
            <w:pPr>
              <w:jc w:val="center"/>
            </w:pPr>
            <w:r>
              <w:rPr>
                <w:rFonts w:eastAsiaTheme="minorEastAsia"/>
                <w:color w:val="000000"/>
                <w:sz w:val="24"/>
              </w:rPr>
              <w:t>自动赎回</w:t>
            </w:r>
          </w:p>
        </w:tc>
        <w:tc>
          <w:tcPr>
            <w:tcW w:w="1317" w:type="dxa"/>
            <w:vAlign w:val="center"/>
          </w:tcPr>
          <w:p w:rsidR="00FC1970" w:rsidRDefault="00023E80">
            <w:pPr>
              <w:jc w:val="center"/>
            </w:pPr>
            <w:r>
              <w:rPr>
                <w:rFonts w:eastAsiaTheme="minorEastAsia"/>
                <w:color w:val="000000"/>
                <w:sz w:val="24"/>
              </w:rPr>
              <w:t>2017-03-02</w:t>
            </w:r>
          </w:p>
        </w:tc>
        <w:tc>
          <w:tcPr>
            <w:tcW w:w="1633" w:type="dxa"/>
            <w:vAlign w:val="center"/>
          </w:tcPr>
          <w:p w:rsidR="00FC1970" w:rsidRDefault="00023E80">
            <w:pPr>
              <w:jc w:val="right"/>
            </w:pPr>
            <w:r>
              <w:rPr>
                <w:rFonts w:eastAsiaTheme="minorEastAsia"/>
                <w:color w:val="000000"/>
                <w:sz w:val="24"/>
              </w:rPr>
              <w:t>-52,885.57</w:t>
            </w:r>
          </w:p>
        </w:tc>
        <w:tc>
          <w:tcPr>
            <w:tcW w:w="1767" w:type="dxa"/>
            <w:vAlign w:val="center"/>
          </w:tcPr>
          <w:p w:rsidR="00FC1970" w:rsidRDefault="00023E80">
            <w:pPr>
              <w:jc w:val="right"/>
            </w:pPr>
            <w:r>
              <w:rPr>
                <w:rFonts w:eastAsiaTheme="minorEastAsia"/>
                <w:color w:val="000000"/>
                <w:sz w:val="24"/>
              </w:rPr>
              <w:t>-73,140.74</w:t>
            </w:r>
          </w:p>
        </w:tc>
        <w:tc>
          <w:tcPr>
            <w:tcW w:w="1343" w:type="dxa"/>
            <w:vAlign w:val="center"/>
          </w:tcPr>
          <w:p w:rsidR="00FC1970" w:rsidRDefault="00023E80">
            <w:pPr>
              <w:jc w:val="center"/>
            </w:pPr>
            <w:r>
              <w:rPr>
                <w:rFonts w:eastAsiaTheme="minorEastAsia"/>
                <w:color w:val="000000"/>
                <w:sz w:val="24"/>
              </w:rPr>
              <w:t>0.000%</w:t>
            </w:r>
          </w:p>
        </w:tc>
      </w:tr>
      <w:tr w:rsidR="00285618" w:rsidRPr="007F52FA" w:rsidTr="00735E32">
        <w:trPr>
          <w:trHeight w:val="340"/>
          <w:jc w:val="center"/>
        </w:trPr>
        <w:tc>
          <w:tcPr>
            <w:tcW w:w="1070" w:type="dxa"/>
            <w:vAlign w:val="center"/>
          </w:tcPr>
          <w:p w:rsidR="00285618" w:rsidRPr="007F52FA" w:rsidRDefault="00285618" w:rsidP="007C14DF">
            <w:pPr>
              <w:pStyle w:val="ac"/>
              <w:adjustRightInd w:val="0"/>
              <w:snapToGrid w:val="0"/>
              <w:spacing w:before="29" w:line="288" w:lineRule="auto"/>
              <w:jc w:val="center"/>
              <w:rPr>
                <w:color w:val="000000"/>
                <w:kern w:val="0"/>
                <w:szCs w:val="24"/>
              </w:rPr>
            </w:pPr>
            <w:r w:rsidRPr="007F52FA">
              <w:rPr>
                <w:color w:val="000000"/>
                <w:kern w:val="0"/>
                <w:szCs w:val="24"/>
              </w:rPr>
              <w:t>合计</w:t>
            </w:r>
          </w:p>
        </w:tc>
        <w:tc>
          <w:tcPr>
            <w:tcW w:w="1851"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370" w:type="dxa"/>
            <w:vAlign w:val="center"/>
          </w:tcPr>
          <w:p w:rsidR="00285618" w:rsidRPr="007F52FA" w:rsidRDefault="00285618" w:rsidP="007C14DF">
            <w:pPr>
              <w:adjustRightInd w:val="0"/>
              <w:snapToGrid w:val="0"/>
              <w:spacing w:before="29" w:line="288" w:lineRule="auto"/>
              <w:jc w:val="right"/>
              <w:rPr>
                <w:color w:val="0000FF"/>
                <w:kern w:val="0"/>
                <w:sz w:val="24"/>
              </w:rPr>
            </w:pPr>
          </w:p>
        </w:tc>
        <w:tc>
          <w:tcPr>
            <w:tcW w:w="1701"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-183,753.66</w:t>
            </w:r>
          </w:p>
        </w:tc>
        <w:tc>
          <w:tcPr>
            <w:tcW w:w="1842" w:type="dxa"/>
            <w:vAlign w:val="center"/>
          </w:tcPr>
          <w:p w:rsidR="00285618" w:rsidRPr="007F52FA" w:rsidRDefault="00285618" w:rsidP="007C14DF">
            <w:pPr>
              <w:adjustRightInd w:val="0"/>
              <w:snapToGrid w:val="0"/>
              <w:spacing w:before="29" w:line="288" w:lineRule="auto"/>
              <w:jc w:val="right"/>
              <w:rPr>
                <w:rFonts w:eastAsiaTheme="minorEastAsia"/>
                <w:color w:val="000000"/>
                <w:sz w:val="24"/>
              </w:rPr>
            </w:pPr>
            <w:r w:rsidRPr="007F52FA">
              <w:rPr>
                <w:rFonts w:eastAsiaTheme="minorEastAsia"/>
                <w:color w:val="000000"/>
                <w:sz w:val="24"/>
              </w:rPr>
              <w:t>-253,941.49</w:t>
            </w:r>
          </w:p>
        </w:tc>
        <w:tc>
          <w:tcPr>
            <w:tcW w:w="1397" w:type="dxa"/>
            <w:vAlign w:val="center"/>
          </w:tcPr>
          <w:p w:rsidR="00285618" w:rsidRPr="007F52FA" w:rsidRDefault="00285618" w:rsidP="007C14DF">
            <w:pPr>
              <w:adjustRightInd w:val="0"/>
              <w:snapToGrid w:val="0"/>
              <w:spacing w:before="29" w:line="288" w:lineRule="auto"/>
              <w:jc w:val="right"/>
              <w:rPr>
                <w:color w:val="0000FF"/>
                <w:kern w:val="0"/>
                <w:sz w:val="24"/>
              </w:rPr>
            </w:pPr>
          </w:p>
        </w:tc>
      </w:tr>
    </w:tbl>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按照基金合同的约定，每月定期通过自动赎回基金份额向基金份额持有人支付一定现金，具体而言，本基金按照本招募说明书约定的年化现金支付比率，以约定的定期支付基准日的基金份额净值为基础，计算当期基金份额持有人可获得支付的现金，并自动赎回基金份额持有人所持的对应金额的基金份额，以该自动赎回的资金向基金份额持有人进行现金支付。上述自动赎回基金份额由基金管理人发起而无需基金份额持有人另行提交赎回申请。基金份额持有人并无需就此类自动赎回支付赎回费。</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23E80">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FC1970" w:rsidRDefault="00023E80">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ED1" w:rsidRDefault="00920ED1">
      <w:r>
        <w:separator/>
      </w:r>
    </w:p>
  </w:endnote>
  <w:endnote w:type="continuationSeparator" w:id="0">
    <w:p w:rsidR="00920ED1" w:rsidRDefault="0092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FC1970">
      <w:rPr>
        <w:kern w:val="0"/>
        <w:szCs w:val="21"/>
      </w:rPr>
      <w:fldChar w:fldCharType="begin"/>
    </w:r>
    <w:r>
      <w:rPr>
        <w:kern w:val="0"/>
        <w:szCs w:val="21"/>
      </w:rPr>
      <w:instrText xml:space="preserve"> PAGE </w:instrText>
    </w:r>
    <w:r w:rsidR="00FC1970">
      <w:rPr>
        <w:kern w:val="0"/>
        <w:szCs w:val="21"/>
      </w:rPr>
      <w:fldChar w:fldCharType="separate"/>
    </w:r>
    <w:r w:rsidR="0077585D">
      <w:rPr>
        <w:noProof/>
        <w:kern w:val="0"/>
        <w:szCs w:val="21"/>
      </w:rPr>
      <w:t>6</w:t>
    </w:r>
    <w:r w:rsidR="00FC1970">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FC1970">
      <w:rPr>
        <w:kern w:val="0"/>
        <w:szCs w:val="21"/>
      </w:rPr>
      <w:fldChar w:fldCharType="begin"/>
    </w:r>
    <w:r>
      <w:rPr>
        <w:kern w:val="0"/>
        <w:szCs w:val="21"/>
      </w:rPr>
      <w:instrText xml:space="preserve"> NUMPAGES </w:instrText>
    </w:r>
    <w:r w:rsidR="00FC1970">
      <w:rPr>
        <w:kern w:val="0"/>
        <w:szCs w:val="21"/>
      </w:rPr>
      <w:fldChar w:fldCharType="separate"/>
    </w:r>
    <w:r w:rsidR="0077585D">
      <w:rPr>
        <w:noProof/>
        <w:kern w:val="0"/>
        <w:szCs w:val="21"/>
      </w:rPr>
      <w:t>15</w:t>
    </w:r>
    <w:r w:rsidR="00FC1970">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FC197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ED1" w:rsidRDefault="00920ED1">
      <w:r>
        <w:separator/>
      </w:r>
    </w:p>
  </w:footnote>
  <w:footnote w:type="continuationSeparator" w:id="0">
    <w:p w:rsidR="00920ED1" w:rsidRDefault="00920E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77585D"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3E80"/>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B4DEE"/>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5D"/>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0ED1"/>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1970"/>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2AE6BA79-6164-47C6-930E-2BC3B2E21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FEBDC-2067-4BCD-B67E-D5811871E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199</TotalTime>
  <Pages>15</Pages>
  <Words>1324</Words>
  <Characters>7552</Characters>
  <Application>Microsoft Office Word</Application>
  <DocSecurity>0</DocSecurity>
  <Lines>62</Lines>
  <Paragraphs>17</Paragraphs>
  <ScaleCrop>false</ScaleCrop>
  <Company>TRT. Ltd. Co.</Company>
  <LinksUpToDate>false</LinksUpToDate>
  <CharactersWithSpaces>8859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369</cp:revision>
  <cp:lastPrinted>2007-07-19T00:46:00Z</cp:lastPrinted>
  <dcterms:created xsi:type="dcterms:W3CDTF">2014-01-17T06:19:00Z</dcterms:created>
  <dcterms:modified xsi:type="dcterms:W3CDTF">2017-04-21T03:01:00Z</dcterms:modified>
</cp:coreProperties>
</file>