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交银施罗德消费新驱动股票型证券投资基金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5F228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52644" w:rsidRDefault="005F228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52644" w:rsidRDefault="005F228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52644" w:rsidRDefault="005F228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52644" w:rsidRDefault="005F228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52644" w:rsidRDefault="005F228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F228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交银消费新驱动股票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61,905,552.95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中证内地消费主题指数</w:t>
            </w:r>
            <w:r w:rsidRPr="00414345">
              <w:rPr>
                <w:color w:val="000000"/>
                <w:kern w:val="0"/>
                <w:sz w:val="24"/>
                <w:szCs w:val="24"/>
              </w:rPr>
              <w:t>+15%×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w:t>
            </w:r>
            <w:r w:rsidRPr="00414345">
              <w:rPr>
                <w:color w:val="000000"/>
                <w:kern w:val="0"/>
                <w:sz w:val="24"/>
                <w:szCs w:val="24"/>
              </w:rPr>
              <w:lastRenderedPageBreak/>
              <w:t>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F228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F2280" w:rsidRPr="00414345" w:rsidTr="005F228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F2280" w:rsidRPr="00414345" w:rsidTr="005F22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1,386,261.89</w:t>
            </w:r>
          </w:p>
        </w:tc>
      </w:tr>
      <w:tr w:rsidR="005F2280" w:rsidRPr="00414345" w:rsidTr="005F22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3,774,918.81</w:t>
            </w:r>
          </w:p>
        </w:tc>
      </w:tr>
      <w:tr w:rsidR="005F2280" w:rsidRPr="00414345" w:rsidTr="005F22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0.0779</w:t>
            </w:r>
          </w:p>
        </w:tc>
      </w:tr>
      <w:tr w:rsidR="005F2280" w:rsidRPr="00414345" w:rsidTr="005F228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67,097,864.96</w:t>
            </w:r>
          </w:p>
        </w:tc>
      </w:tr>
      <w:tr w:rsidR="005F2280" w:rsidRPr="00414345" w:rsidTr="005F228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1.084</w:t>
            </w:r>
          </w:p>
        </w:tc>
      </w:tr>
    </w:tbl>
    <w:p w:rsidR="00052644" w:rsidRDefault="005F228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5000" w:type="pct"/>
        <w:jc w:val="center"/>
        <w:tblLayout w:type="fixed"/>
        <w:tblCellMar>
          <w:top w:w="57" w:type="dxa"/>
          <w:bottom w:w="57" w:type="dxa"/>
        </w:tblCellMar>
        <w:tblLook w:val="04A0" w:firstRow="1" w:lastRow="0" w:firstColumn="1" w:lastColumn="0" w:noHBand="0" w:noVBand="1"/>
      </w:tblPr>
      <w:tblGrid>
        <w:gridCol w:w="1774"/>
        <w:gridCol w:w="1089"/>
        <w:gridCol w:w="1401"/>
        <w:gridCol w:w="1244"/>
        <w:gridCol w:w="1555"/>
        <w:gridCol w:w="1244"/>
        <w:gridCol w:w="935"/>
      </w:tblGrid>
      <w:tr w:rsidR="00EF6FA5" w:rsidRPr="00414345" w:rsidTr="00BC4037">
        <w:trPr>
          <w:jc w:val="center"/>
        </w:trPr>
        <w:tc>
          <w:tcPr>
            <w:tcW w:w="95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58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758"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841"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506"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52644" w:rsidTr="00BC4037">
        <w:trPr>
          <w:jc w:val="center"/>
        </w:trPr>
        <w:tc>
          <w:tcPr>
            <w:tcW w:w="959" w:type="pct"/>
            <w:vAlign w:val="center"/>
          </w:tcPr>
          <w:p w:rsidR="00052644" w:rsidRDefault="005F2280">
            <w:pPr>
              <w:jc w:val="left"/>
            </w:pPr>
            <w:r>
              <w:rPr>
                <w:color w:val="000000"/>
                <w:sz w:val="24"/>
                <w:szCs w:val="24"/>
              </w:rPr>
              <w:t>过去三个月</w:t>
            </w:r>
          </w:p>
        </w:tc>
        <w:tc>
          <w:tcPr>
            <w:tcW w:w="589" w:type="pct"/>
            <w:vAlign w:val="center"/>
          </w:tcPr>
          <w:p w:rsidR="00052644" w:rsidRDefault="005F2280">
            <w:pPr>
              <w:jc w:val="center"/>
            </w:pPr>
            <w:r>
              <w:rPr>
                <w:color w:val="000000"/>
                <w:sz w:val="24"/>
                <w:szCs w:val="24"/>
              </w:rPr>
              <w:t>7.97%</w:t>
            </w:r>
          </w:p>
        </w:tc>
        <w:tc>
          <w:tcPr>
            <w:tcW w:w="758" w:type="pct"/>
            <w:vAlign w:val="center"/>
          </w:tcPr>
          <w:p w:rsidR="00052644" w:rsidRDefault="005F2280">
            <w:pPr>
              <w:jc w:val="center"/>
            </w:pPr>
            <w:r>
              <w:rPr>
                <w:color w:val="000000"/>
                <w:sz w:val="24"/>
                <w:szCs w:val="24"/>
              </w:rPr>
              <w:t>0.61%</w:t>
            </w:r>
          </w:p>
        </w:tc>
        <w:tc>
          <w:tcPr>
            <w:tcW w:w="673" w:type="pct"/>
            <w:vAlign w:val="center"/>
          </w:tcPr>
          <w:p w:rsidR="00052644" w:rsidRDefault="005F2280">
            <w:pPr>
              <w:jc w:val="center"/>
            </w:pPr>
            <w:r>
              <w:rPr>
                <w:color w:val="000000"/>
                <w:sz w:val="24"/>
                <w:szCs w:val="24"/>
              </w:rPr>
              <w:t>8.90%</w:t>
            </w:r>
          </w:p>
        </w:tc>
        <w:tc>
          <w:tcPr>
            <w:tcW w:w="841" w:type="pct"/>
            <w:vAlign w:val="center"/>
          </w:tcPr>
          <w:p w:rsidR="00052644" w:rsidRDefault="005F2280">
            <w:pPr>
              <w:jc w:val="center"/>
            </w:pPr>
            <w:r>
              <w:rPr>
                <w:color w:val="000000"/>
                <w:sz w:val="24"/>
                <w:szCs w:val="24"/>
              </w:rPr>
              <w:t>0.63%</w:t>
            </w:r>
          </w:p>
        </w:tc>
        <w:tc>
          <w:tcPr>
            <w:tcW w:w="673" w:type="pct"/>
            <w:vAlign w:val="center"/>
          </w:tcPr>
          <w:p w:rsidR="00052644" w:rsidRDefault="005F2280">
            <w:pPr>
              <w:jc w:val="center"/>
            </w:pPr>
            <w:r>
              <w:rPr>
                <w:color w:val="000000"/>
                <w:sz w:val="24"/>
                <w:szCs w:val="24"/>
              </w:rPr>
              <w:t>-0.93%</w:t>
            </w:r>
          </w:p>
        </w:tc>
        <w:tc>
          <w:tcPr>
            <w:tcW w:w="506" w:type="pct"/>
            <w:vAlign w:val="center"/>
          </w:tcPr>
          <w:p w:rsidR="00052644" w:rsidRDefault="005F2280">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“85%×</w:t>
      </w:r>
      <w:r w:rsidRPr="00414345">
        <w:rPr>
          <w:color w:val="000000"/>
          <w:sz w:val="24"/>
          <w:szCs w:val="24"/>
        </w:rPr>
        <w:t>中证内地消费主题指数</w:t>
      </w:r>
      <w:r w:rsidRPr="00414345">
        <w:rPr>
          <w:color w:val="000000"/>
          <w:sz w:val="24"/>
          <w:szCs w:val="24"/>
        </w:rPr>
        <w:t>+15%×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交银施罗德消费新驱动股票型证券投资基金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注：本基金由交银施罗德沪深</w:t>
      </w:r>
      <w:r w:rsidRPr="00414345">
        <w:rPr>
          <w:color w:val="000000"/>
          <w:sz w:val="24"/>
          <w:szCs w:val="24"/>
        </w:rPr>
        <w:t>300</w:t>
      </w:r>
      <w:r w:rsidRPr="00414345">
        <w:rPr>
          <w:color w:val="000000"/>
          <w:sz w:val="24"/>
          <w:szCs w:val="24"/>
        </w:rPr>
        <w:t>行业分层等权重指数证券投资基金转型而来。基金转型日为</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日。本基金的投资转型期为交银施罗德沪深</w:t>
      </w:r>
      <w:r w:rsidRPr="00414345">
        <w:rPr>
          <w:color w:val="000000"/>
          <w:sz w:val="24"/>
          <w:szCs w:val="24"/>
        </w:rPr>
        <w:t>300</w:t>
      </w:r>
      <w:r w:rsidRPr="00414345">
        <w:rPr>
          <w:color w:val="000000"/>
          <w:sz w:val="24"/>
          <w:szCs w:val="24"/>
        </w:rPr>
        <w:t>行业分层等权重指数证券投资基金转型实施日（即</w:t>
      </w:r>
      <w:r w:rsidRPr="00414345">
        <w:rPr>
          <w:color w:val="000000"/>
          <w:sz w:val="24"/>
          <w:szCs w:val="24"/>
        </w:rPr>
        <w:t>2015</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日）起的</w:t>
      </w:r>
      <w:r w:rsidRPr="00414345">
        <w:rPr>
          <w:color w:val="000000"/>
          <w:sz w:val="24"/>
          <w:szCs w:val="24"/>
        </w:rPr>
        <w:t>6</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F228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52644">
        <w:trPr>
          <w:jc w:val="center"/>
        </w:trPr>
        <w:tc>
          <w:tcPr>
            <w:tcW w:w="846" w:type="dxa"/>
            <w:vAlign w:val="center"/>
          </w:tcPr>
          <w:p w:rsidR="00052644" w:rsidRDefault="005F2280">
            <w:pPr>
              <w:jc w:val="center"/>
            </w:pPr>
            <w:r>
              <w:rPr>
                <w:color w:val="000000"/>
                <w:sz w:val="24"/>
                <w:szCs w:val="24"/>
              </w:rPr>
              <w:t>盖婷婷</w:t>
            </w:r>
          </w:p>
        </w:tc>
        <w:tc>
          <w:tcPr>
            <w:tcW w:w="845" w:type="dxa"/>
            <w:vAlign w:val="center"/>
          </w:tcPr>
          <w:p w:rsidR="00052644" w:rsidRDefault="005F2280">
            <w:pPr>
              <w:jc w:val="center"/>
            </w:pPr>
            <w:r>
              <w:rPr>
                <w:color w:val="000000"/>
                <w:sz w:val="24"/>
                <w:szCs w:val="24"/>
              </w:rPr>
              <w:t>交银消费新驱动股票、交银医药创新股票的基金经理</w:t>
            </w:r>
          </w:p>
        </w:tc>
        <w:tc>
          <w:tcPr>
            <w:tcW w:w="1549" w:type="dxa"/>
            <w:vAlign w:val="center"/>
          </w:tcPr>
          <w:p w:rsidR="00052644" w:rsidRDefault="005F2280">
            <w:pPr>
              <w:jc w:val="center"/>
            </w:pPr>
            <w:r>
              <w:rPr>
                <w:color w:val="000000"/>
                <w:sz w:val="24"/>
                <w:szCs w:val="24"/>
              </w:rPr>
              <w:t>2015-07-01</w:t>
            </w:r>
          </w:p>
        </w:tc>
        <w:tc>
          <w:tcPr>
            <w:tcW w:w="1548" w:type="dxa"/>
            <w:vAlign w:val="center"/>
          </w:tcPr>
          <w:p w:rsidR="00052644" w:rsidRDefault="005F2280">
            <w:pPr>
              <w:jc w:val="center"/>
            </w:pPr>
            <w:r>
              <w:rPr>
                <w:color w:val="000000"/>
                <w:sz w:val="24"/>
                <w:szCs w:val="24"/>
              </w:rPr>
              <w:t>-</w:t>
            </w:r>
          </w:p>
        </w:tc>
        <w:tc>
          <w:tcPr>
            <w:tcW w:w="1407" w:type="dxa"/>
            <w:vAlign w:val="center"/>
          </w:tcPr>
          <w:p w:rsidR="00052644" w:rsidRDefault="005F2280">
            <w:pPr>
              <w:jc w:val="center"/>
            </w:pPr>
            <w:r>
              <w:rPr>
                <w:color w:val="000000"/>
                <w:sz w:val="24"/>
                <w:szCs w:val="24"/>
              </w:rPr>
              <w:t>11</w:t>
            </w:r>
            <w:r>
              <w:rPr>
                <w:color w:val="000000"/>
                <w:sz w:val="24"/>
                <w:szCs w:val="24"/>
              </w:rPr>
              <w:t>年</w:t>
            </w:r>
          </w:p>
        </w:tc>
        <w:tc>
          <w:tcPr>
            <w:tcW w:w="2673" w:type="dxa"/>
            <w:vAlign w:val="center"/>
          </w:tcPr>
          <w:p w:rsidR="00052644" w:rsidRDefault="005F2280">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52644" w:rsidRDefault="005F228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52644" w:rsidRDefault="005F228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52644" w:rsidRDefault="005F228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52644" w:rsidRDefault="005F2280">
      <w:pPr>
        <w:spacing w:before="29" w:line="288" w:lineRule="auto"/>
        <w:ind w:firstLineChars="200" w:firstLine="480"/>
        <w:rPr>
          <w:color w:val="000000"/>
          <w:sz w:val="24"/>
          <w:szCs w:val="24"/>
        </w:rPr>
      </w:pPr>
      <w:r>
        <w:rPr>
          <w:color w:val="000000"/>
          <w:sz w:val="24"/>
          <w:szCs w:val="24"/>
        </w:rPr>
        <w:t>2017</w:t>
      </w:r>
      <w:r>
        <w:rPr>
          <w:color w:val="000000"/>
          <w:sz w:val="24"/>
          <w:szCs w:val="24"/>
        </w:rPr>
        <w:t>年一季度整个市场风格仍然延续</w:t>
      </w:r>
      <w:r>
        <w:rPr>
          <w:color w:val="000000"/>
          <w:sz w:val="24"/>
          <w:szCs w:val="24"/>
        </w:rPr>
        <w:t>2016</w:t>
      </w:r>
      <w:r>
        <w:rPr>
          <w:color w:val="000000"/>
          <w:sz w:val="24"/>
          <w:szCs w:val="24"/>
        </w:rPr>
        <w:t>年的分化，由于沪港通、深港通带来的增量资金配置，以白酒、家电为代表的低估值消费蓝筹的估值修复加速进行。创业板</w:t>
      </w:r>
      <w:r>
        <w:rPr>
          <w:color w:val="000000"/>
          <w:sz w:val="24"/>
          <w:szCs w:val="24"/>
        </w:rPr>
        <w:t>1</w:t>
      </w:r>
      <w:r>
        <w:rPr>
          <w:color w:val="000000"/>
          <w:sz w:val="24"/>
          <w:szCs w:val="24"/>
        </w:rPr>
        <w:t>月份出现明显调整，虽然之后有所反弹，但整体表现一般，短期业绩高增长的股票相对表现较好。本基金一季度调仓不多，配置上主要集中在医药、家电和食品饮料上。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对市场持谨慎态度，今年市场的主要风险可能在于流动性风险，二季度大宗商品库存周期也有望见顶，所以整体二季度计划以防控风险为主。配置上，虽然目前低估值消费蓝筹配置比例在上升，但从个股的估值水平看，仍然处于合理水平，并未有显著高估，但预计未来表现会分化，本基金将沿着消费升级的逻辑去挑选标的，同时对于成长股，一些优质成长股的估值也已经进入合理区间，随着市场风格的进一步偏移，成长股不排除有超跌机会，本基金也将择机增持。</w:t>
      </w:r>
    </w:p>
    <w:p w:rsidR="00627E2D" w:rsidRPr="00414345" w:rsidRDefault="00627E2D" w:rsidP="00C15CAC">
      <w:pPr>
        <w:spacing w:before="29" w:line="288" w:lineRule="auto"/>
        <w:ind w:firstLineChars="200" w:firstLine="480"/>
        <w:rPr>
          <w:color w:val="000000"/>
          <w:sz w:val="24"/>
          <w:szCs w:val="24"/>
        </w:rPr>
      </w:pPr>
    </w:p>
    <w:p w:rsidR="004061AC" w:rsidRPr="00AB271B" w:rsidRDefault="00D44EE8" w:rsidP="00C15CAC">
      <w:pPr>
        <w:spacing w:before="29" w:line="288" w:lineRule="auto"/>
        <w:rPr>
          <w:sz w:val="24"/>
          <w:szCs w:val="24"/>
        </w:rPr>
      </w:pPr>
      <w:r w:rsidRPr="00AB271B">
        <w:rPr>
          <w:b/>
          <w:color w:val="000000"/>
          <w:kern w:val="0"/>
          <w:sz w:val="24"/>
        </w:rPr>
        <w:t>4.5</w:t>
      </w:r>
      <w:r w:rsidRPr="00AB271B">
        <w:rPr>
          <w:rFonts w:hint="eastAsia"/>
          <w:b/>
          <w:color w:val="000000"/>
          <w:kern w:val="0"/>
          <w:sz w:val="24"/>
        </w:rPr>
        <w:t>报告期内基金的业绩表现</w:t>
      </w:r>
    </w:p>
    <w:p w:rsidR="00AB271B" w:rsidRDefault="00AB271B" w:rsidP="00AB271B">
      <w:pPr>
        <w:spacing w:before="29" w:line="288" w:lineRule="auto"/>
        <w:ind w:firstLine="480"/>
        <w:rPr>
          <w:color w:val="000000"/>
          <w:sz w:val="24"/>
          <w:szCs w:val="24"/>
        </w:rPr>
      </w:pPr>
      <w:r w:rsidRPr="00AB271B">
        <w:rPr>
          <w:rFonts w:ascii="宋体" w:hAnsi="宋体" w:hint="eastAsia"/>
          <w:color w:val="000000"/>
          <w:sz w:val="24"/>
          <w:szCs w:val="24"/>
        </w:rPr>
        <w:t>截至</w:t>
      </w:r>
      <w:r w:rsidRPr="00AB271B">
        <w:rPr>
          <w:color w:val="000000"/>
          <w:sz w:val="24"/>
          <w:szCs w:val="24"/>
        </w:rPr>
        <w:t>2017</w:t>
      </w:r>
      <w:r w:rsidRPr="00AB271B">
        <w:rPr>
          <w:rFonts w:ascii="宋体" w:hAnsi="宋体" w:hint="eastAsia"/>
          <w:color w:val="000000"/>
          <w:sz w:val="24"/>
          <w:szCs w:val="24"/>
        </w:rPr>
        <w:t>年</w:t>
      </w:r>
      <w:r w:rsidRPr="00B61AE6">
        <w:rPr>
          <w:color w:val="000000"/>
          <w:sz w:val="24"/>
          <w:szCs w:val="24"/>
        </w:rPr>
        <w:t>3</w:t>
      </w:r>
      <w:r w:rsidRPr="005605A1">
        <w:rPr>
          <w:rFonts w:ascii="宋体" w:hAnsi="宋体" w:hint="eastAsia"/>
          <w:color w:val="000000"/>
          <w:sz w:val="24"/>
          <w:szCs w:val="24"/>
        </w:rPr>
        <w:t>月</w:t>
      </w:r>
      <w:r w:rsidRPr="00A314F4">
        <w:rPr>
          <w:color w:val="000000"/>
          <w:sz w:val="24"/>
          <w:szCs w:val="24"/>
        </w:rPr>
        <w:t>31</w:t>
      </w:r>
      <w:r w:rsidRPr="00A314F4">
        <w:rPr>
          <w:rFonts w:ascii="宋体" w:hAnsi="宋体" w:hint="eastAsia"/>
          <w:color w:val="000000"/>
          <w:sz w:val="24"/>
          <w:szCs w:val="24"/>
        </w:rPr>
        <w:t>日，本基金份额净值为</w:t>
      </w:r>
      <w:r w:rsidRPr="00AB271B">
        <w:rPr>
          <w:color w:val="000000"/>
          <w:sz w:val="24"/>
          <w:szCs w:val="24"/>
        </w:rPr>
        <w:t>1.084</w:t>
      </w:r>
      <w:r w:rsidRPr="00AB271B">
        <w:rPr>
          <w:rFonts w:ascii="宋体" w:hAnsi="宋体" w:hint="eastAsia"/>
          <w:color w:val="000000"/>
          <w:sz w:val="24"/>
          <w:szCs w:val="24"/>
        </w:rPr>
        <w:t>元，本报告期份额净值增长率为</w:t>
      </w:r>
      <w:r w:rsidRPr="00AB271B">
        <w:rPr>
          <w:color w:val="000000"/>
          <w:sz w:val="24"/>
          <w:szCs w:val="24"/>
        </w:rPr>
        <w:t>7.97%</w:t>
      </w:r>
      <w:r w:rsidRPr="00AB271B">
        <w:rPr>
          <w:rFonts w:ascii="宋体" w:hAnsi="宋体" w:hint="eastAsia"/>
          <w:color w:val="000000"/>
          <w:sz w:val="24"/>
          <w:szCs w:val="24"/>
        </w:rPr>
        <w:t>，同期业绩比较基准增长率为</w:t>
      </w:r>
      <w:r w:rsidRPr="00AB271B">
        <w:rPr>
          <w:color w:val="000000"/>
          <w:sz w:val="24"/>
          <w:szCs w:val="24"/>
        </w:rPr>
        <w:t>8.90%</w:t>
      </w:r>
      <w:r w:rsidRPr="00AB271B">
        <w:rPr>
          <w:rFonts w:ascii="宋体" w:hAnsi="宋体"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AD08A5" w:rsidRPr="002070B4" w:rsidRDefault="00AD08A5" w:rsidP="00AD08A5">
      <w:pPr>
        <w:autoSpaceDE w:val="0"/>
        <w:autoSpaceDN w:val="0"/>
        <w:adjustRightInd w:val="0"/>
        <w:spacing w:before="29" w:line="288" w:lineRule="auto"/>
        <w:ind w:firstLine="420"/>
        <w:jc w:val="left"/>
        <w:rPr>
          <w:rFonts w:hint="eastAsia"/>
          <w:b/>
          <w:color w:val="000000"/>
          <w:kern w:val="0"/>
          <w:sz w:val="24"/>
        </w:rPr>
      </w:pPr>
      <w:bookmarkStart w:id="0" w:name="_GoBack"/>
      <w:bookmarkEnd w:id="0"/>
      <w:r w:rsidRPr="00D529CF">
        <w:rPr>
          <w:rFonts w:hint="eastAsia"/>
          <w:color w:val="000000"/>
          <w:sz w:val="24"/>
        </w:rPr>
        <w:t>本基金本报告期内曾连续二十个工作日以上出现基金资产净值低于五千万元的情形，但截至本报告期末，本基金基金资产净值已高于五千万元。</w:t>
      </w:r>
    </w:p>
    <w:p w:rsidR="004061AC" w:rsidRPr="00414345" w:rsidRDefault="004061AC" w:rsidP="005F228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53,739,945.52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53,739,945.52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76.42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15,155,134.36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1,427,964.69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70,323,044.57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autoSpaceDE w:val="0"/>
              <w:autoSpaceDN w:val="0"/>
              <w:adjustRightInd w:val="0"/>
              <w:spacing w:before="29" w:line="288" w:lineRule="auto"/>
              <w:ind w:left="15"/>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autoSpaceDE w:val="0"/>
              <w:autoSpaceDN w:val="0"/>
              <w:adjustRightInd w:val="0"/>
              <w:spacing w:before="29" w:line="288" w:lineRule="auto"/>
              <w:ind w:left="15"/>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36,336,111.60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54.15</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4,657,552.00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6.94</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1,067,724.00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1.59</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3,809,792.52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5.68</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2,154,540.00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3.21</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5,714,225.40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8.52</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w:t>
            </w:r>
          </w:p>
        </w:tc>
      </w:tr>
      <w:tr w:rsidR="005605A1" w:rsidRPr="00414345" w:rsidTr="00BC403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605A1" w:rsidRPr="00414345" w:rsidRDefault="005605A1" w:rsidP="005605A1">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tcPr>
          <w:p w:rsidR="005605A1" w:rsidRPr="005605A1" w:rsidRDefault="005605A1" w:rsidP="005605A1">
            <w:pPr>
              <w:spacing w:before="29" w:line="288" w:lineRule="auto"/>
              <w:jc w:val="right"/>
              <w:rPr>
                <w:sz w:val="24"/>
                <w:szCs w:val="24"/>
              </w:rPr>
            </w:pPr>
            <w:r w:rsidRPr="00BC4037">
              <w:rPr>
                <w:sz w:val="24"/>
                <w:szCs w:val="24"/>
              </w:rPr>
              <w:t>53,739,945.52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tcPr>
          <w:p w:rsidR="005605A1" w:rsidRPr="005605A1" w:rsidRDefault="005605A1" w:rsidP="005605A1">
            <w:pPr>
              <w:spacing w:before="29" w:line="288" w:lineRule="auto"/>
              <w:jc w:val="right"/>
              <w:rPr>
                <w:sz w:val="24"/>
                <w:szCs w:val="24"/>
              </w:rPr>
            </w:pPr>
            <w:r w:rsidRPr="00BC4037">
              <w:rPr>
                <w:sz w:val="24"/>
                <w:szCs w:val="24"/>
              </w:rPr>
              <w:t>80.09</w:t>
            </w:r>
          </w:p>
        </w:tc>
      </w:tr>
    </w:tbl>
    <w:p w:rsidR="005605A1" w:rsidRDefault="005605A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52644">
        <w:trPr>
          <w:jc w:val="center"/>
        </w:trPr>
        <w:tc>
          <w:tcPr>
            <w:tcW w:w="855" w:type="dxa"/>
            <w:vAlign w:val="center"/>
          </w:tcPr>
          <w:p w:rsidR="00052644" w:rsidRDefault="005F2280">
            <w:pPr>
              <w:jc w:val="center"/>
            </w:pPr>
            <w:r>
              <w:rPr>
                <w:color w:val="000000"/>
                <w:sz w:val="24"/>
                <w:szCs w:val="24"/>
              </w:rPr>
              <w:t>1</w:t>
            </w:r>
          </w:p>
        </w:tc>
        <w:tc>
          <w:tcPr>
            <w:tcW w:w="1334" w:type="dxa"/>
            <w:vAlign w:val="center"/>
          </w:tcPr>
          <w:p w:rsidR="00052644" w:rsidRDefault="005F2280">
            <w:pPr>
              <w:jc w:val="center"/>
            </w:pPr>
            <w:r>
              <w:rPr>
                <w:color w:val="000000"/>
                <w:sz w:val="24"/>
                <w:szCs w:val="24"/>
              </w:rPr>
              <w:t>300347</w:t>
            </w:r>
          </w:p>
        </w:tc>
        <w:tc>
          <w:tcPr>
            <w:tcW w:w="1777" w:type="dxa"/>
            <w:vAlign w:val="center"/>
          </w:tcPr>
          <w:p w:rsidR="00052644" w:rsidRDefault="005F2280">
            <w:pPr>
              <w:jc w:val="center"/>
            </w:pPr>
            <w:r>
              <w:rPr>
                <w:color w:val="000000"/>
                <w:sz w:val="24"/>
                <w:szCs w:val="24"/>
              </w:rPr>
              <w:t>泰格医药</w:t>
            </w:r>
          </w:p>
        </w:tc>
        <w:tc>
          <w:tcPr>
            <w:tcW w:w="1334" w:type="dxa"/>
            <w:vAlign w:val="center"/>
          </w:tcPr>
          <w:p w:rsidR="00052644" w:rsidRDefault="005F2280">
            <w:pPr>
              <w:jc w:val="right"/>
            </w:pPr>
            <w:r>
              <w:rPr>
                <w:color w:val="000000"/>
                <w:sz w:val="24"/>
                <w:szCs w:val="24"/>
              </w:rPr>
              <w:t>222,690</w:t>
            </w:r>
          </w:p>
        </w:tc>
        <w:tc>
          <w:tcPr>
            <w:tcW w:w="1924" w:type="dxa"/>
            <w:vAlign w:val="center"/>
          </w:tcPr>
          <w:p w:rsidR="00052644" w:rsidRDefault="005F2280">
            <w:pPr>
              <w:jc w:val="right"/>
            </w:pPr>
            <w:r>
              <w:rPr>
                <w:color w:val="000000"/>
                <w:sz w:val="24"/>
                <w:szCs w:val="24"/>
              </w:rPr>
              <w:t>5,714,225.40</w:t>
            </w:r>
          </w:p>
        </w:tc>
        <w:tc>
          <w:tcPr>
            <w:tcW w:w="1644" w:type="dxa"/>
            <w:vAlign w:val="center"/>
          </w:tcPr>
          <w:p w:rsidR="00052644" w:rsidRDefault="005F2280">
            <w:pPr>
              <w:jc w:val="right"/>
            </w:pPr>
            <w:r>
              <w:rPr>
                <w:color w:val="000000"/>
                <w:sz w:val="24"/>
                <w:szCs w:val="24"/>
              </w:rPr>
              <w:t>8.52</w:t>
            </w:r>
          </w:p>
        </w:tc>
      </w:tr>
      <w:tr w:rsidR="00052644">
        <w:trPr>
          <w:jc w:val="center"/>
        </w:trPr>
        <w:tc>
          <w:tcPr>
            <w:tcW w:w="855" w:type="dxa"/>
            <w:vAlign w:val="center"/>
          </w:tcPr>
          <w:p w:rsidR="00052644" w:rsidRDefault="005F2280">
            <w:pPr>
              <w:jc w:val="center"/>
            </w:pPr>
            <w:r>
              <w:rPr>
                <w:color w:val="000000"/>
                <w:sz w:val="24"/>
                <w:szCs w:val="24"/>
              </w:rPr>
              <w:t>2</w:t>
            </w:r>
          </w:p>
        </w:tc>
        <w:tc>
          <w:tcPr>
            <w:tcW w:w="1334" w:type="dxa"/>
            <w:vAlign w:val="center"/>
          </w:tcPr>
          <w:p w:rsidR="00052644" w:rsidRDefault="005F2280">
            <w:pPr>
              <w:jc w:val="center"/>
            </w:pPr>
            <w:r>
              <w:rPr>
                <w:color w:val="000000"/>
                <w:sz w:val="24"/>
                <w:szCs w:val="24"/>
              </w:rPr>
              <w:t>000423</w:t>
            </w:r>
          </w:p>
        </w:tc>
        <w:tc>
          <w:tcPr>
            <w:tcW w:w="1777" w:type="dxa"/>
            <w:vAlign w:val="center"/>
          </w:tcPr>
          <w:p w:rsidR="00052644" w:rsidRDefault="005F2280">
            <w:pPr>
              <w:jc w:val="center"/>
            </w:pPr>
            <w:r>
              <w:rPr>
                <w:color w:val="000000"/>
                <w:sz w:val="24"/>
                <w:szCs w:val="24"/>
              </w:rPr>
              <w:t>东阿阿胶</w:t>
            </w:r>
          </w:p>
        </w:tc>
        <w:tc>
          <w:tcPr>
            <w:tcW w:w="1334" w:type="dxa"/>
            <w:vAlign w:val="center"/>
          </w:tcPr>
          <w:p w:rsidR="00052644" w:rsidRDefault="005F2280">
            <w:pPr>
              <w:jc w:val="right"/>
            </w:pPr>
            <w:r>
              <w:rPr>
                <w:color w:val="000000"/>
                <w:sz w:val="24"/>
                <w:szCs w:val="24"/>
              </w:rPr>
              <w:t>86,700</w:t>
            </w:r>
          </w:p>
        </w:tc>
        <w:tc>
          <w:tcPr>
            <w:tcW w:w="1924" w:type="dxa"/>
            <w:vAlign w:val="center"/>
          </w:tcPr>
          <w:p w:rsidR="00052644" w:rsidRDefault="005F2280">
            <w:pPr>
              <w:jc w:val="right"/>
            </w:pPr>
            <w:r>
              <w:rPr>
                <w:color w:val="000000"/>
                <w:sz w:val="24"/>
                <w:szCs w:val="24"/>
              </w:rPr>
              <w:t>5,687,520.00</w:t>
            </w:r>
          </w:p>
        </w:tc>
        <w:tc>
          <w:tcPr>
            <w:tcW w:w="1644" w:type="dxa"/>
            <w:vAlign w:val="center"/>
          </w:tcPr>
          <w:p w:rsidR="00052644" w:rsidRDefault="005F2280">
            <w:pPr>
              <w:jc w:val="right"/>
            </w:pPr>
            <w:r>
              <w:rPr>
                <w:color w:val="000000"/>
                <w:sz w:val="24"/>
                <w:szCs w:val="24"/>
              </w:rPr>
              <w:t>8.48</w:t>
            </w:r>
          </w:p>
        </w:tc>
      </w:tr>
      <w:tr w:rsidR="00052644">
        <w:trPr>
          <w:jc w:val="center"/>
        </w:trPr>
        <w:tc>
          <w:tcPr>
            <w:tcW w:w="855" w:type="dxa"/>
            <w:vAlign w:val="center"/>
          </w:tcPr>
          <w:p w:rsidR="00052644" w:rsidRDefault="005F2280">
            <w:pPr>
              <w:jc w:val="center"/>
            </w:pPr>
            <w:r>
              <w:rPr>
                <w:color w:val="000000"/>
                <w:sz w:val="24"/>
                <w:szCs w:val="24"/>
              </w:rPr>
              <w:t>3</w:t>
            </w:r>
          </w:p>
        </w:tc>
        <w:tc>
          <w:tcPr>
            <w:tcW w:w="1334" w:type="dxa"/>
            <w:vAlign w:val="center"/>
          </w:tcPr>
          <w:p w:rsidR="00052644" w:rsidRDefault="005F2280">
            <w:pPr>
              <w:jc w:val="center"/>
            </w:pPr>
            <w:r>
              <w:rPr>
                <w:color w:val="000000"/>
                <w:sz w:val="24"/>
                <w:szCs w:val="24"/>
              </w:rPr>
              <w:t>600132</w:t>
            </w:r>
          </w:p>
        </w:tc>
        <w:tc>
          <w:tcPr>
            <w:tcW w:w="1777" w:type="dxa"/>
            <w:vAlign w:val="center"/>
          </w:tcPr>
          <w:p w:rsidR="00052644" w:rsidRDefault="005F2280">
            <w:pPr>
              <w:jc w:val="center"/>
            </w:pPr>
            <w:r>
              <w:rPr>
                <w:color w:val="000000"/>
                <w:sz w:val="24"/>
                <w:szCs w:val="24"/>
              </w:rPr>
              <w:t>重庆啤酒</w:t>
            </w:r>
          </w:p>
        </w:tc>
        <w:tc>
          <w:tcPr>
            <w:tcW w:w="1334" w:type="dxa"/>
            <w:vAlign w:val="center"/>
          </w:tcPr>
          <w:p w:rsidR="00052644" w:rsidRDefault="005F2280">
            <w:pPr>
              <w:jc w:val="right"/>
            </w:pPr>
            <w:r>
              <w:rPr>
                <w:color w:val="000000"/>
                <w:sz w:val="24"/>
                <w:szCs w:val="24"/>
              </w:rPr>
              <w:t>152,000</w:t>
            </w:r>
          </w:p>
        </w:tc>
        <w:tc>
          <w:tcPr>
            <w:tcW w:w="1924" w:type="dxa"/>
            <w:vAlign w:val="center"/>
          </w:tcPr>
          <w:p w:rsidR="00052644" w:rsidRDefault="005F2280">
            <w:pPr>
              <w:jc w:val="right"/>
            </w:pPr>
            <w:r>
              <w:rPr>
                <w:color w:val="000000"/>
                <w:sz w:val="24"/>
                <w:szCs w:val="24"/>
              </w:rPr>
              <w:t>3,295,360.00</w:t>
            </w:r>
          </w:p>
        </w:tc>
        <w:tc>
          <w:tcPr>
            <w:tcW w:w="1644" w:type="dxa"/>
            <w:vAlign w:val="center"/>
          </w:tcPr>
          <w:p w:rsidR="00052644" w:rsidRDefault="005F2280">
            <w:pPr>
              <w:jc w:val="right"/>
            </w:pPr>
            <w:r>
              <w:rPr>
                <w:color w:val="000000"/>
                <w:sz w:val="24"/>
                <w:szCs w:val="24"/>
              </w:rPr>
              <w:t>4.91</w:t>
            </w:r>
          </w:p>
        </w:tc>
      </w:tr>
      <w:tr w:rsidR="00052644">
        <w:trPr>
          <w:jc w:val="center"/>
        </w:trPr>
        <w:tc>
          <w:tcPr>
            <w:tcW w:w="855" w:type="dxa"/>
            <w:vAlign w:val="center"/>
          </w:tcPr>
          <w:p w:rsidR="00052644" w:rsidRDefault="005F2280">
            <w:pPr>
              <w:jc w:val="center"/>
            </w:pPr>
            <w:r>
              <w:rPr>
                <w:color w:val="000000"/>
                <w:sz w:val="24"/>
                <w:szCs w:val="24"/>
              </w:rPr>
              <w:t>4</w:t>
            </w:r>
          </w:p>
        </w:tc>
        <w:tc>
          <w:tcPr>
            <w:tcW w:w="1334" w:type="dxa"/>
            <w:vAlign w:val="center"/>
          </w:tcPr>
          <w:p w:rsidR="00052644" w:rsidRDefault="005F2280">
            <w:pPr>
              <w:jc w:val="center"/>
            </w:pPr>
            <w:r>
              <w:rPr>
                <w:color w:val="000000"/>
                <w:sz w:val="24"/>
                <w:szCs w:val="24"/>
              </w:rPr>
              <w:t>600887</w:t>
            </w:r>
          </w:p>
        </w:tc>
        <w:tc>
          <w:tcPr>
            <w:tcW w:w="1777" w:type="dxa"/>
            <w:vAlign w:val="center"/>
          </w:tcPr>
          <w:p w:rsidR="00052644" w:rsidRDefault="005F2280">
            <w:pPr>
              <w:jc w:val="center"/>
            </w:pPr>
            <w:r>
              <w:rPr>
                <w:color w:val="000000"/>
                <w:sz w:val="24"/>
                <w:szCs w:val="24"/>
              </w:rPr>
              <w:t>伊利股份</w:t>
            </w:r>
          </w:p>
        </w:tc>
        <w:tc>
          <w:tcPr>
            <w:tcW w:w="1334" w:type="dxa"/>
            <w:vAlign w:val="center"/>
          </w:tcPr>
          <w:p w:rsidR="00052644" w:rsidRDefault="005F2280">
            <w:pPr>
              <w:jc w:val="right"/>
            </w:pPr>
            <w:r>
              <w:rPr>
                <w:color w:val="000000"/>
                <w:sz w:val="24"/>
                <w:szCs w:val="24"/>
              </w:rPr>
              <w:t>157,600</w:t>
            </w:r>
          </w:p>
        </w:tc>
        <w:tc>
          <w:tcPr>
            <w:tcW w:w="1924" w:type="dxa"/>
            <w:vAlign w:val="center"/>
          </w:tcPr>
          <w:p w:rsidR="00052644" w:rsidRDefault="005F2280">
            <w:pPr>
              <w:jc w:val="right"/>
            </w:pPr>
            <w:r>
              <w:rPr>
                <w:color w:val="000000"/>
                <w:sz w:val="24"/>
                <w:szCs w:val="24"/>
              </w:rPr>
              <w:t>2,980,216.00</w:t>
            </w:r>
          </w:p>
        </w:tc>
        <w:tc>
          <w:tcPr>
            <w:tcW w:w="1644" w:type="dxa"/>
            <w:vAlign w:val="center"/>
          </w:tcPr>
          <w:p w:rsidR="00052644" w:rsidRDefault="005F2280">
            <w:pPr>
              <w:jc w:val="right"/>
            </w:pPr>
            <w:r>
              <w:rPr>
                <w:color w:val="000000"/>
                <w:sz w:val="24"/>
                <w:szCs w:val="24"/>
              </w:rPr>
              <w:t>4.44</w:t>
            </w:r>
          </w:p>
        </w:tc>
      </w:tr>
      <w:tr w:rsidR="00052644">
        <w:trPr>
          <w:jc w:val="center"/>
        </w:trPr>
        <w:tc>
          <w:tcPr>
            <w:tcW w:w="855" w:type="dxa"/>
            <w:vAlign w:val="center"/>
          </w:tcPr>
          <w:p w:rsidR="00052644" w:rsidRDefault="005F2280">
            <w:pPr>
              <w:jc w:val="center"/>
            </w:pPr>
            <w:r>
              <w:rPr>
                <w:color w:val="000000"/>
                <w:sz w:val="24"/>
                <w:szCs w:val="24"/>
              </w:rPr>
              <w:t>5</w:t>
            </w:r>
          </w:p>
        </w:tc>
        <w:tc>
          <w:tcPr>
            <w:tcW w:w="1334" w:type="dxa"/>
            <w:vAlign w:val="center"/>
          </w:tcPr>
          <w:p w:rsidR="00052644" w:rsidRDefault="005F2280">
            <w:pPr>
              <w:jc w:val="center"/>
            </w:pPr>
            <w:r>
              <w:rPr>
                <w:color w:val="000000"/>
                <w:sz w:val="24"/>
                <w:szCs w:val="24"/>
              </w:rPr>
              <w:t>601607</w:t>
            </w:r>
          </w:p>
        </w:tc>
        <w:tc>
          <w:tcPr>
            <w:tcW w:w="1777" w:type="dxa"/>
            <w:vAlign w:val="center"/>
          </w:tcPr>
          <w:p w:rsidR="00052644" w:rsidRDefault="005F2280">
            <w:pPr>
              <w:jc w:val="center"/>
            </w:pPr>
            <w:r>
              <w:rPr>
                <w:color w:val="000000"/>
                <w:sz w:val="24"/>
                <w:szCs w:val="24"/>
              </w:rPr>
              <w:t>上海医药</w:t>
            </w:r>
          </w:p>
        </w:tc>
        <w:tc>
          <w:tcPr>
            <w:tcW w:w="1334" w:type="dxa"/>
            <w:vAlign w:val="center"/>
          </w:tcPr>
          <w:p w:rsidR="00052644" w:rsidRDefault="005F2280">
            <w:pPr>
              <w:jc w:val="right"/>
            </w:pPr>
            <w:r>
              <w:rPr>
                <w:color w:val="000000"/>
                <w:sz w:val="24"/>
                <w:szCs w:val="24"/>
              </w:rPr>
              <w:t>116,800</w:t>
            </w:r>
          </w:p>
        </w:tc>
        <w:tc>
          <w:tcPr>
            <w:tcW w:w="1924" w:type="dxa"/>
            <w:vAlign w:val="center"/>
          </w:tcPr>
          <w:p w:rsidR="00052644" w:rsidRDefault="005F2280">
            <w:pPr>
              <w:jc w:val="right"/>
            </w:pPr>
            <w:r>
              <w:rPr>
                <w:color w:val="000000"/>
                <w:sz w:val="24"/>
                <w:szCs w:val="24"/>
              </w:rPr>
              <w:t>2,722,608.00</w:t>
            </w:r>
          </w:p>
        </w:tc>
        <w:tc>
          <w:tcPr>
            <w:tcW w:w="1644" w:type="dxa"/>
            <w:vAlign w:val="center"/>
          </w:tcPr>
          <w:p w:rsidR="00052644" w:rsidRDefault="005F2280">
            <w:pPr>
              <w:jc w:val="right"/>
            </w:pPr>
            <w:r>
              <w:rPr>
                <w:color w:val="000000"/>
                <w:sz w:val="24"/>
                <w:szCs w:val="24"/>
              </w:rPr>
              <w:t>4.06</w:t>
            </w:r>
          </w:p>
        </w:tc>
      </w:tr>
      <w:tr w:rsidR="00052644">
        <w:trPr>
          <w:jc w:val="center"/>
        </w:trPr>
        <w:tc>
          <w:tcPr>
            <w:tcW w:w="855" w:type="dxa"/>
            <w:vAlign w:val="center"/>
          </w:tcPr>
          <w:p w:rsidR="00052644" w:rsidRDefault="005F2280">
            <w:pPr>
              <w:jc w:val="center"/>
            </w:pPr>
            <w:r>
              <w:rPr>
                <w:color w:val="000000"/>
                <w:sz w:val="24"/>
                <w:szCs w:val="24"/>
              </w:rPr>
              <w:t>6</w:t>
            </w:r>
          </w:p>
        </w:tc>
        <w:tc>
          <w:tcPr>
            <w:tcW w:w="1334" w:type="dxa"/>
            <w:vAlign w:val="center"/>
          </w:tcPr>
          <w:p w:rsidR="00052644" w:rsidRDefault="005F2280">
            <w:pPr>
              <w:jc w:val="center"/>
            </w:pPr>
            <w:r>
              <w:rPr>
                <w:color w:val="000000"/>
                <w:sz w:val="24"/>
                <w:szCs w:val="24"/>
              </w:rPr>
              <w:t>002583</w:t>
            </w:r>
          </w:p>
        </w:tc>
        <w:tc>
          <w:tcPr>
            <w:tcW w:w="1777" w:type="dxa"/>
            <w:vAlign w:val="center"/>
          </w:tcPr>
          <w:p w:rsidR="00052644" w:rsidRDefault="005F2280">
            <w:pPr>
              <w:jc w:val="center"/>
            </w:pPr>
            <w:r>
              <w:rPr>
                <w:color w:val="000000"/>
                <w:sz w:val="24"/>
                <w:szCs w:val="24"/>
              </w:rPr>
              <w:t>海能达</w:t>
            </w:r>
          </w:p>
        </w:tc>
        <w:tc>
          <w:tcPr>
            <w:tcW w:w="1334" w:type="dxa"/>
            <w:vAlign w:val="center"/>
          </w:tcPr>
          <w:p w:rsidR="00052644" w:rsidRDefault="005F2280">
            <w:pPr>
              <w:jc w:val="right"/>
            </w:pPr>
            <w:r>
              <w:rPr>
                <w:color w:val="000000"/>
                <w:sz w:val="24"/>
                <w:szCs w:val="24"/>
              </w:rPr>
              <w:t>175,000</w:t>
            </w:r>
          </w:p>
        </w:tc>
        <w:tc>
          <w:tcPr>
            <w:tcW w:w="1924" w:type="dxa"/>
            <w:vAlign w:val="center"/>
          </w:tcPr>
          <w:p w:rsidR="00052644" w:rsidRDefault="005F2280">
            <w:pPr>
              <w:jc w:val="right"/>
            </w:pPr>
            <w:r>
              <w:rPr>
                <w:color w:val="000000"/>
                <w:sz w:val="24"/>
                <w:szCs w:val="24"/>
              </w:rPr>
              <w:t>2,553,250.00</w:t>
            </w:r>
          </w:p>
        </w:tc>
        <w:tc>
          <w:tcPr>
            <w:tcW w:w="1644" w:type="dxa"/>
            <w:vAlign w:val="center"/>
          </w:tcPr>
          <w:p w:rsidR="00052644" w:rsidRDefault="005F2280">
            <w:pPr>
              <w:jc w:val="right"/>
            </w:pPr>
            <w:r>
              <w:rPr>
                <w:color w:val="000000"/>
                <w:sz w:val="24"/>
                <w:szCs w:val="24"/>
              </w:rPr>
              <w:t>3.81</w:t>
            </w:r>
          </w:p>
        </w:tc>
      </w:tr>
      <w:tr w:rsidR="00052644">
        <w:trPr>
          <w:jc w:val="center"/>
        </w:trPr>
        <w:tc>
          <w:tcPr>
            <w:tcW w:w="855" w:type="dxa"/>
            <w:vAlign w:val="center"/>
          </w:tcPr>
          <w:p w:rsidR="00052644" w:rsidRDefault="005F2280">
            <w:pPr>
              <w:jc w:val="center"/>
            </w:pPr>
            <w:r>
              <w:rPr>
                <w:color w:val="000000"/>
                <w:sz w:val="24"/>
                <w:szCs w:val="24"/>
              </w:rPr>
              <w:t>7</w:t>
            </w:r>
          </w:p>
        </w:tc>
        <w:tc>
          <w:tcPr>
            <w:tcW w:w="1334" w:type="dxa"/>
            <w:vAlign w:val="center"/>
          </w:tcPr>
          <w:p w:rsidR="00052644" w:rsidRDefault="005F2280">
            <w:pPr>
              <w:jc w:val="center"/>
            </w:pPr>
            <w:r>
              <w:rPr>
                <w:color w:val="000000"/>
                <w:sz w:val="24"/>
                <w:szCs w:val="24"/>
              </w:rPr>
              <w:t>600276</w:t>
            </w:r>
          </w:p>
        </w:tc>
        <w:tc>
          <w:tcPr>
            <w:tcW w:w="1777" w:type="dxa"/>
            <w:vAlign w:val="center"/>
          </w:tcPr>
          <w:p w:rsidR="00052644" w:rsidRDefault="005F2280">
            <w:pPr>
              <w:jc w:val="center"/>
            </w:pPr>
            <w:r>
              <w:rPr>
                <w:color w:val="000000"/>
                <w:sz w:val="24"/>
                <w:szCs w:val="24"/>
              </w:rPr>
              <w:t>恒瑞医药</w:t>
            </w:r>
          </w:p>
        </w:tc>
        <w:tc>
          <w:tcPr>
            <w:tcW w:w="1334" w:type="dxa"/>
            <w:vAlign w:val="center"/>
          </w:tcPr>
          <w:p w:rsidR="00052644" w:rsidRDefault="005F2280">
            <w:pPr>
              <w:jc w:val="right"/>
            </w:pPr>
            <w:r>
              <w:rPr>
                <w:color w:val="000000"/>
                <w:sz w:val="24"/>
                <w:szCs w:val="24"/>
              </w:rPr>
              <w:t>41,360</w:t>
            </w:r>
          </w:p>
        </w:tc>
        <w:tc>
          <w:tcPr>
            <w:tcW w:w="1924" w:type="dxa"/>
            <w:vAlign w:val="center"/>
          </w:tcPr>
          <w:p w:rsidR="00052644" w:rsidRDefault="005F2280">
            <w:pPr>
              <w:jc w:val="right"/>
            </w:pPr>
            <w:r>
              <w:rPr>
                <w:color w:val="000000"/>
                <w:sz w:val="24"/>
                <w:szCs w:val="24"/>
              </w:rPr>
              <w:t>2,247,088.80</w:t>
            </w:r>
          </w:p>
        </w:tc>
        <w:tc>
          <w:tcPr>
            <w:tcW w:w="1644" w:type="dxa"/>
            <w:vAlign w:val="center"/>
          </w:tcPr>
          <w:p w:rsidR="00052644" w:rsidRDefault="005F2280">
            <w:pPr>
              <w:jc w:val="right"/>
            </w:pPr>
            <w:r>
              <w:rPr>
                <w:color w:val="000000"/>
                <w:sz w:val="24"/>
                <w:szCs w:val="24"/>
              </w:rPr>
              <w:t>3.35</w:t>
            </w:r>
          </w:p>
        </w:tc>
      </w:tr>
      <w:tr w:rsidR="00052644">
        <w:trPr>
          <w:jc w:val="center"/>
        </w:trPr>
        <w:tc>
          <w:tcPr>
            <w:tcW w:w="855" w:type="dxa"/>
            <w:vAlign w:val="center"/>
          </w:tcPr>
          <w:p w:rsidR="00052644" w:rsidRDefault="005F2280">
            <w:pPr>
              <w:jc w:val="center"/>
            </w:pPr>
            <w:r>
              <w:rPr>
                <w:color w:val="000000"/>
                <w:sz w:val="24"/>
                <w:szCs w:val="24"/>
              </w:rPr>
              <w:t>8</w:t>
            </w:r>
          </w:p>
        </w:tc>
        <w:tc>
          <w:tcPr>
            <w:tcW w:w="1334" w:type="dxa"/>
            <w:vAlign w:val="center"/>
          </w:tcPr>
          <w:p w:rsidR="00052644" w:rsidRDefault="005F2280">
            <w:pPr>
              <w:jc w:val="center"/>
            </w:pPr>
            <w:r>
              <w:rPr>
                <w:color w:val="000000"/>
                <w:sz w:val="24"/>
                <w:szCs w:val="24"/>
              </w:rPr>
              <w:t>600867</w:t>
            </w:r>
          </w:p>
        </w:tc>
        <w:tc>
          <w:tcPr>
            <w:tcW w:w="1777" w:type="dxa"/>
            <w:vAlign w:val="center"/>
          </w:tcPr>
          <w:p w:rsidR="00052644" w:rsidRDefault="005F2280">
            <w:pPr>
              <w:jc w:val="center"/>
            </w:pPr>
            <w:r>
              <w:rPr>
                <w:color w:val="000000"/>
                <w:sz w:val="24"/>
                <w:szCs w:val="24"/>
              </w:rPr>
              <w:t>通化东宝</w:t>
            </w:r>
          </w:p>
        </w:tc>
        <w:tc>
          <w:tcPr>
            <w:tcW w:w="1334" w:type="dxa"/>
            <w:vAlign w:val="center"/>
          </w:tcPr>
          <w:p w:rsidR="00052644" w:rsidRDefault="005F2280">
            <w:pPr>
              <w:jc w:val="right"/>
            </w:pPr>
            <w:r>
              <w:rPr>
                <w:color w:val="000000"/>
                <w:sz w:val="24"/>
                <w:szCs w:val="24"/>
              </w:rPr>
              <w:t>98,656</w:t>
            </w:r>
          </w:p>
        </w:tc>
        <w:tc>
          <w:tcPr>
            <w:tcW w:w="1924" w:type="dxa"/>
            <w:vAlign w:val="center"/>
          </w:tcPr>
          <w:p w:rsidR="00052644" w:rsidRDefault="005F2280">
            <w:pPr>
              <w:jc w:val="right"/>
            </w:pPr>
            <w:r>
              <w:rPr>
                <w:color w:val="000000"/>
                <w:sz w:val="24"/>
                <w:szCs w:val="24"/>
              </w:rPr>
              <w:t>2,002,716.80</w:t>
            </w:r>
          </w:p>
        </w:tc>
        <w:tc>
          <w:tcPr>
            <w:tcW w:w="1644" w:type="dxa"/>
            <w:vAlign w:val="center"/>
          </w:tcPr>
          <w:p w:rsidR="00052644" w:rsidRDefault="005F2280">
            <w:pPr>
              <w:jc w:val="right"/>
            </w:pPr>
            <w:r>
              <w:rPr>
                <w:color w:val="000000"/>
                <w:sz w:val="24"/>
                <w:szCs w:val="24"/>
              </w:rPr>
              <w:t>2.98</w:t>
            </w:r>
          </w:p>
        </w:tc>
      </w:tr>
      <w:tr w:rsidR="00052644">
        <w:trPr>
          <w:jc w:val="center"/>
        </w:trPr>
        <w:tc>
          <w:tcPr>
            <w:tcW w:w="855" w:type="dxa"/>
            <w:vAlign w:val="center"/>
          </w:tcPr>
          <w:p w:rsidR="00052644" w:rsidRDefault="005F2280">
            <w:pPr>
              <w:jc w:val="center"/>
            </w:pPr>
            <w:r>
              <w:rPr>
                <w:color w:val="000000"/>
                <w:sz w:val="24"/>
                <w:szCs w:val="24"/>
              </w:rPr>
              <w:t>9</w:t>
            </w:r>
          </w:p>
        </w:tc>
        <w:tc>
          <w:tcPr>
            <w:tcW w:w="1334" w:type="dxa"/>
            <w:vAlign w:val="center"/>
          </w:tcPr>
          <w:p w:rsidR="00052644" w:rsidRDefault="005F2280">
            <w:pPr>
              <w:jc w:val="center"/>
            </w:pPr>
            <w:r>
              <w:rPr>
                <w:color w:val="000000"/>
                <w:sz w:val="24"/>
                <w:szCs w:val="24"/>
              </w:rPr>
              <w:t>300308</w:t>
            </w:r>
          </w:p>
        </w:tc>
        <w:tc>
          <w:tcPr>
            <w:tcW w:w="1777" w:type="dxa"/>
            <w:vAlign w:val="center"/>
          </w:tcPr>
          <w:p w:rsidR="00052644" w:rsidRDefault="005F2280">
            <w:pPr>
              <w:jc w:val="center"/>
            </w:pPr>
            <w:r>
              <w:rPr>
                <w:color w:val="000000"/>
                <w:sz w:val="24"/>
                <w:szCs w:val="24"/>
              </w:rPr>
              <w:t>中际装备</w:t>
            </w:r>
          </w:p>
        </w:tc>
        <w:tc>
          <w:tcPr>
            <w:tcW w:w="1334" w:type="dxa"/>
            <w:vAlign w:val="center"/>
          </w:tcPr>
          <w:p w:rsidR="00052644" w:rsidRDefault="005F2280">
            <w:pPr>
              <w:jc w:val="right"/>
            </w:pPr>
            <w:r>
              <w:rPr>
                <w:color w:val="000000"/>
                <w:sz w:val="24"/>
                <w:szCs w:val="24"/>
              </w:rPr>
              <w:t>58,000</w:t>
            </w:r>
          </w:p>
        </w:tc>
        <w:tc>
          <w:tcPr>
            <w:tcW w:w="1924" w:type="dxa"/>
            <w:vAlign w:val="center"/>
          </w:tcPr>
          <w:p w:rsidR="00052644" w:rsidRDefault="005F2280">
            <w:pPr>
              <w:jc w:val="right"/>
            </w:pPr>
            <w:r>
              <w:rPr>
                <w:color w:val="000000"/>
                <w:sz w:val="24"/>
                <w:szCs w:val="24"/>
              </w:rPr>
              <w:t>1,989,400.00</w:t>
            </w:r>
          </w:p>
        </w:tc>
        <w:tc>
          <w:tcPr>
            <w:tcW w:w="1644" w:type="dxa"/>
            <w:vAlign w:val="center"/>
          </w:tcPr>
          <w:p w:rsidR="00052644" w:rsidRDefault="005F2280">
            <w:pPr>
              <w:jc w:val="right"/>
            </w:pPr>
            <w:r>
              <w:rPr>
                <w:color w:val="000000"/>
                <w:sz w:val="24"/>
                <w:szCs w:val="24"/>
              </w:rPr>
              <w:t>2.96</w:t>
            </w:r>
          </w:p>
        </w:tc>
      </w:tr>
      <w:tr w:rsidR="00052644">
        <w:trPr>
          <w:jc w:val="center"/>
        </w:trPr>
        <w:tc>
          <w:tcPr>
            <w:tcW w:w="855" w:type="dxa"/>
            <w:vAlign w:val="center"/>
          </w:tcPr>
          <w:p w:rsidR="00052644" w:rsidRDefault="005F2280">
            <w:pPr>
              <w:jc w:val="center"/>
            </w:pPr>
            <w:r>
              <w:rPr>
                <w:color w:val="000000"/>
                <w:sz w:val="24"/>
                <w:szCs w:val="24"/>
              </w:rPr>
              <w:t>10</w:t>
            </w:r>
          </w:p>
        </w:tc>
        <w:tc>
          <w:tcPr>
            <w:tcW w:w="1334" w:type="dxa"/>
            <w:vAlign w:val="center"/>
          </w:tcPr>
          <w:p w:rsidR="00052644" w:rsidRDefault="005F2280">
            <w:pPr>
              <w:jc w:val="center"/>
            </w:pPr>
            <w:r>
              <w:rPr>
                <w:color w:val="000000"/>
                <w:sz w:val="24"/>
                <w:szCs w:val="24"/>
              </w:rPr>
              <w:t>000858</w:t>
            </w:r>
          </w:p>
        </w:tc>
        <w:tc>
          <w:tcPr>
            <w:tcW w:w="1777" w:type="dxa"/>
            <w:vAlign w:val="center"/>
          </w:tcPr>
          <w:p w:rsidR="00052644" w:rsidRDefault="005F2280">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052644" w:rsidRDefault="005F2280">
            <w:pPr>
              <w:jc w:val="right"/>
            </w:pPr>
            <w:r>
              <w:rPr>
                <w:color w:val="000000"/>
                <w:sz w:val="24"/>
                <w:szCs w:val="24"/>
              </w:rPr>
              <w:t>43,100</w:t>
            </w:r>
          </w:p>
        </w:tc>
        <w:tc>
          <w:tcPr>
            <w:tcW w:w="1924" w:type="dxa"/>
            <w:vAlign w:val="center"/>
          </w:tcPr>
          <w:p w:rsidR="00052644" w:rsidRDefault="005F2280">
            <w:pPr>
              <w:jc w:val="right"/>
            </w:pPr>
            <w:r>
              <w:rPr>
                <w:color w:val="000000"/>
                <w:sz w:val="24"/>
                <w:szCs w:val="24"/>
              </w:rPr>
              <w:t>1,853,300.00</w:t>
            </w:r>
          </w:p>
        </w:tc>
        <w:tc>
          <w:tcPr>
            <w:tcW w:w="1644" w:type="dxa"/>
            <w:vAlign w:val="center"/>
          </w:tcPr>
          <w:p w:rsidR="00052644" w:rsidRDefault="005F2280">
            <w:pPr>
              <w:jc w:val="right"/>
            </w:pPr>
            <w:r>
              <w:rPr>
                <w:color w:val="000000"/>
                <w:sz w:val="24"/>
                <w:szCs w:val="24"/>
              </w:rPr>
              <w:t>2.76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19,324.59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2,839.42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1,405,800.68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1,427,964.69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45,894,373.04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25,837,777.65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9,826,597.74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61,905,552.95</w:t>
            </w:r>
          </w:p>
        </w:tc>
      </w:tr>
    </w:tbl>
    <w:p w:rsidR="00052644" w:rsidRDefault="005F228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F228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A314F4" w:rsidRDefault="00ED2620" w:rsidP="00C15CAC">
      <w:pPr>
        <w:spacing w:line="288" w:lineRule="auto"/>
        <w:jc w:val="left"/>
        <w:rPr>
          <w:sz w:val="24"/>
          <w:szCs w:val="24"/>
        </w:rPr>
      </w:pPr>
      <w:r w:rsidRPr="00A314F4">
        <w:rPr>
          <w:b/>
          <w:sz w:val="24"/>
        </w:rPr>
        <w:t xml:space="preserve">7.1 </w:t>
      </w:r>
      <w:r w:rsidRPr="00A314F4">
        <w:rPr>
          <w:rFonts w:hint="eastAsia"/>
          <w:b/>
          <w:sz w:val="24"/>
        </w:rPr>
        <w:t>基金管理人持有本基金份额变动情况</w:t>
      </w:r>
    </w:p>
    <w:p w:rsidR="00ED2620" w:rsidRPr="00A314F4" w:rsidRDefault="00ED2620" w:rsidP="00C15CAC">
      <w:pPr>
        <w:autoSpaceDE w:val="0"/>
        <w:autoSpaceDN w:val="0"/>
        <w:adjustRightInd w:val="0"/>
        <w:spacing w:before="29" w:line="288" w:lineRule="auto"/>
        <w:ind w:left="15"/>
        <w:jc w:val="right"/>
        <w:rPr>
          <w:rFonts w:eastAsiaTheme="minorEastAsia"/>
          <w:color w:val="000000"/>
          <w:kern w:val="0"/>
          <w:sz w:val="24"/>
        </w:rPr>
      </w:pPr>
      <w:r w:rsidRPr="00A314F4">
        <w:rPr>
          <w:rFonts w:eastAsiaTheme="minorEastAsia" w:hAnsiTheme="minorEastAsia"/>
          <w:color w:val="000000"/>
          <w:kern w:val="0"/>
          <w:sz w:val="24"/>
        </w:rPr>
        <w:t>单位：份</w:t>
      </w:r>
    </w:p>
    <w:tbl>
      <w:tblPr>
        <w:tblW w:w="5000" w:type="pct"/>
        <w:jc w:val="center"/>
        <w:tblLayout w:type="fixed"/>
        <w:tblLook w:val="04A0" w:firstRow="1" w:lastRow="0" w:firstColumn="1" w:lastColumn="0" w:noHBand="0" w:noVBand="1"/>
      </w:tblPr>
      <w:tblGrid>
        <w:gridCol w:w="5532"/>
        <w:gridCol w:w="3710"/>
      </w:tblGrid>
      <w:tr w:rsidR="00ED2620" w:rsidRPr="00A314F4" w:rsidTr="00BC4037">
        <w:trPr>
          <w:jc w:val="center"/>
        </w:trPr>
        <w:tc>
          <w:tcPr>
            <w:tcW w:w="2993" w:type="pct"/>
            <w:tcBorders>
              <w:top w:val="single" w:sz="8" w:space="0" w:color="000000"/>
              <w:left w:val="single" w:sz="8" w:space="0" w:color="000000"/>
              <w:bottom w:val="single" w:sz="8" w:space="0" w:color="000000"/>
              <w:right w:val="single" w:sz="8" w:space="0" w:color="000000"/>
            </w:tcBorders>
            <w:vAlign w:val="center"/>
            <w:hideMark/>
          </w:tcPr>
          <w:p w:rsidR="00ED2620" w:rsidRPr="00A314F4" w:rsidRDefault="00ED2620" w:rsidP="00C15CAC">
            <w:pPr>
              <w:pStyle w:val="ad"/>
              <w:adjustRightInd w:val="0"/>
              <w:snapToGrid w:val="0"/>
              <w:spacing w:line="288" w:lineRule="auto"/>
              <w:rPr>
                <w:rFonts w:eastAsia="方正仿宋简体"/>
                <w:color w:val="000000"/>
              </w:rPr>
            </w:pPr>
            <w:r w:rsidRPr="00A314F4">
              <w:rPr>
                <w:rFonts w:hint="eastAsia"/>
                <w:color w:val="000000"/>
              </w:rPr>
              <w:t>报告期期初管理人持有的本基金份额</w:t>
            </w:r>
          </w:p>
        </w:tc>
        <w:tc>
          <w:tcPr>
            <w:tcW w:w="2007" w:type="pct"/>
            <w:tcBorders>
              <w:top w:val="single" w:sz="8" w:space="0" w:color="000000"/>
              <w:left w:val="single" w:sz="8" w:space="0" w:color="000000"/>
              <w:bottom w:val="single" w:sz="8" w:space="0" w:color="000000"/>
              <w:right w:val="single" w:sz="8" w:space="0" w:color="000000"/>
            </w:tcBorders>
            <w:vAlign w:val="center"/>
            <w:hideMark/>
          </w:tcPr>
          <w:p w:rsidR="00ED2620" w:rsidRPr="00A314F4" w:rsidRDefault="00ED2620" w:rsidP="00C15CAC">
            <w:pPr>
              <w:spacing w:line="288" w:lineRule="auto"/>
              <w:jc w:val="right"/>
              <w:rPr>
                <w:rFonts w:eastAsiaTheme="minorEastAsia"/>
                <w:sz w:val="24"/>
                <w:szCs w:val="24"/>
              </w:rPr>
            </w:pPr>
            <w:r w:rsidRPr="00A314F4">
              <w:rPr>
                <w:rFonts w:eastAsiaTheme="minorEastAsia"/>
                <w:color w:val="000000"/>
                <w:sz w:val="24"/>
              </w:rPr>
              <w:t>11,889,417.36</w:t>
            </w:r>
          </w:p>
        </w:tc>
      </w:tr>
      <w:tr w:rsidR="00ED2620" w:rsidRPr="00A314F4" w:rsidTr="00BC4037">
        <w:trPr>
          <w:jc w:val="center"/>
        </w:trPr>
        <w:tc>
          <w:tcPr>
            <w:tcW w:w="2993" w:type="pct"/>
            <w:tcBorders>
              <w:top w:val="single" w:sz="8" w:space="0" w:color="000000"/>
              <w:left w:val="single" w:sz="8" w:space="0" w:color="000000"/>
              <w:bottom w:val="single" w:sz="8" w:space="0" w:color="000000"/>
              <w:right w:val="single" w:sz="8" w:space="0" w:color="000000"/>
            </w:tcBorders>
            <w:vAlign w:val="center"/>
            <w:hideMark/>
          </w:tcPr>
          <w:p w:rsidR="00ED2620" w:rsidRPr="00A314F4" w:rsidRDefault="00ED2620" w:rsidP="00C15CAC">
            <w:pPr>
              <w:adjustRightInd w:val="0"/>
              <w:snapToGrid w:val="0"/>
              <w:spacing w:line="288" w:lineRule="auto"/>
              <w:rPr>
                <w:color w:val="000000"/>
                <w:sz w:val="24"/>
                <w:szCs w:val="24"/>
              </w:rPr>
            </w:pPr>
            <w:r w:rsidRPr="00A314F4">
              <w:rPr>
                <w:rFonts w:eastAsiaTheme="minorEastAsia" w:hint="eastAsia"/>
                <w:color w:val="000000"/>
                <w:kern w:val="0"/>
                <w:sz w:val="24"/>
              </w:rPr>
              <w:t>本报告期</w:t>
            </w:r>
            <w:r w:rsidRPr="00A314F4">
              <w:rPr>
                <w:rFonts w:hint="eastAsia"/>
                <w:color w:val="000000"/>
                <w:sz w:val="24"/>
              </w:rPr>
              <w:t>买入</w:t>
            </w:r>
            <w:r w:rsidRPr="00A314F4">
              <w:rPr>
                <w:color w:val="000000"/>
                <w:sz w:val="24"/>
              </w:rPr>
              <w:t>/</w:t>
            </w:r>
            <w:r w:rsidRPr="00A314F4">
              <w:rPr>
                <w:rFonts w:hint="eastAsia"/>
                <w:color w:val="000000"/>
                <w:sz w:val="24"/>
              </w:rPr>
              <w:t>申购总份额</w:t>
            </w:r>
          </w:p>
        </w:tc>
        <w:tc>
          <w:tcPr>
            <w:tcW w:w="2007" w:type="pct"/>
            <w:tcBorders>
              <w:top w:val="single" w:sz="8" w:space="0" w:color="000000"/>
              <w:left w:val="single" w:sz="8" w:space="0" w:color="000000"/>
              <w:bottom w:val="single" w:sz="8" w:space="0" w:color="000000"/>
              <w:right w:val="single" w:sz="8" w:space="0" w:color="000000"/>
            </w:tcBorders>
            <w:vAlign w:val="center"/>
            <w:hideMark/>
          </w:tcPr>
          <w:p w:rsidR="00ED2620" w:rsidRPr="00A314F4" w:rsidRDefault="00ED2620" w:rsidP="00C15CAC">
            <w:pPr>
              <w:spacing w:line="288" w:lineRule="auto"/>
              <w:jc w:val="right"/>
              <w:rPr>
                <w:rFonts w:eastAsiaTheme="minorEastAsia"/>
                <w:color w:val="000000"/>
                <w:kern w:val="0"/>
                <w:sz w:val="24"/>
                <w:szCs w:val="24"/>
              </w:rPr>
            </w:pPr>
            <w:r w:rsidRPr="00A314F4">
              <w:rPr>
                <w:rFonts w:eastAsiaTheme="minorEastAsia"/>
                <w:color w:val="000000"/>
                <w:sz w:val="24"/>
              </w:rPr>
              <w:t>-</w:t>
            </w:r>
          </w:p>
        </w:tc>
      </w:tr>
      <w:tr w:rsidR="00ED2620" w:rsidRPr="00A314F4" w:rsidTr="00BC4037">
        <w:trPr>
          <w:jc w:val="center"/>
        </w:trPr>
        <w:tc>
          <w:tcPr>
            <w:tcW w:w="2993" w:type="pct"/>
            <w:tcBorders>
              <w:top w:val="single" w:sz="8" w:space="0" w:color="000000"/>
              <w:left w:val="single" w:sz="8" w:space="0" w:color="000000"/>
              <w:bottom w:val="single" w:sz="8" w:space="0" w:color="000000"/>
              <w:right w:val="single" w:sz="8" w:space="0" w:color="000000"/>
            </w:tcBorders>
            <w:vAlign w:val="center"/>
            <w:hideMark/>
          </w:tcPr>
          <w:p w:rsidR="00ED2620" w:rsidRPr="00A314F4" w:rsidRDefault="00ED2620" w:rsidP="00C15CAC">
            <w:pPr>
              <w:adjustRightInd w:val="0"/>
              <w:snapToGrid w:val="0"/>
              <w:spacing w:line="288" w:lineRule="auto"/>
              <w:rPr>
                <w:color w:val="000000"/>
                <w:sz w:val="24"/>
                <w:szCs w:val="24"/>
              </w:rPr>
            </w:pPr>
            <w:r w:rsidRPr="00A314F4">
              <w:rPr>
                <w:rFonts w:eastAsiaTheme="minorEastAsia" w:hint="eastAsia"/>
                <w:color w:val="000000"/>
                <w:kern w:val="0"/>
                <w:sz w:val="24"/>
              </w:rPr>
              <w:t>本报告期</w:t>
            </w:r>
            <w:r w:rsidRPr="00A314F4">
              <w:rPr>
                <w:rFonts w:hint="eastAsia"/>
                <w:color w:val="000000"/>
                <w:sz w:val="24"/>
              </w:rPr>
              <w:t>卖出</w:t>
            </w:r>
            <w:r w:rsidRPr="00A314F4">
              <w:rPr>
                <w:color w:val="000000"/>
                <w:sz w:val="24"/>
              </w:rPr>
              <w:t>/</w:t>
            </w:r>
            <w:r w:rsidRPr="00A314F4">
              <w:rPr>
                <w:rFonts w:hint="eastAsia"/>
                <w:color w:val="000000"/>
                <w:sz w:val="24"/>
              </w:rPr>
              <w:t>赎回总份额</w:t>
            </w:r>
          </w:p>
        </w:tc>
        <w:tc>
          <w:tcPr>
            <w:tcW w:w="2007" w:type="pct"/>
            <w:tcBorders>
              <w:top w:val="single" w:sz="8" w:space="0" w:color="000000"/>
              <w:left w:val="single" w:sz="8" w:space="0" w:color="000000"/>
              <w:bottom w:val="single" w:sz="8" w:space="0" w:color="000000"/>
              <w:right w:val="single" w:sz="8" w:space="0" w:color="000000"/>
            </w:tcBorders>
            <w:vAlign w:val="center"/>
            <w:hideMark/>
          </w:tcPr>
          <w:p w:rsidR="00ED2620" w:rsidRPr="00A314F4" w:rsidRDefault="00ED2620" w:rsidP="00C15CAC">
            <w:pPr>
              <w:spacing w:line="288" w:lineRule="auto"/>
              <w:jc w:val="right"/>
              <w:rPr>
                <w:rFonts w:eastAsiaTheme="minorEastAsia"/>
                <w:color w:val="000000"/>
                <w:kern w:val="0"/>
                <w:sz w:val="24"/>
                <w:szCs w:val="24"/>
              </w:rPr>
            </w:pPr>
            <w:r w:rsidRPr="00A314F4">
              <w:rPr>
                <w:rFonts w:eastAsiaTheme="minorEastAsia"/>
                <w:color w:val="000000"/>
                <w:sz w:val="24"/>
              </w:rPr>
              <w:t>-</w:t>
            </w:r>
          </w:p>
        </w:tc>
      </w:tr>
      <w:tr w:rsidR="00A314F4" w:rsidRPr="00A314F4" w:rsidTr="00BC4037">
        <w:trPr>
          <w:jc w:val="center"/>
        </w:trPr>
        <w:tc>
          <w:tcPr>
            <w:tcW w:w="2993" w:type="pct"/>
            <w:tcBorders>
              <w:top w:val="single" w:sz="8" w:space="0" w:color="000000"/>
              <w:left w:val="single" w:sz="8" w:space="0" w:color="000000"/>
              <w:bottom w:val="single" w:sz="8" w:space="0" w:color="000000"/>
              <w:right w:val="single" w:sz="8" w:space="0" w:color="000000"/>
            </w:tcBorders>
            <w:vAlign w:val="center"/>
            <w:hideMark/>
          </w:tcPr>
          <w:p w:rsidR="00A314F4" w:rsidRPr="00A314F4" w:rsidRDefault="00A314F4" w:rsidP="00A314F4">
            <w:pPr>
              <w:adjustRightInd w:val="0"/>
              <w:snapToGrid w:val="0"/>
              <w:spacing w:line="288" w:lineRule="auto"/>
              <w:rPr>
                <w:color w:val="000000"/>
                <w:sz w:val="24"/>
                <w:szCs w:val="24"/>
              </w:rPr>
            </w:pPr>
            <w:r w:rsidRPr="00A314F4">
              <w:rPr>
                <w:rFonts w:hint="eastAsia"/>
                <w:color w:val="000000"/>
                <w:sz w:val="24"/>
              </w:rPr>
              <w:t>报告期期末管理人持有的本基金份额</w:t>
            </w:r>
          </w:p>
        </w:tc>
        <w:tc>
          <w:tcPr>
            <w:tcW w:w="2007" w:type="pct"/>
            <w:tcBorders>
              <w:top w:val="single" w:sz="8" w:space="0" w:color="000000"/>
              <w:left w:val="single" w:sz="8" w:space="0" w:color="000000"/>
              <w:bottom w:val="single" w:sz="8" w:space="0" w:color="000000"/>
              <w:right w:val="single" w:sz="8" w:space="0" w:color="000000"/>
            </w:tcBorders>
            <w:vAlign w:val="center"/>
            <w:hideMark/>
          </w:tcPr>
          <w:p w:rsidR="00A314F4" w:rsidRPr="00BC4037" w:rsidRDefault="00A314F4" w:rsidP="00A314F4">
            <w:pPr>
              <w:spacing w:line="288" w:lineRule="auto"/>
              <w:jc w:val="right"/>
              <w:rPr>
                <w:rFonts w:eastAsiaTheme="minorEastAsia"/>
                <w:color w:val="000000"/>
                <w:sz w:val="24"/>
              </w:rPr>
            </w:pPr>
            <w:r w:rsidRPr="00BC4037">
              <w:rPr>
                <w:rFonts w:eastAsiaTheme="minorEastAsia"/>
                <w:color w:val="000000"/>
                <w:sz w:val="24"/>
              </w:rPr>
              <w:t>11,889,417.36</w:t>
            </w:r>
          </w:p>
        </w:tc>
      </w:tr>
      <w:tr w:rsidR="00A314F4" w:rsidRPr="00A314F4" w:rsidTr="00BC4037">
        <w:trPr>
          <w:jc w:val="center"/>
        </w:trPr>
        <w:tc>
          <w:tcPr>
            <w:tcW w:w="2993" w:type="pct"/>
            <w:tcBorders>
              <w:top w:val="single" w:sz="8" w:space="0" w:color="000000"/>
              <w:left w:val="single" w:sz="8" w:space="0" w:color="000000"/>
              <w:bottom w:val="single" w:sz="8" w:space="0" w:color="000000"/>
              <w:right w:val="single" w:sz="8" w:space="0" w:color="000000"/>
            </w:tcBorders>
            <w:vAlign w:val="center"/>
            <w:hideMark/>
          </w:tcPr>
          <w:p w:rsidR="00A314F4" w:rsidRPr="00A314F4" w:rsidRDefault="00A314F4" w:rsidP="00A314F4">
            <w:pPr>
              <w:adjustRightInd w:val="0"/>
              <w:snapToGrid w:val="0"/>
              <w:spacing w:line="288" w:lineRule="auto"/>
              <w:rPr>
                <w:color w:val="000000"/>
                <w:sz w:val="24"/>
                <w:szCs w:val="24"/>
              </w:rPr>
            </w:pPr>
            <w:r w:rsidRPr="00A314F4">
              <w:rPr>
                <w:rFonts w:hint="eastAsia"/>
                <w:color w:val="000000"/>
                <w:sz w:val="24"/>
              </w:rPr>
              <w:t>报告期期末持有的本基金份额占基金总份额比例（</w:t>
            </w:r>
            <w:r w:rsidRPr="00A314F4">
              <w:rPr>
                <w:color w:val="000000"/>
                <w:sz w:val="24"/>
              </w:rPr>
              <w:t>%</w:t>
            </w:r>
            <w:r w:rsidRPr="00A314F4">
              <w:rPr>
                <w:rFonts w:hint="eastAsia"/>
                <w:color w:val="000000"/>
                <w:sz w:val="24"/>
              </w:rPr>
              <w:t>）</w:t>
            </w:r>
          </w:p>
        </w:tc>
        <w:tc>
          <w:tcPr>
            <w:tcW w:w="2007" w:type="pct"/>
            <w:tcBorders>
              <w:top w:val="single" w:sz="8" w:space="0" w:color="000000"/>
              <w:left w:val="single" w:sz="8" w:space="0" w:color="000000"/>
              <w:bottom w:val="single" w:sz="8" w:space="0" w:color="000000"/>
              <w:right w:val="single" w:sz="8" w:space="0" w:color="000000"/>
            </w:tcBorders>
            <w:vAlign w:val="center"/>
            <w:hideMark/>
          </w:tcPr>
          <w:p w:rsidR="00A314F4" w:rsidRPr="00BC4037" w:rsidRDefault="00A314F4" w:rsidP="00A314F4">
            <w:pPr>
              <w:spacing w:line="288" w:lineRule="auto"/>
              <w:jc w:val="right"/>
              <w:rPr>
                <w:rFonts w:eastAsiaTheme="minorEastAsia"/>
                <w:color w:val="000000"/>
                <w:sz w:val="24"/>
              </w:rPr>
            </w:pPr>
            <w:r w:rsidRPr="00BC4037">
              <w:rPr>
                <w:rFonts w:eastAsiaTheme="minorEastAsia"/>
                <w:color w:val="000000"/>
                <w:sz w:val="24"/>
              </w:rPr>
              <w:t>19.21%</w:t>
            </w:r>
          </w:p>
        </w:tc>
      </w:tr>
    </w:tbl>
    <w:p w:rsidR="00052644" w:rsidRDefault="005F2280">
      <w:pPr>
        <w:autoSpaceDE w:val="0"/>
        <w:autoSpaceDN w:val="0"/>
        <w:adjustRightInd w:val="0"/>
        <w:spacing w:before="29" w:line="288" w:lineRule="auto"/>
        <w:jc w:val="left"/>
        <w:rPr>
          <w:rFonts w:eastAsiaTheme="minorEastAsia"/>
          <w:color w:val="000000"/>
          <w:sz w:val="24"/>
        </w:rPr>
      </w:pPr>
      <w:r w:rsidRPr="00A314F4">
        <w:rPr>
          <w:rFonts w:eastAsiaTheme="minorEastAsia" w:hint="eastAsia"/>
          <w:color w:val="000000"/>
          <w:sz w:val="24"/>
        </w:rPr>
        <w:t>注：</w:t>
      </w:r>
      <w:r w:rsidRPr="00A314F4">
        <w:rPr>
          <w:rFonts w:eastAsiaTheme="minorEastAsia"/>
          <w:color w:val="000000"/>
          <w:sz w:val="24"/>
        </w:rPr>
        <w:t>1</w:t>
      </w:r>
      <w:r w:rsidRPr="00A314F4">
        <w:rPr>
          <w:rFonts w:eastAsiaTheme="minorEastAsia" w:hint="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5F2280" w:rsidRPr="007E75F6" w:rsidRDefault="005F2280" w:rsidP="005F2280">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5F2280" w:rsidRPr="007E75F6" w:rsidRDefault="005F2280" w:rsidP="005F2280">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5F2280" w:rsidRPr="007E75F6" w:rsidTr="009C1405">
        <w:tc>
          <w:tcPr>
            <w:tcW w:w="851" w:type="dxa"/>
            <w:vMerge w:val="restart"/>
            <w:vAlign w:val="center"/>
          </w:tcPr>
          <w:p w:rsidR="005F2280" w:rsidRPr="00412CB5" w:rsidRDefault="005F2280" w:rsidP="009C1405">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5F2280" w:rsidRPr="00412CB5" w:rsidRDefault="005F2280" w:rsidP="009C1405">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5F2280" w:rsidRPr="00412CB5" w:rsidRDefault="005F2280" w:rsidP="009C1405">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5F2280" w:rsidRPr="007E75F6" w:rsidTr="009C1405">
        <w:tc>
          <w:tcPr>
            <w:tcW w:w="851" w:type="dxa"/>
            <w:vMerge/>
            <w:vAlign w:val="center"/>
          </w:tcPr>
          <w:p w:rsidR="005F2280" w:rsidRPr="00412CB5" w:rsidRDefault="005F2280" w:rsidP="009C1405">
            <w:pPr>
              <w:autoSpaceDE w:val="0"/>
              <w:autoSpaceDN w:val="0"/>
              <w:adjustRightInd w:val="0"/>
              <w:jc w:val="center"/>
              <w:rPr>
                <w:rFonts w:ascii="宋体" w:hAnsi="宋体"/>
                <w:color w:val="000000"/>
                <w:sz w:val="22"/>
              </w:rPr>
            </w:pPr>
          </w:p>
        </w:tc>
        <w:tc>
          <w:tcPr>
            <w:tcW w:w="1134" w:type="dxa"/>
            <w:vAlign w:val="center"/>
          </w:tcPr>
          <w:p w:rsidR="005F2280" w:rsidRPr="00412CB5" w:rsidRDefault="005F2280" w:rsidP="009C1405">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5F2280" w:rsidRPr="00412CB5" w:rsidRDefault="005F2280" w:rsidP="009C1405">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5F2280" w:rsidRPr="00412CB5" w:rsidRDefault="005F2280" w:rsidP="009C1405">
            <w:pPr>
              <w:widowControl/>
              <w:jc w:val="center"/>
              <w:rPr>
                <w:rFonts w:ascii="宋体" w:hAnsi="宋体"/>
                <w:color w:val="000000"/>
                <w:sz w:val="22"/>
              </w:rPr>
            </w:pPr>
            <w:r w:rsidRPr="00412CB5">
              <w:rPr>
                <w:rFonts w:ascii="宋体" w:hAnsi="宋体" w:hint="eastAsia"/>
                <w:color w:val="000000"/>
                <w:sz w:val="22"/>
              </w:rPr>
              <w:t>期初份额</w:t>
            </w:r>
          </w:p>
          <w:p w:rsidR="005F2280" w:rsidRPr="00412CB5" w:rsidRDefault="005F2280" w:rsidP="009C1405">
            <w:pPr>
              <w:autoSpaceDE w:val="0"/>
              <w:autoSpaceDN w:val="0"/>
              <w:adjustRightInd w:val="0"/>
              <w:jc w:val="center"/>
              <w:rPr>
                <w:rFonts w:ascii="宋体" w:hAnsi="宋体"/>
                <w:color w:val="000000"/>
                <w:sz w:val="22"/>
              </w:rPr>
            </w:pPr>
          </w:p>
        </w:tc>
        <w:tc>
          <w:tcPr>
            <w:tcW w:w="850" w:type="dxa"/>
            <w:vAlign w:val="center"/>
          </w:tcPr>
          <w:p w:rsidR="005F2280" w:rsidRPr="00412CB5" w:rsidRDefault="005F2280" w:rsidP="009C1405">
            <w:pPr>
              <w:widowControl/>
              <w:jc w:val="center"/>
              <w:rPr>
                <w:rFonts w:ascii="宋体" w:hAnsi="宋体"/>
                <w:color w:val="000000"/>
                <w:sz w:val="22"/>
              </w:rPr>
            </w:pPr>
            <w:r w:rsidRPr="00412CB5">
              <w:rPr>
                <w:rFonts w:ascii="宋体" w:hAnsi="宋体" w:hint="eastAsia"/>
                <w:color w:val="000000"/>
                <w:sz w:val="22"/>
              </w:rPr>
              <w:t>申购份额</w:t>
            </w:r>
          </w:p>
          <w:p w:rsidR="005F2280" w:rsidRPr="00412CB5" w:rsidRDefault="005F2280" w:rsidP="009C1405">
            <w:pPr>
              <w:autoSpaceDE w:val="0"/>
              <w:autoSpaceDN w:val="0"/>
              <w:adjustRightInd w:val="0"/>
              <w:jc w:val="center"/>
              <w:rPr>
                <w:rFonts w:ascii="宋体" w:hAnsi="宋体"/>
                <w:color w:val="000000"/>
                <w:sz w:val="22"/>
              </w:rPr>
            </w:pPr>
          </w:p>
        </w:tc>
        <w:tc>
          <w:tcPr>
            <w:tcW w:w="992" w:type="dxa"/>
            <w:vAlign w:val="center"/>
          </w:tcPr>
          <w:p w:rsidR="005F2280" w:rsidRPr="00412CB5" w:rsidRDefault="005F2280" w:rsidP="009C1405">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5F2280" w:rsidRPr="00412CB5" w:rsidRDefault="005F2280" w:rsidP="009C1405">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5F2280" w:rsidRPr="00412CB5" w:rsidRDefault="005F2280" w:rsidP="009C1405">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5F2280" w:rsidTr="009C1405">
        <w:tc>
          <w:tcPr>
            <w:tcW w:w="851" w:type="dxa"/>
          </w:tcPr>
          <w:p w:rsidR="005F2280" w:rsidRDefault="005F2280" w:rsidP="009C1405"/>
          <w:p w:rsidR="005F2280" w:rsidRDefault="005F2280" w:rsidP="009C1405">
            <w:r>
              <w:rPr>
                <w:rFonts w:eastAsiaTheme="minorEastAsia" w:hint="eastAsia"/>
                <w:bCs/>
                <w:color w:val="000000" w:themeColor="text1"/>
                <w:sz w:val="24"/>
              </w:rPr>
              <w:t>机构</w:t>
            </w:r>
          </w:p>
        </w:tc>
        <w:tc>
          <w:tcPr>
            <w:tcW w:w="1134" w:type="dxa"/>
            <w:vAlign w:val="center"/>
          </w:tcPr>
          <w:p w:rsidR="005F2280" w:rsidRDefault="005F2280" w:rsidP="009C1405">
            <w:pPr>
              <w:jc w:val="center"/>
            </w:pPr>
            <w:r>
              <w:rPr>
                <w:color w:val="000000"/>
                <w:sz w:val="22"/>
              </w:rPr>
              <w:t>1</w:t>
            </w:r>
          </w:p>
        </w:tc>
        <w:tc>
          <w:tcPr>
            <w:tcW w:w="1843" w:type="dxa"/>
            <w:vAlign w:val="center"/>
          </w:tcPr>
          <w:p w:rsidR="005F2280" w:rsidRDefault="005F2280" w:rsidP="009C1405">
            <w:pPr>
              <w:jc w:val="center"/>
            </w:pPr>
            <w:r>
              <w:rPr>
                <w:color w:val="000000"/>
                <w:sz w:val="22"/>
              </w:rPr>
              <w:t>2017/1/1-2017/3/31</w:t>
            </w:r>
          </w:p>
        </w:tc>
        <w:tc>
          <w:tcPr>
            <w:tcW w:w="851" w:type="dxa"/>
            <w:vAlign w:val="center"/>
          </w:tcPr>
          <w:p w:rsidR="005F2280" w:rsidRDefault="005F2280" w:rsidP="009C1405">
            <w:pPr>
              <w:jc w:val="center"/>
            </w:pPr>
            <w:r>
              <w:rPr>
                <w:color w:val="000000"/>
                <w:sz w:val="22"/>
              </w:rPr>
              <w:t>11,889,417.36</w:t>
            </w:r>
          </w:p>
        </w:tc>
        <w:tc>
          <w:tcPr>
            <w:tcW w:w="850" w:type="dxa"/>
            <w:vAlign w:val="center"/>
          </w:tcPr>
          <w:p w:rsidR="005F2280" w:rsidRDefault="005F2280" w:rsidP="009C1405">
            <w:pPr>
              <w:jc w:val="center"/>
            </w:pPr>
            <w:r>
              <w:rPr>
                <w:color w:val="000000"/>
                <w:sz w:val="22"/>
              </w:rPr>
              <w:t>-</w:t>
            </w:r>
          </w:p>
        </w:tc>
        <w:tc>
          <w:tcPr>
            <w:tcW w:w="992" w:type="dxa"/>
            <w:vAlign w:val="center"/>
          </w:tcPr>
          <w:p w:rsidR="005F2280" w:rsidRDefault="005F2280" w:rsidP="009C1405">
            <w:pPr>
              <w:jc w:val="center"/>
            </w:pPr>
            <w:r>
              <w:rPr>
                <w:color w:val="000000"/>
                <w:sz w:val="22"/>
              </w:rPr>
              <w:t>-</w:t>
            </w:r>
          </w:p>
        </w:tc>
        <w:tc>
          <w:tcPr>
            <w:tcW w:w="1418" w:type="dxa"/>
            <w:vAlign w:val="center"/>
          </w:tcPr>
          <w:p w:rsidR="005F2280" w:rsidRDefault="005F2280" w:rsidP="009C1405">
            <w:pPr>
              <w:jc w:val="center"/>
            </w:pPr>
            <w:r>
              <w:rPr>
                <w:color w:val="000000"/>
                <w:sz w:val="22"/>
              </w:rPr>
              <w:t>11,889,417.36</w:t>
            </w:r>
          </w:p>
        </w:tc>
        <w:tc>
          <w:tcPr>
            <w:tcW w:w="1273" w:type="dxa"/>
            <w:vAlign w:val="center"/>
          </w:tcPr>
          <w:p w:rsidR="005F2280" w:rsidRDefault="005F2280" w:rsidP="009C1405">
            <w:pPr>
              <w:jc w:val="center"/>
            </w:pPr>
            <w:r>
              <w:rPr>
                <w:color w:val="000000"/>
                <w:sz w:val="22"/>
              </w:rPr>
              <w:t>19.21%</w:t>
            </w:r>
          </w:p>
        </w:tc>
      </w:tr>
      <w:tr w:rsidR="005F2280" w:rsidRPr="0077692E" w:rsidTr="009C1405">
        <w:tc>
          <w:tcPr>
            <w:tcW w:w="9212" w:type="dxa"/>
            <w:gridSpan w:val="8"/>
            <w:vAlign w:val="center"/>
          </w:tcPr>
          <w:p w:rsidR="005F2280" w:rsidRPr="0077692E" w:rsidRDefault="005F2280" w:rsidP="009C1405">
            <w:pPr>
              <w:autoSpaceDE w:val="0"/>
              <w:autoSpaceDN w:val="0"/>
              <w:adjustRightInd w:val="0"/>
              <w:ind w:firstLine="1126"/>
              <w:jc w:val="center"/>
              <w:rPr>
                <w:sz w:val="22"/>
              </w:rPr>
            </w:pPr>
            <w:r w:rsidRPr="0077692E">
              <w:rPr>
                <w:color w:val="000000"/>
                <w:sz w:val="22"/>
              </w:rPr>
              <w:t>产品特有风险</w:t>
            </w:r>
          </w:p>
        </w:tc>
      </w:tr>
      <w:tr w:rsidR="005F2280" w:rsidRPr="00EF20F9" w:rsidTr="009C1405">
        <w:tc>
          <w:tcPr>
            <w:tcW w:w="9212" w:type="dxa"/>
            <w:gridSpan w:val="8"/>
            <w:vAlign w:val="center"/>
          </w:tcPr>
          <w:p w:rsidR="005F2280" w:rsidRPr="00EF20F9" w:rsidRDefault="005F2280" w:rsidP="009C1405">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5F2280" w:rsidRPr="00E02660" w:rsidRDefault="005F2280" w:rsidP="005F2280">
      <w:pPr>
        <w:pStyle w:val="1"/>
        <w:spacing w:beforeLines="100" w:before="312" w:afterLines="100" w:after="312" w:line="288" w:lineRule="auto"/>
        <w:jc w:val="center"/>
        <w:rPr>
          <w:color w:val="000000"/>
          <w:kern w:val="0"/>
          <w:sz w:val="24"/>
          <w:szCs w:val="24"/>
        </w:rPr>
      </w:pPr>
      <w:r w:rsidRPr="00414345">
        <w:rPr>
          <w:color w:val="000000"/>
          <w:kern w:val="0"/>
          <w:sz w:val="24"/>
          <w:szCs w:val="24"/>
        </w:rPr>
        <w:t>§9</w:t>
      </w:r>
      <w:r w:rsidRPr="00414345">
        <w:rPr>
          <w:color w:val="000000"/>
          <w:kern w:val="0"/>
          <w:sz w:val="24"/>
          <w:szCs w:val="24"/>
        </w:rPr>
        <w:t>备查文件目录</w:t>
      </w:r>
    </w:p>
    <w:p w:rsidR="005F2280" w:rsidRPr="00414345" w:rsidRDefault="005F2280" w:rsidP="005F228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9.1</w:t>
      </w:r>
      <w:r w:rsidRPr="00414345">
        <w:rPr>
          <w:b/>
          <w:bCs/>
          <w:color w:val="000000"/>
          <w:kern w:val="0"/>
          <w:sz w:val="24"/>
          <w:szCs w:val="24"/>
        </w:rPr>
        <w:t>备查文件目录</w:t>
      </w:r>
    </w:p>
    <w:p w:rsidR="005F2280" w:rsidRDefault="005F2280" w:rsidP="005F228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、中国证监会批准交银施罗德沪深</w:t>
      </w:r>
      <w:r>
        <w:rPr>
          <w:color w:val="000000"/>
          <w:sz w:val="24"/>
          <w:szCs w:val="24"/>
        </w:rPr>
        <w:t>300</w:t>
      </w:r>
      <w:r>
        <w:rPr>
          <w:color w:val="000000"/>
          <w:sz w:val="24"/>
          <w:szCs w:val="24"/>
        </w:rPr>
        <w:t>行业分层等权重指数证券投资基金募集的文件；</w:t>
      </w:r>
    </w:p>
    <w:p w:rsidR="005F2280" w:rsidRDefault="005F2280" w:rsidP="005F228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、《交银施罗德消费新驱动股票型证券投资基金基金合同》；</w:t>
      </w:r>
    </w:p>
    <w:p w:rsidR="005F2280" w:rsidRDefault="005F2280" w:rsidP="005F228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、《交银施罗德消费新驱动股票型证券投资基金招募说明书》；</w:t>
      </w:r>
    </w:p>
    <w:p w:rsidR="005F2280" w:rsidRDefault="005F2280" w:rsidP="005F228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、《交银施罗德消费新驱动股票型证券投资基金托管协议》；</w:t>
      </w:r>
    </w:p>
    <w:p w:rsidR="005F2280" w:rsidRDefault="005F2280" w:rsidP="005F2280">
      <w:pPr>
        <w:spacing w:before="29" w:line="288" w:lineRule="auto"/>
        <w:ind w:firstLineChars="200" w:firstLine="480"/>
        <w:rPr>
          <w:color w:val="000000"/>
          <w:sz w:val="24"/>
          <w:szCs w:val="24"/>
        </w:rPr>
      </w:pPr>
      <w:r>
        <w:rPr>
          <w:color w:val="000000"/>
          <w:sz w:val="24"/>
          <w:szCs w:val="24"/>
        </w:rPr>
        <w:t>5</w:t>
      </w:r>
      <w:r>
        <w:rPr>
          <w:color w:val="000000"/>
          <w:sz w:val="24"/>
          <w:szCs w:val="24"/>
        </w:rPr>
        <w:t>、《交银施罗德沪深</w:t>
      </w:r>
      <w:r>
        <w:rPr>
          <w:color w:val="000000"/>
          <w:sz w:val="24"/>
          <w:szCs w:val="24"/>
        </w:rPr>
        <w:t>300</w:t>
      </w:r>
      <w:r>
        <w:rPr>
          <w:color w:val="000000"/>
          <w:sz w:val="24"/>
          <w:szCs w:val="24"/>
        </w:rPr>
        <w:t>行业分层等权重指数证券投资基金基金合同》；</w:t>
      </w:r>
    </w:p>
    <w:p w:rsidR="005F2280" w:rsidRDefault="005F2280" w:rsidP="005F2280">
      <w:pPr>
        <w:spacing w:before="29" w:line="288" w:lineRule="auto"/>
        <w:ind w:firstLineChars="200" w:firstLine="480"/>
        <w:rPr>
          <w:color w:val="000000"/>
          <w:sz w:val="24"/>
          <w:szCs w:val="24"/>
        </w:rPr>
      </w:pPr>
      <w:r>
        <w:rPr>
          <w:color w:val="000000"/>
          <w:sz w:val="24"/>
          <w:szCs w:val="24"/>
        </w:rPr>
        <w:t>6</w:t>
      </w:r>
      <w:r>
        <w:rPr>
          <w:color w:val="000000"/>
          <w:sz w:val="24"/>
          <w:szCs w:val="24"/>
        </w:rPr>
        <w:t>、《交银施罗德沪深</w:t>
      </w:r>
      <w:r>
        <w:rPr>
          <w:color w:val="000000"/>
          <w:sz w:val="24"/>
          <w:szCs w:val="24"/>
        </w:rPr>
        <w:t>300</w:t>
      </w:r>
      <w:r>
        <w:rPr>
          <w:color w:val="000000"/>
          <w:sz w:val="24"/>
          <w:szCs w:val="24"/>
        </w:rPr>
        <w:t>行业分层等权重指数证券投资基金招募说明书》；</w:t>
      </w:r>
    </w:p>
    <w:p w:rsidR="005F2280" w:rsidRDefault="005F2280" w:rsidP="005F2280">
      <w:pPr>
        <w:spacing w:before="29" w:line="288" w:lineRule="auto"/>
        <w:ind w:firstLineChars="200" w:firstLine="480"/>
        <w:rPr>
          <w:color w:val="000000"/>
          <w:sz w:val="24"/>
          <w:szCs w:val="24"/>
        </w:rPr>
      </w:pPr>
      <w:r>
        <w:rPr>
          <w:color w:val="000000"/>
          <w:sz w:val="24"/>
          <w:szCs w:val="24"/>
        </w:rPr>
        <w:t>7</w:t>
      </w:r>
      <w:r>
        <w:rPr>
          <w:color w:val="000000"/>
          <w:sz w:val="24"/>
          <w:szCs w:val="24"/>
        </w:rPr>
        <w:t>、《交银施罗德沪深</w:t>
      </w:r>
      <w:r>
        <w:rPr>
          <w:color w:val="000000"/>
          <w:sz w:val="24"/>
          <w:szCs w:val="24"/>
        </w:rPr>
        <w:t>300</w:t>
      </w:r>
      <w:r>
        <w:rPr>
          <w:color w:val="000000"/>
          <w:sz w:val="24"/>
          <w:szCs w:val="24"/>
        </w:rPr>
        <w:t>行业分层等权重指数证券投资基金托管协议》；</w:t>
      </w:r>
    </w:p>
    <w:p w:rsidR="005F2280" w:rsidRDefault="005F2280" w:rsidP="005F2280">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p>
    <w:p w:rsidR="005F2280" w:rsidRDefault="005F2280" w:rsidP="005F2280">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p>
    <w:p w:rsidR="005F2280" w:rsidRDefault="005F2280" w:rsidP="005F2280">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、关于申请募集交银施罗德沪深</w:t>
      </w:r>
      <w:r>
        <w:rPr>
          <w:color w:val="000000"/>
          <w:sz w:val="24"/>
          <w:szCs w:val="24"/>
        </w:rPr>
        <w:t>300</w:t>
      </w:r>
      <w:r>
        <w:rPr>
          <w:color w:val="000000"/>
          <w:sz w:val="24"/>
          <w:szCs w:val="24"/>
        </w:rPr>
        <w:t>行业分层等权重指数证券投资基金之法律意见书；</w:t>
      </w:r>
    </w:p>
    <w:p w:rsidR="005F2280" w:rsidRDefault="005F2280" w:rsidP="005F2280">
      <w:pPr>
        <w:spacing w:before="29" w:line="288" w:lineRule="auto"/>
        <w:ind w:firstLineChars="200" w:firstLine="480"/>
        <w:rPr>
          <w:color w:val="000000"/>
          <w:sz w:val="24"/>
          <w:szCs w:val="24"/>
        </w:rPr>
      </w:pPr>
      <w:r>
        <w:rPr>
          <w:color w:val="000000"/>
          <w:sz w:val="24"/>
          <w:szCs w:val="24"/>
        </w:rPr>
        <w:t>11</w:t>
      </w:r>
      <w:r>
        <w:rPr>
          <w:color w:val="000000"/>
          <w:sz w:val="24"/>
          <w:szCs w:val="24"/>
        </w:rPr>
        <w:t>、关于《申请交银施罗德沪深</w:t>
      </w:r>
      <w:r>
        <w:rPr>
          <w:color w:val="000000"/>
          <w:sz w:val="24"/>
          <w:szCs w:val="24"/>
        </w:rPr>
        <w:t>300</w:t>
      </w:r>
      <w:r>
        <w:rPr>
          <w:color w:val="000000"/>
          <w:sz w:val="24"/>
          <w:szCs w:val="24"/>
        </w:rPr>
        <w:t>行业分层等权重指数证券投资基金变更注册为交银施罗德消费新驱动股票型证券投资基金》的法律意见；</w:t>
      </w:r>
    </w:p>
    <w:p w:rsidR="005F2280" w:rsidRPr="00414345" w:rsidRDefault="005F2280" w:rsidP="005F2280">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、报告期内交银施罗德消费新驱动股票型证券投资基金、交银施罗德沪深</w:t>
      </w:r>
      <w:r w:rsidRPr="00414345">
        <w:rPr>
          <w:color w:val="000000"/>
          <w:sz w:val="24"/>
          <w:szCs w:val="24"/>
        </w:rPr>
        <w:t>300</w:t>
      </w:r>
      <w:r w:rsidRPr="00414345">
        <w:rPr>
          <w:color w:val="000000"/>
          <w:sz w:val="24"/>
          <w:szCs w:val="24"/>
        </w:rPr>
        <w:t>行业分层等权重指数证券投资基金在指定报刊上各项公告的原稿。</w:t>
      </w:r>
    </w:p>
    <w:p w:rsidR="005F2280" w:rsidRPr="00414345" w:rsidRDefault="005F2280" w:rsidP="005F2280">
      <w:pPr>
        <w:spacing w:before="29" w:line="288" w:lineRule="auto"/>
        <w:ind w:firstLineChars="200" w:firstLine="480"/>
        <w:rPr>
          <w:color w:val="000000"/>
          <w:sz w:val="24"/>
          <w:szCs w:val="24"/>
        </w:rPr>
      </w:pPr>
    </w:p>
    <w:p w:rsidR="005F2280" w:rsidRPr="00414345" w:rsidRDefault="005F2280" w:rsidP="005F228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9.2</w:t>
      </w:r>
      <w:r w:rsidRPr="00414345">
        <w:rPr>
          <w:b/>
          <w:bCs/>
          <w:color w:val="000000"/>
          <w:kern w:val="0"/>
          <w:sz w:val="24"/>
          <w:szCs w:val="24"/>
        </w:rPr>
        <w:t>存放地点</w:t>
      </w:r>
    </w:p>
    <w:p w:rsidR="005F2280" w:rsidRPr="00414345" w:rsidRDefault="005F2280" w:rsidP="005F228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5F2280" w:rsidRPr="00414345" w:rsidRDefault="005F2280" w:rsidP="005F2280">
      <w:pPr>
        <w:spacing w:before="29" w:line="288" w:lineRule="auto"/>
        <w:ind w:firstLineChars="200" w:firstLine="480"/>
        <w:rPr>
          <w:color w:val="000000"/>
          <w:sz w:val="24"/>
          <w:szCs w:val="24"/>
        </w:rPr>
      </w:pPr>
    </w:p>
    <w:p w:rsidR="005F2280" w:rsidRPr="00414345" w:rsidRDefault="005F2280" w:rsidP="005F228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9.3</w:t>
      </w:r>
      <w:r w:rsidRPr="00414345">
        <w:rPr>
          <w:b/>
          <w:bCs/>
          <w:color w:val="000000"/>
          <w:kern w:val="0"/>
          <w:sz w:val="24"/>
          <w:szCs w:val="24"/>
        </w:rPr>
        <w:t>查阅方式</w:t>
      </w:r>
    </w:p>
    <w:p w:rsidR="005F2280" w:rsidRDefault="005F2280" w:rsidP="005F228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5F2280" w:rsidRPr="00414345" w:rsidRDefault="005F2280" w:rsidP="005F2280">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5F2280" w:rsidRPr="00414345" w:rsidRDefault="005F2280" w:rsidP="005F2280">
      <w:pPr>
        <w:spacing w:before="29" w:line="288" w:lineRule="auto"/>
        <w:ind w:firstLineChars="200" w:firstLine="480"/>
        <w:rPr>
          <w:color w:val="000000"/>
          <w:sz w:val="24"/>
          <w:szCs w:val="24"/>
        </w:rPr>
      </w:pPr>
    </w:p>
    <w:p w:rsidR="002C3C7A" w:rsidRPr="005F2280" w:rsidRDefault="002C3C7A" w:rsidP="005F2280">
      <w:pPr>
        <w:pStyle w:val="1"/>
        <w:spacing w:beforeLines="100" w:before="312" w:afterLines="100" w:after="312" w:line="288" w:lineRule="auto"/>
        <w:jc w:val="center"/>
        <w:rPr>
          <w:color w:val="000000"/>
          <w:sz w:val="24"/>
          <w:szCs w:val="24"/>
        </w:rPr>
      </w:pPr>
    </w:p>
    <w:sectPr w:rsidR="002C3C7A" w:rsidRPr="005F2280"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7FCF" w:rsidRDefault="00097FCF" w:rsidP="00876D65">
      <w:r>
        <w:separator/>
      </w:r>
    </w:p>
  </w:endnote>
  <w:endnote w:type="continuationSeparator" w:id="0">
    <w:p w:rsidR="00097FCF" w:rsidRDefault="00097FC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52644">
      <w:rPr>
        <w:kern w:val="0"/>
        <w:szCs w:val="21"/>
      </w:rPr>
      <w:fldChar w:fldCharType="begin"/>
    </w:r>
    <w:r>
      <w:rPr>
        <w:kern w:val="0"/>
        <w:szCs w:val="21"/>
      </w:rPr>
      <w:instrText xml:space="preserve"> PAGE </w:instrText>
    </w:r>
    <w:r w:rsidR="00052644">
      <w:rPr>
        <w:kern w:val="0"/>
        <w:szCs w:val="21"/>
      </w:rPr>
      <w:fldChar w:fldCharType="separate"/>
    </w:r>
    <w:r w:rsidR="00AD08A5">
      <w:rPr>
        <w:noProof/>
        <w:kern w:val="0"/>
        <w:szCs w:val="21"/>
      </w:rPr>
      <w:t>6</w:t>
    </w:r>
    <w:r w:rsidR="00052644">
      <w:rPr>
        <w:kern w:val="0"/>
        <w:szCs w:val="21"/>
      </w:rPr>
      <w:fldChar w:fldCharType="end"/>
    </w:r>
    <w:r>
      <w:rPr>
        <w:rFonts w:hint="eastAsia"/>
        <w:kern w:val="0"/>
        <w:szCs w:val="21"/>
      </w:rPr>
      <w:t>页共</w:t>
    </w:r>
    <w:r w:rsidR="00052644">
      <w:rPr>
        <w:kern w:val="0"/>
        <w:szCs w:val="21"/>
      </w:rPr>
      <w:fldChar w:fldCharType="begin"/>
    </w:r>
    <w:r>
      <w:rPr>
        <w:kern w:val="0"/>
        <w:szCs w:val="21"/>
      </w:rPr>
      <w:instrText xml:space="preserve"> NUMPAGES </w:instrText>
    </w:r>
    <w:r w:rsidR="00052644">
      <w:rPr>
        <w:kern w:val="0"/>
        <w:szCs w:val="21"/>
      </w:rPr>
      <w:fldChar w:fldCharType="separate"/>
    </w:r>
    <w:r w:rsidR="00AD08A5">
      <w:rPr>
        <w:noProof/>
        <w:kern w:val="0"/>
        <w:szCs w:val="21"/>
      </w:rPr>
      <w:t>11</w:t>
    </w:r>
    <w:r w:rsidR="0005264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7FCF" w:rsidRDefault="00097FCF" w:rsidP="00876D65">
      <w:r>
        <w:separator/>
      </w:r>
    </w:p>
  </w:footnote>
  <w:footnote w:type="continuationSeparator" w:id="0">
    <w:p w:rsidR="00097FCF" w:rsidRDefault="00097FC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52644"/>
    <w:rsid w:val="0006147E"/>
    <w:rsid w:val="000625ED"/>
    <w:rsid w:val="00064D40"/>
    <w:rsid w:val="000815C0"/>
    <w:rsid w:val="000824E7"/>
    <w:rsid w:val="0008313A"/>
    <w:rsid w:val="00085E78"/>
    <w:rsid w:val="0008689B"/>
    <w:rsid w:val="00086D4E"/>
    <w:rsid w:val="000907D2"/>
    <w:rsid w:val="00090A26"/>
    <w:rsid w:val="00097FCF"/>
    <w:rsid w:val="000A2B53"/>
    <w:rsid w:val="000A2FC0"/>
    <w:rsid w:val="000A4173"/>
    <w:rsid w:val="000B1D21"/>
    <w:rsid w:val="000B1D94"/>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02896"/>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50C1E"/>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5A1"/>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2280"/>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250E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4F4"/>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1FE0"/>
    <w:rsid w:val="00A83500"/>
    <w:rsid w:val="00A8721A"/>
    <w:rsid w:val="00A90049"/>
    <w:rsid w:val="00A917BF"/>
    <w:rsid w:val="00A96A94"/>
    <w:rsid w:val="00AA3A38"/>
    <w:rsid w:val="00AA4F94"/>
    <w:rsid w:val="00AA6513"/>
    <w:rsid w:val="00AB047E"/>
    <w:rsid w:val="00AB271B"/>
    <w:rsid w:val="00AB4DB6"/>
    <w:rsid w:val="00AB6E79"/>
    <w:rsid w:val="00AC063D"/>
    <w:rsid w:val="00AC592E"/>
    <w:rsid w:val="00AC6C10"/>
    <w:rsid w:val="00AC7BC6"/>
    <w:rsid w:val="00AD08A5"/>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B52"/>
    <w:rsid w:val="00B40F64"/>
    <w:rsid w:val="00B42A76"/>
    <w:rsid w:val="00B47982"/>
    <w:rsid w:val="00B56F53"/>
    <w:rsid w:val="00B61AE6"/>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037"/>
    <w:rsid w:val="00BC4585"/>
    <w:rsid w:val="00BC50F1"/>
    <w:rsid w:val="00BC73E5"/>
    <w:rsid w:val="00BD0031"/>
    <w:rsid w:val="00BD70E0"/>
    <w:rsid w:val="00BD7473"/>
    <w:rsid w:val="00BD7703"/>
    <w:rsid w:val="00BE14ED"/>
    <w:rsid w:val="00BE2975"/>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6B4"/>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5DB4AEB-CA7B-4A15-95E9-C34BDCDC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16612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1E1EB-934D-44EC-82BD-DE938483E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11</Pages>
  <Words>1064</Words>
  <Characters>6069</Characters>
  <Application>Microsoft Office Word</Application>
  <DocSecurity>0</DocSecurity>
  <Lines>50</Lines>
  <Paragraphs>14</Paragraphs>
  <ScaleCrop>false</ScaleCrop>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572</cp:revision>
  <dcterms:created xsi:type="dcterms:W3CDTF">2012-10-16T06:07:00Z</dcterms:created>
  <dcterms:modified xsi:type="dcterms:W3CDTF">2017-04-21T02:13:00Z</dcterms:modified>
</cp:coreProperties>
</file>