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826F7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62291" w:rsidRDefault="00CA37E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826F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491,045,593.11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826F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A37E5" w:rsidRPr="00414345" w:rsidTr="00CA37E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A37E5" w:rsidRPr="00414345" w:rsidTr="00CA37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-32,862,211.05</w:t>
            </w:r>
          </w:p>
        </w:tc>
      </w:tr>
      <w:tr w:rsidR="00CA37E5" w:rsidRPr="00414345" w:rsidTr="00CA37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-7,864,218.54</w:t>
            </w:r>
          </w:p>
        </w:tc>
      </w:tr>
      <w:tr w:rsidR="00CA37E5" w:rsidRPr="00414345" w:rsidTr="00CA37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-0.0149</w:t>
            </w:r>
          </w:p>
        </w:tc>
      </w:tr>
      <w:tr w:rsidR="00CA37E5" w:rsidRPr="00414345" w:rsidTr="00CA37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808,526,137.41</w:t>
            </w:r>
          </w:p>
        </w:tc>
      </w:tr>
      <w:tr w:rsidR="00CA37E5" w:rsidRPr="00414345" w:rsidTr="00CA37E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1.647</w:t>
            </w:r>
          </w:p>
        </w:tc>
      </w:tr>
    </w:tbl>
    <w:p w:rsidR="00362291" w:rsidRDefault="00CA37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62291">
        <w:trPr>
          <w:jc w:val="center"/>
        </w:trPr>
        <w:tc>
          <w:tcPr>
            <w:tcW w:w="1701" w:type="dxa"/>
            <w:vAlign w:val="center"/>
          </w:tcPr>
          <w:p w:rsidR="00362291" w:rsidRDefault="00CA37E5">
            <w:pPr>
              <w:jc w:val="left"/>
            </w:pPr>
            <w:r>
              <w:rPr>
                <w:color w:val="000000"/>
                <w:sz w:val="24"/>
                <w:szCs w:val="24"/>
              </w:rPr>
              <w:t>过去三个月</w:t>
            </w:r>
          </w:p>
        </w:tc>
        <w:tc>
          <w:tcPr>
            <w:tcW w:w="1045" w:type="dxa"/>
            <w:vAlign w:val="center"/>
          </w:tcPr>
          <w:p w:rsidR="00362291" w:rsidRDefault="00CA37E5">
            <w:pPr>
              <w:jc w:val="center"/>
            </w:pPr>
            <w:r>
              <w:rPr>
                <w:color w:val="000000"/>
                <w:sz w:val="24"/>
                <w:szCs w:val="24"/>
              </w:rPr>
              <w:t>-0.66%</w:t>
            </w:r>
          </w:p>
        </w:tc>
        <w:tc>
          <w:tcPr>
            <w:tcW w:w="1344" w:type="dxa"/>
            <w:vAlign w:val="center"/>
          </w:tcPr>
          <w:p w:rsidR="00362291" w:rsidRDefault="00CA37E5">
            <w:pPr>
              <w:jc w:val="center"/>
            </w:pPr>
            <w:r>
              <w:rPr>
                <w:color w:val="000000"/>
                <w:sz w:val="24"/>
                <w:szCs w:val="24"/>
              </w:rPr>
              <w:t>0.83%</w:t>
            </w:r>
          </w:p>
        </w:tc>
        <w:tc>
          <w:tcPr>
            <w:tcW w:w="1194" w:type="dxa"/>
            <w:vAlign w:val="center"/>
          </w:tcPr>
          <w:p w:rsidR="00362291" w:rsidRDefault="00CA37E5">
            <w:pPr>
              <w:jc w:val="center"/>
            </w:pPr>
            <w:r>
              <w:rPr>
                <w:color w:val="000000"/>
                <w:sz w:val="24"/>
                <w:szCs w:val="24"/>
              </w:rPr>
              <w:t>3.27%</w:t>
            </w:r>
          </w:p>
        </w:tc>
        <w:tc>
          <w:tcPr>
            <w:tcW w:w="1492" w:type="dxa"/>
            <w:vAlign w:val="center"/>
          </w:tcPr>
          <w:p w:rsidR="00362291" w:rsidRDefault="00CA37E5">
            <w:pPr>
              <w:jc w:val="center"/>
            </w:pPr>
            <w:r>
              <w:rPr>
                <w:color w:val="000000"/>
                <w:sz w:val="24"/>
                <w:szCs w:val="24"/>
              </w:rPr>
              <w:t>0.39%</w:t>
            </w:r>
          </w:p>
        </w:tc>
        <w:tc>
          <w:tcPr>
            <w:tcW w:w="1194" w:type="dxa"/>
            <w:vAlign w:val="center"/>
          </w:tcPr>
          <w:p w:rsidR="00362291" w:rsidRDefault="00CA37E5">
            <w:pPr>
              <w:jc w:val="center"/>
            </w:pPr>
            <w:r>
              <w:rPr>
                <w:color w:val="000000"/>
                <w:sz w:val="24"/>
                <w:szCs w:val="24"/>
              </w:rPr>
              <w:t>-3.93%</w:t>
            </w:r>
          </w:p>
        </w:tc>
        <w:tc>
          <w:tcPr>
            <w:tcW w:w="898" w:type="dxa"/>
            <w:vAlign w:val="center"/>
          </w:tcPr>
          <w:p w:rsidR="00362291" w:rsidRDefault="00CA37E5">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826F74" w:rsidP="00C15CAC">
      <w:pPr>
        <w:pStyle w:val="a5"/>
        <w:snapToGrid w:val="0"/>
        <w:spacing w:before="29" w:line="288" w:lineRule="auto"/>
        <w:jc w:val="center"/>
        <w:rPr>
          <w:rFonts w:ascii="Times New Roman" w:hAnsi="Times New Roman" w:cs="Times New Roman"/>
          <w:color w:val="000000"/>
          <w:sz w:val="24"/>
          <w:szCs w:val="24"/>
        </w:rPr>
      </w:pPr>
      <w:r w:rsidRPr="00826F74">
        <w:rPr>
          <w:rFonts w:ascii="Times New Roman" w:hAnsi="Times New Roman" w:cs="Times New Roman"/>
          <w:noProof/>
          <w:color w:val="000000"/>
          <w:sz w:val="24"/>
          <w:szCs w:val="24"/>
        </w:rPr>
        <w:drawing>
          <wp:inline distT="0" distB="0" distL="0" distR="0">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826F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62291">
        <w:trPr>
          <w:jc w:val="center"/>
        </w:trPr>
        <w:tc>
          <w:tcPr>
            <w:tcW w:w="846" w:type="dxa"/>
            <w:vAlign w:val="center"/>
          </w:tcPr>
          <w:p w:rsidR="00362291" w:rsidRDefault="00CA37E5">
            <w:pPr>
              <w:jc w:val="center"/>
            </w:pPr>
            <w:r>
              <w:rPr>
                <w:color w:val="000000"/>
                <w:sz w:val="24"/>
                <w:szCs w:val="24"/>
              </w:rPr>
              <w:t>何帅</w:t>
            </w:r>
          </w:p>
        </w:tc>
        <w:tc>
          <w:tcPr>
            <w:tcW w:w="845" w:type="dxa"/>
            <w:vAlign w:val="center"/>
          </w:tcPr>
          <w:p w:rsidR="00362291" w:rsidRDefault="00CA37E5">
            <w:pPr>
              <w:jc w:val="center"/>
            </w:pPr>
            <w:r>
              <w:rPr>
                <w:color w:val="000000"/>
                <w:sz w:val="24"/>
                <w:szCs w:val="24"/>
              </w:rPr>
              <w:t>交银优势行业混合、交银阿尔法核心混合的基金经理</w:t>
            </w:r>
          </w:p>
        </w:tc>
        <w:tc>
          <w:tcPr>
            <w:tcW w:w="1549" w:type="dxa"/>
            <w:vAlign w:val="center"/>
          </w:tcPr>
          <w:p w:rsidR="00362291" w:rsidRDefault="00CA37E5">
            <w:pPr>
              <w:jc w:val="center"/>
            </w:pPr>
            <w:r>
              <w:rPr>
                <w:color w:val="000000"/>
                <w:sz w:val="24"/>
                <w:szCs w:val="24"/>
              </w:rPr>
              <w:t>2015-09-16</w:t>
            </w:r>
          </w:p>
        </w:tc>
        <w:tc>
          <w:tcPr>
            <w:tcW w:w="1548" w:type="dxa"/>
            <w:vAlign w:val="center"/>
          </w:tcPr>
          <w:p w:rsidR="00362291" w:rsidRDefault="00CA37E5">
            <w:pPr>
              <w:jc w:val="center"/>
            </w:pPr>
            <w:r>
              <w:rPr>
                <w:color w:val="000000"/>
                <w:sz w:val="24"/>
                <w:szCs w:val="24"/>
              </w:rPr>
              <w:t>-</w:t>
            </w:r>
          </w:p>
        </w:tc>
        <w:tc>
          <w:tcPr>
            <w:tcW w:w="1407" w:type="dxa"/>
            <w:vAlign w:val="center"/>
          </w:tcPr>
          <w:p w:rsidR="00362291" w:rsidRDefault="00CA37E5">
            <w:pPr>
              <w:jc w:val="center"/>
            </w:pPr>
            <w:r>
              <w:rPr>
                <w:color w:val="000000"/>
                <w:sz w:val="24"/>
                <w:szCs w:val="24"/>
              </w:rPr>
              <w:t>7</w:t>
            </w:r>
            <w:r>
              <w:rPr>
                <w:color w:val="000000"/>
                <w:sz w:val="24"/>
                <w:szCs w:val="24"/>
              </w:rPr>
              <w:t>年</w:t>
            </w:r>
          </w:p>
        </w:tc>
        <w:tc>
          <w:tcPr>
            <w:tcW w:w="2673" w:type="dxa"/>
            <w:vAlign w:val="center"/>
          </w:tcPr>
          <w:p w:rsidR="00362291" w:rsidRDefault="00CA37E5">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62291" w:rsidRDefault="00CA37E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62291" w:rsidRDefault="00CA37E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62291" w:rsidRDefault="00CA37E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62291" w:rsidRDefault="00CA37E5">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62291" w:rsidRDefault="00CA37E5">
      <w:pPr>
        <w:spacing w:before="29" w:line="288" w:lineRule="auto"/>
        <w:ind w:firstLineChars="200" w:firstLine="480"/>
        <w:rPr>
          <w:color w:val="000000"/>
          <w:sz w:val="24"/>
          <w:szCs w:val="24"/>
        </w:rPr>
      </w:pPr>
      <w:r>
        <w:rPr>
          <w:color w:val="000000"/>
          <w:sz w:val="24"/>
          <w:szCs w:val="24"/>
        </w:rPr>
        <w:t>2017</w:t>
      </w:r>
      <w:r>
        <w:rPr>
          <w:color w:val="000000"/>
          <w:sz w:val="24"/>
          <w:szCs w:val="24"/>
        </w:rPr>
        <w:t>年一季度</w:t>
      </w:r>
      <w:r>
        <w:rPr>
          <w:color w:val="000000"/>
          <w:sz w:val="24"/>
          <w:szCs w:val="24"/>
        </w:rPr>
        <w:t>A</w:t>
      </w:r>
      <w:r>
        <w:rPr>
          <w:color w:val="000000"/>
          <w:sz w:val="24"/>
          <w:szCs w:val="24"/>
        </w:rPr>
        <w:t>股市场分化较为明显，上证指数上涨</w:t>
      </w:r>
      <w:r>
        <w:rPr>
          <w:color w:val="000000"/>
          <w:sz w:val="24"/>
          <w:szCs w:val="24"/>
        </w:rPr>
        <w:t>3.83%</w:t>
      </w:r>
      <w:r>
        <w:rPr>
          <w:color w:val="000000"/>
          <w:sz w:val="24"/>
          <w:szCs w:val="24"/>
        </w:rPr>
        <w:t>，创业板指数下跌</w:t>
      </w:r>
      <w:r>
        <w:rPr>
          <w:color w:val="000000"/>
          <w:sz w:val="24"/>
          <w:szCs w:val="24"/>
        </w:rPr>
        <w:t>2.79%</w:t>
      </w:r>
      <w:r>
        <w:rPr>
          <w:color w:val="000000"/>
          <w:sz w:val="24"/>
          <w:szCs w:val="24"/>
        </w:rPr>
        <w:t>。其中家电、家装、白酒等低估值蓝筹股上涨明显。而计算机、传媒等高估值成长股则跌幅明显。</w:t>
      </w:r>
    </w:p>
    <w:p w:rsidR="00362291" w:rsidRDefault="00CA37E5">
      <w:pPr>
        <w:spacing w:before="29" w:line="288" w:lineRule="auto"/>
        <w:ind w:firstLineChars="200" w:firstLine="480"/>
        <w:rPr>
          <w:color w:val="000000"/>
          <w:sz w:val="24"/>
          <w:szCs w:val="24"/>
        </w:rPr>
      </w:pPr>
      <w:r>
        <w:rPr>
          <w:color w:val="000000"/>
          <w:sz w:val="24"/>
          <w:szCs w:val="24"/>
        </w:rPr>
        <w:t>本基金在一季度的表现仍有进步空间，主要原因是在于持仓以成长股为主，且部分成长股由于非核心股东减持等原因造成短期下跌明显。</w:t>
      </w:r>
    </w:p>
    <w:p w:rsidR="00362291" w:rsidRDefault="00CA37E5">
      <w:pPr>
        <w:spacing w:before="29" w:line="288" w:lineRule="auto"/>
        <w:ind w:firstLineChars="200" w:firstLine="480"/>
        <w:rPr>
          <w:color w:val="000000"/>
          <w:sz w:val="24"/>
          <w:szCs w:val="24"/>
        </w:rPr>
      </w:pPr>
      <w:r>
        <w:rPr>
          <w:color w:val="000000"/>
          <w:sz w:val="24"/>
          <w:szCs w:val="24"/>
        </w:rPr>
        <w:t>一季度的市场风格反映出投资人对白马龙头的追捧，龙头在竞争力及市场份额方面优势明显，未来几年内行业优势相对确定。但这种情况已存在多年，</w:t>
      </w:r>
      <w:r>
        <w:rPr>
          <w:color w:val="000000"/>
          <w:sz w:val="24"/>
          <w:szCs w:val="24"/>
        </w:rPr>
        <w:t>2016</w:t>
      </w:r>
      <w:r>
        <w:rPr>
          <w:color w:val="000000"/>
          <w:sz w:val="24"/>
          <w:szCs w:val="24"/>
        </w:rPr>
        <w:t>年四季度起至今年一季度开始集中提升估值。</w:t>
      </w:r>
    </w:p>
    <w:p w:rsidR="00362291" w:rsidRDefault="00CA37E5">
      <w:pPr>
        <w:spacing w:before="29" w:line="288" w:lineRule="auto"/>
        <w:ind w:firstLineChars="200" w:firstLine="480"/>
        <w:rPr>
          <w:color w:val="000000"/>
          <w:sz w:val="24"/>
          <w:szCs w:val="24"/>
        </w:rPr>
      </w:pPr>
      <w:r>
        <w:rPr>
          <w:color w:val="000000"/>
          <w:sz w:val="24"/>
          <w:szCs w:val="24"/>
        </w:rPr>
        <w:t>我们认为对短期市场做判断是很困难及危险的，而近期市场震荡表现也在一定程度上佐证了这一点。寻找可持续成长的行业及公司是本基金主要投资方法，其中这种成长性是来自于一种市场需求的演化或者商业模式的升级，这样才具备增长惯性。同时很多成长类公司在其细分领域龙头优势非常明显，市场占有率达到</w:t>
      </w:r>
      <w:r>
        <w:rPr>
          <w:color w:val="000000"/>
          <w:sz w:val="24"/>
          <w:szCs w:val="24"/>
        </w:rPr>
        <w:t>95%</w:t>
      </w:r>
      <w:r>
        <w:rPr>
          <w:color w:val="000000"/>
          <w:sz w:val="24"/>
          <w:szCs w:val="24"/>
        </w:rPr>
        <w:t>，甚至超过了目前市场追捧的白马龙头。</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我们对二季度市场仍持</w:t>
      </w:r>
      <w:r w:rsidRPr="00414345">
        <w:rPr>
          <w:color w:val="000000"/>
          <w:sz w:val="24"/>
          <w:szCs w:val="24"/>
        </w:rPr>
        <w:t>“</w:t>
      </w:r>
      <w:r w:rsidRPr="00414345">
        <w:rPr>
          <w:color w:val="000000"/>
          <w:sz w:val="24"/>
          <w:szCs w:val="24"/>
        </w:rPr>
        <w:t>震荡格局</w:t>
      </w:r>
      <w:r w:rsidRPr="00414345">
        <w:rPr>
          <w:color w:val="000000"/>
          <w:sz w:val="24"/>
          <w:szCs w:val="24"/>
        </w:rPr>
        <w:t>”</w:t>
      </w:r>
      <w:r w:rsidRPr="00414345">
        <w:rPr>
          <w:color w:val="000000"/>
          <w:sz w:val="24"/>
          <w:szCs w:val="24"/>
        </w:rPr>
        <w:t>的大致判断，虽然这些判断并不影响组合选择。一季度我们深度挖掘了电子、非银、传媒等可持续成长的行业，并认为公司价值未来将大概率持续上升，并且估值尚在合理范围内，二季度我们将继续关注这些公司表现。本基金将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1.647</w:t>
      </w:r>
      <w:r w:rsidRPr="00414345">
        <w:rPr>
          <w:color w:val="000000"/>
          <w:sz w:val="24"/>
          <w:szCs w:val="24"/>
        </w:rPr>
        <w:t>元，本报告期份额净值增长率为</w:t>
      </w:r>
      <w:r w:rsidRPr="00414345">
        <w:rPr>
          <w:color w:val="000000"/>
          <w:sz w:val="24"/>
          <w:szCs w:val="24"/>
        </w:rPr>
        <w:t>-0.66%</w:t>
      </w:r>
      <w:r w:rsidRPr="00414345">
        <w:rPr>
          <w:color w:val="000000"/>
          <w:sz w:val="24"/>
          <w:szCs w:val="24"/>
        </w:rPr>
        <w:t>，同期业绩比较基准增长率为</w:t>
      </w:r>
      <w:r w:rsidRPr="00414345">
        <w:rPr>
          <w:color w:val="000000"/>
          <w:sz w:val="24"/>
          <w:szCs w:val="24"/>
        </w:rPr>
        <w:t>3.27%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826F7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628,346,463.39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628,346,463.39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30,132,781.60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30,132,781.60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174,493,122.60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1,799,492.84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834,771,860.43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CE6188" w:rsidRDefault="00CE6188" w:rsidP="00CE6188">
      <w:pPr>
        <w:autoSpaceDE w:val="0"/>
        <w:autoSpaceDN w:val="0"/>
        <w:spacing w:before="29" w:line="288" w:lineRule="auto"/>
        <w:jc w:val="left"/>
        <w:rPr>
          <w:b/>
          <w:bCs/>
          <w:color w:val="000000"/>
          <w:sz w:val="24"/>
          <w:szCs w:val="24"/>
        </w:rPr>
      </w:pPr>
      <w:r>
        <w:rPr>
          <w:b/>
          <w:bCs/>
          <w:color w:val="000000"/>
          <w:sz w:val="24"/>
          <w:szCs w:val="24"/>
        </w:rPr>
        <w:t xml:space="preserve">5.2 </w:t>
      </w:r>
      <w:r>
        <w:rPr>
          <w:rFonts w:ascii="宋体" w:hAnsi="宋体" w:hint="eastAsia"/>
          <w:b/>
          <w:bCs/>
          <w:color w:val="000000"/>
          <w:sz w:val="24"/>
          <w:szCs w:val="24"/>
        </w:rPr>
        <w:t>报告期末按行业分类的股票投资组合</w:t>
      </w:r>
    </w:p>
    <w:p w:rsidR="00CE6188" w:rsidRDefault="00CE6188" w:rsidP="00CE6188">
      <w:pPr>
        <w:rPr>
          <w:rFonts w:ascii="Calibri" w:hAnsi="Calibri" w:cs="宋体"/>
          <w:b/>
          <w:bCs/>
          <w:sz w:val="24"/>
          <w:szCs w:val="24"/>
        </w:rPr>
      </w:pPr>
      <w:r>
        <w:rPr>
          <w:b/>
          <w:bCs/>
          <w:color w:val="000000"/>
          <w:sz w:val="24"/>
          <w:szCs w:val="24"/>
        </w:rPr>
        <w:t>5.2.1</w:t>
      </w:r>
      <w:r>
        <w:rPr>
          <w:rFonts w:ascii="宋体" w:hAnsi="宋体" w:hint="eastAsia"/>
          <w:b/>
          <w:bCs/>
          <w:color w:val="000000"/>
          <w:sz w:val="24"/>
          <w:szCs w:val="24"/>
        </w:rPr>
        <w:t>报告期末按行业分类的境内股票投资组合</w:t>
      </w:r>
    </w:p>
    <w:tbl>
      <w:tblPr>
        <w:tblW w:w="8865" w:type="dxa"/>
        <w:jc w:val="center"/>
        <w:tblCellMar>
          <w:left w:w="0" w:type="dxa"/>
          <w:right w:w="0" w:type="dxa"/>
        </w:tblCellMar>
        <w:tblLook w:val="04A0" w:firstRow="1" w:lastRow="0" w:firstColumn="1" w:lastColumn="0" w:noHBand="0" w:noVBand="1"/>
      </w:tblPr>
      <w:tblGrid>
        <w:gridCol w:w="845"/>
        <w:gridCol w:w="3542"/>
        <w:gridCol w:w="2840"/>
        <w:gridCol w:w="1638"/>
      </w:tblGrid>
      <w:tr w:rsidR="00CE6188" w:rsidTr="00CE6188">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rFonts w:ascii="宋体" w:hAnsi="宋体" w:hint="eastAsia"/>
                <w:sz w:val="24"/>
                <w:szCs w:val="24"/>
              </w:rPr>
              <w:t>代码</w:t>
            </w:r>
          </w:p>
        </w:tc>
        <w:tc>
          <w:tcPr>
            <w:tcW w:w="3544"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rFonts w:ascii="宋体" w:hAnsi="宋体" w:hint="eastAsia"/>
                <w:sz w:val="24"/>
                <w:szCs w:val="24"/>
              </w:rPr>
              <w:t>行业类别</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rFonts w:ascii="宋体" w:hAnsi="宋体" w:hint="eastAsia"/>
                <w:sz w:val="24"/>
                <w:szCs w:val="24"/>
              </w:rPr>
              <w:t>公允价值（元）</w:t>
            </w:r>
          </w:p>
        </w:tc>
        <w:tc>
          <w:tcPr>
            <w:tcW w:w="1638"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rFonts w:ascii="宋体" w:hAnsi="宋体" w:hint="eastAsia"/>
                <w:sz w:val="24"/>
                <w:szCs w:val="24"/>
              </w:rPr>
              <w:t>占基金资产净值比例（％）</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A</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农、林、牧、渔业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autoSpaceDE w:val="0"/>
              <w:autoSpaceDN w:val="0"/>
              <w:spacing w:before="29" w:line="288" w:lineRule="auto"/>
              <w:ind w:left="15"/>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autoSpaceDE w:val="0"/>
              <w:autoSpaceDN w:val="0"/>
              <w:spacing w:before="29" w:line="288" w:lineRule="auto"/>
              <w:ind w:left="15"/>
              <w:jc w:val="right"/>
              <w:rPr>
                <w:sz w:val="24"/>
                <w:szCs w:val="24"/>
              </w:rPr>
            </w:pPr>
            <w:r>
              <w:rPr>
                <w:sz w:val="24"/>
                <w:szCs w:val="24"/>
              </w:rPr>
              <w:t>-</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B</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采矿业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703,140.00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0.09</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C</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制造业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276,234,609.63</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34.17</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D</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电力、热力、燃气及水生产和供应业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1,416,124.92</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0.18</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E</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建筑业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212,404.44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0.03</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F</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批发和零售业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8,354,785.00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1.03</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G</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交通运输、仓储和邮政业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112,495,274.94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13.91</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H</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sz w:val="24"/>
                <w:szCs w:val="24"/>
              </w:rPr>
            </w:pPr>
            <w:r>
              <w:rPr>
                <w:rFonts w:ascii="宋体" w:hAnsi="宋体" w:hint="eastAsia"/>
                <w:sz w:val="24"/>
                <w:szCs w:val="24"/>
              </w:rPr>
              <w:t>住宿和餐饮业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sz w:val="24"/>
                <w:szCs w:val="24"/>
              </w:rPr>
            </w:pPr>
            <w:r>
              <w:rPr>
                <w:sz w:val="24"/>
                <w:szCs w:val="24"/>
              </w:rPr>
              <w:t>I</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rPr>
                <w:sz w:val="24"/>
                <w:szCs w:val="24"/>
              </w:rPr>
            </w:pPr>
            <w:r>
              <w:rPr>
                <w:rFonts w:ascii="宋体" w:hAnsi="宋体" w:hint="eastAsia"/>
                <w:sz w:val="24"/>
                <w:szCs w:val="24"/>
              </w:rPr>
              <w:t>信息传输、软件和信息技术服务业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68,672,286.56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8.49</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J</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金融业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4,616,490.00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0.57</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K</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房地产业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1,253,175.00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0.15</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L</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租赁和商务服务业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19,154,811.41</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2.37</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M</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科学研究和技术服务业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16,930.16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0.00</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N</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水利、环境和公共设施管理业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40,176,949.80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4.97</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O</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居民服务、修理和其他服务业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P</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教育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3,241,472.00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0.40</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Q</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卫生和社会工作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20,962,141.54</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2.59</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R</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文化、体育和娱乐业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70,699,247.99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8.74</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napToGrid w:val="0"/>
              <w:spacing w:before="29" w:line="288" w:lineRule="auto"/>
              <w:jc w:val="center"/>
              <w:rPr>
                <w:color w:val="000000"/>
                <w:sz w:val="24"/>
                <w:szCs w:val="24"/>
              </w:rPr>
            </w:pPr>
            <w:r>
              <w:rPr>
                <w:color w:val="000000"/>
                <w:sz w:val="24"/>
                <w:szCs w:val="24"/>
              </w:rPr>
              <w:t>S</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综合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136,620.00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0.02</w:t>
            </w:r>
          </w:p>
        </w:tc>
      </w:tr>
      <w:tr w:rsidR="00CE6188" w:rsidTr="00CE6188">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CE6188" w:rsidRDefault="00CE6188">
            <w:pPr>
              <w:snapToGrid w:val="0"/>
              <w:spacing w:before="29" w:line="288" w:lineRule="auto"/>
              <w:jc w:val="center"/>
              <w:rPr>
                <w:color w:val="000000"/>
                <w:sz w:val="24"/>
                <w:szCs w:val="24"/>
              </w:rPr>
            </w:pP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CE6188" w:rsidRDefault="00CE6188">
            <w:pPr>
              <w:snapToGrid w:val="0"/>
              <w:spacing w:before="29" w:line="288" w:lineRule="auto"/>
              <w:jc w:val="left"/>
              <w:rPr>
                <w:color w:val="000000"/>
                <w:sz w:val="24"/>
                <w:szCs w:val="24"/>
              </w:rPr>
            </w:pPr>
            <w:r>
              <w:rPr>
                <w:rFonts w:ascii="宋体" w:hAnsi="宋体" w:hint="eastAsia"/>
                <w:color w:val="000000"/>
                <w:sz w:val="24"/>
                <w:szCs w:val="24"/>
              </w:rPr>
              <w:t>合计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628,346,463.39</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CE6188" w:rsidRDefault="00CE6188">
            <w:pPr>
              <w:spacing w:before="29" w:line="288" w:lineRule="auto"/>
              <w:jc w:val="right"/>
              <w:rPr>
                <w:sz w:val="24"/>
                <w:szCs w:val="24"/>
              </w:rPr>
            </w:pPr>
            <w:r>
              <w:rPr>
                <w:sz w:val="24"/>
                <w:szCs w:val="24"/>
              </w:rPr>
              <w:t>77.72</w:t>
            </w:r>
          </w:p>
        </w:tc>
      </w:tr>
    </w:tbl>
    <w:p w:rsidR="00CE6188" w:rsidRDefault="00CE618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62291">
        <w:trPr>
          <w:jc w:val="center"/>
        </w:trPr>
        <w:tc>
          <w:tcPr>
            <w:tcW w:w="855" w:type="dxa"/>
            <w:vAlign w:val="center"/>
          </w:tcPr>
          <w:p w:rsidR="00362291" w:rsidRDefault="00CA37E5">
            <w:pPr>
              <w:jc w:val="center"/>
            </w:pPr>
            <w:r>
              <w:rPr>
                <w:color w:val="000000"/>
                <w:sz w:val="24"/>
                <w:szCs w:val="24"/>
              </w:rPr>
              <w:t>1</w:t>
            </w:r>
          </w:p>
        </w:tc>
        <w:tc>
          <w:tcPr>
            <w:tcW w:w="1334" w:type="dxa"/>
            <w:vAlign w:val="center"/>
          </w:tcPr>
          <w:p w:rsidR="00362291" w:rsidRDefault="00CA37E5">
            <w:pPr>
              <w:jc w:val="center"/>
            </w:pPr>
            <w:r>
              <w:rPr>
                <w:color w:val="000000"/>
                <w:sz w:val="24"/>
                <w:szCs w:val="24"/>
              </w:rPr>
              <w:t>002343</w:t>
            </w:r>
          </w:p>
        </w:tc>
        <w:tc>
          <w:tcPr>
            <w:tcW w:w="1777" w:type="dxa"/>
            <w:vAlign w:val="center"/>
          </w:tcPr>
          <w:p w:rsidR="00362291" w:rsidRDefault="00CA37E5">
            <w:pPr>
              <w:jc w:val="center"/>
            </w:pPr>
            <w:r>
              <w:rPr>
                <w:color w:val="000000"/>
                <w:sz w:val="24"/>
                <w:szCs w:val="24"/>
              </w:rPr>
              <w:t>慈文传媒</w:t>
            </w:r>
          </w:p>
        </w:tc>
        <w:tc>
          <w:tcPr>
            <w:tcW w:w="1334" w:type="dxa"/>
            <w:vAlign w:val="center"/>
          </w:tcPr>
          <w:p w:rsidR="00362291" w:rsidRDefault="00CA37E5">
            <w:pPr>
              <w:jc w:val="right"/>
            </w:pPr>
            <w:r>
              <w:rPr>
                <w:color w:val="000000"/>
                <w:sz w:val="24"/>
                <w:szCs w:val="24"/>
              </w:rPr>
              <w:t>1,742,969</w:t>
            </w:r>
          </w:p>
        </w:tc>
        <w:tc>
          <w:tcPr>
            <w:tcW w:w="1924" w:type="dxa"/>
            <w:vAlign w:val="center"/>
          </w:tcPr>
          <w:p w:rsidR="00362291" w:rsidRDefault="00CA37E5">
            <w:pPr>
              <w:jc w:val="right"/>
            </w:pPr>
            <w:r>
              <w:rPr>
                <w:color w:val="000000"/>
                <w:sz w:val="24"/>
                <w:szCs w:val="24"/>
              </w:rPr>
              <w:t>67,470,329.99</w:t>
            </w:r>
          </w:p>
        </w:tc>
        <w:tc>
          <w:tcPr>
            <w:tcW w:w="1644" w:type="dxa"/>
            <w:vAlign w:val="center"/>
          </w:tcPr>
          <w:p w:rsidR="00362291" w:rsidRDefault="00CA37E5">
            <w:pPr>
              <w:jc w:val="right"/>
            </w:pPr>
            <w:r>
              <w:rPr>
                <w:color w:val="000000"/>
                <w:sz w:val="24"/>
                <w:szCs w:val="24"/>
              </w:rPr>
              <w:t>8.34</w:t>
            </w:r>
          </w:p>
        </w:tc>
      </w:tr>
      <w:tr w:rsidR="00362291">
        <w:trPr>
          <w:jc w:val="center"/>
        </w:trPr>
        <w:tc>
          <w:tcPr>
            <w:tcW w:w="855" w:type="dxa"/>
            <w:vAlign w:val="center"/>
          </w:tcPr>
          <w:p w:rsidR="00362291" w:rsidRDefault="00CA37E5">
            <w:pPr>
              <w:jc w:val="center"/>
            </w:pPr>
            <w:r>
              <w:rPr>
                <w:color w:val="000000"/>
                <w:sz w:val="24"/>
                <w:szCs w:val="24"/>
              </w:rPr>
              <w:t>2</w:t>
            </w:r>
          </w:p>
        </w:tc>
        <w:tc>
          <w:tcPr>
            <w:tcW w:w="1334" w:type="dxa"/>
            <w:vAlign w:val="center"/>
          </w:tcPr>
          <w:p w:rsidR="00362291" w:rsidRDefault="00CA37E5">
            <w:pPr>
              <w:jc w:val="center"/>
            </w:pPr>
            <w:r>
              <w:rPr>
                <w:color w:val="000000"/>
                <w:sz w:val="24"/>
                <w:szCs w:val="24"/>
              </w:rPr>
              <w:t>002120</w:t>
            </w:r>
          </w:p>
        </w:tc>
        <w:tc>
          <w:tcPr>
            <w:tcW w:w="1777" w:type="dxa"/>
            <w:vAlign w:val="center"/>
          </w:tcPr>
          <w:p w:rsidR="00362291" w:rsidRDefault="00CA37E5">
            <w:pPr>
              <w:jc w:val="center"/>
            </w:pPr>
            <w:r>
              <w:rPr>
                <w:color w:val="000000"/>
                <w:sz w:val="24"/>
                <w:szCs w:val="24"/>
              </w:rPr>
              <w:t>韵达股份</w:t>
            </w:r>
          </w:p>
        </w:tc>
        <w:tc>
          <w:tcPr>
            <w:tcW w:w="1334" w:type="dxa"/>
            <w:vAlign w:val="center"/>
          </w:tcPr>
          <w:p w:rsidR="00362291" w:rsidRDefault="00CA37E5">
            <w:pPr>
              <w:jc w:val="right"/>
            </w:pPr>
            <w:r>
              <w:rPr>
                <w:color w:val="000000"/>
                <w:sz w:val="24"/>
                <w:szCs w:val="24"/>
              </w:rPr>
              <w:t>1,342,935</w:t>
            </w:r>
          </w:p>
        </w:tc>
        <w:tc>
          <w:tcPr>
            <w:tcW w:w="1924" w:type="dxa"/>
            <w:vAlign w:val="center"/>
          </w:tcPr>
          <w:p w:rsidR="00362291" w:rsidRDefault="00CA37E5">
            <w:pPr>
              <w:jc w:val="right"/>
            </w:pPr>
            <w:r>
              <w:rPr>
                <w:color w:val="000000"/>
                <w:sz w:val="24"/>
                <w:szCs w:val="24"/>
              </w:rPr>
              <w:t>62,889,646.05</w:t>
            </w:r>
          </w:p>
        </w:tc>
        <w:tc>
          <w:tcPr>
            <w:tcW w:w="1644" w:type="dxa"/>
            <w:vAlign w:val="center"/>
          </w:tcPr>
          <w:p w:rsidR="00362291" w:rsidRDefault="00CA37E5">
            <w:pPr>
              <w:jc w:val="right"/>
            </w:pPr>
            <w:r>
              <w:rPr>
                <w:color w:val="000000"/>
                <w:sz w:val="24"/>
                <w:szCs w:val="24"/>
              </w:rPr>
              <w:t>7.78</w:t>
            </w:r>
          </w:p>
        </w:tc>
      </w:tr>
      <w:tr w:rsidR="00362291">
        <w:trPr>
          <w:jc w:val="center"/>
        </w:trPr>
        <w:tc>
          <w:tcPr>
            <w:tcW w:w="855" w:type="dxa"/>
            <w:vAlign w:val="center"/>
          </w:tcPr>
          <w:p w:rsidR="00362291" w:rsidRDefault="00CA37E5">
            <w:pPr>
              <w:jc w:val="center"/>
            </w:pPr>
            <w:r>
              <w:rPr>
                <w:color w:val="000000"/>
                <w:sz w:val="24"/>
                <w:szCs w:val="24"/>
              </w:rPr>
              <w:t>3</w:t>
            </w:r>
          </w:p>
        </w:tc>
        <w:tc>
          <w:tcPr>
            <w:tcW w:w="1334" w:type="dxa"/>
            <w:vAlign w:val="center"/>
          </w:tcPr>
          <w:p w:rsidR="00362291" w:rsidRDefault="00CA37E5">
            <w:pPr>
              <w:jc w:val="center"/>
            </w:pPr>
            <w:r>
              <w:rPr>
                <w:color w:val="000000"/>
                <w:sz w:val="24"/>
                <w:szCs w:val="24"/>
              </w:rPr>
              <w:t>002195</w:t>
            </w:r>
          </w:p>
        </w:tc>
        <w:tc>
          <w:tcPr>
            <w:tcW w:w="1777" w:type="dxa"/>
            <w:vAlign w:val="center"/>
          </w:tcPr>
          <w:p w:rsidR="00362291" w:rsidRDefault="00CA37E5">
            <w:pPr>
              <w:jc w:val="center"/>
            </w:pPr>
            <w:r>
              <w:rPr>
                <w:color w:val="000000"/>
                <w:sz w:val="24"/>
                <w:szCs w:val="24"/>
              </w:rPr>
              <w:t>二三四五</w:t>
            </w:r>
          </w:p>
        </w:tc>
        <w:tc>
          <w:tcPr>
            <w:tcW w:w="1334" w:type="dxa"/>
            <w:vAlign w:val="center"/>
          </w:tcPr>
          <w:p w:rsidR="00362291" w:rsidRDefault="00CA37E5">
            <w:pPr>
              <w:jc w:val="right"/>
            </w:pPr>
            <w:r>
              <w:rPr>
                <w:color w:val="000000"/>
                <w:sz w:val="24"/>
                <w:szCs w:val="24"/>
              </w:rPr>
              <w:t>4,970,592</w:t>
            </w:r>
          </w:p>
        </w:tc>
        <w:tc>
          <w:tcPr>
            <w:tcW w:w="1924" w:type="dxa"/>
            <w:vAlign w:val="center"/>
          </w:tcPr>
          <w:p w:rsidR="00362291" w:rsidRDefault="00CA37E5">
            <w:pPr>
              <w:jc w:val="right"/>
            </w:pPr>
            <w:r>
              <w:rPr>
                <w:color w:val="000000"/>
                <w:sz w:val="24"/>
                <w:szCs w:val="24"/>
              </w:rPr>
              <w:t>57,559,455.36</w:t>
            </w:r>
          </w:p>
        </w:tc>
        <w:tc>
          <w:tcPr>
            <w:tcW w:w="1644" w:type="dxa"/>
            <w:vAlign w:val="center"/>
          </w:tcPr>
          <w:p w:rsidR="00362291" w:rsidRDefault="00CA37E5">
            <w:pPr>
              <w:jc w:val="right"/>
            </w:pPr>
            <w:r>
              <w:rPr>
                <w:color w:val="000000"/>
                <w:sz w:val="24"/>
                <w:szCs w:val="24"/>
              </w:rPr>
              <w:t>7.12</w:t>
            </w:r>
          </w:p>
        </w:tc>
      </w:tr>
      <w:tr w:rsidR="00362291">
        <w:trPr>
          <w:jc w:val="center"/>
        </w:trPr>
        <w:tc>
          <w:tcPr>
            <w:tcW w:w="855" w:type="dxa"/>
            <w:vAlign w:val="center"/>
          </w:tcPr>
          <w:p w:rsidR="00362291" w:rsidRDefault="00CA37E5">
            <w:pPr>
              <w:jc w:val="center"/>
            </w:pPr>
            <w:r>
              <w:rPr>
                <w:color w:val="000000"/>
                <w:sz w:val="24"/>
                <w:szCs w:val="24"/>
              </w:rPr>
              <w:t>4</w:t>
            </w:r>
          </w:p>
        </w:tc>
        <w:tc>
          <w:tcPr>
            <w:tcW w:w="1334" w:type="dxa"/>
            <w:vAlign w:val="center"/>
          </w:tcPr>
          <w:p w:rsidR="00362291" w:rsidRDefault="00CA37E5">
            <w:pPr>
              <w:jc w:val="center"/>
            </w:pPr>
            <w:r>
              <w:rPr>
                <w:color w:val="000000"/>
                <w:sz w:val="24"/>
                <w:szCs w:val="24"/>
              </w:rPr>
              <w:t>002468</w:t>
            </w:r>
          </w:p>
        </w:tc>
        <w:tc>
          <w:tcPr>
            <w:tcW w:w="1777" w:type="dxa"/>
            <w:vAlign w:val="center"/>
          </w:tcPr>
          <w:p w:rsidR="00362291" w:rsidRDefault="00CA37E5">
            <w:pPr>
              <w:jc w:val="center"/>
            </w:pPr>
            <w:r>
              <w:rPr>
                <w:color w:val="000000"/>
                <w:sz w:val="24"/>
                <w:szCs w:val="24"/>
              </w:rPr>
              <w:t>申通快递</w:t>
            </w:r>
          </w:p>
        </w:tc>
        <w:tc>
          <w:tcPr>
            <w:tcW w:w="1334" w:type="dxa"/>
            <w:vAlign w:val="center"/>
          </w:tcPr>
          <w:p w:rsidR="00362291" w:rsidRDefault="00CA37E5">
            <w:pPr>
              <w:jc w:val="right"/>
            </w:pPr>
            <w:r>
              <w:rPr>
                <w:color w:val="000000"/>
                <w:sz w:val="24"/>
                <w:szCs w:val="24"/>
              </w:rPr>
              <w:t>1,704,800</w:t>
            </w:r>
          </w:p>
        </w:tc>
        <w:tc>
          <w:tcPr>
            <w:tcW w:w="1924" w:type="dxa"/>
            <w:vAlign w:val="center"/>
          </w:tcPr>
          <w:p w:rsidR="00362291" w:rsidRDefault="00CA37E5">
            <w:pPr>
              <w:jc w:val="right"/>
            </w:pPr>
            <w:r>
              <w:rPr>
                <w:color w:val="000000"/>
                <w:sz w:val="24"/>
                <w:szCs w:val="24"/>
              </w:rPr>
              <w:t>48,399,272.00</w:t>
            </w:r>
          </w:p>
        </w:tc>
        <w:tc>
          <w:tcPr>
            <w:tcW w:w="1644" w:type="dxa"/>
            <w:vAlign w:val="center"/>
          </w:tcPr>
          <w:p w:rsidR="00362291" w:rsidRDefault="00CA37E5">
            <w:pPr>
              <w:jc w:val="right"/>
            </w:pPr>
            <w:r>
              <w:rPr>
                <w:color w:val="000000"/>
                <w:sz w:val="24"/>
                <w:szCs w:val="24"/>
              </w:rPr>
              <w:t>5.99</w:t>
            </w:r>
          </w:p>
        </w:tc>
      </w:tr>
      <w:tr w:rsidR="00362291">
        <w:trPr>
          <w:jc w:val="center"/>
        </w:trPr>
        <w:tc>
          <w:tcPr>
            <w:tcW w:w="855" w:type="dxa"/>
            <w:vAlign w:val="center"/>
          </w:tcPr>
          <w:p w:rsidR="00362291" w:rsidRDefault="00CA37E5">
            <w:pPr>
              <w:jc w:val="center"/>
            </w:pPr>
            <w:r>
              <w:rPr>
                <w:color w:val="000000"/>
                <w:sz w:val="24"/>
                <w:szCs w:val="24"/>
              </w:rPr>
              <w:t>5</w:t>
            </w:r>
          </w:p>
        </w:tc>
        <w:tc>
          <w:tcPr>
            <w:tcW w:w="1334" w:type="dxa"/>
            <w:vAlign w:val="center"/>
          </w:tcPr>
          <w:p w:rsidR="00362291" w:rsidRDefault="00CA37E5">
            <w:pPr>
              <w:jc w:val="center"/>
            </w:pPr>
            <w:r>
              <w:rPr>
                <w:color w:val="000000"/>
                <w:sz w:val="24"/>
                <w:szCs w:val="24"/>
              </w:rPr>
              <w:t>300308</w:t>
            </w:r>
          </w:p>
        </w:tc>
        <w:tc>
          <w:tcPr>
            <w:tcW w:w="1777" w:type="dxa"/>
            <w:vAlign w:val="center"/>
          </w:tcPr>
          <w:p w:rsidR="00362291" w:rsidRDefault="00CA37E5">
            <w:pPr>
              <w:jc w:val="center"/>
            </w:pPr>
            <w:r>
              <w:rPr>
                <w:color w:val="000000"/>
                <w:sz w:val="24"/>
                <w:szCs w:val="24"/>
              </w:rPr>
              <w:t>中际装备</w:t>
            </w:r>
          </w:p>
        </w:tc>
        <w:tc>
          <w:tcPr>
            <w:tcW w:w="1334" w:type="dxa"/>
            <w:vAlign w:val="center"/>
          </w:tcPr>
          <w:p w:rsidR="00362291" w:rsidRDefault="00CA37E5">
            <w:pPr>
              <w:jc w:val="right"/>
            </w:pPr>
            <w:r>
              <w:rPr>
                <w:color w:val="000000"/>
                <w:sz w:val="24"/>
                <w:szCs w:val="24"/>
              </w:rPr>
              <w:t>1,375,816</w:t>
            </w:r>
          </w:p>
        </w:tc>
        <w:tc>
          <w:tcPr>
            <w:tcW w:w="1924" w:type="dxa"/>
            <w:vAlign w:val="center"/>
          </w:tcPr>
          <w:p w:rsidR="00362291" w:rsidRDefault="00CA37E5">
            <w:pPr>
              <w:jc w:val="right"/>
            </w:pPr>
            <w:r>
              <w:rPr>
                <w:color w:val="000000"/>
                <w:sz w:val="24"/>
                <w:szCs w:val="24"/>
              </w:rPr>
              <w:t>47,190,488.80</w:t>
            </w:r>
          </w:p>
        </w:tc>
        <w:tc>
          <w:tcPr>
            <w:tcW w:w="1644" w:type="dxa"/>
            <w:vAlign w:val="center"/>
          </w:tcPr>
          <w:p w:rsidR="00362291" w:rsidRDefault="00CA37E5">
            <w:pPr>
              <w:jc w:val="right"/>
            </w:pPr>
            <w:r>
              <w:rPr>
                <w:color w:val="000000"/>
                <w:sz w:val="24"/>
                <w:szCs w:val="24"/>
              </w:rPr>
              <w:t>5.84</w:t>
            </w:r>
          </w:p>
        </w:tc>
      </w:tr>
      <w:tr w:rsidR="00362291">
        <w:trPr>
          <w:jc w:val="center"/>
        </w:trPr>
        <w:tc>
          <w:tcPr>
            <w:tcW w:w="855" w:type="dxa"/>
            <w:vAlign w:val="center"/>
          </w:tcPr>
          <w:p w:rsidR="00362291" w:rsidRDefault="00CA37E5">
            <w:pPr>
              <w:jc w:val="center"/>
            </w:pPr>
            <w:r>
              <w:rPr>
                <w:color w:val="000000"/>
                <w:sz w:val="24"/>
                <w:szCs w:val="24"/>
              </w:rPr>
              <w:t>6</w:t>
            </w:r>
          </w:p>
        </w:tc>
        <w:tc>
          <w:tcPr>
            <w:tcW w:w="1334" w:type="dxa"/>
            <w:vAlign w:val="center"/>
          </w:tcPr>
          <w:p w:rsidR="00362291" w:rsidRDefault="00CA37E5">
            <w:pPr>
              <w:jc w:val="center"/>
            </w:pPr>
            <w:r>
              <w:rPr>
                <w:color w:val="000000"/>
                <w:sz w:val="24"/>
                <w:szCs w:val="24"/>
              </w:rPr>
              <w:t>002045</w:t>
            </w:r>
          </w:p>
        </w:tc>
        <w:tc>
          <w:tcPr>
            <w:tcW w:w="1777" w:type="dxa"/>
            <w:vAlign w:val="center"/>
          </w:tcPr>
          <w:p w:rsidR="00362291" w:rsidRDefault="00CA37E5">
            <w:pPr>
              <w:jc w:val="center"/>
            </w:pPr>
            <w:r>
              <w:rPr>
                <w:color w:val="000000"/>
                <w:sz w:val="24"/>
                <w:szCs w:val="24"/>
              </w:rPr>
              <w:t>国光电器</w:t>
            </w:r>
          </w:p>
        </w:tc>
        <w:tc>
          <w:tcPr>
            <w:tcW w:w="1334" w:type="dxa"/>
            <w:vAlign w:val="center"/>
          </w:tcPr>
          <w:p w:rsidR="00362291" w:rsidRDefault="00CA37E5">
            <w:pPr>
              <w:jc w:val="right"/>
            </w:pPr>
            <w:r>
              <w:rPr>
                <w:color w:val="000000"/>
                <w:sz w:val="24"/>
                <w:szCs w:val="24"/>
              </w:rPr>
              <w:t>2,595,021</w:t>
            </w:r>
          </w:p>
        </w:tc>
        <w:tc>
          <w:tcPr>
            <w:tcW w:w="1924" w:type="dxa"/>
            <w:vAlign w:val="center"/>
          </w:tcPr>
          <w:p w:rsidR="00362291" w:rsidRDefault="00CA37E5">
            <w:pPr>
              <w:jc w:val="right"/>
            </w:pPr>
            <w:r>
              <w:rPr>
                <w:color w:val="000000"/>
                <w:sz w:val="24"/>
                <w:szCs w:val="24"/>
              </w:rPr>
              <w:t>41,001,331.80</w:t>
            </w:r>
          </w:p>
        </w:tc>
        <w:tc>
          <w:tcPr>
            <w:tcW w:w="1644" w:type="dxa"/>
            <w:vAlign w:val="center"/>
          </w:tcPr>
          <w:p w:rsidR="00362291" w:rsidRDefault="00CA37E5">
            <w:pPr>
              <w:jc w:val="right"/>
            </w:pPr>
            <w:r>
              <w:rPr>
                <w:color w:val="000000"/>
                <w:sz w:val="24"/>
                <w:szCs w:val="24"/>
              </w:rPr>
              <w:t>5.07</w:t>
            </w:r>
          </w:p>
        </w:tc>
      </w:tr>
      <w:tr w:rsidR="00362291">
        <w:trPr>
          <w:jc w:val="center"/>
        </w:trPr>
        <w:tc>
          <w:tcPr>
            <w:tcW w:w="855" w:type="dxa"/>
            <w:vAlign w:val="center"/>
          </w:tcPr>
          <w:p w:rsidR="00362291" w:rsidRDefault="00CA37E5">
            <w:pPr>
              <w:jc w:val="center"/>
            </w:pPr>
            <w:r>
              <w:rPr>
                <w:color w:val="000000"/>
                <w:sz w:val="24"/>
                <w:szCs w:val="24"/>
              </w:rPr>
              <w:t>7</w:t>
            </w:r>
          </w:p>
        </w:tc>
        <w:tc>
          <w:tcPr>
            <w:tcW w:w="1334" w:type="dxa"/>
            <w:vAlign w:val="center"/>
          </w:tcPr>
          <w:p w:rsidR="00362291" w:rsidRDefault="00CA37E5">
            <w:pPr>
              <w:jc w:val="center"/>
            </w:pPr>
            <w:r>
              <w:rPr>
                <w:color w:val="000000"/>
                <w:sz w:val="24"/>
                <w:szCs w:val="24"/>
              </w:rPr>
              <w:t>300129</w:t>
            </w:r>
          </w:p>
        </w:tc>
        <w:tc>
          <w:tcPr>
            <w:tcW w:w="1777" w:type="dxa"/>
            <w:vAlign w:val="center"/>
          </w:tcPr>
          <w:p w:rsidR="00362291" w:rsidRDefault="00CA37E5">
            <w:pPr>
              <w:jc w:val="center"/>
            </w:pPr>
            <w:r>
              <w:rPr>
                <w:color w:val="000000"/>
                <w:sz w:val="24"/>
                <w:szCs w:val="24"/>
              </w:rPr>
              <w:t>泰胜风能</w:t>
            </w:r>
          </w:p>
        </w:tc>
        <w:tc>
          <w:tcPr>
            <w:tcW w:w="1334" w:type="dxa"/>
            <w:vAlign w:val="center"/>
          </w:tcPr>
          <w:p w:rsidR="00362291" w:rsidRDefault="00CA37E5">
            <w:pPr>
              <w:jc w:val="right"/>
            </w:pPr>
            <w:r>
              <w:rPr>
                <w:color w:val="000000"/>
                <w:sz w:val="24"/>
                <w:szCs w:val="24"/>
              </w:rPr>
              <w:t>3,718,183</w:t>
            </w:r>
          </w:p>
        </w:tc>
        <w:tc>
          <w:tcPr>
            <w:tcW w:w="1924" w:type="dxa"/>
            <w:vAlign w:val="center"/>
          </w:tcPr>
          <w:p w:rsidR="00362291" w:rsidRDefault="00CA37E5">
            <w:pPr>
              <w:jc w:val="right"/>
            </w:pPr>
            <w:r>
              <w:rPr>
                <w:color w:val="000000"/>
                <w:sz w:val="24"/>
                <w:szCs w:val="24"/>
              </w:rPr>
              <w:t>30,637,827.92</w:t>
            </w:r>
          </w:p>
        </w:tc>
        <w:tc>
          <w:tcPr>
            <w:tcW w:w="1644" w:type="dxa"/>
            <w:vAlign w:val="center"/>
          </w:tcPr>
          <w:p w:rsidR="00362291" w:rsidRDefault="00CA37E5">
            <w:pPr>
              <w:jc w:val="right"/>
            </w:pPr>
            <w:r>
              <w:rPr>
                <w:color w:val="000000"/>
                <w:sz w:val="24"/>
                <w:szCs w:val="24"/>
              </w:rPr>
              <w:t>3.79</w:t>
            </w:r>
          </w:p>
        </w:tc>
      </w:tr>
      <w:tr w:rsidR="00362291">
        <w:trPr>
          <w:jc w:val="center"/>
        </w:trPr>
        <w:tc>
          <w:tcPr>
            <w:tcW w:w="855" w:type="dxa"/>
            <w:vAlign w:val="center"/>
          </w:tcPr>
          <w:p w:rsidR="00362291" w:rsidRDefault="00CA37E5">
            <w:pPr>
              <w:jc w:val="center"/>
            </w:pPr>
            <w:r>
              <w:rPr>
                <w:color w:val="000000"/>
                <w:sz w:val="24"/>
                <w:szCs w:val="24"/>
              </w:rPr>
              <w:t>8</w:t>
            </w:r>
          </w:p>
        </w:tc>
        <w:tc>
          <w:tcPr>
            <w:tcW w:w="1334" w:type="dxa"/>
            <w:vAlign w:val="center"/>
          </w:tcPr>
          <w:p w:rsidR="00362291" w:rsidRDefault="00CA37E5">
            <w:pPr>
              <w:jc w:val="center"/>
            </w:pPr>
            <w:r>
              <w:rPr>
                <w:color w:val="000000"/>
                <w:sz w:val="24"/>
                <w:szCs w:val="24"/>
              </w:rPr>
              <w:t>600054</w:t>
            </w:r>
          </w:p>
        </w:tc>
        <w:tc>
          <w:tcPr>
            <w:tcW w:w="1777" w:type="dxa"/>
            <w:vAlign w:val="center"/>
          </w:tcPr>
          <w:p w:rsidR="00362291" w:rsidRDefault="00CA37E5">
            <w:pPr>
              <w:jc w:val="center"/>
            </w:pPr>
            <w:r>
              <w:rPr>
                <w:color w:val="000000"/>
                <w:sz w:val="24"/>
                <w:szCs w:val="24"/>
              </w:rPr>
              <w:t>黄山旅游</w:t>
            </w:r>
          </w:p>
        </w:tc>
        <w:tc>
          <w:tcPr>
            <w:tcW w:w="1334" w:type="dxa"/>
            <w:vAlign w:val="center"/>
          </w:tcPr>
          <w:p w:rsidR="00362291" w:rsidRDefault="00CA37E5">
            <w:pPr>
              <w:jc w:val="right"/>
            </w:pPr>
            <w:r>
              <w:rPr>
                <w:color w:val="000000"/>
                <w:sz w:val="24"/>
                <w:szCs w:val="24"/>
              </w:rPr>
              <w:t>1,479,821</w:t>
            </w:r>
          </w:p>
        </w:tc>
        <w:tc>
          <w:tcPr>
            <w:tcW w:w="1924" w:type="dxa"/>
            <w:vAlign w:val="center"/>
          </w:tcPr>
          <w:p w:rsidR="00362291" w:rsidRDefault="00CA37E5">
            <w:pPr>
              <w:jc w:val="right"/>
            </w:pPr>
            <w:r>
              <w:rPr>
                <w:color w:val="000000"/>
                <w:sz w:val="24"/>
                <w:szCs w:val="24"/>
              </w:rPr>
              <w:t>25,600,903.30</w:t>
            </w:r>
          </w:p>
        </w:tc>
        <w:tc>
          <w:tcPr>
            <w:tcW w:w="1644" w:type="dxa"/>
            <w:vAlign w:val="center"/>
          </w:tcPr>
          <w:p w:rsidR="00362291" w:rsidRDefault="00CA37E5">
            <w:pPr>
              <w:jc w:val="right"/>
            </w:pPr>
            <w:r>
              <w:rPr>
                <w:color w:val="000000"/>
                <w:sz w:val="24"/>
                <w:szCs w:val="24"/>
              </w:rPr>
              <w:t>3.17</w:t>
            </w:r>
          </w:p>
        </w:tc>
      </w:tr>
      <w:tr w:rsidR="00362291">
        <w:trPr>
          <w:jc w:val="center"/>
        </w:trPr>
        <w:tc>
          <w:tcPr>
            <w:tcW w:w="855" w:type="dxa"/>
            <w:vAlign w:val="center"/>
          </w:tcPr>
          <w:p w:rsidR="00362291" w:rsidRDefault="00CA37E5">
            <w:pPr>
              <w:jc w:val="center"/>
            </w:pPr>
            <w:r>
              <w:rPr>
                <w:color w:val="000000"/>
                <w:sz w:val="24"/>
                <w:szCs w:val="24"/>
              </w:rPr>
              <w:t>9</w:t>
            </w:r>
          </w:p>
        </w:tc>
        <w:tc>
          <w:tcPr>
            <w:tcW w:w="1334" w:type="dxa"/>
            <w:vAlign w:val="center"/>
          </w:tcPr>
          <w:p w:rsidR="00362291" w:rsidRDefault="00CA37E5">
            <w:pPr>
              <w:jc w:val="center"/>
            </w:pPr>
            <w:r>
              <w:rPr>
                <w:color w:val="000000"/>
                <w:sz w:val="24"/>
                <w:szCs w:val="24"/>
              </w:rPr>
              <w:t>002202</w:t>
            </w:r>
          </w:p>
        </w:tc>
        <w:tc>
          <w:tcPr>
            <w:tcW w:w="1777" w:type="dxa"/>
            <w:vAlign w:val="center"/>
          </w:tcPr>
          <w:p w:rsidR="00362291" w:rsidRDefault="00CA37E5">
            <w:pPr>
              <w:jc w:val="center"/>
            </w:pPr>
            <w:r>
              <w:rPr>
                <w:color w:val="000000"/>
                <w:sz w:val="24"/>
                <w:szCs w:val="24"/>
              </w:rPr>
              <w:t>金风科技</w:t>
            </w:r>
          </w:p>
        </w:tc>
        <w:tc>
          <w:tcPr>
            <w:tcW w:w="1334" w:type="dxa"/>
            <w:vAlign w:val="center"/>
          </w:tcPr>
          <w:p w:rsidR="00362291" w:rsidRDefault="00CA37E5">
            <w:pPr>
              <w:jc w:val="right"/>
            </w:pPr>
            <w:r>
              <w:rPr>
                <w:color w:val="000000"/>
                <w:sz w:val="24"/>
                <w:szCs w:val="24"/>
              </w:rPr>
              <w:t>1,567,565</w:t>
            </w:r>
          </w:p>
        </w:tc>
        <w:tc>
          <w:tcPr>
            <w:tcW w:w="1924" w:type="dxa"/>
            <w:vAlign w:val="center"/>
          </w:tcPr>
          <w:p w:rsidR="00362291" w:rsidRDefault="00CA37E5">
            <w:pPr>
              <w:jc w:val="right"/>
            </w:pPr>
            <w:r>
              <w:rPr>
                <w:color w:val="000000"/>
                <w:sz w:val="24"/>
                <w:szCs w:val="24"/>
              </w:rPr>
              <w:t>25,175,093.90</w:t>
            </w:r>
          </w:p>
        </w:tc>
        <w:tc>
          <w:tcPr>
            <w:tcW w:w="1644" w:type="dxa"/>
            <w:vAlign w:val="center"/>
          </w:tcPr>
          <w:p w:rsidR="00362291" w:rsidRDefault="00CA37E5">
            <w:pPr>
              <w:jc w:val="right"/>
            </w:pPr>
            <w:r>
              <w:rPr>
                <w:color w:val="000000"/>
                <w:sz w:val="24"/>
                <w:szCs w:val="24"/>
              </w:rPr>
              <w:t>3.11</w:t>
            </w:r>
          </w:p>
        </w:tc>
      </w:tr>
      <w:tr w:rsidR="00362291">
        <w:trPr>
          <w:jc w:val="center"/>
        </w:trPr>
        <w:tc>
          <w:tcPr>
            <w:tcW w:w="855" w:type="dxa"/>
            <w:vAlign w:val="center"/>
          </w:tcPr>
          <w:p w:rsidR="00362291" w:rsidRDefault="00CA37E5">
            <w:pPr>
              <w:jc w:val="center"/>
            </w:pPr>
            <w:r>
              <w:rPr>
                <w:color w:val="000000"/>
                <w:sz w:val="24"/>
                <w:szCs w:val="24"/>
              </w:rPr>
              <w:t>10</w:t>
            </w:r>
          </w:p>
        </w:tc>
        <w:tc>
          <w:tcPr>
            <w:tcW w:w="1334" w:type="dxa"/>
            <w:vAlign w:val="center"/>
          </w:tcPr>
          <w:p w:rsidR="00362291" w:rsidRDefault="00CA37E5">
            <w:pPr>
              <w:jc w:val="center"/>
            </w:pPr>
            <w:r>
              <w:rPr>
                <w:color w:val="000000"/>
                <w:sz w:val="24"/>
                <w:szCs w:val="24"/>
              </w:rPr>
              <w:t>600967</w:t>
            </w:r>
          </w:p>
        </w:tc>
        <w:tc>
          <w:tcPr>
            <w:tcW w:w="1777" w:type="dxa"/>
            <w:vAlign w:val="center"/>
          </w:tcPr>
          <w:p w:rsidR="00362291" w:rsidRDefault="00CA37E5">
            <w:pPr>
              <w:jc w:val="center"/>
            </w:pPr>
            <w:r>
              <w:rPr>
                <w:color w:val="000000"/>
                <w:sz w:val="24"/>
                <w:szCs w:val="24"/>
              </w:rPr>
              <w:t>北方创业</w:t>
            </w:r>
          </w:p>
        </w:tc>
        <w:tc>
          <w:tcPr>
            <w:tcW w:w="1334" w:type="dxa"/>
            <w:vAlign w:val="center"/>
          </w:tcPr>
          <w:p w:rsidR="00362291" w:rsidRDefault="00CA37E5">
            <w:pPr>
              <w:jc w:val="right"/>
            </w:pPr>
            <w:r>
              <w:rPr>
                <w:color w:val="000000"/>
                <w:sz w:val="24"/>
                <w:szCs w:val="24"/>
              </w:rPr>
              <w:t>1,612,732</w:t>
            </w:r>
          </w:p>
        </w:tc>
        <w:tc>
          <w:tcPr>
            <w:tcW w:w="1924" w:type="dxa"/>
            <w:vAlign w:val="center"/>
          </w:tcPr>
          <w:p w:rsidR="00362291" w:rsidRDefault="00CA37E5">
            <w:pPr>
              <w:jc w:val="right"/>
            </w:pPr>
            <w:r>
              <w:rPr>
                <w:color w:val="000000"/>
                <w:sz w:val="24"/>
                <w:szCs w:val="24"/>
              </w:rPr>
              <w:t>24,400,635.16</w:t>
            </w:r>
          </w:p>
        </w:tc>
        <w:tc>
          <w:tcPr>
            <w:tcW w:w="1644" w:type="dxa"/>
            <w:vAlign w:val="center"/>
          </w:tcPr>
          <w:p w:rsidR="00362291" w:rsidRDefault="00CA37E5">
            <w:pPr>
              <w:jc w:val="right"/>
            </w:pPr>
            <w:r>
              <w:rPr>
                <w:color w:val="000000"/>
                <w:sz w:val="24"/>
                <w:szCs w:val="24"/>
              </w:rPr>
              <w:t>3.02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150,781.60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30,132,781.60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62291">
        <w:trPr>
          <w:jc w:val="center"/>
        </w:trPr>
        <w:tc>
          <w:tcPr>
            <w:tcW w:w="850" w:type="dxa"/>
            <w:vAlign w:val="center"/>
          </w:tcPr>
          <w:p w:rsidR="00362291" w:rsidRDefault="00CA37E5">
            <w:pPr>
              <w:jc w:val="center"/>
            </w:pPr>
            <w:r>
              <w:rPr>
                <w:color w:val="000000"/>
                <w:sz w:val="24"/>
                <w:szCs w:val="24"/>
              </w:rPr>
              <w:t>1</w:t>
            </w:r>
          </w:p>
        </w:tc>
        <w:tc>
          <w:tcPr>
            <w:tcW w:w="1475" w:type="dxa"/>
            <w:vAlign w:val="center"/>
          </w:tcPr>
          <w:p w:rsidR="00362291" w:rsidRDefault="00CA37E5">
            <w:pPr>
              <w:jc w:val="center"/>
            </w:pPr>
            <w:r>
              <w:rPr>
                <w:color w:val="000000"/>
                <w:sz w:val="24"/>
                <w:szCs w:val="24"/>
              </w:rPr>
              <w:t>160211</w:t>
            </w:r>
          </w:p>
        </w:tc>
        <w:tc>
          <w:tcPr>
            <w:tcW w:w="1769" w:type="dxa"/>
            <w:vAlign w:val="center"/>
          </w:tcPr>
          <w:p w:rsidR="00362291" w:rsidRDefault="00CA37E5">
            <w:pPr>
              <w:jc w:val="center"/>
            </w:pPr>
            <w:r>
              <w:rPr>
                <w:color w:val="000000"/>
                <w:sz w:val="24"/>
                <w:szCs w:val="24"/>
              </w:rPr>
              <w:t>16</w:t>
            </w:r>
            <w:r>
              <w:rPr>
                <w:color w:val="000000"/>
                <w:sz w:val="24"/>
                <w:szCs w:val="24"/>
              </w:rPr>
              <w:t>国开</w:t>
            </w:r>
            <w:r>
              <w:rPr>
                <w:color w:val="000000"/>
                <w:sz w:val="24"/>
                <w:szCs w:val="24"/>
              </w:rPr>
              <w:t>11</w:t>
            </w:r>
          </w:p>
        </w:tc>
        <w:tc>
          <w:tcPr>
            <w:tcW w:w="1387" w:type="dxa"/>
            <w:vAlign w:val="center"/>
          </w:tcPr>
          <w:p w:rsidR="00362291" w:rsidRDefault="00CA37E5">
            <w:pPr>
              <w:jc w:val="right"/>
            </w:pPr>
            <w:r>
              <w:rPr>
                <w:color w:val="000000"/>
                <w:sz w:val="24"/>
                <w:szCs w:val="24"/>
              </w:rPr>
              <w:t>300,000</w:t>
            </w:r>
          </w:p>
        </w:tc>
        <w:tc>
          <w:tcPr>
            <w:tcW w:w="2150" w:type="dxa"/>
            <w:vAlign w:val="center"/>
          </w:tcPr>
          <w:p w:rsidR="00362291" w:rsidRDefault="00CA37E5">
            <w:pPr>
              <w:jc w:val="right"/>
            </w:pPr>
            <w:r>
              <w:rPr>
                <w:color w:val="000000"/>
                <w:sz w:val="24"/>
                <w:szCs w:val="24"/>
              </w:rPr>
              <w:t>29,982,000.00</w:t>
            </w:r>
          </w:p>
        </w:tc>
        <w:tc>
          <w:tcPr>
            <w:tcW w:w="1237" w:type="dxa"/>
            <w:vAlign w:val="center"/>
          </w:tcPr>
          <w:p w:rsidR="00362291" w:rsidRDefault="00CA37E5">
            <w:pPr>
              <w:jc w:val="right"/>
            </w:pPr>
            <w:r>
              <w:rPr>
                <w:color w:val="000000"/>
                <w:sz w:val="24"/>
                <w:szCs w:val="24"/>
              </w:rPr>
              <w:t>3.71</w:t>
            </w:r>
          </w:p>
        </w:tc>
      </w:tr>
      <w:tr w:rsidR="00362291">
        <w:trPr>
          <w:jc w:val="center"/>
        </w:trPr>
        <w:tc>
          <w:tcPr>
            <w:tcW w:w="850" w:type="dxa"/>
            <w:vAlign w:val="center"/>
          </w:tcPr>
          <w:p w:rsidR="00362291" w:rsidRDefault="00CA37E5">
            <w:pPr>
              <w:jc w:val="center"/>
            </w:pPr>
            <w:r>
              <w:rPr>
                <w:color w:val="000000"/>
                <w:sz w:val="24"/>
                <w:szCs w:val="24"/>
              </w:rPr>
              <w:t>2</w:t>
            </w:r>
          </w:p>
        </w:tc>
        <w:tc>
          <w:tcPr>
            <w:tcW w:w="1475" w:type="dxa"/>
            <w:vAlign w:val="center"/>
          </w:tcPr>
          <w:p w:rsidR="00362291" w:rsidRDefault="00CA37E5">
            <w:pPr>
              <w:jc w:val="center"/>
            </w:pPr>
            <w:r>
              <w:rPr>
                <w:color w:val="000000"/>
                <w:sz w:val="24"/>
                <w:szCs w:val="24"/>
              </w:rPr>
              <w:t>110035</w:t>
            </w:r>
          </w:p>
        </w:tc>
        <w:tc>
          <w:tcPr>
            <w:tcW w:w="1769" w:type="dxa"/>
            <w:vAlign w:val="center"/>
          </w:tcPr>
          <w:p w:rsidR="00362291" w:rsidRDefault="00CA37E5">
            <w:pPr>
              <w:jc w:val="center"/>
            </w:pPr>
            <w:r>
              <w:rPr>
                <w:color w:val="000000"/>
                <w:sz w:val="24"/>
                <w:szCs w:val="24"/>
              </w:rPr>
              <w:t>白云转债</w:t>
            </w:r>
          </w:p>
        </w:tc>
        <w:tc>
          <w:tcPr>
            <w:tcW w:w="1387" w:type="dxa"/>
            <w:vAlign w:val="center"/>
          </w:tcPr>
          <w:p w:rsidR="00362291" w:rsidRDefault="00CA37E5">
            <w:pPr>
              <w:jc w:val="right"/>
            </w:pPr>
            <w:r>
              <w:rPr>
                <w:color w:val="000000"/>
                <w:sz w:val="24"/>
                <w:szCs w:val="24"/>
              </w:rPr>
              <w:t>760</w:t>
            </w:r>
          </w:p>
        </w:tc>
        <w:tc>
          <w:tcPr>
            <w:tcW w:w="2150" w:type="dxa"/>
            <w:vAlign w:val="center"/>
          </w:tcPr>
          <w:p w:rsidR="00362291" w:rsidRDefault="00CA37E5">
            <w:pPr>
              <w:jc w:val="right"/>
            </w:pPr>
            <w:r>
              <w:rPr>
                <w:color w:val="000000"/>
                <w:sz w:val="24"/>
                <w:szCs w:val="24"/>
              </w:rPr>
              <w:t>97,781.60</w:t>
            </w:r>
          </w:p>
        </w:tc>
        <w:tc>
          <w:tcPr>
            <w:tcW w:w="1237" w:type="dxa"/>
            <w:vAlign w:val="center"/>
          </w:tcPr>
          <w:p w:rsidR="00362291" w:rsidRDefault="00CA37E5">
            <w:pPr>
              <w:jc w:val="right"/>
            </w:pPr>
            <w:r>
              <w:rPr>
                <w:color w:val="000000"/>
                <w:sz w:val="24"/>
                <w:szCs w:val="24"/>
              </w:rPr>
              <w:t>0.01</w:t>
            </w:r>
          </w:p>
        </w:tc>
      </w:tr>
      <w:tr w:rsidR="00362291">
        <w:trPr>
          <w:jc w:val="center"/>
        </w:trPr>
        <w:tc>
          <w:tcPr>
            <w:tcW w:w="850" w:type="dxa"/>
            <w:vAlign w:val="center"/>
          </w:tcPr>
          <w:p w:rsidR="00362291" w:rsidRDefault="00CA37E5">
            <w:pPr>
              <w:jc w:val="center"/>
            </w:pPr>
            <w:r>
              <w:rPr>
                <w:color w:val="000000"/>
                <w:sz w:val="24"/>
                <w:szCs w:val="24"/>
              </w:rPr>
              <w:t>3</w:t>
            </w:r>
          </w:p>
        </w:tc>
        <w:tc>
          <w:tcPr>
            <w:tcW w:w="1475" w:type="dxa"/>
            <w:vAlign w:val="center"/>
          </w:tcPr>
          <w:p w:rsidR="00362291" w:rsidRDefault="00CA37E5">
            <w:pPr>
              <w:jc w:val="center"/>
            </w:pPr>
            <w:r>
              <w:rPr>
                <w:color w:val="000000"/>
                <w:sz w:val="24"/>
                <w:szCs w:val="24"/>
              </w:rPr>
              <w:t>113011</w:t>
            </w:r>
          </w:p>
        </w:tc>
        <w:tc>
          <w:tcPr>
            <w:tcW w:w="1769" w:type="dxa"/>
            <w:vAlign w:val="center"/>
          </w:tcPr>
          <w:p w:rsidR="00362291" w:rsidRDefault="00CA37E5">
            <w:pPr>
              <w:jc w:val="center"/>
            </w:pPr>
            <w:r>
              <w:rPr>
                <w:color w:val="000000"/>
                <w:sz w:val="24"/>
                <w:szCs w:val="24"/>
              </w:rPr>
              <w:t>光大转债</w:t>
            </w:r>
          </w:p>
        </w:tc>
        <w:tc>
          <w:tcPr>
            <w:tcW w:w="1387" w:type="dxa"/>
            <w:vAlign w:val="center"/>
          </w:tcPr>
          <w:p w:rsidR="00362291" w:rsidRDefault="00CA37E5">
            <w:pPr>
              <w:jc w:val="right"/>
            </w:pPr>
            <w:r>
              <w:rPr>
                <w:color w:val="000000"/>
                <w:sz w:val="24"/>
                <w:szCs w:val="24"/>
              </w:rPr>
              <w:t>530</w:t>
            </w:r>
          </w:p>
        </w:tc>
        <w:tc>
          <w:tcPr>
            <w:tcW w:w="2150" w:type="dxa"/>
            <w:vAlign w:val="center"/>
          </w:tcPr>
          <w:p w:rsidR="00362291" w:rsidRDefault="00CA37E5">
            <w:pPr>
              <w:jc w:val="right"/>
            </w:pPr>
            <w:r>
              <w:rPr>
                <w:color w:val="000000"/>
                <w:sz w:val="24"/>
                <w:szCs w:val="24"/>
              </w:rPr>
              <w:t>53,000.00</w:t>
            </w:r>
          </w:p>
        </w:tc>
        <w:tc>
          <w:tcPr>
            <w:tcW w:w="1237" w:type="dxa"/>
            <w:vAlign w:val="center"/>
          </w:tcPr>
          <w:p w:rsidR="00362291" w:rsidRDefault="00CA37E5">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812,060.05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733,721.48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253,711.31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1,799,492.84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362291">
        <w:trPr>
          <w:jc w:val="center"/>
        </w:trPr>
        <w:tc>
          <w:tcPr>
            <w:tcW w:w="1883" w:type="dxa"/>
            <w:vAlign w:val="center"/>
          </w:tcPr>
          <w:p w:rsidR="00362291" w:rsidRDefault="00CA37E5">
            <w:pPr>
              <w:jc w:val="center"/>
            </w:pPr>
            <w:r>
              <w:rPr>
                <w:color w:val="000000"/>
                <w:sz w:val="24"/>
                <w:szCs w:val="24"/>
              </w:rPr>
              <w:t>1</w:t>
            </w:r>
          </w:p>
        </w:tc>
        <w:tc>
          <w:tcPr>
            <w:tcW w:w="1801" w:type="dxa"/>
            <w:vAlign w:val="center"/>
          </w:tcPr>
          <w:p w:rsidR="00362291" w:rsidRDefault="00CA37E5">
            <w:pPr>
              <w:jc w:val="center"/>
            </w:pPr>
            <w:r>
              <w:rPr>
                <w:color w:val="000000"/>
                <w:sz w:val="24"/>
                <w:szCs w:val="24"/>
              </w:rPr>
              <w:t>110035</w:t>
            </w:r>
          </w:p>
        </w:tc>
        <w:tc>
          <w:tcPr>
            <w:tcW w:w="1727" w:type="dxa"/>
            <w:vAlign w:val="center"/>
          </w:tcPr>
          <w:p w:rsidR="00362291" w:rsidRDefault="00CA37E5">
            <w:pPr>
              <w:jc w:val="center"/>
            </w:pPr>
            <w:r>
              <w:rPr>
                <w:color w:val="000000"/>
                <w:sz w:val="24"/>
                <w:szCs w:val="24"/>
              </w:rPr>
              <w:t>白云转债</w:t>
            </w:r>
          </w:p>
        </w:tc>
        <w:tc>
          <w:tcPr>
            <w:tcW w:w="1768" w:type="dxa"/>
            <w:vAlign w:val="center"/>
          </w:tcPr>
          <w:p w:rsidR="00362291" w:rsidRDefault="00CA37E5">
            <w:pPr>
              <w:jc w:val="right"/>
            </w:pPr>
            <w:r>
              <w:rPr>
                <w:color w:val="000000"/>
                <w:sz w:val="24"/>
                <w:szCs w:val="24"/>
              </w:rPr>
              <w:t>97,781.60</w:t>
            </w:r>
          </w:p>
        </w:tc>
        <w:tc>
          <w:tcPr>
            <w:tcW w:w="1689" w:type="dxa"/>
            <w:vAlign w:val="center"/>
          </w:tcPr>
          <w:p w:rsidR="00362291" w:rsidRDefault="00CA37E5">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644,449,057.50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84,692,620.90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238,096,085.29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491,045,593.11</w:t>
            </w:r>
          </w:p>
        </w:tc>
      </w:tr>
    </w:tbl>
    <w:p w:rsidR="00362291" w:rsidRDefault="00CA37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826F7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27,864,525.00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-27,864,525.00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0.00</w:t>
            </w:r>
          </w:p>
        </w:tc>
      </w:tr>
    </w:tbl>
    <w:p w:rsidR="00362291" w:rsidRDefault="00CA37E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B568F0" w:rsidRDefault="00B568F0" w:rsidP="00B568F0">
      <w:pPr>
        <w:spacing w:line="288" w:lineRule="auto"/>
        <w:rPr>
          <w:b/>
          <w:bCs/>
          <w:sz w:val="24"/>
          <w:szCs w:val="24"/>
        </w:rPr>
      </w:pPr>
      <w:r>
        <w:rPr>
          <w:b/>
          <w:bCs/>
          <w:sz w:val="24"/>
          <w:szCs w:val="24"/>
        </w:rPr>
        <w:t xml:space="preserve">7.2 </w:t>
      </w:r>
      <w:r>
        <w:rPr>
          <w:rFonts w:ascii="宋体" w:hAnsi="宋体" w:hint="eastAsia"/>
          <w:b/>
          <w:bCs/>
          <w:sz w:val="24"/>
          <w:szCs w:val="24"/>
        </w:rPr>
        <w:t>基金管理人运用固有资金投资本基金交易明细</w:t>
      </w:r>
    </w:p>
    <w:tbl>
      <w:tblPr>
        <w:tblW w:w="0" w:type="auto"/>
        <w:tblInd w:w="-8" w:type="dxa"/>
        <w:tblCellMar>
          <w:left w:w="0" w:type="dxa"/>
          <w:right w:w="0" w:type="dxa"/>
        </w:tblCellMar>
        <w:tblLook w:val="04A0" w:firstRow="1" w:lastRow="0" w:firstColumn="1" w:lastColumn="0" w:noHBand="0" w:noVBand="1"/>
      </w:tblPr>
      <w:tblGrid>
        <w:gridCol w:w="696"/>
        <w:gridCol w:w="1176"/>
        <w:gridCol w:w="1336"/>
        <w:gridCol w:w="1896"/>
        <w:gridCol w:w="1896"/>
        <w:gridCol w:w="1176"/>
      </w:tblGrid>
      <w:tr w:rsidR="00B568F0" w:rsidTr="00B568F0">
        <w:trPr>
          <w:trHeight w:val="340"/>
        </w:trPr>
        <w:tc>
          <w:tcPr>
            <w:tcW w:w="0" w:type="auto"/>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B568F0" w:rsidRDefault="00B568F0">
            <w:pPr>
              <w:pStyle w:val="ad"/>
              <w:snapToGrid w:val="0"/>
              <w:spacing w:before="29" w:line="288" w:lineRule="auto"/>
              <w:jc w:val="left"/>
              <w:rPr>
                <w:color w:val="000000"/>
              </w:rPr>
            </w:pPr>
            <w:r>
              <w:rPr>
                <w:rFonts w:ascii="宋体" w:hAnsi="宋体" w:hint="eastAsia"/>
                <w:color w:val="000000"/>
              </w:rPr>
              <w:t>序号</w:t>
            </w:r>
          </w:p>
        </w:tc>
        <w:tc>
          <w:tcPr>
            <w:tcW w:w="0" w:type="auto"/>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rFonts w:ascii="宋体" w:hAnsi="宋体" w:hint="eastAsia"/>
                <w:color w:val="000000"/>
                <w:sz w:val="24"/>
                <w:szCs w:val="24"/>
              </w:rPr>
              <w:t>交易方式</w:t>
            </w:r>
          </w:p>
        </w:tc>
        <w:tc>
          <w:tcPr>
            <w:tcW w:w="0" w:type="auto"/>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rFonts w:ascii="宋体" w:hAnsi="宋体" w:hint="eastAsia"/>
                <w:color w:val="000000"/>
                <w:sz w:val="24"/>
                <w:szCs w:val="24"/>
              </w:rPr>
              <w:t>交易日期</w:t>
            </w:r>
          </w:p>
        </w:tc>
        <w:tc>
          <w:tcPr>
            <w:tcW w:w="0" w:type="auto"/>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rFonts w:ascii="宋体" w:hAnsi="宋体" w:hint="eastAsia"/>
                <w:color w:val="000000"/>
                <w:sz w:val="24"/>
                <w:szCs w:val="24"/>
              </w:rPr>
              <w:t>交易份额（份）</w:t>
            </w:r>
          </w:p>
        </w:tc>
        <w:tc>
          <w:tcPr>
            <w:tcW w:w="0" w:type="auto"/>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rFonts w:ascii="宋体" w:hAnsi="宋体" w:hint="eastAsia"/>
                <w:color w:val="000000"/>
                <w:sz w:val="24"/>
                <w:szCs w:val="24"/>
              </w:rPr>
              <w:t>交易金额（元）</w:t>
            </w:r>
          </w:p>
        </w:tc>
        <w:tc>
          <w:tcPr>
            <w:tcW w:w="0" w:type="auto"/>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rFonts w:ascii="宋体" w:hAnsi="宋体" w:hint="eastAsia"/>
                <w:color w:val="000000"/>
                <w:sz w:val="24"/>
                <w:szCs w:val="24"/>
              </w:rPr>
              <w:t>适用费率</w:t>
            </w:r>
          </w:p>
        </w:tc>
      </w:tr>
      <w:tr w:rsidR="00B568F0" w:rsidTr="00B568F0">
        <w:tc>
          <w:tcPr>
            <w:tcW w:w="0" w:type="auto"/>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B568F0" w:rsidRDefault="00B568F0">
            <w:r>
              <w:rPr>
                <w:color w:val="000000"/>
                <w:sz w:val="24"/>
                <w:szCs w:val="24"/>
              </w:rPr>
              <w:t>1</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rPr>
                <w:sz w:val="22"/>
              </w:rPr>
            </w:pPr>
            <w:r>
              <w:rPr>
                <w:rFonts w:ascii="宋体" w:hAnsi="宋体" w:hint="eastAsia"/>
                <w:color w:val="000000"/>
                <w:sz w:val="24"/>
                <w:szCs w:val="24"/>
              </w:rPr>
              <w:t>赎回</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r>
              <w:rPr>
                <w:color w:val="000000"/>
                <w:sz w:val="24"/>
                <w:szCs w:val="24"/>
              </w:rPr>
              <w:t>2017-01-09</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r>
              <w:rPr>
                <w:color w:val="000000"/>
                <w:sz w:val="24"/>
                <w:szCs w:val="24"/>
              </w:rPr>
              <w:t>-27,864,525.00</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r>
              <w:rPr>
                <w:color w:val="000000"/>
                <w:sz w:val="24"/>
                <w:szCs w:val="24"/>
              </w:rPr>
              <w:t>-45,772,501.50</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r>
              <w:rPr>
                <w:color w:val="000000"/>
                <w:sz w:val="24"/>
                <w:szCs w:val="24"/>
              </w:rPr>
              <w:t>0.14%</w:t>
            </w:r>
          </w:p>
        </w:tc>
      </w:tr>
      <w:tr w:rsidR="00B568F0" w:rsidTr="00B568F0">
        <w:trPr>
          <w:trHeight w:val="340"/>
        </w:trPr>
        <w:tc>
          <w:tcPr>
            <w:tcW w:w="0" w:type="auto"/>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B568F0" w:rsidRDefault="00B568F0">
            <w:pPr>
              <w:pStyle w:val="ad"/>
              <w:snapToGrid w:val="0"/>
              <w:spacing w:before="29" w:line="288" w:lineRule="auto"/>
              <w:jc w:val="left"/>
              <w:rPr>
                <w:color w:val="000000"/>
              </w:rPr>
            </w:pPr>
            <w:r>
              <w:rPr>
                <w:rFonts w:ascii="宋体" w:hAnsi="宋体" w:hint="eastAsia"/>
                <w:color w:val="000000"/>
              </w:rPr>
              <w:t>合计</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tcPr>
          <w:p w:rsidR="00B568F0" w:rsidRDefault="00B568F0">
            <w:pPr>
              <w:snapToGrid w:val="0"/>
              <w:spacing w:before="29" w:line="288" w:lineRule="auto"/>
              <w:rPr>
                <w:color w:val="0000FF"/>
                <w:sz w:val="18"/>
                <w:szCs w:val="18"/>
              </w:rPr>
            </w:pP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tcPr>
          <w:p w:rsidR="00B568F0" w:rsidRDefault="00B568F0">
            <w:pPr>
              <w:snapToGrid w:val="0"/>
              <w:spacing w:before="29" w:line="288" w:lineRule="auto"/>
              <w:rPr>
                <w:color w:val="0000FF"/>
                <w:sz w:val="18"/>
                <w:szCs w:val="18"/>
              </w:rPr>
            </w:pP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rPr>
                <w:sz w:val="22"/>
              </w:rPr>
            </w:pPr>
            <w:r>
              <w:rPr>
                <w:color w:val="000000"/>
                <w:sz w:val="24"/>
                <w:szCs w:val="24"/>
              </w:rPr>
              <w:t>-27,864,525.00</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B568F0" w:rsidRDefault="00B568F0">
            <w:pPr>
              <w:snapToGrid w:val="0"/>
              <w:spacing w:before="29" w:line="288" w:lineRule="auto"/>
              <w:rPr>
                <w:color w:val="000000"/>
                <w:sz w:val="24"/>
                <w:szCs w:val="24"/>
              </w:rPr>
            </w:pPr>
            <w:r>
              <w:rPr>
                <w:color w:val="000000"/>
                <w:sz w:val="24"/>
                <w:szCs w:val="24"/>
              </w:rPr>
              <w:t>-45,772,501.50</w:t>
            </w:r>
          </w:p>
        </w:tc>
        <w:tc>
          <w:tcPr>
            <w:tcW w:w="0" w:type="auto"/>
            <w:tcBorders>
              <w:top w:val="nil"/>
              <w:left w:val="nil"/>
              <w:bottom w:val="single" w:sz="8" w:space="0" w:color="auto"/>
              <w:right w:val="single" w:sz="8" w:space="0" w:color="auto"/>
            </w:tcBorders>
            <w:tcMar>
              <w:top w:w="108" w:type="dxa"/>
              <w:left w:w="108" w:type="dxa"/>
              <w:bottom w:w="108" w:type="dxa"/>
              <w:right w:w="108" w:type="dxa"/>
            </w:tcMar>
            <w:vAlign w:val="center"/>
          </w:tcPr>
          <w:p w:rsidR="00B568F0" w:rsidRDefault="00B568F0">
            <w:pPr>
              <w:snapToGrid w:val="0"/>
              <w:spacing w:before="29" w:line="288" w:lineRule="auto"/>
              <w:rPr>
                <w:color w:val="0000FF"/>
                <w:sz w:val="18"/>
                <w:szCs w:val="18"/>
              </w:rPr>
            </w:pPr>
          </w:p>
        </w:tc>
      </w:tr>
    </w:tbl>
    <w:p w:rsidR="00B568F0" w:rsidRDefault="00B568F0" w:rsidP="00C15CAC">
      <w:pPr>
        <w:autoSpaceDE w:val="0"/>
        <w:autoSpaceDN w:val="0"/>
        <w:adjustRightInd w:val="0"/>
        <w:spacing w:before="29" w:line="288" w:lineRule="auto"/>
        <w:jc w:val="left"/>
        <w:rPr>
          <w:rFonts w:eastAsiaTheme="minorEastAsia"/>
          <w:color w:val="000000"/>
          <w:sz w:val="24"/>
        </w:rPr>
      </w:pPr>
    </w:p>
    <w:p w:rsidR="00613BE9" w:rsidRDefault="00613BE9" w:rsidP="00613BE9">
      <w:pPr>
        <w:pStyle w:val="1"/>
        <w:spacing w:beforeLines="100" w:before="312" w:afterLines="100" w:after="312" w:line="360" w:lineRule="auto"/>
        <w:jc w:val="center"/>
        <w:rPr>
          <w:color w:val="000000"/>
          <w:sz w:val="24"/>
          <w:szCs w:val="24"/>
        </w:rPr>
      </w:pPr>
      <w:r>
        <w:rPr>
          <w:color w:val="000000"/>
          <w:sz w:val="24"/>
          <w:szCs w:val="24"/>
        </w:rPr>
        <w:t>§8</w:t>
      </w:r>
      <w:r>
        <w:rPr>
          <w:rFonts w:ascii="宋体" w:hAnsi="宋体" w:hint="eastAsia"/>
          <w:color w:val="000000"/>
          <w:sz w:val="24"/>
          <w:szCs w:val="24"/>
        </w:rPr>
        <w:t>影响投资者决策的其他重要信息</w:t>
      </w:r>
    </w:p>
    <w:p w:rsidR="00613BE9" w:rsidRDefault="00613BE9" w:rsidP="00613BE9">
      <w:pPr>
        <w:autoSpaceDE w:val="0"/>
        <w:autoSpaceDN w:val="0"/>
        <w:spacing w:line="360" w:lineRule="auto"/>
        <w:jc w:val="left"/>
        <w:rPr>
          <w:b/>
          <w:bCs/>
          <w:color w:val="000000"/>
          <w:sz w:val="24"/>
          <w:szCs w:val="24"/>
        </w:rPr>
      </w:pPr>
      <w:r>
        <w:rPr>
          <w:b/>
          <w:bCs/>
          <w:color w:val="000000"/>
          <w:sz w:val="24"/>
          <w:szCs w:val="24"/>
        </w:rPr>
        <w:t xml:space="preserve">8.1 </w:t>
      </w:r>
      <w:r>
        <w:rPr>
          <w:rFonts w:ascii="宋体" w:hAnsi="宋体" w:hint="eastAsia"/>
          <w:b/>
          <w:bCs/>
          <w:color w:val="000000"/>
          <w:sz w:val="24"/>
          <w:szCs w:val="24"/>
        </w:rPr>
        <w:t>报告期内单一投资者持有基金份额比例达到或超过</w:t>
      </w:r>
      <w:r>
        <w:rPr>
          <w:b/>
          <w:bCs/>
          <w:color w:val="000000"/>
          <w:sz w:val="24"/>
          <w:szCs w:val="24"/>
        </w:rPr>
        <w:t>20%</w:t>
      </w:r>
      <w:r>
        <w:rPr>
          <w:rFonts w:ascii="宋体" w:hAnsi="宋体" w:hint="eastAsia"/>
          <w:b/>
          <w:bCs/>
          <w:color w:val="000000"/>
          <w:sz w:val="24"/>
          <w:szCs w:val="24"/>
        </w:rPr>
        <w:t>的情况</w:t>
      </w:r>
    </w:p>
    <w:tbl>
      <w:tblPr>
        <w:tblW w:w="0" w:type="auto"/>
        <w:tblInd w:w="-176" w:type="dxa"/>
        <w:tblCellMar>
          <w:left w:w="0" w:type="dxa"/>
          <w:right w:w="0" w:type="dxa"/>
        </w:tblCellMar>
        <w:tblLook w:val="04A0" w:firstRow="1" w:lastRow="0" w:firstColumn="1" w:lastColumn="0" w:noHBand="0" w:noVBand="1"/>
      </w:tblPr>
      <w:tblGrid>
        <w:gridCol w:w="691"/>
        <w:gridCol w:w="528"/>
        <w:gridCol w:w="2182"/>
        <w:gridCol w:w="1750"/>
        <w:gridCol w:w="626"/>
        <w:gridCol w:w="626"/>
        <w:gridCol w:w="1750"/>
        <w:gridCol w:w="1029"/>
      </w:tblGrid>
      <w:tr w:rsidR="00613BE9" w:rsidTr="00613BE9">
        <w:tc>
          <w:tcPr>
            <w:tcW w:w="0" w:type="auto"/>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center"/>
              <w:rPr>
                <w:rFonts w:ascii="宋体" w:hAnsi="宋体"/>
                <w:color w:val="000000"/>
                <w:sz w:val="22"/>
              </w:rPr>
            </w:pPr>
            <w:r>
              <w:rPr>
                <w:rFonts w:ascii="宋体" w:hAnsi="宋体" w:hint="eastAsia"/>
                <w:color w:val="000000"/>
                <w:sz w:val="22"/>
                <w:szCs w:val="22"/>
              </w:rPr>
              <w:t>投资者类别</w:t>
            </w:r>
          </w:p>
        </w:tc>
        <w:tc>
          <w:tcPr>
            <w:tcW w:w="0" w:type="auto"/>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center"/>
              <w:rPr>
                <w:rFonts w:ascii="宋体" w:hAnsi="宋体"/>
                <w:color w:val="000000"/>
                <w:sz w:val="22"/>
              </w:rPr>
            </w:pPr>
            <w:r>
              <w:rPr>
                <w:rFonts w:ascii="宋体" w:hAnsi="宋体" w:hint="eastAsia"/>
                <w:color w:val="000000"/>
                <w:sz w:val="22"/>
                <w:szCs w:val="22"/>
              </w:rPr>
              <w:t>报告期内持有基金份额变化情况</w:t>
            </w:r>
          </w:p>
        </w:tc>
        <w:tc>
          <w:tcPr>
            <w:tcW w:w="0" w:type="auto"/>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rPr>
                <w:rFonts w:ascii="宋体" w:hAnsi="宋体"/>
                <w:color w:val="000000"/>
                <w:sz w:val="22"/>
              </w:rPr>
            </w:pPr>
            <w:r>
              <w:rPr>
                <w:rFonts w:ascii="宋体" w:hAnsi="宋体" w:hint="eastAsia"/>
                <w:color w:val="000000"/>
                <w:sz w:val="22"/>
                <w:szCs w:val="22"/>
              </w:rPr>
              <w:t>报告期末持有基金情况</w:t>
            </w:r>
          </w:p>
        </w:tc>
      </w:tr>
      <w:tr w:rsidR="00613BE9" w:rsidTr="00613BE9">
        <w:tc>
          <w:tcPr>
            <w:tcW w:w="0" w:type="auto"/>
            <w:vMerge/>
            <w:tcBorders>
              <w:top w:val="single" w:sz="8" w:space="0" w:color="auto"/>
              <w:left w:val="single" w:sz="8" w:space="0" w:color="auto"/>
              <w:bottom w:val="single" w:sz="8" w:space="0" w:color="auto"/>
              <w:right w:val="single" w:sz="8" w:space="0" w:color="auto"/>
            </w:tcBorders>
            <w:vAlign w:val="center"/>
            <w:hideMark/>
          </w:tcPr>
          <w:p w:rsidR="00613BE9" w:rsidRDefault="00613BE9" w:rsidP="00C63751">
            <w:pPr>
              <w:jc w:val="left"/>
              <w:rPr>
                <w:rFonts w:ascii="宋体" w:hAnsi="宋体"/>
                <w:color w:val="000000"/>
                <w:sz w:val="2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center"/>
              <w:rPr>
                <w:rFonts w:ascii="宋体" w:hAnsi="宋体"/>
                <w:color w:val="000000"/>
                <w:sz w:val="22"/>
              </w:rPr>
            </w:pPr>
            <w:r>
              <w:rPr>
                <w:rFonts w:ascii="宋体" w:hAnsi="宋体" w:hint="eastAsia"/>
                <w:color w:val="000000"/>
                <w:sz w:val="22"/>
                <w:szCs w:val="22"/>
              </w:rPr>
              <w:t>序号</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rPr>
                <w:rFonts w:ascii="宋体" w:hAnsi="宋体"/>
                <w:color w:val="000000"/>
                <w:sz w:val="22"/>
              </w:rPr>
            </w:pPr>
            <w:r>
              <w:rPr>
                <w:rFonts w:ascii="宋体" w:hAnsi="宋体" w:hint="eastAsia"/>
                <w:color w:val="000000"/>
                <w:sz w:val="22"/>
                <w:szCs w:val="22"/>
              </w:rPr>
              <w:t>持有基金份额比例达到或者超过20%的时间区间</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13BE9" w:rsidRDefault="00613BE9" w:rsidP="00C63751">
            <w:pPr>
              <w:jc w:val="center"/>
              <w:rPr>
                <w:rFonts w:ascii="宋体" w:hAnsi="宋体"/>
                <w:color w:val="000000"/>
                <w:sz w:val="22"/>
              </w:rPr>
            </w:pPr>
            <w:r>
              <w:rPr>
                <w:rFonts w:ascii="宋体" w:hAnsi="宋体" w:hint="eastAsia"/>
                <w:color w:val="000000"/>
                <w:sz w:val="22"/>
                <w:szCs w:val="22"/>
              </w:rPr>
              <w:t>期初份额</w:t>
            </w:r>
          </w:p>
          <w:p w:rsidR="00613BE9" w:rsidRDefault="00613BE9" w:rsidP="00C63751">
            <w:pPr>
              <w:autoSpaceDE w:val="0"/>
              <w:autoSpaceDN w:val="0"/>
              <w:jc w:val="center"/>
              <w:rPr>
                <w:rFonts w:ascii="宋体" w:hAnsi="宋体"/>
                <w:color w:val="000000"/>
                <w:sz w:val="2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613BE9" w:rsidRDefault="00613BE9" w:rsidP="00C63751">
            <w:pPr>
              <w:jc w:val="center"/>
              <w:rPr>
                <w:rFonts w:ascii="宋体" w:hAnsi="宋体"/>
                <w:color w:val="000000"/>
                <w:sz w:val="22"/>
              </w:rPr>
            </w:pPr>
            <w:r>
              <w:rPr>
                <w:rFonts w:ascii="宋体" w:hAnsi="宋体" w:hint="eastAsia"/>
                <w:color w:val="000000"/>
                <w:sz w:val="22"/>
                <w:szCs w:val="22"/>
              </w:rPr>
              <w:t>申购份额</w:t>
            </w:r>
          </w:p>
          <w:p w:rsidR="00613BE9" w:rsidRDefault="00613BE9" w:rsidP="00C63751">
            <w:pPr>
              <w:autoSpaceDE w:val="0"/>
              <w:autoSpaceDN w:val="0"/>
              <w:jc w:val="center"/>
              <w:rPr>
                <w:rFonts w:ascii="宋体" w:hAnsi="宋体"/>
                <w:color w:val="000000"/>
                <w:sz w:val="22"/>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center"/>
              <w:rPr>
                <w:rFonts w:ascii="宋体" w:hAnsi="宋体"/>
                <w:color w:val="000000"/>
                <w:sz w:val="22"/>
              </w:rPr>
            </w:pPr>
            <w:r>
              <w:rPr>
                <w:rFonts w:ascii="宋体" w:hAnsi="宋体" w:hint="eastAsia"/>
                <w:color w:val="000000"/>
                <w:sz w:val="22"/>
                <w:szCs w:val="22"/>
              </w:rPr>
              <w:t>赎回份额</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rPr>
                <w:rFonts w:ascii="宋体" w:hAnsi="宋体"/>
                <w:color w:val="000000"/>
                <w:sz w:val="22"/>
              </w:rPr>
            </w:pPr>
            <w:r>
              <w:rPr>
                <w:rFonts w:ascii="宋体" w:hAnsi="宋体" w:hint="eastAsia"/>
                <w:color w:val="000000"/>
                <w:sz w:val="22"/>
                <w:szCs w:val="22"/>
              </w:rPr>
              <w:t>持有份额</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center"/>
              <w:rPr>
                <w:rFonts w:ascii="宋体" w:hAnsi="宋体"/>
                <w:color w:val="000000"/>
                <w:sz w:val="22"/>
              </w:rPr>
            </w:pPr>
            <w:r>
              <w:rPr>
                <w:rFonts w:ascii="宋体" w:hAnsi="宋体" w:hint="eastAsia"/>
                <w:color w:val="000000"/>
                <w:sz w:val="22"/>
                <w:szCs w:val="22"/>
              </w:rPr>
              <w:t>份额占比</w:t>
            </w:r>
          </w:p>
        </w:tc>
      </w:tr>
      <w:tr w:rsidR="00613BE9" w:rsidTr="00613BE9">
        <w:tc>
          <w:tcPr>
            <w:tcW w:w="0" w:type="auto"/>
            <w:tcBorders>
              <w:top w:val="nil"/>
              <w:left w:val="single" w:sz="8" w:space="0" w:color="auto"/>
              <w:bottom w:val="nil"/>
              <w:right w:val="single" w:sz="8" w:space="0" w:color="auto"/>
            </w:tcBorders>
            <w:tcMar>
              <w:top w:w="0" w:type="dxa"/>
              <w:left w:w="108" w:type="dxa"/>
              <w:bottom w:w="0" w:type="dxa"/>
              <w:right w:w="108" w:type="dxa"/>
            </w:tcMar>
          </w:tcPr>
          <w:p w:rsidR="00613BE9" w:rsidRDefault="00613BE9" w:rsidP="00C63751">
            <w:pPr>
              <w:rPr>
                <w:sz w:val="20"/>
                <w:szCs w:val="20"/>
              </w:rPr>
            </w:pPr>
          </w:p>
          <w:p w:rsidR="00613BE9" w:rsidRDefault="00613BE9" w:rsidP="00C63751">
            <w:pPr>
              <w:rPr>
                <w:sz w:val="20"/>
                <w:szCs w:val="20"/>
              </w:rPr>
            </w:pPr>
            <w:r>
              <w:rPr>
                <w:rFonts w:ascii="宋体" w:hAnsi="宋体" w:hint="eastAsia"/>
                <w:color w:val="000000"/>
                <w:sz w:val="24"/>
                <w:szCs w:val="24"/>
              </w:rPr>
              <w:t>机构</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2017/01/01-2017/03/31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172,301,106.33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172,301,106.33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jc w:val="center"/>
              <w:rPr>
                <w:sz w:val="20"/>
                <w:szCs w:val="20"/>
              </w:rPr>
            </w:pPr>
            <w:r>
              <w:rPr>
                <w:color w:val="000000"/>
                <w:sz w:val="22"/>
                <w:szCs w:val="22"/>
              </w:rPr>
              <w:t>35.09%</w:t>
            </w:r>
          </w:p>
        </w:tc>
      </w:tr>
      <w:tr w:rsidR="00613BE9" w:rsidTr="00613BE9">
        <w:tc>
          <w:tcPr>
            <w:tcW w:w="0" w:type="auto"/>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ind w:firstLine="1126"/>
              <w:jc w:val="center"/>
              <w:rPr>
                <w:sz w:val="22"/>
              </w:rPr>
            </w:pPr>
            <w:r>
              <w:rPr>
                <w:rFonts w:ascii="宋体" w:hAnsi="宋体" w:hint="eastAsia"/>
                <w:color w:val="000000"/>
                <w:sz w:val="22"/>
                <w:szCs w:val="22"/>
              </w:rPr>
              <w:t>产品特有风险</w:t>
            </w:r>
          </w:p>
        </w:tc>
      </w:tr>
      <w:tr w:rsidR="00613BE9" w:rsidTr="00613BE9">
        <w:tc>
          <w:tcPr>
            <w:tcW w:w="0" w:type="auto"/>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13BE9" w:rsidRDefault="00613BE9" w:rsidP="00C63751">
            <w:pPr>
              <w:autoSpaceDE w:val="0"/>
              <w:autoSpaceDN w:val="0"/>
              <w:jc w:val="left"/>
              <w:rPr>
                <w:sz w:val="22"/>
              </w:rPr>
            </w:pPr>
            <w:r>
              <w:rPr>
                <w:rFonts w:ascii="宋体" w:hAnsi="宋体" w:hint="eastAsia"/>
                <w:sz w:val="22"/>
                <w:szCs w:val="22"/>
              </w:rPr>
              <w:t>本基金本报告期内出现单一投资者持有基金份额比例超过基金总份额</w:t>
            </w:r>
            <w:r>
              <w:rPr>
                <w:sz w:val="22"/>
                <w:szCs w:val="22"/>
              </w:rPr>
              <w:t>20%</w:t>
            </w:r>
            <w:r>
              <w:rPr>
                <w:rFonts w:ascii="宋体" w:hAnsi="宋体" w:hint="eastAsia"/>
                <w:sz w:val="22"/>
                <w:szCs w:val="22"/>
              </w:rPr>
              <w:t>的情况。如该类投资者集中赎回，可能会对本基金带来流动性冲击，从而影响基金的投资运作和收益水平。基金管理人将加强流动性管理，防范相关风险，保护持有人利益。</w:t>
            </w:r>
          </w:p>
        </w:tc>
      </w:tr>
    </w:tbl>
    <w:p w:rsidR="00613BE9" w:rsidRPr="00613BE9" w:rsidRDefault="00613BE9" w:rsidP="00C15CAC">
      <w:pPr>
        <w:autoSpaceDE w:val="0"/>
        <w:autoSpaceDN w:val="0"/>
        <w:adjustRightInd w:val="0"/>
        <w:spacing w:before="29" w:line="288" w:lineRule="auto"/>
        <w:jc w:val="left"/>
        <w:rPr>
          <w:rFonts w:eastAsiaTheme="minorEastAsia"/>
          <w:color w:val="000000"/>
          <w:sz w:val="24"/>
        </w:rPr>
      </w:pPr>
    </w:p>
    <w:p w:rsidR="00B22DEE" w:rsidRPr="00E02660" w:rsidRDefault="004061AC" w:rsidP="00826F7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13BE9">
        <w:rPr>
          <w:color w:val="000000"/>
          <w:kern w:val="0"/>
          <w:sz w:val="24"/>
          <w:szCs w:val="24"/>
        </w:rPr>
        <w:t>9</w:t>
      </w:r>
      <w:r w:rsidRPr="00414345">
        <w:rPr>
          <w:color w:val="000000"/>
          <w:kern w:val="0"/>
          <w:sz w:val="24"/>
          <w:szCs w:val="24"/>
        </w:rPr>
        <w:t>备查文件目录</w:t>
      </w:r>
    </w:p>
    <w:p w:rsidR="004061AC" w:rsidRPr="00414345" w:rsidRDefault="00613BE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62291" w:rsidRDefault="00CA37E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362291" w:rsidRDefault="00CA37E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362291" w:rsidRDefault="00CA37E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362291" w:rsidRDefault="00CA37E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362291" w:rsidRDefault="00CA37E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613BE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613BE9"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62291" w:rsidRDefault="00CA37E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17D" w:rsidRDefault="0025617D" w:rsidP="00876D65">
      <w:r>
        <w:separator/>
      </w:r>
    </w:p>
  </w:endnote>
  <w:endnote w:type="continuationSeparator" w:id="0">
    <w:p w:rsidR="0025617D" w:rsidRDefault="0025617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172AD4">
      <w:rPr>
        <w:kern w:val="0"/>
        <w:szCs w:val="21"/>
      </w:rPr>
      <w:fldChar w:fldCharType="begin"/>
    </w:r>
    <w:r>
      <w:rPr>
        <w:kern w:val="0"/>
        <w:szCs w:val="21"/>
      </w:rPr>
      <w:instrText xml:space="preserve"> PAGE </w:instrText>
    </w:r>
    <w:r w:rsidR="00172AD4">
      <w:rPr>
        <w:kern w:val="0"/>
        <w:szCs w:val="21"/>
      </w:rPr>
      <w:fldChar w:fldCharType="separate"/>
    </w:r>
    <w:r w:rsidR="00CE6188">
      <w:rPr>
        <w:noProof/>
        <w:kern w:val="0"/>
        <w:szCs w:val="21"/>
      </w:rPr>
      <w:t>8</w:t>
    </w:r>
    <w:r w:rsidR="00172AD4">
      <w:rPr>
        <w:kern w:val="0"/>
        <w:szCs w:val="21"/>
      </w:rPr>
      <w:fldChar w:fldCharType="end"/>
    </w:r>
    <w:proofErr w:type="gramStart"/>
    <w:r>
      <w:rPr>
        <w:rFonts w:hint="eastAsia"/>
        <w:kern w:val="0"/>
        <w:szCs w:val="21"/>
      </w:rPr>
      <w:t>页共</w:t>
    </w:r>
    <w:proofErr w:type="gramEnd"/>
    <w:r w:rsidR="00172AD4">
      <w:rPr>
        <w:kern w:val="0"/>
        <w:szCs w:val="21"/>
      </w:rPr>
      <w:fldChar w:fldCharType="begin"/>
    </w:r>
    <w:r>
      <w:rPr>
        <w:kern w:val="0"/>
        <w:szCs w:val="21"/>
      </w:rPr>
      <w:instrText xml:space="preserve"> NUMPAGES </w:instrText>
    </w:r>
    <w:r w:rsidR="00172AD4">
      <w:rPr>
        <w:kern w:val="0"/>
        <w:szCs w:val="21"/>
      </w:rPr>
      <w:fldChar w:fldCharType="separate"/>
    </w:r>
    <w:r w:rsidR="00CE6188">
      <w:rPr>
        <w:noProof/>
        <w:kern w:val="0"/>
        <w:szCs w:val="21"/>
      </w:rPr>
      <w:t>12</w:t>
    </w:r>
    <w:r w:rsidR="00172AD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17D" w:rsidRDefault="0025617D" w:rsidP="00876D65">
      <w:r>
        <w:separator/>
      </w:r>
    </w:p>
  </w:footnote>
  <w:footnote w:type="continuationSeparator" w:id="0">
    <w:p w:rsidR="0025617D" w:rsidRDefault="0025617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24B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16C5E"/>
    <w:rsid w:val="00133015"/>
    <w:rsid w:val="00137452"/>
    <w:rsid w:val="00137B31"/>
    <w:rsid w:val="00144F93"/>
    <w:rsid w:val="00147376"/>
    <w:rsid w:val="0015450B"/>
    <w:rsid w:val="00154BE1"/>
    <w:rsid w:val="0015710B"/>
    <w:rsid w:val="00160EDC"/>
    <w:rsid w:val="00162D61"/>
    <w:rsid w:val="001675CD"/>
    <w:rsid w:val="001717D5"/>
    <w:rsid w:val="00171EF0"/>
    <w:rsid w:val="00172AD4"/>
    <w:rsid w:val="001761D2"/>
    <w:rsid w:val="00176C21"/>
    <w:rsid w:val="001830D7"/>
    <w:rsid w:val="00185A34"/>
    <w:rsid w:val="001934F6"/>
    <w:rsid w:val="00196E6C"/>
    <w:rsid w:val="001A73E8"/>
    <w:rsid w:val="001B0A62"/>
    <w:rsid w:val="001B2F35"/>
    <w:rsid w:val="001B3FA0"/>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5617D"/>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2291"/>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3BE9"/>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4DE1"/>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6F74"/>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2C4"/>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8F0"/>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37E5"/>
    <w:rsid w:val="00CA574C"/>
    <w:rsid w:val="00CA5FD5"/>
    <w:rsid w:val="00CA7703"/>
    <w:rsid w:val="00CB0F92"/>
    <w:rsid w:val="00CD4E6D"/>
    <w:rsid w:val="00CD4F19"/>
    <w:rsid w:val="00CD5707"/>
    <w:rsid w:val="00CD7702"/>
    <w:rsid w:val="00CE29EA"/>
    <w:rsid w:val="00CE473F"/>
    <w:rsid w:val="00CE6188"/>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3DEE60E-54E5-4931-832F-C8AAB1C47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uiPriority w:val="99"/>
    <w:rsid w:val="004061AC"/>
    <w:rPr>
      <w:sz w:val="24"/>
      <w:szCs w:val="24"/>
    </w:rPr>
  </w:style>
  <w:style w:type="character" w:customStyle="1" w:styleId="Char4">
    <w:name w:val="日期 Char"/>
    <w:basedOn w:val="a1"/>
    <w:link w:val="ad"/>
    <w:uiPriority w:val="99"/>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291907">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214599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5DE89-D782-4895-A103-86B8C478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1138</Words>
  <Characters>6491</Characters>
  <Application>Microsoft Office Word</Application>
  <DocSecurity>0</DocSecurity>
  <Lines>54</Lines>
  <Paragraphs>15</Paragraphs>
  <ScaleCrop>false</ScaleCrop>
  <Company/>
  <LinksUpToDate>false</LinksUpToDate>
  <CharactersWithSpaces>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许帆</cp:lastModifiedBy>
  <cp:revision>5</cp:revision>
  <dcterms:created xsi:type="dcterms:W3CDTF">2017-04-20T09:10:00Z</dcterms:created>
  <dcterms:modified xsi:type="dcterms:W3CDTF">2017-04-21T07:06:00Z</dcterms:modified>
</cp:coreProperties>
</file>