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56833" w:rsidRDefault="006B40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56833" w:rsidRDefault="006B4065">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56833" w:rsidRDefault="006B40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56833" w:rsidRDefault="006B40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56833" w:rsidRDefault="006B406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738,729,283.35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B4065" w:rsidRPr="00414345" w:rsidTr="006B406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B4065" w:rsidRPr="00414345" w:rsidTr="006B40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8,076,170.44</w:t>
            </w:r>
          </w:p>
        </w:tc>
      </w:tr>
      <w:tr w:rsidR="006B4065" w:rsidRPr="00414345" w:rsidTr="006B40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38,406,756.43</w:t>
            </w:r>
          </w:p>
        </w:tc>
      </w:tr>
      <w:tr w:rsidR="006B4065" w:rsidRPr="00414345" w:rsidTr="006B40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0.1121</w:t>
            </w:r>
          </w:p>
        </w:tc>
      </w:tr>
      <w:tr w:rsidR="006B4065" w:rsidRPr="00414345" w:rsidTr="006B40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820,415,014.56</w:t>
            </w:r>
          </w:p>
        </w:tc>
      </w:tr>
      <w:tr w:rsidR="006B4065" w:rsidRPr="00414345" w:rsidTr="006B406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w:t>
            </w:r>
          </w:p>
        </w:tc>
      </w:tr>
    </w:tbl>
    <w:p w:rsidR="00856833" w:rsidRDefault="006B40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56833">
        <w:trPr>
          <w:jc w:val="center"/>
        </w:trPr>
        <w:tc>
          <w:tcPr>
            <w:tcW w:w="1701" w:type="dxa"/>
            <w:vAlign w:val="center"/>
          </w:tcPr>
          <w:p w:rsidR="00856833" w:rsidRDefault="006B4065">
            <w:pPr>
              <w:jc w:val="left"/>
            </w:pPr>
            <w:r>
              <w:rPr>
                <w:color w:val="000000"/>
                <w:sz w:val="24"/>
                <w:szCs w:val="24"/>
              </w:rPr>
              <w:t>过去三个月</w:t>
            </w:r>
          </w:p>
        </w:tc>
        <w:tc>
          <w:tcPr>
            <w:tcW w:w="1045" w:type="dxa"/>
            <w:vAlign w:val="center"/>
          </w:tcPr>
          <w:p w:rsidR="00856833" w:rsidRDefault="006B4065">
            <w:pPr>
              <w:jc w:val="center"/>
            </w:pPr>
            <w:r>
              <w:rPr>
                <w:color w:val="000000"/>
                <w:sz w:val="24"/>
                <w:szCs w:val="24"/>
              </w:rPr>
              <w:t>11.91%</w:t>
            </w:r>
          </w:p>
        </w:tc>
        <w:tc>
          <w:tcPr>
            <w:tcW w:w="1344" w:type="dxa"/>
            <w:vAlign w:val="center"/>
          </w:tcPr>
          <w:p w:rsidR="00856833" w:rsidRDefault="006B4065">
            <w:pPr>
              <w:jc w:val="center"/>
            </w:pPr>
            <w:r>
              <w:rPr>
                <w:color w:val="000000"/>
                <w:sz w:val="24"/>
                <w:szCs w:val="24"/>
              </w:rPr>
              <w:t>0.66%</w:t>
            </w:r>
          </w:p>
        </w:tc>
        <w:tc>
          <w:tcPr>
            <w:tcW w:w="1194" w:type="dxa"/>
            <w:vAlign w:val="center"/>
          </w:tcPr>
          <w:p w:rsidR="00856833" w:rsidRDefault="006B4065">
            <w:pPr>
              <w:jc w:val="center"/>
            </w:pPr>
            <w:r>
              <w:rPr>
                <w:color w:val="000000"/>
                <w:sz w:val="24"/>
                <w:szCs w:val="24"/>
              </w:rPr>
              <w:t>2.59%</w:t>
            </w:r>
          </w:p>
        </w:tc>
        <w:tc>
          <w:tcPr>
            <w:tcW w:w="1492" w:type="dxa"/>
            <w:vAlign w:val="center"/>
          </w:tcPr>
          <w:p w:rsidR="00856833" w:rsidRDefault="006B4065">
            <w:pPr>
              <w:jc w:val="center"/>
            </w:pPr>
            <w:r>
              <w:rPr>
                <w:color w:val="000000"/>
                <w:sz w:val="24"/>
                <w:szCs w:val="24"/>
              </w:rPr>
              <w:t>0.31%</w:t>
            </w:r>
          </w:p>
        </w:tc>
        <w:tc>
          <w:tcPr>
            <w:tcW w:w="1194" w:type="dxa"/>
            <w:vAlign w:val="center"/>
          </w:tcPr>
          <w:p w:rsidR="00856833" w:rsidRDefault="006B4065">
            <w:pPr>
              <w:jc w:val="center"/>
            </w:pPr>
            <w:r>
              <w:rPr>
                <w:color w:val="000000"/>
                <w:sz w:val="24"/>
                <w:szCs w:val="24"/>
              </w:rPr>
              <w:t>9.32%</w:t>
            </w:r>
          </w:p>
        </w:tc>
        <w:tc>
          <w:tcPr>
            <w:tcW w:w="898" w:type="dxa"/>
            <w:vAlign w:val="center"/>
          </w:tcPr>
          <w:p w:rsidR="00856833" w:rsidRDefault="006B4065">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6B406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56833">
        <w:trPr>
          <w:jc w:val="center"/>
        </w:trPr>
        <w:tc>
          <w:tcPr>
            <w:tcW w:w="846" w:type="dxa"/>
            <w:vAlign w:val="center"/>
          </w:tcPr>
          <w:p w:rsidR="00856833" w:rsidRDefault="006B4065">
            <w:pPr>
              <w:jc w:val="center"/>
            </w:pPr>
            <w:r>
              <w:rPr>
                <w:color w:val="000000"/>
                <w:sz w:val="24"/>
                <w:szCs w:val="24"/>
              </w:rPr>
              <w:t>王少成</w:t>
            </w:r>
          </w:p>
        </w:tc>
        <w:tc>
          <w:tcPr>
            <w:tcW w:w="845" w:type="dxa"/>
            <w:vAlign w:val="center"/>
          </w:tcPr>
          <w:p w:rsidR="00856833" w:rsidRDefault="006B4065">
            <w:pPr>
              <w:jc w:val="center"/>
            </w:pPr>
            <w:r>
              <w:rPr>
                <w:color w:val="000000"/>
                <w:sz w:val="24"/>
                <w:szCs w:val="24"/>
              </w:rPr>
              <w:t>交银成长混合、交银策略回报灵活</w:t>
            </w:r>
            <w:r>
              <w:rPr>
                <w:color w:val="000000"/>
                <w:sz w:val="24"/>
                <w:szCs w:val="24"/>
              </w:rPr>
              <w:lastRenderedPageBreak/>
              <w:t>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856833" w:rsidRDefault="006B4065">
            <w:pPr>
              <w:jc w:val="center"/>
            </w:pPr>
            <w:r>
              <w:rPr>
                <w:color w:val="000000"/>
                <w:sz w:val="24"/>
                <w:szCs w:val="24"/>
              </w:rPr>
              <w:lastRenderedPageBreak/>
              <w:t>2015-11-07</w:t>
            </w:r>
          </w:p>
        </w:tc>
        <w:tc>
          <w:tcPr>
            <w:tcW w:w="1548" w:type="dxa"/>
            <w:vAlign w:val="center"/>
          </w:tcPr>
          <w:p w:rsidR="00856833" w:rsidRDefault="006B4065">
            <w:pPr>
              <w:jc w:val="center"/>
            </w:pPr>
            <w:r>
              <w:rPr>
                <w:color w:val="000000"/>
                <w:sz w:val="24"/>
                <w:szCs w:val="24"/>
              </w:rPr>
              <w:t>-</w:t>
            </w:r>
          </w:p>
        </w:tc>
        <w:tc>
          <w:tcPr>
            <w:tcW w:w="1407" w:type="dxa"/>
            <w:vAlign w:val="center"/>
          </w:tcPr>
          <w:p w:rsidR="00856833" w:rsidRDefault="006B4065">
            <w:pPr>
              <w:jc w:val="center"/>
            </w:pPr>
            <w:r>
              <w:rPr>
                <w:color w:val="000000"/>
                <w:sz w:val="24"/>
                <w:szCs w:val="24"/>
              </w:rPr>
              <w:t>13</w:t>
            </w:r>
            <w:r>
              <w:rPr>
                <w:color w:val="000000"/>
                <w:sz w:val="24"/>
                <w:szCs w:val="24"/>
              </w:rPr>
              <w:t>年</w:t>
            </w:r>
          </w:p>
        </w:tc>
        <w:tc>
          <w:tcPr>
            <w:tcW w:w="2673" w:type="dxa"/>
            <w:vAlign w:val="center"/>
          </w:tcPr>
          <w:p w:rsidR="00856833" w:rsidRDefault="006B4065">
            <w:r>
              <w:rPr>
                <w:color w:val="000000"/>
                <w:sz w:val="24"/>
                <w:szCs w:val="24"/>
              </w:rPr>
              <w:t>王少成先生，复旦大学硕士学历。历任上海融昌资产管理公司研究员，中原证券投资经理，信诚基金管理有限公司研究总监助理，东吴基金管理有限公司投资经</w:t>
            </w:r>
            <w:r>
              <w:rPr>
                <w:color w:val="000000"/>
                <w:sz w:val="24"/>
                <w:szCs w:val="24"/>
              </w:rPr>
              <w:lastRenderedPageBreak/>
              <w:t>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856833">
        <w:trPr>
          <w:jc w:val="center"/>
        </w:trPr>
        <w:tc>
          <w:tcPr>
            <w:tcW w:w="846" w:type="dxa"/>
            <w:vAlign w:val="center"/>
          </w:tcPr>
          <w:p w:rsidR="00856833" w:rsidRDefault="006B4065">
            <w:pPr>
              <w:jc w:val="center"/>
            </w:pPr>
            <w:r>
              <w:rPr>
                <w:color w:val="000000"/>
                <w:sz w:val="24"/>
                <w:szCs w:val="24"/>
              </w:rPr>
              <w:lastRenderedPageBreak/>
              <w:t>韩威俊</w:t>
            </w:r>
          </w:p>
        </w:tc>
        <w:tc>
          <w:tcPr>
            <w:tcW w:w="845" w:type="dxa"/>
            <w:vAlign w:val="center"/>
          </w:tcPr>
          <w:p w:rsidR="00856833" w:rsidRDefault="006B4065">
            <w:pPr>
              <w:jc w:val="center"/>
            </w:pPr>
            <w:r>
              <w:rPr>
                <w:color w:val="000000"/>
                <w:sz w:val="24"/>
                <w:szCs w:val="24"/>
              </w:rPr>
              <w:t>交银策略回报灵活配置混合的基金经理</w:t>
            </w:r>
          </w:p>
        </w:tc>
        <w:tc>
          <w:tcPr>
            <w:tcW w:w="1549" w:type="dxa"/>
            <w:vAlign w:val="center"/>
          </w:tcPr>
          <w:p w:rsidR="00856833" w:rsidRDefault="006B4065">
            <w:pPr>
              <w:jc w:val="center"/>
            </w:pPr>
            <w:r>
              <w:rPr>
                <w:color w:val="000000"/>
                <w:sz w:val="24"/>
                <w:szCs w:val="24"/>
              </w:rPr>
              <w:t>2016-01-20</w:t>
            </w:r>
          </w:p>
        </w:tc>
        <w:tc>
          <w:tcPr>
            <w:tcW w:w="1548" w:type="dxa"/>
            <w:vAlign w:val="center"/>
          </w:tcPr>
          <w:p w:rsidR="00856833" w:rsidRDefault="006B4065">
            <w:pPr>
              <w:jc w:val="center"/>
            </w:pPr>
            <w:r>
              <w:rPr>
                <w:color w:val="000000"/>
                <w:sz w:val="24"/>
                <w:szCs w:val="24"/>
              </w:rPr>
              <w:t>-</w:t>
            </w:r>
          </w:p>
        </w:tc>
        <w:tc>
          <w:tcPr>
            <w:tcW w:w="1407" w:type="dxa"/>
            <w:vAlign w:val="center"/>
          </w:tcPr>
          <w:p w:rsidR="00856833" w:rsidRDefault="006B4065">
            <w:pPr>
              <w:jc w:val="center"/>
            </w:pPr>
            <w:r>
              <w:rPr>
                <w:color w:val="000000"/>
                <w:sz w:val="24"/>
                <w:szCs w:val="24"/>
              </w:rPr>
              <w:t>11</w:t>
            </w:r>
            <w:r>
              <w:rPr>
                <w:color w:val="000000"/>
                <w:sz w:val="24"/>
                <w:szCs w:val="24"/>
              </w:rPr>
              <w:t>年</w:t>
            </w:r>
          </w:p>
        </w:tc>
        <w:tc>
          <w:tcPr>
            <w:tcW w:w="2673" w:type="dxa"/>
            <w:vAlign w:val="center"/>
          </w:tcPr>
          <w:p w:rsidR="00856833" w:rsidRDefault="006B4065">
            <w:r>
              <w:rPr>
                <w:color w:val="000000"/>
                <w:sz w:val="24"/>
                <w:szCs w:val="24"/>
              </w:rPr>
              <w:t>韩威俊先生，上海财经大学金融学硕士。历任申银万国证券研究所助理分析师、北京鼎天资产董事助理、申银万国证券研究所行业分析师、信诚基金管理有限公司投资分析师。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56833" w:rsidRDefault="006B40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56833" w:rsidRDefault="006B40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56833" w:rsidRDefault="006B40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56833" w:rsidRDefault="006B4065">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一季度，整个市场的风险偏好维持在相对较低水平，无风险收益率略有回落，市场整体呈现出存量博弈状态，成交量明显减少。市场对于短期现金流变化的关注度大幅提升，短期现金流确定或者确定向上增长的公司获得了明显的估值溢价，短期现金流弱化或者业绩低于预期的成长股则出现估值明显回落。</w:t>
      </w:r>
    </w:p>
    <w:p w:rsidR="00856833" w:rsidRDefault="006B4065">
      <w:pPr>
        <w:spacing w:before="29" w:line="288" w:lineRule="auto"/>
        <w:ind w:firstLineChars="200" w:firstLine="480"/>
        <w:rPr>
          <w:color w:val="000000"/>
          <w:sz w:val="24"/>
          <w:szCs w:val="24"/>
        </w:rPr>
      </w:pPr>
      <w:r>
        <w:rPr>
          <w:color w:val="000000"/>
          <w:sz w:val="24"/>
          <w:szCs w:val="24"/>
        </w:rPr>
        <w:t>本基金在一季度适当降低了周期股和成长股的配置比例，</w:t>
      </w:r>
      <w:r>
        <w:rPr>
          <w:color w:val="000000"/>
          <w:sz w:val="24"/>
          <w:szCs w:val="24"/>
        </w:rPr>
        <w:t>1</w:t>
      </w:r>
      <w:r>
        <w:rPr>
          <w:color w:val="000000"/>
          <w:sz w:val="24"/>
          <w:szCs w:val="24"/>
        </w:rPr>
        <w:t>月份大幅增持了现金流趋势性向上的价值成长白马，获得了比较明显的绝对收益和相对收益。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展望二季度，大部分价值白马的估值修复行情基本上告一段落，后续预计应该更加注重自下而上选择业绩能够持续超预期的品种做集中重点配置。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日，本基金基金份额净值为</w:t>
      </w:r>
      <w:r w:rsidRPr="00414345">
        <w:rPr>
          <w:color w:val="000000"/>
          <w:sz w:val="24"/>
          <w:szCs w:val="24"/>
        </w:rPr>
        <w:t>1.111</w:t>
      </w:r>
      <w:r w:rsidRPr="00414345">
        <w:rPr>
          <w:color w:val="000000"/>
          <w:sz w:val="24"/>
          <w:szCs w:val="24"/>
        </w:rPr>
        <w:t>元，本报告期份额净值增长率为</w:t>
      </w:r>
      <w:r w:rsidRPr="00414345">
        <w:rPr>
          <w:color w:val="000000"/>
          <w:sz w:val="24"/>
          <w:szCs w:val="24"/>
        </w:rPr>
        <w:t>11.91%</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632,871,642.11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632,871,642.11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75.49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39,804,995.80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39,804,995.80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20,000,150.00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143,703,843.90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2,003,181.19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838,383,813.00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D3535D" w:rsidRPr="00414345" w:rsidTr="000B685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占基金资产净值比例（％）</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utoSpaceDE w:val="0"/>
              <w:autoSpaceDN w:val="0"/>
              <w:adjustRightInd w:val="0"/>
              <w:spacing w:before="29" w:line="288" w:lineRule="auto"/>
              <w:ind w:left="15"/>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511,357,096.09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62.33</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213,856.44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0.03</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60,772,697.66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7.41</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79,648.38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0.01</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79,131.20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0.01</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0.00</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12,224,490.52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1.49</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40,126,209.90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4.89</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8,001,581.76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0.98</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w:t>
            </w:r>
          </w:p>
        </w:tc>
      </w:tr>
      <w:tr w:rsidR="00D3535D" w:rsidRPr="00414345" w:rsidTr="000B685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D3535D" w:rsidRPr="00414345" w:rsidRDefault="00D3535D" w:rsidP="000B685E">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632,871,642.11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D3535D" w:rsidRPr="00414345" w:rsidRDefault="00D3535D" w:rsidP="000B685E">
            <w:pPr>
              <w:spacing w:before="29" w:line="288" w:lineRule="auto"/>
              <w:jc w:val="right"/>
              <w:rPr>
                <w:sz w:val="24"/>
                <w:szCs w:val="24"/>
              </w:rPr>
            </w:pPr>
            <w:r w:rsidRPr="00414345">
              <w:rPr>
                <w:sz w:val="24"/>
                <w:szCs w:val="24"/>
              </w:rPr>
              <w:t>77.14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56833">
        <w:trPr>
          <w:jc w:val="center"/>
        </w:trPr>
        <w:tc>
          <w:tcPr>
            <w:tcW w:w="855" w:type="dxa"/>
            <w:vAlign w:val="center"/>
          </w:tcPr>
          <w:p w:rsidR="00856833" w:rsidRDefault="006B4065">
            <w:pPr>
              <w:jc w:val="center"/>
            </w:pPr>
            <w:r>
              <w:rPr>
                <w:color w:val="000000"/>
                <w:sz w:val="24"/>
                <w:szCs w:val="24"/>
              </w:rPr>
              <w:t>1</w:t>
            </w:r>
          </w:p>
        </w:tc>
        <w:tc>
          <w:tcPr>
            <w:tcW w:w="1334" w:type="dxa"/>
            <w:vAlign w:val="center"/>
          </w:tcPr>
          <w:p w:rsidR="00856833" w:rsidRDefault="006B4065">
            <w:pPr>
              <w:jc w:val="center"/>
            </w:pPr>
            <w:r>
              <w:rPr>
                <w:color w:val="000000"/>
                <w:sz w:val="24"/>
                <w:szCs w:val="24"/>
              </w:rPr>
              <w:t>000921</w:t>
            </w:r>
          </w:p>
        </w:tc>
        <w:tc>
          <w:tcPr>
            <w:tcW w:w="1777" w:type="dxa"/>
            <w:vAlign w:val="center"/>
          </w:tcPr>
          <w:p w:rsidR="00856833" w:rsidRDefault="006B4065">
            <w:pPr>
              <w:jc w:val="center"/>
            </w:pPr>
            <w:r>
              <w:rPr>
                <w:color w:val="000000"/>
                <w:sz w:val="24"/>
                <w:szCs w:val="24"/>
              </w:rPr>
              <w:t>海信科龙</w:t>
            </w:r>
          </w:p>
        </w:tc>
        <w:tc>
          <w:tcPr>
            <w:tcW w:w="1334" w:type="dxa"/>
            <w:vAlign w:val="center"/>
          </w:tcPr>
          <w:p w:rsidR="00856833" w:rsidRDefault="006B4065">
            <w:pPr>
              <w:jc w:val="right"/>
            </w:pPr>
            <w:r>
              <w:rPr>
                <w:color w:val="000000"/>
                <w:sz w:val="24"/>
                <w:szCs w:val="24"/>
              </w:rPr>
              <w:t>5,369,706</w:t>
            </w:r>
          </w:p>
        </w:tc>
        <w:tc>
          <w:tcPr>
            <w:tcW w:w="1924" w:type="dxa"/>
            <w:vAlign w:val="center"/>
          </w:tcPr>
          <w:p w:rsidR="00856833" w:rsidRDefault="006B4065">
            <w:pPr>
              <w:jc w:val="right"/>
            </w:pPr>
            <w:r>
              <w:rPr>
                <w:color w:val="000000"/>
                <w:sz w:val="24"/>
                <w:szCs w:val="24"/>
              </w:rPr>
              <w:t>76,303,522.26</w:t>
            </w:r>
          </w:p>
        </w:tc>
        <w:tc>
          <w:tcPr>
            <w:tcW w:w="1644" w:type="dxa"/>
            <w:vAlign w:val="center"/>
          </w:tcPr>
          <w:p w:rsidR="00856833" w:rsidRDefault="006B4065">
            <w:pPr>
              <w:jc w:val="right"/>
            </w:pPr>
            <w:r>
              <w:rPr>
                <w:color w:val="000000"/>
                <w:sz w:val="24"/>
                <w:szCs w:val="24"/>
              </w:rPr>
              <w:t>9.30</w:t>
            </w:r>
          </w:p>
        </w:tc>
      </w:tr>
      <w:tr w:rsidR="00856833">
        <w:trPr>
          <w:jc w:val="center"/>
        </w:trPr>
        <w:tc>
          <w:tcPr>
            <w:tcW w:w="855" w:type="dxa"/>
            <w:vAlign w:val="center"/>
          </w:tcPr>
          <w:p w:rsidR="00856833" w:rsidRDefault="006B4065">
            <w:pPr>
              <w:jc w:val="center"/>
            </w:pPr>
            <w:r>
              <w:rPr>
                <w:color w:val="000000"/>
                <w:sz w:val="24"/>
                <w:szCs w:val="24"/>
              </w:rPr>
              <w:t>2</w:t>
            </w:r>
          </w:p>
        </w:tc>
        <w:tc>
          <w:tcPr>
            <w:tcW w:w="1334" w:type="dxa"/>
            <w:vAlign w:val="center"/>
          </w:tcPr>
          <w:p w:rsidR="00856833" w:rsidRDefault="006B4065">
            <w:pPr>
              <w:jc w:val="center"/>
            </w:pPr>
            <w:r>
              <w:rPr>
                <w:color w:val="000000"/>
                <w:sz w:val="24"/>
                <w:szCs w:val="24"/>
              </w:rPr>
              <w:t>600887</w:t>
            </w:r>
          </w:p>
        </w:tc>
        <w:tc>
          <w:tcPr>
            <w:tcW w:w="1777" w:type="dxa"/>
            <w:vAlign w:val="center"/>
          </w:tcPr>
          <w:p w:rsidR="00856833" w:rsidRDefault="006B4065">
            <w:pPr>
              <w:jc w:val="center"/>
            </w:pPr>
            <w:r>
              <w:rPr>
                <w:color w:val="000000"/>
                <w:sz w:val="24"/>
                <w:szCs w:val="24"/>
              </w:rPr>
              <w:t>伊利股份</w:t>
            </w:r>
          </w:p>
        </w:tc>
        <w:tc>
          <w:tcPr>
            <w:tcW w:w="1334" w:type="dxa"/>
            <w:vAlign w:val="center"/>
          </w:tcPr>
          <w:p w:rsidR="00856833" w:rsidRDefault="006B4065">
            <w:pPr>
              <w:jc w:val="right"/>
            </w:pPr>
            <w:r>
              <w:rPr>
                <w:color w:val="000000"/>
                <w:sz w:val="24"/>
                <w:szCs w:val="24"/>
              </w:rPr>
              <w:t>3,976,596</w:t>
            </w:r>
          </w:p>
        </w:tc>
        <w:tc>
          <w:tcPr>
            <w:tcW w:w="1924" w:type="dxa"/>
            <w:vAlign w:val="center"/>
          </w:tcPr>
          <w:p w:rsidR="00856833" w:rsidRDefault="006B4065">
            <w:pPr>
              <w:jc w:val="right"/>
            </w:pPr>
            <w:r>
              <w:rPr>
                <w:color w:val="000000"/>
                <w:sz w:val="24"/>
                <w:szCs w:val="24"/>
              </w:rPr>
              <w:t>75,197,430.36</w:t>
            </w:r>
          </w:p>
        </w:tc>
        <w:tc>
          <w:tcPr>
            <w:tcW w:w="1644" w:type="dxa"/>
            <w:vAlign w:val="center"/>
          </w:tcPr>
          <w:p w:rsidR="00856833" w:rsidRDefault="006B4065">
            <w:pPr>
              <w:jc w:val="right"/>
            </w:pPr>
            <w:r>
              <w:rPr>
                <w:color w:val="000000"/>
                <w:sz w:val="24"/>
                <w:szCs w:val="24"/>
              </w:rPr>
              <w:t>9.17</w:t>
            </w:r>
          </w:p>
        </w:tc>
      </w:tr>
      <w:tr w:rsidR="00856833">
        <w:trPr>
          <w:jc w:val="center"/>
        </w:trPr>
        <w:tc>
          <w:tcPr>
            <w:tcW w:w="855" w:type="dxa"/>
            <w:vAlign w:val="center"/>
          </w:tcPr>
          <w:p w:rsidR="00856833" w:rsidRDefault="006B4065">
            <w:pPr>
              <w:jc w:val="center"/>
            </w:pPr>
            <w:r>
              <w:rPr>
                <w:color w:val="000000"/>
                <w:sz w:val="24"/>
                <w:szCs w:val="24"/>
              </w:rPr>
              <w:t>3</w:t>
            </w:r>
          </w:p>
        </w:tc>
        <w:tc>
          <w:tcPr>
            <w:tcW w:w="1334" w:type="dxa"/>
            <w:vAlign w:val="center"/>
          </w:tcPr>
          <w:p w:rsidR="00856833" w:rsidRDefault="006B4065">
            <w:pPr>
              <w:jc w:val="center"/>
            </w:pPr>
            <w:r>
              <w:rPr>
                <w:color w:val="000000"/>
                <w:sz w:val="24"/>
                <w:szCs w:val="24"/>
              </w:rPr>
              <w:t>000858</w:t>
            </w:r>
          </w:p>
        </w:tc>
        <w:tc>
          <w:tcPr>
            <w:tcW w:w="1777" w:type="dxa"/>
            <w:vAlign w:val="center"/>
          </w:tcPr>
          <w:p w:rsidR="00856833" w:rsidRDefault="006B4065">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856833" w:rsidRDefault="006B4065">
            <w:pPr>
              <w:jc w:val="right"/>
            </w:pPr>
            <w:r>
              <w:rPr>
                <w:color w:val="000000"/>
                <w:sz w:val="24"/>
                <w:szCs w:val="24"/>
              </w:rPr>
              <w:t>1,732,281</w:t>
            </w:r>
          </w:p>
        </w:tc>
        <w:tc>
          <w:tcPr>
            <w:tcW w:w="1924" w:type="dxa"/>
            <w:vAlign w:val="center"/>
          </w:tcPr>
          <w:p w:rsidR="00856833" w:rsidRDefault="006B4065">
            <w:pPr>
              <w:jc w:val="right"/>
            </w:pPr>
            <w:r>
              <w:rPr>
                <w:color w:val="000000"/>
                <w:sz w:val="24"/>
                <w:szCs w:val="24"/>
              </w:rPr>
              <w:t>74,488,083.00</w:t>
            </w:r>
          </w:p>
        </w:tc>
        <w:tc>
          <w:tcPr>
            <w:tcW w:w="1644" w:type="dxa"/>
            <w:vAlign w:val="center"/>
          </w:tcPr>
          <w:p w:rsidR="00856833" w:rsidRDefault="006B4065">
            <w:pPr>
              <w:jc w:val="right"/>
            </w:pPr>
            <w:r>
              <w:rPr>
                <w:color w:val="000000"/>
                <w:sz w:val="24"/>
                <w:szCs w:val="24"/>
              </w:rPr>
              <w:t>9.08</w:t>
            </w:r>
          </w:p>
        </w:tc>
      </w:tr>
      <w:tr w:rsidR="00856833">
        <w:trPr>
          <w:jc w:val="center"/>
        </w:trPr>
        <w:tc>
          <w:tcPr>
            <w:tcW w:w="855" w:type="dxa"/>
            <w:vAlign w:val="center"/>
          </w:tcPr>
          <w:p w:rsidR="00856833" w:rsidRDefault="006B4065">
            <w:pPr>
              <w:jc w:val="center"/>
            </w:pPr>
            <w:r>
              <w:rPr>
                <w:color w:val="000000"/>
                <w:sz w:val="24"/>
                <w:szCs w:val="24"/>
              </w:rPr>
              <w:t>4</w:t>
            </w:r>
          </w:p>
        </w:tc>
        <w:tc>
          <w:tcPr>
            <w:tcW w:w="1334" w:type="dxa"/>
            <w:vAlign w:val="center"/>
          </w:tcPr>
          <w:p w:rsidR="00856833" w:rsidRDefault="006B4065">
            <w:pPr>
              <w:jc w:val="center"/>
            </w:pPr>
            <w:r>
              <w:rPr>
                <w:color w:val="000000"/>
                <w:sz w:val="24"/>
                <w:szCs w:val="24"/>
              </w:rPr>
              <w:t>603808</w:t>
            </w:r>
          </w:p>
        </w:tc>
        <w:tc>
          <w:tcPr>
            <w:tcW w:w="1777" w:type="dxa"/>
            <w:vAlign w:val="center"/>
          </w:tcPr>
          <w:p w:rsidR="00856833" w:rsidRDefault="006B4065">
            <w:pPr>
              <w:jc w:val="center"/>
            </w:pPr>
            <w:r>
              <w:rPr>
                <w:color w:val="000000"/>
                <w:sz w:val="24"/>
                <w:szCs w:val="24"/>
              </w:rPr>
              <w:t>歌力思</w:t>
            </w:r>
          </w:p>
        </w:tc>
        <w:tc>
          <w:tcPr>
            <w:tcW w:w="1334" w:type="dxa"/>
            <w:vAlign w:val="center"/>
          </w:tcPr>
          <w:p w:rsidR="00856833" w:rsidRDefault="006B4065">
            <w:pPr>
              <w:jc w:val="right"/>
            </w:pPr>
            <w:r>
              <w:rPr>
                <w:color w:val="000000"/>
                <w:sz w:val="24"/>
                <w:szCs w:val="24"/>
              </w:rPr>
              <w:t>2,323,535</w:t>
            </w:r>
          </w:p>
        </w:tc>
        <w:tc>
          <w:tcPr>
            <w:tcW w:w="1924" w:type="dxa"/>
            <w:vAlign w:val="center"/>
          </w:tcPr>
          <w:p w:rsidR="00856833" w:rsidRDefault="006B4065">
            <w:pPr>
              <w:jc w:val="right"/>
            </w:pPr>
            <w:r>
              <w:rPr>
                <w:color w:val="000000"/>
                <w:sz w:val="24"/>
                <w:szCs w:val="24"/>
              </w:rPr>
              <w:t>73,609,588.80</w:t>
            </w:r>
          </w:p>
        </w:tc>
        <w:tc>
          <w:tcPr>
            <w:tcW w:w="1644" w:type="dxa"/>
            <w:vAlign w:val="center"/>
          </w:tcPr>
          <w:p w:rsidR="00856833" w:rsidRDefault="006B4065">
            <w:pPr>
              <w:jc w:val="right"/>
            </w:pPr>
            <w:r>
              <w:rPr>
                <w:color w:val="000000"/>
                <w:sz w:val="24"/>
                <w:szCs w:val="24"/>
              </w:rPr>
              <w:t>8.97</w:t>
            </w:r>
          </w:p>
        </w:tc>
      </w:tr>
      <w:tr w:rsidR="00856833">
        <w:trPr>
          <w:jc w:val="center"/>
        </w:trPr>
        <w:tc>
          <w:tcPr>
            <w:tcW w:w="855" w:type="dxa"/>
            <w:vAlign w:val="center"/>
          </w:tcPr>
          <w:p w:rsidR="00856833" w:rsidRDefault="006B4065">
            <w:pPr>
              <w:jc w:val="center"/>
            </w:pPr>
            <w:r>
              <w:rPr>
                <w:color w:val="000000"/>
                <w:sz w:val="24"/>
                <w:szCs w:val="24"/>
              </w:rPr>
              <w:t>5</w:t>
            </w:r>
          </w:p>
        </w:tc>
        <w:tc>
          <w:tcPr>
            <w:tcW w:w="1334" w:type="dxa"/>
            <w:vAlign w:val="center"/>
          </w:tcPr>
          <w:p w:rsidR="00856833" w:rsidRDefault="006B4065">
            <w:pPr>
              <w:jc w:val="center"/>
            </w:pPr>
            <w:r>
              <w:rPr>
                <w:color w:val="000000"/>
                <w:sz w:val="24"/>
                <w:szCs w:val="24"/>
              </w:rPr>
              <w:t>603355</w:t>
            </w:r>
          </w:p>
        </w:tc>
        <w:tc>
          <w:tcPr>
            <w:tcW w:w="1777" w:type="dxa"/>
            <w:vAlign w:val="center"/>
          </w:tcPr>
          <w:p w:rsidR="00856833" w:rsidRDefault="006B4065">
            <w:pPr>
              <w:jc w:val="center"/>
            </w:pPr>
            <w:r>
              <w:rPr>
                <w:color w:val="000000"/>
                <w:sz w:val="24"/>
                <w:szCs w:val="24"/>
              </w:rPr>
              <w:t>莱克电气</w:t>
            </w:r>
          </w:p>
        </w:tc>
        <w:tc>
          <w:tcPr>
            <w:tcW w:w="1334" w:type="dxa"/>
            <w:vAlign w:val="center"/>
          </w:tcPr>
          <w:p w:rsidR="00856833" w:rsidRDefault="006B4065">
            <w:pPr>
              <w:jc w:val="right"/>
            </w:pPr>
            <w:r>
              <w:rPr>
                <w:color w:val="000000"/>
                <w:sz w:val="24"/>
                <w:szCs w:val="24"/>
              </w:rPr>
              <w:t>772,540</w:t>
            </w:r>
          </w:p>
        </w:tc>
        <w:tc>
          <w:tcPr>
            <w:tcW w:w="1924" w:type="dxa"/>
            <w:vAlign w:val="center"/>
          </w:tcPr>
          <w:p w:rsidR="00856833" w:rsidRDefault="006B4065">
            <w:pPr>
              <w:jc w:val="right"/>
            </w:pPr>
            <w:r>
              <w:rPr>
                <w:color w:val="000000"/>
                <w:sz w:val="24"/>
                <w:szCs w:val="24"/>
              </w:rPr>
              <w:t>41,802,139.40</w:t>
            </w:r>
          </w:p>
        </w:tc>
        <w:tc>
          <w:tcPr>
            <w:tcW w:w="1644" w:type="dxa"/>
            <w:vAlign w:val="center"/>
          </w:tcPr>
          <w:p w:rsidR="00856833" w:rsidRDefault="006B4065">
            <w:pPr>
              <w:jc w:val="right"/>
            </w:pPr>
            <w:r>
              <w:rPr>
                <w:color w:val="000000"/>
                <w:sz w:val="24"/>
                <w:szCs w:val="24"/>
              </w:rPr>
              <w:t>5.10</w:t>
            </w:r>
          </w:p>
        </w:tc>
      </w:tr>
      <w:tr w:rsidR="00856833">
        <w:trPr>
          <w:jc w:val="center"/>
        </w:trPr>
        <w:tc>
          <w:tcPr>
            <w:tcW w:w="855" w:type="dxa"/>
            <w:vAlign w:val="center"/>
          </w:tcPr>
          <w:p w:rsidR="00856833" w:rsidRDefault="006B4065">
            <w:pPr>
              <w:jc w:val="center"/>
            </w:pPr>
            <w:r>
              <w:rPr>
                <w:color w:val="000000"/>
                <w:sz w:val="24"/>
                <w:szCs w:val="24"/>
              </w:rPr>
              <w:t>6</w:t>
            </w:r>
          </w:p>
        </w:tc>
        <w:tc>
          <w:tcPr>
            <w:tcW w:w="1334" w:type="dxa"/>
            <w:vAlign w:val="center"/>
          </w:tcPr>
          <w:p w:rsidR="00856833" w:rsidRDefault="006B4065">
            <w:pPr>
              <w:jc w:val="center"/>
            </w:pPr>
            <w:r>
              <w:rPr>
                <w:color w:val="000000"/>
                <w:sz w:val="24"/>
                <w:szCs w:val="24"/>
              </w:rPr>
              <w:t>600197</w:t>
            </w:r>
          </w:p>
        </w:tc>
        <w:tc>
          <w:tcPr>
            <w:tcW w:w="1777" w:type="dxa"/>
            <w:vAlign w:val="center"/>
          </w:tcPr>
          <w:p w:rsidR="00856833" w:rsidRDefault="006B4065">
            <w:pPr>
              <w:jc w:val="center"/>
            </w:pPr>
            <w:r>
              <w:rPr>
                <w:color w:val="000000"/>
                <w:sz w:val="24"/>
                <w:szCs w:val="24"/>
              </w:rPr>
              <w:t>伊力特</w:t>
            </w:r>
          </w:p>
        </w:tc>
        <w:tc>
          <w:tcPr>
            <w:tcW w:w="1334" w:type="dxa"/>
            <w:vAlign w:val="center"/>
          </w:tcPr>
          <w:p w:rsidR="00856833" w:rsidRDefault="006B4065">
            <w:pPr>
              <w:jc w:val="right"/>
            </w:pPr>
            <w:r>
              <w:rPr>
                <w:color w:val="000000"/>
                <w:sz w:val="24"/>
                <w:szCs w:val="24"/>
              </w:rPr>
              <w:t>2,129,626</w:t>
            </w:r>
          </w:p>
        </w:tc>
        <w:tc>
          <w:tcPr>
            <w:tcW w:w="1924" w:type="dxa"/>
            <w:vAlign w:val="center"/>
          </w:tcPr>
          <w:p w:rsidR="00856833" w:rsidRDefault="006B4065">
            <w:pPr>
              <w:jc w:val="right"/>
            </w:pPr>
            <w:r>
              <w:rPr>
                <w:color w:val="000000"/>
                <w:sz w:val="24"/>
                <w:szCs w:val="24"/>
              </w:rPr>
              <w:t>40,377,708.96</w:t>
            </w:r>
          </w:p>
        </w:tc>
        <w:tc>
          <w:tcPr>
            <w:tcW w:w="1644" w:type="dxa"/>
            <w:vAlign w:val="center"/>
          </w:tcPr>
          <w:p w:rsidR="00856833" w:rsidRDefault="006B4065">
            <w:pPr>
              <w:jc w:val="right"/>
            </w:pPr>
            <w:r>
              <w:rPr>
                <w:color w:val="000000"/>
                <w:sz w:val="24"/>
                <w:szCs w:val="24"/>
              </w:rPr>
              <w:t>4.92</w:t>
            </w:r>
          </w:p>
        </w:tc>
      </w:tr>
      <w:tr w:rsidR="00856833">
        <w:trPr>
          <w:jc w:val="center"/>
        </w:trPr>
        <w:tc>
          <w:tcPr>
            <w:tcW w:w="855" w:type="dxa"/>
            <w:vAlign w:val="center"/>
          </w:tcPr>
          <w:p w:rsidR="00856833" w:rsidRDefault="006B4065">
            <w:pPr>
              <w:jc w:val="center"/>
            </w:pPr>
            <w:r>
              <w:rPr>
                <w:color w:val="000000"/>
                <w:sz w:val="24"/>
                <w:szCs w:val="24"/>
              </w:rPr>
              <w:lastRenderedPageBreak/>
              <w:t>7</w:t>
            </w:r>
          </w:p>
        </w:tc>
        <w:tc>
          <w:tcPr>
            <w:tcW w:w="1334" w:type="dxa"/>
            <w:vAlign w:val="center"/>
          </w:tcPr>
          <w:p w:rsidR="00856833" w:rsidRDefault="006B4065">
            <w:pPr>
              <w:jc w:val="center"/>
            </w:pPr>
            <w:r>
              <w:rPr>
                <w:color w:val="000000"/>
                <w:sz w:val="24"/>
                <w:szCs w:val="24"/>
              </w:rPr>
              <w:t>300347</w:t>
            </w:r>
          </w:p>
        </w:tc>
        <w:tc>
          <w:tcPr>
            <w:tcW w:w="1777" w:type="dxa"/>
            <w:vAlign w:val="center"/>
          </w:tcPr>
          <w:p w:rsidR="00856833" w:rsidRDefault="006B4065">
            <w:pPr>
              <w:jc w:val="center"/>
            </w:pPr>
            <w:r>
              <w:rPr>
                <w:color w:val="000000"/>
                <w:sz w:val="24"/>
                <w:szCs w:val="24"/>
              </w:rPr>
              <w:t>泰格医药</w:t>
            </w:r>
          </w:p>
        </w:tc>
        <w:tc>
          <w:tcPr>
            <w:tcW w:w="1334" w:type="dxa"/>
            <w:vAlign w:val="center"/>
          </w:tcPr>
          <w:p w:rsidR="00856833" w:rsidRDefault="006B4065">
            <w:pPr>
              <w:jc w:val="right"/>
            </w:pPr>
            <w:r>
              <w:rPr>
                <w:color w:val="000000"/>
                <w:sz w:val="24"/>
                <w:szCs w:val="24"/>
              </w:rPr>
              <w:t>1,563,765</w:t>
            </w:r>
          </w:p>
        </w:tc>
        <w:tc>
          <w:tcPr>
            <w:tcW w:w="1924" w:type="dxa"/>
            <w:vAlign w:val="center"/>
          </w:tcPr>
          <w:p w:rsidR="00856833" w:rsidRDefault="006B4065">
            <w:pPr>
              <w:jc w:val="right"/>
            </w:pPr>
            <w:r>
              <w:rPr>
                <w:color w:val="000000"/>
                <w:sz w:val="24"/>
                <w:szCs w:val="24"/>
              </w:rPr>
              <w:t>40,126,209.90</w:t>
            </w:r>
          </w:p>
        </w:tc>
        <w:tc>
          <w:tcPr>
            <w:tcW w:w="1644" w:type="dxa"/>
            <w:vAlign w:val="center"/>
          </w:tcPr>
          <w:p w:rsidR="00856833" w:rsidRDefault="006B4065">
            <w:pPr>
              <w:jc w:val="right"/>
            </w:pPr>
            <w:r>
              <w:rPr>
                <w:color w:val="000000"/>
                <w:sz w:val="24"/>
                <w:szCs w:val="24"/>
              </w:rPr>
              <w:t>4.89</w:t>
            </w:r>
          </w:p>
        </w:tc>
      </w:tr>
      <w:tr w:rsidR="00856833">
        <w:trPr>
          <w:jc w:val="center"/>
        </w:trPr>
        <w:tc>
          <w:tcPr>
            <w:tcW w:w="855" w:type="dxa"/>
            <w:vAlign w:val="center"/>
          </w:tcPr>
          <w:p w:rsidR="00856833" w:rsidRDefault="006B4065">
            <w:pPr>
              <w:jc w:val="center"/>
            </w:pPr>
            <w:r>
              <w:rPr>
                <w:color w:val="000000"/>
                <w:sz w:val="24"/>
                <w:szCs w:val="24"/>
              </w:rPr>
              <w:t>8</w:t>
            </w:r>
          </w:p>
        </w:tc>
        <w:tc>
          <w:tcPr>
            <w:tcW w:w="1334" w:type="dxa"/>
            <w:vAlign w:val="center"/>
          </w:tcPr>
          <w:p w:rsidR="00856833" w:rsidRDefault="006B4065">
            <w:pPr>
              <w:jc w:val="center"/>
            </w:pPr>
            <w:r>
              <w:rPr>
                <w:color w:val="000000"/>
                <w:sz w:val="24"/>
                <w:szCs w:val="24"/>
              </w:rPr>
              <w:t>601607</w:t>
            </w:r>
          </w:p>
        </w:tc>
        <w:tc>
          <w:tcPr>
            <w:tcW w:w="1777" w:type="dxa"/>
            <w:vAlign w:val="center"/>
          </w:tcPr>
          <w:p w:rsidR="00856833" w:rsidRDefault="006B4065">
            <w:pPr>
              <w:jc w:val="center"/>
            </w:pPr>
            <w:r>
              <w:rPr>
                <w:color w:val="000000"/>
                <w:sz w:val="24"/>
                <w:szCs w:val="24"/>
              </w:rPr>
              <w:t>上海医药</w:t>
            </w:r>
          </w:p>
        </w:tc>
        <w:tc>
          <w:tcPr>
            <w:tcW w:w="1334" w:type="dxa"/>
            <w:vAlign w:val="center"/>
          </w:tcPr>
          <w:p w:rsidR="00856833" w:rsidRDefault="006B4065">
            <w:pPr>
              <w:jc w:val="right"/>
            </w:pPr>
            <w:r>
              <w:rPr>
                <w:color w:val="000000"/>
                <w:sz w:val="24"/>
                <w:szCs w:val="24"/>
              </w:rPr>
              <w:t>1,413,486</w:t>
            </w:r>
          </w:p>
        </w:tc>
        <w:tc>
          <w:tcPr>
            <w:tcW w:w="1924" w:type="dxa"/>
            <w:vAlign w:val="center"/>
          </w:tcPr>
          <w:p w:rsidR="00856833" w:rsidRDefault="006B4065">
            <w:pPr>
              <w:jc w:val="right"/>
            </w:pPr>
            <w:r>
              <w:rPr>
                <w:color w:val="000000"/>
                <w:sz w:val="24"/>
                <w:szCs w:val="24"/>
              </w:rPr>
              <w:t>32,948,358.66</w:t>
            </w:r>
          </w:p>
        </w:tc>
        <w:tc>
          <w:tcPr>
            <w:tcW w:w="1644" w:type="dxa"/>
            <w:vAlign w:val="center"/>
          </w:tcPr>
          <w:p w:rsidR="00856833" w:rsidRDefault="006B4065">
            <w:pPr>
              <w:jc w:val="right"/>
            </w:pPr>
            <w:r>
              <w:rPr>
                <w:color w:val="000000"/>
                <w:sz w:val="24"/>
                <w:szCs w:val="24"/>
              </w:rPr>
              <w:t>4.02</w:t>
            </w:r>
          </w:p>
        </w:tc>
      </w:tr>
      <w:tr w:rsidR="00856833">
        <w:trPr>
          <w:jc w:val="center"/>
        </w:trPr>
        <w:tc>
          <w:tcPr>
            <w:tcW w:w="855" w:type="dxa"/>
            <w:vAlign w:val="center"/>
          </w:tcPr>
          <w:p w:rsidR="00856833" w:rsidRDefault="006B4065">
            <w:pPr>
              <w:jc w:val="center"/>
            </w:pPr>
            <w:r>
              <w:rPr>
                <w:color w:val="000000"/>
                <w:sz w:val="24"/>
                <w:szCs w:val="24"/>
              </w:rPr>
              <w:t>9</w:t>
            </w:r>
          </w:p>
        </w:tc>
        <w:tc>
          <w:tcPr>
            <w:tcW w:w="1334" w:type="dxa"/>
            <w:vAlign w:val="center"/>
          </w:tcPr>
          <w:p w:rsidR="00856833" w:rsidRDefault="006B4065">
            <w:pPr>
              <w:jc w:val="center"/>
            </w:pPr>
            <w:r>
              <w:rPr>
                <w:color w:val="000000"/>
                <w:sz w:val="24"/>
                <w:szCs w:val="24"/>
              </w:rPr>
              <w:t>600519</w:t>
            </w:r>
          </w:p>
        </w:tc>
        <w:tc>
          <w:tcPr>
            <w:tcW w:w="1777" w:type="dxa"/>
            <w:vAlign w:val="center"/>
          </w:tcPr>
          <w:p w:rsidR="00856833" w:rsidRDefault="006B4065">
            <w:pPr>
              <w:jc w:val="center"/>
            </w:pPr>
            <w:r>
              <w:rPr>
                <w:color w:val="000000"/>
                <w:sz w:val="24"/>
                <w:szCs w:val="24"/>
              </w:rPr>
              <w:t>贵州茅台</w:t>
            </w:r>
          </w:p>
        </w:tc>
        <w:tc>
          <w:tcPr>
            <w:tcW w:w="1334" w:type="dxa"/>
            <w:vAlign w:val="center"/>
          </w:tcPr>
          <w:p w:rsidR="00856833" w:rsidRDefault="006B4065">
            <w:pPr>
              <w:jc w:val="right"/>
            </w:pPr>
            <w:r>
              <w:rPr>
                <w:color w:val="000000"/>
                <w:sz w:val="24"/>
                <w:szCs w:val="24"/>
              </w:rPr>
              <w:t>69,900</w:t>
            </w:r>
          </w:p>
        </w:tc>
        <w:tc>
          <w:tcPr>
            <w:tcW w:w="1924" w:type="dxa"/>
            <w:vAlign w:val="center"/>
          </w:tcPr>
          <w:p w:rsidR="00856833" w:rsidRDefault="006B4065">
            <w:pPr>
              <w:jc w:val="right"/>
            </w:pPr>
            <w:r>
              <w:rPr>
                <w:color w:val="000000"/>
                <w:sz w:val="24"/>
                <w:szCs w:val="24"/>
              </w:rPr>
              <w:t>27,006,564.00</w:t>
            </w:r>
          </w:p>
        </w:tc>
        <w:tc>
          <w:tcPr>
            <w:tcW w:w="1644" w:type="dxa"/>
            <w:vAlign w:val="center"/>
          </w:tcPr>
          <w:p w:rsidR="00856833" w:rsidRDefault="006B4065">
            <w:pPr>
              <w:jc w:val="right"/>
            </w:pPr>
            <w:r>
              <w:rPr>
                <w:color w:val="000000"/>
                <w:sz w:val="24"/>
                <w:szCs w:val="24"/>
              </w:rPr>
              <w:t>3.29</w:t>
            </w:r>
          </w:p>
        </w:tc>
      </w:tr>
      <w:tr w:rsidR="00856833">
        <w:trPr>
          <w:jc w:val="center"/>
        </w:trPr>
        <w:tc>
          <w:tcPr>
            <w:tcW w:w="855" w:type="dxa"/>
            <w:vAlign w:val="center"/>
          </w:tcPr>
          <w:p w:rsidR="00856833" w:rsidRDefault="006B4065">
            <w:pPr>
              <w:jc w:val="center"/>
            </w:pPr>
            <w:r>
              <w:rPr>
                <w:color w:val="000000"/>
                <w:sz w:val="24"/>
                <w:szCs w:val="24"/>
              </w:rPr>
              <w:t>10</w:t>
            </w:r>
          </w:p>
        </w:tc>
        <w:tc>
          <w:tcPr>
            <w:tcW w:w="1334" w:type="dxa"/>
            <w:vAlign w:val="center"/>
          </w:tcPr>
          <w:p w:rsidR="00856833" w:rsidRDefault="006B4065">
            <w:pPr>
              <w:jc w:val="center"/>
            </w:pPr>
            <w:r>
              <w:rPr>
                <w:color w:val="000000"/>
                <w:sz w:val="24"/>
                <w:szCs w:val="24"/>
              </w:rPr>
              <w:t>000333</w:t>
            </w:r>
          </w:p>
        </w:tc>
        <w:tc>
          <w:tcPr>
            <w:tcW w:w="1777" w:type="dxa"/>
            <w:vAlign w:val="center"/>
          </w:tcPr>
          <w:p w:rsidR="00856833" w:rsidRDefault="006B4065">
            <w:pPr>
              <w:jc w:val="center"/>
            </w:pPr>
            <w:r>
              <w:rPr>
                <w:color w:val="000000"/>
                <w:sz w:val="24"/>
                <w:szCs w:val="24"/>
              </w:rPr>
              <w:t>美的集团</w:t>
            </w:r>
          </w:p>
        </w:tc>
        <w:tc>
          <w:tcPr>
            <w:tcW w:w="1334" w:type="dxa"/>
            <w:vAlign w:val="center"/>
          </w:tcPr>
          <w:p w:rsidR="00856833" w:rsidRDefault="006B4065">
            <w:pPr>
              <w:jc w:val="right"/>
            </w:pPr>
            <w:r>
              <w:rPr>
                <w:color w:val="000000"/>
                <w:sz w:val="24"/>
                <w:szCs w:val="24"/>
              </w:rPr>
              <w:t>736,687</w:t>
            </w:r>
          </w:p>
        </w:tc>
        <w:tc>
          <w:tcPr>
            <w:tcW w:w="1924" w:type="dxa"/>
            <w:vAlign w:val="center"/>
          </w:tcPr>
          <w:p w:rsidR="00856833" w:rsidRDefault="006B4065">
            <w:pPr>
              <w:jc w:val="right"/>
            </w:pPr>
            <w:r>
              <w:rPr>
                <w:color w:val="000000"/>
                <w:sz w:val="24"/>
                <w:szCs w:val="24"/>
              </w:rPr>
              <w:t>24,531,677.10</w:t>
            </w:r>
          </w:p>
        </w:tc>
        <w:tc>
          <w:tcPr>
            <w:tcW w:w="1644" w:type="dxa"/>
            <w:vAlign w:val="center"/>
          </w:tcPr>
          <w:p w:rsidR="00856833" w:rsidRDefault="006B4065">
            <w:pPr>
              <w:jc w:val="right"/>
            </w:pPr>
            <w:r>
              <w:rPr>
                <w:color w:val="000000"/>
                <w:sz w:val="24"/>
                <w:szCs w:val="24"/>
              </w:rPr>
              <w:t>2.99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29,808,995.80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39,804,995.80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56833">
        <w:trPr>
          <w:jc w:val="center"/>
        </w:trPr>
        <w:tc>
          <w:tcPr>
            <w:tcW w:w="850" w:type="dxa"/>
            <w:vAlign w:val="center"/>
          </w:tcPr>
          <w:p w:rsidR="00856833" w:rsidRDefault="006B4065">
            <w:pPr>
              <w:jc w:val="center"/>
            </w:pPr>
            <w:r>
              <w:rPr>
                <w:color w:val="000000"/>
                <w:sz w:val="24"/>
                <w:szCs w:val="24"/>
              </w:rPr>
              <w:t>1</w:t>
            </w:r>
          </w:p>
        </w:tc>
        <w:tc>
          <w:tcPr>
            <w:tcW w:w="1475" w:type="dxa"/>
            <w:vAlign w:val="center"/>
          </w:tcPr>
          <w:p w:rsidR="00856833" w:rsidRDefault="006B4065">
            <w:pPr>
              <w:jc w:val="center"/>
            </w:pPr>
            <w:r>
              <w:rPr>
                <w:color w:val="000000"/>
                <w:sz w:val="24"/>
                <w:szCs w:val="24"/>
              </w:rPr>
              <w:t>169958</w:t>
            </w:r>
          </w:p>
        </w:tc>
        <w:tc>
          <w:tcPr>
            <w:tcW w:w="1769" w:type="dxa"/>
            <w:vAlign w:val="center"/>
          </w:tcPr>
          <w:p w:rsidR="00856833" w:rsidRDefault="006B4065">
            <w:pPr>
              <w:jc w:val="center"/>
            </w:pPr>
            <w:r>
              <w:rPr>
                <w:color w:val="000000"/>
                <w:sz w:val="24"/>
                <w:szCs w:val="24"/>
              </w:rPr>
              <w:t>16</w:t>
            </w:r>
            <w:r>
              <w:rPr>
                <w:color w:val="000000"/>
                <w:sz w:val="24"/>
                <w:szCs w:val="24"/>
              </w:rPr>
              <w:t>贴现国债</w:t>
            </w:r>
            <w:r>
              <w:rPr>
                <w:color w:val="000000"/>
                <w:sz w:val="24"/>
                <w:szCs w:val="24"/>
              </w:rPr>
              <w:t>58</w:t>
            </w:r>
          </w:p>
        </w:tc>
        <w:tc>
          <w:tcPr>
            <w:tcW w:w="1387" w:type="dxa"/>
            <w:vAlign w:val="center"/>
          </w:tcPr>
          <w:p w:rsidR="00856833" w:rsidRDefault="006B4065">
            <w:pPr>
              <w:jc w:val="right"/>
            </w:pPr>
            <w:r>
              <w:rPr>
                <w:color w:val="000000"/>
                <w:sz w:val="24"/>
                <w:szCs w:val="24"/>
              </w:rPr>
              <w:t>300,000</w:t>
            </w:r>
          </w:p>
        </w:tc>
        <w:tc>
          <w:tcPr>
            <w:tcW w:w="2150" w:type="dxa"/>
            <w:vAlign w:val="center"/>
          </w:tcPr>
          <w:p w:rsidR="00856833" w:rsidRDefault="006B4065">
            <w:pPr>
              <w:jc w:val="right"/>
            </w:pPr>
            <w:r>
              <w:rPr>
                <w:color w:val="000000"/>
                <w:sz w:val="24"/>
                <w:szCs w:val="24"/>
              </w:rPr>
              <w:t>29,802,000.00</w:t>
            </w:r>
          </w:p>
        </w:tc>
        <w:tc>
          <w:tcPr>
            <w:tcW w:w="1237" w:type="dxa"/>
            <w:vAlign w:val="center"/>
          </w:tcPr>
          <w:p w:rsidR="00856833" w:rsidRDefault="006B4065">
            <w:pPr>
              <w:jc w:val="right"/>
            </w:pPr>
            <w:r>
              <w:rPr>
                <w:color w:val="000000"/>
                <w:sz w:val="24"/>
                <w:szCs w:val="24"/>
              </w:rPr>
              <w:t>3.63</w:t>
            </w:r>
          </w:p>
        </w:tc>
      </w:tr>
      <w:tr w:rsidR="00856833">
        <w:trPr>
          <w:jc w:val="center"/>
        </w:trPr>
        <w:tc>
          <w:tcPr>
            <w:tcW w:w="850" w:type="dxa"/>
            <w:vAlign w:val="center"/>
          </w:tcPr>
          <w:p w:rsidR="00856833" w:rsidRDefault="006B4065">
            <w:pPr>
              <w:jc w:val="center"/>
            </w:pPr>
            <w:r>
              <w:rPr>
                <w:color w:val="000000"/>
                <w:sz w:val="24"/>
                <w:szCs w:val="24"/>
              </w:rPr>
              <w:t>2</w:t>
            </w:r>
          </w:p>
        </w:tc>
        <w:tc>
          <w:tcPr>
            <w:tcW w:w="1475" w:type="dxa"/>
            <w:vAlign w:val="center"/>
          </w:tcPr>
          <w:p w:rsidR="00856833" w:rsidRDefault="006B4065">
            <w:pPr>
              <w:jc w:val="center"/>
            </w:pPr>
            <w:r>
              <w:rPr>
                <w:color w:val="000000"/>
                <w:sz w:val="24"/>
                <w:szCs w:val="24"/>
              </w:rPr>
              <w:t>160304</w:t>
            </w:r>
          </w:p>
        </w:tc>
        <w:tc>
          <w:tcPr>
            <w:tcW w:w="1769" w:type="dxa"/>
            <w:vAlign w:val="center"/>
          </w:tcPr>
          <w:p w:rsidR="00856833" w:rsidRDefault="006B4065">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856833" w:rsidRDefault="006B4065">
            <w:pPr>
              <w:jc w:val="right"/>
            </w:pPr>
            <w:r>
              <w:rPr>
                <w:color w:val="000000"/>
                <w:sz w:val="24"/>
                <w:szCs w:val="24"/>
              </w:rPr>
              <w:t>100,000</w:t>
            </w:r>
          </w:p>
        </w:tc>
        <w:tc>
          <w:tcPr>
            <w:tcW w:w="2150" w:type="dxa"/>
            <w:vAlign w:val="center"/>
          </w:tcPr>
          <w:p w:rsidR="00856833" w:rsidRDefault="006B4065">
            <w:pPr>
              <w:jc w:val="right"/>
            </w:pPr>
            <w:r>
              <w:rPr>
                <w:color w:val="000000"/>
                <w:sz w:val="24"/>
                <w:szCs w:val="24"/>
              </w:rPr>
              <w:t>9,996,000.00</w:t>
            </w:r>
          </w:p>
        </w:tc>
        <w:tc>
          <w:tcPr>
            <w:tcW w:w="1237" w:type="dxa"/>
            <w:vAlign w:val="center"/>
          </w:tcPr>
          <w:p w:rsidR="00856833" w:rsidRDefault="006B4065">
            <w:pPr>
              <w:jc w:val="right"/>
            </w:pPr>
            <w:r>
              <w:rPr>
                <w:color w:val="000000"/>
                <w:sz w:val="24"/>
                <w:szCs w:val="24"/>
              </w:rPr>
              <w:t>1.22</w:t>
            </w:r>
          </w:p>
        </w:tc>
      </w:tr>
      <w:tr w:rsidR="00856833">
        <w:trPr>
          <w:jc w:val="center"/>
        </w:trPr>
        <w:tc>
          <w:tcPr>
            <w:tcW w:w="850" w:type="dxa"/>
            <w:vAlign w:val="center"/>
          </w:tcPr>
          <w:p w:rsidR="00856833" w:rsidRDefault="006B4065">
            <w:pPr>
              <w:jc w:val="center"/>
            </w:pPr>
            <w:r>
              <w:rPr>
                <w:color w:val="000000"/>
                <w:sz w:val="24"/>
                <w:szCs w:val="24"/>
              </w:rPr>
              <w:t>3</w:t>
            </w:r>
          </w:p>
        </w:tc>
        <w:tc>
          <w:tcPr>
            <w:tcW w:w="1475" w:type="dxa"/>
            <w:vAlign w:val="center"/>
          </w:tcPr>
          <w:p w:rsidR="00856833" w:rsidRDefault="006B4065">
            <w:pPr>
              <w:jc w:val="center"/>
            </w:pPr>
            <w:r>
              <w:rPr>
                <w:color w:val="000000"/>
                <w:sz w:val="24"/>
                <w:szCs w:val="24"/>
              </w:rPr>
              <w:t>019539</w:t>
            </w:r>
          </w:p>
        </w:tc>
        <w:tc>
          <w:tcPr>
            <w:tcW w:w="1769" w:type="dxa"/>
            <w:vAlign w:val="center"/>
          </w:tcPr>
          <w:p w:rsidR="00856833" w:rsidRDefault="006B4065">
            <w:pPr>
              <w:jc w:val="center"/>
            </w:pPr>
            <w:r>
              <w:rPr>
                <w:color w:val="000000"/>
                <w:sz w:val="24"/>
                <w:szCs w:val="24"/>
              </w:rPr>
              <w:t>16</w:t>
            </w:r>
            <w:r>
              <w:rPr>
                <w:color w:val="000000"/>
                <w:sz w:val="24"/>
                <w:szCs w:val="24"/>
              </w:rPr>
              <w:t>国债</w:t>
            </w:r>
            <w:r>
              <w:rPr>
                <w:color w:val="000000"/>
                <w:sz w:val="24"/>
                <w:szCs w:val="24"/>
              </w:rPr>
              <w:t>11</w:t>
            </w:r>
          </w:p>
        </w:tc>
        <w:tc>
          <w:tcPr>
            <w:tcW w:w="1387" w:type="dxa"/>
            <w:vAlign w:val="center"/>
          </w:tcPr>
          <w:p w:rsidR="00856833" w:rsidRDefault="006B4065">
            <w:pPr>
              <w:jc w:val="right"/>
            </w:pPr>
            <w:r>
              <w:rPr>
                <w:color w:val="000000"/>
                <w:sz w:val="24"/>
                <w:szCs w:val="24"/>
              </w:rPr>
              <w:t>70</w:t>
            </w:r>
          </w:p>
        </w:tc>
        <w:tc>
          <w:tcPr>
            <w:tcW w:w="2150" w:type="dxa"/>
            <w:vAlign w:val="center"/>
          </w:tcPr>
          <w:p w:rsidR="00856833" w:rsidRDefault="006B4065">
            <w:pPr>
              <w:jc w:val="right"/>
            </w:pPr>
            <w:r>
              <w:rPr>
                <w:color w:val="000000"/>
                <w:sz w:val="24"/>
                <w:szCs w:val="24"/>
              </w:rPr>
              <w:t>6,995.80</w:t>
            </w:r>
          </w:p>
        </w:tc>
        <w:tc>
          <w:tcPr>
            <w:tcW w:w="1237" w:type="dxa"/>
            <w:vAlign w:val="center"/>
          </w:tcPr>
          <w:p w:rsidR="00856833" w:rsidRDefault="006B4065">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529,071.40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513,204.44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960,905.35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2,003,181.19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269,257,920.78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490,841,350.33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21,369,987.76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738,729,283.35</w:t>
            </w:r>
          </w:p>
        </w:tc>
      </w:tr>
    </w:tbl>
    <w:p w:rsidR="00856833" w:rsidRDefault="006B40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D20ABC" w:rsidTr="00B06DDA">
        <w:tc>
          <w:tcPr>
            <w:tcW w:w="851" w:type="dxa"/>
            <w:vMerge w:val="restart"/>
            <w:vAlign w:val="center"/>
          </w:tcPr>
          <w:p w:rsidR="003A58DC" w:rsidRPr="00D20ABC" w:rsidRDefault="003A58DC" w:rsidP="00B06DDA">
            <w:pPr>
              <w:autoSpaceDE w:val="0"/>
              <w:autoSpaceDN w:val="0"/>
              <w:adjustRightInd w:val="0"/>
              <w:jc w:val="center"/>
              <w:rPr>
                <w:rFonts w:ascii="宋体" w:hAnsi="宋体"/>
                <w:color w:val="000000"/>
                <w:sz w:val="24"/>
              </w:rPr>
            </w:pPr>
            <w:r w:rsidRPr="00D20ABC">
              <w:rPr>
                <w:rFonts w:ascii="宋体" w:hAnsi="宋体" w:hint="eastAsia"/>
                <w:color w:val="000000"/>
                <w:sz w:val="24"/>
              </w:rPr>
              <w:t>投资者类别</w:t>
            </w:r>
          </w:p>
        </w:tc>
        <w:tc>
          <w:tcPr>
            <w:tcW w:w="5670" w:type="dxa"/>
            <w:gridSpan w:val="5"/>
            <w:vAlign w:val="center"/>
          </w:tcPr>
          <w:p w:rsidR="003A58DC" w:rsidRPr="00D20ABC" w:rsidRDefault="003A58DC" w:rsidP="00B06DDA">
            <w:pPr>
              <w:autoSpaceDE w:val="0"/>
              <w:autoSpaceDN w:val="0"/>
              <w:adjustRightInd w:val="0"/>
              <w:jc w:val="center"/>
              <w:rPr>
                <w:rFonts w:ascii="宋体" w:hAnsi="宋体"/>
                <w:color w:val="000000"/>
                <w:sz w:val="24"/>
              </w:rPr>
            </w:pPr>
            <w:r w:rsidRPr="00D20ABC">
              <w:rPr>
                <w:rFonts w:ascii="宋体" w:hAnsi="宋体" w:hint="eastAsia"/>
                <w:color w:val="000000"/>
                <w:sz w:val="24"/>
              </w:rPr>
              <w:t>报告期内持有基金份额变化情况</w:t>
            </w:r>
          </w:p>
        </w:tc>
        <w:tc>
          <w:tcPr>
            <w:tcW w:w="2691" w:type="dxa"/>
            <w:gridSpan w:val="2"/>
            <w:vAlign w:val="center"/>
          </w:tcPr>
          <w:p w:rsidR="003A58DC" w:rsidRPr="00D20ABC" w:rsidRDefault="003A58DC" w:rsidP="00B06DDA">
            <w:pPr>
              <w:autoSpaceDE w:val="0"/>
              <w:autoSpaceDN w:val="0"/>
              <w:adjustRightInd w:val="0"/>
              <w:rPr>
                <w:rFonts w:ascii="宋体" w:hAnsi="宋体"/>
                <w:color w:val="000000"/>
                <w:sz w:val="24"/>
              </w:rPr>
            </w:pPr>
            <w:r w:rsidRPr="00D20ABC">
              <w:rPr>
                <w:rFonts w:ascii="宋体" w:hAnsi="宋体" w:hint="eastAsia"/>
                <w:color w:val="000000"/>
                <w:sz w:val="24"/>
              </w:rPr>
              <w:t>报告期末持有基金情况</w:t>
            </w:r>
          </w:p>
        </w:tc>
      </w:tr>
      <w:tr w:rsidR="003A58DC" w:rsidRPr="00D20ABC" w:rsidTr="00B06DDA">
        <w:tc>
          <w:tcPr>
            <w:tcW w:w="851" w:type="dxa"/>
            <w:vMerge/>
            <w:vAlign w:val="center"/>
          </w:tcPr>
          <w:p w:rsidR="003A58DC" w:rsidRPr="00D20ABC" w:rsidRDefault="003A58DC" w:rsidP="00B06DDA">
            <w:pPr>
              <w:autoSpaceDE w:val="0"/>
              <w:autoSpaceDN w:val="0"/>
              <w:adjustRightInd w:val="0"/>
              <w:jc w:val="center"/>
              <w:rPr>
                <w:rFonts w:ascii="宋体" w:hAnsi="宋体"/>
                <w:color w:val="000000"/>
                <w:sz w:val="24"/>
              </w:rPr>
            </w:pPr>
          </w:p>
        </w:tc>
        <w:tc>
          <w:tcPr>
            <w:tcW w:w="1134" w:type="dxa"/>
            <w:vAlign w:val="center"/>
          </w:tcPr>
          <w:p w:rsidR="003A58DC" w:rsidRPr="00D20ABC" w:rsidRDefault="003A58DC" w:rsidP="00B06DDA">
            <w:pPr>
              <w:autoSpaceDE w:val="0"/>
              <w:autoSpaceDN w:val="0"/>
              <w:adjustRightInd w:val="0"/>
              <w:jc w:val="center"/>
              <w:rPr>
                <w:rFonts w:ascii="宋体" w:hAnsi="宋体"/>
                <w:color w:val="000000"/>
                <w:sz w:val="24"/>
              </w:rPr>
            </w:pPr>
            <w:r w:rsidRPr="00D20ABC">
              <w:rPr>
                <w:rFonts w:ascii="宋体" w:hAnsi="宋体" w:hint="eastAsia"/>
                <w:color w:val="000000"/>
                <w:sz w:val="24"/>
              </w:rPr>
              <w:t>序号</w:t>
            </w:r>
          </w:p>
        </w:tc>
        <w:tc>
          <w:tcPr>
            <w:tcW w:w="1843" w:type="dxa"/>
            <w:vAlign w:val="center"/>
          </w:tcPr>
          <w:p w:rsidR="003A58DC" w:rsidRPr="00D20ABC" w:rsidRDefault="003A58DC" w:rsidP="00B06DDA">
            <w:pPr>
              <w:autoSpaceDE w:val="0"/>
              <w:autoSpaceDN w:val="0"/>
              <w:adjustRightInd w:val="0"/>
              <w:rPr>
                <w:rFonts w:ascii="宋体" w:hAnsi="宋体"/>
                <w:color w:val="000000"/>
                <w:sz w:val="24"/>
              </w:rPr>
            </w:pPr>
            <w:r w:rsidRPr="00D20ABC">
              <w:rPr>
                <w:rFonts w:ascii="宋体" w:hAnsi="宋体" w:hint="eastAsia"/>
                <w:color w:val="000000"/>
                <w:sz w:val="24"/>
              </w:rPr>
              <w:t>持有基金份额比例达到或者超过20%的时间区间</w:t>
            </w:r>
          </w:p>
        </w:tc>
        <w:tc>
          <w:tcPr>
            <w:tcW w:w="851" w:type="dxa"/>
            <w:vAlign w:val="center"/>
          </w:tcPr>
          <w:p w:rsidR="003A58DC" w:rsidRPr="00D20ABC" w:rsidRDefault="003A58DC" w:rsidP="00B06DDA">
            <w:pPr>
              <w:widowControl/>
              <w:jc w:val="center"/>
              <w:rPr>
                <w:rFonts w:ascii="宋体" w:hAnsi="宋体"/>
                <w:color w:val="000000"/>
                <w:sz w:val="24"/>
              </w:rPr>
            </w:pPr>
            <w:bookmarkStart w:id="0" w:name="_GoBack"/>
            <w:bookmarkEnd w:id="0"/>
            <w:r w:rsidRPr="00D20ABC">
              <w:rPr>
                <w:rFonts w:ascii="宋体" w:hAnsi="宋体" w:hint="eastAsia"/>
                <w:color w:val="000000"/>
                <w:sz w:val="24"/>
              </w:rPr>
              <w:t>期初份额</w:t>
            </w:r>
          </w:p>
          <w:p w:rsidR="003A58DC" w:rsidRPr="00D20ABC" w:rsidRDefault="003A58DC" w:rsidP="00B06DDA">
            <w:pPr>
              <w:autoSpaceDE w:val="0"/>
              <w:autoSpaceDN w:val="0"/>
              <w:adjustRightInd w:val="0"/>
              <w:jc w:val="center"/>
              <w:rPr>
                <w:rFonts w:ascii="宋体" w:hAnsi="宋体"/>
                <w:color w:val="000000"/>
                <w:sz w:val="24"/>
              </w:rPr>
            </w:pPr>
          </w:p>
        </w:tc>
        <w:tc>
          <w:tcPr>
            <w:tcW w:w="850" w:type="dxa"/>
            <w:vAlign w:val="center"/>
          </w:tcPr>
          <w:p w:rsidR="003A58DC" w:rsidRPr="00D20ABC" w:rsidRDefault="003A58DC" w:rsidP="00B06DDA">
            <w:pPr>
              <w:widowControl/>
              <w:jc w:val="center"/>
              <w:rPr>
                <w:rFonts w:ascii="宋体" w:hAnsi="宋体"/>
                <w:color w:val="000000"/>
                <w:sz w:val="24"/>
              </w:rPr>
            </w:pPr>
            <w:r w:rsidRPr="00D20ABC">
              <w:rPr>
                <w:rFonts w:ascii="宋体" w:hAnsi="宋体" w:hint="eastAsia"/>
                <w:color w:val="000000"/>
                <w:sz w:val="24"/>
              </w:rPr>
              <w:t>申购份额</w:t>
            </w:r>
          </w:p>
          <w:p w:rsidR="003A58DC" w:rsidRPr="00D20ABC" w:rsidRDefault="003A58DC" w:rsidP="00B06DDA">
            <w:pPr>
              <w:autoSpaceDE w:val="0"/>
              <w:autoSpaceDN w:val="0"/>
              <w:adjustRightInd w:val="0"/>
              <w:jc w:val="center"/>
              <w:rPr>
                <w:rFonts w:ascii="宋体" w:hAnsi="宋体"/>
                <w:color w:val="000000"/>
                <w:sz w:val="24"/>
              </w:rPr>
            </w:pPr>
          </w:p>
        </w:tc>
        <w:tc>
          <w:tcPr>
            <w:tcW w:w="992" w:type="dxa"/>
            <w:vAlign w:val="center"/>
          </w:tcPr>
          <w:p w:rsidR="003A58DC" w:rsidRPr="00D20ABC" w:rsidRDefault="003A58DC" w:rsidP="00B06DDA">
            <w:pPr>
              <w:autoSpaceDE w:val="0"/>
              <w:autoSpaceDN w:val="0"/>
              <w:adjustRightInd w:val="0"/>
              <w:jc w:val="center"/>
              <w:rPr>
                <w:rFonts w:ascii="宋体" w:hAnsi="宋体"/>
                <w:color w:val="000000"/>
                <w:sz w:val="24"/>
              </w:rPr>
            </w:pPr>
            <w:r w:rsidRPr="00D20ABC">
              <w:rPr>
                <w:rFonts w:ascii="宋体" w:hAnsi="宋体" w:hint="eastAsia"/>
                <w:color w:val="000000"/>
                <w:sz w:val="24"/>
              </w:rPr>
              <w:t>赎回份额</w:t>
            </w:r>
          </w:p>
        </w:tc>
        <w:tc>
          <w:tcPr>
            <w:tcW w:w="1418" w:type="dxa"/>
            <w:vAlign w:val="center"/>
          </w:tcPr>
          <w:p w:rsidR="003A58DC" w:rsidRPr="00D20ABC" w:rsidRDefault="003A58DC" w:rsidP="00B06DDA">
            <w:pPr>
              <w:autoSpaceDE w:val="0"/>
              <w:autoSpaceDN w:val="0"/>
              <w:adjustRightInd w:val="0"/>
              <w:rPr>
                <w:rFonts w:ascii="宋体" w:hAnsi="宋体"/>
                <w:color w:val="000000"/>
                <w:sz w:val="24"/>
              </w:rPr>
            </w:pPr>
            <w:r w:rsidRPr="00D20ABC">
              <w:rPr>
                <w:rFonts w:ascii="宋体" w:hAnsi="宋体" w:hint="eastAsia"/>
                <w:color w:val="000000"/>
                <w:sz w:val="24"/>
              </w:rPr>
              <w:t>持有份额</w:t>
            </w:r>
          </w:p>
        </w:tc>
        <w:tc>
          <w:tcPr>
            <w:tcW w:w="1273" w:type="dxa"/>
            <w:vAlign w:val="center"/>
          </w:tcPr>
          <w:p w:rsidR="003A58DC" w:rsidRPr="00D20ABC" w:rsidRDefault="003A58DC" w:rsidP="00B06DDA">
            <w:pPr>
              <w:autoSpaceDE w:val="0"/>
              <w:autoSpaceDN w:val="0"/>
              <w:adjustRightInd w:val="0"/>
              <w:jc w:val="center"/>
              <w:rPr>
                <w:rFonts w:ascii="宋体" w:hAnsi="宋体"/>
                <w:color w:val="000000"/>
                <w:sz w:val="24"/>
              </w:rPr>
            </w:pPr>
            <w:r w:rsidRPr="00D20ABC">
              <w:rPr>
                <w:rFonts w:ascii="宋体" w:hAnsi="宋体" w:hint="eastAsia"/>
                <w:color w:val="000000"/>
                <w:sz w:val="24"/>
              </w:rPr>
              <w:t>份额占比</w:t>
            </w:r>
          </w:p>
        </w:tc>
      </w:tr>
      <w:tr w:rsidR="00856833" w:rsidRPr="00D20ABC">
        <w:tc>
          <w:tcPr>
            <w:tcW w:w="851" w:type="dxa"/>
          </w:tcPr>
          <w:p w:rsidR="00856833" w:rsidRPr="00D20ABC" w:rsidRDefault="00856833">
            <w:pPr>
              <w:rPr>
                <w:sz w:val="24"/>
              </w:rPr>
            </w:pPr>
          </w:p>
          <w:p w:rsidR="00856833" w:rsidRPr="00D20ABC" w:rsidRDefault="006B4065">
            <w:pPr>
              <w:rPr>
                <w:sz w:val="24"/>
              </w:rPr>
            </w:pPr>
            <w:r w:rsidRPr="00D20ABC">
              <w:rPr>
                <w:rFonts w:eastAsiaTheme="minorEastAsia" w:hint="eastAsia"/>
                <w:bCs/>
                <w:color w:val="000000" w:themeColor="text1"/>
                <w:sz w:val="24"/>
              </w:rPr>
              <w:t>机构</w:t>
            </w:r>
          </w:p>
        </w:tc>
        <w:tc>
          <w:tcPr>
            <w:tcW w:w="1134" w:type="dxa"/>
            <w:vAlign w:val="center"/>
          </w:tcPr>
          <w:p w:rsidR="00856833" w:rsidRPr="00D20ABC" w:rsidRDefault="006B4065">
            <w:pPr>
              <w:jc w:val="center"/>
              <w:rPr>
                <w:sz w:val="24"/>
              </w:rPr>
            </w:pPr>
            <w:r w:rsidRPr="00D20ABC">
              <w:rPr>
                <w:color w:val="000000"/>
                <w:sz w:val="24"/>
              </w:rPr>
              <w:t>1</w:t>
            </w:r>
          </w:p>
        </w:tc>
        <w:tc>
          <w:tcPr>
            <w:tcW w:w="1843" w:type="dxa"/>
            <w:vAlign w:val="center"/>
          </w:tcPr>
          <w:p w:rsidR="00856833" w:rsidRPr="00D20ABC" w:rsidRDefault="006B4065">
            <w:pPr>
              <w:jc w:val="center"/>
              <w:rPr>
                <w:sz w:val="24"/>
              </w:rPr>
            </w:pPr>
            <w:r w:rsidRPr="00D20ABC">
              <w:rPr>
                <w:color w:val="000000"/>
                <w:sz w:val="24"/>
              </w:rPr>
              <w:t>2017/3/22-2017/3/31</w:t>
            </w:r>
          </w:p>
        </w:tc>
        <w:tc>
          <w:tcPr>
            <w:tcW w:w="851" w:type="dxa"/>
            <w:vAlign w:val="center"/>
          </w:tcPr>
          <w:p w:rsidR="00856833" w:rsidRPr="00D20ABC" w:rsidRDefault="006B4065">
            <w:pPr>
              <w:jc w:val="center"/>
              <w:rPr>
                <w:sz w:val="24"/>
              </w:rPr>
            </w:pPr>
            <w:r w:rsidRPr="00D20ABC">
              <w:rPr>
                <w:color w:val="000000"/>
                <w:sz w:val="24"/>
              </w:rPr>
              <w:t>-</w:t>
            </w:r>
          </w:p>
        </w:tc>
        <w:tc>
          <w:tcPr>
            <w:tcW w:w="850" w:type="dxa"/>
            <w:vAlign w:val="center"/>
          </w:tcPr>
          <w:p w:rsidR="00856833" w:rsidRPr="00D20ABC" w:rsidRDefault="006B4065">
            <w:pPr>
              <w:jc w:val="center"/>
              <w:rPr>
                <w:sz w:val="24"/>
              </w:rPr>
            </w:pPr>
            <w:r w:rsidRPr="00D20ABC">
              <w:rPr>
                <w:color w:val="000000"/>
                <w:sz w:val="24"/>
              </w:rPr>
              <w:t>185,788,335.95</w:t>
            </w:r>
          </w:p>
        </w:tc>
        <w:tc>
          <w:tcPr>
            <w:tcW w:w="992" w:type="dxa"/>
            <w:vAlign w:val="center"/>
          </w:tcPr>
          <w:p w:rsidR="00856833" w:rsidRPr="00D20ABC" w:rsidRDefault="006B4065">
            <w:pPr>
              <w:jc w:val="center"/>
              <w:rPr>
                <w:sz w:val="24"/>
              </w:rPr>
            </w:pPr>
            <w:r w:rsidRPr="00D20ABC">
              <w:rPr>
                <w:color w:val="000000"/>
                <w:sz w:val="24"/>
              </w:rPr>
              <w:t>-</w:t>
            </w:r>
          </w:p>
        </w:tc>
        <w:tc>
          <w:tcPr>
            <w:tcW w:w="1418" w:type="dxa"/>
            <w:vAlign w:val="center"/>
          </w:tcPr>
          <w:p w:rsidR="00856833" w:rsidRPr="00D20ABC" w:rsidRDefault="006B4065">
            <w:pPr>
              <w:jc w:val="center"/>
              <w:rPr>
                <w:sz w:val="24"/>
              </w:rPr>
            </w:pPr>
            <w:r w:rsidRPr="00D20ABC">
              <w:rPr>
                <w:color w:val="000000"/>
                <w:sz w:val="24"/>
              </w:rPr>
              <w:t>185,788,335.95</w:t>
            </w:r>
          </w:p>
        </w:tc>
        <w:tc>
          <w:tcPr>
            <w:tcW w:w="1273" w:type="dxa"/>
            <w:vAlign w:val="center"/>
          </w:tcPr>
          <w:p w:rsidR="00856833" w:rsidRPr="00D20ABC" w:rsidRDefault="006B4065">
            <w:pPr>
              <w:jc w:val="center"/>
              <w:rPr>
                <w:sz w:val="24"/>
              </w:rPr>
            </w:pPr>
            <w:r w:rsidRPr="00D20ABC">
              <w:rPr>
                <w:color w:val="000000"/>
                <w:sz w:val="24"/>
              </w:rPr>
              <w:t>25.15%</w:t>
            </w:r>
          </w:p>
        </w:tc>
      </w:tr>
      <w:tr w:rsidR="003A58DC" w:rsidRPr="00D20ABC" w:rsidTr="00B06DDA">
        <w:tc>
          <w:tcPr>
            <w:tcW w:w="9212" w:type="dxa"/>
            <w:gridSpan w:val="8"/>
            <w:vAlign w:val="center"/>
          </w:tcPr>
          <w:p w:rsidR="003A58DC" w:rsidRPr="00D20ABC" w:rsidRDefault="003A58DC" w:rsidP="00B06DDA">
            <w:pPr>
              <w:autoSpaceDE w:val="0"/>
              <w:autoSpaceDN w:val="0"/>
              <w:adjustRightInd w:val="0"/>
              <w:ind w:firstLine="1126"/>
              <w:jc w:val="center"/>
              <w:rPr>
                <w:sz w:val="24"/>
              </w:rPr>
            </w:pPr>
            <w:r w:rsidRPr="00D20ABC">
              <w:rPr>
                <w:color w:val="000000"/>
                <w:sz w:val="24"/>
              </w:rPr>
              <w:t>产品特有风险</w:t>
            </w:r>
          </w:p>
        </w:tc>
      </w:tr>
      <w:tr w:rsidR="003A58DC" w:rsidRPr="00D20ABC" w:rsidTr="00B06DDA">
        <w:tc>
          <w:tcPr>
            <w:tcW w:w="9212" w:type="dxa"/>
            <w:gridSpan w:val="8"/>
            <w:vAlign w:val="center"/>
          </w:tcPr>
          <w:p w:rsidR="003A58DC" w:rsidRPr="00D20ABC" w:rsidRDefault="003A58DC" w:rsidP="00B06DDA">
            <w:pPr>
              <w:autoSpaceDE w:val="0"/>
              <w:autoSpaceDN w:val="0"/>
              <w:adjustRightInd w:val="0"/>
              <w:jc w:val="left"/>
              <w:rPr>
                <w:sz w:val="24"/>
              </w:rPr>
            </w:pPr>
            <w:r w:rsidRPr="00D20ABC">
              <w:rPr>
                <w:rFonts w:hint="eastAsia"/>
                <w:sz w:val="24"/>
              </w:rPr>
              <w:t>本基金本报告期内出现单一投资者持有基金份额比例超过基金总份额</w:t>
            </w:r>
            <w:r w:rsidRPr="00D20ABC">
              <w:rPr>
                <w:rFonts w:hint="eastAsia"/>
                <w:sz w:val="24"/>
              </w:rPr>
              <w:t>20%</w:t>
            </w:r>
            <w:r w:rsidRPr="00D20ABC">
              <w:rPr>
                <w:rFonts w:hint="eastAsia"/>
                <w:sz w:val="24"/>
              </w:rPr>
              <w:t>的情况。如该类投资者集中赎回，可能会对本基金带来流动性冲击，从而影响基金的投资运作和收</w:t>
            </w:r>
            <w:r w:rsidRPr="00D20ABC">
              <w:rPr>
                <w:rFonts w:hint="eastAsia"/>
                <w:sz w:val="24"/>
              </w:rPr>
              <w:lastRenderedPageBreak/>
              <w:t>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856833" w:rsidRDefault="006B40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856833" w:rsidRDefault="006B40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856833" w:rsidRDefault="006B40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856833" w:rsidRDefault="006B40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856833" w:rsidRDefault="006B4065">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856833" w:rsidRDefault="006B4065">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856833" w:rsidRDefault="006B4065">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856833" w:rsidRDefault="006B406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856833" w:rsidRDefault="006B4065">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856833" w:rsidRDefault="006B4065">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856833" w:rsidRDefault="006B4065">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856833" w:rsidRDefault="006B4065">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856833" w:rsidRDefault="006B40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37" w:rsidRDefault="00055E37" w:rsidP="00876D65">
      <w:r>
        <w:separator/>
      </w:r>
    </w:p>
  </w:endnote>
  <w:endnote w:type="continuationSeparator" w:id="0">
    <w:p w:rsidR="00055E37" w:rsidRDefault="00055E3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73690">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73690">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37" w:rsidRDefault="00055E37" w:rsidP="00876D65">
      <w:r>
        <w:separator/>
      </w:r>
    </w:p>
  </w:footnote>
  <w:footnote w:type="continuationSeparator" w:id="0">
    <w:p w:rsidR="00055E37" w:rsidRDefault="00055E3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5E37"/>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3690"/>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4065"/>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56833"/>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2E2D"/>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0ABC"/>
    <w:rsid w:val="00D21FFF"/>
    <w:rsid w:val="00D2206B"/>
    <w:rsid w:val="00D272A5"/>
    <w:rsid w:val="00D346D9"/>
    <w:rsid w:val="00D3535D"/>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668498-0FD7-4E4B-BA9C-BAC685CB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490B-F914-411B-8C72-F451DF5F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12</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566</cp:revision>
  <dcterms:created xsi:type="dcterms:W3CDTF">2012-10-16T06:07:00Z</dcterms:created>
  <dcterms:modified xsi:type="dcterms:W3CDTF">2017-04-20T05:42:00Z</dcterms:modified>
</cp:coreProperties>
</file>