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6C615F" w:rsidRDefault="0012658D" w:rsidP="00B04217">
      <w:pPr>
        <w:spacing w:before="29" w:line="288" w:lineRule="auto"/>
        <w:jc w:val="center"/>
        <w:rPr>
          <w:b/>
          <w:sz w:val="36"/>
          <w:szCs w:val="36"/>
        </w:rPr>
      </w:pPr>
      <w:r w:rsidRPr="006C615F">
        <w:rPr>
          <w:b/>
          <w:sz w:val="36"/>
          <w:szCs w:val="36"/>
        </w:rPr>
        <w:t>交银施罗德深证</w:t>
      </w:r>
      <w:r w:rsidRPr="006C615F">
        <w:rPr>
          <w:b/>
          <w:sz w:val="36"/>
          <w:szCs w:val="36"/>
        </w:rPr>
        <w:t>300</w:t>
      </w:r>
      <w:r w:rsidRPr="006C615F">
        <w:rPr>
          <w:b/>
          <w:sz w:val="36"/>
          <w:szCs w:val="36"/>
        </w:rPr>
        <w:t>价值交易型开放式指数证券投资基金联接基金</w:t>
      </w:r>
    </w:p>
    <w:p w:rsidR="0012658D" w:rsidRPr="006C615F" w:rsidRDefault="0012658D" w:rsidP="00B04217">
      <w:pPr>
        <w:spacing w:before="29" w:line="288" w:lineRule="auto"/>
        <w:jc w:val="center"/>
        <w:rPr>
          <w:b/>
          <w:sz w:val="36"/>
          <w:szCs w:val="36"/>
        </w:rPr>
      </w:pPr>
      <w:r w:rsidRPr="006C615F">
        <w:rPr>
          <w:b/>
          <w:sz w:val="36"/>
          <w:szCs w:val="36"/>
        </w:rPr>
        <w:t>2017</w:t>
      </w:r>
      <w:r w:rsidRPr="006C615F">
        <w:rPr>
          <w:b/>
          <w:sz w:val="36"/>
          <w:szCs w:val="36"/>
        </w:rPr>
        <w:t>年第</w:t>
      </w:r>
      <w:r w:rsidRPr="006C615F">
        <w:rPr>
          <w:b/>
          <w:sz w:val="36"/>
          <w:szCs w:val="36"/>
        </w:rPr>
        <w:t>1</w:t>
      </w:r>
      <w:r w:rsidRPr="006C615F">
        <w:rPr>
          <w:b/>
          <w:sz w:val="36"/>
          <w:szCs w:val="36"/>
        </w:rPr>
        <w:t>季度报告</w:t>
      </w:r>
    </w:p>
    <w:p w:rsidR="00943748" w:rsidRPr="006C615F" w:rsidRDefault="003251EE" w:rsidP="00B04217">
      <w:pPr>
        <w:spacing w:before="29" w:line="288" w:lineRule="auto"/>
        <w:jc w:val="center"/>
        <w:rPr>
          <w:b/>
          <w:sz w:val="36"/>
          <w:szCs w:val="36"/>
        </w:rPr>
      </w:pPr>
      <w:r w:rsidRPr="006C615F">
        <w:rPr>
          <w:b/>
          <w:sz w:val="36"/>
          <w:szCs w:val="36"/>
        </w:rPr>
        <w:t>2017</w:t>
      </w:r>
      <w:r w:rsidRPr="006C615F">
        <w:rPr>
          <w:b/>
          <w:sz w:val="36"/>
          <w:szCs w:val="36"/>
        </w:rPr>
        <w:t>年</w:t>
      </w:r>
      <w:r w:rsidRPr="006C615F">
        <w:rPr>
          <w:b/>
          <w:sz w:val="36"/>
          <w:szCs w:val="36"/>
        </w:rPr>
        <w:t>3</w:t>
      </w:r>
      <w:r w:rsidRPr="006C615F">
        <w:rPr>
          <w:b/>
          <w:sz w:val="36"/>
          <w:szCs w:val="36"/>
        </w:rPr>
        <w:t>月</w:t>
      </w:r>
      <w:r w:rsidRPr="006C615F">
        <w:rPr>
          <w:b/>
          <w:sz w:val="36"/>
          <w:szCs w:val="36"/>
        </w:rPr>
        <w:t>31</w:t>
      </w:r>
      <w:r w:rsidRPr="006C615F">
        <w:rPr>
          <w:b/>
          <w:sz w:val="36"/>
          <w:szCs w:val="36"/>
        </w:rPr>
        <w:t>日</w:t>
      </w: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rPr>
          <w:b/>
          <w:sz w:val="24"/>
        </w:rPr>
      </w:pP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rsidR="00943748" w:rsidRPr="006C615F" w:rsidRDefault="00943748" w:rsidP="00B04217">
      <w:pPr>
        <w:spacing w:before="29" w:line="288" w:lineRule="auto"/>
        <w:ind w:firstLineChars="900" w:firstLine="2168"/>
        <w:rPr>
          <w:b/>
          <w:color w:val="000000"/>
          <w:sz w:val="24"/>
        </w:rPr>
        <w:sectPr w:rsidR="00943748" w:rsidRPr="006C615F" w:rsidSect="00412E7F">
          <w:headerReference w:type="default" r:id="rId8"/>
          <w:footerReference w:type="default" r:id="rId9"/>
          <w:pgSz w:w="11926" w:h="15840"/>
          <w:pgMar w:top="1418" w:right="1440" w:bottom="851" w:left="1440" w:header="851" w:footer="992" w:gutter="0"/>
          <w:cols w:space="720"/>
          <w:noEndnote/>
        </w:sectPr>
      </w:pPr>
      <w:r w:rsidRPr="006C615F">
        <w:rPr>
          <w:b/>
          <w:color w:val="000000"/>
          <w:sz w:val="24"/>
        </w:rPr>
        <w:t>报告送出日期：</w:t>
      </w:r>
      <w:r w:rsidR="00AB5C7D" w:rsidRPr="006C615F">
        <w:rPr>
          <w:b/>
          <w:color w:val="000000"/>
          <w:sz w:val="24"/>
        </w:rPr>
        <w:t>二〇一七年四月二十四日</w:t>
      </w:r>
    </w:p>
    <w:p w:rsidR="00220542" w:rsidRPr="00324C76" w:rsidRDefault="00220542" w:rsidP="006F59D5">
      <w:pPr>
        <w:pStyle w:val="1"/>
        <w:spacing w:beforeLines="100" w:before="312" w:afterLines="100" w:after="312"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rsidR="002472A5" w:rsidRDefault="005C3FF7">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2472A5" w:rsidRDefault="005C3FF7">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4</w:t>
      </w:r>
      <w:r>
        <w:rPr>
          <w:color w:val="000000"/>
          <w:sz w:val="24"/>
        </w:rPr>
        <w:t>月</w:t>
      </w:r>
      <w:r>
        <w:rPr>
          <w:color w:val="000000"/>
          <w:sz w:val="24"/>
        </w:rPr>
        <w:t>21</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2472A5" w:rsidRDefault="005C3FF7">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2472A5" w:rsidRDefault="005C3FF7">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2472A5" w:rsidRDefault="005C3FF7">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24C76" w:rsidRDefault="00446302" w:rsidP="00B04217">
      <w:pPr>
        <w:spacing w:before="29" w:line="288" w:lineRule="auto"/>
        <w:ind w:firstLineChars="200" w:firstLine="480"/>
        <w:rPr>
          <w:color w:val="000000"/>
          <w:sz w:val="24"/>
        </w:rPr>
      </w:pPr>
      <w:r w:rsidRPr="00324C76">
        <w:rPr>
          <w:color w:val="000000"/>
          <w:sz w:val="24"/>
        </w:rPr>
        <w:t>本报告期自</w:t>
      </w:r>
      <w:r w:rsidRPr="00324C76">
        <w:rPr>
          <w:color w:val="000000"/>
          <w:sz w:val="24"/>
        </w:rPr>
        <w:t>2017</w:t>
      </w:r>
      <w:r w:rsidRPr="00324C76">
        <w:rPr>
          <w:color w:val="000000"/>
          <w:sz w:val="24"/>
        </w:rPr>
        <w:t>年</w:t>
      </w:r>
      <w:r w:rsidRPr="00324C76">
        <w:rPr>
          <w:color w:val="000000"/>
          <w:sz w:val="24"/>
        </w:rPr>
        <w:t>1</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3</w:t>
      </w:r>
      <w:r w:rsidRPr="00324C76">
        <w:rPr>
          <w:color w:val="000000"/>
          <w:sz w:val="24"/>
        </w:rPr>
        <w:t>月</w:t>
      </w:r>
      <w:r w:rsidRPr="00324C76">
        <w:rPr>
          <w:color w:val="000000"/>
          <w:sz w:val="24"/>
        </w:rPr>
        <w:t>31</w:t>
      </w:r>
      <w:r w:rsidRPr="00324C76">
        <w:rPr>
          <w:color w:val="000000"/>
          <w:sz w:val="24"/>
        </w:rPr>
        <w:t>日止。</w:t>
      </w:r>
    </w:p>
    <w:p w:rsidR="002A5D65" w:rsidRPr="00324C76" w:rsidRDefault="002A5D65" w:rsidP="00B04217">
      <w:pPr>
        <w:spacing w:before="29" w:line="288" w:lineRule="auto"/>
        <w:ind w:firstLineChars="200" w:firstLine="480"/>
        <w:rPr>
          <w:sz w:val="24"/>
        </w:rPr>
      </w:pPr>
    </w:p>
    <w:p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0" w:name="_Toc245193810"/>
      <w:r w:rsidRPr="00324C76">
        <w:rPr>
          <w:rFonts w:ascii="Times New Roman" w:hAnsi="Times New Roman" w:cs="Times New Roman"/>
          <w:szCs w:val="24"/>
        </w:rPr>
        <w:t>2.1</w:t>
      </w:r>
      <w:bookmarkEnd w:id="0"/>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845" w:type="dxa"/>
            <w:gridSpan w:val="2"/>
            <w:vAlign w:val="center"/>
          </w:tcPr>
          <w:p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交银深证</w:t>
            </w:r>
            <w:r w:rsidRPr="00324C76">
              <w:rPr>
                <w:color w:val="000000"/>
                <w:kern w:val="0"/>
                <w:sz w:val="24"/>
              </w:rPr>
              <w:t>300</w:t>
            </w:r>
            <w:r w:rsidRPr="00324C76">
              <w:rPr>
                <w:color w:val="000000"/>
                <w:kern w:val="0"/>
                <w:sz w:val="24"/>
              </w:rPr>
              <w:t>价值</w:t>
            </w:r>
            <w:r w:rsidRPr="00324C76">
              <w:rPr>
                <w:color w:val="000000"/>
                <w:kern w:val="0"/>
                <w:sz w:val="24"/>
              </w:rPr>
              <w:t>ETF</w:t>
            </w:r>
            <w:r w:rsidRPr="00324C76">
              <w:rPr>
                <w:color w:val="000000"/>
                <w:kern w:val="0"/>
                <w:sz w:val="24"/>
              </w:rPr>
              <w:t>联接</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845" w:type="dxa"/>
            <w:gridSpan w:val="2"/>
            <w:vAlign w:val="center"/>
          </w:tcPr>
          <w:p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2011</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28</w:t>
            </w:r>
            <w:r w:rsidRPr="00324C76">
              <w:rPr>
                <w:color w:val="000000"/>
                <w:kern w:val="0"/>
                <w:sz w:val="24"/>
              </w:rPr>
              <w:t>日</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32,212,720.02</w:t>
            </w:r>
            <w:r w:rsidR="0083349B" w:rsidRPr="00324C76">
              <w:rPr>
                <w:color w:val="000000"/>
                <w:kern w:val="0"/>
                <w:sz w:val="24"/>
              </w:rPr>
              <w:t>份</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的资产比例不低于基金资产净值的</w:t>
            </w:r>
            <w:r w:rsidRPr="00324C76">
              <w:rPr>
                <w:color w:val="000000"/>
                <w:kern w:val="0"/>
                <w:sz w:val="24"/>
              </w:rPr>
              <w:t>90%</w:t>
            </w:r>
            <w:r w:rsidRPr="00324C76">
              <w:rPr>
                <w:color w:val="000000"/>
                <w:kern w:val="0"/>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深证</w:t>
            </w:r>
            <w:r w:rsidRPr="00324C76">
              <w:rPr>
                <w:color w:val="000000"/>
                <w:kern w:val="0"/>
                <w:sz w:val="24"/>
              </w:rPr>
              <w:t>300</w:t>
            </w:r>
            <w:r w:rsidRPr="00324C76">
              <w:rPr>
                <w:color w:val="000000"/>
                <w:kern w:val="0"/>
                <w:sz w:val="24"/>
              </w:rPr>
              <w:t>价值价格指数收益率</w:t>
            </w:r>
            <w:r w:rsidRPr="00324C76">
              <w:rPr>
                <w:color w:val="000000"/>
                <w:kern w:val="0"/>
                <w:sz w:val="24"/>
              </w:rPr>
              <w:t>×95%</w:t>
            </w:r>
            <w:r w:rsidRPr="00324C76">
              <w:rPr>
                <w:color w:val="000000"/>
                <w:kern w:val="0"/>
                <w:sz w:val="24"/>
              </w:rPr>
              <w:t>＋银行活期存款税</w:t>
            </w:r>
            <w:r w:rsidRPr="00324C76">
              <w:rPr>
                <w:color w:val="000000"/>
                <w:kern w:val="0"/>
                <w:sz w:val="24"/>
              </w:rPr>
              <w:lastRenderedPageBreak/>
              <w:t>后收益率</w:t>
            </w:r>
            <w:r w:rsidRPr="00324C76">
              <w:rPr>
                <w:color w:val="000000"/>
                <w:kern w:val="0"/>
                <w:sz w:val="24"/>
              </w:rPr>
              <w:t>×5%</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lastRenderedPageBreak/>
              <w:t>风险收益特征</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基金管理人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B04217">
      <w:pPr>
        <w:autoSpaceDE w:val="0"/>
        <w:autoSpaceDN w:val="0"/>
        <w:adjustRightInd w:val="0"/>
        <w:spacing w:before="29" w:line="288" w:lineRule="auto"/>
        <w:jc w:val="left"/>
        <w:rPr>
          <w:kern w:val="0"/>
          <w:sz w:val="24"/>
        </w:rPr>
      </w:pPr>
    </w:p>
    <w:p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firstRow="0" w:lastRow="0" w:firstColumn="0" w:lastColumn="0" w:noHBand="0" w:noVBand="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深证</w:t>
            </w:r>
            <w:r w:rsidRPr="00324C76">
              <w:rPr>
                <w:sz w:val="24"/>
              </w:rPr>
              <w:t>300</w:t>
            </w:r>
            <w:r w:rsidRPr="00324C76">
              <w:rPr>
                <w:sz w:val="24"/>
              </w:rPr>
              <w:t>价值交易型开放式指数证券投资基金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159913</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9</w:t>
            </w:r>
            <w:r w:rsidRPr="00324C76">
              <w:rPr>
                <w:sz w:val="24"/>
              </w:rPr>
              <w:t>月</w:t>
            </w:r>
            <w:r w:rsidRPr="00324C76">
              <w:rPr>
                <w:sz w:val="24"/>
              </w:rPr>
              <w:t>22</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深圳证券交易所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10</w:t>
            </w:r>
            <w:r w:rsidRPr="00324C76">
              <w:rPr>
                <w:sz w:val="24"/>
              </w:rPr>
              <w:t>月</w:t>
            </w:r>
            <w:r w:rsidRPr="00324C76">
              <w:rPr>
                <w:sz w:val="24"/>
              </w:rPr>
              <w:t>25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中国农业银行股份有限公司</w:t>
            </w:r>
          </w:p>
        </w:tc>
      </w:tr>
    </w:tbl>
    <w:p w:rsidR="006B4B1E" w:rsidRPr="00324C76" w:rsidRDefault="006B4B1E" w:rsidP="00B04217">
      <w:pPr>
        <w:autoSpaceDE w:val="0"/>
        <w:autoSpaceDN w:val="0"/>
        <w:adjustRightInd w:val="0"/>
        <w:spacing w:before="29" w:line="288" w:lineRule="auto"/>
        <w:jc w:val="left"/>
        <w:rPr>
          <w:color w:val="000000"/>
          <w:sz w:val="24"/>
        </w:rPr>
      </w:pPr>
    </w:p>
    <w:p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Year" w:val="1899"/>
          <w:attr w:name="Month" w:val="12"/>
          <w:attr w:name="Day" w:val="30"/>
          <w:attr w:name="IsLunarDate" w:val="False"/>
          <w:attr w:name="IsROCDate" w:val="False"/>
        </w:smartTagPr>
        <w:r w:rsidRPr="00324C76">
          <w:rPr>
            <w:rFonts w:ascii="Times New Roman" w:hAnsi="Times New Roman" w:cs="Times New Roman"/>
            <w:szCs w:val="24"/>
          </w:rPr>
          <w:t>2.1.2</w:t>
        </w:r>
      </w:smartTag>
      <w:r w:rsidR="00B51C7C" w:rsidRPr="00324C76">
        <w:rPr>
          <w:rFonts w:ascii="Times New Roman" w:hAnsi="Times New Roman" w:cs="Times New Roman"/>
          <w:szCs w:val="24"/>
        </w:rPr>
        <w:t>目标基金产品说明</w:t>
      </w:r>
    </w:p>
    <w:tbl>
      <w:tblPr>
        <w:tblW w:w="8868" w:type="dxa"/>
        <w:jc w:val="center"/>
        <w:tblLook w:val="0000" w:firstRow="0" w:lastRow="0" w:firstColumn="0" w:lastColumn="0" w:noHBand="0" w:noVBand="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紧密跟踪标的指数，追求跟踪偏离度和跟踪误差最小化。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本基金绝大部分资产采用完全复制法，跟踪深证</w:t>
            </w:r>
            <w:r w:rsidRPr="00324C76">
              <w:rPr>
                <w:sz w:val="24"/>
              </w:rPr>
              <w:t>300</w:t>
            </w:r>
            <w:r w:rsidRPr="00324C76">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深证</w:t>
            </w:r>
            <w:r w:rsidRPr="00324C76">
              <w:rPr>
                <w:sz w:val="24"/>
              </w:rPr>
              <w:t>300</w:t>
            </w:r>
            <w:r w:rsidRPr="00324C76">
              <w:rPr>
                <w:sz w:val="24"/>
              </w:rPr>
              <w:t>价值价格指数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lastRenderedPageBreak/>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本基金属于股票基金，风险与预期收益高于混合基金、债券基金与货币市场基金。同时本基金为指数型基金，具有与标的指数、以及标的指数所代表的股票市场相似的风险收益特征。</w:t>
            </w:r>
          </w:p>
        </w:tc>
      </w:tr>
    </w:tbl>
    <w:p w:rsidR="002A5D65" w:rsidRPr="00324C76" w:rsidRDefault="002A5D65" w:rsidP="00B04217">
      <w:pPr>
        <w:autoSpaceDE w:val="0"/>
        <w:autoSpaceDN w:val="0"/>
        <w:adjustRightInd w:val="0"/>
        <w:spacing w:before="29" w:line="288" w:lineRule="auto"/>
        <w:jc w:val="left"/>
        <w:rPr>
          <w:color w:val="000000"/>
          <w:sz w:val="24"/>
        </w:rPr>
      </w:pPr>
    </w:p>
    <w:p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5261"/>
      </w:tblGrid>
      <w:tr w:rsidR="002757CA" w:rsidRPr="00324C76" w:rsidTr="002757CA">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2017</w:t>
            </w:r>
            <w:r w:rsidRPr="00324C76">
              <w:rPr>
                <w:color w:val="000000"/>
                <w:sz w:val="24"/>
              </w:rPr>
              <w:t>年</w:t>
            </w:r>
            <w:r w:rsidRPr="00324C76">
              <w:rPr>
                <w:color w:val="000000"/>
                <w:sz w:val="24"/>
              </w:rPr>
              <w:t>1</w:t>
            </w:r>
            <w:r w:rsidRPr="00324C76">
              <w:rPr>
                <w:color w:val="000000"/>
                <w:sz w:val="24"/>
              </w:rPr>
              <w:t>月</w:t>
            </w:r>
            <w:r w:rsidRPr="00324C76">
              <w:rPr>
                <w:color w:val="000000"/>
                <w:sz w:val="24"/>
              </w:rPr>
              <w:t>1</w:t>
            </w:r>
            <w:r w:rsidRPr="00324C76">
              <w:rPr>
                <w:color w:val="000000"/>
                <w:sz w:val="24"/>
              </w:rPr>
              <w:t>日</w:t>
            </w:r>
            <w:r w:rsidRPr="00324C76">
              <w:rPr>
                <w:color w:val="000000"/>
                <w:sz w:val="24"/>
              </w:rPr>
              <w:t>-2017</w:t>
            </w:r>
            <w:r w:rsidRPr="00324C76">
              <w:rPr>
                <w:color w:val="000000"/>
                <w:sz w:val="24"/>
              </w:rPr>
              <w:t>年</w:t>
            </w:r>
            <w:r w:rsidRPr="00324C76">
              <w:rPr>
                <w:color w:val="000000"/>
                <w:sz w:val="24"/>
              </w:rPr>
              <w:t>3</w:t>
            </w:r>
            <w:r w:rsidRPr="00324C76">
              <w:rPr>
                <w:color w:val="000000"/>
                <w:sz w:val="24"/>
              </w:rPr>
              <w:t>月</w:t>
            </w:r>
            <w:r w:rsidRPr="00324C76">
              <w:rPr>
                <w:color w:val="000000"/>
                <w:sz w:val="24"/>
              </w:rPr>
              <w:t>31</w:t>
            </w:r>
            <w:r w:rsidRPr="00324C76">
              <w:rPr>
                <w:color w:val="000000"/>
                <w:sz w:val="24"/>
              </w:rPr>
              <w:t>日</w:t>
            </w:r>
            <w:r w:rsidR="00F53C6A" w:rsidRPr="00324C76">
              <w:rPr>
                <w:color w:val="000000"/>
                <w:kern w:val="0"/>
                <w:sz w:val="24"/>
              </w:rPr>
              <w:t>)</w:t>
            </w:r>
          </w:p>
        </w:tc>
      </w:tr>
      <w:tr w:rsidR="002757CA" w:rsidRPr="00324C76" w:rsidTr="002757CA">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102,754.85</w:t>
            </w:r>
          </w:p>
        </w:tc>
      </w:tr>
      <w:tr w:rsidR="002757CA" w:rsidRPr="00324C76" w:rsidTr="002757CA">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2,833,006.16</w:t>
            </w:r>
          </w:p>
        </w:tc>
      </w:tr>
      <w:tr w:rsidR="002757CA" w:rsidRPr="00324C76" w:rsidTr="002757CA">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0.0876</w:t>
            </w:r>
          </w:p>
        </w:tc>
      </w:tr>
      <w:tr w:rsidR="002757CA" w:rsidRPr="00324C76" w:rsidTr="002757CA">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46,780,438.96</w:t>
            </w:r>
          </w:p>
        </w:tc>
      </w:tr>
      <w:tr w:rsidR="002757CA" w:rsidRPr="00324C76" w:rsidTr="002757CA">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1.452</w:t>
            </w:r>
          </w:p>
        </w:tc>
      </w:tr>
    </w:tbl>
    <w:p w:rsidR="002472A5" w:rsidRDefault="005C3FF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E27AF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 xml:space="preserve">    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324C76">
          <w:rPr>
            <w:b/>
            <w:kern w:val="0"/>
            <w:sz w:val="24"/>
          </w:rPr>
          <w:t>3.2.1</w:t>
        </w:r>
        <w:r w:rsidR="00BD0A0A" w:rsidRPr="00324C76">
          <w:rPr>
            <w:b/>
            <w:kern w:val="0"/>
            <w:sz w:val="24"/>
          </w:rPr>
          <w:t xml:space="preserve"> </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2472A5">
        <w:trPr>
          <w:jc w:val="center"/>
        </w:trPr>
        <w:tc>
          <w:tcPr>
            <w:tcW w:w="1469" w:type="dxa"/>
            <w:vAlign w:val="center"/>
          </w:tcPr>
          <w:p w:rsidR="002472A5" w:rsidRDefault="005C3FF7">
            <w:pPr>
              <w:jc w:val="left"/>
            </w:pPr>
            <w:r>
              <w:rPr>
                <w:color w:val="000000"/>
                <w:sz w:val="24"/>
              </w:rPr>
              <w:t>过去三个月</w:t>
            </w:r>
          </w:p>
        </w:tc>
        <w:tc>
          <w:tcPr>
            <w:tcW w:w="1150" w:type="dxa"/>
            <w:vAlign w:val="center"/>
          </w:tcPr>
          <w:p w:rsidR="002472A5" w:rsidRDefault="005C3FF7">
            <w:pPr>
              <w:jc w:val="center"/>
            </w:pPr>
            <w:r>
              <w:rPr>
                <w:color w:val="000000"/>
                <w:sz w:val="24"/>
              </w:rPr>
              <w:t>6.37%</w:t>
            </w:r>
          </w:p>
        </w:tc>
        <w:tc>
          <w:tcPr>
            <w:tcW w:w="1223" w:type="dxa"/>
            <w:vAlign w:val="center"/>
          </w:tcPr>
          <w:p w:rsidR="002472A5" w:rsidRDefault="005C3FF7">
            <w:pPr>
              <w:jc w:val="center"/>
            </w:pPr>
            <w:r>
              <w:rPr>
                <w:color w:val="000000"/>
                <w:sz w:val="24"/>
              </w:rPr>
              <w:t>0.71%</w:t>
            </w:r>
          </w:p>
        </w:tc>
        <w:tc>
          <w:tcPr>
            <w:tcW w:w="1244" w:type="dxa"/>
            <w:vAlign w:val="center"/>
          </w:tcPr>
          <w:p w:rsidR="002472A5" w:rsidRDefault="005C3FF7">
            <w:pPr>
              <w:jc w:val="center"/>
            </w:pPr>
            <w:r>
              <w:rPr>
                <w:color w:val="000000"/>
                <w:sz w:val="24"/>
              </w:rPr>
              <w:t>6.98%</w:t>
            </w:r>
          </w:p>
        </w:tc>
        <w:tc>
          <w:tcPr>
            <w:tcW w:w="1251" w:type="dxa"/>
            <w:vAlign w:val="center"/>
          </w:tcPr>
          <w:p w:rsidR="002472A5" w:rsidRDefault="005C3FF7">
            <w:pPr>
              <w:jc w:val="center"/>
            </w:pPr>
            <w:r>
              <w:rPr>
                <w:color w:val="000000"/>
                <w:sz w:val="24"/>
              </w:rPr>
              <w:t>0.72%</w:t>
            </w:r>
          </w:p>
        </w:tc>
        <w:tc>
          <w:tcPr>
            <w:tcW w:w="1263" w:type="dxa"/>
            <w:vAlign w:val="center"/>
          </w:tcPr>
          <w:p w:rsidR="002472A5" w:rsidRDefault="005C3FF7">
            <w:pPr>
              <w:jc w:val="center"/>
            </w:pPr>
            <w:r>
              <w:rPr>
                <w:color w:val="000000"/>
                <w:sz w:val="24"/>
              </w:rPr>
              <w:t>-0.61%</w:t>
            </w:r>
          </w:p>
        </w:tc>
        <w:tc>
          <w:tcPr>
            <w:tcW w:w="1268" w:type="dxa"/>
            <w:vAlign w:val="center"/>
          </w:tcPr>
          <w:p w:rsidR="002472A5" w:rsidRDefault="005C3FF7">
            <w:pPr>
              <w:jc w:val="center"/>
            </w:pPr>
            <w:r>
              <w:rPr>
                <w:color w:val="000000"/>
                <w:sz w:val="24"/>
              </w:rPr>
              <w:t>-0.01%</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spacing w:before="29" w:line="288" w:lineRule="auto"/>
        <w:rPr>
          <w:b/>
          <w:kern w:val="0"/>
          <w:sz w:val="24"/>
        </w:rPr>
      </w:pPr>
      <w:r w:rsidRPr="00324C76">
        <w:rPr>
          <w:b/>
          <w:kern w:val="0"/>
          <w:sz w:val="24"/>
        </w:rPr>
        <w:t>3.2.2</w:t>
      </w:r>
      <w:r w:rsidR="00BD0A0A" w:rsidRPr="00324C76">
        <w:rPr>
          <w:b/>
          <w:kern w:val="0"/>
          <w:sz w:val="24"/>
        </w:rPr>
        <w:t xml:space="preserve"> </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R="00402ED1" w:rsidRPr="00324C76" w:rsidRDefault="00402ED1" w:rsidP="00B04217">
      <w:pPr>
        <w:spacing w:before="29" w:line="288" w:lineRule="auto"/>
        <w:jc w:val="center"/>
        <w:rPr>
          <w:sz w:val="24"/>
        </w:rPr>
      </w:pPr>
      <w:r w:rsidRPr="00324C76">
        <w:rPr>
          <w:sz w:val="24"/>
        </w:rPr>
        <w:t>交银施罗德深证</w:t>
      </w:r>
      <w:r w:rsidRPr="00324C76">
        <w:rPr>
          <w:sz w:val="24"/>
        </w:rPr>
        <w:t>300</w:t>
      </w:r>
      <w:r w:rsidRPr="00324C76">
        <w:rPr>
          <w:sz w:val="24"/>
        </w:rPr>
        <w:t>价值交易型开放式指数证券投资基金联接基金</w:t>
      </w:r>
    </w:p>
    <w:p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B04217">
      <w:pPr>
        <w:spacing w:before="29" w:line="288" w:lineRule="auto"/>
        <w:jc w:val="center"/>
        <w:rPr>
          <w:sz w:val="24"/>
        </w:rPr>
      </w:pPr>
      <w:r w:rsidRPr="00324C76">
        <w:rPr>
          <w:color w:val="000000"/>
          <w:kern w:val="0"/>
          <w:sz w:val="24"/>
        </w:rPr>
        <w:t>（</w:t>
      </w:r>
      <w:r w:rsidR="003251EE" w:rsidRPr="00324C76">
        <w:rPr>
          <w:color w:val="000000"/>
          <w:kern w:val="0"/>
          <w:sz w:val="24"/>
        </w:rPr>
        <w:t>2011</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28</w:t>
      </w:r>
      <w:r w:rsidR="003251EE" w:rsidRPr="00324C76">
        <w:rPr>
          <w:color w:val="000000"/>
          <w:kern w:val="0"/>
          <w:sz w:val="24"/>
        </w:rPr>
        <w:t>日</w:t>
      </w:r>
      <w:r w:rsidRPr="00324C76">
        <w:rPr>
          <w:color w:val="000000"/>
          <w:kern w:val="0"/>
          <w:sz w:val="24"/>
        </w:rPr>
        <w:t>至</w:t>
      </w:r>
      <w:r w:rsidRPr="00324C76">
        <w:rPr>
          <w:color w:val="000000"/>
          <w:kern w:val="0"/>
          <w:sz w:val="24"/>
        </w:rPr>
        <w:t>2017</w:t>
      </w:r>
      <w:r w:rsidRPr="00324C76">
        <w:rPr>
          <w:color w:val="000000"/>
          <w:kern w:val="0"/>
          <w:sz w:val="24"/>
        </w:rPr>
        <w:t>年</w:t>
      </w:r>
      <w:r w:rsidRPr="00324C76">
        <w:rPr>
          <w:color w:val="000000"/>
          <w:kern w:val="0"/>
          <w:sz w:val="24"/>
        </w:rPr>
        <w:t>3</w:t>
      </w:r>
      <w:r w:rsidRPr="00324C76">
        <w:rPr>
          <w:color w:val="000000"/>
          <w:kern w:val="0"/>
          <w:sz w:val="24"/>
        </w:rPr>
        <w:t>月</w:t>
      </w:r>
      <w:r w:rsidRPr="00324C76">
        <w:rPr>
          <w:color w:val="000000"/>
          <w:kern w:val="0"/>
          <w:sz w:val="24"/>
        </w:rPr>
        <w:t>31</w:t>
      </w:r>
      <w:r w:rsidRPr="00324C76">
        <w:rPr>
          <w:color w:val="000000"/>
          <w:kern w:val="0"/>
          <w:sz w:val="24"/>
        </w:rPr>
        <w:t>日）</w:t>
      </w:r>
    </w:p>
    <w:p w:rsidR="00402ED1" w:rsidRPr="00324C76" w:rsidRDefault="0029290C" w:rsidP="00B04217">
      <w:pPr>
        <w:tabs>
          <w:tab w:val="left" w:pos="1800"/>
        </w:tabs>
        <w:spacing w:before="29" w:line="288" w:lineRule="auto"/>
        <w:jc w:val="center"/>
        <w:rPr>
          <w:color w:val="000000"/>
          <w:sz w:val="24"/>
        </w:rPr>
      </w:pPr>
      <w:r w:rsidRPr="00324C76">
        <w:rPr>
          <w:noProof/>
          <w:color w:val="000000"/>
          <w:sz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6</w:t>
      </w:r>
      <w:r w:rsidRPr="00324C76">
        <w:rPr>
          <w:color w:val="000000"/>
          <w:sz w:val="24"/>
        </w:rPr>
        <w:t>个月。截至建仓期结束，本基金各项资产配置比例符合基金合同及招募说明书有关投资比例的约定。</w:t>
      </w:r>
    </w:p>
    <w:p w:rsidR="00163AE8" w:rsidRPr="00324C76" w:rsidRDefault="00163AE8" w:rsidP="00B04217">
      <w:pPr>
        <w:tabs>
          <w:tab w:val="left" w:pos="1800"/>
        </w:tabs>
        <w:spacing w:before="29" w:line="288" w:lineRule="auto"/>
        <w:ind w:firstLineChars="200" w:firstLine="480"/>
        <w:rPr>
          <w:color w:val="000000"/>
          <w:sz w:val="24"/>
        </w:rPr>
      </w:pPr>
    </w:p>
    <w:p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B04217">
            <w:pPr>
              <w:widowControl/>
              <w:spacing w:before="29" w:line="288" w:lineRule="auto"/>
              <w:jc w:val="left"/>
              <w:rPr>
                <w:color w:val="000000"/>
                <w:kern w:val="0"/>
                <w:sz w:val="24"/>
              </w:rPr>
            </w:pPr>
          </w:p>
        </w:tc>
        <w:tc>
          <w:tcPr>
            <w:tcW w:w="850" w:type="dxa"/>
            <w:vMerge/>
            <w:vAlign w:val="center"/>
          </w:tcPr>
          <w:p w:rsidR="00E27AF2" w:rsidRPr="00324C76" w:rsidRDefault="00E27AF2" w:rsidP="00B04217">
            <w:pPr>
              <w:widowControl/>
              <w:spacing w:before="29" w:line="288" w:lineRule="auto"/>
              <w:jc w:val="left"/>
              <w:rPr>
                <w:color w:val="000000"/>
                <w:kern w:val="0"/>
                <w:sz w:val="24"/>
              </w:rPr>
            </w:pPr>
          </w:p>
        </w:tc>
        <w:tc>
          <w:tcPr>
            <w:tcW w:w="1560"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B04217">
            <w:pPr>
              <w:widowControl/>
              <w:spacing w:before="29" w:line="288" w:lineRule="auto"/>
              <w:jc w:val="left"/>
              <w:rPr>
                <w:color w:val="000000"/>
                <w:kern w:val="0"/>
                <w:sz w:val="24"/>
              </w:rPr>
            </w:pPr>
          </w:p>
        </w:tc>
        <w:tc>
          <w:tcPr>
            <w:tcW w:w="2694" w:type="dxa"/>
            <w:vMerge/>
            <w:vAlign w:val="center"/>
          </w:tcPr>
          <w:p w:rsidR="00E27AF2" w:rsidRPr="00324C76" w:rsidRDefault="00E27AF2" w:rsidP="00B04217">
            <w:pPr>
              <w:widowControl/>
              <w:spacing w:before="29" w:line="288" w:lineRule="auto"/>
              <w:jc w:val="left"/>
              <w:rPr>
                <w:color w:val="000000"/>
                <w:kern w:val="0"/>
                <w:sz w:val="24"/>
              </w:rPr>
            </w:pPr>
          </w:p>
        </w:tc>
      </w:tr>
      <w:tr w:rsidR="002472A5">
        <w:trPr>
          <w:jc w:val="center"/>
        </w:trPr>
        <w:tc>
          <w:tcPr>
            <w:tcW w:w="846" w:type="dxa"/>
            <w:vAlign w:val="center"/>
          </w:tcPr>
          <w:p w:rsidR="002472A5" w:rsidRDefault="005C3FF7">
            <w:pPr>
              <w:jc w:val="center"/>
            </w:pPr>
            <w:r>
              <w:rPr>
                <w:color w:val="000000"/>
                <w:sz w:val="24"/>
              </w:rPr>
              <w:t>蔡铮</w:t>
            </w:r>
          </w:p>
        </w:tc>
        <w:tc>
          <w:tcPr>
            <w:tcW w:w="845" w:type="dxa"/>
            <w:vAlign w:val="center"/>
          </w:tcPr>
          <w:p w:rsidR="002472A5" w:rsidRDefault="005C3FF7" w:rsidP="007715F1">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w:t>
            </w:r>
            <w:r>
              <w:rPr>
                <w:color w:val="000000"/>
                <w:sz w:val="24"/>
              </w:rPr>
              <w:lastRenderedPageBreak/>
              <w:t>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）的基金经理，公司量化投资部副总经理</w:t>
            </w:r>
          </w:p>
        </w:tc>
        <w:tc>
          <w:tcPr>
            <w:tcW w:w="1549" w:type="dxa"/>
            <w:vAlign w:val="center"/>
          </w:tcPr>
          <w:p w:rsidR="002472A5" w:rsidRDefault="005C3FF7">
            <w:pPr>
              <w:jc w:val="center"/>
            </w:pPr>
            <w:r>
              <w:rPr>
                <w:color w:val="000000"/>
                <w:sz w:val="24"/>
              </w:rPr>
              <w:lastRenderedPageBreak/>
              <w:t>2012-12-27</w:t>
            </w:r>
          </w:p>
        </w:tc>
        <w:tc>
          <w:tcPr>
            <w:tcW w:w="1548" w:type="dxa"/>
            <w:vAlign w:val="center"/>
          </w:tcPr>
          <w:p w:rsidR="002472A5" w:rsidRDefault="005C3FF7">
            <w:pPr>
              <w:jc w:val="center"/>
            </w:pPr>
            <w:r>
              <w:rPr>
                <w:color w:val="000000"/>
                <w:sz w:val="24"/>
              </w:rPr>
              <w:t>-</w:t>
            </w:r>
          </w:p>
        </w:tc>
        <w:tc>
          <w:tcPr>
            <w:tcW w:w="1407" w:type="dxa"/>
            <w:vAlign w:val="center"/>
          </w:tcPr>
          <w:p w:rsidR="002472A5" w:rsidRDefault="005C3FF7">
            <w:pPr>
              <w:jc w:val="center"/>
            </w:pPr>
            <w:r>
              <w:rPr>
                <w:color w:val="000000"/>
                <w:sz w:val="24"/>
              </w:rPr>
              <w:t>8</w:t>
            </w:r>
            <w:r>
              <w:rPr>
                <w:color w:val="000000"/>
                <w:sz w:val="24"/>
              </w:rPr>
              <w:t>年</w:t>
            </w:r>
          </w:p>
        </w:tc>
        <w:tc>
          <w:tcPr>
            <w:tcW w:w="2673" w:type="dxa"/>
            <w:vAlign w:val="center"/>
          </w:tcPr>
          <w:p w:rsidR="002472A5" w:rsidRDefault="002757CA">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w:t>
            </w:r>
            <w:r>
              <w:rPr>
                <w:color w:val="000000"/>
                <w:sz w:val="24"/>
              </w:rPr>
              <w:lastRenderedPageBreak/>
              <w:t>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lastRenderedPageBreak/>
        <w:t>注：基金经理（或基金经理小组）期后变动（如有）敬请关注基金管理人发布的相关公告。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4.2</w:t>
      </w:r>
      <w:r w:rsidR="0084595F" w:rsidRPr="00324C76">
        <w:rPr>
          <w:b/>
          <w:kern w:val="0"/>
          <w:sz w:val="24"/>
        </w:rPr>
        <w:t xml:space="preserve"> </w:t>
      </w:r>
      <w:r w:rsidR="00BA4BD3" w:rsidRPr="00324C76">
        <w:rPr>
          <w:b/>
          <w:kern w:val="0"/>
          <w:sz w:val="24"/>
        </w:rPr>
        <w:t>管理人对报告期内本基金运作遵规守信情况的说明</w:t>
      </w:r>
    </w:p>
    <w:p w:rsidR="00220542" w:rsidRPr="00324C76" w:rsidRDefault="00E27AF2" w:rsidP="00B04217">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w:t>
      </w:r>
      <w:r w:rsidRPr="00324C76">
        <w:rPr>
          <w:color w:val="000000"/>
          <w:sz w:val="24"/>
        </w:rPr>
        <w:lastRenderedPageBreak/>
        <w:t>产，基金投资管理符合有关法律法规和基金合同的规定，为基金持有人谋求最大利益。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B04217">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24C76">
          <w:rPr>
            <w:sz w:val="24"/>
          </w:rPr>
          <w:t>4.3.1</w:t>
        </w:r>
      </w:smartTag>
      <w:r w:rsidRPr="00324C76">
        <w:rPr>
          <w:sz w:val="24"/>
        </w:rPr>
        <w:t xml:space="preserve"> </w:t>
      </w:r>
      <w:r w:rsidRPr="00324C76">
        <w:rPr>
          <w:sz w:val="24"/>
        </w:rPr>
        <w:t>公平交易制度的执行情况</w:t>
      </w:r>
    </w:p>
    <w:p w:rsidR="002472A5" w:rsidRDefault="005C3FF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472A5" w:rsidRDefault="005C3FF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472A5" w:rsidRDefault="005C3FF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D278A"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8017E1" w:rsidRPr="00324C76" w:rsidRDefault="008017E1" w:rsidP="00B04217">
      <w:pPr>
        <w:spacing w:before="29" w:line="288" w:lineRule="auto"/>
        <w:ind w:firstLineChars="200" w:firstLine="480"/>
        <w:rPr>
          <w:rFonts w:hint="eastAsia"/>
          <w:color w:val="000000"/>
          <w:sz w:val="24"/>
        </w:rPr>
      </w:pPr>
      <w:bookmarkStart w:id="1" w:name="_GoBack"/>
      <w:bookmarkEnd w:id="1"/>
    </w:p>
    <w:p w:rsidR="005D278A" w:rsidRPr="00324C76" w:rsidRDefault="005D278A" w:rsidP="00B04217">
      <w:pPr>
        <w:spacing w:before="29" w:line="288" w:lineRule="auto"/>
        <w:rPr>
          <w:sz w:val="24"/>
        </w:rPr>
      </w:pPr>
      <w:r w:rsidRPr="00324C76">
        <w:rPr>
          <w:sz w:val="24"/>
        </w:rPr>
        <w:t>4.3.</w:t>
      </w:r>
      <w:r w:rsidR="00F31F40" w:rsidRPr="00324C76">
        <w:rPr>
          <w:sz w:val="24"/>
        </w:rPr>
        <w:t>2</w:t>
      </w:r>
      <w:r w:rsidRPr="00324C76">
        <w:rPr>
          <w:sz w:val="24"/>
        </w:rPr>
        <w:t xml:space="preserve"> </w:t>
      </w:r>
      <w:r w:rsidRPr="00324C76">
        <w:rPr>
          <w:sz w:val="24"/>
        </w:rPr>
        <w:t>异常交易行为的专项说明</w:t>
      </w:r>
    </w:p>
    <w:p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24C76">
        <w:rPr>
          <w:color w:val="000000"/>
          <w:sz w:val="24"/>
        </w:rPr>
        <w:t>5%</w:t>
      </w:r>
      <w:r w:rsidRPr="00324C76">
        <w:rPr>
          <w:color w:val="000000"/>
          <w:sz w:val="24"/>
        </w:rPr>
        <w:t>的情形，本基金与本公司管理的其他投资组合在不同时间窗下（如日内、</w:t>
      </w:r>
      <w:r w:rsidRPr="00324C76">
        <w:rPr>
          <w:color w:val="000000"/>
          <w:sz w:val="24"/>
        </w:rPr>
        <w:t>3</w:t>
      </w:r>
      <w:r w:rsidRPr="00324C76">
        <w:rPr>
          <w:color w:val="000000"/>
          <w:sz w:val="24"/>
        </w:rPr>
        <w:t>日内、</w:t>
      </w:r>
      <w:r w:rsidRPr="00324C76">
        <w:rPr>
          <w:color w:val="000000"/>
          <w:sz w:val="24"/>
        </w:rPr>
        <w:t>5</w:t>
      </w:r>
      <w:r w:rsidRPr="00324C76">
        <w:rPr>
          <w:color w:val="000000"/>
          <w:sz w:val="24"/>
        </w:rPr>
        <w:t>日内）同向交易的交易价差未出现异常。</w:t>
      </w:r>
    </w:p>
    <w:p w:rsidR="00220542" w:rsidRPr="00324C76" w:rsidRDefault="00220542" w:rsidP="00B04217">
      <w:pPr>
        <w:spacing w:before="29" w:line="288" w:lineRule="auto"/>
        <w:ind w:firstLineChars="200" w:firstLine="480"/>
        <w:rPr>
          <w:sz w:val="24"/>
        </w:rPr>
      </w:pPr>
    </w:p>
    <w:p w:rsidR="004D6E34" w:rsidRPr="00324C76" w:rsidRDefault="00360A1E" w:rsidP="00B04217">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rsidR="002472A5" w:rsidRDefault="005C3FF7">
      <w:pPr>
        <w:spacing w:before="29" w:line="288" w:lineRule="auto"/>
        <w:ind w:firstLineChars="200" w:firstLine="480"/>
        <w:rPr>
          <w:color w:val="000000"/>
          <w:sz w:val="24"/>
        </w:rPr>
      </w:pPr>
      <w:r>
        <w:rPr>
          <w:color w:val="000000"/>
          <w:sz w:val="24"/>
        </w:rPr>
        <w:t>2017</w:t>
      </w:r>
      <w:r>
        <w:rPr>
          <w:color w:val="000000"/>
          <w:sz w:val="24"/>
        </w:rPr>
        <w:t>年一季度，国内宏观经济延续弱势平稳的态势，货币政策中性偏紧，经济基本面对资本市场的支持力度总体较为有限。美联储加息，预计全球流动性将进入逐步紧缩的周期。</w:t>
      </w:r>
      <w:r>
        <w:rPr>
          <w:color w:val="000000"/>
          <w:sz w:val="24"/>
        </w:rPr>
        <w:t>A</w:t>
      </w:r>
      <w:r>
        <w:rPr>
          <w:color w:val="000000"/>
          <w:sz w:val="24"/>
        </w:rPr>
        <w:t>股市场呈现出震荡上扬格局，期间低估值蓝筹股表现较好，这与地产需求预期的修复不无关系。作为跟踪基准指数的指数基金，在本季度总体呈现出震荡上扬的走势。</w:t>
      </w:r>
    </w:p>
    <w:p w:rsidR="004D6E34" w:rsidRPr="00324C76" w:rsidRDefault="00E27AF2" w:rsidP="00B04217">
      <w:pPr>
        <w:spacing w:before="29" w:line="288" w:lineRule="auto"/>
        <w:ind w:firstLineChars="200" w:firstLine="480"/>
        <w:rPr>
          <w:color w:val="000000"/>
          <w:sz w:val="24"/>
        </w:rPr>
      </w:pPr>
      <w:r w:rsidRPr="00324C76">
        <w:rPr>
          <w:color w:val="000000"/>
          <w:sz w:val="24"/>
        </w:rPr>
        <w:t>展望下一季度，国内经济已有所企稳，处于阶段性弱复苏期间，预计将继续维持温和增长的态势。预计严控房价依然是常态，金融部门去杠杆将持续。我们对</w:t>
      </w:r>
      <w:r w:rsidRPr="00324C76">
        <w:rPr>
          <w:color w:val="000000"/>
          <w:sz w:val="24"/>
        </w:rPr>
        <w:t>A</w:t>
      </w:r>
      <w:r w:rsidRPr="00324C76">
        <w:rPr>
          <w:color w:val="000000"/>
          <w:sz w:val="24"/>
        </w:rPr>
        <w:t>股市场总体维持谨慎的态度。</w:t>
      </w:r>
      <w:r w:rsidRPr="00324C76">
        <w:rPr>
          <w:color w:val="000000"/>
          <w:sz w:val="24"/>
        </w:rPr>
        <w:t xml:space="preserve"> </w:t>
      </w:r>
    </w:p>
    <w:p w:rsidR="0092140D" w:rsidRPr="00324C76" w:rsidRDefault="0092140D" w:rsidP="00B04217">
      <w:pPr>
        <w:spacing w:before="29" w:line="288" w:lineRule="auto"/>
        <w:ind w:firstLineChars="200" w:firstLine="480"/>
        <w:rPr>
          <w:color w:val="000000"/>
          <w:sz w:val="24"/>
        </w:rPr>
      </w:pPr>
    </w:p>
    <w:p w:rsidR="004D6E34" w:rsidRPr="00324C76" w:rsidRDefault="00360A1E" w:rsidP="00B04217">
      <w:pPr>
        <w:spacing w:before="29" w:line="288" w:lineRule="auto"/>
        <w:rPr>
          <w:sz w:val="24"/>
        </w:rPr>
      </w:pPr>
      <w:r w:rsidRPr="00324C76">
        <w:rPr>
          <w:b/>
          <w:color w:val="000000"/>
          <w:kern w:val="0"/>
          <w:sz w:val="24"/>
        </w:rPr>
        <w:lastRenderedPageBreak/>
        <w:t>4.5</w:t>
      </w:r>
      <w:r w:rsidRPr="00324C76">
        <w:rPr>
          <w:b/>
          <w:color w:val="000000"/>
          <w:kern w:val="0"/>
          <w:sz w:val="24"/>
        </w:rPr>
        <w:t>报告期内基金的业绩表现</w:t>
      </w:r>
    </w:p>
    <w:p w:rsidR="004D6E34" w:rsidRPr="00324C76" w:rsidRDefault="00E27AF2" w:rsidP="00B04217">
      <w:pPr>
        <w:spacing w:before="29" w:line="288" w:lineRule="auto"/>
        <w:ind w:firstLineChars="200" w:firstLine="480"/>
        <w:rPr>
          <w:color w:val="000000"/>
          <w:sz w:val="24"/>
        </w:rPr>
      </w:pPr>
      <w:r w:rsidRPr="00324C76">
        <w:rPr>
          <w:color w:val="000000"/>
          <w:sz w:val="24"/>
        </w:rPr>
        <w:t>截至</w:t>
      </w:r>
      <w:r w:rsidRPr="00324C76">
        <w:rPr>
          <w:color w:val="000000"/>
          <w:sz w:val="24"/>
        </w:rPr>
        <w:t>2017</w:t>
      </w:r>
      <w:r w:rsidRPr="00324C76">
        <w:rPr>
          <w:color w:val="000000"/>
          <w:sz w:val="24"/>
        </w:rPr>
        <w:t>年</w:t>
      </w:r>
      <w:r w:rsidRPr="00324C76">
        <w:rPr>
          <w:color w:val="000000"/>
          <w:sz w:val="24"/>
        </w:rPr>
        <w:t>3</w:t>
      </w:r>
      <w:r w:rsidRPr="00324C76">
        <w:rPr>
          <w:color w:val="000000"/>
          <w:sz w:val="24"/>
        </w:rPr>
        <w:t>月</w:t>
      </w:r>
      <w:r w:rsidRPr="00324C76">
        <w:rPr>
          <w:color w:val="000000"/>
          <w:sz w:val="24"/>
        </w:rPr>
        <w:t>31</w:t>
      </w:r>
      <w:r w:rsidRPr="00324C76">
        <w:rPr>
          <w:color w:val="000000"/>
          <w:sz w:val="24"/>
        </w:rPr>
        <w:t>日，本基金份额净值为</w:t>
      </w:r>
      <w:r w:rsidRPr="00324C76">
        <w:rPr>
          <w:color w:val="000000"/>
          <w:sz w:val="24"/>
        </w:rPr>
        <w:t>1.452</w:t>
      </w:r>
      <w:r w:rsidRPr="00324C76">
        <w:rPr>
          <w:color w:val="000000"/>
          <w:sz w:val="24"/>
        </w:rPr>
        <w:t>元，本报告期份额净值增长率为</w:t>
      </w:r>
      <w:r w:rsidRPr="00324C76">
        <w:rPr>
          <w:color w:val="000000"/>
          <w:sz w:val="24"/>
        </w:rPr>
        <w:t>6.37%</w:t>
      </w:r>
      <w:r w:rsidRPr="00324C76">
        <w:rPr>
          <w:color w:val="000000"/>
          <w:sz w:val="24"/>
        </w:rPr>
        <w:t>，同期业绩比较基准增长率为</w:t>
      </w:r>
      <w:r w:rsidRPr="00324C76">
        <w:rPr>
          <w:color w:val="000000"/>
          <w:sz w:val="24"/>
        </w:rPr>
        <w:t>6.98%</w:t>
      </w:r>
      <w:r w:rsidRPr="00324C76">
        <w:rPr>
          <w:color w:val="000000"/>
          <w:sz w:val="24"/>
        </w:rPr>
        <w:t>。</w:t>
      </w:r>
    </w:p>
    <w:p w:rsidR="008A22A5" w:rsidRPr="00324C76" w:rsidRDefault="008A22A5" w:rsidP="00B04217">
      <w:pPr>
        <w:spacing w:before="29" w:line="288" w:lineRule="auto"/>
        <w:rPr>
          <w:kern w:val="0"/>
          <w:sz w:val="24"/>
        </w:rPr>
      </w:pPr>
    </w:p>
    <w:p w:rsidR="00700422" w:rsidRPr="002070B4" w:rsidRDefault="00700422" w:rsidP="0070042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00422" w:rsidRDefault="00700422" w:rsidP="00700422">
      <w:pPr>
        <w:spacing w:before="29" w:line="288" w:lineRule="auto"/>
        <w:ind w:firstLineChars="200" w:firstLine="480"/>
        <w:rPr>
          <w:color w:val="000000"/>
          <w:sz w:val="24"/>
        </w:rPr>
      </w:pPr>
      <w:r w:rsidRPr="002070B4">
        <w:rPr>
          <w:color w:val="000000"/>
          <w:sz w:val="24"/>
        </w:rPr>
        <w:t>截至本报告期末，本基金已经连续二十个工作日以上出现基金资产净值低于五千万元的情形。</w:t>
      </w:r>
    </w:p>
    <w:p w:rsidR="0092140D" w:rsidRPr="00324C76" w:rsidRDefault="0092140D" w:rsidP="00B04217">
      <w:pPr>
        <w:spacing w:before="29" w:line="288" w:lineRule="auto"/>
        <w:ind w:firstLineChars="200" w:firstLine="480"/>
        <w:rPr>
          <w:color w:val="000000"/>
          <w:sz w:val="24"/>
        </w:rPr>
      </w:pPr>
    </w:p>
    <w:p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EA6B24" w:rsidRPr="00324C76" w:rsidRDefault="00AC2FFC" w:rsidP="00B04217">
      <w:pPr>
        <w:autoSpaceDE w:val="0"/>
        <w:autoSpaceDN w:val="0"/>
        <w:adjustRightInd w:val="0"/>
        <w:spacing w:before="29" w:line="288" w:lineRule="auto"/>
        <w:jc w:val="left"/>
        <w:rPr>
          <w:b/>
          <w:kern w:val="0"/>
          <w:sz w:val="24"/>
        </w:rPr>
      </w:pPr>
      <w:r w:rsidRPr="00324C76">
        <w:rPr>
          <w:b/>
          <w:kern w:val="0"/>
          <w:sz w:val="24"/>
        </w:rPr>
        <w:t>5.1</w:t>
      </w:r>
      <w:r w:rsidR="00736C89" w:rsidRPr="00324C76">
        <w:rPr>
          <w:b/>
          <w:kern w:val="0"/>
          <w:sz w:val="24"/>
        </w:rPr>
        <w:t xml:space="preserve"> </w:t>
      </w:r>
      <w:r w:rsidR="00EA6B24" w:rsidRPr="00324C76">
        <w:rPr>
          <w:b/>
          <w:kern w:val="0"/>
          <w:sz w:val="24"/>
        </w:rPr>
        <w:t>报告期末基金资产组合情况</w:t>
      </w:r>
    </w:p>
    <w:tbl>
      <w:tblPr>
        <w:tblStyle w:val="af7"/>
        <w:tblW w:w="8868" w:type="dxa"/>
        <w:jc w:val="center"/>
        <w:tblLayout w:type="fixed"/>
        <w:tblCellMar>
          <w:top w:w="-1" w:type="dxa"/>
          <w:bottom w:w="-1" w:type="dxa"/>
        </w:tblCellMar>
        <w:tblLook w:val="04A0" w:firstRow="1" w:lastRow="0" w:firstColumn="1" w:lastColumn="0" w:noHBand="0" w:noVBand="1"/>
      </w:tblPr>
      <w:tblGrid>
        <w:gridCol w:w="749"/>
        <w:gridCol w:w="3491"/>
        <w:gridCol w:w="2801"/>
        <w:gridCol w:w="1827"/>
      </w:tblGrid>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序号</w:t>
            </w:r>
          </w:p>
        </w:tc>
        <w:tc>
          <w:tcPr>
            <w:tcW w:w="33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项目</w:t>
            </w:r>
          </w:p>
        </w:tc>
        <w:tc>
          <w:tcPr>
            <w:tcW w:w="2694"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金额</w:t>
            </w:r>
            <w:r w:rsidR="006A1874" w:rsidRPr="00324C76">
              <w:rPr>
                <w:color w:val="000000"/>
                <w:sz w:val="24"/>
              </w:rPr>
              <w:t>（元）</w:t>
            </w:r>
          </w:p>
        </w:tc>
        <w:tc>
          <w:tcPr>
            <w:tcW w:w="17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占基金总资产的比例</w:t>
            </w:r>
            <w:r w:rsidR="006A1874"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1</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权益投资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184,114.00</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0.39</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其中：股票</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184,114.00</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0.39</w:t>
            </w:r>
          </w:p>
        </w:tc>
      </w:tr>
      <w:tr w:rsidR="00314308" w:rsidRPr="00324C76" w:rsidTr="008C550C">
        <w:trPr>
          <w:jc w:val="center"/>
        </w:trPr>
        <w:tc>
          <w:tcPr>
            <w:tcW w:w="720" w:type="dxa"/>
            <w:vAlign w:val="center"/>
          </w:tcPr>
          <w:p w:rsidR="00314308" w:rsidRPr="00324C76" w:rsidRDefault="00314308" w:rsidP="00B04217">
            <w:pPr>
              <w:spacing w:before="29" w:line="288" w:lineRule="auto"/>
              <w:ind w:left="17"/>
              <w:jc w:val="center"/>
              <w:rPr>
                <w:color w:val="000000"/>
                <w:sz w:val="24"/>
              </w:rPr>
            </w:pPr>
            <w:r w:rsidRPr="00324C76">
              <w:rPr>
                <w:color w:val="000000"/>
                <w:sz w:val="24"/>
              </w:rPr>
              <w:t>2</w:t>
            </w:r>
          </w:p>
        </w:tc>
        <w:tc>
          <w:tcPr>
            <w:tcW w:w="3357" w:type="dxa"/>
            <w:vAlign w:val="center"/>
          </w:tcPr>
          <w:p w:rsidR="00314308" w:rsidRPr="00324C76" w:rsidRDefault="00314308" w:rsidP="00B04217">
            <w:pPr>
              <w:spacing w:before="29" w:line="288" w:lineRule="auto"/>
              <w:ind w:left="17"/>
              <w:jc w:val="left"/>
              <w:rPr>
                <w:color w:val="000000"/>
                <w:sz w:val="24"/>
              </w:rPr>
            </w:pPr>
            <w:r w:rsidRPr="00324C76">
              <w:rPr>
                <w:color w:val="000000"/>
                <w:sz w:val="24"/>
              </w:rPr>
              <w:t>基金投资</w:t>
            </w:r>
          </w:p>
        </w:tc>
        <w:tc>
          <w:tcPr>
            <w:tcW w:w="2694"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43,952,615.00</w:t>
            </w:r>
          </w:p>
        </w:tc>
        <w:tc>
          <w:tcPr>
            <w:tcW w:w="1757"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93.75</w:t>
            </w:r>
          </w:p>
        </w:tc>
      </w:tr>
      <w:tr w:rsidR="00E27AF2" w:rsidRPr="00324C76" w:rsidTr="008C550C">
        <w:trPr>
          <w:jc w:val="center"/>
        </w:trPr>
        <w:tc>
          <w:tcPr>
            <w:tcW w:w="720" w:type="dxa"/>
            <w:vAlign w:val="center"/>
          </w:tcPr>
          <w:p w:rsidR="00E27AF2" w:rsidRPr="00324C76" w:rsidRDefault="00A9064E" w:rsidP="00B04217">
            <w:pPr>
              <w:spacing w:before="29" w:line="288" w:lineRule="auto"/>
              <w:ind w:left="17"/>
              <w:jc w:val="center"/>
              <w:rPr>
                <w:color w:val="000000"/>
                <w:sz w:val="24"/>
              </w:rPr>
            </w:pPr>
            <w:r w:rsidRPr="00324C76">
              <w:rPr>
                <w:color w:val="000000"/>
                <w:sz w:val="24"/>
              </w:rPr>
              <w:t>3</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固定收益投资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其中：债券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autoSpaceDE w:val="0"/>
              <w:autoSpaceDN w:val="0"/>
              <w:adjustRightInd w:val="0"/>
              <w:spacing w:before="29" w:line="288" w:lineRule="auto"/>
              <w:ind w:left="17" w:firstLineChars="300" w:firstLine="720"/>
              <w:jc w:val="left"/>
              <w:rPr>
                <w:color w:val="000000"/>
                <w:sz w:val="24"/>
              </w:rPr>
            </w:pPr>
            <w:r w:rsidRPr="00324C76">
              <w:rPr>
                <w:color w:val="000000"/>
                <w:sz w:val="24"/>
              </w:rPr>
              <w:t>资产支持证券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6B7F36" w:rsidRPr="00324C76" w:rsidTr="008C550C">
        <w:trPr>
          <w:jc w:val="center"/>
        </w:trPr>
        <w:tc>
          <w:tcPr>
            <w:tcW w:w="720" w:type="dxa"/>
            <w:vAlign w:val="center"/>
          </w:tcPr>
          <w:p w:rsidR="006B7F36" w:rsidRPr="00324C76" w:rsidRDefault="006B7F36" w:rsidP="00B04217">
            <w:pPr>
              <w:spacing w:before="29" w:line="288" w:lineRule="auto"/>
              <w:ind w:left="17"/>
              <w:jc w:val="center"/>
              <w:rPr>
                <w:color w:val="000000"/>
                <w:sz w:val="24"/>
              </w:rPr>
            </w:pPr>
            <w:r w:rsidRPr="00324C76">
              <w:rPr>
                <w:color w:val="000000"/>
                <w:sz w:val="24"/>
              </w:rPr>
              <w:t>4</w:t>
            </w:r>
          </w:p>
        </w:tc>
        <w:tc>
          <w:tcPr>
            <w:tcW w:w="3357" w:type="dxa"/>
            <w:vAlign w:val="center"/>
          </w:tcPr>
          <w:p w:rsidR="006B7F36" w:rsidRPr="00324C76" w:rsidRDefault="006B7F36" w:rsidP="00B04217">
            <w:pPr>
              <w:spacing w:before="29" w:line="288" w:lineRule="auto"/>
              <w:ind w:left="17"/>
              <w:jc w:val="left"/>
              <w:rPr>
                <w:color w:val="000000"/>
                <w:sz w:val="24"/>
              </w:rPr>
            </w:pPr>
            <w:r w:rsidRPr="00324C76">
              <w:rPr>
                <w:rFonts w:hAnsi="宋体"/>
                <w:color w:val="000000"/>
                <w:sz w:val="24"/>
              </w:rPr>
              <w:t>贵金属投资</w:t>
            </w:r>
          </w:p>
        </w:tc>
        <w:tc>
          <w:tcPr>
            <w:tcW w:w="2694"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c>
          <w:tcPr>
            <w:tcW w:w="1757"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5</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金融衍生品投资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6</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其中：买断式回购的买入返售金融资产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7</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银行存款和结算备付金合计</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2,672,017.29</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5.70</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8</w:t>
            </w:r>
          </w:p>
        </w:tc>
        <w:tc>
          <w:tcPr>
            <w:tcW w:w="3357" w:type="dxa"/>
            <w:vAlign w:val="center"/>
          </w:tcPr>
          <w:p w:rsidR="00E27AF2" w:rsidRPr="00324C76" w:rsidRDefault="00F21C76" w:rsidP="00B04217">
            <w:pPr>
              <w:spacing w:before="29" w:line="288" w:lineRule="auto"/>
              <w:jc w:val="left"/>
              <w:rPr>
                <w:sz w:val="24"/>
              </w:rPr>
            </w:pPr>
            <w:r w:rsidRPr="00324C76">
              <w:rPr>
                <w:color w:val="000000"/>
                <w:sz w:val="24"/>
              </w:rPr>
              <w:t>其他</w:t>
            </w:r>
            <w:r w:rsidR="00E27AF2" w:rsidRPr="00324C76">
              <w:rPr>
                <w:color w:val="000000"/>
                <w:sz w:val="24"/>
              </w:rPr>
              <w:t>资产</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75,170.50</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0.16</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9</w:t>
            </w:r>
          </w:p>
        </w:tc>
        <w:tc>
          <w:tcPr>
            <w:tcW w:w="3357" w:type="dxa"/>
            <w:vAlign w:val="center"/>
          </w:tcPr>
          <w:p w:rsidR="00E27AF2" w:rsidRPr="00324C76" w:rsidRDefault="00E27AF2" w:rsidP="00B04217">
            <w:pPr>
              <w:spacing w:before="29" w:line="288" w:lineRule="auto"/>
              <w:jc w:val="left"/>
              <w:rPr>
                <w:sz w:val="24"/>
              </w:rPr>
            </w:pPr>
            <w:r w:rsidRPr="00324C76">
              <w:rPr>
                <w:color w:val="000000"/>
                <w:sz w:val="24"/>
              </w:rPr>
              <w:t>合计</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46,883,916.79</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100.00</w:t>
            </w:r>
          </w:p>
        </w:tc>
      </w:tr>
    </w:tbl>
    <w:p w:rsidR="00D83335" w:rsidRPr="00324C76" w:rsidRDefault="00D83335" w:rsidP="00B04217">
      <w:pPr>
        <w:autoSpaceDE w:val="0"/>
        <w:autoSpaceDN w:val="0"/>
        <w:adjustRightInd w:val="0"/>
        <w:spacing w:before="29" w:line="288" w:lineRule="auto"/>
        <w:jc w:val="left"/>
        <w:rPr>
          <w:sz w:val="24"/>
        </w:rPr>
      </w:pPr>
    </w:p>
    <w:p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t>5.2</w:t>
      </w:r>
      <w:r w:rsidR="00991257" w:rsidRPr="00324C76">
        <w:rPr>
          <w:b/>
          <w:kern w:val="0"/>
          <w:sz w:val="24"/>
        </w:rPr>
        <w:t xml:space="preserve"> </w:t>
      </w:r>
      <w:r w:rsidRPr="00324C76">
        <w:rPr>
          <w:b/>
          <w:kern w:val="0"/>
          <w:sz w:val="24"/>
        </w:rPr>
        <w:t>期末投资目标基金明细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AD036A" w:rsidRPr="00324C76" w:rsidTr="00E42623">
        <w:trPr>
          <w:jc w:val="center"/>
        </w:trPr>
        <w:tc>
          <w:tcPr>
            <w:tcW w:w="1215"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2472A5">
        <w:trPr>
          <w:jc w:val="center"/>
        </w:trPr>
        <w:tc>
          <w:tcPr>
            <w:tcW w:w="1265" w:type="dxa"/>
            <w:vAlign w:val="center"/>
          </w:tcPr>
          <w:p w:rsidR="002472A5" w:rsidRDefault="005C3FF7">
            <w:pPr>
              <w:jc w:val="center"/>
            </w:pPr>
            <w:r>
              <w:rPr>
                <w:sz w:val="24"/>
              </w:rPr>
              <w:t>1</w:t>
            </w:r>
          </w:p>
        </w:tc>
        <w:tc>
          <w:tcPr>
            <w:tcW w:w="1266" w:type="dxa"/>
            <w:vAlign w:val="center"/>
          </w:tcPr>
          <w:p w:rsidR="002472A5" w:rsidRDefault="005C3FF7">
            <w:pPr>
              <w:jc w:val="center"/>
            </w:pPr>
            <w:r>
              <w:rPr>
                <w:sz w:val="24"/>
              </w:rPr>
              <w:t>深证</w:t>
            </w:r>
            <w:r>
              <w:rPr>
                <w:sz w:val="24"/>
              </w:rPr>
              <w:t>300</w:t>
            </w:r>
            <w:r>
              <w:rPr>
                <w:sz w:val="24"/>
              </w:rPr>
              <w:t>价值交易</w:t>
            </w:r>
            <w:r>
              <w:rPr>
                <w:sz w:val="24"/>
              </w:rPr>
              <w:lastRenderedPageBreak/>
              <w:t>型开放式指数证券投资基金</w:t>
            </w:r>
          </w:p>
        </w:tc>
        <w:tc>
          <w:tcPr>
            <w:tcW w:w="1267" w:type="dxa"/>
            <w:vAlign w:val="center"/>
          </w:tcPr>
          <w:p w:rsidR="002472A5" w:rsidRDefault="005C3FF7">
            <w:pPr>
              <w:jc w:val="center"/>
            </w:pPr>
            <w:r>
              <w:rPr>
                <w:sz w:val="24"/>
              </w:rPr>
              <w:lastRenderedPageBreak/>
              <w:t>股票型</w:t>
            </w:r>
          </w:p>
        </w:tc>
        <w:tc>
          <w:tcPr>
            <w:tcW w:w="1267" w:type="dxa"/>
            <w:vAlign w:val="center"/>
          </w:tcPr>
          <w:p w:rsidR="002472A5" w:rsidRDefault="005C3FF7">
            <w:pPr>
              <w:jc w:val="center"/>
            </w:pPr>
            <w:r>
              <w:rPr>
                <w:sz w:val="24"/>
              </w:rPr>
              <w:t>交易型开放式</w:t>
            </w:r>
          </w:p>
        </w:tc>
        <w:tc>
          <w:tcPr>
            <w:tcW w:w="1267" w:type="dxa"/>
            <w:vAlign w:val="center"/>
          </w:tcPr>
          <w:p w:rsidR="002472A5" w:rsidRDefault="005C3FF7">
            <w:pPr>
              <w:jc w:val="center"/>
            </w:pPr>
            <w:r>
              <w:rPr>
                <w:sz w:val="24"/>
              </w:rPr>
              <w:t>交银施罗德基金管</w:t>
            </w:r>
            <w:r>
              <w:rPr>
                <w:sz w:val="24"/>
              </w:rPr>
              <w:lastRenderedPageBreak/>
              <w:t>理有限公司</w:t>
            </w:r>
          </w:p>
        </w:tc>
        <w:tc>
          <w:tcPr>
            <w:tcW w:w="1268" w:type="dxa"/>
            <w:vAlign w:val="center"/>
          </w:tcPr>
          <w:p w:rsidR="002472A5" w:rsidRDefault="005C3FF7">
            <w:pPr>
              <w:jc w:val="right"/>
            </w:pPr>
            <w:r>
              <w:rPr>
                <w:sz w:val="24"/>
              </w:rPr>
              <w:lastRenderedPageBreak/>
              <w:t>43,952,615.00</w:t>
            </w:r>
          </w:p>
        </w:tc>
        <w:tc>
          <w:tcPr>
            <w:tcW w:w="1268" w:type="dxa"/>
            <w:vAlign w:val="center"/>
          </w:tcPr>
          <w:p w:rsidR="002472A5" w:rsidRDefault="005C3FF7">
            <w:pPr>
              <w:jc w:val="right"/>
            </w:pPr>
            <w:r>
              <w:rPr>
                <w:sz w:val="24"/>
              </w:rPr>
              <w:t>93.96</w:t>
            </w:r>
          </w:p>
        </w:tc>
      </w:tr>
    </w:tbl>
    <w:p w:rsidR="00C640D9" w:rsidRPr="00324C76" w:rsidRDefault="00C640D9" w:rsidP="00B04217">
      <w:pPr>
        <w:autoSpaceDE w:val="0"/>
        <w:autoSpaceDN w:val="0"/>
        <w:adjustRightInd w:val="0"/>
        <w:spacing w:before="29" w:line="288" w:lineRule="auto"/>
        <w:jc w:val="left"/>
        <w:rPr>
          <w:kern w:val="0"/>
          <w:sz w:val="24"/>
        </w:rPr>
      </w:pPr>
    </w:p>
    <w:p w:rsidR="00220542"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00991257" w:rsidRPr="00324C76">
        <w:rPr>
          <w:b/>
          <w:kern w:val="0"/>
          <w:sz w:val="24"/>
        </w:rPr>
        <w:t xml:space="preserve"> </w:t>
      </w:r>
      <w:r w:rsidRPr="00324C76">
        <w:rPr>
          <w:b/>
          <w:kern w:val="0"/>
          <w:sz w:val="24"/>
        </w:rPr>
        <w:t>报告期末按行业分类的股票投资组合</w:t>
      </w:r>
    </w:p>
    <w:p w:rsidR="000D27BF" w:rsidRPr="000D27BF" w:rsidRDefault="000D27BF" w:rsidP="000D27BF">
      <w:pPr>
        <w:rPr>
          <w:b/>
          <w:sz w:val="24"/>
        </w:rPr>
      </w:pPr>
      <w:r>
        <w:rPr>
          <w:rFonts w:eastAsiaTheme="minorEastAsia" w:hint="eastAsia"/>
          <w:b/>
          <w:color w:val="000000" w:themeColor="text1"/>
          <w:kern w:val="0"/>
          <w:sz w:val="24"/>
        </w:rPr>
        <w:t>5.3</w:t>
      </w:r>
      <w:r w:rsidRPr="004A3846">
        <w:rPr>
          <w:rFonts w:eastAsiaTheme="minorEastAsia" w:hint="eastAsia"/>
          <w:b/>
          <w:color w:val="000000" w:themeColor="text1"/>
          <w:kern w:val="0"/>
          <w:sz w:val="24"/>
        </w:rPr>
        <w:t>.1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13,144.00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0.03</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74B0F">
            <w:pPr>
              <w:spacing w:before="29" w:line="288" w:lineRule="auto"/>
              <w:jc w:val="right"/>
              <w:rPr>
                <w:sz w:val="24"/>
              </w:rPr>
            </w:pPr>
            <w:r w:rsidRPr="00324C76">
              <w:rPr>
                <w:sz w:val="24"/>
              </w:rPr>
              <w:t>2,512.00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74B0F">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108,542.00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0.23</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5,006.00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1,108.00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02794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027942">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30,871.00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0.07</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18,230.00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0.04</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1,426.00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2,190.00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1,085.00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184,114.00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0.39</w:t>
            </w:r>
          </w:p>
        </w:tc>
      </w:tr>
    </w:tbl>
    <w:p w:rsidR="000D27BF" w:rsidRPr="008A409E" w:rsidRDefault="000D27BF" w:rsidP="000D27BF">
      <w:pPr>
        <w:jc w:val="left"/>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5.3</w:t>
      </w:r>
      <w:r w:rsidRPr="008A409E">
        <w:rPr>
          <w:rFonts w:asciiTheme="minorEastAsia" w:eastAsiaTheme="minorEastAsia" w:hAnsiTheme="minorEastAsia" w:hint="eastAsia"/>
          <w:b/>
          <w:bCs/>
          <w:color w:val="000000" w:themeColor="text1"/>
          <w:kern w:val="0"/>
          <w:sz w:val="24"/>
        </w:rPr>
        <w:t>.2报告期末按行业分类的沪港通投资股票投资组合</w:t>
      </w:r>
    </w:p>
    <w:p w:rsidR="000D27BF" w:rsidRDefault="000D27BF" w:rsidP="000D27BF">
      <w:pPr>
        <w:spacing w:before="29" w:line="360" w:lineRule="auto"/>
        <w:ind w:left="17"/>
        <w:rPr>
          <w:color w:val="000000"/>
          <w:sz w:val="24"/>
        </w:rPr>
      </w:pPr>
      <w:r w:rsidRPr="00FF0BBF">
        <w:rPr>
          <w:color w:val="000000"/>
          <w:sz w:val="24"/>
        </w:rPr>
        <w:t>本基金本报告期末未持有通过沪港通投资的股票。</w:t>
      </w:r>
    </w:p>
    <w:p w:rsidR="00220542" w:rsidRPr="000D27BF"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lastRenderedPageBreak/>
        <w:t>5.</w:t>
      </w:r>
      <w:r w:rsidR="009A7A14" w:rsidRPr="00324C76">
        <w:rPr>
          <w:b/>
          <w:kern w:val="0"/>
          <w:sz w:val="24"/>
        </w:rPr>
        <w:t>4</w:t>
      </w:r>
      <w:r w:rsidR="00991257" w:rsidRPr="00324C76">
        <w:rPr>
          <w:b/>
          <w:kern w:val="0"/>
          <w:sz w:val="24"/>
        </w:rPr>
        <w:t xml:space="preserve"> </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rsidR="002472A5">
        <w:trPr>
          <w:jc w:val="center"/>
        </w:trPr>
        <w:tc>
          <w:tcPr>
            <w:tcW w:w="849" w:type="dxa"/>
            <w:vAlign w:val="center"/>
          </w:tcPr>
          <w:p w:rsidR="002472A5" w:rsidRDefault="005C3FF7">
            <w:pPr>
              <w:jc w:val="center"/>
            </w:pPr>
            <w:r>
              <w:rPr>
                <w:color w:val="000000"/>
                <w:sz w:val="24"/>
              </w:rPr>
              <w:t>1</w:t>
            </w:r>
          </w:p>
        </w:tc>
        <w:tc>
          <w:tcPr>
            <w:tcW w:w="1327" w:type="dxa"/>
            <w:vAlign w:val="center"/>
          </w:tcPr>
          <w:p w:rsidR="002472A5" w:rsidRDefault="005C3FF7">
            <w:pPr>
              <w:jc w:val="center"/>
            </w:pPr>
            <w:r>
              <w:rPr>
                <w:color w:val="000000"/>
                <w:sz w:val="24"/>
              </w:rPr>
              <w:t>000651</w:t>
            </w:r>
          </w:p>
        </w:tc>
        <w:tc>
          <w:tcPr>
            <w:tcW w:w="1621" w:type="dxa"/>
            <w:vAlign w:val="center"/>
          </w:tcPr>
          <w:p w:rsidR="002472A5" w:rsidRDefault="005C3FF7">
            <w:pPr>
              <w:jc w:val="center"/>
            </w:pPr>
            <w:r>
              <w:rPr>
                <w:color w:val="000000"/>
                <w:sz w:val="24"/>
              </w:rPr>
              <w:t>格力电器</w:t>
            </w:r>
          </w:p>
        </w:tc>
        <w:tc>
          <w:tcPr>
            <w:tcW w:w="1769" w:type="dxa"/>
            <w:vAlign w:val="center"/>
          </w:tcPr>
          <w:p w:rsidR="002472A5" w:rsidRDefault="005C3FF7">
            <w:pPr>
              <w:jc w:val="right"/>
            </w:pPr>
            <w:r>
              <w:rPr>
                <w:color w:val="000000"/>
                <w:sz w:val="24"/>
              </w:rPr>
              <w:t>600</w:t>
            </w:r>
          </w:p>
        </w:tc>
        <w:tc>
          <w:tcPr>
            <w:tcW w:w="2211" w:type="dxa"/>
            <w:vAlign w:val="center"/>
          </w:tcPr>
          <w:p w:rsidR="002472A5" w:rsidRDefault="005C3FF7">
            <w:pPr>
              <w:jc w:val="right"/>
            </w:pPr>
            <w:r>
              <w:rPr>
                <w:color w:val="000000"/>
                <w:sz w:val="24"/>
              </w:rPr>
              <w:t>19,020.00</w:t>
            </w:r>
          </w:p>
        </w:tc>
        <w:tc>
          <w:tcPr>
            <w:tcW w:w="1091" w:type="dxa"/>
            <w:vAlign w:val="center"/>
          </w:tcPr>
          <w:p w:rsidR="002472A5" w:rsidRDefault="005C3FF7">
            <w:pPr>
              <w:jc w:val="right"/>
            </w:pPr>
            <w:r>
              <w:rPr>
                <w:color w:val="000000"/>
                <w:sz w:val="24"/>
              </w:rPr>
              <w:t>0.04</w:t>
            </w:r>
          </w:p>
        </w:tc>
      </w:tr>
      <w:tr w:rsidR="002472A5">
        <w:trPr>
          <w:jc w:val="center"/>
        </w:trPr>
        <w:tc>
          <w:tcPr>
            <w:tcW w:w="849" w:type="dxa"/>
            <w:vAlign w:val="center"/>
          </w:tcPr>
          <w:p w:rsidR="002472A5" w:rsidRDefault="005C3FF7">
            <w:pPr>
              <w:jc w:val="center"/>
            </w:pPr>
            <w:r>
              <w:rPr>
                <w:color w:val="000000"/>
                <w:sz w:val="24"/>
              </w:rPr>
              <w:t>2</w:t>
            </w:r>
          </w:p>
        </w:tc>
        <w:tc>
          <w:tcPr>
            <w:tcW w:w="1327" w:type="dxa"/>
            <w:vAlign w:val="center"/>
          </w:tcPr>
          <w:p w:rsidR="002472A5" w:rsidRDefault="005C3FF7">
            <w:pPr>
              <w:jc w:val="center"/>
            </w:pPr>
            <w:r>
              <w:rPr>
                <w:color w:val="000000"/>
                <w:sz w:val="24"/>
              </w:rPr>
              <w:t>000333</w:t>
            </w:r>
          </w:p>
        </w:tc>
        <w:tc>
          <w:tcPr>
            <w:tcW w:w="1621" w:type="dxa"/>
            <w:vAlign w:val="center"/>
          </w:tcPr>
          <w:p w:rsidR="002472A5" w:rsidRDefault="005C3FF7">
            <w:pPr>
              <w:jc w:val="center"/>
            </w:pPr>
            <w:r>
              <w:rPr>
                <w:color w:val="000000"/>
                <w:sz w:val="24"/>
              </w:rPr>
              <w:t>美的集团</w:t>
            </w:r>
          </w:p>
        </w:tc>
        <w:tc>
          <w:tcPr>
            <w:tcW w:w="1769" w:type="dxa"/>
            <w:vAlign w:val="center"/>
          </w:tcPr>
          <w:p w:rsidR="002472A5" w:rsidRDefault="005C3FF7">
            <w:pPr>
              <w:jc w:val="right"/>
            </w:pPr>
            <w:r>
              <w:rPr>
                <w:color w:val="000000"/>
                <w:sz w:val="24"/>
              </w:rPr>
              <w:t>500</w:t>
            </w:r>
          </w:p>
        </w:tc>
        <w:tc>
          <w:tcPr>
            <w:tcW w:w="2211" w:type="dxa"/>
            <w:vAlign w:val="center"/>
          </w:tcPr>
          <w:p w:rsidR="002472A5" w:rsidRDefault="005C3FF7">
            <w:pPr>
              <w:jc w:val="right"/>
            </w:pPr>
            <w:r>
              <w:rPr>
                <w:color w:val="000000"/>
                <w:sz w:val="24"/>
              </w:rPr>
              <w:t>16,650.00</w:t>
            </w:r>
          </w:p>
        </w:tc>
        <w:tc>
          <w:tcPr>
            <w:tcW w:w="1091" w:type="dxa"/>
            <w:vAlign w:val="center"/>
          </w:tcPr>
          <w:p w:rsidR="002472A5" w:rsidRDefault="005C3FF7">
            <w:pPr>
              <w:jc w:val="right"/>
            </w:pPr>
            <w:r>
              <w:rPr>
                <w:color w:val="000000"/>
                <w:sz w:val="24"/>
              </w:rPr>
              <w:t>0.04</w:t>
            </w:r>
          </w:p>
        </w:tc>
      </w:tr>
      <w:tr w:rsidR="002472A5">
        <w:trPr>
          <w:jc w:val="center"/>
        </w:trPr>
        <w:tc>
          <w:tcPr>
            <w:tcW w:w="849" w:type="dxa"/>
            <w:vAlign w:val="center"/>
          </w:tcPr>
          <w:p w:rsidR="002472A5" w:rsidRDefault="005C3FF7">
            <w:pPr>
              <w:jc w:val="center"/>
            </w:pPr>
            <w:r>
              <w:rPr>
                <w:color w:val="000000"/>
                <w:sz w:val="24"/>
              </w:rPr>
              <w:t>3</w:t>
            </w:r>
          </w:p>
        </w:tc>
        <w:tc>
          <w:tcPr>
            <w:tcW w:w="1327" w:type="dxa"/>
            <w:vAlign w:val="center"/>
          </w:tcPr>
          <w:p w:rsidR="002472A5" w:rsidRDefault="005C3FF7">
            <w:pPr>
              <w:jc w:val="center"/>
            </w:pPr>
            <w:r>
              <w:rPr>
                <w:color w:val="000000"/>
                <w:sz w:val="24"/>
              </w:rPr>
              <w:t>300498</w:t>
            </w:r>
          </w:p>
        </w:tc>
        <w:tc>
          <w:tcPr>
            <w:tcW w:w="1621" w:type="dxa"/>
            <w:vAlign w:val="center"/>
          </w:tcPr>
          <w:p w:rsidR="002472A5" w:rsidRDefault="005C3FF7">
            <w:pPr>
              <w:jc w:val="center"/>
            </w:pPr>
            <w:r>
              <w:rPr>
                <w:color w:val="000000"/>
                <w:sz w:val="24"/>
              </w:rPr>
              <w:t>温氏股份</w:t>
            </w:r>
          </w:p>
        </w:tc>
        <w:tc>
          <w:tcPr>
            <w:tcW w:w="1769" w:type="dxa"/>
            <w:vAlign w:val="center"/>
          </w:tcPr>
          <w:p w:rsidR="002472A5" w:rsidRDefault="005C3FF7">
            <w:pPr>
              <w:jc w:val="right"/>
            </w:pPr>
            <w:r>
              <w:rPr>
                <w:color w:val="000000"/>
                <w:sz w:val="24"/>
              </w:rPr>
              <w:t>400</w:t>
            </w:r>
          </w:p>
        </w:tc>
        <w:tc>
          <w:tcPr>
            <w:tcW w:w="2211" w:type="dxa"/>
            <w:vAlign w:val="center"/>
          </w:tcPr>
          <w:p w:rsidR="002472A5" w:rsidRDefault="005C3FF7">
            <w:pPr>
              <w:jc w:val="right"/>
            </w:pPr>
            <w:r>
              <w:rPr>
                <w:color w:val="000000"/>
                <w:sz w:val="24"/>
              </w:rPr>
              <w:t>13,144.00</w:t>
            </w:r>
          </w:p>
        </w:tc>
        <w:tc>
          <w:tcPr>
            <w:tcW w:w="1091" w:type="dxa"/>
            <w:vAlign w:val="center"/>
          </w:tcPr>
          <w:p w:rsidR="002472A5" w:rsidRDefault="005C3FF7">
            <w:pPr>
              <w:jc w:val="right"/>
            </w:pPr>
            <w:r>
              <w:rPr>
                <w:color w:val="000000"/>
                <w:sz w:val="24"/>
              </w:rPr>
              <w:t>0.03</w:t>
            </w:r>
          </w:p>
        </w:tc>
      </w:tr>
      <w:tr w:rsidR="002472A5">
        <w:trPr>
          <w:jc w:val="center"/>
        </w:trPr>
        <w:tc>
          <w:tcPr>
            <w:tcW w:w="849" w:type="dxa"/>
            <w:vAlign w:val="center"/>
          </w:tcPr>
          <w:p w:rsidR="002472A5" w:rsidRDefault="005C3FF7">
            <w:pPr>
              <w:jc w:val="center"/>
            </w:pPr>
            <w:r>
              <w:rPr>
                <w:color w:val="000000"/>
                <w:sz w:val="24"/>
              </w:rPr>
              <w:t>4</w:t>
            </w:r>
          </w:p>
        </w:tc>
        <w:tc>
          <w:tcPr>
            <w:tcW w:w="1327" w:type="dxa"/>
            <w:vAlign w:val="center"/>
          </w:tcPr>
          <w:p w:rsidR="002472A5" w:rsidRDefault="005C3FF7">
            <w:pPr>
              <w:jc w:val="center"/>
            </w:pPr>
            <w:r>
              <w:rPr>
                <w:color w:val="000000"/>
                <w:sz w:val="24"/>
              </w:rPr>
              <w:t>000725</w:t>
            </w:r>
          </w:p>
        </w:tc>
        <w:tc>
          <w:tcPr>
            <w:tcW w:w="1621" w:type="dxa"/>
            <w:vAlign w:val="center"/>
          </w:tcPr>
          <w:p w:rsidR="002472A5" w:rsidRDefault="005C3FF7">
            <w:pPr>
              <w:jc w:val="center"/>
            </w:pPr>
            <w:r>
              <w:rPr>
                <w:color w:val="000000"/>
                <w:sz w:val="24"/>
              </w:rPr>
              <w:t>京东方Ａ</w:t>
            </w:r>
          </w:p>
        </w:tc>
        <w:tc>
          <w:tcPr>
            <w:tcW w:w="1769" w:type="dxa"/>
            <w:vAlign w:val="center"/>
          </w:tcPr>
          <w:p w:rsidR="002472A5" w:rsidRDefault="005C3FF7">
            <w:pPr>
              <w:jc w:val="right"/>
            </w:pPr>
            <w:r>
              <w:rPr>
                <w:color w:val="000000"/>
                <w:sz w:val="24"/>
              </w:rPr>
              <w:t>2,900</w:t>
            </w:r>
          </w:p>
        </w:tc>
        <w:tc>
          <w:tcPr>
            <w:tcW w:w="2211" w:type="dxa"/>
            <w:vAlign w:val="center"/>
          </w:tcPr>
          <w:p w:rsidR="002472A5" w:rsidRDefault="005C3FF7">
            <w:pPr>
              <w:jc w:val="right"/>
            </w:pPr>
            <w:r>
              <w:rPr>
                <w:color w:val="000000"/>
                <w:sz w:val="24"/>
              </w:rPr>
              <w:t>9,976.00</w:t>
            </w:r>
          </w:p>
        </w:tc>
        <w:tc>
          <w:tcPr>
            <w:tcW w:w="1091" w:type="dxa"/>
            <w:vAlign w:val="center"/>
          </w:tcPr>
          <w:p w:rsidR="002472A5" w:rsidRDefault="005C3FF7">
            <w:pPr>
              <w:jc w:val="right"/>
            </w:pPr>
            <w:r>
              <w:rPr>
                <w:color w:val="000000"/>
                <w:sz w:val="24"/>
              </w:rPr>
              <w:t>0.02</w:t>
            </w:r>
          </w:p>
        </w:tc>
      </w:tr>
      <w:tr w:rsidR="002472A5">
        <w:trPr>
          <w:jc w:val="center"/>
        </w:trPr>
        <w:tc>
          <w:tcPr>
            <w:tcW w:w="849" w:type="dxa"/>
            <w:vAlign w:val="center"/>
          </w:tcPr>
          <w:p w:rsidR="002472A5" w:rsidRDefault="005C3FF7">
            <w:pPr>
              <w:jc w:val="center"/>
            </w:pPr>
            <w:r>
              <w:rPr>
                <w:color w:val="000000"/>
                <w:sz w:val="24"/>
              </w:rPr>
              <w:t>5</w:t>
            </w:r>
          </w:p>
        </w:tc>
        <w:tc>
          <w:tcPr>
            <w:tcW w:w="1327" w:type="dxa"/>
            <w:vAlign w:val="center"/>
          </w:tcPr>
          <w:p w:rsidR="002472A5" w:rsidRDefault="005C3FF7">
            <w:pPr>
              <w:jc w:val="center"/>
            </w:pPr>
            <w:r>
              <w:rPr>
                <w:color w:val="000000"/>
                <w:sz w:val="24"/>
              </w:rPr>
              <w:t>000001</w:t>
            </w:r>
          </w:p>
        </w:tc>
        <w:tc>
          <w:tcPr>
            <w:tcW w:w="1621" w:type="dxa"/>
            <w:vAlign w:val="center"/>
          </w:tcPr>
          <w:p w:rsidR="002472A5" w:rsidRDefault="005C3FF7">
            <w:pPr>
              <w:jc w:val="center"/>
            </w:pPr>
            <w:r>
              <w:rPr>
                <w:color w:val="000000"/>
                <w:sz w:val="24"/>
              </w:rPr>
              <w:t>平安银行</w:t>
            </w:r>
          </w:p>
        </w:tc>
        <w:tc>
          <w:tcPr>
            <w:tcW w:w="1769" w:type="dxa"/>
            <w:vAlign w:val="center"/>
          </w:tcPr>
          <w:p w:rsidR="002472A5" w:rsidRDefault="005C3FF7">
            <w:pPr>
              <w:jc w:val="right"/>
            </w:pPr>
            <w:r>
              <w:rPr>
                <w:color w:val="000000"/>
                <w:sz w:val="24"/>
              </w:rPr>
              <w:t>1,000</w:t>
            </w:r>
          </w:p>
        </w:tc>
        <w:tc>
          <w:tcPr>
            <w:tcW w:w="2211" w:type="dxa"/>
            <w:vAlign w:val="center"/>
          </w:tcPr>
          <w:p w:rsidR="002472A5" w:rsidRDefault="005C3FF7">
            <w:pPr>
              <w:jc w:val="right"/>
            </w:pPr>
            <w:r>
              <w:rPr>
                <w:color w:val="000000"/>
                <w:sz w:val="24"/>
              </w:rPr>
              <w:t>9,170.00</w:t>
            </w:r>
          </w:p>
        </w:tc>
        <w:tc>
          <w:tcPr>
            <w:tcW w:w="1091" w:type="dxa"/>
            <w:vAlign w:val="center"/>
          </w:tcPr>
          <w:p w:rsidR="002472A5" w:rsidRDefault="005C3FF7">
            <w:pPr>
              <w:jc w:val="right"/>
            </w:pPr>
            <w:r>
              <w:rPr>
                <w:color w:val="000000"/>
                <w:sz w:val="24"/>
              </w:rPr>
              <w:t>0.02</w:t>
            </w:r>
          </w:p>
        </w:tc>
      </w:tr>
      <w:tr w:rsidR="002472A5">
        <w:trPr>
          <w:jc w:val="center"/>
        </w:trPr>
        <w:tc>
          <w:tcPr>
            <w:tcW w:w="849" w:type="dxa"/>
            <w:vAlign w:val="center"/>
          </w:tcPr>
          <w:p w:rsidR="002472A5" w:rsidRDefault="005C3FF7">
            <w:pPr>
              <w:jc w:val="center"/>
            </w:pPr>
            <w:r>
              <w:rPr>
                <w:color w:val="000000"/>
                <w:sz w:val="24"/>
              </w:rPr>
              <w:t>6</w:t>
            </w:r>
          </w:p>
        </w:tc>
        <w:tc>
          <w:tcPr>
            <w:tcW w:w="1327" w:type="dxa"/>
            <w:vAlign w:val="center"/>
          </w:tcPr>
          <w:p w:rsidR="002472A5" w:rsidRDefault="005C3FF7">
            <w:pPr>
              <w:jc w:val="center"/>
            </w:pPr>
            <w:r>
              <w:rPr>
                <w:color w:val="000000"/>
                <w:sz w:val="24"/>
              </w:rPr>
              <w:t>000858</w:t>
            </w:r>
          </w:p>
        </w:tc>
        <w:tc>
          <w:tcPr>
            <w:tcW w:w="1621" w:type="dxa"/>
            <w:vAlign w:val="center"/>
          </w:tcPr>
          <w:p w:rsidR="002472A5" w:rsidRDefault="005C3FF7">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769" w:type="dxa"/>
            <w:vAlign w:val="center"/>
          </w:tcPr>
          <w:p w:rsidR="002472A5" w:rsidRDefault="005C3FF7">
            <w:pPr>
              <w:jc w:val="right"/>
            </w:pPr>
            <w:r>
              <w:rPr>
                <w:color w:val="000000"/>
                <w:sz w:val="24"/>
              </w:rPr>
              <w:t>200</w:t>
            </w:r>
          </w:p>
        </w:tc>
        <w:tc>
          <w:tcPr>
            <w:tcW w:w="2211" w:type="dxa"/>
            <w:vAlign w:val="center"/>
          </w:tcPr>
          <w:p w:rsidR="002472A5" w:rsidRDefault="005C3FF7">
            <w:pPr>
              <w:jc w:val="right"/>
            </w:pPr>
            <w:r>
              <w:rPr>
                <w:color w:val="000000"/>
                <w:sz w:val="24"/>
              </w:rPr>
              <w:t>8,600.00</w:t>
            </w:r>
          </w:p>
        </w:tc>
        <w:tc>
          <w:tcPr>
            <w:tcW w:w="1091" w:type="dxa"/>
            <w:vAlign w:val="center"/>
          </w:tcPr>
          <w:p w:rsidR="002472A5" w:rsidRDefault="005C3FF7">
            <w:pPr>
              <w:jc w:val="right"/>
            </w:pPr>
            <w:r>
              <w:rPr>
                <w:color w:val="000000"/>
                <w:sz w:val="24"/>
              </w:rPr>
              <w:t>0.02</w:t>
            </w:r>
          </w:p>
        </w:tc>
      </w:tr>
      <w:tr w:rsidR="002472A5">
        <w:trPr>
          <w:jc w:val="center"/>
        </w:trPr>
        <w:tc>
          <w:tcPr>
            <w:tcW w:w="849" w:type="dxa"/>
            <w:vAlign w:val="center"/>
          </w:tcPr>
          <w:p w:rsidR="002472A5" w:rsidRDefault="005C3FF7">
            <w:pPr>
              <w:jc w:val="center"/>
            </w:pPr>
            <w:r>
              <w:rPr>
                <w:color w:val="000000"/>
                <w:sz w:val="24"/>
              </w:rPr>
              <w:t>7</w:t>
            </w:r>
          </w:p>
        </w:tc>
        <w:tc>
          <w:tcPr>
            <w:tcW w:w="1327" w:type="dxa"/>
            <w:vAlign w:val="center"/>
          </w:tcPr>
          <w:p w:rsidR="002472A5" w:rsidRDefault="005C3FF7">
            <w:pPr>
              <w:jc w:val="center"/>
            </w:pPr>
            <w:r>
              <w:rPr>
                <w:color w:val="000000"/>
                <w:sz w:val="24"/>
              </w:rPr>
              <w:t>000002</w:t>
            </w:r>
          </w:p>
        </w:tc>
        <w:tc>
          <w:tcPr>
            <w:tcW w:w="1621" w:type="dxa"/>
            <w:vAlign w:val="center"/>
          </w:tcPr>
          <w:p w:rsidR="002472A5" w:rsidRDefault="005C3FF7">
            <w:pPr>
              <w:jc w:val="center"/>
            </w:pPr>
            <w:r>
              <w:rPr>
                <w:color w:val="000000"/>
                <w:sz w:val="24"/>
              </w:rPr>
              <w:t>万</w:t>
            </w:r>
            <w:r>
              <w:rPr>
                <w:color w:val="000000"/>
                <w:sz w:val="24"/>
              </w:rPr>
              <w:t xml:space="preserve">  </w:t>
            </w:r>
            <w:r>
              <w:rPr>
                <w:color w:val="000000"/>
                <w:sz w:val="24"/>
              </w:rPr>
              <w:t>科Ａ</w:t>
            </w:r>
          </w:p>
        </w:tc>
        <w:tc>
          <w:tcPr>
            <w:tcW w:w="1769" w:type="dxa"/>
            <w:vAlign w:val="center"/>
          </w:tcPr>
          <w:p w:rsidR="002472A5" w:rsidRDefault="005C3FF7">
            <w:pPr>
              <w:jc w:val="right"/>
            </w:pPr>
            <w:r>
              <w:rPr>
                <w:color w:val="000000"/>
                <w:sz w:val="24"/>
              </w:rPr>
              <w:t>400</w:t>
            </w:r>
          </w:p>
        </w:tc>
        <w:tc>
          <w:tcPr>
            <w:tcW w:w="2211" w:type="dxa"/>
            <w:vAlign w:val="center"/>
          </w:tcPr>
          <w:p w:rsidR="002472A5" w:rsidRDefault="005C3FF7">
            <w:pPr>
              <w:jc w:val="right"/>
            </w:pPr>
            <w:r>
              <w:rPr>
                <w:color w:val="000000"/>
                <w:sz w:val="24"/>
              </w:rPr>
              <w:t>8,232.00</w:t>
            </w:r>
          </w:p>
        </w:tc>
        <w:tc>
          <w:tcPr>
            <w:tcW w:w="1091" w:type="dxa"/>
            <w:vAlign w:val="center"/>
          </w:tcPr>
          <w:p w:rsidR="002472A5" w:rsidRDefault="005C3FF7">
            <w:pPr>
              <w:jc w:val="right"/>
            </w:pPr>
            <w:r>
              <w:rPr>
                <w:color w:val="000000"/>
                <w:sz w:val="24"/>
              </w:rPr>
              <w:t>0.02</w:t>
            </w:r>
          </w:p>
        </w:tc>
      </w:tr>
      <w:tr w:rsidR="002472A5">
        <w:trPr>
          <w:jc w:val="center"/>
        </w:trPr>
        <w:tc>
          <w:tcPr>
            <w:tcW w:w="849" w:type="dxa"/>
            <w:vAlign w:val="center"/>
          </w:tcPr>
          <w:p w:rsidR="002472A5" w:rsidRDefault="005C3FF7">
            <w:pPr>
              <w:jc w:val="center"/>
            </w:pPr>
            <w:r>
              <w:rPr>
                <w:color w:val="000000"/>
                <w:sz w:val="24"/>
              </w:rPr>
              <w:t>8</w:t>
            </w:r>
          </w:p>
        </w:tc>
        <w:tc>
          <w:tcPr>
            <w:tcW w:w="1327" w:type="dxa"/>
            <w:vAlign w:val="center"/>
          </w:tcPr>
          <w:p w:rsidR="002472A5" w:rsidRDefault="005C3FF7">
            <w:pPr>
              <w:jc w:val="center"/>
            </w:pPr>
            <w:r>
              <w:rPr>
                <w:color w:val="000000"/>
                <w:sz w:val="24"/>
              </w:rPr>
              <w:t>000776</w:t>
            </w:r>
          </w:p>
        </w:tc>
        <w:tc>
          <w:tcPr>
            <w:tcW w:w="1621" w:type="dxa"/>
            <w:vAlign w:val="center"/>
          </w:tcPr>
          <w:p w:rsidR="002472A5" w:rsidRDefault="005C3FF7">
            <w:pPr>
              <w:jc w:val="center"/>
            </w:pPr>
            <w:r>
              <w:rPr>
                <w:color w:val="000000"/>
                <w:sz w:val="24"/>
              </w:rPr>
              <w:t>广发证券</w:t>
            </w:r>
          </w:p>
        </w:tc>
        <w:tc>
          <w:tcPr>
            <w:tcW w:w="1769" w:type="dxa"/>
            <w:vAlign w:val="center"/>
          </w:tcPr>
          <w:p w:rsidR="002472A5" w:rsidRDefault="005C3FF7">
            <w:pPr>
              <w:jc w:val="right"/>
            </w:pPr>
            <w:r>
              <w:rPr>
                <w:color w:val="000000"/>
                <w:sz w:val="24"/>
              </w:rPr>
              <w:t>400</w:t>
            </w:r>
          </w:p>
        </w:tc>
        <w:tc>
          <w:tcPr>
            <w:tcW w:w="2211" w:type="dxa"/>
            <w:vAlign w:val="center"/>
          </w:tcPr>
          <w:p w:rsidR="002472A5" w:rsidRDefault="005C3FF7">
            <w:pPr>
              <w:jc w:val="right"/>
            </w:pPr>
            <w:r>
              <w:rPr>
                <w:color w:val="000000"/>
                <w:sz w:val="24"/>
              </w:rPr>
              <w:t>6,836.00</w:t>
            </w:r>
          </w:p>
        </w:tc>
        <w:tc>
          <w:tcPr>
            <w:tcW w:w="1091" w:type="dxa"/>
            <w:vAlign w:val="center"/>
          </w:tcPr>
          <w:p w:rsidR="002472A5" w:rsidRDefault="005C3FF7">
            <w:pPr>
              <w:jc w:val="right"/>
            </w:pPr>
            <w:r>
              <w:rPr>
                <w:color w:val="000000"/>
                <w:sz w:val="24"/>
              </w:rPr>
              <w:t>0.01</w:t>
            </w:r>
          </w:p>
        </w:tc>
      </w:tr>
      <w:tr w:rsidR="002472A5">
        <w:trPr>
          <w:jc w:val="center"/>
        </w:trPr>
        <w:tc>
          <w:tcPr>
            <w:tcW w:w="849" w:type="dxa"/>
            <w:vAlign w:val="center"/>
          </w:tcPr>
          <w:p w:rsidR="002472A5" w:rsidRDefault="005C3FF7">
            <w:pPr>
              <w:jc w:val="center"/>
            </w:pPr>
            <w:r>
              <w:rPr>
                <w:color w:val="000000"/>
                <w:sz w:val="24"/>
              </w:rPr>
              <w:t>9</w:t>
            </w:r>
          </w:p>
        </w:tc>
        <w:tc>
          <w:tcPr>
            <w:tcW w:w="1327" w:type="dxa"/>
            <w:vAlign w:val="center"/>
          </w:tcPr>
          <w:p w:rsidR="002472A5" w:rsidRDefault="005C3FF7">
            <w:pPr>
              <w:jc w:val="center"/>
            </w:pPr>
            <w:r>
              <w:rPr>
                <w:color w:val="000000"/>
                <w:sz w:val="24"/>
              </w:rPr>
              <w:t>002415</w:t>
            </w:r>
          </w:p>
        </w:tc>
        <w:tc>
          <w:tcPr>
            <w:tcW w:w="1621" w:type="dxa"/>
            <w:vAlign w:val="center"/>
          </w:tcPr>
          <w:p w:rsidR="002472A5" w:rsidRDefault="005C3FF7">
            <w:pPr>
              <w:jc w:val="center"/>
            </w:pPr>
            <w:r>
              <w:rPr>
                <w:color w:val="000000"/>
                <w:sz w:val="24"/>
              </w:rPr>
              <w:t>海康威视</w:t>
            </w:r>
          </w:p>
        </w:tc>
        <w:tc>
          <w:tcPr>
            <w:tcW w:w="1769" w:type="dxa"/>
            <w:vAlign w:val="center"/>
          </w:tcPr>
          <w:p w:rsidR="002472A5" w:rsidRDefault="005C3FF7">
            <w:pPr>
              <w:jc w:val="right"/>
            </w:pPr>
            <w:r>
              <w:rPr>
                <w:color w:val="000000"/>
                <w:sz w:val="24"/>
              </w:rPr>
              <w:t>200</w:t>
            </w:r>
          </w:p>
        </w:tc>
        <w:tc>
          <w:tcPr>
            <w:tcW w:w="2211" w:type="dxa"/>
            <w:vAlign w:val="center"/>
          </w:tcPr>
          <w:p w:rsidR="002472A5" w:rsidRDefault="005C3FF7">
            <w:pPr>
              <w:jc w:val="right"/>
            </w:pPr>
            <w:r>
              <w:rPr>
                <w:color w:val="000000"/>
                <w:sz w:val="24"/>
              </w:rPr>
              <w:t>6,380.00</w:t>
            </w:r>
          </w:p>
        </w:tc>
        <w:tc>
          <w:tcPr>
            <w:tcW w:w="1091" w:type="dxa"/>
            <w:vAlign w:val="center"/>
          </w:tcPr>
          <w:p w:rsidR="002472A5" w:rsidRDefault="005C3FF7">
            <w:pPr>
              <w:jc w:val="right"/>
            </w:pPr>
            <w:r>
              <w:rPr>
                <w:color w:val="000000"/>
                <w:sz w:val="24"/>
              </w:rPr>
              <w:t>0.01</w:t>
            </w:r>
          </w:p>
        </w:tc>
      </w:tr>
      <w:tr w:rsidR="002472A5">
        <w:trPr>
          <w:jc w:val="center"/>
        </w:trPr>
        <w:tc>
          <w:tcPr>
            <w:tcW w:w="849" w:type="dxa"/>
            <w:vAlign w:val="center"/>
          </w:tcPr>
          <w:p w:rsidR="002472A5" w:rsidRDefault="005C3FF7">
            <w:pPr>
              <w:jc w:val="center"/>
            </w:pPr>
            <w:r>
              <w:rPr>
                <w:color w:val="000000"/>
                <w:sz w:val="24"/>
              </w:rPr>
              <w:t>10</w:t>
            </w:r>
          </w:p>
        </w:tc>
        <w:tc>
          <w:tcPr>
            <w:tcW w:w="1327" w:type="dxa"/>
            <w:vAlign w:val="center"/>
          </w:tcPr>
          <w:p w:rsidR="002472A5" w:rsidRDefault="005C3FF7">
            <w:pPr>
              <w:jc w:val="center"/>
            </w:pPr>
            <w:r>
              <w:rPr>
                <w:color w:val="000000"/>
                <w:sz w:val="24"/>
              </w:rPr>
              <w:t>000625</w:t>
            </w:r>
          </w:p>
        </w:tc>
        <w:tc>
          <w:tcPr>
            <w:tcW w:w="1621" w:type="dxa"/>
            <w:vAlign w:val="center"/>
          </w:tcPr>
          <w:p w:rsidR="002472A5" w:rsidRDefault="005C3FF7">
            <w:pPr>
              <w:jc w:val="center"/>
            </w:pPr>
            <w:r>
              <w:rPr>
                <w:color w:val="000000"/>
                <w:sz w:val="24"/>
              </w:rPr>
              <w:t>长安汽车</w:t>
            </w:r>
          </w:p>
        </w:tc>
        <w:tc>
          <w:tcPr>
            <w:tcW w:w="1769" w:type="dxa"/>
            <w:vAlign w:val="center"/>
          </w:tcPr>
          <w:p w:rsidR="002472A5" w:rsidRDefault="005C3FF7">
            <w:pPr>
              <w:jc w:val="right"/>
            </w:pPr>
            <w:r>
              <w:rPr>
                <w:color w:val="000000"/>
                <w:sz w:val="24"/>
              </w:rPr>
              <w:t>300</w:t>
            </w:r>
          </w:p>
        </w:tc>
        <w:tc>
          <w:tcPr>
            <w:tcW w:w="2211" w:type="dxa"/>
            <w:vAlign w:val="center"/>
          </w:tcPr>
          <w:p w:rsidR="002472A5" w:rsidRDefault="005C3FF7">
            <w:pPr>
              <w:jc w:val="right"/>
            </w:pPr>
            <w:r>
              <w:rPr>
                <w:color w:val="000000"/>
                <w:sz w:val="24"/>
              </w:rPr>
              <w:t>4,734.00</w:t>
            </w:r>
          </w:p>
        </w:tc>
        <w:tc>
          <w:tcPr>
            <w:tcW w:w="1091" w:type="dxa"/>
            <w:vAlign w:val="center"/>
          </w:tcPr>
          <w:p w:rsidR="002472A5" w:rsidRDefault="005C3FF7">
            <w:pPr>
              <w:jc w:val="right"/>
            </w:pPr>
            <w:r>
              <w:rPr>
                <w:color w:val="000000"/>
                <w:sz w:val="24"/>
              </w:rPr>
              <w:t>0.01</w:t>
            </w:r>
          </w:p>
        </w:tc>
      </w:tr>
    </w:tbl>
    <w:p w:rsidR="00BA574A" w:rsidRPr="00324C76" w:rsidRDefault="00BA574A"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00991257" w:rsidRPr="00324C76">
        <w:rPr>
          <w:b/>
          <w:kern w:val="0"/>
          <w:sz w:val="24"/>
        </w:rPr>
        <w:t xml:space="preserve"> </w:t>
      </w:r>
      <w:r w:rsidRPr="00324C76">
        <w:rPr>
          <w:b/>
          <w:kern w:val="0"/>
          <w:sz w:val="24"/>
        </w:rPr>
        <w:t>报告期末按债券品种分类的债券投资组合</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006F5B9A" w:rsidRPr="00324C76">
        <w:rPr>
          <w:b/>
          <w:kern w:val="0"/>
          <w:sz w:val="24"/>
        </w:rPr>
        <w:t xml:space="preserve"> </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本基金本报告期末未持有资产支持证券。</w:t>
      </w:r>
    </w:p>
    <w:p w:rsidR="00220542" w:rsidRPr="00324C76" w:rsidRDefault="00220542" w:rsidP="00B04217">
      <w:pPr>
        <w:autoSpaceDE w:val="0"/>
        <w:autoSpaceDN w:val="0"/>
        <w:adjustRightInd w:val="0"/>
        <w:spacing w:before="29" w:line="288" w:lineRule="auto"/>
        <w:jc w:val="left"/>
        <w:rPr>
          <w:kern w:val="0"/>
          <w:sz w:val="24"/>
        </w:rPr>
      </w:pPr>
    </w:p>
    <w:p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2124AD" w:rsidRDefault="002A089C" w:rsidP="00B04217">
      <w:pPr>
        <w:autoSpaceDE w:val="0"/>
        <w:autoSpaceDN w:val="0"/>
        <w:adjustRightInd w:val="0"/>
        <w:spacing w:before="29" w:line="288" w:lineRule="auto"/>
        <w:jc w:val="left"/>
        <w:rPr>
          <w:sz w:val="24"/>
        </w:rPr>
      </w:pPr>
      <w:r w:rsidRPr="002124AD">
        <w:rPr>
          <w:sz w:val="24"/>
        </w:rPr>
        <w:t>本基金本报告期末未持有贵金属。</w:t>
      </w:r>
    </w:p>
    <w:p w:rsidR="002A089C" w:rsidRPr="00324C76" w:rsidRDefault="002A089C" w:rsidP="00B04217">
      <w:pPr>
        <w:autoSpaceDE w:val="0"/>
        <w:autoSpaceDN w:val="0"/>
        <w:adjustRightInd w:val="0"/>
        <w:spacing w:before="29" w:line="288" w:lineRule="auto"/>
        <w:jc w:val="left"/>
        <w:rPr>
          <w:kern w:val="0"/>
          <w:sz w:val="24"/>
        </w:rPr>
      </w:pPr>
    </w:p>
    <w:p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B04217">
      <w:pPr>
        <w:autoSpaceDE w:val="0"/>
        <w:autoSpaceDN w:val="0"/>
        <w:adjustRightInd w:val="0"/>
        <w:spacing w:before="29" w:line="288" w:lineRule="auto"/>
        <w:jc w:val="left"/>
        <w:rPr>
          <w:kern w:val="0"/>
          <w:sz w:val="24"/>
        </w:rPr>
      </w:pPr>
    </w:p>
    <w:p w:rsidR="00C73818" w:rsidRPr="00324C76" w:rsidRDefault="006003EC" w:rsidP="00B04217">
      <w:pPr>
        <w:adjustRightInd w:val="0"/>
        <w:snapToGrid w:val="0"/>
        <w:spacing w:before="29" w:line="288" w:lineRule="auto"/>
        <w:rPr>
          <w:b/>
          <w:sz w:val="24"/>
        </w:rPr>
      </w:pPr>
      <w:r w:rsidRPr="00324C76">
        <w:rPr>
          <w:b/>
          <w:sz w:val="24"/>
        </w:rPr>
        <w:t>5.</w:t>
      </w:r>
      <w:r w:rsidR="007D10B0" w:rsidRPr="00324C76">
        <w:rPr>
          <w:b/>
          <w:sz w:val="24"/>
        </w:rPr>
        <w:t>10</w:t>
      </w:r>
      <w:r w:rsidR="00C73818" w:rsidRPr="00324C76">
        <w:rPr>
          <w:b/>
          <w:sz w:val="24"/>
        </w:rPr>
        <w:t xml:space="preserve"> </w:t>
      </w:r>
      <w:r w:rsidR="00C73818" w:rsidRPr="00324C76">
        <w:rPr>
          <w:b/>
          <w:sz w:val="24"/>
        </w:rPr>
        <w:t>报告期末本基金投资的股指期货交易情况说明</w:t>
      </w:r>
    </w:p>
    <w:p w:rsidR="00C73818" w:rsidRPr="00324C76" w:rsidRDefault="00046A8E" w:rsidP="00B04217">
      <w:pPr>
        <w:autoSpaceDE w:val="0"/>
        <w:autoSpaceDN w:val="0"/>
        <w:adjustRightInd w:val="0"/>
        <w:spacing w:before="29" w:line="288" w:lineRule="auto"/>
        <w:jc w:val="left"/>
        <w:rPr>
          <w:sz w:val="24"/>
        </w:rPr>
      </w:pPr>
      <w:r w:rsidRPr="00324C76">
        <w:rPr>
          <w:sz w:val="24"/>
        </w:rPr>
        <w:lastRenderedPageBreak/>
        <w:t>本基金本报告期末未持有股指期货。</w:t>
      </w:r>
    </w:p>
    <w:p w:rsidR="00046A8E" w:rsidRPr="00324C76" w:rsidRDefault="00046A8E" w:rsidP="00B04217">
      <w:pPr>
        <w:autoSpaceDE w:val="0"/>
        <w:autoSpaceDN w:val="0"/>
        <w:adjustRightInd w:val="0"/>
        <w:spacing w:before="29" w:line="288" w:lineRule="auto"/>
        <w:jc w:val="left"/>
        <w:rPr>
          <w:sz w:val="24"/>
        </w:rPr>
      </w:pPr>
    </w:p>
    <w:p w:rsidR="008D6BC7" w:rsidRPr="00324C76" w:rsidRDefault="008D6BC7" w:rsidP="00B04217">
      <w:pPr>
        <w:adjustRightInd w:val="0"/>
        <w:snapToGrid w:val="0"/>
        <w:spacing w:before="29" w:line="288" w:lineRule="auto"/>
        <w:rPr>
          <w:b/>
          <w:sz w:val="24"/>
        </w:rPr>
      </w:pPr>
      <w:r w:rsidRPr="00324C76">
        <w:rPr>
          <w:b/>
          <w:sz w:val="24"/>
        </w:rPr>
        <w:t>5.11</w:t>
      </w:r>
      <w:r w:rsidR="00486365" w:rsidRPr="00324C76">
        <w:rPr>
          <w:b/>
          <w:sz w:val="24"/>
        </w:rPr>
        <w:t xml:space="preserve"> </w:t>
      </w:r>
      <w:r w:rsidRPr="00324C76">
        <w:rPr>
          <w:b/>
          <w:sz w:val="24"/>
        </w:rPr>
        <w:t>报告期末本基金投资的国债期货交易情况说明</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本基金本报告期末未持有国债期货。</w:t>
      </w:r>
    </w:p>
    <w:p w:rsidR="000A7493" w:rsidRPr="00324C76" w:rsidRDefault="000A7493"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1378A4" w:rsidRPr="00324C76">
        <w:rPr>
          <w:b/>
          <w:kern w:val="0"/>
          <w:sz w:val="24"/>
        </w:rPr>
        <w:t xml:space="preserve"> </w:t>
      </w:r>
      <w:r w:rsidR="00220542" w:rsidRPr="00324C76">
        <w:rPr>
          <w:b/>
          <w:kern w:val="0"/>
          <w:sz w:val="24"/>
        </w:rPr>
        <w:t>投资组合报告附注</w:t>
      </w:r>
    </w:p>
    <w:p w:rsidR="002472A5" w:rsidRDefault="005C3FF7">
      <w:pPr>
        <w:autoSpaceDE w:val="0"/>
        <w:autoSpaceDN w:val="0"/>
        <w:adjustRightInd w:val="0"/>
        <w:spacing w:before="29" w:line="288" w:lineRule="auto"/>
        <w:rPr>
          <w:kern w:val="0"/>
          <w:sz w:val="24"/>
        </w:rPr>
      </w:pPr>
      <w:r>
        <w:rPr>
          <w:kern w:val="0"/>
          <w:sz w:val="24"/>
        </w:rPr>
        <w:t>报告期内本基金投资的前十名证券的发行主体除广发证券（证券代码：</w:t>
      </w:r>
      <w:r>
        <w:rPr>
          <w:kern w:val="0"/>
          <w:sz w:val="24"/>
        </w:rPr>
        <w:t>000776</w:t>
      </w:r>
      <w:r>
        <w:rPr>
          <w:kern w:val="0"/>
          <w:sz w:val="24"/>
        </w:rPr>
        <w:t>）外，未出现被监管部门立案调查，或在报告编制日前一年内受到公开谴责、处罚的情形。</w:t>
      </w:r>
    </w:p>
    <w:p w:rsidR="002472A5" w:rsidRDefault="005C3FF7">
      <w:pPr>
        <w:autoSpaceDE w:val="0"/>
        <w:autoSpaceDN w:val="0"/>
        <w:adjustRightInd w:val="0"/>
        <w:spacing w:before="29" w:line="288" w:lineRule="auto"/>
        <w:rPr>
          <w:kern w:val="0"/>
          <w:sz w:val="24"/>
        </w:rPr>
      </w:pPr>
      <w:r>
        <w:rPr>
          <w:kern w:val="0"/>
          <w:sz w:val="24"/>
        </w:rPr>
        <w:t>报告期内本基金投资的前十名证券之一广发证券（证券代码：</w:t>
      </w:r>
      <w:r>
        <w:rPr>
          <w:kern w:val="0"/>
          <w:sz w:val="24"/>
        </w:rPr>
        <w:t>000776</w:t>
      </w:r>
      <w:r>
        <w:rPr>
          <w:kern w:val="0"/>
          <w:sz w:val="24"/>
        </w:rPr>
        <w:t>）于</w:t>
      </w:r>
      <w:r>
        <w:rPr>
          <w:kern w:val="0"/>
          <w:sz w:val="24"/>
        </w:rPr>
        <w:t>2016</w:t>
      </w:r>
      <w:r>
        <w:rPr>
          <w:kern w:val="0"/>
          <w:sz w:val="24"/>
        </w:rPr>
        <w:t>年</w:t>
      </w:r>
      <w:r>
        <w:rPr>
          <w:kern w:val="0"/>
          <w:sz w:val="24"/>
        </w:rPr>
        <w:t>11</w:t>
      </w:r>
      <w:r>
        <w:rPr>
          <w:kern w:val="0"/>
          <w:sz w:val="24"/>
        </w:rPr>
        <w:t>月</w:t>
      </w:r>
      <w:r>
        <w:rPr>
          <w:kern w:val="0"/>
          <w:sz w:val="24"/>
        </w:rPr>
        <w:t>28</w:t>
      </w:r>
      <w:r>
        <w:rPr>
          <w:kern w:val="0"/>
          <w:sz w:val="24"/>
        </w:rPr>
        <w:t>日公告，公司因未按规定审查、了解客户身份等违法违规行为于</w:t>
      </w:r>
      <w:r>
        <w:rPr>
          <w:kern w:val="0"/>
          <w:sz w:val="24"/>
        </w:rPr>
        <w:t>2016</w:t>
      </w:r>
      <w:r>
        <w:rPr>
          <w:kern w:val="0"/>
          <w:sz w:val="24"/>
        </w:rPr>
        <w:t>年</w:t>
      </w:r>
      <w:r>
        <w:rPr>
          <w:kern w:val="0"/>
          <w:sz w:val="24"/>
        </w:rPr>
        <w:t>11</w:t>
      </w:r>
      <w:r>
        <w:rPr>
          <w:kern w:val="0"/>
          <w:sz w:val="24"/>
        </w:rPr>
        <w:t>月</w:t>
      </w:r>
      <w:r>
        <w:rPr>
          <w:kern w:val="0"/>
          <w:sz w:val="24"/>
        </w:rPr>
        <w:t>26</w:t>
      </w:r>
      <w:r>
        <w:rPr>
          <w:kern w:val="0"/>
          <w:sz w:val="24"/>
        </w:rPr>
        <w:t>日收到中国证监会《行政处罚决定书》（</w:t>
      </w:r>
      <w:r>
        <w:rPr>
          <w:kern w:val="0"/>
          <w:sz w:val="24"/>
        </w:rPr>
        <w:t>[2016]128</w:t>
      </w:r>
      <w:r>
        <w:rPr>
          <w:kern w:val="0"/>
          <w:sz w:val="24"/>
        </w:rPr>
        <w:t>号）。据此，中国证监会决定对公司责令改正，给予警告，没收违法所得</w:t>
      </w:r>
      <w:r>
        <w:rPr>
          <w:kern w:val="0"/>
          <w:sz w:val="24"/>
        </w:rPr>
        <w:t>6,805,135.75</w:t>
      </w:r>
      <w:r>
        <w:rPr>
          <w:kern w:val="0"/>
          <w:sz w:val="24"/>
        </w:rPr>
        <w:t>元，并处以</w:t>
      </w:r>
      <w:r>
        <w:rPr>
          <w:kern w:val="0"/>
          <w:sz w:val="24"/>
        </w:rPr>
        <w:t>20,415,407.25</w:t>
      </w:r>
      <w:r>
        <w:rPr>
          <w:kern w:val="0"/>
          <w:sz w:val="24"/>
        </w:rPr>
        <w:t>元罚款。</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5.12.1</w:t>
      </w:r>
      <w:r w:rsidRPr="00120EC8">
        <w:rPr>
          <w:kern w:val="0"/>
          <w:sz w:val="24"/>
        </w:rPr>
        <w:t>本基金遵循指数化投资理念，本基金通过把全部或接近全部的基金资产投资于目标</w:t>
      </w:r>
      <w:r w:rsidRPr="00120EC8">
        <w:rPr>
          <w:kern w:val="0"/>
          <w:sz w:val="24"/>
        </w:rPr>
        <w:t>ETF</w:t>
      </w:r>
      <w:r w:rsidRPr="00120EC8">
        <w:rPr>
          <w:kern w:val="0"/>
          <w:sz w:val="24"/>
        </w:rPr>
        <w:t>、标的指数成份股和备选成份股进行被动式指数化投资。本基金对该证券的投资遵守本基金管理人基金投资管理相关制度及被动式指数化投资策略。</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5.12.2</w:t>
      </w:r>
      <w:r w:rsidRPr="00120EC8">
        <w:rPr>
          <w:kern w:val="0"/>
          <w:sz w:val="24"/>
        </w:rPr>
        <w:t>本基金投资的前十名股票中，没有超出基金合同规定的备选股票库之外的股票。</w:t>
      </w:r>
    </w:p>
    <w:p w:rsidR="00220542" w:rsidRPr="00120EC8" w:rsidRDefault="007D10B0" w:rsidP="00B04217">
      <w:pPr>
        <w:autoSpaceDE w:val="0"/>
        <w:autoSpaceDN w:val="0"/>
        <w:adjustRightInd w:val="0"/>
        <w:spacing w:before="29" w:line="288" w:lineRule="auto"/>
        <w:rPr>
          <w:kern w:val="0"/>
          <w:sz w:val="24"/>
        </w:rPr>
      </w:pPr>
      <w:r w:rsidRPr="00120EC8">
        <w:rPr>
          <w:kern w:val="0"/>
          <w:sz w:val="24"/>
        </w:rPr>
        <w:t>5</w:t>
      </w:r>
      <w:r w:rsidR="00220542" w:rsidRPr="00120EC8">
        <w:rPr>
          <w:kern w:val="0"/>
          <w:sz w:val="24"/>
        </w:rPr>
        <w:t>.</w:t>
      </w:r>
      <w:r w:rsidRPr="00120EC8">
        <w:rPr>
          <w:kern w:val="0"/>
          <w:sz w:val="24"/>
        </w:rPr>
        <w:t>12.3</w:t>
      </w:r>
      <w:r w:rsidR="00486365" w:rsidRPr="00120EC8">
        <w:rPr>
          <w:kern w:val="0"/>
          <w:sz w:val="24"/>
        </w:rPr>
        <w:t xml:space="preserve"> </w:t>
      </w:r>
      <w:r w:rsidR="00220542" w:rsidRPr="00120EC8">
        <w:rPr>
          <w:kern w:val="0"/>
          <w:sz w:val="24"/>
        </w:rPr>
        <w:t>其他资产构成</w:t>
      </w:r>
    </w:p>
    <w:tbl>
      <w:tblPr>
        <w:tblStyle w:val="af7"/>
        <w:tblW w:w="8868" w:type="dxa"/>
        <w:jc w:val="center"/>
        <w:tblLook w:val="04A0" w:firstRow="1" w:lastRow="0" w:firstColumn="1" w:lastColumn="0" w:noHBand="0" w:noVBand="1"/>
      </w:tblPr>
      <w:tblGrid>
        <w:gridCol w:w="984"/>
        <w:gridCol w:w="2876"/>
        <w:gridCol w:w="5008"/>
      </w:tblGrid>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r w:rsidR="00527176" w:rsidRPr="00324C76">
              <w:rPr>
                <w:color w:val="000000"/>
                <w:kern w:val="0"/>
                <w:sz w:val="24"/>
              </w:rPr>
              <w:t>（元）</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361.97</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576.69</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74,231.84</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75,170.50</w:t>
            </w:r>
          </w:p>
        </w:tc>
      </w:tr>
    </w:tbl>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kern w:val="0"/>
          <w:sz w:val="24"/>
        </w:rPr>
      </w:pPr>
      <w:r w:rsidRPr="00324C76">
        <w:rPr>
          <w:kern w:val="0"/>
          <w:sz w:val="24"/>
        </w:rPr>
        <w:t>5</w:t>
      </w:r>
      <w:r w:rsidR="00220542" w:rsidRPr="00324C76">
        <w:rPr>
          <w:kern w:val="0"/>
          <w:sz w:val="24"/>
        </w:rPr>
        <w:t>.</w:t>
      </w:r>
      <w:r w:rsidRPr="00324C76">
        <w:rPr>
          <w:kern w:val="0"/>
          <w:sz w:val="24"/>
        </w:rPr>
        <w:t>12.4</w:t>
      </w:r>
      <w:r w:rsidR="0084595F" w:rsidRPr="00324C76">
        <w:rPr>
          <w:kern w:val="0"/>
          <w:sz w:val="24"/>
        </w:rPr>
        <w:t xml:space="preserve"> </w:t>
      </w:r>
      <w:r w:rsidR="00220542" w:rsidRPr="00324C76">
        <w:rPr>
          <w:kern w:val="0"/>
          <w:sz w:val="24"/>
        </w:rPr>
        <w:t>报告期末持有的处于转股期的可转换债券明细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Cs/>
          <w:sz w:val="24"/>
        </w:rPr>
      </w:pPr>
      <w:r w:rsidRPr="00324C76">
        <w:rPr>
          <w:kern w:val="0"/>
          <w:sz w:val="24"/>
        </w:rPr>
        <w:t>5.12.5</w:t>
      </w:r>
      <w:r w:rsidR="00B34FD9" w:rsidRPr="00324C76">
        <w:rPr>
          <w:kern w:val="0"/>
          <w:sz w:val="24"/>
        </w:rPr>
        <w:t xml:space="preserve"> </w:t>
      </w:r>
      <w:r w:rsidR="00220542" w:rsidRPr="00324C76">
        <w:rPr>
          <w:bCs/>
          <w:sz w:val="24"/>
        </w:rPr>
        <w:t>报告期末前十名股票中存在流通受限情况的说明</w:t>
      </w:r>
    </w:p>
    <w:p w:rsidR="00220542" w:rsidRPr="00324C76" w:rsidRDefault="00A40C1C" w:rsidP="00B04217">
      <w:pPr>
        <w:autoSpaceDE w:val="0"/>
        <w:autoSpaceDN w:val="0"/>
        <w:adjustRightInd w:val="0"/>
        <w:spacing w:before="29" w:line="288" w:lineRule="auto"/>
        <w:jc w:val="left"/>
        <w:rPr>
          <w:sz w:val="24"/>
        </w:rPr>
      </w:pPr>
      <w:r w:rsidRPr="00324C76">
        <w:rPr>
          <w:sz w:val="24"/>
        </w:rPr>
        <w:t>本基金本报告期末前十名股票中不存在流通受限情况。</w:t>
      </w:r>
    </w:p>
    <w:p w:rsidR="00163AE8" w:rsidRPr="00324C76" w:rsidRDefault="00163AE8" w:rsidP="00B04217">
      <w:pPr>
        <w:spacing w:before="29" w:line="288" w:lineRule="auto"/>
        <w:rPr>
          <w:sz w:val="24"/>
        </w:rPr>
      </w:pPr>
    </w:p>
    <w:p w:rsidR="00A40C1C" w:rsidRPr="00324C76" w:rsidRDefault="007D10B0" w:rsidP="00B04217">
      <w:pPr>
        <w:spacing w:before="29" w:line="288" w:lineRule="auto"/>
        <w:rPr>
          <w:color w:val="000000"/>
          <w:kern w:val="0"/>
          <w:sz w:val="24"/>
        </w:rPr>
      </w:pPr>
      <w:r w:rsidRPr="00324C76">
        <w:rPr>
          <w:kern w:val="0"/>
          <w:sz w:val="24"/>
        </w:rPr>
        <w:lastRenderedPageBreak/>
        <w:t>5.12.6</w:t>
      </w:r>
      <w:r w:rsidR="0084595F" w:rsidRPr="00324C76">
        <w:rPr>
          <w:kern w:val="0"/>
          <w:sz w:val="24"/>
        </w:rPr>
        <w:t xml:space="preserve"> </w:t>
      </w:r>
      <w:r w:rsidR="00A40C1C" w:rsidRPr="00324C76">
        <w:rPr>
          <w:color w:val="000000"/>
          <w:kern w:val="0"/>
          <w:sz w:val="24"/>
        </w:rPr>
        <w:t>投资组合报告附注的其他文字描述部分</w:t>
      </w:r>
    </w:p>
    <w:p w:rsidR="002620C9" w:rsidRPr="00324C76" w:rsidRDefault="00A40C1C" w:rsidP="00B04217">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B04217">
      <w:pPr>
        <w:spacing w:before="29" w:line="288" w:lineRule="auto"/>
        <w:rPr>
          <w:color w:val="000000"/>
          <w:sz w:val="24"/>
        </w:rPr>
      </w:pPr>
    </w:p>
    <w:p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§6</w:t>
      </w:r>
      <w:r w:rsidR="006F2F56" w:rsidRPr="00324C76">
        <w:rPr>
          <w:kern w:val="0"/>
          <w:sz w:val="24"/>
          <w:szCs w:val="24"/>
        </w:rPr>
        <w:t xml:space="preserve"> </w:t>
      </w:r>
      <w:r w:rsidRPr="00324C76">
        <w:rPr>
          <w:kern w:val="0"/>
          <w:sz w:val="24"/>
          <w:szCs w:val="24"/>
        </w:rPr>
        <w:t>开放式基金份额变动</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firstRow="0" w:lastRow="0" w:firstColumn="0" w:lastColumn="0" w:noHBand="0" w:noVBand="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32,205,391.07</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2,573,872.78</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2,566,543.83</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0F11CB">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32,212,720.02</w:t>
            </w:r>
          </w:p>
        </w:tc>
      </w:tr>
    </w:tbl>
    <w:p w:rsidR="002472A5" w:rsidRDefault="005C3FF7">
      <w:pPr>
        <w:autoSpaceDE w:val="0"/>
        <w:autoSpaceDN w:val="0"/>
        <w:adjustRightInd w:val="0"/>
        <w:spacing w:before="29" w:line="288" w:lineRule="auto"/>
        <w:jc w:val="left"/>
        <w:rPr>
          <w:sz w:val="24"/>
        </w:rPr>
      </w:pPr>
      <w:r>
        <w:rPr>
          <w:sz w:val="24"/>
        </w:rPr>
        <w:t>注：</w:t>
      </w:r>
      <w:r>
        <w:rPr>
          <w:sz w:val="24"/>
        </w:rPr>
        <w:t>1</w:t>
      </w:r>
      <w:r>
        <w:rPr>
          <w:sz w:val="24"/>
        </w:rPr>
        <w:t>、如果本报告期间发生转换入、红利再投业务，则总申购份额中包含该业务；</w:t>
      </w:r>
    </w:p>
    <w:p w:rsidR="00220542" w:rsidRPr="00324C76" w:rsidRDefault="00A40C1C" w:rsidP="00B04217">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rsidR="00035465" w:rsidRDefault="00035465" w:rsidP="00B04217">
      <w:pPr>
        <w:autoSpaceDE w:val="0"/>
        <w:autoSpaceDN w:val="0"/>
        <w:adjustRightInd w:val="0"/>
        <w:spacing w:before="29" w:line="288" w:lineRule="auto"/>
        <w:jc w:val="left"/>
        <w:rPr>
          <w:sz w:val="24"/>
        </w:rPr>
      </w:pPr>
    </w:p>
    <w:p w:rsidR="00F229B7" w:rsidRPr="00F229B7" w:rsidRDefault="00F229B7" w:rsidP="006F59D5">
      <w:pPr>
        <w:pStyle w:val="1"/>
        <w:tabs>
          <w:tab w:val="center" w:pos="4156"/>
          <w:tab w:val="right" w:pos="8312"/>
        </w:tabs>
        <w:spacing w:beforeLines="100" w:before="312" w:afterLines="100" w:after="312" w:line="288" w:lineRule="auto"/>
        <w:jc w:val="center"/>
        <w:rPr>
          <w:sz w:val="24"/>
          <w:szCs w:val="24"/>
        </w:rPr>
      </w:pPr>
      <w:r w:rsidRPr="00F229B7">
        <w:rPr>
          <w:rFonts w:eastAsiaTheme="minorEastAsia"/>
          <w:color w:val="000000"/>
          <w:kern w:val="0"/>
          <w:sz w:val="24"/>
          <w:szCs w:val="24"/>
        </w:rPr>
        <w:t xml:space="preserve">§7  </w:t>
      </w:r>
      <w:r w:rsidRPr="00F229B7">
        <w:rPr>
          <w:sz w:val="24"/>
          <w:szCs w:val="24"/>
        </w:rPr>
        <w:t>基金管理人运用固有资金投资本基金情况</w:t>
      </w:r>
    </w:p>
    <w:p w:rsidR="00F229B7" w:rsidRPr="00F229B7" w:rsidRDefault="00F229B7" w:rsidP="00B04217">
      <w:pPr>
        <w:spacing w:line="288" w:lineRule="auto"/>
        <w:jc w:val="left"/>
        <w:rPr>
          <w:sz w:val="24"/>
        </w:rPr>
      </w:pPr>
      <w:r w:rsidRPr="00F229B7">
        <w:rPr>
          <w:b/>
          <w:sz w:val="24"/>
        </w:rPr>
        <w:t xml:space="preserve">7.1 </w:t>
      </w:r>
      <w:r w:rsidRPr="00F229B7">
        <w:rPr>
          <w:b/>
          <w:sz w:val="24"/>
        </w:rPr>
        <w:t>基金管理人持有本基金份额变动情况</w:t>
      </w:r>
    </w:p>
    <w:p w:rsidR="00F229B7" w:rsidRPr="00F229B7" w:rsidRDefault="00F229B7" w:rsidP="00B04217">
      <w:pPr>
        <w:autoSpaceDE w:val="0"/>
        <w:autoSpaceDN w:val="0"/>
        <w:adjustRightInd w:val="0"/>
        <w:spacing w:before="29" w:line="288" w:lineRule="auto"/>
        <w:ind w:left="15"/>
        <w:jc w:val="right"/>
        <w:rPr>
          <w:rFonts w:eastAsiaTheme="minorEastAsia"/>
          <w:color w:val="000000"/>
          <w:kern w:val="0"/>
          <w:sz w:val="24"/>
        </w:rPr>
      </w:pPr>
      <w:r w:rsidRPr="00F229B7">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pStyle w:val="ad"/>
              <w:adjustRightInd w:val="0"/>
              <w:snapToGrid w:val="0"/>
              <w:spacing w:line="288" w:lineRule="auto"/>
              <w:rPr>
                <w:rFonts w:eastAsia="方正仿宋简体"/>
                <w:color w:val="000000"/>
                <w:szCs w:val="24"/>
              </w:rPr>
            </w:pPr>
            <w:r w:rsidRPr="00F229B7">
              <w:rPr>
                <w:color w:val="000000"/>
                <w:szCs w:val="24"/>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sz w:val="24"/>
              </w:rPr>
            </w:pPr>
            <w:r w:rsidRPr="00F229B7">
              <w:rPr>
                <w:rFonts w:eastAsiaTheme="minorEastAsia"/>
                <w:color w:val="000000"/>
                <w:sz w:val="24"/>
              </w:rPr>
              <w:t>13,122,703.41</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rFonts w:eastAsiaTheme="minorEastAsia"/>
                <w:color w:val="000000"/>
                <w:kern w:val="0"/>
                <w:sz w:val="24"/>
              </w:rPr>
              <w:t>本报告期</w:t>
            </w:r>
            <w:r w:rsidRPr="00F229B7">
              <w:rPr>
                <w:color w:val="000000"/>
                <w:sz w:val="24"/>
              </w:rPr>
              <w:t>买入</w:t>
            </w:r>
            <w:r w:rsidRPr="00F229B7">
              <w:rPr>
                <w:color w:val="000000"/>
                <w:sz w:val="24"/>
              </w:rPr>
              <w:t>/</w:t>
            </w:r>
            <w:r w:rsidRPr="00F229B7">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rFonts w:eastAsiaTheme="minorEastAsia"/>
                <w:color w:val="000000"/>
                <w:kern w:val="0"/>
                <w:sz w:val="24"/>
              </w:rPr>
              <w:t>本报告期</w:t>
            </w:r>
            <w:r w:rsidRPr="00F229B7">
              <w:rPr>
                <w:color w:val="000000"/>
                <w:sz w:val="24"/>
              </w:rPr>
              <w:t>卖出</w:t>
            </w:r>
            <w:r w:rsidRPr="00F229B7">
              <w:rPr>
                <w:color w:val="000000"/>
                <w:sz w:val="24"/>
              </w:rPr>
              <w:t>/</w:t>
            </w:r>
            <w:r w:rsidRPr="00F229B7">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sz w:val="24"/>
              </w:rPr>
            </w:pPr>
            <w:r w:rsidRPr="00F229B7">
              <w:rPr>
                <w:rFonts w:eastAsiaTheme="minorEastAsia"/>
                <w:color w:val="000000"/>
                <w:sz w:val="24"/>
              </w:rPr>
              <w:t>13,122,703.41</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color w:val="000000"/>
                <w:sz w:val="24"/>
              </w:rPr>
              <w:t>报告期期末持有的本基金份额占基金总份额比例（</w:t>
            </w:r>
            <w:r w:rsidRPr="00F229B7">
              <w:rPr>
                <w:color w:val="000000"/>
                <w:sz w:val="24"/>
              </w:rPr>
              <w:t>%</w:t>
            </w:r>
            <w:r w:rsidRPr="00F229B7">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40.74</w:t>
            </w:r>
          </w:p>
        </w:tc>
      </w:tr>
    </w:tbl>
    <w:p w:rsidR="002472A5" w:rsidRDefault="005C3FF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20F7C" w:rsidRDefault="00F229B7" w:rsidP="00B0421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t xml:space="preserve">    2</w:t>
      </w:r>
      <w:r w:rsidRPr="00F229B7">
        <w:rPr>
          <w:rFonts w:eastAsiaTheme="minorEastAsia"/>
          <w:color w:val="000000"/>
          <w:sz w:val="24"/>
        </w:rPr>
        <w:t>、如果本报告期间发生转换出业务，则总赎回份额中包含该业务。</w:t>
      </w:r>
    </w:p>
    <w:p w:rsidR="00F20F7C" w:rsidRDefault="00F20F7C" w:rsidP="00B04217">
      <w:pPr>
        <w:autoSpaceDE w:val="0"/>
        <w:autoSpaceDN w:val="0"/>
        <w:adjustRightInd w:val="0"/>
        <w:spacing w:before="29" w:line="288" w:lineRule="auto"/>
        <w:jc w:val="left"/>
        <w:rPr>
          <w:rFonts w:eastAsiaTheme="minorEastAsia"/>
          <w:color w:val="000000"/>
          <w:sz w:val="24"/>
        </w:rPr>
      </w:pPr>
    </w:p>
    <w:p w:rsidR="00F20F7C" w:rsidRPr="00F20F7C" w:rsidRDefault="00F229B7" w:rsidP="009744C4">
      <w:pPr>
        <w:spacing w:line="288" w:lineRule="auto"/>
        <w:jc w:val="left"/>
        <w:rPr>
          <w:rFonts w:eastAsiaTheme="minorEastAsia"/>
          <w:b/>
          <w:color w:val="000000"/>
          <w:sz w:val="24"/>
        </w:rPr>
      </w:pPr>
      <w:r w:rsidRPr="00F20F7C">
        <w:rPr>
          <w:b/>
          <w:sz w:val="24"/>
        </w:rPr>
        <w:t xml:space="preserve">7.2 </w:t>
      </w:r>
      <w:r w:rsidRPr="00F20F7C">
        <w:rPr>
          <w:rFonts w:hint="eastAsia"/>
          <w:b/>
          <w:sz w:val="24"/>
        </w:rPr>
        <w:t>基金管理人运用固有资金投资本基金交易明细</w:t>
      </w:r>
    </w:p>
    <w:p w:rsidR="00EF07DC" w:rsidRPr="00324C76" w:rsidRDefault="00EF07DC" w:rsidP="00B04217">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R="00016A56" w:rsidRPr="00324C76" w:rsidRDefault="00016A56" w:rsidP="00B04217">
      <w:pPr>
        <w:autoSpaceDE w:val="0"/>
        <w:autoSpaceDN w:val="0"/>
        <w:adjustRightInd w:val="0"/>
        <w:spacing w:before="29" w:line="288" w:lineRule="auto"/>
        <w:jc w:val="left"/>
        <w:rPr>
          <w:color w:val="000000"/>
          <w:sz w:val="24"/>
        </w:rPr>
      </w:pPr>
    </w:p>
    <w:p w:rsidR="002C5CC8" w:rsidRPr="007E75F6" w:rsidRDefault="002C5CC8" w:rsidP="002C5CC8">
      <w:pPr>
        <w:pStyle w:val="1"/>
        <w:spacing w:beforeLines="100" w:before="312" w:afterLines="100" w:after="312" w:line="360" w:lineRule="auto"/>
        <w:jc w:val="center"/>
        <w:rPr>
          <w:rFonts w:eastAsiaTheme="minorEastAsia"/>
          <w:color w:val="000000" w:themeColor="text1"/>
          <w:kern w:val="0"/>
          <w:sz w:val="24"/>
          <w:szCs w:val="24"/>
        </w:rPr>
      </w:pPr>
      <w:r w:rsidRPr="007E75F6">
        <w:rPr>
          <w:rFonts w:eastAsiaTheme="minorEastAsia"/>
          <w:color w:val="000000" w:themeColor="text1"/>
          <w:kern w:val="0"/>
          <w:sz w:val="24"/>
          <w:szCs w:val="24"/>
        </w:rPr>
        <w:lastRenderedPageBreak/>
        <w:t>§8</w:t>
      </w:r>
      <w:r w:rsidRPr="007E75F6">
        <w:rPr>
          <w:rFonts w:eastAsiaTheme="minorEastAsia"/>
          <w:color w:val="000000" w:themeColor="text1"/>
          <w:kern w:val="0"/>
          <w:sz w:val="24"/>
          <w:szCs w:val="24"/>
        </w:rPr>
        <w:t>影响投资者决策的其他重要信息</w:t>
      </w:r>
    </w:p>
    <w:p w:rsidR="002C5CC8" w:rsidRPr="007E75F6" w:rsidRDefault="002C5CC8" w:rsidP="002C5CC8">
      <w:pPr>
        <w:autoSpaceDE w:val="0"/>
        <w:autoSpaceDN w:val="0"/>
        <w:adjustRightInd w:val="0"/>
        <w:spacing w:line="360" w:lineRule="auto"/>
        <w:jc w:val="left"/>
        <w:rPr>
          <w:rFonts w:eastAsiaTheme="minorEastAsia"/>
          <w:b/>
          <w:bCs/>
          <w:color w:val="000000" w:themeColor="text1"/>
          <w:kern w:val="0"/>
          <w:sz w:val="24"/>
        </w:rPr>
      </w:pPr>
      <w:r>
        <w:rPr>
          <w:rFonts w:eastAsiaTheme="minorEastAsia"/>
          <w:b/>
          <w:bCs/>
          <w:color w:val="000000" w:themeColor="text1"/>
          <w:kern w:val="0"/>
          <w:sz w:val="24"/>
        </w:rPr>
        <w:t>8.</w:t>
      </w:r>
      <w:r>
        <w:rPr>
          <w:rFonts w:eastAsiaTheme="minorEastAsia" w:hint="eastAsia"/>
          <w:b/>
          <w:bCs/>
          <w:color w:val="000000" w:themeColor="text1"/>
          <w:kern w:val="0"/>
          <w:sz w:val="24"/>
        </w:rPr>
        <w:t xml:space="preserve">1 </w:t>
      </w:r>
      <w:r w:rsidRPr="007E75F6">
        <w:rPr>
          <w:rFonts w:eastAsiaTheme="minorEastAsia" w:hint="eastAsia"/>
          <w:b/>
          <w:bCs/>
          <w:color w:val="000000" w:themeColor="text1"/>
          <w:kern w:val="0"/>
          <w:sz w:val="24"/>
        </w:rPr>
        <w:t>报告期内单一投资者持有基金份额比例达到或超过</w:t>
      </w:r>
      <w:r w:rsidRPr="007E75F6">
        <w:rPr>
          <w:rFonts w:eastAsiaTheme="minorEastAsia" w:hint="eastAsia"/>
          <w:b/>
          <w:bCs/>
          <w:color w:val="000000" w:themeColor="text1"/>
          <w:kern w:val="0"/>
          <w:sz w:val="24"/>
        </w:rPr>
        <w:t>20%</w:t>
      </w:r>
      <w:r w:rsidRPr="007E75F6">
        <w:rPr>
          <w:rFonts w:eastAsiaTheme="minorEastAsia" w:hint="eastAsia"/>
          <w:b/>
          <w:bCs/>
          <w:color w:val="000000" w:themeColor="text1"/>
          <w:kern w:val="0"/>
          <w:sz w:val="24"/>
        </w:rPr>
        <w:t>的情况</w:t>
      </w:r>
    </w:p>
    <w:tbl>
      <w:tblPr>
        <w:tblStyle w:val="af7"/>
        <w:tblW w:w="9212" w:type="dxa"/>
        <w:tblInd w:w="-176" w:type="dxa"/>
        <w:tblLayout w:type="fixed"/>
        <w:tblLook w:val="04A0" w:firstRow="1" w:lastRow="0" w:firstColumn="1" w:lastColumn="0" w:noHBand="0" w:noVBand="1"/>
      </w:tblPr>
      <w:tblGrid>
        <w:gridCol w:w="851"/>
        <w:gridCol w:w="1134"/>
        <w:gridCol w:w="1843"/>
        <w:gridCol w:w="851"/>
        <w:gridCol w:w="850"/>
        <w:gridCol w:w="992"/>
        <w:gridCol w:w="1418"/>
        <w:gridCol w:w="1273"/>
      </w:tblGrid>
      <w:tr w:rsidR="002C5CC8" w:rsidRPr="007E75F6" w:rsidTr="00B06DDA">
        <w:tc>
          <w:tcPr>
            <w:tcW w:w="851" w:type="dxa"/>
            <w:vMerge w:val="restart"/>
            <w:vAlign w:val="center"/>
          </w:tcPr>
          <w:p w:rsidR="002C5CC8" w:rsidRPr="00412CB5" w:rsidRDefault="002C5CC8" w:rsidP="00B06DDA">
            <w:pPr>
              <w:autoSpaceDE w:val="0"/>
              <w:autoSpaceDN w:val="0"/>
              <w:adjustRightInd w:val="0"/>
              <w:jc w:val="center"/>
              <w:rPr>
                <w:rFonts w:ascii="宋体" w:hAnsi="宋体"/>
                <w:color w:val="000000"/>
                <w:sz w:val="22"/>
              </w:rPr>
            </w:pPr>
            <w:r w:rsidRPr="00412CB5">
              <w:rPr>
                <w:rFonts w:ascii="宋体" w:hAnsi="宋体" w:hint="eastAsia"/>
                <w:color w:val="000000"/>
                <w:sz w:val="22"/>
              </w:rPr>
              <w:t>投资者类别</w:t>
            </w:r>
          </w:p>
        </w:tc>
        <w:tc>
          <w:tcPr>
            <w:tcW w:w="5670" w:type="dxa"/>
            <w:gridSpan w:val="5"/>
            <w:vAlign w:val="center"/>
          </w:tcPr>
          <w:p w:rsidR="002C5CC8" w:rsidRPr="00412CB5" w:rsidRDefault="002C5CC8" w:rsidP="00B06DDA">
            <w:pPr>
              <w:autoSpaceDE w:val="0"/>
              <w:autoSpaceDN w:val="0"/>
              <w:adjustRightInd w:val="0"/>
              <w:jc w:val="center"/>
              <w:rPr>
                <w:rFonts w:ascii="宋体" w:hAnsi="宋体"/>
                <w:color w:val="000000"/>
                <w:sz w:val="22"/>
              </w:rPr>
            </w:pPr>
            <w:r w:rsidRPr="00412CB5">
              <w:rPr>
                <w:rFonts w:ascii="宋体" w:hAnsi="宋体" w:hint="eastAsia"/>
                <w:color w:val="000000"/>
                <w:sz w:val="22"/>
              </w:rPr>
              <w:t>报告期内持有基金份额变化情况</w:t>
            </w:r>
          </w:p>
        </w:tc>
        <w:tc>
          <w:tcPr>
            <w:tcW w:w="2691" w:type="dxa"/>
            <w:gridSpan w:val="2"/>
            <w:vAlign w:val="center"/>
          </w:tcPr>
          <w:p w:rsidR="002C5CC8" w:rsidRPr="00412CB5" w:rsidRDefault="002C5CC8" w:rsidP="00B06DDA">
            <w:pPr>
              <w:autoSpaceDE w:val="0"/>
              <w:autoSpaceDN w:val="0"/>
              <w:adjustRightInd w:val="0"/>
              <w:rPr>
                <w:rFonts w:ascii="宋体" w:hAnsi="宋体"/>
                <w:color w:val="000000"/>
                <w:sz w:val="22"/>
              </w:rPr>
            </w:pPr>
            <w:r w:rsidRPr="00412CB5">
              <w:rPr>
                <w:rFonts w:ascii="宋体" w:hAnsi="宋体" w:hint="eastAsia"/>
                <w:color w:val="000000"/>
                <w:sz w:val="22"/>
              </w:rPr>
              <w:t>报告期末持有基金情况</w:t>
            </w:r>
          </w:p>
        </w:tc>
      </w:tr>
      <w:tr w:rsidR="002C5CC8" w:rsidRPr="007E75F6" w:rsidTr="00B06DDA">
        <w:tc>
          <w:tcPr>
            <w:tcW w:w="851" w:type="dxa"/>
            <w:vMerge/>
            <w:vAlign w:val="center"/>
          </w:tcPr>
          <w:p w:rsidR="002C5CC8" w:rsidRPr="00412CB5" w:rsidRDefault="002C5CC8" w:rsidP="00B06DDA">
            <w:pPr>
              <w:autoSpaceDE w:val="0"/>
              <w:autoSpaceDN w:val="0"/>
              <w:adjustRightInd w:val="0"/>
              <w:jc w:val="center"/>
              <w:rPr>
                <w:rFonts w:ascii="宋体" w:hAnsi="宋体"/>
                <w:color w:val="000000"/>
                <w:sz w:val="22"/>
              </w:rPr>
            </w:pPr>
          </w:p>
        </w:tc>
        <w:tc>
          <w:tcPr>
            <w:tcW w:w="1134" w:type="dxa"/>
            <w:vAlign w:val="center"/>
          </w:tcPr>
          <w:p w:rsidR="002C5CC8" w:rsidRPr="00412CB5" w:rsidRDefault="002C5CC8" w:rsidP="00B06DDA">
            <w:pPr>
              <w:autoSpaceDE w:val="0"/>
              <w:autoSpaceDN w:val="0"/>
              <w:adjustRightInd w:val="0"/>
              <w:jc w:val="center"/>
              <w:rPr>
                <w:rFonts w:ascii="宋体" w:hAnsi="宋体"/>
                <w:color w:val="000000"/>
                <w:sz w:val="22"/>
              </w:rPr>
            </w:pPr>
            <w:r w:rsidRPr="00412CB5">
              <w:rPr>
                <w:rFonts w:ascii="宋体" w:hAnsi="宋体" w:hint="eastAsia"/>
                <w:color w:val="000000"/>
                <w:sz w:val="22"/>
              </w:rPr>
              <w:t>序号</w:t>
            </w:r>
          </w:p>
        </w:tc>
        <w:tc>
          <w:tcPr>
            <w:tcW w:w="1843" w:type="dxa"/>
            <w:vAlign w:val="center"/>
          </w:tcPr>
          <w:p w:rsidR="002C5CC8" w:rsidRPr="00412CB5" w:rsidRDefault="002C5CC8" w:rsidP="00B06DDA">
            <w:pPr>
              <w:autoSpaceDE w:val="0"/>
              <w:autoSpaceDN w:val="0"/>
              <w:adjustRightInd w:val="0"/>
              <w:rPr>
                <w:rFonts w:ascii="宋体" w:hAnsi="宋体"/>
                <w:color w:val="000000"/>
                <w:sz w:val="22"/>
              </w:rPr>
            </w:pPr>
            <w:r w:rsidRPr="00412CB5">
              <w:rPr>
                <w:rFonts w:ascii="宋体" w:hAnsi="宋体" w:hint="eastAsia"/>
                <w:color w:val="000000"/>
                <w:sz w:val="22"/>
              </w:rPr>
              <w:t>持有基金份额比例达到或者超过20%的时间区间</w:t>
            </w:r>
          </w:p>
        </w:tc>
        <w:tc>
          <w:tcPr>
            <w:tcW w:w="851" w:type="dxa"/>
            <w:vAlign w:val="center"/>
          </w:tcPr>
          <w:p w:rsidR="002C5CC8" w:rsidRPr="00412CB5" w:rsidRDefault="003B128A" w:rsidP="008017E1">
            <w:pPr>
              <w:widowControl/>
              <w:jc w:val="center"/>
              <w:rPr>
                <w:rFonts w:ascii="宋体" w:hAnsi="宋体"/>
                <w:color w:val="000000"/>
                <w:sz w:val="22"/>
              </w:rPr>
            </w:pPr>
            <w:r>
              <w:rPr>
                <w:rFonts w:ascii="宋体" w:hAnsi="宋体" w:hint="eastAsia"/>
                <w:color w:val="000000"/>
                <w:sz w:val="22"/>
              </w:rPr>
              <w:t>期</w:t>
            </w:r>
            <w:r w:rsidR="002C5CC8" w:rsidRPr="00412CB5">
              <w:rPr>
                <w:rFonts w:ascii="宋体" w:hAnsi="宋体" w:hint="eastAsia"/>
                <w:color w:val="000000"/>
                <w:sz w:val="22"/>
              </w:rPr>
              <w:t>初份额</w:t>
            </w:r>
          </w:p>
        </w:tc>
        <w:tc>
          <w:tcPr>
            <w:tcW w:w="850" w:type="dxa"/>
            <w:vAlign w:val="center"/>
          </w:tcPr>
          <w:p w:rsidR="002C5CC8" w:rsidRPr="00412CB5" w:rsidRDefault="003B128A" w:rsidP="008017E1">
            <w:pPr>
              <w:widowControl/>
              <w:jc w:val="center"/>
              <w:rPr>
                <w:rFonts w:ascii="宋体" w:hAnsi="宋体"/>
                <w:color w:val="000000"/>
                <w:sz w:val="22"/>
              </w:rPr>
            </w:pPr>
            <w:r>
              <w:rPr>
                <w:rFonts w:ascii="宋体" w:hAnsi="宋体" w:hint="eastAsia"/>
                <w:color w:val="000000"/>
                <w:sz w:val="22"/>
              </w:rPr>
              <w:t>申</w:t>
            </w:r>
            <w:r w:rsidR="002C5CC8" w:rsidRPr="00412CB5">
              <w:rPr>
                <w:rFonts w:ascii="宋体" w:hAnsi="宋体" w:hint="eastAsia"/>
                <w:color w:val="000000"/>
                <w:sz w:val="22"/>
              </w:rPr>
              <w:t>购份额</w:t>
            </w:r>
          </w:p>
        </w:tc>
        <w:tc>
          <w:tcPr>
            <w:tcW w:w="992" w:type="dxa"/>
            <w:vAlign w:val="center"/>
          </w:tcPr>
          <w:p w:rsidR="002C5CC8" w:rsidRPr="00412CB5" w:rsidRDefault="002C5CC8" w:rsidP="00B06DDA">
            <w:pPr>
              <w:autoSpaceDE w:val="0"/>
              <w:autoSpaceDN w:val="0"/>
              <w:adjustRightInd w:val="0"/>
              <w:jc w:val="center"/>
              <w:rPr>
                <w:rFonts w:ascii="宋体" w:hAnsi="宋体"/>
                <w:color w:val="000000"/>
                <w:sz w:val="22"/>
              </w:rPr>
            </w:pPr>
            <w:r w:rsidRPr="00412CB5">
              <w:rPr>
                <w:rFonts w:ascii="宋体" w:hAnsi="宋体" w:hint="eastAsia"/>
                <w:color w:val="000000"/>
                <w:sz w:val="22"/>
              </w:rPr>
              <w:t>赎回份额</w:t>
            </w:r>
          </w:p>
        </w:tc>
        <w:tc>
          <w:tcPr>
            <w:tcW w:w="1418" w:type="dxa"/>
            <w:vAlign w:val="center"/>
          </w:tcPr>
          <w:p w:rsidR="002C5CC8" w:rsidRPr="00412CB5" w:rsidRDefault="002C5CC8" w:rsidP="00B06DDA">
            <w:pPr>
              <w:autoSpaceDE w:val="0"/>
              <w:autoSpaceDN w:val="0"/>
              <w:adjustRightInd w:val="0"/>
              <w:rPr>
                <w:rFonts w:ascii="宋体" w:hAnsi="宋体"/>
                <w:color w:val="000000"/>
                <w:sz w:val="22"/>
              </w:rPr>
            </w:pPr>
            <w:r w:rsidRPr="00412CB5">
              <w:rPr>
                <w:rFonts w:ascii="宋体" w:hAnsi="宋体" w:hint="eastAsia"/>
                <w:color w:val="000000"/>
                <w:sz w:val="22"/>
              </w:rPr>
              <w:t>持有份额</w:t>
            </w:r>
          </w:p>
        </w:tc>
        <w:tc>
          <w:tcPr>
            <w:tcW w:w="1273" w:type="dxa"/>
            <w:vAlign w:val="center"/>
          </w:tcPr>
          <w:p w:rsidR="002C5CC8" w:rsidRPr="00412CB5" w:rsidRDefault="002C5CC8" w:rsidP="00B06DDA">
            <w:pPr>
              <w:autoSpaceDE w:val="0"/>
              <w:autoSpaceDN w:val="0"/>
              <w:adjustRightInd w:val="0"/>
              <w:jc w:val="center"/>
              <w:rPr>
                <w:rFonts w:ascii="宋体" w:hAnsi="宋体"/>
                <w:color w:val="000000"/>
                <w:sz w:val="22"/>
              </w:rPr>
            </w:pPr>
            <w:r w:rsidRPr="00412CB5">
              <w:rPr>
                <w:rFonts w:ascii="宋体" w:hAnsi="宋体" w:hint="eastAsia"/>
                <w:color w:val="000000"/>
                <w:sz w:val="22"/>
              </w:rPr>
              <w:t>份额占比</w:t>
            </w:r>
          </w:p>
        </w:tc>
      </w:tr>
      <w:tr w:rsidR="002472A5">
        <w:tc>
          <w:tcPr>
            <w:tcW w:w="851" w:type="dxa"/>
          </w:tcPr>
          <w:p w:rsidR="002472A5" w:rsidRDefault="002472A5"/>
          <w:p w:rsidR="002472A5" w:rsidRDefault="005C3FF7">
            <w:r>
              <w:rPr>
                <w:rFonts w:eastAsiaTheme="minorEastAsia" w:hint="eastAsia"/>
                <w:bCs/>
                <w:color w:val="000000" w:themeColor="text1"/>
                <w:sz w:val="24"/>
              </w:rPr>
              <w:t>机构</w:t>
            </w:r>
          </w:p>
        </w:tc>
        <w:tc>
          <w:tcPr>
            <w:tcW w:w="1134" w:type="dxa"/>
            <w:vAlign w:val="center"/>
          </w:tcPr>
          <w:p w:rsidR="002472A5" w:rsidRDefault="005C3FF7">
            <w:pPr>
              <w:jc w:val="center"/>
            </w:pPr>
            <w:r>
              <w:rPr>
                <w:color w:val="000000"/>
                <w:sz w:val="22"/>
              </w:rPr>
              <w:t>1</w:t>
            </w:r>
          </w:p>
        </w:tc>
        <w:tc>
          <w:tcPr>
            <w:tcW w:w="1843" w:type="dxa"/>
            <w:vAlign w:val="center"/>
          </w:tcPr>
          <w:p w:rsidR="002472A5" w:rsidRDefault="005C3FF7">
            <w:pPr>
              <w:jc w:val="center"/>
            </w:pPr>
            <w:r>
              <w:rPr>
                <w:color w:val="000000"/>
                <w:sz w:val="22"/>
              </w:rPr>
              <w:t>2017/1/1-2017/3/31</w:t>
            </w:r>
          </w:p>
        </w:tc>
        <w:tc>
          <w:tcPr>
            <w:tcW w:w="851" w:type="dxa"/>
            <w:vAlign w:val="center"/>
          </w:tcPr>
          <w:p w:rsidR="002472A5" w:rsidRDefault="005C3FF7">
            <w:pPr>
              <w:jc w:val="center"/>
            </w:pPr>
            <w:r>
              <w:rPr>
                <w:color w:val="000000"/>
                <w:sz w:val="22"/>
              </w:rPr>
              <w:t>13,122,703.41</w:t>
            </w:r>
          </w:p>
        </w:tc>
        <w:tc>
          <w:tcPr>
            <w:tcW w:w="850" w:type="dxa"/>
            <w:vAlign w:val="center"/>
          </w:tcPr>
          <w:p w:rsidR="002472A5" w:rsidRDefault="005C3FF7">
            <w:pPr>
              <w:jc w:val="center"/>
            </w:pPr>
            <w:r>
              <w:rPr>
                <w:color w:val="000000"/>
                <w:sz w:val="22"/>
              </w:rPr>
              <w:t>-</w:t>
            </w:r>
          </w:p>
        </w:tc>
        <w:tc>
          <w:tcPr>
            <w:tcW w:w="992" w:type="dxa"/>
            <w:vAlign w:val="center"/>
          </w:tcPr>
          <w:p w:rsidR="002472A5" w:rsidRDefault="005C3FF7">
            <w:pPr>
              <w:jc w:val="center"/>
            </w:pPr>
            <w:r>
              <w:rPr>
                <w:color w:val="000000"/>
                <w:sz w:val="22"/>
              </w:rPr>
              <w:t>-</w:t>
            </w:r>
          </w:p>
        </w:tc>
        <w:tc>
          <w:tcPr>
            <w:tcW w:w="1418" w:type="dxa"/>
            <w:vAlign w:val="center"/>
          </w:tcPr>
          <w:p w:rsidR="002472A5" w:rsidRDefault="005C3FF7">
            <w:pPr>
              <w:jc w:val="center"/>
            </w:pPr>
            <w:r>
              <w:rPr>
                <w:color w:val="000000"/>
                <w:sz w:val="22"/>
              </w:rPr>
              <w:t>13,122,703.41</w:t>
            </w:r>
          </w:p>
        </w:tc>
        <w:tc>
          <w:tcPr>
            <w:tcW w:w="1273" w:type="dxa"/>
            <w:vAlign w:val="center"/>
          </w:tcPr>
          <w:p w:rsidR="002472A5" w:rsidRDefault="005C3FF7">
            <w:pPr>
              <w:jc w:val="center"/>
            </w:pPr>
            <w:r>
              <w:rPr>
                <w:color w:val="000000"/>
                <w:sz w:val="22"/>
              </w:rPr>
              <w:t>40.74%</w:t>
            </w:r>
          </w:p>
        </w:tc>
      </w:tr>
      <w:tr w:rsidR="002C5CC8" w:rsidRPr="0077692E" w:rsidTr="00B06DDA">
        <w:tc>
          <w:tcPr>
            <w:tcW w:w="9212" w:type="dxa"/>
            <w:gridSpan w:val="8"/>
            <w:vAlign w:val="center"/>
          </w:tcPr>
          <w:p w:rsidR="002C5CC8" w:rsidRPr="0077692E" w:rsidRDefault="002C5CC8" w:rsidP="00B06DDA">
            <w:pPr>
              <w:autoSpaceDE w:val="0"/>
              <w:autoSpaceDN w:val="0"/>
              <w:adjustRightInd w:val="0"/>
              <w:ind w:firstLine="1126"/>
              <w:jc w:val="center"/>
              <w:rPr>
                <w:sz w:val="22"/>
              </w:rPr>
            </w:pPr>
            <w:r w:rsidRPr="0077692E">
              <w:rPr>
                <w:color w:val="000000"/>
                <w:sz w:val="22"/>
              </w:rPr>
              <w:t>产品特有风险</w:t>
            </w:r>
          </w:p>
        </w:tc>
      </w:tr>
      <w:tr w:rsidR="002C5CC8" w:rsidRPr="00EF20F9" w:rsidTr="00B06DDA">
        <w:tc>
          <w:tcPr>
            <w:tcW w:w="9212" w:type="dxa"/>
            <w:gridSpan w:val="8"/>
            <w:vAlign w:val="center"/>
          </w:tcPr>
          <w:p w:rsidR="002C5CC8" w:rsidRPr="00EF20F9" w:rsidRDefault="002C5CC8" w:rsidP="00B06DDA">
            <w:pPr>
              <w:autoSpaceDE w:val="0"/>
              <w:autoSpaceDN w:val="0"/>
              <w:adjustRightInd w:val="0"/>
              <w:jc w:val="left"/>
              <w:rPr>
                <w:sz w:val="22"/>
              </w:rPr>
            </w:pPr>
            <w:r>
              <w:rPr>
                <w:rFonts w:hint="eastAsia"/>
                <w:sz w:val="22"/>
              </w:rPr>
              <w:t>本基金本报告期内出现单一投资者持有基金份额比例超过基金总份额</w:t>
            </w:r>
            <w:r>
              <w:rPr>
                <w:rFonts w:hint="eastAsia"/>
                <w:sz w:val="22"/>
              </w:rPr>
              <w:t>20%</w:t>
            </w:r>
            <w:r>
              <w:rPr>
                <w:rFonts w:hint="eastAsia"/>
                <w:sz w:val="22"/>
              </w:rPr>
              <w:t>的情况。如该类投资者集中赎回，可能会对本基金带来流动性冲击，从而影响基金的投资运作和收益水平。基金管理人将加强流动性管理，防范相关风险，保护持有人利益。</w:t>
            </w:r>
          </w:p>
        </w:tc>
      </w:tr>
    </w:tbl>
    <w:p w:rsidR="006A0A24" w:rsidRPr="00495FAB" w:rsidRDefault="00220542" w:rsidP="006F59D5">
      <w:pPr>
        <w:pStyle w:val="1"/>
        <w:spacing w:beforeLines="100" w:before="312" w:afterLines="100" w:after="312" w:line="288" w:lineRule="auto"/>
        <w:jc w:val="center"/>
        <w:rPr>
          <w:kern w:val="0"/>
          <w:sz w:val="24"/>
          <w:szCs w:val="24"/>
        </w:rPr>
      </w:pPr>
      <w:r w:rsidRPr="00324C76">
        <w:rPr>
          <w:kern w:val="0"/>
          <w:sz w:val="24"/>
          <w:szCs w:val="24"/>
        </w:rPr>
        <w:t>§</w:t>
      </w:r>
      <w:r w:rsidR="00B31ADE" w:rsidRPr="00324C76">
        <w:rPr>
          <w:kern w:val="0"/>
          <w:sz w:val="24"/>
          <w:szCs w:val="24"/>
        </w:rPr>
        <w:t>9</w:t>
      </w:r>
      <w:r w:rsidR="005348C7" w:rsidRPr="00324C76">
        <w:rPr>
          <w:kern w:val="0"/>
          <w:sz w:val="24"/>
          <w:szCs w:val="24"/>
        </w:rPr>
        <w:t xml:space="preserve"> </w:t>
      </w:r>
      <w:r w:rsidRPr="00324C76">
        <w:rPr>
          <w:kern w:val="0"/>
          <w:sz w:val="24"/>
          <w:szCs w:val="24"/>
        </w:rPr>
        <w:t>备查文件目录</w:t>
      </w:r>
    </w:p>
    <w:p w:rsidR="00220542" w:rsidRPr="00324C76" w:rsidRDefault="00B31ADE" w:rsidP="00B04217">
      <w:pPr>
        <w:spacing w:before="29" w:line="288" w:lineRule="auto"/>
        <w:rPr>
          <w:b/>
          <w:sz w:val="24"/>
        </w:rPr>
      </w:pPr>
      <w:r w:rsidRPr="00324C76">
        <w:rPr>
          <w:b/>
          <w:sz w:val="24"/>
        </w:rPr>
        <w:t>9</w:t>
      </w:r>
      <w:r w:rsidR="00220542" w:rsidRPr="00324C76">
        <w:rPr>
          <w:b/>
          <w:sz w:val="24"/>
        </w:rPr>
        <w:t>.</w:t>
      </w:r>
      <w:r w:rsidR="0083066D" w:rsidRPr="00324C76">
        <w:rPr>
          <w:b/>
          <w:sz w:val="24"/>
        </w:rPr>
        <w:t>1</w:t>
      </w:r>
      <w:r w:rsidR="00446862" w:rsidRPr="00324C76">
        <w:rPr>
          <w:b/>
          <w:sz w:val="24"/>
        </w:rPr>
        <w:t xml:space="preserve"> </w:t>
      </w:r>
      <w:r w:rsidR="00220542" w:rsidRPr="00324C76">
        <w:rPr>
          <w:b/>
          <w:sz w:val="24"/>
        </w:rPr>
        <w:t>备查文件目录</w:t>
      </w:r>
    </w:p>
    <w:p w:rsidR="002472A5" w:rsidRDefault="005C3FF7">
      <w:pPr>
        <w:spacing w:before="29" w:line="288" w:lineRule="auto"/>
        <w:ind w:firstLineChars="200" w:firstLine="480"/>
        <w:rPr>
          <w:color w:val="000000"/>
          <w:sz w:val="24"/>
        </w:rPr>
      </w:pPr>
      <w:r>
        <w:rPr>
          <w:color w:val="000000"/>
          <w:sz w:val="24"/>
        </w:rPr>
        <w:t>1</w:t>
      </w:r>
      <w:r>
        <w:rPr>
          <w:color w:val="000000"/>
          <w:sz w:val="24"/>
        </w:rPr>
        <w:t>、中国证监会核准交银施罗德深证</w:t>
      </w:r>
      <w:r>
        <w:rPr>
          <w:color w:val="000000"/>
          <w:sz w:val="24"/>
        </w:rPr>
        <w:t>300</w:t>
      </w:r>
      <w:r>
        <w:rPr>
          <w:color w:val="000000"/>
          <w:sz w:val="24"/>
        </w:rPr>
        <w:t>价值交易型开放式指数证券投资基金联接基金募集的文件；</w:t>
      </w:r>
    </w:p>
    <w:p w:rsidR="002472A5" w:rsidRDefault="005C3FF7">
      <w:pPr>
        <w:spacing w:before="29" w:line="288" w:lineRule="auto"/>
        <w:ind w:firstLineChars="200" w:firstLine="480"/>
        <w:rPr>
          <w:color w:val="000000"/>
          <w:sz w:val="24"/>
        </w:rPr>
      </w:pPr>
      <w:r>
        <w:rPr>
          <w:color w:val="000000"/>
          <w:sz w:val="24"/>
        </w:rPr>
        <w:t>2</w:t>
      </w:r>
      <w:r>
        <w:rPr>
          <w:color w:val="000000"/>
          <w:sz w:val="24"/>
        </w:rPr>
        <w:t>、《交银施罗德深证</w:t>
      </w:r>
      <w:r>
        <w:rPr>
          <w:color w:val="000000"/>
          <w:sz w:val="24"/>
        </w:rPr>
        <w:t>300</w:t>
      </w:r>
      <w:r>
        <w:rPr>
          <w:color w:val="000000"/>
          <w:sz w:val="24"/>
        </w:rPr>
        <w:t>价值交易型开放式指数证券投资基金联接基金基金合同》；</w:t>
      </w:r>
      <w:r>
        <w:rPr>
          <w:color w:val="000000"/>
          <w:sz w:val="24"/>
        </w:rPr>
        <w:t xml:space="preserve"> </w:t>
      </w:r>
    </w:p>
    <w:p w:rsidR="002472A5" w:rsidRDefault="005C3FF7">
      <w:pPr>
        <w:spacing w:before="29" w:line="288" w:lineRule="auto"/>
        <w:ind w:firstLineChars="200" w:firstLine="480"/>
        <w:rPr>
          <w:color w:val="000000"/>
          <w:sz w:val="24"/>
        </w:rPr>
      </w:pPr>
      <w:r>
        <w:rPr>
          <w:color w:val="000000"/>
          <w:sz w:val="24"/>
        </w:rPr>
        <w:t>3</w:t>
      </w:r>
      <w:r>
        <w:rPr>
          <w:color w:val="000000"/>
          <w:sz w:val="24"/>
        </w:rPr>
        <w:t>、《交银施罗德深证</w:t>
      </w:r>
      <w:r>
        <w:rPr>
          <w:color w:val="000000"/>
          <w:sz w:val="24"/>
        </w:rPr>
        <w:t>300</w:t>
      </w:r>
      <w:r>
        <w:rPr>
          <w:color w:val="000000"/>
          <w:sz w:val="24"/>
        </w:rPr>
        <w:t>价值交易型开放式指数证券投资基金联接基金招募说明书》；</w:t>
      </w:r>
    </w:p>
    <w:p w:rsidR="002472A5" w:rsidRDefault="005C3FF7">
      <w:pPr>
        <w:spacing w:before="29" w:line="288" w:lineRule="auto"/>
        <w:ind w:firstLineChars="200" w:firstLine="480"/>
        <w:rPr>
          <w:color w:val="000000"/>
          <w:sz w:val="24"/>
        </w:rPr>
      </w:pPr>
      <w:r>
        <w:rPr>
          <w:color w:val="000000"/>
          <w:sz w:val="24"/>
        </w:rPr>
        <w:t>4</w:t>
      </w:r>
      <w:r>
        <w:rPr>
          <w:color w:val="000000"/>
          <w:sz w:val="24"/>
        </w:rPr>
        <w:t>、《交银施罗德深证</w:t>
      </w:r>
      <w:r>
        <w:rPr>
          <w:color w:val="000000"/>
          <w:sz w:val="24"/>
        </w:rPr>
        <w:t>300</w:t>
      </w:r>
      <w:r>
        <w:rPr>
          <w:color w:val="000000"/>
          <w:sz w:val="24"/>
        </w:rPr>
        <w:t>价值交易型开放式指数证券投资基金联接基金托管协议》；</w:t>
      </w:r>
    </w:p>
    <w:p w:rsidR="002472A5" w:rsidRDefault="005C3FF7">
      <w:pPr>
        <w:spacing w:before="29" w:line="288" w:lineRule="auto"/>
        <w:ind w:firstLineChars="200" w:firstLine="480"/>
        <w:rPr>
          <w:color w:val="000000"/>
          <w:sz w:val="24"/>
        </w:rPr>
      </w:pPr>
      <w:r>
        <w:rPr>
          <w:color w:val="000000"/>
          <w:sz w:val="24"/>
        </w:rPr>
        <w:t>5</w:t>
      </w:r>
      <w:r>
        <w:rPr>
          <w:color w:val="000000"/>
          <w:sz w:val="24"/>
        </w:rPr>
        <w:t>、关于申请募集交银施罗德深证</w:t>
      </w:r>
      <w:r>
        <w:rPr>
          <w:color w:val="000000"/>
          <w:sz w:val="24"/>
        </w:rPr>
        <w:t>300</w:t>
      </w:r>
      <w:r>
        <w:rPr>
          <w:color w:val="000000"/>
          <w:sz w:val="24"/>
        </w:rPr>
        <w:t>价值交易型开放式指数证券投资基金联接基金之法律意见书；</w:t>
      </w:r>
    </w:p>
    <w:p w:rsidR="002472A5" w:rsidRDefault="005C3FF7">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2472A5" w:rsidRDefault="005C3FF7">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24C76" w:rsidRDefault="00A40C1C" w:rsidP="00B04217">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、报告期内交银施罗德深证</w:t>
      </w:r>
      <w:r w:rsidRPr="00324C76">
        <w:rPr>
          <w:color w:val="000000"/>
          <w:sz w:val="24"/>
        </w:rPr>
        <w:t>300</w:t>
      </w:r>
      <w:r w:rsidRPr="00324C76">
        <w:rPr>
          <w:color w:val="000000"/>
          <w:sz w:val="24"/>
        </w:rPr>
        <w:t>价值交易型开放式指数证券投资基金联接基金在指定报刊上各项公告的原稿。</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9.2</w:t>
      </w:r>
      <w:r w:rsidR="00446862" w:rsidRPr="00324C76">
        <w:rPr>
          <w:b/>
          <w:sz w:val="24"/>
        </w:rPr>
        <w:t xml:space="preserve"> </w:t>
      </w:r>
      <w:r w:rsidR="00220542" w:rsidRPr="00324C76">
        <w:rPr>
          <w:b/>
          <w:sz w:val="24"/>
        </w:rPr>
        <w:t>存放地点</w:t>
      </w:r>
    </w:p>
    <w:p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9.3</w:t>
      </w:r>
      <w:r w:rsidR="00446862" w:rsidRPr="00324C76">
        <w:rPr>
          <w:b/>
          <w:sz w:val="24"/>
        </w:rPr>
        <w:t xml:space="preserve"> </w:t>
      </w:r>
      <w:r w:rsidR="00220542" w:rsidRPr="00324C76">
        <w:rPr>
          <w:b/>
          <w:sz w:val="24"/>
        </w:rPr>
        <w:t>查阅方式</w:t>
      </w:r>
    </w:p>
    <w:p w:rsidR="002472A5" w:rsidRDefault="005C3FF7">
      <w:pPr>
        <w:spacing w:before="29" w:line="288" w:lineRule="auto"/>
        <w:ind w:firstLineChars="200" w:firstLine="480"/>
        <w:rPr>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w:t>
      </w:r>
      <w:r>
        <w:rPr>
          <w:color w:val="000000"/>
          <w:sz w:val="24"/>
        </w:rPr>
        <w:lastRenderedPageBreak/>
        <w:t>资者可在合理时间内取得上述文件的复制件或复印件。</w:t>
      </w:r>
      <w:r>
        <w:rPr>
          <w:color w:val="000000"/>
          <w:sz w:val="24"/>
        </w:rPr>
        <w:t xml:space="preserve"> </w:t>
      </w:r>
    </w:p>
    <w:p w:rsidR="00E33DCE" w:rsidRPr="00324C76" w:rsidRDefault="00A40C1C" w:rsidP="00B04217">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t>services@jysld.com</w:t>
      </w:r>
      <w:r w:rsidRPr="00324C76">
        <w:rPr>
          <w:color w:val="000000"/>
          <w:sz w:val="24"/>
        </w:rPr>
        <w:t>。</w:t>
      </w:r>
    </w:p>
    <w:p w:rsidR="00897EC2" w:rsidRPr="00324C76" w:rsidRDefault="00897EC2" w:rsidP="00B04217">
      <w:pPr>
        <w:spacing w:before="29" w:line="288" w:lineRule="auto"/>
        <w:ind w:firstLineChars="200" w:firstLine="480"/>
        <w:rPr>
          <w:sz w:val="24"/>
        </w:rPr>
      </w:pPr>
    </w:p>
    <w:sectPr w:rsidR="00897EC2" w:rsidRPr="00324C76" w:rsidSect="00412E7F">
      <w:footerReference w:type="even" r:id="rId11"/>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721" w:rsidRDefault="00D21721">
      <w:r>
        <w:separator/>
      </w:r>
    </w:p>
  </w:endnote>
  <w:endnote w:type="continuationSeparator" w:id="0">
    <w:p w:rsidR="00D21721" w:rsidRDefault="00D2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1D0DB0" w:rsidRDefault="00FC3631" w:rsidP="00DB4EE7">
    <w:pPr>
      <w:pStyle w:val="a6"/>
      <w:jc w:val="center"/>
    </w:pPr>
    <w:r>
      <w:rPr>
        <w:rFonts w:hint="eastAsia"/>
        <w:kern w:val="0"/>
        <w:szCs w:val="21"/>
      </w:rPr>
      <w:t>第</w:t>
    </w:r>
    <w:r w:rsidR="00D46057">
      <w:rPr>
        <w:rFonts w:hint="eastAsia"/>
        <w:kern w:val="0"/>
        <w:szCs w:val="21"/>
      </w:rPr>
      <w:t xml:space="preserve"> </w:t>
    </w:r>
    <w:r w:rsidR="00AC658E">
      <w:rPr>
        <w:kern w:val="0"/>
        <w:szCs w:val="21"/>
      </w:rPr>
      <w:fldChar w:fldCharType="begin"/>
    </w:r>
    <w:r>
      <w:rPr>
        <w:kern w:val="0"/>
        <w:szCs w:val="21"/>
      </w:rPr>
      <w:instrText xml:space="preserve"> PAGE </w:instrText>
    </w:r>
    <w:r w:rsidR="00AC658E">
      <w:rPr>
        <w:kern w:val="0"/>
        <w:szCs w:val="21"/>
      </w:rPr>
      <w:fldChar w:fldCharType="separate"/>
    </w:r>
    <w:r w:rsidR="008017E1">
      <w:rPr>
        <w:noProof/>
        <w:kern w:val="0"/>
        <w:szCs w:val="21"/>
      </w:rPr>
      <w:t>12</w:t>
    </w:r>
    <w:r w:rsidR="00AC658E">
      <w:rPr>
        <w:kern w:val="0"/>
        <w:szCs w:val="21"/>
      </w:rPr>
      <w:fldChar w:fldCharType="end"/>
    </w:r>
    <w:r w:rsidR="00D46057">
      <w:rPr>
        <w:rFonts w:hint="eastAsia"/>
        <w:kern w:val="0"/>
        <w:szCs w:val="21"/>
      </w:rPr>
      <w:t xml:space="preserve"> </w:t>
    </w:r>
    <w:r>
      <w:rPr>
        <w:rFonts w:hint="eastAsia"/>
        <w:kern w:val="0"/>
        <w:szCs w:val="21"/>
      </w:rPr>
      <w:t>页</w:t>
    </w:r>
    <w:r w:rsidR="00D46057">
      <w:rPr>
        <w:rFonts w:hint="eastAsia"/>
        <w:kern w:val="0"/>
        <w:szCs w:val="21"/>
      </w:rPr>
      <w:t xml:space="preserve"> </w:t>
    </w:r>
    <w:r>
      <w:rPr>
        <w:rFonts w:hint="eastAsia"/>
        <w:kern w:val="0"/>
        <w:szCs w:val="21"/>
      </w:rPr>
      <w:t>共</w:t>
    </w:r>
    <w:r w:rsidR="00D46057">
      <w:rPr>
        <w:rFonts w:hint="eastAsia"/>
        <w:kern w:val="0"/>
        <w:szCs w:val="21"/>
      </w:rPr>
      <w:t xml:space="preserve"> </w:t>
    </w:r>
    <w:r w:rsidR="00AC658E">
      <w:rPr>
        <w:kern w:val="0"/>
        <w:szCs w:val="21"/>
      </w:rPr>
      <w:fldChar w:fldCharType="begin"/>
    </w:r>
    <w:r>
      <w:rPr>
        <w:kern w:val="0"/>
        <w:szCs w:val="21"/>
      </w:rPr>
      <w:instrText xml:space="preserve"> NUMPAGES </w:instrText>
    </w:r>
    <w:r w:rsidR="00AC658E">
      <w:rPr>
        <w:kern w:val="0"/>
        <w:szCs w:val="21"/>
      </w:rPr>
      <w:fldChar w:fldCharType="separate"/>
    </w:r>
    <w:r w:rsidR="008017E1">
      <w:rPr>
        <w:noProof/>
        <w:kern w:val="0"/>
        <w:szCs w:val="21"/>
      </w:rPr>
      <w:t>14</w:t>
    </w:r>
    <w:r w:rsidR="00AC658E">
      <w:rPr>
        <w:kern w:val="0"/>
        <w:szCs w:val="21"/>
      </w:rPr>
      <w:fldChar w:fldCharType="end"/>
    </w:r>
    <w:r w:rsidR="00D46057">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Default="00AC658E">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721" w:rsidRDefault="00D21721">
      <w:r>
        <w:separator/>
      </w:r>
    </w:p>
  </w:footnote>
  <w:footnote w:type="continuationSeparator" w:id="0">
    <w:p w:rsidR="00D21721" w:rsidRDefault="00D21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6B198C" w:rsidRDefault="00A54580" w:rsidP="00C6357C">
    <w:pPr>
      <w:pStyle w:val="a9"/>
      <w:pBdr>
        <w:bottom w:val="single" w:sz="6" w:space="0" w:color="auto"/>
      </w:pBdr>
      <w:ind w:right="90"/>
      <w:jc w:val="right"/>
    </w:pPr>
    <w:r>
      <w:rPr>
        <w:noProof/>
      </w:rPr>
      <w:drawing>
        <wp:anchor distT="0" distB="0" distL="114300" distR="114300" simplePos="0" relativeHeight="251658240" behindDoc="0" locked="0" layoutInCell="1" allowOverlap="1">
          <wp:simplePos x="0" y="0"/>
          <wp:positionH relativeFrom="column">
            <wp:posOffset>-52705</wp:posOffset>
          </wp:positionH>
          <wp:positionV relativeFrom="paragraph">
            <wp:posOffset>-330835</wp:posOffset>
          </wp:positionV>
          <wp:extent cx="2085975" cy="45720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4528"/>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56F"/>
    <w:rsid w:val="000A06A0"/>
    <w:rsid w:val="000A1C78"/>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D27BF"/>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D0F6A"/>
    <w:rsid w:val="001D1D94"/>
    <w:rsid w:val="001D20D5"/>
    <w:rsid w:val="001D21BC"/>
    <w:rsid w:val="001D2FA5"/>
    <w:rsid w:val="001D35E0"/>
    <w:rsid w:val="001D5045"/>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4AD"/>
    <w:rsid w:val="002125F7"/>
    <w:rsid w:val="00214463"/>
    <w:rsid w:val="00214756"/>
    <w:rsid w:val="00214B50"/>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2A5"/>
    <w:rsid w:val="0024740E"/>
    <w:rsid w:val="0025007E"/>
    <w:rsid w:val="00250970"/>
    <w:rsid w:val="00251392"/>
    <w:rsid w:val="0025158D"/>
    <w:rsid w:val="0025281A"/>
    <w:rsid w:val="00253D3C"/>
    <w:rsid w:val="00255292"/>
    <w:rsid w:val="00260200"/>
    <w:rsid w:val="00261468"/>
    <w:rsid w:val="002620C9"/>
    <w:rsid w:val="00263E8D"/>
    <w:rsid w:val="002648D8"/>
    <w:rsid w:val="00273F86"/>
    <w:rsid w:val="002757CA"/>
    <w:rsid w:val="002774F0"/>
    <w:rsid w:val="00282506"/>
    <w:rsid w:val="002825A4"/>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CC8"/>
    <w:rsid w:val="002C5D69"/>
    <w:rsid w:val="002D179F"/>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6630"/>
    <w:rsid w:val="00390B25"/>
    <w:rsid w:val="00397156"/>
    <w:rsid w:val="0039770F"/>
    <w:rsid w:val="00397960"/>
    <w:rsid w:val="003A3BC4"/>
    <w:rsid w:val="003A458A"/>
    <w:rsid w:val="003A7129"/>
    <w:rsid w:val="003B128A"/>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6BE4"/>
    <w:rsid w:val="00456CEF"/>
    <w:rsid w:val="00457804"/>
    <w:rsid w:val="004646BF"/>
    <w:rsid w:val="00464744"/>
    <w:rsid w:val="004665E3"/>
    <w:rsid w:val="004721FE"/>
    <w:rsid w:val="004731F1"/>
    <w:rsid w:val="004739A8"/>
    <w:rsid w:val="00480BC8"/>
    <w:rsid w:val="00481265"/>
    <w:rsid w:val="004814BF"/>
    <w:rsid w:val="00481E6C"/>
    <w:rsid w:val="00483508"/>
    <w:rsid w:val="0048587E"/>
    <w:rsid w:val="00486365"/>
    <w:rsid w:val="00486D56"/>
    <w:rsid w:val="00487C2B"/>
    <w:rsid w:val="00487E29"/>
    <w:rsid w:val="004909BF"/>
    <w:rsid w:val="00490A9D"/>
    <w:rsid w:val="00491158"/>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1B14"/>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386C"/>
    <w:rsid w:val="004E60FB"/>
    <w:rsid w:val="004F1DD8"/>
    <w:rsid w:val="004F779C"/>
    <w:rsid w:val="004F7846"/>
    <w:rsid w:val="005000D4"/>
    <w:rsid w:val="00504850"/>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CC1"/>
    <w:rsid w:val="00543188"/>
    <w:rsid w:val="00543367"/>
    <w:rsid w:val="00543BFA"/>
    <w:rsid w:val="00547D9C"/>
    <w:rsid w:val="00547DA1"/>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440"/>
    <w:rsid w:val="005960E5"/>
    <w:rsid w:val="00597057"/>
    <w:rsid w:val="00597D8B"/>
    <w:rsid w:val="005A1C30"/>
    <w:rsid w:val="005A3295"/>
    <w:rsid w:val="005A44A3"/>
    <w:rsid w:val="005A46FF"/>
    <w:rsid w:val="005B011E"/>
    <w:rsid w:val="005B1C89"/>
    <w:rsid w:val="005B2E84"/>
    <w:rsid w:val="005B323C"/>
    <w:rsid w:val="005B7B0E"/>
    <w:rsid w:val="005B7DCD"/>
    <w:rsid w:val="005C0751"/>
    <w:rsid w:val="005C2C2B"/>
    <w:rsid w:val="005C3FF7"/>
    <w:rsid w:val="005C5409"/>
    <w:rsid w:val="005C69AC"/>
    <w:rsid w:val="005C722E"/>
    <w:rsid w:val="005D01A4"/>
    <w:rsid w:val="005D259B"/>
    <w:rsid w:val="005D278A"/>
    <w:rsid w:val="005D45B3"/>
    <w:rsid w:val="005D4CEB"/>
    <w:rsid w:val="005D5E5B"/>
    <w:rsid w:val="005D6496"/>
    <w:rsid w:val="005E004D"/>
    <w:rsid w:val="005E43A2"/>
    <w:rsid w:val="005F04E6"/>
    <w:rsid w:val="005F43B9"/>
    <w:rsid w:val="005F68CB"/>
    <w:rsid w:val="006003EC"/>
    <w:rsid w:val="006033E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41808"/>
    <w:rsid w:val="00642072"/>
    <w:rsid w:val="0064350E"/>
    <w:rsid w:val="006440ED"/>
    <w:rsid w:val="00645293"/>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73EC"/>
    <w:rsid w:val="006A0A24"/>
    <w:rsid w:val="006A1874"/>
    <w:rsid w:val="006A72C6"/>
    <w:rsid w:val="006A7FC4"/>
    <w:rsid w:val="006B02DA"/>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9D5"/>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2D1D"/>
    <w:rsid w:val="00733D9B"/>
    <w:rsid w:val="00733FB9"/>
    <w:rsid w:val="00736034"/>
    <w:rsid w:val="0073681C"/>
    <w:rsid w:val="00736C89"/>
    <w:rsid w:val="0073709A"/>
    <w:rsid w:val="00741EBE"/>
    <w:rsid w:val="00746130"/>
    <w:rsid w:val="00746A40"/>
    <w:rsid w:val="00750358"/>
    <w:rsid w:val="00750E0C"/>
    <w:rsid w:val="0075424A"/>
    <w:rsid w:val="00755CDF"/>
    <w:rsid w:val="00756731"/>
    <w:rsid w:val="00757A4C"/>
    <w:rsid w:val="00764A94"/>
    <w:rsid w:val="007651E5"/>
    <w:rsid w:val="007670DC"/>
    <w:rsid w:val="00771003"/>
    <w:rsid w:val="0077111A"/>
    <w:rsid w:val="007715F1"/>
    <w:rsid w:val="00772272"/>
    <w:rsid w:val="0077542F"/>
    <w:rsid w:val="007756ED"/>
    <w:rsid w:val="0078047B"/>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17E1"/>
    <w:rsid w:val="00802081"/>
    <w:rsid w:val="00802299"/>
    <w:rsid w:val="00806461"/>
    <w:rsid w:val="0080742F"/>
    <w:rsid w:val="0081096D"/>
    <w:rsid w:val="00810EAD"/>
    <w:rsid w:val="00811833"/>
    <w:rsid w:val="00814DCE"/>
    <w:rsid w:val="0081515B"/>
    <w:rsid w:val="008174D4"/>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7896"/>
    <w:rsid w:val="008F2477"/>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C658E"/>
    <w:rsid w:val="00AD036A"/>
    <w:rsid w:val="00AD04BD"/>
    <w:rsid w:val="00AD18BE"/>
    <w:rsid w:val="00AD7214"/>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22A8"/>
    <w:rsid w:val="00BA3E48"/>
    <w:rsid w:val="00BA4BD3"/>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1D0A"/>
    <w:rsid w:val="00C56CC6"/>
    <w:rsid w:val="00C6357C"/>
    <w:rsid w:val="00C640D9"/>
    <w:rsid w:val="00C645E6"/>
    <w:rsid w:val="00C64D82"/>
    <w:rsid w:val="00C64FBC"/>
    <w:rsid w:val="00C65A83"/>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200BD"/>
    <w:rsid w:val="00D21721"/>
    <w:rsid w:val="00D22399"/>
    <w:rsid w:val="00D260E1"/>
    <w:rsid w:val="00D33374"/>
    <w:rsid w:val="00D33751"/>
    <w:rsid w:val="00D33822"/>
    <w:rsid w:val="00D33A3D"/>
    <w:rsid w:val="00D36125"/>
    <w:rsid w:val="00D36F6E"/>
    <w:rsid w:val="00D37343"/>
    <w:rsid w:val="00D41291"/>
    <w:rsid w:val="00D4205E"/>
    <w:rsid w:val="00D46057"/>
    <w:rsid w:val="00D5081E"/>
    <w:rsid w:val="00D5574C"/>
    <w:rsid w:val="00D6057D"/>
    <w:rsid w:val="00D61982"/>
    <w:rsid w:val="00D62130"/>
    <w:rsid w:val="00D621B5"/>
    <w:rsid w:val="00D6267A"/>
    <w:rsid w:val="00D63BBA"/>
    <w:rsid w:val="00D67D12"/>
    <w:rsid w:val="00D72602"/>
    <w:rsid w:val="00D734A9"/>
    <w:rsid w:val="00D7585A"/>
    <w:rsid w:val="00D759A7"/>
    <w:rsid w:val="00D76DD5"/>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41E4"/>
    <w:rsid w:val="00DC5116"/>
    <w:rsid w:val="00DC7C77"/>
    <w:rsid w:val="00DD7E19"/>
    <w:rsid w:val="00DD7EA2"/>
    <w:rsid w:val="00DE00F2"/>
    <w:rsid w:val="00DE117F"/>
    <w:rsid w:val="00DE401C"/>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B71"/>
    <w:rsid w:val="00F97C28"/>
    <w:rsid w:val="00FA1245"/>
    <w:rsid w:val="00FA2DDA"/>
    <w:rsid w:val="00FA34CA"/>
    <w:rsid w:val="00FA4A55"/>
    <w:rsid w:val="00FA4D4F"/>
    <w:rsid w:val="00FA54E8"/>
    <w:rsid w:val="00FB2D17"/>
    <w:rsid w:val="00FB2F69"/>
    <w:rsid w:val="00FB368B"/>
    <w:rsid w:val="00FB45FF"/>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987B52A4-4BAB-4F20-9915-F2DB31F2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rsid w:val="006973EC"/>
    <w:rPr>
      <w:b/>
      <w:bCs/>
      <w:kern w:val="44"/>
      <w:sz w:val="44"/>
      <w:szCs w:val="44"/>
    </w:rPr>
  </w:style>
  <w:style w:type="character" w:customStyle="1" w:styleId="Char1">
    <w:name w:val="日期 Char"/>
    <w:basedOn w:val="a1"/>
    <w:link w:val="ad"/>
    <w:rsid w:val="00294DD0"/>
    <w:rPr>
      <w:kern w:val="2"/>
      <w:sz w:val="24"/>
    </w:rPr>
  </w:style>
  <w:style w:type="character" w:styleId="af8">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B59F0-D761-4C7F-AC73-C90687B1A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Template>
  <TotalTime>327</TotalTime>
  <Pages>14</Pages>
  <Words>1184</Words>
  <Characters>6755</Characters>
  <Application>Microsoft Office Word</Application>
  <DocSecurity>0</DocSecurity>
  <Lines>56</Lines>
  <Paragraphs>15</Paragraphs>
  <ScaleCrop>false</ScaleCrop>
  <Company>TRT. Ltd. Co.</Company>
  <LinksUpToDate>false</LinksUpToDate>
  <CharactersWithSpaces>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395</cp:revision>
  <cp:lastPrinted>2007-07-19T00:46:00Z</cp:lastPrinted>
  <dcterms:created xsi:type="dcterms:W3CDTF">2012-11-13T02:08:00Z</dcterms:created>
  <dcterms:modified xsi:type="dcterms:W3CDTF">2017-04-20T08:35:00Z</dcterms:modified>
</cp:coreProperties>
</file>