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二〇一七年四月二十四日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175CC0" w:rsidRDefault="008731A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75CC0" w:rsidRDefault="008731A4">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75CC0" w:rsidRDefault="008731A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75CC0" w:rsidRDefault="008731A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75CC0" w:rsidRDefault="008731A4">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31,329,693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03F84" w:rsidRPr="0036023B" w:rsidTr="00C03F84">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C03F84" w:rsidRPr="0036023B" w:rsidTr="00C03F8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-273,773.27</w:t>
            </w:r>
          </w:p>
        </w:tc>
      </w:tr>
      <w:tr w:rsidR="00C03F84" w:rsidRPr="0036023B" w:rsidTr="00C03F8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3,032,752.46</w:t>
            </w:r>
          </w:p>
        </w:tc>
      </w:tr>
      <w:tr w:rsidR="00C03F84" w:rsidRPr="0036023B" w:rsidTr="00C03F8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0.0976</w:t>
            </w:r>
          </w:p>
        </w:tc>
      </w:tr>
      <w:tr w:rsidR="00C03F84" w:rsidRPr="0036023B" w:rsidTr="00C03F8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47,797,365.48</w:t>
            </w:r>
          </w:p>
        </w:tc>
      </w:tr>
      <w:tr w:rsidR="00C03F84" w:rsidRPr="0036023B" w:rsidTr="00C03F84">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1.526</w:t>
            </w:r>
          </w:p>
        </w:tc>
      </w:tr>
    </w:tbl>
    <w:p w:rsidR="00175CC0" w:rsidRDefault="008731A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175CC0">
        <w:trPr>
          <w:jc w:val="center"/>
        </w:trPr>
        <w:tc>
          <w:tcPr>
            <w:tcW w:w="1469" w:type="dxa"/>
            <w:vAlign w:val="center"/>
          </w:tcPr>
          <w:p w:rsidR="00175CC0" w:rsidRDefault="008731A4">
            <w:pPr>
              <w:jc w:val="left"/>
            </w:pPr>
            <w:r>
              <w:rPr>
                <w:color w:val="000000"/>
                <w:sz w:val="24"/>
              </w:rPr>
              <w:t>过去三个月</w:t>
            </w:r>
          </w:p>
        </w:tc>
        <w:tc>
          <w:tcPr>
            <w:tcW w:w="1150" w:type="dxa"/>
            <w:vAlign w:val="center"/>
          </w:tcPr>
          <w:p w:rsidR="00175CC0" w:rsidRDefault="008731A4">
            <w:pPr>
              <w:jc w:val="center"/>
            </w:pPr>
            <w:r>
              <w:rPr>
                <w:color w:val="000000"/>
                <w:sz w:val="24"/>
              </w:rPr>
              <w:t>6.79%</w:t>
            </w:r>
          </w:p>
        </w:tc>
        <w:tc>
          <w:tcPr>
            <w:tcW w:w="1223" w:type="dxa"/>
            <w:vAlign w:val="center"/>
          </w:tcPr>
          <w:p w:rsidR="00175CC0" w:rsidRDefault="008731A4">
            <w:pPr>
              <w:jc w:val="center"/>
            </w:pPr>
            <w:r>
              <w:rPr>
                <w:color w:val="000000"/>
                <w:sz w:val="24"/>
              </w:rPr>
              <w:t>0.75%</w:t>
            </w:r>
          </w:p>
        </w:tc>
        <w:tc>
          <w:tcPr>
            <w:tcW w:w="1244" w:type="dxa"/>
            <w:vAlign w:val="center"/>
          </w:tcPr>
          <w:p w:rsidR="00175CC0" w:rsidRDefault="008731A4">
            <w:pPr>
              <w:jc w:val="center"/>
            </w:pPr>
            <w:r>
              <w:rPr>
                <w:color w:val="000000"/>
                <w:sz w:val="24"/>
              </w:rPr>
              <w:t>7.35%</w:t>
            </w:r>
          </w:p>
        </w:tc>
        <w:tc>
          <w:tcPr>
            <w:tcW w:w="1251" w:type="dxa"/>
            <w:vAlign w:val="center"/>
          </w:tcPr>
          <w:p w:rsidR="00175CC0" w:rsidRDefault="008731A4">
            <w:pPr>
              <w:jc w:val="center"/>
            </w:pPr>
            <w:r>
              <w:rPr>
                <w:color w:val="000000"/>
                <w:sz w:val="24"/>
              </w:rPr>
              <w:t>0.75%</w:t>
            </w:r>
          </w:p>
        </w:tc>
        <w:tc>
          <w:tcPr>
            <w:tcW w:w="1263" w:type="dxa"/>
            <w:vAlign w:val="center"/>
          </w:tcPr>
          <w:p w:rsidR="00175CC0" w:rsidRDefault="008731A4">
            <w:pPr>
              <w:jc w:val="center"/>
            </w:pPr>
            <w:r>
              <w:rPr>
                <w:color w:val="000000"/>
                <w:sz w:val="24"/>
              </w:rPr>
              <w:t>-0.56%</w:t>
            </w:r>
          </w:p>
        </w:tc>
        <w:tc>
          <w:tcPr>
            <w:tcW w:w="1268" w:type="dxa"/>
            <w:vAlign w:val="center"/>
          </w:tcPr>
          <w:p w:rsidR="00175CC0" w:rsidRDefault="008731A4">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175CC0">
        <w:trPr>
          <w:jc w:val="center"/>
        </w:trPr>
        <w:tc>
          <w:tcPr>
            <w:tcW w:w="846" w:type="dxa"/>
            <w:vAlign w:val="center"/>
          </w:tcPr>
          <w:p w:rsidR="00175CC0" w:rsidRDefault="008731A4">
            <w:pPr>
              <w:jc w:val="center"/>
            </w:pPr>
            <w:r>
              <w:rPr>
                <w:color w:val="000000"/>
                <w:sz w:val="24"/>
              </w:rPr>
              <w:t>蔡铮</w:t>
            </w:r>
          </w:p>
        </w:tc>
        <w:tc>
          <w:tcPr>
            <w:tcW w:w="845" w:type="dxa"/>
            <w:vAlign w:val="center"/>
          </w:tcPr>
          <w:p w:rsidR="00175CC0" w:rsidRDefault="008731A4" w:rsidP="00D13974">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lastRenderedPageBreak/>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w:t>
            </w:r>
            <w:r>
              <w:rPr>
                <w:color w:val="000000"/>
                <w:sz w:val="24"/>
              </w:rPr>
              <w:lastRenderedPageBreak/>
              <w:t>理</w:t>
            </w:r>
          </w:p>
        </w:tc>
        <w:tc>
          <w:tcPr>
            <w:tcW w:w="1549" w:type="dxa"/>
            <w:vAlign w:val="center"/>
          </w:tcPr>
          <w:p w:rsidR="00175CC0" w:rsidRDefault="008731A4">
            <w:pPr>
              <w:jc w:val="center"/>
            </w:pPr>
            <w:r>
              <w:rPr>
                <w:color w:val="000000"/>
                <w:sz w:val="24"/>
              </w:rPr>
              <w:lastRenderedPageBreak/>
              <w:t>2012-12-27</w:t>
            </w:r>
          </w:p>
        </w:tc>
        <w:tc>
          <w:tcPr>
            <w:tcW w:w="1548" w:type="dxa"/>
            <w:vAlign w:val="center"/>
          </w:tcPr>
          <w:p w:rsidR="00175CC0" w:rsidRDefault="008731A4">
            <w:pPr>
              <w:jc w:val="center"/>
            </w:pPr>
            <w:r>
              <w:rPr>
                <w:color w:val="000000"/>
                <w:sz w:val="24"/>
              </w:rPr>
              <w:t>-</w:t>
            </w:r>
          </w:p>
        </w:tc>
        <w:tc>
          <w:tcPr>
            <w:tcW w:w="1407" w:type="dxa"/>
            <w:vAlign w:val="center"/>
          </w:tcPr>
          <w:p w:rsidR="00175CC0" w:rsidRDefault="008731A4">
            <w:pPr>
              <w:jc w:val="center"/>
            </w:pPr>
            <w:r>
              <w:rPr>
                <w:color w:val="000000"/>
                <w:sz w:val="24"/>
              </w:rPr>
              <w:t>8</w:t>
            </w:r>
            <w:r>
              <w:rPr>
                <w:color w:val="000000"/>
                <w:sz w:val="24"/>
              </w:rPr>
              <w:t>年</w:t>
            </w:r>
          </w:p>
        </w:tc>
        <w:tc>
          <w:tcPr>
            <w:tcW w:w="2673" w:type="dxa"/>
            <w:vAlign w:val="center"/>
          </w:tcPr>
          <w:p w:rsidR="00175CC0" w:rsidRDefault="008731A4">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w:t>
            </w:r>
            <w:r>
              <w:rPr>
                <w:color w:val="000000"/>
                <w:sz w:val="24"/>
              </w:rPr>
              <w:lastRenderedPageBreak/>
              <w:t>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175CC0" w:rsidRDefault="008731A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75CC0" w:rsidRDefault="008731A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5CC0" w:rsidRDefault="008731A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8261C3" w:rsidRPr="0036023B" w:rsidRDefault="008261C3" w:rsidP="0099526C">
      <w:pPr>
        <w:spacing w:before="29" w:line="288" w:lineRule="auto"/>
        <w:ind w:firstLineChars="200" w:firstLine="480"/>
        <w:rPr>
          <w:rFonts w:hint="eastAsia"/>
          <w:color w:val="000000"/>
          <w:sz w:val="24"/>
        </w:rPr>
      </w:pP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175CC0" w:rsidRDefault="008731A4">
      <w:pPr>
        <w:spacing w:before="29" w:line="288" w:lineRule="auto"/>
        <w:ind w:firstLineChars="200" w:firstLine="480"/>
        <w:rPr>
          <w:color w:val="000000"/>
          <w:sz w:val="24"/>
        </w:rPr>
      </w:pPr>
      <w:r>
        <w:rPr>
          <w:color w:val="000000"/>
          <w:sz w:val="24"/>
        </w:rPr>
        <w:t>2017</w:t>
      </w:r>
      <w:r>
        <w:rPr>
          <w:color w:val="000000"/>
          <w:sz w:val="24"/>
        </w:rPr>
        <w:t>年一季度，国内宏观经济延续弱势平稳的态势，货币政策中性偏紧，经济基</w:t>
      </w:r>
      <w:r>
        <w:rPr>
          <w:color w:val="000000"/>
          <w:sz w:val="24"/>
        </w:rPr>
        <w:lastRenderedPageBreak/>
        <w:t>本面对资本市场的支持力度总体较为有限。美联储加息，预计全球流动性将进入逐步紧缩的周期。</w:t>
      </w:r>
      <w:r>
        <w:rPr>
          <w:color w:val="000000"/>
          <w:sz w:val="24"/>
        </w:rPr>
        <w:t>A</w:t>
      </w:r>
      <w:r>
        <w:rPr>
          <w:color w:val="000000"/>
          <w:sz w:val="24"/>
        </w:rPr>
        <w:t>股市场呈现出震荡上扬格局，期间低估值蓝筹股表现较好，这与地产需求预期的修复不无关系。作为跟踪基准指数的指数基金，在本季度总体呈现出震荡上扬的走势。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展望下一季度，国内经济已有所企稳，处于阶段性弱复苏期间，预计将继续维持温和增长的态势。预计严控房价依然是常态，金融部门去杠杆将持续。我们对</w:t>
      </w:r>
      <w:r w:rsidRPr="0036023B">
        <w:rPr>
          <w:color w:val="000000"/>
          <w:sz w:val="24"/>
        </w:rPr>
        <w:t>A</w:t>
      </w:r>
      <w:r w:rsidRPr="0036023B">
        <w:rPr>
          <w:color w:val="000000"/>
          <w:sz w:val="24"/>
        </w:rPr>
        <w:t>股市场总体维持谨慎的态度。</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1.526</w:t>
      </w:r>
      <w:r w:rsidRPr="0036023B">
        <w:rPr>
          <w:color w:val="000000"/>
          <w:sz w:val="24"/>
        </w:rPr>
        <w:t>元，本报告期份额净值增长率为</w:t>
      </w:r>
      <w:r w:rsidRPr="0036023B">
        <w:rPr>
          <w:color w:val="000000"/>
          <w:sz w:val="24"/>
        </w:rPr>
        <w:t>6.79%</w:t>
      </w:r>
      <w:r w:rsidRPr="0036023B">
        <w:rPr>
          <w:color w:val="000000"/>
          <w:sz w:val="24"/>
        </w:rPr>
        <w:t>，同期业绩比较基准增长率为</w:t>
      </w:r>
      <w:r w:rsidRPr="0036023B">
        <w:rPr>
          <w:color w:val="000000"/>
          <w:sz w:val="24"/>
        </w:rPr>
        <w:t>7.35%</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47,525,224.76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99.07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47,525,224.76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99.07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447,499.78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0.93</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695.19</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0.00</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47,973,419.73</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2,004,460.00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716,035.00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1.50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29,167,649.52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61.02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1,280,866.44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889,140.20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444,720.00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0.93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189,357.00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6,929,529.41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14.50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4,709,914.42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9.85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271,396.32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495,480.20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426,676.25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47,525,224.76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99.43</w:t>
            </w:r>
          </w:p>
        </w:tc>
      </w:tr>
    </w:tbl>
    <w:p w:rsidR="008261C3" w:rsidRDefault="008261C3"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bookmarkStart w:id="0" w:name="_GoBack"/>
      <w:bookmarkEnd w:id="0"/>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175CC0">
        <w:trPr>
          <w:jc w:val="center"/>
        </w:trPr>
        <w:tc>
          <w:tcPr>
            <w:tcW w:w="850" w:type="dxa"/>
            <w:vAlign w:val="center"/>
          </w:tcPr>
          <w:p w:rsidR="00175CC0" w:rsidRDefault="008731A4">
            <w:pPr>
              <w:jc w:val="center"/>
            </w:pPr>
            <w:r>
              <w:rPr>
                <w:color w:val="000000"/>
                <w:sz w:val="24"/>
              </w:rPr>
              <w:t>1</w:t>
            </w:r>
          </w:p>
        </w:tc>
        <w:tc>
          <w:tcPr>
            <w:tcW w:w="1327" w:type="dxa"/>
            <w:vAlign w:val="center"/>
          </w:tcPr>
          <w:p w:rsidR="00175CC0" w:rsidRDefault="008731A4">
            <w:pPr>
              <w:jc w:val="center"/>
            </w:pPr>
            <w:r>
              <w:rPr>
                <w:color w:val="000000"/>
                <w:sz w:val="24"/>
              </w:rPr>
              <w:t>000651</w:t>
            </w:r>
          </w:p>
        </w:tc>
        <w:tc>
          <w:tcPr>
            <w:tcW w:w="1769" w:type="dxa"/>
            <w:vAlign w:val="center"/>
          </w:tcPr>
          <w:p w:rsidR="00175CC0" w:rsidRDefault="008731A4">
            <w:pPr>
              <w:jc w:val="center"/>
            </w:pPr>
            <w:r>
              <w:rPr>
                <w:color w:val="000000"/>
                <w:sz w:val="24"/>
              </w:rPr>
              <w:t>格力电器</w:t>
            </w:r>
          </w:p>
        </w:tc>
        <w:tc>
          <w:tcPr>
            <w:tcW w:w="1327" w:type="dxa"/>
            <w:vAlign w:val="center"/>
          </w:tcPr>
          <w:p w:rsidR="00175CC0" w:rsidRDefault="008731A4">
            <w:pPr>
              <w:jc w:val="right"/>
            </w:pPr>
            <w:r>
              <w:rPr>
                <w:color w:val="000000"/>
                <w:sz w:val="24"/>
              </w:rPr>
              <w:t>99,974</w:t>
            </w:r>
          </w:p>
        </w:tc>
        <w:tc>
          <w:tcPr>
            <w:tcW w:w="1915" w:type="dxa"/>
            <w:vAlign w:val="center"/>
          </w:tcPr>
          <w:p w:rsidR="00175CC0" w:rsidRDefault="008731A4">
            <w:pPr>
              <w:jc w:val="right"/>
            </w:pPr>
            <w:r>
              <w:rPr>
                <w:color w:val="000000"/>
                <w:sz w:val="24"/>
              </w:rPr>
              <w:t>3,169,175.80</w:t>
            </w:r>
          </w:p>
        </w:tc>
        <w:tc>
          <w:tcPr>
            <w:tcW w:w="1680" w:type="dxa"/>
            <w:vAlign w:val="center"/>
          </w:tcPr>
          <w:p w:rsidR="00175CC0" w:rsidRDefault="008731A4">
            <w:pPr>
              <w:jc w:val="right"/>
            </w:pPr>
            <w:r>
              <w:rPr>
                <w:color w:val="000000"/>
                <w:sz w:val="24"/>
              </w:rPr>
              <w:t>6.63</w:t>
            </w:r>
          </w:p>
        </w:tc>
      </w:tr>
      <w:tr w:rsidR="00175CC0">
        <w:trPr>
          <w:jc w:val="center"/>
        </w:trPr>
        <w:tc>
          <w:tcPr>
            <w:tcW w:w="850" w:type="dxa"/>
            <w:vAlign w:val="center"/>
          </w:tcPr>
          <w:p w:rsidR="00175CC0" w:rsidRDefault="008731A4">
            <w:pPr>
              <w:jc w:val="center"/>
            </w:pPr>
            <w:r>
              <w:rPr>
                <w:color w:val="000000"/>
                <w:sz w:val="24"/>
              </w:rPr>
              <w:t>2</w:t>
            </w:r>
          </w:p>
        </w:tc>
        <w:tc>
          <w:tcPr>
            <w:tcW w:w="1327" w:type="dxa"/>
            <w:vAlign w:val="center"/>
          </w:tcPr>
          <w:p w:rsidR="00175CC0" w:rsidRDefault="008731A4">
            <w:pPr>
              <w:jc w:val="center"/>
            </w:pPr>
            <w:r>
              <w:rPr>
                <w:color w:val="000000"/>
                <w:sz w:val="24"/>
              </w:rPr>
              <w:t>000333</w:t>
            </w:r>
          </w:p>
        </w:tc>
        <w:tc>
          <w:tcPr>
            <w:tcW w:w="1769" w:type="dxa"/>
            <w:vAlign w:val="center"/>
          </w:tcPr>
          <w:p w:rsidR="00175CC0" w:rsidRDefault="008731A4">
            <w:pPr>
              <w:jc w:val="center"/>
            </w:pPr>
            <w:r>
              <w:rPr>
                <w:color w:val="000000"/>
                <w:sz w:val="24"/>
              </w:rPr>
              <w:t>美的集团</w:t>
            </w:r>
          </w:p>
        </w:tc>
        <w:tc>
          <w:tcPr>
            <w:tcW w:w="1327" w:type="dxa"/>
            <w:vAlign w:val="center"/>
          </w:tcPr>
          <w:p w:rsidR="00175CC0" w:rsidRDefault="008731A4">
            <w:pPr>
              <w:jc w:val="right"/>
            </w:pPr>
            <w:r>
              <w:rPr>
                <w:color w:val="000000"/>
                <w:sz w:val="24"/>
              </w:rPr>
              <w:t>89,187</w:t>
            </w:r>
          </w:p>
        </w:tc>
        <w:tc>
          <w:tcPr>
            <w:tcW w:w="1915" w:type="dxa"/>
            <w:vAlign w:val="center"/>
          </w:tcPr>
          <w:p w:rsidR="00175CC0" w:rsidRDefault="008731A4">
            <w:pPr>
              <w:jc w:val="right"/>
            </w:pPr>
            <w:r>
              <w:rPr>
                <w:color w:val="000000"/>
                <w:sz w:val="24"/>
              </w:rPr>
              <w:t>2,969,927.10</w:t>
            </w:r>
          </w:p>
        </w:tc>
        <w:tc>
          <w:tcPr>
            <w:tcW w:w="1680" w:type="dxa"/>
            <w:vAlign w:val="center"/>
          </w:tcPr>
          <w:p w:rsidR="00175CC0" w:rsidRDefault="008731A4">
            <w:pPr>
              <w:jc w:val="right"/>
            </w:pPr>
            <w:r>
              <w:rPr>
                <w:color w:val="000000"/>
                <w:sz w:val="24"/>
              </w:rPr>
              <w:t>6.21</w:t>
            </w:r>
          </w:p>
        </w:tc>
      </w:tr>
      <w:tr w:rsidR="00175CC0">
        <w:trPr>
          <w:jc w:val="center"/>
        </w:trPr>
        <w:tc>
          <w:tcPr>
            <w:tcW w:w="850" w:type="dxa"/>
            <w:vAlign w:val="center"/>
          </w:tcPr>
          <w:p w:rsidR="00175CC0" w:rsidRDefault="008731A4">
            <w:pPr>
              <w:jc w:val="center"/>
            </w:pPr>
            <w:r>
              <w:rPr>
                <w:color w:val="000000"/>
                <w:sz w:val="24"/>
              </w:rPr>
              <w:t>3</w:t>
            </w:r>
          </w:p>
        </w:tc>
        <w:tc>
          <w:tcPr>
            <w:tcW w:w="1327" w:type="dxa"/>
            <w:vAlign w:val="center"/>
          </w:tcPr>
          <w:p w:rsidR="00175CC0" w:rsidRDefault="008731A4">
            <w:pPr>
              <w:jc w:val="center"/>
            </w:pPr>
            <w:r>
              <w:rPr>
                <w:color w:val="000000"/>
                <w:sz w:val="24"/>
              </w:rPr>
              <w:t>300498</w:t>
            </w:r>
          </w:p>
        </w:tc>
        <w:tc>
          <w:tcPr>
            <w:tcW w:w="1769" w:type="dxa"/>
            <w:vAlign w:val="center"/>
          </w:tcPr>
          <w:p w:rsidR="00175CC0" w:rsidRDefault="008731A4">
            <w:pPr>
              <w:jc w:val="center"/>
            </w:pPr>
            <w:r>
              <w:rPr>
                <w:color w:val="000000"/>
                <w:sz w:val="24"/>
              </w:rPr>
              <w:t>温氏股份</w:t>
            </w:r>
          </w:p>
        </w:tc>
        <w:tc>
          <w:tcPr>
            <w:tcW w:w="1327" w:type="dxa"/>
            <w:vAlign w:val="center"/>
          </w:tcPr>
          <w:p w:rsidR="00175CC0" w:rsidRDefault="008731A4">
            <w:pPr>
              <w:jc w:val="right"/>
            </w:pPr>
            <w:r>
              <w:rPr>
                <w:color w:val="000000"/>
                <w:sz w:val="24"/>
              </w:rPr>
              <w:t>61,000</w:t>
            </w:r>
          </w:p>
        </w:tc>
        <w:tc>
          <w:tcPr>
            <w:tcW w:w="1915" w:type="dxa"/>
            <w:vAlign w:val="center"/>
          </w:tcPr>
          <w:p w:rsidR="00175CC0" w:rsidRDefault="008731A4">
            <w:pPr>
              <w:jc w:val="right"/>
            </w:pPr>
            <w:r>
              <w:rPr>
                <w:color w:val="000000"/>
                <w:sz w:val="24"/>
              </w:rPr>
              <w:t>2,004,460.00</w:t>
            </w:r>
          </w:p>
        </w:tc>
        <w:tc>
          <w:tcPr>
            <w:tcW w:w="1680" w:type="dxa"/>
            <w:vAlign w:val="center"/>
          </w:tcPr>
          <w:p w:rsidR="00175CC0" w:rsidRDefault="008731A4">
            <w:pPr>
              <w:jc w:val="right"/>
            </w:pPr>
            <w:r>
              <w:rPr>
                <w:color w:val="000000"/>
                <w:sz w:val="24"/>
              </w:rPr>
              <w:t>4.19</w:t>
            </w:r>
          </w:p>
        </w:tc>
      </w:tr>
      <w:tr w:rsidR="00175CC0">
        <w:trPr>
          <w:jc w:val="center"/>
        </w:trPr>
        <w:tc>
          <w:tcPr>
            <w:tcW w:w="850" w:type="dxa"/>
            <w:vAlign w:val="center"/>
          </w:tcPr>
          <w:p w:rsidR="00175CC0" w:rsidRDefault="008731A4">
            <w:pPr>
              <w:jc w:val="center"/>
            </w:pPr>
            <w:r>
              <w:rPr>
                <w:color w:val="000000"/>
                <w:sz w:val="24"/>
              </w:rPr>
              <w:t>4</w:t>
            </w:r>
          </w:p>
        </w:tc>
        <w:tc>
          <w:tcPr>
            <w:tcW w:w="1327" w:type="dxa"/>
            <w:vAlign w:val="center"/>
          </w:tcPr>
          <w:p w:rsidR="00175CC0" w:rsidRDefault="008731A4">
            <w:pPr>
              <w:jc w:val="center"/>
            </w:pPr>
            <w:r>
              <w:rPr>
                <w:color w:val="000000"/>
                <w:sz w:val="24"/>
              </w:rPr>
              <w:t>000725</w:t>
            </w:r>
          </w:p>
        </w:tc>
        <w:tc>
          <w:tcPr>
            <w:tcW w:w="1769" w:type="dxa"/>
            <w:vAlign w:val="center"/>
          </w:tcPr>
          <w:p w:rsidR="00175CC0" w:rsidRDefault="008731A4">
            <w:pPr>
              <w:jc w:val="center"/>
            </w:pPr>
            <w:r>
              <w:rPr>
                <w:color w:val="000000"/>
                <w:sz w:val="24"/>
              </w:rPr>
              <w:t>京东方Ａ</w:t>
            </w:r>
          </w:p>
        </w:tc>
        <w:tc>
          <w:tcPr>
            <w:tcW w:w="1327" w:type="dxa"/>
            <w:vAlign w:val="center"/>
          </w:tcPr>
          <w:p w:rsidR="00175CC0" w:rsidRDefault="008731A4">
            <w:pPr>
              <w:jc w:val="right"/>
            </w:pPr>
            <w:r>
              <w:rPr>
                <w:color w:val="000000"/>
                <w:sz w:val="24"/>
              </w:rPr>
              <w:t>533,485</w:t>
            </w:r>
          </w:p>
        </w:tc>
        <w:tc>
          <w:tcPr>
            <w:tcW w:w="1915" w:type="dxa"/>
            <w:vAlign w:val="center"/>
          </w:tcPr>
          <w:p w:rsidR="00175CC0" w:rsidRDefault="008731A4">
            <w:pPr>
              <w:jc w:val="right"/>
            </w:pPr>
            <w:r>
              <w:rPr>
                <w:color w:val="000000"/>
                <w:sz w:val="24"/>
              </w:rPr>
              <w:t>1,835,188.40</w:t>
            </w:r>
          </w:p>
        </w:tc>
        <w:tc>
          <w:tcPr>
            <w:tcW w:w="1680" w:type="dxa"/>
            <w:vAlign w:val="center"/>
          </w:tcPr>
          <w:p w:rsidR="00175CC0" w:rsidRDefault="008731A4">
            <w:pPr>
              <w:jc w:val="right"/>
            </w:pPr>
            <w:r>
              <w:rPr>
                <w:color w:val="000000"/>
                <w:sz w:val="24"/>
              </w:rPr>
              <w:t>3.84</w:t>
            </w:r>
          </w:p>
        </w:tc>
      </w:tr>
      <w:tr w:rsidR="00175CC0">
        <w:trPr>
          <w:jc w:val="center"/>
        </w:trPr>
        <w:tc>
          <w:tcPr>
            <w:tcW w:w="850" w:type="dxa"/>
            <w:vAlign w:val="center"/>
          </w:tcPr>
          <w:p w:rsidR="00175CC0" w:rsidRDefault="008731A4">
            <w:pPr>
              <w:jc w:val="center"/>
            </w:pPr>
            <w:r>
              <w:rPr>
                <w:color w:val="000000"/>
                <w:sz w:val="24"/>
              </w:rPr>
              <w:t>5</w:t>
            </w:r>
          </w:p>
        </w:tc>
        <w:tc>
          <w:tcPr>
            <w:tcW w:w="1327" w:type="dxa"/>
            <w:vAlign w:val="center"/>
          </w:tcPr>
          <w:p w:rsidR="00175CC0" w:rsidRDefault="008731A4">
            <w:pPr>
              <w:jc w:val="center"/>
            </w:pPr>
            <w:r>
              <w:rPr>
                <w:color w:val="000000"/>
                <w:sz w:val="24"/>
              </w:rPr>
              <w:t>000002</w:t>
            </w:r>
          </w:p>
        </w:tc>
        <w:tc>
          <w:tcPr>
            <w:tcW w:w="1769" w:type="dxa"/>
            <w:vAlign w:val="center"/>
          </w:tcPr>
          <w:p w:rsidR="00175CC0" w:rsidRDefault="008731A4">
            <w:pPr>
              <w:jc w:val="center"/>
            </w:pPr>
            <w:r>
              <w:rPr>
                <w:color w:val="000000"/>
                <w:sz w:val="24"/>
              </w:rPr>
              <w:t>万</w:t>
            </w:r>
            <w:r>
              <w:rPr>
                <w:color w:val="000000"/>
                <w:sz w:val="24"/>
              </w:rPr>
              <w:t xml:space="preserve">  </w:t>
            </w:r>
            <w:r>
              <w:rPr>
                <w:color w:val="000000"/>
                <w:sz w:val="24"/>
              </w:rPr>
              <w:t>科Ａ</w:t>
            </w:r>
          </w:p>
        </w:tc>
        <w:tc>
          <w:tcPr>
            <w:tcW w:w="1327" w:type="dxa"/>
            <w:vAlign w:val="center"/>
          </w:tcPr>
          <w:p w:rsidR="00175CC0" w:rsidRDefault="008731A4">
            <w:pPr>
              <w:jc w:val="right"/>
            </w:pPr>
            <w:r>
              <w:rPr>
                <w:color w:val="000000"/>
                <w:sz w:val="24"/>
              </w:rPr>
              <w:t>86,400</w:t>
            </w:r>
          </w:p>
        </w:tc>
        <w:tc>
          <w:tcPr>
            <w:tcW w:w="1915" w:type="dxa"/>
            <w:vAlign w:val="center"/>
          </w:tcPr>
          <w:p w:rsidR="00175CC0" w:rsidRDefault="008731A4">
            <w:pPr>
              <w:jc w:val="right"/>
            </w:pPr>
            <w:r>
              <w:rPr>
                <w:color w:val="000000"/>
                <w:sz w:val="24"/>
              </w:rPr>
              <w:t>1,778,112.00</w:t>
            </w:r>
          </w:p>
        </w:tc>
        <w:tc>
          <w:tcPr>
            <w:tcW w:w="1680" w:type="dxa"/>
            <w:vAlign w:val="center"/>
          </w:tcPr>
          <w:p w:rsidR="00175CC0" w:rsidRDefault="008731A4">
            <w:pPr>
              <w:jc w:val="right"/>
            </w:pPr>
            <w:r>
              <w:rPr>
                <w:color w:val="000000"/>
                <w:sz w:val="24"/>
              </w:rPr>
              <w:t>3.72</w:t>
            </w:r>
          </w:p>
        </w:tc>
      </w:tr>
      <w:tr w:rsidR="00175CC0">
        <w:trPr>
          <w:jc w:val="center"/>
        </w:trPr>
        <w:tc>
          <w:tcPr>
            <w:tcW w:w="850" w:type="dxa"/>
            <w:vAlign w:val="center"/>
          </w:tcPr>
          <w:p w:rsidR="00175CC0" w:rsidRDefault="008731A4">
            <w:pPr>
              <w:jc w:val="center"/>
            </w:pPr>
            <w:r>
              <w:rPr>
                <w:color w:val="000000"/>
                <w:sz w:val="24"/>
              </w:rPr>
              <w:t>6</w:t>
            </w:r>
          </w:p>
        </w:tc>
        <w:tc>
          <w:tcPr>
            <w:tcW w:w="1327" w:type="dxa"/>
            <w:vAlign w:val="center"/>
          </w:tcPr>
          <w:p w:rsidR="00175CC0" w:rsidRDefault="008731A4">
            <w:pPr>
              <w:jc w:val="center"/>
            </w:pPr>
            <w:r>
              <w:rPr>
                <w:color w:val="000000"/>
                <w:sz w:val="24"/>
              </w:rPr>
              <w:t>000858</w:t>
            </w:r>
          </w:p>
        </w:tc>
        <w:tc>
          <w:tcPr>
            <w:tcW w:w="1769" w:type="dxa"/>
            <w:vAlign w:val="center"/>
          </w:tcPr>
          <w:p w:rsidR="00175CC0" w:rsidRDefault="008731A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175CC0" w:rsidRDefault="008731A4">
            <w:pPr>
              <w:jc w:val="right"/>
            </w:pPr>
            <w:r>
              <w:rPr>
                <w:color w:val="000000"/>
                <w:sz w:val="24"/>
              </w:rPr>
              <w:t>38,826</w:t>
            </w:r>
          </w:p>
        </w:tc>
        <w:tc>
          <w:tcPr>
            <w:tcW w:w="1915" w:type="dxa"/>
            <w:vAlign w:val="center"/>
          </w:tcPr>
          <w:p w:rsidR="00175CC0" w:rsidRDefault="008731A4">
            <w:pPr>
              <w:jc w:val="right"/>
            </w:pPr>
            <w:r>
              <w:rPr>
                <w:color w:val="000000"/>
                <w:sz w:val="24"/>
              </w:rPr>
              <w:t>1,669,518.00</w:t>
            </w:r>
          </w:p>
        </w:tc>
        <w:tc>
          <w:tcPr>
            <w:tcW w:w="1680" w:type="dxa"/>
            <w:vAlign w:val="center"/>
          </w:tcPr>
          <w:p w:rsidR="00175CC0" w:rsidRDefault="008731A4">
            <w:pPr>
              <w:jc w:val="right"/>
            </w:pPr>
            <w:r>
              <w:rPr>
                <w:color w:val="000000"/>
                <w:sz w:val="24"/>
              </w:rPr>
              <w:t>3.49</w:t>
            </w:r>
          </w:p>
        </w:tc>
      </w:tr>
      <w:tr w:rsidR="00175CC0">
        <w:trPr>
          <w:jc w:val="center"/>
        </w:trPr>
        <w:tc>
          <w:tcPr>
            <w:tcW w:w="850" w:type="dxa"/>
            <w:vAlign w:val="center"/>
          </w:tcPr>
          <w:p w:rsidR="00175CC0" w:rsidRDefault="008731A4">
            <w:pPr>
              <w:jc w:val="center"/>
            </w:pPr>
            <w:r>
              <w:rPr>
                <w:color w:val="000000"/>
                <w:sz w:val="24"/>
              </w:rPr>
              <w:t>7</w:t>
            </w:r>
          </w:p>
        </w:tc>
        <w:tc>
          <w:tcPr>
            <w:tcW w:w="1327" w:type="dxa"/>
            <w:vAlign w:val="center"/>
          </w:tcPr>
          <w:p w:rsidR="00175CC0" w:rsidRDefault="008731A4">
            <w:pPr>
              <w:jc w:val="center"/>
            </w:pPr>
            <w:r>
              <w:rPr>
                <w:color w:val="000000"/>
                <w:sz w:val="24"/>
              </w:rPr>
              <w:t>000001</w:t>
            </w:r>
          </w:p>
        </w:tc>
        <w:tc>
          <w:tcPr>
            <w:tcW w:w="1769" w:type="dxa"/>
            <w:vAlign w:val="center"/>
          </w:tcPr>
          <w:p w:rsidR="00175CC0" w:rsidRDefault="008731A4">
            <w:pPr>
              <w:jc w:val="center"/>
            </w:pPr>
            <w:r>
              <w:rPr>
                <w:color w:val="000000"/>
                <w:sz w:val="24"/>
              </w:rPr>
              <w:t>平安银行</w:t>
            </w:r>
          </w:p>
        </w:tc>
        <w:tc>
          <w:tcPr>
            <w:tcW w:w="1327" w:type="dxa"/>
            <w:vAlign w:val="center"/>
          </w:tcPr>
          <w:p w:rsidR="00175CC0" w:rsidRDefault="008731A4">
            <w:pPr>
              <w:jc w:val="right"/>
            </w:pPr>
            <w:r>
              <w:rPr>
                <w:color w:val="000000"/>
                <w:sz w:val="24"/>
              </w:rPr>
              <w:t>177,094</w:t>
            </w:r>
          </w:p>
        </w:tc>
        <w:tc>
          <w:tcPr>
            <w:tcW w:w="1915" w:type="dxa"/>
            <w:vAlign w:val="center"/>
          </w:tcPr>
          <w:p w:rsidR="00175CC0" w:rsidRDefault="008731A4">
            <w:pPr>
              <w:jc w:val="right"/>
            </w:pPr>
            <w:r>
              <w:rPr>
                <w:color w:val="000000"/>
                <w:sz w:val="24"/>
              </w:rPr>
              <w:t>1,623,951.98</w:t>
            </w:r>
          </w:p>
        </w:tc>
        <w:tc>
          <w:tcPr>
            <w:tcW w:w="1680" w:type="dxa"/>
            <w:vAlign w:val="center"/>
          </w:tcPr>
          <w:p w:rsidR="00175CC0" w:rsidRDefault="008731A4">
            <w:pPr>
              <w:jc w:val="right"/>
            </w:pPr>
            <w:r>
              <w:rPr>
                <w:color w:val="000000"/>
                <w:sz w:val="24"/>
              </w:rPr>
              <w:t>3.40</w:t>
            </w:r>
          </w:p>
        </w:tc>
      </w:tr>
      <w:tr w:rsidR="00175CC0">
        <w:trPr>
          <w:jc w:val="center"/>
        </w:trPr>
        <w:tc>
          <w:tcPr>
            <w:tcW w:w="850" w:type="dxa"/>
            <w:vAlign w:val="center"/>
          </w:tcPr>
          <w:p w:rsidR="00175CC0" w:rsidRDefault="008731A4">
            <w:pPr>
              <w:jc w:val="center"/>
            </w:pPr>
            <w:r>
              <w:rPr>
                <w:color w:val="000000"/>
                <w:sz w:val="24"/>
              </w:rPr>
              <w:t>8</w:t>
            </w:r>
          </w:p>
        </w:tc>
        <w:tc>
          <w:tcPr>
            <w:tcW w:w="1327" w:type="dxa"/>
            <w:vAlign w:val="center"/>
          </w:tcPr>
          <w:p w:rsidR="00175CC0" w:rsidRDefault="008731A4">
            <w:pPr>
              <w:jc w:val="center"/>
            </w:pPr>
            <w:r>
              <w:rPr>
                <w:color w:val="000000"/>
                <w:sz w:val="24"/>
              </w:rPr>
              <w:t>002415</w:t>
            </w:r>
          </w:p>
        </w:tc>
        <w:tc>
          <w:tcPr>
            <w:tcW w:w="1769" w:type="dxa"/>
            <w:vAlign w:val="center"/>
          </w:tcPr>
          <w:p w:rsidR="00175CC0" w:rsidRDefault="008731A4">
            <w:pPr>
              <w:jc w:val="center"/>
            </w:pPr>
            <w:r>
              <w:rPr>
                <w:color w:val="000000"/>
                <w:sz w:val="24"/>
              </w:rPr>
              <w:t>海康威视</w:t>
            </w:r>
          </w:p>
        </w:tc>
        <w:tc>
          <w:tcPr>
            <w:tcW w:w="1327" w:type="dxa"/>
            <w:vAlign w:val="center"/>
          </w:tcPr>
          <w:p w:rsidR="00175CC0" w:rsidRDefault="008731A4">
            <w:pPr>
              <w:jc w:val="right"/>
            </w:pPr>
            <w:r>
              <w:rPr>
                <w:color w:val="000000"/>
                <w:sz w:val="24"/>
              </w:rPr>
              <w:t>41,500</w:t>
            </w:r>
          </w:p>
        </w:tc>
        <w:tc>
          <w:tcPr>
            <w:tcW w:w="1915" w:type="dxa"/>
            <w:vAlign w:val="center"/>
          </w:tcPr>
          <w:p w:rsidR="00175CC0" w:rsidRDefault="008731A4">
            <w:pPr>
              <w:jc w:val="right"/>
            </w:pPr>
            <w:r>
              <w:rPr>
                <w:color w:val="000000"/>
                <w:sz w:val="24"/>
              </w:rPr>
              <w:t>1,323,850.00</w:t>
            </w:r>
          </w:p>
        </w:tc>
        <w:tc>
          <w:tcPr>
            <w:tcW w:w="1680" w:type="dxa"/>
            <w:vAlign w:val="center"/>
          </w:tcPr>
          <w:p w:rsidR="00175CC0" w:rsidRDefault="008731A4">
            <w:pPr>
              <w:jc w:val="right"/>
            </w:pPr>
            <w:r>
              <w:rPr>
                <w:color w:val="000000"/>
                <w:sz w:val="24"/>
              </w:rPr>
              <w:t>2.77</w:t>
            </w:r>
          </w:p>
        </w:tc>
      </w:tr>
      <w:tr w:rsidR="00175CC0">
        <w:trPr>
          <w:jc w:val="center"/>
        </w:trPr>
        <w:tc>
          <w:tcPr>
            <w:tcW w:w="850" w:type="dxa"/>
            <w:vAlign w:val="center"/>
          </w:tcPr>
          <w:p w:rsidR="00175CC0" w:rsidRDefault="008731A4">
            <w:pPr>
              <w:jc w:val="center"/>
            </w:pPr>
            <w:r>
              <w:rPr>
                <w:color w:val="000000"/>
                <w:sz w:val="24"/>
              </w:rPr>
              <w:t>9</w:t>
            </w:r>
          </w:p>
        </w:tc>
        <w:tc>
          <w:tcPr>
            <w:tcW w:w="1327" w:type="dxa"/>
            <w:vAlign w:val="center"/>
          </w:tcPr>
          <w:p w:rsidR="00175CC0" w:rsidRDefault="008731A4">
            <w:pPr>
              <w:jc w:val="center"/>
            </w:pPr>
            <w:r>
              <w:rPr>
                <w:color w:val="000000"/>
                <w:sz w:val="24"/>
              </w:rPr>
              <w:t>000776</w:t>
            </w:r>
          </w:p>
        </w:tc>
        <w:tc>
          <w:tcPr>
            <w:tcW w:w="1769" w:type="dxa"/>
            <w:vAlign w:val="center"/>
          </w:tcPr>
          <w:p w:rsidR="00175CC0" w:rsidRDefault="008731A4">
            <w:pPr>
              <w:jc w:val="center"/>
            </w:pPr>
            <w:r>
              <w:rPr>
                <w:color w:val="000000"/>
                <w:sz w:val="24"/>
              </w:rPr>
              <w:t>广发证券</w:t>
            </w:r>
          </w:p>
        </w:tc>
        <w:tc>
          <w:tcPr>
            <w:tcW w:w="1327" w:type="dxa"/>
            <w:vAlign w:val="center"/>
          </w:tcPr>
          <w:p w:rsidR="00175CC0" w:rsidRDefault="008731A4">
            <w:pPr>
              <w:jc w:val="right"/>
            </w:pPr>
            <w:r>
              <w:rPr>
                <w:color w:val="000000"/>
                <w:sz w:val="24"/>
              </w:rPr>
              <w:t>63,500</w:t>
            </w:r>
          </w:p>
        </w:tc>
        <w:tc>
          <w:tcPr>
            <w:tcW w:w="1915" w:type="dxa"/>
            <w:vAlign w:val="center"/>
          </w:tcPr>
          <w:p w:rsidR="00175CC0" w:rsidRDefault="008731A4">
            <w:pPr>
              <w:jc w:val="right"/>
            </w:pPr>
            <w:r>
              <w:rPr>
                <w:color w:val="000000"/>
                <w:sz w:val="24"/>
              </w:rPr>
              <w:t>1,085,215.00</w:t>
            </w:r>
          </w:p>
        </w:tc>
        <w:tc>
          <w:tcPr>
            <w:tcW w:w="1680" w:type="dxa"/>
            <w:vAlign w:val="center"/>
          </w:tcPr>
          <w:p w:rsidR="00175CC0" w:rsidRDefault="008731A4">
            <w:pPr>
              <w:jc w:val="right"/>
            </w:pPr>
            <w:r>
              <w:rPr>
                <w:color w:val="000000"/>
                <w:sz w:val="24"/>
              </w:rPr>
              <w:t>2.27</w:t>
            </w:r>
          </w:p>
        </w:tc>
      </w:tr>
      <w:tr w:rsidR="00175CC0">
        <w:trPr>
          <w:jc w:val="center"/>
        </w:trPr>
        <w:tc>
          <w:tcPr>
            <w:tcW w:w="850" w:type="dxa"/>
            <w:vAlign w:val="center"/>
          </w:tcPr>
          <w:p w:rsidR="00175CC0" w:rsidRDefault="008731A4">
            <w:pPr>
              <w:jc w:val="center"/>
            </w:pPr>
            <w:r>
              <w:rPr>
                <w:color w:val="000000"/>
                <w:sz w:val="24"/>
              </w:rPr>
              <w:t>10</w:t>
            </w:r>
          </w:p>
        </w:tc>
        <w:tc>
          <w:tcPr>
            <w:tcW w:w="1327" w:type="dxa"/>
            <w:vAlign w:val="center"/>
          </w:tcPr>
          <w:p w:rsidR="00175CC0" w:rsidRDefault="008731A4">
            <w:pPr>
              <w:jc w:val="center"/>
            </w:pPr>
            <w:r>
              <w:rPr>
                <w:color w:val="000000"/>
                <w:sz w:val="24"/>
              </w:rPr>
              <w:t>002304</w:t>
            </w:r>
          </w:p>
        </w:tc>
        <w:tc>
          <w:tcPr>
            <w:tcW w:w="1769" w:type="dxa"/>
            <w:vAlign w:val="center"/>
          </w:tcPr>
          <w:p w:rsidR="00175CC0" w:rsidRDefault="008731A4">
            <w:pPr>
              <w:jc w:val="center"/>
            </w:pPr>
            <w:r>
              <w:rPr>
                <w:color w:val="000000"/>
                <w:sz w:val="24"/>
              </w:rPr>
              <w:t>洋河股份</w:t>
            </w:r>
          </w:p>
        </w:tc>
        <w:tc>
          <w:tcPr>
            <w:tcW w:w="1327" w:type="dxa"/>
            <w:vAlign w:val="center"/>
          </w:tcPr>
          <w:p w:rsidR="00175CC0" w:rsidRDefault="008731A4">
            <w:pPr>
              <w:jc w:val="right"/>
            </w:pPr>
            <w:r>
              <w:rPr>
                <w:color w:val="000000"/>
                <w:sz w:val="24"/>
              </w:rPr>
              <w:t>11,638</w:t>
            </w:r>
          </w:p>
        </w:tc>
        <w:tc>
          <w:tcPr>
            <w:tcW w:w="1915" w:type="dxa"/>
            <w:vAlign w:val="center"/>
          </w:tcPr>
          <w:p w:rsidR="00175CC0" w:rsidRDefault="008731A4">
            <w:pPr>
              <w:jc w:val="right"/>
            </w:pPr>
            <w:r>
              <w:rPr>
                <w:color w:val="000000"/>
                <w:sz w:val="24"/>
              </w:rPr>
              <w:t>1,016,928.44</w:t>
            </w:r>
          </w:p>
        </w:tc>
        <w:tc>
          <w:tcPr>
            <w:tcW w:w="1680" w:type="dxa"/>
            <w:vAlign w:val="center"/>
          </w:tcPr>
          <w:p w:rsidR="00175CC0" w:rsidRDefault="008731A4">
            <w:pPr>
              <w:jc w:val="right"/>
            </w:pPr>
            <w:r>
              <w:rPr>
                <w:color w:val="000000"/>
                <w:sz w:val="24"/>
              </w:rPr>
              <w:t>2.13</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报告期内本基金投资的前十名证券的发行主体除广发证券（证券代码：</w:t>
      </w:r>
      <w:r w:rsidRPr="008119CB">
        <w:rPr>
          <w:color w:val="000000"/>
          <w:kern w:val="0"/>
          <w:sz w:val="24"/>
        </w:rPr>
        <w:t>000776</w:t>
      </w:r>
      <w:r w:rsidRPr="008119CB">
        <w:rPr>
          <w:color w:val="000000"/>
          <w:kern w:val="0"/>
          <w:sz w:val="24"/>
        </w:rPr>
        <w:t>）外，未出现被监管部门立案调查，或在报告编制日前一年内受到公开谴责、处罚的情形。</w:t>
      </w:r>
    </w:p>
    <w:p w:rsidR="00175CC0" w:rsidRDefault="008731A4">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报告期内本基金投资的前十名证券之一广发证券（证券代码：</w:t>
      </w:r>
      <w:r>
        <w:rPr>
          <w:color w:val="000000"/>
          <w:kern w:val="0"/>
          <w:sz w:val="24"/>
        </w:rPr>
        <w:t>000776</w:t>
      </w:r>
      <w:r>
        <w:rPr>
          <w:color w:val="000000"/>
          <w:kern w:val="0"/>
          <w:sz w:val="24"/>
        </w:rPr>
        <w:t>）于</w:t>
      </w:r>
      <w:r>
        <w:rPr>
          <w:color w:val="000000"/>
          <w:kern w:val="0"/>
          <w:sz w:val="24"/>
        </w:rPr>
        <w:t>2016</w:t>
      </w:r>
      <w:r>
        <w:rPr>
          <w:color w:val="000000"/>
          <w:kern w:val="0"/>
          <w:sz w:val="24"/>
        </w:rPr>
        <w:t>年</w:t>
      </w:r>
      <w:r>
        <w:rPr>
          <w:color w:val="000000"/>
          <w:kern w:val="0"/>
          <w:sz w:val="24"/>
        </w:rPr>
        <w:t>11</w:t>
      </w:r>
      <w:r>
        <w:rPr>
          <w:color w:val="000000"/>
          <w:kern w:val="0"/>
          <w:sz w:val="24"/>
        </w:rPr>
        <w:t>月</w:t>
      </w:r>
      <w:r>
        <w:rPr>
          <w:color w:val="000000"/>
          <w:kern w:val="0"/>
          <w:sz w:val="24"/>
        </w:rPr>
        <w:t>28</w:t>
      </w:r>
      <w:r>
        <w:rPr>
          <w:color w:val="000000"/>
          <w:kern w:val="0"/>
          <w:sz w:val="24"/>
        </w:rPr>
        <w:t>日公告，公司因未按规定审查、了解客户身份等违法违规行为于</w:t>
      </w:r>
      <w:r>
        <w:rPr>
          <w:color w:val="000000"/>
          <w:kern w:val="0"/>
          <w:sz w:val="24"/>
        </w:rPr>
        <w:t>2016</w:t>
      </w:r>
      <w:r>
        <w:rPr>
          <w:color w:val="000000"/>
          <w:kern w:val="0"/>
          <w:sz w:val="24"/>
        </w:rPr>
        <w:t>年</w:t>
      </w:r>
      <w:r>
        <w:rPr>
          <w:color w:val="000000"/>
          <w:kern w:val="0"/>
          <w:sz w:val="24"/>
        </w:rPr>
        <w:t>11</w:t>
      </w:r>
      <w:r>
        <w:rPr>
          <w:color w:val="000000"/>
          <w:kern w:val="0"/>
          <w:sz w:val="24"/>
        </w:rPr>
        <w:t>月</w:t>
      </w:r>
      <w:r>
        <w:rPr>
          <w:color w:val="000000"/>
          <w:kern w:val="0"/>
          <w:sz w:val="24"/>
        </w:rPr>
        <w:t>26</w:t>
      </w:r>
      <w:r>
        <w:rPr>
          <w:color w:val="000000"/>
          <w:kern w:val="0"/>
          <w:sz w:val="24"/>
        </w:rPr>
        <w:t>日收到中国证监会《行政处罚决定书》（</w:t>
      </w:r>
      <w:r>
        <w:rPr>
          <w:color w:val="000000"/>
          <w:kern w:val="0"/>
          <w:sz w:val="24"/>
        </w:rPr>
        <w:t>[2016]128</w:t>
      </w:r>
      <w:r>
        <w:rPr>
          <w:color w:val="000000"/>
          <w:kern w:val="0"/>
          <w:sz w:val="24"/>
        </w:rPr>
        <w:t>号）。据此，中国证监会决定对公司责令改正，给予警告，没收违法所得</w:t>
      </w:r>
      <w:r>
        <w:rPr>
          <w:color w:val="000000"/>
          <w:kern w:val="0"/>
          <w:sz w:val="24"/>
        </w:rPr>
        <w:t>6,805,135.75</w:t>
      </w:r>
      <w:r>
        <w:rPr>
          <w:color w:val="000000"/>
          <w:kern w:val="0"/>
          <w:sz w:val="24"/>
        </w:rPr>
        <w:t>元，并处以</w:t>
      </w:r>
      <w:r>
        <w:rPr>
          <w:color w:val="000000"/>
          <w:kern w:val="0"/>
          <w:sz w:val="24"/>
        </w:rPr>
        <w:t>20,415,407.25</w:t>
      </w:r>
      <w:r>
        <w:rPr>
          <w:color w:val="000000"/>
          <w:kern w:val="0"/>
          <w:sz w:val="24"/>
        </w:rPr>
        <w:t>元罚款。</w:t>
      </w:r>
    </w:p>
    <w:p w:rsidR="00175CC0" w:rsidRDefault="008731A4">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587.41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107.78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695.19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30,329,693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31,329,693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4D3253" w:rsidRPr="007E75F6" w:rsidRDefault="004D3253" w:rsidP="004D3253">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4D3253" w:rsidRPr="007E75F6" w:rsidRDefault="004D3253" w:rsidP="004D3253">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4D3253" w:rsidRPr="007E75F6" w:rsidTr="00B06DDA">
        <w:tc>
          <w:tcPr>
            <w:tcW w:w="851" w:type="dxa"/>
            <w:vMerge w:val="restart"/>
            <w:vAlign w:val="center"/>
          </w:tcPr>
          <w:p w:rsidR="004D3253" w:rsidRPr="00412CB5" w:rsidRDefault="004D3253"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lastRenderedPageBreak/>
              <w:t>投资者类别</w:t>
            </w:r>
          </w:p>
        </w:tc>
        <w:tc>
          <w:tcPr>
            <w:tcW w:w="5670" w:type="dxa"/>
            <w:gridSpan w:val="5"/>
            <w:vAlign w:val="center"/>
          </w:tcPr>
          <w:p w:rsidR="004D3253" w:rsidRPr="00412CB5" w:rsidRDefault="004D3253"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4D3253" w:rsidRPr="00412CB5" w:rsidRDefault="004D3253" w:rsidP="00B06DD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4D3253" w:rsidRPr="007E75F6" w:rsidTr="00B06DDA">
        <w:tc>
          <w:tcPr>
            <w:tcW w:w="851" w:type="dxa"/>
            <w:vMerge/>
            <w:vAlign w:val="center"/>
          </w:tcPr>
          <w:p w:rsidR="004D3253" w:rsidRPr="00412CB5" w:rsidRDefault="004D3253" w:rsidP="00B06DDA">
            <w:pPr>
              <w:autoSpaceDE w:val="0"/>
              <w:autoSpaceDN w:val="0"/>
              <w:adjustRightInd w:val="0"/>
              <w:jc w:val="center"/>
              <w:rPr>
                <w:rFonts w:ascii="宋体" w:hAnsi="宋体"/>
                <w:color w:val="000000"/>
                <w:sz w:val="22"/>
              </w:rPr>
            </w:pPr>
          </w:p>
        </w:tc>
        <w:tc>
          <w:tcPr>
            <w:tcW w:w="1134" w:type="dxa"/>
            <w:vAlign w:val="center"/>
          </w:tcPr>
          <w:p w:rsidR="004D3253" w:rsidRPr="00412CB5" w:rsidRDefault="004D3253"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4D3253" w:rsidRPr="00412CB5" w:rsidRDefault="004D3253" w:rsidP="00B06DD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4D3253" w:rsidRPr="00412CB5" w:rsidRDefault="00C03F84" w:rsidP="007C7D59">
            <w:pPr>
              <w:widowControl/>
              <w:jc w:val="center"/>
              <w:rPr>
                <w:rFonts w:ascii="宋体" w:hAnsi="宋体"/>
                <w:color w:val="000000"/>
                <w:sz w:val="22"/>
              </w:rPr>
            </w:pPr>
            <w:r>
              <w:rPr>
                <w:rFonts w:ascii="宋体" w:hAnsi="宋体" w:hint="eastAsia"/>
                <w:color w:val="000000"/>
                <w:sz w:val="22"/>
              </w:rPr>
              <w:t>期</w:t>
            </w:r>
            <w:r w:rsidR="004D3253" w:rsidRPr="00412CB5">
              <w:rPr>
                <w:rFonts w:ascii="宋体" w:hAnsi="宋体" w:hint="eastAsia"/>
                <w:color w:val="000000"/>
                <w:sz w:val="22"/>
              </w:rPr>
              <w:t>初份额</w:t>
            </w:r>
          </w:p>
        </w:tc>
        <w:tc>
          <w:tcPr>
            <w:tcW w:w="850" w:type="dxa"/>
            <w:vAlign w:val="center"/>
          </w:tcPr>
          <w:p w:rsidR="004D3253" w:rsidRPr="00412CB5" w:rsidRDefault="00C03F84" w:rsidP="007C7D59">
            <w:pPr>
              <w:widowControl/>
              <w:jc w:val="center"/>
              <w:rPr>
                <w:rFonts w:ascii="宋体" w:hAnsi="宋体"/>
                <w:color w:val="000000"/>
                <w:sz w:val="22"/>
              </w:rPr>
            </w:pPr>
            <w:r>
              <w:rPr>
                <w:rFonts w:ascii="宋体" w:hAnsi="宋体" w:hint="eastAsia"/>
                <w:color w:val="000000"/>
                <w:sz w:val="22"/>
              </w:rPr>
              <w:t>申</w:t>
            </w:r>
            <w:r w:rsidR="004D3253" w:rsidRPr="00412CB5">
              <w:rPr>
                <w:rFonts w:ascii="宋体" w:hAnsi="宋体" w:hint="eastAsia"/>
                <w:color w:val="000000"/>
                <w:sz w:val="22"/>
              </w:rPr>
              <w:t>购份额</w:t>
            </w:r>
          </w:p>
        </w:tc>
        <w:tc>
          <w:tcPr>
            <w:tcW w:w="992" w:type="dxa"/>
            <w:vAlign w:val="center"/>
          </w:tcPr>
          <w:p w:rsidR="004D3253" w:rsidRPr="00412CB5" w:rsidRDefault="00C03F84" w:rsidP="00B06DDA">
            <w:pPr>
              <w:autoSpaceDE w:val="0"/>
              <w:autoSpaceDN w:val="0"/>
              <w:adjustRightInd w:val="0"/>
              <w:jc w:val="center"/>
              <w:rPr>
                <w:rFonts w:ascii="宋体" w:hAnsi="宋体"/>
                <w:color w:val="000000"/>
                <w:sz w:val="22"/>
              </w:rPr>
            </w:pPr>
            <w:r>
              <w:rPr>
                <w:rFonts w:ascii="宋体" w:hAnsi="宋体" w:hint="eastAsia"/>
                <w:color w:val="000000"/>
                <w:sz w:val="22"/>
              </w:rPr>
              <w:t>赎</w:t>
            </w:r>
            <w:r w:rsidR="004D3253" w:rsidRPr="00412CB5">
              <w:rPr>
                <w:rFonts w:ascii="宋体" w:hAnsi="宋体" w:hint="eastAsia"/>
                <w:color w:val="000000"/>
                <w:sz w:val="22"/>
              </w:rPr>
              <w:t>回份额</w:t>
            </w:r>
          </w:p>
        </w:tc>
        <w:tc>
          <w:tcPr>
            <w:tcW w:w="1418" w:type="dxa"/>
            <w:vAlign w:val="center"/>
          </w:tcPr>
          <w:p w:rsidR="004D3253" w:rsidRPr="00412CB5" w:rsidRDefault="004D3253" w:rsidP="00B06DD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4D3253" w:rsidRPr="00412CB5" w:rsidRDefault="00C03F84" w:rsidP="00B06DDA">
            <w:pPr>
              <w:autoSpaceDE w:val="0"/>
              <w:autoSpaceDN w:val="0"/>
              <w:adjustRightInd w:val="0"/>
              <w:jc w:val="center"/>
              <w:rPr>
                <w:rFonts w:ascii="宋体" w:hAnsi="宋体"/>
                <w:color w:val="000000"/>
                <w:sz w:val="22"/>
              </w:rPr>
            </w:pPr>
            <w:r>
              <w:rPr>
                <w:rFonts w:ascii="宋体" w:hAnsi="宋体" w:hint="eastAsia"/>
                <w:color w:val="000000"/>
                <w:sz w:val="22"/>
              </w:rPr>
              <w:t>份</w:t>
            </w:r>
            <w:r w:rsidR="004D3253" w:rsidRPr="00412CB5">
              <w:rPr>
                <w:rFonts w:ascii="宋体" w:hAnsi="宋体" w:hint="eastAsia"/>
                <w:color w:val="000000"/>
                <w:sz w:val="22"/>
              </w:rPr>
              <w:t>额占比</w:t>
            </w:r>
          </w:p>
        </w:tc>
      </w:tr>
      <w:tr w:rsidR="00175CC0">
        <w:tc>
          <w:tcPr>
            <w:tcW w:w="851" w:type="dxa"/>
          </w:tcPr>
          <w:p w:rsidR="00175CC0" w:rsidRDefault="00175CC0"/>
          <w:p w:rsidR="00175CC0" w:rsidRDefault="008731A4">
            <w:r>
              <w:rPr>
                <w:rFonts w:hint="eastAsia"/>
                <w:sz w:val="24"/>
              </w:rPr>
              <w:t>交银施罗德深证</w:t>
            </w:r>
            <w:r>
              <w:rPr>
                <w:rFonts w:hint="eastAsia"/>
                <w:sz w:val="24"/>
              </w:rPr>
              <w:t>300</w:t>
            </w:r>
            <w:r>
              <w:rPr>
                <w:rFonts w:hint="eastAsia"/>
                <w:sz w:val="24"/>
              </w:rPr>
              <w:t>价值交易型开放式指数证券投资基金联接基金</w:t>
            </w:r>
          </w:p>
        </w:tc>
        <w:tc>
          <w:tcPr>
            <w:tcW w:w="1134" w:type="dxa"/>
            <w:vAlign w:val="center"/>
          </w:tcPr>
          <w:p w:rsidR="00175CC0" w:rsidRDefault="008731A4">
            <w:pPr>
              <w:jc w:val="center"/>
            </w:pPr>
            <w:r>
              <w:rPr>
                <w:rFonts w:eastAsiaTheme="minorEastAsia"/>
                <w:bCs/>
                <w:color w:val="000000" w:themeColor="text1"/>
                <w:sz w:val="24"/>
              </w:rPr>
              <w:t>1</w:t>
            </w:r>
          </w:p>
        </w:tc>
        <w:tc>
          <w:tcPr>
            <w:tcW w:w="1843" w:type="dxa"/>
            <w:vAlign w:val="center"/>
          </w:tcPr>
          <w:p w:rsidR="00175CC0" w:rsidRDefault="008731A4">
            <w:pPr>
              <w:jc w:val="center"/>
            </w:pPr>
            <w:r>
              <w:rPr>
                <w:rFonts w:eastAsiaTheme="minorEastAsia"/>
                <w:bCs/>
                <w:color w:val="000000" w:themeColor="text1"/>
                <w:sz w:val="24"/>
              </w:rPr>
              <w:t>2017/1/1-2017/3/31</w:t>
            </w:r>
          </w:p>
        </w:tc>
        <w:tc>
          <w:tcPr>
            <w:tcW w:w="851" w:type="dxa"/>
            <w:vAlign w:val="center"/>
          </w:tcPr>
          <w:p w:rsidR="00175CC0" w:rsidRDefault="008731A4">
            <w:pPr>
              <w:jc w:val="center"/>
            </w:pPr>
            <w:r>
              <w:rPr>
                <w:rFonts w:eastAsiaTheme="minorEastAsia"/>
                <w:bCs/>
                <w:color w:val="000000" w:themeColor="text1"/>
                <w:sz w:val="24"/>
              </w:rPr>
              <w:t>27,802,500.00</w:t>
            </w:r>
          </w:p>
        </w:tc>
        <w:tc>
          <w:tcPr>
            <w:tcW w:w="850" w:type="dxa"/>
            <w:vAlign w:val="center"/>
          </w:tcPr>
          <w:p w:rsidR="00175CC0" w:rsidRDefault="008731A4">
            <w:pPr>
              <w:jc w:val="center"/>
            </w:pPr>
            <w:r>
              <w:rPr>
                <w:rFonts w:eastAsiaTheme="minorEastAsia"/>
                <w:bCs/>
                <w:color w:val="000000" w:themeColor="text1"/>
                <w:sz w:val="24"/>
              </w:rPr>
              <w:t>1,000,000.00</w:t>
            </w:r>
          </w:p>
        </w:tc>
        <w:tc>
          <w:tcPr>
            <w:tcW w:w="992" w:type="dxa"/>
            <w:vAlign w:val="center"/>
          </w:tcPr>
          <w:p w:rsidR="00175CC0" w:rsidRDefault="008731A4">
            <w:pPr>
              <w:jc w:val="center"/>
            </w:pPr>
            <w:r>
              <w:rPr>
                <w:rFonts w:eastAsiaTheme="minorEastAsia"/>
                <w:bCs/>
                <w:color w:val="000000" w:themeColor="text1"/>
                <w:sz w:val="24"/>
              </w:rPr>
              <w:t>-</w:t>
            </w:r>
          </w:p>
        </w:tc>
        <w:tc>
          <w:tcPr>
            <w:tcW w:w="1418" w:type="dxa"/>
            <w:vAlign w:val="center"/>
          </w:tcPr>
          <w:p w:rsidR="00175CC0" w:rsidRDefault="008731A4">
            <w:pPr>
              <w:jc w:val="center"/>
            </w:pPr>
            <w:r>
              <w:rPr>
                <w:rFonts w:eastAsiaTheme="minorEastAsia"/>
                <w:bCs/>
                <w:color w:val="000000" w:themeColor="text1"/>
                <w:sz w:val="24"/>
              </w:rPr>
              <w:t>28,802,500.00</w:t>
            </w:r>
          </w:p>
        </w:tc>
        <w:tc>
          <w:tcPr>
            <w:tcW w:w="1273" w:type="dxa"/>
            <w:vAlign w:val="center"/>
          </w:tcPr>
          <w:p w:rsidR="00175CC0" w:rsidRDefault="008731A4">
            <w:pPr>
              <w:jc w:val="center"/>
            </w:pPr>
            <w:r>
              <w:rPr>
                <w:rFonts w:eastAsiaTheme="minorEastAsia"/>
                <w:bCs/>
                <w:color w:val="000000" w:themeColor="text1"/>
                <w:sz w:val="24"/>
              </w:rPr>
              <w:t>91.93%</w:t>
            </w:r>
          </w:p>
        </w:tc>
      </w:tr>
      <w:tr w:rsidR="004D3253" w:rsidRPr="0077692E" w:rsidTr="00B06DDA">
        <w:tc>
          <w:tcPr>
            <w:tcW w:w="9212" w:type="dxa"/>
            <w:gridSpan w:val="8"/>
            <w:vAlign w:val="center"/>
          </w:tcPr>
          <w:p w:rsidR="004D3253" w:rsidRPr="0077692E" w:rsidRDefault="004D3253" w:rsidP="00B06DDA">
            <w:pPr>
              <w:autoSpaceDE w:val="0"/>
              <w:autoSpaceDN w:val="0"/>
              <w:adjustRightInd w:val="0"/>
              <w:ind w:firstLine="1126"/>
              <w:jc w:val="center"/>
              <w:rPr>
                <w:sz w:val="22"/>
              </w:rPr>
            </w:pPr>
            <w:r w:rsidRPr="0077692E">
              <w:rPr>
                <w:color w:val="000000"/>
                <w:sz w:val="22"/>
              </w:rPr>
              <w:t>产品特有风险</w:t>
            </w:r>
          </w:p>
        </w:tc>
      </w:tr>
      <w:tr w:rsidR="004D3253" w:rsidRPr="00EF20F9" w:rsidTr="00B06DDA">
        <w:tc>
          <w:tcPr>
            <w:tcW w:w="9212" w:type="dxa"/>
            <w:gridSpan w:val="8"/>
            <w:vAlign w:val="center"/>
          </w:tcPr>
          <w:p w:rsidR="004D3253" w:rsidRPr="00EF20F9" w:rsidRDefault="00C06F00" w:rsidP="008261C3">
            <w:pPr>
              <w:rPr>
                <w:sz w:val="22"/>
              </w:rPr>
            </w:pPr>
            <w:r>
              <w:rPr>
                <w:rFonts w:ascii="宋体" w:hAnsi="宋体" w:hint="eastAsia"/>
                <w:sz w:val="22"/>
                <w:szCs w:val="22"/>
              </w:rPr>
              <w:t>本基金是交银施罗德深证</w:t>
            </w:r>
            <w:r>
              <w:rPr>
                <w:sz w:val="22"/>
                <w:szCs w:val="22"/>
              </w:rPr>
              <w:t>300</w:t>
            </w:r>
            <w:r>
              <w:rPr>
                <w:rFonts w:ascii="宋体" w:hAnsi="宋体" w:hint="eastAsia"/>
                <w:sz w:val="22"/>
                <w:szCs w:val="22"/>
              </w:rPr>
              <w:t>价值交易型开放式指数证券投资基金联接基金的目标</w:t>
            </w:r>
            <w:r>
              <w:rPr>
                <w:sz w:val="22"/>
                <w:szCs w:val="22"/>
              </w:rPr>
              <w:t>ETF</w:t>
            </w:r>
            <w:r>
              <w:rPr>
                <w:rFonts w:ascii="宋体" w:hAnsi="宋体" w:hint="eastAsia"/>
                <w:sz w:val="22"/>
                <w:szCs w:val="22"/>
              </w:rPr>
              <w:t>。交银施罗德深证</w:t>
            </w:r>
            <w:r>
              <w:rPr>
                <w:sz w:val="22"/>
                <w:szCs w:val="22"/>
              </w:rPr>
              <w:t>300</w:t>
            </w:r>
            <w:r>
              <w:rPr>
                <w:rFonts w:ascii="宋体" w:hAnsi="宋体" w:hint="eastAsia"/>
                <w:sz w:val="22"/>
                <w:szCs w:val="22"/>
              </w:rPr>
              <w:t>价值交易型开放式指数证券投资基金联接基金遵循指数化投资理念，以目标</w:t>
            </w:r>
            <w:r>
              <w:rPr>
                <w:sz w:val="22"/>
                <w:szCs w:val="22"/>
              </w:rPr>
              <w:t>ETF</w:t>
            </w:r>
            <w:r>
              <w:rPr>
                <w:rFonts w:ascii="宋体" w:hAnsi="宋体" w:hint="eastAsia"/>
                <w:sz w:val="22"/>
                <w:szCs w:val="22"/>
              </w:rPr>
              <w:t>为主要投资对象，正常情况下投资于目标</w:t>
            </w:r>
            <w:r>
              <w:rPr>
                <w:sz w:val="22"/>
                <w:szCs w:val="22"/>
              </w:rPr>
              <w:t>ETF</w:t>
            </w:r>
            <w:r>
              <w:rPr>
                <w:rFonts w:ascii="宋体" w:hAnsi="宋体" w:hint="eastAsia"/>
                <w:sz w:val="22"/>
                <w:szCs w:val="22"/>
              </w:rPr>
              <w:t>的资产比例不低于基金资产净值的</w:t>
            </w:r>
            <w:r>
              <w:rPr>
                <w:sz w:val="22"/>
                <w:szCs w:val="22"/>
              </w:rPr>
              <w:t>90%</w:t>
            </w:r>
            <w:r>
              <w:rPr>
                <w:rFonts w:ascii="宋体" w:hAnsi="宋体" w:hint="eastAsia"/>
                <w:sz w:val="22"/>
                <w:szCs w:val="22"/>
              </w:rPr>
              <w:t>。本基金本报告期内除上述联接基金外未出现单一投资者持有基金份额比例超过基金总份额</w:t>
            </w:r>
            <w:r>
              <w:rPr>
                <w:sz w:val="22"/>
                <w:szCs w:val="22"/>
              </w:rPr>
              <w:t>20%</w:t>
            </w:r>
            <w:r>
              <w:rPr>
                <w:rFonts w:ascii="宋体" w:hAnsi="宋体" w:hint="eastAsia"/>
                <w:sz w:val="22"/>
                <w:szCs w:val="22"/>
              </w:rPr>
              <w:t>的情况。</w:t>
            </w:r>
          </w:p>
        </w:tc>
      </w:tr>
    </w:tbl>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175CC0" w:rsidRDefault="008731A4">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175CC0" w:rsidRDefault="008731A4">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175CC0" w:rsidRDefault="008731A4">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175CC0" w:rsidRDefault="008731A4">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175CC0" w:rsidRDefault="008731A4">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175CC0" w:rsidRDefault="008731A4">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175CC0" w:rsidRDefault="008731A4">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lastRenderedPageBreak/>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175CC0" w:rsidRDefault="008731A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64" w:rsidRDefault="00EA5D64">
      <w:r>
        <w:separator/>
      </w:r>
    </w:p>
  </w:endnote>
  <w:endnote w:type="continuationSeparator" w:id="0">
    <w:p w:rsidR="00EA5D64" w:rsidRDefault="00EA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8261C3">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8261C3">
      <w:rPr>
        <w:noProof/>
        <w:kern w:val="0"/>
        <w:szCs w:val="21"/>
      </w:rPr>
      <w:t>13</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64" w:rsidRDefault="00EA5D64">
      <w:r>
        <w:separator/>
      </w:r>
    </w:p>
  </w:footnote>
  <w:footnote w:type="continuationSeparator" w:id="0">
    <w:p w:rsidR="00EA5D64" w:rsidRDefault="00EA5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5CC0"/>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2F7C7B"/>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646C"/>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C7D59"/>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261C3"/>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1A4"/>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3F84"/>
    <w:rsid w:val="00C050D7"/>
    <w:rsid w:val="00C05B5F"/>
    <w:rsid w:val="00C06F00"/>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3974"/>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03E"/>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5D64"/>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8041122-D89A-4674-8200-D370204B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2339348">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13</Pages>
  <Words>1092</Words>
  <Characters>6225</Characters>
  <Application>Microsoft Office Word</Application>
  <DocSecurity>0</DocSecurity>
  <Lines>51</Lines>
  <Paragraphs>14</Paragraphs>
  <ScaleCrop>false</ScaleCrop>
  <Company>TRT. Ltd. Co.</Company>
  <LinksUpToDate>false</LinksUpToDate>
  <CharactersWithSpaces>7303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386</cp:revision>
  <cp:lastPrinted>2007-07-19T00:46:00Z</cp:lastPrinted>
  <dcterms:created xsi:type="dcterms:W3CDTF">2012-11-21T04:46:00Z</dcterms:created>
  <dcterms:modified xsi:type="dcterms:W3CDTF">2017-04-20T08:34:00Z</dcterms:modified>
</cp:coreProperties>
</file>