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43118" w:rsidRDefault="00294AA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43118" w:rsidRDefault="00294AA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43118" w:rsidRDefault="00294AA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43118" w:rsidRDefault="00294AA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43118" w:rsidRDefault="00294AA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1,440,204,184.41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93933" w:rsidRPr="00414345" w:rsidTr="00A9393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93933" w:rsidRPr="00414345" w:rsidTr="00A93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16,366,475.03</w:t>
            </w:r>
          </w:p>
        </w:tc>
      </w:tr>
      <w:tr w:rsidR="00A93933" w:rsidRPr="00414345" w:rsidTr="00A93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107,803,601.83</w:t>
            </w:r>
          </w:p>
        </w:tc>
      </w:tr>
      <w:tr w:rsidR="00A93933" w:rsidRPr="00414345" w:rsidTr="00A93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0.0774</w:t>
            </w:r>
          </w:p>
        </w:tc>
      </w:tr>
      <w:tr w:rsidR="00A93933" w:rsidRPr="00414345" w:rsidTr="00A93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3,205,302,058.86</w:t>
            </w:r>
          </w:p>
        </w:tc>
      </w:tr>
      <w:tr w:rsidR="00A93933" w:rsidRPr="00414345" w:rsidTr="00A9393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2.226</w:t>
            </w:r>
          </w:p>
        </w:tc>
      </w:tr>
    </w:tbl>
    <w:p w:rsidR="00343118" w:rsidRDefault="00294A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43118">
        <w:trPr>
          <w:jc w:val="center"/>
        </w:trPr>
        <w:tc>
          <w:tcPr>
            <w:tcW w:w="1701" w:type="dxa"/>
            <w:vAlign w:val="center"/>
          </w:tcPr>
          <w:p w:rsidR="00343118" w:rsidRDefault="00294AAE">
            <w:pPr>
              <w:jc w:val="left"/>
            </w:pPr>
            <w:r>
              <w:rPr>
                <w:color w:val="000000"/>
                <w:sz w:val="24"/>
                <w:szCs w:val="24"/>
              </w:rPr>
              <w:t>过去三个月</w:t>
            </w:r>
          </w:p>
        </w:tc>
        <w:tc>
          <w:tcPr>
            <w:tcW w:w="1045" w:type="dxa"/>
            <w:vAlign w:val="center"/>
          </w:tcPr>
          <w:p w:rsidR="00343118" w:rsidRDefault="00294AAE">
            <w:pPr>
              <w:jc w:val="center"/>
            </w:pPr>
            <w:r>
              <w:rPr>
                <w:color w:val="000000"/>
                <w:sz w:val="24"/>
                <w:szCs w:val="24"/>
              </w:rPr>
              <w:t>3.49%</w:t>
            </w:r>
          </w:p>
        </w:tc>
        <w:tc>
          <w:tcPr>
            <w:tcW w:w="1344" w:type="dxa"/>
            <w:vAlign w:val="center"/>
          </w:tcPr>
          <w:p w:rsidR="00343118" w:rsidRDefault="00294AAE">
            <w:pPr>
              <w:jc w:val="center"/>
            </w:pPr>
            <w:r>
              <w:rPr>
                <w:color w:val="000000"/>
                <w:sz w:val="24"/>
                <w:szCs w:val="24"/>
              </w:rPr>
              <w:t>0.73%</w:t>
            </w:r>
          </w:p>
        </w:tc>
        <w:tc>
          <w:tcPr>
            <w:tcW w:w="1194" w:type="dxa"/>
            <w:vAlign w:val="center"/>
          </w:tcPr>
          <w:p w:rsidR="00343118" w:rsidRDefault="00294AAE">
            <w:pPr>
              <w:jc w:val="center"/>
            </w:pPr>
            <w:r>
              <w:rPr>
                <w:color w:val="000000"/>
                <w:sz w:val="24"/>
                <w:szCs w:val="24"/>
              </w:rPr>
              <w:t>0.70%</w:t>
            </w:r>
          </w:p>
        </w:tc>
        <w:tc>
          <w:tcPr>
            <w:tcW w:w="1492" w:type="dxa"/>
            <w:vAlign w:val="center"/>
          </w:tcPr>
          <w:p w:rsidR="00343118" w:rsidRDefault="00294AAE">
            <w:pPr>
              <w:jc w:val="center"/>
            </w:pPr>
            <w:r>
              <w:rPr>
                <w:color w:val="000000"/>
                <w:sz w:val="24"/>
                <w:szCs w:val="24"/>
              </w:rPr>
              <w:t>0.62%</w:t>
            </w:r>
          </w:p>
        </w:tc>
        <w:tc>
          <w:tcPr>
            <w:tcW w:w="1194" w:type="dxa"/>
            <w:vAlign w:val="center"/>
          </w:tcPr>
          <w:p w:rsidR="00343118" w:rsidRDefault="00294AAE">
            <w:pPr>
              <w:jc w:val="center"/>
            </w:pPr>
            <w:r>
              <w:rPr>
                <w:color w:val="000000"/>
                <w:sz w:val="24"/>
                <w:szCs w:val="24"/>
              </w:rPr>
              <w:t>2.79%</w:t>
            </w:r>
          </w:p>
        </w:tc>
        <w:tc>
          <w:tcPr>
            <w:tcW w:w="898" w:type="dxa"/>
            <w:vAlign w:val="center"/>
          </w:tcPr>
          <w:p w:rsidR="00343118" w:rsidRDefault="00294AAE">
            <w:pPr>
              <w:jc w:val="center"/>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43118">
        <w:trPr>
          <w:jc w:val="center"/>
        </w:trPr>
        <w:tc>
          <w:tcPr>
            <w:tcW w:w="846" w:type="dxa"/>
            <w:vAlign w:val="center"/>
          </w:tcPr>
          <w:p w:rsidR="00343118" w:rsidRDefault="00294AAE">
            <w:pPr>
              <w:jc w:val="center"/>
            </w:pPr>
            <w:r>
              <w:rPr>
                <w:color w:val="000000"/>
                <w:sz w:val="24"/>
                <w:szCs w:val="24"/>
              </w:rPr>
              <w:t>任相栋</w:t>
            </w:r>
          </w:p>
        </w:tc>
        <w:tc>
          <w:tcPr>
            <w:tcW w:w="845" w:type="dxa"/>
            <w:vAlign w:val="center"/>
          </w:tcPr>
          <w:p w:rsidR="00343118" w:rsidRDefault="00294AAE">
            <w:pPr>
              <w:jc w:val="center"/>
            </w:pPr>
            <w:r>
              <w:rPr>
                <w:color w:val="000000"/>
                <w:sz w:val="24"/>
                <w:szCs w:val="24"/>
              </w:rPr>
              <w:t>交银先进制造混合、交银经济新动力混合的基金经理</w:t>
            </w:r>
          </w:p>
        </w:tc>
        <w:tc>
          <w:tcPr>
            <w:tcW w:w="1549" w:type="dxa"/>
            <w:vAlign w:val="center"/>
          </w:tcPr>
          <w:p w:rsidR="00343118" w:rsidRDefault="00294AAE">
            <w:pPr>
              <w:jc w:val="center"/>
            </w:pPr>
            <w:r>
              <w:rPr>
                <w:color w:val="000000"/>
                <w:sz w:val="24"/>
                <w:szCs w:val="24"/>
              </w:rPr>
              <w:t>2015-01-21</w:t>
            </w:r>
          </w:p>
        </w:tc>
        <w:tc>
          <w:tcPr>
            <w:tcW w:w="1548" w:type="dxa"/>
            <w:vAlign w:val="center"/>
          </w:tcPr>
          <w:p w:rsidR="00343118" w:rsidRDefault="00294AAE">
            <w:pPr>
              <w:jc w:val="center"/>
            </w:pPr>
            <w:r>
              <w:rPr>
                <w:color w:val="000000"/>
                <w:sz w:val="24"/>
                <w:szCs w:val="24"/>
              </w:rPr>
              <w:t>-</w:t>
            </w:r>
          </w:p>
        </w:tc>
        <w:tc>
          <w:tcPr>
            <w:tcW w:w="1407" w:type="dxa"/>
            <w:vAlign w:val="center"/>
          </w:tcPr>
          <w:p w:rsidR="00343118" w:rsidRDefault="00294AAE">
            <w:pPr>
              <w:jc w:val="center"/>
            </w:pPr>
            <w:r>
              <w:rPr>
                <w:color w:val="000000"/>
                <w:sz w:val="24"/>
                <w:szCs w:val="24"/>
              </w:rPr>
              <w:t>7</w:t>
            </w:r>
            <w:r>
              <w:rPr>
                <w:color w:val="000000"/>
                <w:sz w:val="24"/>
                <w:szCs w:val="24"/>
              </w:rPr>
              <w:t>年</w:t>
            </w:r>
          </w:p>
        </w:tc>
        <w:tc>
          <w:tcPr>
            <w:tcW w:w="2673" w:type="dxa"/>
            <w:vAlign w:val="center"/>
          </w:tcPr>
          <w:p w:rsidR="00343118" w:rsidRDefault="00294AAE">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43118" w:rsidRDefault="00294AA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43118" w:rsidRDefault="00294AA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43118" w:rsidRDefault="00294AA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BD3DE7" w:rsidRPr="00414345" w:rsidRDefault="00BD3DE7"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43118" w:rsidRDefault="00294AAE">
      <w:pPr>
        <w:spacing w:before="29" w:line="288" w:lineRule="auto"/>
        <w:ind w:firstLineChars="200" w:firstLine="480"/>
        <w:rPr>
          <w:color w:val="000000"/>
          <w:sz w:val="24"/>
          <w:szCs w:val="24"/>
        </w:rPr>
      </w:pPr>
      <w:r>
        <w:rPr>
          <w:color w:val="000000"/>
          <w:sz w:val="24"/>
          <w:szCs w:val="24"/>
        </w:rPr>
        <w:t>2017</w:t>
      </w:r>
      <w:r>
        <w:rPr>
          <w:color w:val="000000"/>
          <w:sz w:val="24"/>
          <w:szCs w:val="24"/>
        </w:rPr>
        <w:t>年一季度</w:t>
      </w:r>
      <w:r>
        <w:rPr>
          <w:color w:val="000000"/>
          <w:sz w:val="24"/>
          <w:szCs w:val="24"/>
        </w:rPr>
        <w:t>A</w:t>
      </w:r>
      <w:r>
        <w:rPr>
          <w:color w:val="000000"/>
          <w:sz w:val="24"/>
          <w:szCs w:val="24"/>
        </w:rPr>
        <w:t>股市场先抑后扬，上证综指表现明显优于创业板，周期类消费类个股表现明显优于高估值小市值个股。年初以来市场表现还是明显地沿着周期复苏的脉络演进，周期向上的基本面力量和风险偏好下降的趋势性力量交织，使得投资者普遍抛弃偏成长类个股，拥抱周期和消费股，市场的趋势性力量强大。</w:t>
      </w:r>
    </w:p>
    <w:p w:rsidR="00343118" w:rsidRDefault="00294AAE">
      <w:pPr>
        <w:spacing w:before="29" w:line="288" w:lineRule="auto"/>
        <w:ind w:firstLineChars="200" w:firstLine="480"/>
        <w:rPr>
          <w:color w:val="000000"/>
          <w:sz w:val="24"/>
          <w:szCs w:val="24"/>
        </w:rPr>
      </w:pPr>
      <w:r>
        <w:rPr>
          <w:color w:val="000000"/>
          <w:sz w:val="24"/>
          <w:szCs w:val="24"/>
        </w:rPr>
        <w:t>为符合基金合同的约定，本基金一季度在制造业的投资范围内坚持成长股投资，一季度本基金基本跑平业绩比较基准。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展望未来，我们认为周期向上的基本面力量将趋弱，市场对周期力量回落的大方向没有过多分歧，分歧仅在于回落的速度和节奏。自</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市场见顶后，市场的风险偏好一直处在趋势性下降的过程中，现在仍未见到风险偏好见底的迹象，但我们判断下降的主要阶段已经过去。本基金预计在未来仍将坚持成长股投资，我们认为未来中国仍有公司成长的良好土壤、全球一流的企业家精神，一定会有越来越多的中国公司在世界舞台上占据更加重要的位置。同时，在股票市场中，投资者趋势性离开成长性股票，这为选股提供了宽松的选股环境。本基金将努力继续致力于为投资者创造超额回报。</w:t>
      </w:r>
    </w:p>
    <w:p w:rsidR="00627E2D" w:rsidRPr="00414345" w:rsidRDefault="00627E2D" w:rsidP="00C15CAC">
      <w:pPr>
        <w:spacing w:before="29" w:line="288" w:lineRule="auto"/>
        <w:ind w:firstLineChars="200" w:firstLine="480"/>
        <w:rPr>
          <w:color w:val="000000"/>
          <w:sz w:val="24"/>
          <w:szCs w:val="24"/>
        </w:rPr>
      </w:pPr>
    </w:p>
    <w:p w:rsidR="004061AC" w:rsidRPr="001027FA" w:rsidRDefault="00D44EE8" w:rsidP="00C15CAC">
      <w:pPr>
        <w:spacing w:before="29" w:line="288" w:lineRule="auto"/>
        <w:rPr>
          <w:sz w:val="24"/>
          <w:szCs w:val="24"/>
        </w:rPr>
      </w:pPr>
      <w:r w:rsidRPr="001027FA">
        <w:rPr>
          <w:b/>
          <w:color w:val="000000"/>
          <w:kern w:val="0"/>
          <w:sz w:val="24"/>
        </w:rPr>
        <w:t>4.5</w:t>
      </w:r>
      <w:r w:rsidRPr="001027FA">
        <w:rPr>
          <w:b/>
          <w:color w:val="000000"/>
          <w:kern w:val="0"/>
          <w:sz w:val="24"/>
        </w:rPr>
        <w:t>报告期内基金的业绩表现</w:t>
      </w:r>
    </w:p>
    <w:p w:rsidR="009C5186" w:rsidRDefault="001027FA" w:rsidP="00C15CAC">
      <w:pPr>
        <w:spacing w:before="29" w:line="288" w:lineRule="auto"/>
        <w:ind w:firstLineChars="200" w:firstLine="480"/>
        <w:rPr>
          <w:color w:val="000000"/>
          <w:sz w:val="24"/>
          <w:szCs w:val="24"/>
        </w:rPr>
      </w:pPr>
      <w:r w:rsidRPr="001027FA">
        <w:rPr>
          <w:rFonts w:hint="eastAsia"/>
          <w:color w:val="000000"/>
          <w:sz w:val="24"/>
          <w:szCs w:val="24"/>
        </w:rPr>
        <w:t>截至</w:t>
      </w:r>
      <w:r w:rsidRPr="001027FA">
        <w:rPr>
          <w:rFonts w:hint="eastAsia"/>
          <w:color w:val="000000"/>
          <w:sz w:val="24"/>
          <w:szCs w:val="24"/>
        </w:rPr>
        <w:t>2017</w:t>
      </w:r>
      <w:r w:rsidRPr="001027FA">
        <w:rPr>
          <w:rFonts w:hint="eastAsia"/>
          <w:color w:val="000000"/>
          <w:sz w:val="24"/>
          <w:szCs w:val="24"/>
        </w:rPr>
        <w:t>年</w:t>
      </w:r>
      <w:r w:rsidRPr="001027FA">
        <w:rPr>
          <w:rFonts w:hint="eastAsia"/>
          <w:color w:val="000000"/>
          <w:sz w:val="24"/>
          <w:szCs w:val="24"/>
        </w:rPr>
        <w:t>3</w:t>
      </w:r>
      <w:r w:rsidRPr="001027FA">
        <w:rPr>
          <w:rFonts w:hint="eastAsia"/>
          <w:color w:val="000000"/>
          <w:sz w:val="24"/>
          <w:szCs w:val="24"/>
        </w:rPr>
        <w:t>月</w:t>
      </w:r>
      <w:r w:rsidRPr="001027FA">
        <w:rPr>
          <w:rFonts w:hint="eastAsia"/>
          <w:color w:val="000000"/>
          <w:sz w:val="24"/>
          <w:szCs w:val="24"/>
        </w:rPr>
        <w:t>31</w:t>
      </w:r>
      <w:r w:rsidRPr="001027FA">
        <w:rPr>
          <w:rFonts w:hint="eastAsia"/>
          <w:color w:val="000000"/>
          <w:sz w:val="24"/>
          <w:szCs w:val="24"/>
        </w:rPr>
        <w:t>日，本基金份额净值为</w:t>
      </w:r>
      <w:r w:rsidRPr="001027FA">
        <w:rPr>
          <w:rFonts w:hint="eastAsia"/>
          <w:color w:val="000000"/>
          <w:sz w:val="24"/>
          <w:szCs w:val="24"/>
        </w:rPr>
        <w:t>2.226</w:t>
      </w:r>
      <w:r w:rsidRPr="001027FA">
        <w:rPr>
          <w:rFonts w:hint="eastAsia"/>
          <w:color w:val="000000"/>
          <w:sz w:val="24"/>
          <w:szCs w:val="24"/>
        </w:rPr>
        <w:t>，本报告期份额净值增长率为</w:t>
      </w:r>
      <w:r w:rsidRPr="001027FA">
        <w:rPr>
          <w:rFonts w:hint="eastAsia"/>
          <w:color w:val="000000"/>
          <w:sz w:val="24"/>
          <w:szCs w:val="24"/>
        </w:rPr>
        <w:t>3.49%</w:t>
      </w:r>
      <w:r w:rsidRPr="001027FA">
        <w:rPr>
          <w:rFonts w:hint="eastAsia"/>
          <w:color w:val="000000"/>
          <w:sz w:val="24"/>
          <w:szCs w:val="24"/>
        </w:rPr>
        <w:t>，同期业绩北郊基准增长率</w:t>
      </w:r>
      <w:r w:rsidRPr="001027FA">
        <w:rPr>
          <w:rFonts w:hint="eastAsia"/>
          <w:color w:val="000000"/>
          <w:sz w:val="24"/>
          <w:szCs w:val="24"/>
        </w:rPr>
        <w:t>0.70%</w:t>
      </w:r>
      <w:r>
        <w:rPr>
          <w:rFonts w:hint="eastAsia"/>
          <w:color w:val="000000"/>
          <w:sz w:val="24"/>
          <w:szCs w:val="24"/>
        </w:rPr>
        <w:t>。</w:t>
      </w:r>
    </w:p>
    <w:p w:rsidR="001027FA" w:rsidRPr="001027FA" w:rsidRDefault="001027FA"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2,532,011,797.23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77.25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2,532,011,797.23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77.25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149,688,000.00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149,688,000.00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198,700,618.05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6.06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362,755,334.81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34,536,532.92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3,277,692,283.01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57581E" w:rsidRDefault="0057581E" w:rsidP="0057581E">
      <w:pPr>
        <w:rPr>
          <w:b/>
          <w:bCs/>
          <w:sz w:val="24"/>
          <w:szCs w:val="24"/>
        </w:rPr>
      </w:pPr>
      <w:r>
        <w:rPr>
          <w:b/>
          <w:bCs/>
          <w:color w:val="000000"/>
          <w:sz w:val="24"/>
          <w:szCs w:val="24"/>
        </w:rPr>
        <w:t>5.2.1</w:t>
      </w:r>
      <w:r>
        <w:rPr>
          <w:rFonts w:ascii="宋体" w:hAnsi="宋体" w:hint="eastAsia"/>
          <w:b/>
          <w:bCs/>
          <w:color w:val="000000"/>
          <w:sz w:val="24"/>
          <w:szCs w:val="24"/>
        </w:rPr>
        <w:t>报告期末按行业分类的境内股票投资组合</w:t>
      </w:r>
    </w:p>
    <w:tbl>
      <w:tblPr>
        <w:tblW w:w="8865" w:type="dxa"/>
        <w:jc w:val="center"/>
        <w:tblCellMar>
          <w:left w:w="0" w:type="dxa"/>
          <w:right w:w="0" w:type="dxa"/>
        </w:tblCellMar>
        <w:tblLook w:val="04A0" w:firstRow="1" w:lastRow="0" w:firstColumn="1" w:lastColumn="0" w:noHBand="0" w:noVBand="1"/>
      </w:tblPr>
      <w:tblGrid>
        <w:gridCol w:w="845"/>
        <w:gridCol w:w="3542"/>
        <w:gridCol w:w="2840"/>
        <w:gridCol w:w="1638"/>
      </w:tblGrid>
      <w:tr w:rsidR="0057581E" w:rsidTr="0057581E">
        <w:trPr>
          <w:trHeight w:val="390"/>
          <w:jc w:val="center"/>
        </w:trPr>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rFonts w:ascii="宋体" w:hAnsi="宋体" w:hint="eastAsia"/>
                <w:sz w:val="24"/>
                <w:szCs w:val="24"/>
              </w:rPr>
              <w:t>代码</w:t>
            </w:r>
          </w:p>
        </w:tc>
        <w:tc>
          <w:tcPr>
            <w:tcW w:w="3544" w:type="dxa"/>
            <w:tcBorders>
              <w:top w:val="single" w:sz="8" w:space="0" w:color="000000"/>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rFonts w:ascii="宋体" w:hAnsi="宋体" w:hint="eastAsia"/>
                <w:sz w:val="24"/>
                <w:szCs w:val="24"/>
              </w:rPr>
              <w:t>行业类别</w:t>
            </w:r>
          </w:p>
        </w:tc>
        <w:tc>
          <w:tcPr>
            <w:tcW w:w="28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rFonts w:ascii="宋体" w:hAnsi="宋体" w:hint="eastAsia"/>
                <w:sz w:val="24"/>
                <w:szCs w:val="24"/>
              </w:rPr>
              <w:t>公允价值（元）</w:t>
            </w:r>
          </w:p>
        </w:tc>
        <w:tc>
          <w:tcPr>
            <w:tcW w:w="1638" w:type="dxa"/>
            <w:tcBorders>
              <w:top w:val="single" w:sz="8" w:space="0" w:color="000000"/>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rFonts w:ascii="宋体" w:hAnsi="宋体" w:hint="eastAsia"/>
                <w:sz w:val="24"/>
                <w:szCs w:val="24"/>
              </w:rPr>
              <w:t>占基金资产净值比例（％）</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sz w:val="24"/>
                <w:szCs w:val="24"/>
              </w:rPr>
              <w:t>A</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sz w:val="24"/>
                <w:szCs w:val="24"/>
              </w:rPr>
            </w:pPr>
            <w:r>
              <w:rPr>
                <w:rFonts w:ascii="宋体" w:hAnsi="宋体" w:hint="eastAsia"/>
                <w:sz w:val="24"/>
                <w:szCs w:val="24"/>
              </w:rPr>
              <w:t>农、林、牧、渔业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autoSpaceDE w:val="0"/>
              <w:autoSpaceDN w:val="0"/>
              <w:spacing w:before="29" w:line="288" w:lineRule="auto"/>
              <w:ind w:left="15"/>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autoSpaceDE w:val="0"/>
              <w:autoSpaceDN w:val="0"/>
              <w:spacing w:before="29" w:line="288" w:lineRule="auto"/>
              <w:ind w:left="15"/>
              <w:jc w:val="right"/>
              <w:rPr>
                <w:sz w:val="24"/>
                <w:szCs w:val="24"/>
              </w:rPr>
            </w:pPr>
            <w:r>
              <w:rPr>
                <w:sz w:val="24"/>
                <w:szCs w:val="24"/>
              </w:rPr>
              <w:t>-</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sz w:val="24"/>
                <w:szCs w:val="24"/>
              </w:rPr>
              <w:t>B</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sz w:val="24"/>
                <w:szCs w:val="24"/>
              </w:rPr>
            </w:pPr>
            <w:r>
              <w:rPr>
                <w:rFonts w:ascii="宋体" w:hAnsi="宋体" w:hint="eastAsia"/>
                <w:sz w:val="24"/>
                <w:szCs w:val="24"/>
              </w:rPr>
              <w:t>采矿业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sz w:val="24"/>
                <w:szCs w:val="24"/>
              </w:rPr>
              <w:t>C</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sz w:val="24"/>
                <w:szCs w:val="24"/>
              </w:rPr>
            </w:pPr>
            <w:r>
              <w:rPr>
                <w:rFonts w:ascii="宋体" w:hAnsi="宋体" w:hint="eastAsia"/>
                <w:sz w:val="24"/>
                <w:szCs w:val="24"/>
              </w:rPr>
              <w:t>制造业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2,292,740,935.40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71.53</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sz w:val="24"/>
                <w:szCs w:val="24"/>
              </w:rPr>
              <w:t>D</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sz w:val="24"/>
                <w:szCs w:val="24"/>
              </w:rPr>
            </w:pPr>
            <w:r>
              <w:rPr>
                <w:rFonts w:ascii="宋体" w:hAnsi="宋体" w:hint="eastAsia"/>
                <w:sz w:val="24"/>
                <w:szCs w:val="24"/>
              </w:rPr>
              <w:t>电力、热力、燃气及水生产和供应业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52,987,468.29</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1.65</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sz w:val="24"/>
                <w:szCs w:val="24"/>
              </w:rPr>
              <w:t>E</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sz w:val="24"/>
                <w:szCs w:val="24"/>
              </w:rPr>
            </w:pPr>
            <w:r>
              <w:rPr>
                <w:rFonts w:ascii="宋体" w:hAnsi="宋体" w:hint="eastAsia"/>
                <w:sz w:val="24"/>
                <w:szCs w:val="24"/>
              </w:rPr>
              <w:t>建筑业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212,404.44</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0.01</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sz w:val="24"/>
                <w:szCs w:val="24"/>
              </w:rPr>
              <w:t>F</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sz w:val="24"/>
                <w:szCs w:val="24"/>
              </w:rPr>
            </w:pPr>
            <w:r>
              <w:rPr>
                <w:rFonts w:ascii="宋体" w:hAnsi="宋体" w:hint="eastAsia"/>
                <w:sz w:val="24"/>
                <w:szCs w:val="24"/>
              </w:rPr>
              <w:t>批发和零售业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130,984.00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0.00</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sz w:val="24"/>
                <w:szCs w:val="24"/>
              </w:rPr>
              <w:t>G</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sz w:val="24"/>
                <w:szCs w:val="24"/>
              </w:rPr>
            </w:pPr>
            <w:r>
              <w:rPr>
                <w:rFonts w:ascii="宋体" w:hAnsi="宋体" w:hint="eastAsia"/>
                <w:sz w:val="24"/>
                <w:szCs w:val="24"/>
              </w:rPr>
              <w:t>交通运输、仓储和邮政业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131,314.89</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0.00</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sz w:val="24"/>
                <w:szCs w:val="24"/>
              </w:rPr>
              <w:t>H</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sz w:val="24"/>
                <w:szCs w:val="24"/>
              </w:rPr>
            </w:pPr>
            <w:r>
              <w:rPr>
                <w:rFonts w:ascii="宋体" w:hAnsi="宋体" w:hint="eastAsia"/>
                <w:sz w:val="24"/>
                <w:szCs w:val="24"/>
              </w:rPr>
              <w:t>住宿和餐饮业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sz w:val="24"/>
                <w:szCs w:val="24"/>
              </w:rPr>
            </w:pPr>
            <w:r>
              <w:rPr>
                <w:sz w:val="24"/>
                <w:szCs w:val="24"/>
              </w:rPr>
              <w:t>I</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rPr>
                <w:sz w:val="24"/>
                <w:szCs w:val="24"/>
              </w:rPr>
            </w:pPr>
            <w:r>
              <w:rPr>
                <w:rFonts w:ascii="宋体" w:hAnsi="宋体" w:hint="eastAsia"/>
                <w:sz w:val="24"/>
                <w:szCs w:val="24"/>
              </w:rPr>
              <w:t>信息传输、软件和信息技术服务业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89,730,760.16</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2.80</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color w:val="000000"/>
                <w:sz w:val="24"/>
                <w:szCs w:val="24"/>
              </w:rPr>
            </w:pPr>
            <w:r>
              <w:rPr>
                <w:color w:val="000000"/>
                <w:sz w:val="24"/>
                <w:szCs w:val="24"/>
              </w:rPr>
              <w:t>J</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金融业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color w:val="000000"/>
                <w:sz w:val="24"/>
                <w:szCs w:val="24"/>
              </w:rPr>
            </w:pPr>
            <w:r>
              <w:rPr>
                <w:color w:val="000000"/>
                <w:sz w:val="24"/>
                <w:szCs w:val="24"/>
              </w:rPr>
              <w:t>K</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房地产业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color w:val="000000"/>
                <w:sz w:val="24"/>
                <w:szCs w:val="24"/>
              </w:rPr>
            </w:pPr>
            <w:r>
              <w:rPr>
                <w:color w:val="000000"/>
                <w:sz w:val="24"/>
                <w:szCs w:val="24"/>
              </w:rPr>
              <w:t>L</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租赁和商务服务业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color w:val="000000"/>
                <w:sz w:val="24"/>
                <w:szCs w:val="24"/>
              </w:rPr>
            </w:pPr>
            <w:r>
              <w:rPr>
                <w:color w:val="000000"/>
                <w:sz w:val="24"/>
                <w:szCs w:val="24"/>
              </w:rPr>
              <w:t>M</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科学研究和技术服务业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16,930.16</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0.00</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color w:val="000000"/>
                <w:sz w:val="24"/>
                <w:szCs w:val="24"/>
              </w:rPr>
            </w:pPr>
            <w:r>
              <w:rPr>
                <w:color w:val="000000"/>
                <w:sz w:val="24"/>
                <w:szCs w:val="24"/>
              </w:rPr>
              <w:t>N</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水利、环境和公共设施管理业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46,724.92</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0.00</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color w:val="000000"/>
                <w:sz w:val="24"/>
                <w:szCs w:val="24"/>
              </w:rPr>
            </w:pPr>
            <w:r>
              <w:rPr>
                <w:color w:val="000000"/>
                <w:sz w:val="24"/>
                <w:szCs w:val="24"/>
              </w:rPr>
              <w:t>O</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居民服务、修理和其他服务业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color w:val="000000"/>
                <w:sz w:val="24"/>
                <w:szCs w:val="24"/>
              </w:rPr>
            </w:pPr>
            <w:r>
              <w:rPr>
                <w:color w:val="000000"/>
                <w:sz w:val="24"/>
                <w:szCs w:val="24"/>
              </w:rPr>
              <w:t>P</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教育</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color w:val="000000"/>
                <w:sz w:val="24"/>
                <w:szCs w:val="24"/>
              </w:rPr>
            </w:pPr>
            <w:r>
              <w:rPr>
                <w:color w:val="000000"/>
                <w:sz w:val="24"/>
                <w:szCs w:val="24"/>
              </w:rPr>
              <w:t>Q</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卫生和社会工作</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32,527,591.08</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1.01</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color w:val="000000"/>
                <w:sz w:val="24"/>
                <w:szCs w:val="24"/>
              </w:rPr>
            </w:pPr>
            <w:r>
              <w:rPr>
                <w:color w:val="000000"/>
                <w:sz w:val="24"/>
                <w:szCs w:val="24"/>
              </w:rPr>
              <w:t>R</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文化、体育和娱乐业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63,486,683.89</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1.98</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napToGrid w:val="0"/>
              <w:spacing w:before="29" w:line="288" w:lineRule="auto"/>
              <w:jc w:val="center"/>
              <w:rPr>
                <w:color w:val="000000"/>
                <w:sz w:val="24"/>
                <w:szCs w:val="24"/>
              </w:rPr>
            </w:pPr>
            <w:r>
              <w:rPr>
                <w:color w:val="000000"/>
                <w:sz w:val="24"/>
                <w:szCs w:val="24"/>
              </w:rPr>
              <w:t>S</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综合</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w:t>
            </w:r>
          </w:p>
        </w:tc>
      </w:tr>
      <w:tr w:rsidR="0057581E" w:rsidTr="0057581E">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57581E" w:rsidRDefault="0057581E">
            <w:pPr>
              <w:snapToGrid w:val="0"/>
              <w:spacing w:before="29" w:line="288" w:lineRule="auto"/>
              <w:jc w:val="center"/>
              <w:rPr>
                <w:color w:val="000000"/>
                <w:sz w:val="24"/>
                <w:szCs w:val="24"/>
              </w:rPr>
            </w:pP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57581E" w:rsidRDefault="0057581E">
            <w:pPr>
              <w:snapToGrid w:val="0"/>
              <w:spacing w:before="29" w:line="288" w:lineRule="auto"/>
              <w:jc w:val="left"/>
              <w:rPr>
                <w:color w:val="000000"/>
                <w:sz w:val="24"/>
                <w:szCs w:val="24"/>
              </w:rPr>
            </w:pPr>
            <w:r>
              <w:rPr>
                <w:rFonts w:ascii="宋体" w:hAnsi="宋体" w:hint="eastAsia"/>
                <w:color w:val="000000"/>
                <w:sz w:val="24"/>
                <w:szCs w:val="24"/>
              </w:rPr>
              <w:t>合计</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2,532,011,797.23</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57581E" w:rsidRDefault="0057581E">
            <w:pPr>
              <w:spacing w:before="29" w:line="288" w:lineRule="auto"/>
              <w:jc w:val="right"/>
              <w:rPr>
                <w:sz w:val="24"/>
                <w:szCs w:val="24"/>
              </w:rPr>
            </w:pPr>
            <w:r>
              <w:rPr>
                <w:sz w:val="24"/>
                <w:szCs w:val="24"/>
              </w:rPr>
              <w:t>78.99</w:t>
            </w:r>
          </w:p>
        </w:tc>
      </w:tr>
    </w:tbl>
    <w:p w:rsidR="00BD3DE7" w:rsidRDefault="00BD3DE7" w:rsidP="00F51C4E">
      <w:pPr>
        <w:jc w:val="left"/>
        <w:rPr>
          <w:rFonts w:asciiTheme="minorEastAsia" w:eastAsiaTheme="minorEastAsia" w:hAnsiTheme="minorEastAsia"/>
          <w:b/>
          <w:bCs/>
          <w:color w:val="000000" w:themeColor="text1"/>
          <w:kern w:val="0"/>
          <w:sz w:val="24"/>
        </w:rPr>
      </w:pPr>
      <w:bookmarkStart w:id="0" w:name="_GoBack"/>
      <w:bookmarkEnd w:id="0"/>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43118">
        <w:trPr>
          <w:jc w:val="center"/>
        </w:trPr>
        <w:tc>
          <w:tcPr>
            <w:tcW w:w="855" w:type="dxa"/>
            <w:vAlign w:val="center"/>
          </w:tcPr>
          <w:p w:rsidR="00343118" w:rsidRDefault="00294AAE">
            <w:pPr>
              <w:jc w:val="center"/>
            </w:pPr>
            <w:r>
              <w:rPr>
                <w:color w:val="000000"/>
                <w:sz w:val="24"/>
                <w:szCs w:val="24"/>
              </w:rPr>
              <w:t>1</w:t>
            </w:r>
          </w:p>
        </w:tc>
        <w:tc>
          <w:tcPr>
            <w:tcW w:w="1334" w:type="dxa"/>
            <w:vAlign w:val="center"/>
          </w:tcPr>
          <w:p w:rsidR="00343118" w:rsidRDefault="00294AAE">
            <w:pPr>
              <w:jc w:val="center"/>
            </w:pPr>
            <w:r>
              <w:rPr>
                <w:color w:val="000000"/>
                <w:sz w:val="24"/>
                <w:szCs w:val="24"/>
              </w:rPr>
              <w:t>300129</w:t>
            </w:r>
          </w:p>
        </w:tc>
        <w:tc>
          <w:tcPr>
            <w:tcW w:w="1777" w:type="dxa"/>
            <w:vAlign w:val="center"/>
          </w:tcPr>
          <w:p w:rsidR="00343118" w:rsidRDefault="00294AAE">
            <w:pPr>
              <w:jc w:val="center"/>
            </w:pPr>
            <w:r>
              <w:rPr>
                <w:color w:val="000000"/>
                <w:sz w:val="24"/>
                <w:szCs w:val="24"/>
              </w:rPr>
              <w:t>泰胜风能</w:t>
            </w:r>
          </w:p>
        </w:tc>
        <w:tc>
          <w:tcPr>
            <w:tcW w:w="1334" w:type="dxa"/>
            <w:vAlign w:val="center"/>
          </w:tcPr>
          <w:p w:rsidR="00343118" w:rsidRDefault="00294AAE">
            <w:pPr>
              <w:jc w:val="right"/>
            </w:pPr>
            <w:r>
              <w:rPr>
                <w:color w:val="000000"/>
                <w:sz w:val="24"/>
                <w:szCs w:val="24"/>
              </w:rPr>
              <w:t>29,365,011</w:t>
            </w:r>
          </w:p>
        </w:tc>
        <w:tc>
          <w:tcPr>
            <w:tcW w:w="1924" w:type="dxa"/>
            <w:vAlign w:val="center"/>
          </w:tcPr>
          <w:p w:rsidR="00343118" w:rsidRDefault="00294AAE">
            <w:pPr>
              <w:jc w:val="right"/>
            </w:pPr>
            <w:r>
              <w:rPr>
                <w:color w:val="000000"/>
                <w:sz w:val="24"/>
                <w:szCs w:val="24"/>
              </w:rPr>
              <w:t>241,967,690.64</w:t>
            </w:r>
          </w:p>
        </w:tc>
        <w:tc>
          <w:tcPr>
            <w:tcW w:w="1644" w:type="dxa"/>
            <w:vAlign w:val="center"/>
          </w:tcPr>
          <w:p w:rsidR="00343118" w:rsidRDefault="00294AAE">
            <w:pPr>
              <w:jc w:val="right"/>
            </w:pPr>
            <w:r>
              <w:rPr>
                <w:color w:val="000000"/>
                <w:sz w:val="24"/>
                <w:szCs w:val="24"/>
              </w:rPr>
              <w:t>7.55</w:t>
            </w:r>
          </w:p>
        </w:tc>
      </w:tr>
      <w:tr w:rsidR="00343118">
        <w:trPr>
          <w:jc w:val="center"/>
        </w:trPr>
        <w:tc>
          <w:tcPr>
            <w:tcW w:w="855" w:type="dxa"/>
            <w:vAlign w:val="center"/>
          </w:tcPr>
          <w:p w:rsidR="00343118" w:rsidRDefault="00294AAE">
            <w:pPr>
              <w:jc w:val="center"/>
            </w:pPr>
            <w:r>
              <w:rPr>
                <w:color w:val="000000"/>
                <w:sz w:val="24"/>
                <w:szCs w:val="24"/>
              </w:rPr>
              <w:t>2</w:t>
            </w:r>
          </w:p>
        </w:tc>
        <w:tc>
          <w:tcPr>
            <w:tcW w:w="1334" w:type="dxa"/>
            <w:vAlign w:val="center"/>
          </w:tcPr>
          <w:p w:rsidR="00343118" w:rsidRDefault="00294AAE">
            <w:pPr>
              <w:jc w:val="center"/>
            </w:pPr>
            <w:r>
              <w:rPr>
                <w:color w:val="000000"/>
                <w:sz w:val="24"/>
                <w:szCs w:val="24"/>
              </w:rPr>
              <w:t>600967</w:t>
            </w:r>
          </w:p>
        </w:tc>
        <w:tc>
          <w:tcPr>
            <w:tcW w:w="1777" w:type="dxa"/>
            <w:vAlign w:val="center"/>
          </w:tcPr>
          <w:p w:rsidR="00343118" w:rsidRDefault="00294AAE">
            <w:pPr>
              <w:jc w:val="center"/>
            </w:pPr>
            <w:r>
              <w:rPr>
                <w:color w:val="000000"/>
                <w:sz w:val="24"/>
                <w:szCs w:val="24"/>
              </w:rPr>
              <w:t>北方创业</w:t>
            </w:r>
          </w:p>
        </w:tc>
        <w:tc>
          <w:tcPr>
            <w:tcW w:w="1334" w:type="dxa"/>
            <w:vAlign w:val="center"/>
          </w:tcPr>
          <w:p w:rsidR="00343118" w:rsidRDefault="00294AAE">
            <w:pPr>
              <w:jc w:val="right"/>
            </w:pPr>
            <w:r>
              <w:rPr>
                <w:color w:val="000000"/>
                <w:sz w:val="24"/>
                <w:szCs w:val="24"/>
              </w:rPr>
              <w:t>14,214,542</w:t>
            </w:r>
          </w:p>
        </w:tc>
        <w:tc>
          <w:tcPr>
            <w:tcW w:w="1924" w:type="dxa"/>
            <w:vAlign w:val="center"/>
          </w:tcPr>
          <w:p w:rsidR="00343118" w:rsidRDefault="00294AAE">
            <w:pPr>
              <w:jc w:val="right"/>
            </w:pPr>
            <w:r>
              <w:rPr>
                <w:color w:val="000000"/>
                <w:sz w:val="24"/>
                <w:szCs w:val="24"/>
              </w:rPr>
              <w:t>215,066,020.46</w:t>
            </w:r>
          </w:p>
        </w:tc>
        <w:tc>
          <w:tcPr>
            <w:tcW w:w="1644" w:type="dxa"/>
            <w:vAlign w:val="center"/>
          </w:tcPr>
          <w:p w:rsidR="00343118" w:rsidRDefault="00294AAE">
            <w:pPr>
              <w:jc w:val="right"/>
            </w:pPr>
            <w:r>
              <w:rPr>
                <w:color w:val="000000"/>
                <w:sz w:val="24"/>
                <w:szCs w:val="24"/>
              </w:rPr>
              <w:t>6.71</w:t>
            </w:r>
          </w:p>
        </w:tc>
      </w:tr>
      <w:tr w:rsidR="00343118">
        <w:trPr>
          <w:jc w:val="center"/>
        </w:trPr>
        <w:tc>
          <w:tcPr>
            <w:tcW w:w="855" w:type="dxa"/>
            <w:vAlign w:val="center"/>
          </w:tcPr>
          <w:p w:rsidR="00343118" w:rsidRDefault="00294AAE">
            <w:pPr>
              <w:jc w:val="center"/>
            </w:pPr>
            <w:r>
              <w:rPr>
                <w:color w:val="000000"/>
                <w:sz w:val="24"/>
                <w:szCs w:val="24"/>
              </w:rPr>
              <w:t>3</w:t>
            </w:r>
          </w:p>
        </w:tc>
        <w:tc>
          <w:tcPr>
            <w:tcW w:w="1334" w:type="dxa"/>
            <w:vAlign w:val="center"/>
          </w:tcPr>
          <w:p w:rsidR="00343118" w:rsidRDefault="00294AAE">
            <w:pPr>
              <w:jc w:val="center"/>
            </w:pPr>
            <w:r>
              <w:rPr>
                <w:color w:val="000000"/>
                <w:sz w:val="24"/>
                <w:szCs w:val="24"/>
              </w:rPr>
              <w:t>002045</w:t>
            </w:r>
          </w:p>
        </w:tc>
        <w:tc>
          <w:tcPr>
            <w:tcW w:w="1777" w:type="dxa"/>
            <w:vAlign w:val="center"/>
          </w:tcPr>
          <w:p w:rsidR="00343118" w:rsidRDefault="00294AAE">
            <w:pPr>
              <w:jc w:val="center"/>
            </w:pPr>
            <w:r>
              <w:rPr>
                <w:color w:val="000000"/>
                <w:sz w:val="24"/>
                <w:szCs w:val="24"/>
              </w:rPr>
              <w:t>国光电器</w:t>
            </w:r>
          </w:p>
        </w:tc>
        <w:tc>
          <w:tcPr>
            <w:tcW w:w="1334" w:type="dxa"/>
            <w:vAlign w:val="center"/>
          </w:tcPr>
          <w:p w:rsidR="00343118" w:rsidRDefault="00294AAE">
            <w:pPr>
              <w:jc w:val="right"/>
            </w:pPr>
            <w:r>
              <w:rPr>
                <w:color w:val="000000"/>
                <w:sz w:val="24"/>
                <w:szCs w:val="24"/>
              </w:rPr>
              <w:t>9,482,887</w:t>
            </w:r>
          </w:p>
        </w:tc>
        <w:tc>
          <w:tcPr>
            <w:tcW w:w="1924" w:type="dxa"/>
            <w:vAlign w:val="center"/>
          </w:tcPr>
          <w:p w:rsidR="00343118" w:rsidRDefault="00294AAE">
            <w:pPr>
              <w:jc w:val="right"/>
            </w:pPr>
            <w:r>
              <w:rPr>
                <w:color w:val="000000"/>
                <w:sz w:val="24"/>
                <w:szCs w:val="24"/>
              </w:rPr>
              <w:t>149,829,614.60</w:t>
            </w:r>
          </w:p>
        </w:tc>
        <w:tc>
          <w:tcPr>
            <w:tcW w:w="1644" w:type="dxa"/>
            <w:vAlign w:val="center"/>
          </w:tcPr>
          <w:p w:rsidR="00343118" w:rsidRDefault="00294AAE">
            <w:pPr>
              <w:jc w:val="right"/>
            </w:pPr>
            <w:r>
              <w:rPr>
                <w:color w:val="000000"/>
                <w:sz w:val="24"/>
                <w:szCs w:val="24"/>
              </w:rPr>
              <w:t>4.67</w:t>
            </w:r>
          </w:p>
        </w:tc>
      </w:tr>
      <w:tr w:rsidR="00343118">
        <w:trPr>
          <w:jc w:val="center"/>
        </w:trPr>
        <w:tc>
          <w:tcPr>
            <w:tcW w:w="855" w:type="dxa"/>
            <w:vAlign w:val="center"/>
          </w:tcPr>
          <w:p w:rsidR="00343118" w:rsidRDefault="00294AAE">
            <w:pPr>
              <w:jc w:val="center"/>
            </w:pPr>
            <w:r>
              <w:rPr>
                <w:color w:val="000000"/>
                <w:sz w:val="24"/>
                <w:szCs w:val="24"/>
              </w:rPr>
              <w:t>4</w:t>
            </w:r>
          </w:p>
        </w:tc>
        <w:tc>
          <w:tcPr>
            <w:tcW w:w="1334" w:type="dxa"/>
            <w:vAlign w:val="center"/>
          </w:tcPr>
          <w:p w:rsidR="00343118" w:rsidRDefault="00294AAE">
            <w:pPr>
              <w:jc w:val="center"/>
            </w:pPr>
            <w:r>
              <w:rPr>
                <w:color w:val="000000"/>
                <w:sz w:val="24"/>
                <w:szCs w:val="24"/>
              </w:rPr>
              <w:t>300308</w:t>
            </w:r>
          </w:p>
        </w:tc>
        <w:tc>
          <w:tcPr>
            <w:tcW w:w="1777" w:type="dxa"/>
            <w:vAlign w:val="center"/>
          </w:tcPr>
          <w:p w:rsidR="00343118" w:rsidRDefault="00294AAE">
            <w:pPr>
              <w:jc w:val="center"/>
            </w:pPr>
            <w:r>
              <w:rPr>
                <w:color w:val="000000"/>
                <w:sz w:val="24"/>
                <w:szCs w:val="24"/>
              </w:rPr>
              <w:t>中际装备</w:t>
            </w:r>
          </w:p>
        </w:tc>
        <w:tc>
          <w:tcPr>
            <w:tcW w:w="1334" w:type="dxa"/>
            <w:vAlign w:val="center"/>
          </w:tcPr>
          <w:p w:rsidR="00343118" w:rsidRDefault="00294AAE">
            <w:pPr>
              <w:jc w:val="right"/>
            </w:pPr>
            <w:r>
              <w:rPr>
                <w:color w:val="000000"/>
                <w:sz w:val="24"/>
                <w:szCs w:val="24"/>
              </w:rPr>
              <w:t>3,721,713</w:t>
            </w:r>
          </w:p>
        </w:tc>
        <w:tc>
          <w:tcPr>
            <w:tcW w:w="1924" w:type="dxa"/>
            <w:vAlign w:val="center"/>
          </w:tcPr>
          <w:p w:rsidR="00343118" w:rsidRDefault="00294AAE">
            <w:pPr>
              <w:jc w:val="right"/>
            </w:pPr>
            <w:r>
              <w:rPr>
                <w:color w:val="000000"/>
                <w:sz w:val="24"/>
                <w:szCs w:val="24"/>
              </w:rPr>
              <w:t>127,654,755.90</w:t>
            </w:r>
          </w:p>
        </w:tc>
        <w:tc>
          <w:tcPr>
            <w:tcW w:w="1644" w:type="dxa"/>
            <w:vAlign w:val="center"/>
          </w:tcPr>
          <w:p w:rsidR="00343118" w:rsidRDefault="00294AAE">
            <w:pPr>
              <w:jc w:val="right"/>
            </w:pPr>
            <w:r>
              <w:rPr>
                <w:color w:val="000000"/>
                <w:sz w:val="24"/>
                <w:szCs w:val="24"/>
              </w:rPr>
              <w:t>3.98</w:t>
            </w:r>
          </w:p>
        </w:tc>
      </w:tr>
      <w:tr w:rsidR="00343118">
        <w:trPr>
          <w:jc w:val="center"/>
        </w:trPr>
        <w:tc>
          <w:tcPr>
            <w:tcW w:w="855" w:type="dxa"/>
            <w:vAlign w:val="center"/>
          </w:tcPr>
          <w:p w:rsidR="00343118" w:rsidRDefault="00294AAE">
            <w:pPr>
              <w:jc w:val="center"/>
            </w:pPr>
            <w:r>
              <w:rPr>
                <w:color w:val="000000"/>
                <w:sz w:val="24"/>
                <w:szCs w:val="24"/>
              </w:rPr>
              <w:t>5</w:t>
            </w:r>
          </w:p>
        </w:tc>
        <w:tc>
          <w:tcPr>
            <w:tcW w:w="1334" w:type="dxa"/>
            <w:vAlign w:val="center"/>
          </w:tcPr>
          <w:p w:rsidR="00343118" w:rsidRDefault="00294AAE">
            <w:pPr>
              <w:jc w:val="center"/>
            </w:pPr>
            <w:r>
              <w:rPr>
                <w:color w:val="000000"/>
                <w:sz w:val="24"/>
                <w:szCs w:val="24"/>
              </w:rPr>
              <w:t>600500</w:t>
            </w:r>
          </w:p>
        </w:tc>
        <w:tc>
          <w:tcPr>
            <w:tcW w:w="1777" w:type="dxa"/>
            <w:vAlign w:val="center"/>
          </w:tcPr>
          <w:p w:rsidR="00343118" w:rsidRDefault="00294AAE">
            <w:pPr>
              <w:jc w:val="center"/>
            </w:pPr>
            <w:r>
              <w:rPr>
                <w:color w:val="000000"/>
                <w:sz w:val="24"/>
                <w:szCs w:val="24"/>
              </w:rPr>
              <w:t>中化国际</w:t>
            </w:r>
          </w:p>
        </w:tc>
        <w:tc>
          <w:tcPr>
            <w:tcW w:w="1334" w:type="dxa"/>
            <w:vAlign w:val="center"/>
          </w:tcPr>
          <w:p w:rsidR="00343118" w:rsidRDefault="00294AAE">
            <w:pPr>
              <w:jc w:val="right"/>
            </w:pPr>
            <w:r>
              <w:rPr>
                <w:color w:val="000000"/>
                <w:sz w:val="24"/>
                <w:szCs w:val="24"/>
              </w:rPr>
              <w:t>10,852,299</w:t>
            </w:r>
          </w:p>
        </w:tc>
        <w:tc>
          <w:tcPr>
            <w:tcW w:w="1924" w:type="dxa"/>
            <w:vAlign w:val="center"/>
          </w:tcPr>
          <w:p w:rsidR="00343118" w:rsidRDefault="00294AAE">
            <w:pPr>
              <w:jc w:val="right"/>
            </w:pPr>
            <w:r>
              <w:rPr>
                <w:color w:val="000000"/>
                <w:sz w:val="24"/>
                <w:szCs w:val="24"/>
              </w:rPr>
              <w:t>119,592,334.98</w:t>
            </w:r>
          </w:p>
        </w:tc>
        <w:tc>
          <w:tcPr>
            <w:tcW w:w="1644" w:type="dxa"/>
            <w:vAlign w:val="center"/>
          </w:tcPr>
          <w:p w:rsidR="00343118" w:rsidRDefault="00294AAE">
            <w:pPr>
              <w:jc w:val="right"/>
            </w:pPr>
            <w:r>
              <w:rPr>
                <w:color w:val="000000"/>
                <w:sz w:val="24"/>
                <w:szCs w:val="24"/>
              </w:rPr>
              <w:t>3.73</w:t>
            </w:r>
          </w:p>
        </w:tc>
      </w:tr>
      <w:tr w:rsidR="00343118">
        <w:trPr>
          <w:jc w:val="center"/>
        </w:trPr>
        <w:tc>
          <w:tcPr>
            <w:tcW w:w="855" w:type="dxa"/>
            <w:vAlign w:val="center"/>
          </w:tcPr>
          <w:p w:rsidR="00343118" w:rsidRDefault="00294AAE">
            <w:pPr>
              <w:jc w:val="center"/>
            </w:pPr>
            <w:r>
              <w:rPr>
                <w:color w:val="000000"/>
                <w:sz w:val="24"/>
                <w:szCs w:val="24"/>
              </w:rPr>
              <w:t>6</w:t>
            </w:r>
          </w:p>
        </w:tc>
        <w:tc>
          <w:tcPr>
            <w:tcW w:w="1334" w:type="dxa"/>
            <w:vAlign w:val="center"/>
          </w:tcPr>
          <w:p w:rsidR="00343118" w:rsidRDefault="00294AAE">
            <w:pPr>
              <w:jc w:val="center"/>
            </w:pPr>
            <w:r>
              <w:rPr>
                <w:color w:val="000000"/>
                <w:sz w:val="24"/>
                <w:szCs w:val="24"/>
              </w:rPr>
              <w:t>300307</w:t>
            </w:r>
          </w:p>
        </w:tc>
        <w:tc>
          <w:tcPr>
            <w:tcW w:w="1777" w:type="dxa"/>
            <w:vAlign w:val="center"/>
          </w:tcPr>
          <w:p w:rsidR="00343118" w:rsidRDefault="00294AAE">
            <w:pPr>
              <w:jc w:val="center"/>
            </w:pPr>
            <w:r>
              <w:rPr>
                <w:color w:val="000000"/>
                <w:sz w:val="24"/>
                <w:szCs w:val="24"/>
              </w:rPr>
              <w:t>慈星股份</w:t>
            </w:r>
          </w:p>
        </w:tc>
        <w:tc>
          <w:tcPr>
            <w:tcW w:w="1334" w:type="dxa"/>
            <w:vAlign w:val="center"/>
          </w:tcPr>
          <w:p w:rsidR="00343118" w:rsidRDefault="00294AAE">
            <w:pPr>
              <w:jc w:val="right"/>
            </w:pPr>
            <w:r>
              <w:rPr>
                <w:color w:val="000000"/>
                <w:sz w:val="24"/>
                <w:szCs w:val="24"/>
              </w:rPr>
              <w:t>10,174,911</w:t>
            </w:r>
          </w:p>
        </w:tc>
        <w:tc>
          <w:tcPr>
            <w:tcW w:w="1924" w:type="dxa"/>
            <w:vAlign w:val="center"/>
          </w:tcPr>
          <w:p w:rsidR="00343118" w:rsidRDefault="00294AAE">
            <w:pPr>
              <w:jc w:val="right"/>
            </w:pPr>
            <w:r>
              <w:rPr>
                <w:color w:val="000000"/>
                <w:sz w:val="24"/>
                <w:szCs w:val="24"/>
              </w:rPr>
              <w:t>110,804,780.79</w:t>
            </w:r>
          </w:p>
        </w:tc>
        <w:tc>
          <w:tcPr>
            <w:tcW w:w="1644" w:type="dxa"/>
            <w:vAlign w:val="center"/>
          </w:tcPr>
          <w:p w:rsidR="00343118" w:rsidRDefault="00294AAE">
            <w:pPr>
              <w:jc w:val="right"/>
            </w:pPr>
            <w:r>
              <w:rPr>
                <w:color w:val="000000"/>
                <w:sz w:val="24"/>
                <w:szCs w:val="24"/>
              </w:rPr>
              <w:t>3.46</w:t>
            </w:r>
          </w:p>
        </w:tc>
      </w:tr>
      <w:tr w:rsidR="00343118">
        <w:trPr>
          <w:jc w:val="center"/>
        </w:trPr>
        <w:tc>
          <w:tcPr>
            <w:tcW w:w="855" w:type="dxa"/>
            <w:vAlign w:val="center"/>
          </w:tcPr>
          <w:p w:rsidR="00343118" w:rsidRDefault="00294AAE">
            <w:pPr>
              <w:jc w:val="center"/>
            </w:pPr>
            <w:r>
              <w:rPr>
                <w:color w:val="000000"/>
                <w:sz w:val="24"/>
                <w:szCs w:val="24"/>
              </w:rPr>
              <w:t>7</w:t>
            </w:r>
          </w:p>
        </w:tc>
        <w:tc>
          <w:tcPr>
            <w:tcW w:w="1334" w:type="dxa"/>
            <w:vAlign w:val="center"/>
          </w:tcPr>
          <w:p w:rsidR="00343118" w:rsidRDefault="00294AAE">
            <w:pPr>
              <w:jc w:val="center"/>
            </w:pPr>
            <w:r>
              <w:rPr>
                <w:color w:val="000000"/>
                <w:sz w:val="24"/>
                <w:szCs w:val="24"/>
              </w:rPr>
              <w:t>300161</w:t>
            </w:r>
          </w:p>
        </w:tc>
        <w:tc>
          <w:tcPr>
            <w:tcW w:w="1777" w:type="dxa"/>
            <w:vAlign w:val="center"/>
          </w:tcPr>
          <w:p w:rsidR="00343118" w:rsidRDefault="00294AAE">
            <w:pPr>
              <w:jc w:val="center"/>
            </w:pPr>
            <w:r>
              <w:rPr>
                <w:color w:val="000000"/>
                <w:sz w:val="24"/>
                <w:szCs w:val="24"/>
              </w:rPr>
              <w:t>华中数控</w:t>
            </w:r>
          </w:p>
        </w:tc>
        <w:tc>
          <w:tcPr>
            <w:tcW w:w="1334" w:type="dxa"/>
            <w:vAlign w:val="center"/>
          </w:tcPr>
          <w:p w:rsidR="00343118" w:rsidRDefault="00294AAE">
            <w:pPr>
              <w:jc w:val="right"/>
            </w:pPr>
            <w:r>
              <w:rPr>
                <w:color w:val="000000"/>
                <w:sz w:val="24"/>
                <w:szCs w:val="24"/>
              </w:rPr>
              <w:t>4,430,271</w:t>
            </w:r>
          </w:p>
        </w:tc>
        <w:tc>
          <w:tcPr>
            <w:tcW w:w="1924" w:type="dxa"/>
            <w:vAlign w:val="center"/>
          </w:tcPr>
          <w:p w:rsidR="00343118" w:rsidRDefault="00294AAE">
            <w:pPr>
              <w:jc w:val="right"/>
            </w:pPr>
            <w:r>
              <w:rPr>
                <w:color w:val="000000"/>
                <w:sz w:val="24"/>
                <w:szCs w:val="24"/>
              </w:rPr>
              <w:t>110,136,537.06</w:t>
            </w:r>
          </w:p>
        </w:tc>
        <w:tc>
          <w:tcPr>
            <w:tcW w:w="1644" w:type="dxa"/>
            <w:vAlign w:val="center"/>
          </w:tcPr>
          <w:p w:rsidR="00343118" w:rsidRDefault="00294AAE">
            <w:pPr>
              <w:jc w:val="right"/>
            </w:pPr>
            <w:r>
              <w:rPr>
                <w:color w:val="000000"/>
                <w:sz w:val="24"/>
                <w:szCs w:val="24"/>
              </w:rPr>
              <w:t>3.44</w:t>
            </w:r>
          </w:p>
        </w:tc>
      </w:tr>
      <w:tr w:rsidR="00343118">
        <w:trPr>
          <w:jc w:val="center"/>
        </w:trPr>
        <w:tc>
          <w:tcPr>
            <w:tcW w:w="855" w:type="dxa"/>
            <w:vAlign w:val="center"/>
          </w:tcPr>
          <w:p w:rsidR="00343118" w:rsidRDefault="00294AAE">
            <w:pPr>
              <w:jc w:val="center"/>
            </w:pPr>
            <w:r>
              <w:rPr>
                <w:color w:val="000000"/>
                <w:sz w:val="24"/>
                <w:szCs w:val="24"/>
              </w:rPr>
              <w:t>8</w:t>
            </w:r>
          </w:p>
        </w:tc>
        <w:tc>
          <w:tcPr>
            <w:tcW w:w="1334" w:type="dxa"/>
            <w:vAlign w:val="center"/>
          </w:tcPr>
          <w:p w:rsidR="00343118" w:rsidRDefault="00294AAE">
            <w:pPr>
              <w:jc w:val="center"/>
            </w:pPr>
            <w:r>
              <w:rPr>
                <w:color w:val="000000"/>
                <w:sz w:val="24"/>
                <w:szCs w:val="24"/>
              </w:rPr>
              <w:t>002202</w:t>
            </w:r>
          </w:p>
        </w:tc>
        <w:tc>
          <w:tcPr>
            <w:tcW w:w="1777" w:type="dxa"/>
            <w:vAlign w:val="center"/>
          </w:tcPr>
          <w:p w:rsidR="00343118" w:rsidRDefault="00294AAE">
            <w:pPr>
              <w:jc w:val="center"/>
            </w:pPr>
            <w:r>
              <w:rPr>
                <w:color w:val="000000"/>
                <w:sz w:val="24"/>
                <w:szCs w:val="24"/>
              </w:rPr>
              <w:t>金风科技</w:t>
            </w:r>
          </w:p>
        </w:tc>
        <w:tc>
          <w:tcPr>
            <w:tcW w:w="1334" w:type="dxa"/>
            <w:vAlign w:val="center"/>
          </w:tcPr>
          <w:p w:rsidR="00343118" w:rsidRDefault="00294AAE">
            <w:pPr>
              <w:jc w:val="right"/>
            </w:pPr>
            <w:r>
              <w:rPr>
                <w:color w:val="000000"/>
                <w:sz w:val="24"/>
                <w:szCs w:val="24"/>
              </w:rPr>
              <w:t>6,604,456</w:t>
            </w:r>
          </w:p>
        </w:tc>
        <w:tc>
          <w:tcPr>
            <w:tcW w:w="1924" w:type="dxa"/>
            <w:vAlign w:val="center"/>
          </w:tcPr>
          <w:p w:rsidR="00343118" w:rsidRDefault="00294AAE">
            <w:pPr>
              <w:jc w:val="right"/>
            </w:pPr>
            <w:r>
              <w:rPr>
                <w:color w:val="000000"/>
                <w:sz w:val="24"/>
                <w:szCs w:val="24"/>
              </w:rPr>
              <w:t>106,067,563.36</w:t>
            </w:r>
          </w:p>
        </w:tc>
        <w:tc>
          <w:tcPr>
            <w:tcW w:w="1644" w:type="dxa"/>
            <w:vAlign w:val="center"/>
          </w:tcPr>
          <w:p w:rsidR="00343118" w:rsidRDefault="00294AAE">
            <w:pPr>
              <w:jc w:val="right"/>
            </w:pPr>
            <w:r>
              <w:rPr>
                <w:color w:val="000000"/>
                <w:sz w:val="24"/>
                <w:szCs w:val="24"/>
              </w:rPr>
              <w:t>3.31</w:t>
            </w:r>
          </w:p>
        </w:tc>
      </w:tr>
      <w:tr w:rsidR="00343118">
        <w:trPr>
          <w:jc w:val="center"/>
        </w:trPr>
        <w:tc>
          <w:tcPr>
            <w:tcW w:w="855" w:type="dxa"/>
            <w:vAlign w:val="center"/>
          </w:tcPr>
          <w:p w:rsidR="00343118" w:rsidRDefault="00294AAE">
            <w:pPr>
              <w:jc w:val="center"/>
            </w:pPr>
            <w:r>
              <w:rPr>
                <w:color w:val="000000"/>
                <w:sz w:val="24"/>
                <w:szCs w:val="24"/>
              </w:rPr>
              <w:t>9</w:t>
            </w:r>
          </w:p>
        </w:tc>
        <w:tc>
          <w:tcPr>
            <w:tcW w:w="1334" w:type="dxa"/>
            <w:vAlign w:val="center"/>
          </w:tcPr>
          <w:p w:rsidR="00343118" w:rsidRDefault="00294AAE">
            <w:pPr>
              <w:jc w:val="center"/>
            </w:pPr>
            <w:r>
              <w:rPr>
                <w:color w:val="000000"/>
                <w:sz w:val="24"/>
                <w:szCs w:val="24"/>
              </w:rPr>
              <w:t>600320</w:t>
            </w:r>
          </w:p>
        </w:tc>
        <w:tc>
          <w:tcPr>
            <w:tcW w:w="1777" w:type="dxa"/>
            <w:vAlign w:val="center"/>
          </w:tcPr>
          <w:p w:rsidR="00343118" w:rsidRDefault="00294AAE">
            <w:pPr>
              <w:jc w:val="center"/>
            </w:pPr>
            <w:r>
              <w:rPr>
                <w:color w:val="000000"/>
                <w:sz w:val="24"/>
                <w:szCs w:val="24"/>
              </w:rPr>
              <w:t>振华重工</w:t>
            </w:r>
          </w:p>
        </w:tc>
        <w:tc>
          <w:tcPr>
            <w:tcW w:w="1334" w:type="dxa"/>
            <w:vAlign w:val="center"/>
          </w:tcPr>
          <w:p w:rsidR="00343118" w:rsidRDefault="00294AAE">
            <w:pPr>
              <w:jc w:val="right"/>
            </w:pPr>
            <w:r>
              <w:rPr>
                <w:color w:val="000000"/>
                <w:sz w:val="24"/>
                <w:szCs w:val="24"/>
              </w:rPr>
              <w:t>14,740,617</w:t>
            </w:r>
          </w:p>
        </w:tc>
        <w:tc>
          <w:tcPr>
            <w:tcW w:w="1924" w:type="dxa"/>
            <w:vAlign w:val="center"/>
          </w:tcPr>
          <w:p w:rsidR="00343118" w:rsidRDefault="00294AAE">
            <w:pPr>
              <w:jc w:val="right"/>
            </w:pPr>
            <w:r>
              <w:rPr>
                <w:color w:val="000000"/>
                <w:sz w:val="24"/>
                <w:szCs w:val="24"/>
              </w:rPr>
              <w:t>85,200,766.26</w:t>
            </w:r>
          </w:p>
        </w:tc>
        <w:tc>
          <w:tcPr>
            <w:tcW w:w="1644" w:type="dxa"/>
            <w:vAlign w:val="center"/>
          </w:tcPr>
          <w:p w:rsidR="00343118" w:rsidRDefault="00294AAE">
            <w:pPr>
              <w:jc w:val="right"/>
            </w:pPr>
            <w:r>
              <w:rPr>
                <w:color w:val="000000"/>
                <w:sz w:val="24"/>
                <w:szCs w:val="24"/>
              </w:rPr>
              <w:t>2.66</w:t>
            </w:r>
          </w:p>
        </w:tc>
      </w:tr>
      <w:tr w:rsidR="00343118">
        <w:trPr>
          <w:jc w:val="center"/>
        </w:trPr>
        <w:tc>
          <w:tcPr>
            <w:tcW w:w="855" w:type="dxa"/>
            <w:vAlign w:val="center"/>
          </w:tcPr>
          <w:p w:rsidR="00343118" w:rsidRDefault="00294AAE">
            <w:pPr>
              <w:jc w:val="center"/>
            </w:pPr>
            <w:r>
              <w:rPr>
                <w:color w:val="000000"/>
                <w:sz w:val="24"/>
                <w:szCs w:val="24"/>
              </w:rPr>
              <w:t>10</w:t>
            </w:r>
          </w:p>
        </w:tc>
        <w:tc>
          <w:tcPr>
            <w:tcW w:w="1334" w:type="dxa"/>
            <w:vAlign w:val="center"/>
          </w:tcPr>
          <w:p w:rsidR="00343118" w:rsidRDefault="00294AAE">
            <w:pPr>
              <w:jc w:val="center"/>
            </w:pPr>
            <w:r>
              <w:rPr>
                <w:color w:val="000000"/>
                <w:sz w:val="24"/>
                <w:szCs w:val="24"/>
              </w:rPr>
              <w:t>002635</w:t>
            </w:r>
          </w:p>
        </w:tc>
        <w:tc>
          <w:tcPr>
            <w:tcW w:w="1777" w:type="dxa"/>
            <w:vAlign w:val="center"/>
          </w:tcPr>
          <w:p w:rsidR="00343118" w:rsidRDefault="00294AAE">
            <w:pPr>
              <w:jc w:val="center"/>
            </w:pPr>
            <w:r>
              <w:rPr>
                <w:color w:val="000000"/>
                <w:sz w:val="24"/>
                <w:szCs w:val="24"/>
              </w:rPr>
              <w:t>安洁科技</w:t>
            </w:r>
          </w:p>
        </w:tc>
        <w:tc>
          <w:tcPr>
            <w:tcW w:w="1334" w:type="dxa"/>
            <w:vAlign w:val="center"/>
          </w:tcPr>
          <w:p w:rsidR="00343118" w:rsidRDefault="00294AAE">
            <w:pPr>
              <w:jc w:val="right"/>
            </w:pPr>
            <w:r>
              <w:rPr>
                <w:color w:val="000000"/>
                <w:sz w:val="24"/>
                <w:szCs w:val="24"/>
              </w:rPr>
              <w:t>1,793,050</w:t>
            </w:r>
          </w:p>
        </w:tc>
        <w:tc>
          <w:tcPr>
            <w:tcW w:w="1924" w:type="dxa"/>
            <w:vAlign w:val="center"/>
          </w:tcPr>
          <w:p w:rsidR="00343118" w:rsidRDefault="00294AAE">
            <w:pPr>
              <w:jc w:val="right"/>
            </w:pPr>
            <w:r>
              <w:rPr>
                <w:color w:val="000000"/>
                <w:sz w:val="24"/>
                <w:szCs w:val="24"/>
              </w:rPr>
              <w:t>84,094,045.00</w:t>
            </w:r>
          </w:p>
        </w:tc>
        <w:tc>
          <w:tcPr>
            <w:tcW w:w="1644" w:type="dxa"/>
            <w:vAlign w:val="center"/>
          </w:tcPr>
          <w:p w:rsidR="00343118" w:rsidRDefault="00294AAE">
            <w:pPr>
              <w:jc w:val="right"/>
            </w:pPr>
            <w:r>
              <w:rPr>
                <w:color w:val="000000"/>
                <w:sz w:val="24"/>
                <w:szCs w:val="24"/>
              </w:rPr>
              <w:t>2.62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39,736,000.00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109,952,000.00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109,952,000.00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149,688,000.00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43118">
        <w:trPr>
          <w:jc w:val="center"/>
        </w:trPr>
        <w:tc>
          <w:tcPr>
            <w:tcW w:w="850" w:type="dxa"/>
            <w:vAlign w:val="center"/>
          </w:tcPr>
          <w:p w:rsidR="00343118" w:rsidRDefault="00294AAE">
            <w:pPr>
              <w:jc w:val="center"/>
            </w:pPr>
            <w:r>
              <w:rPr>
                <w:color w:val="000000"/>
                <w:sz w:val="24"/>
                <w:szCs w:val="24"/>
              </w:rPr>
              <w:t>1</w:t>
            </w:r>
          </w:p>
        </w:tc>
        <w:tc>
          <w:tcPr>
            <w:tcW w:w="1475" w:type="dxa"/>
            <w:vAlign w:val="center"/>
          </w:tcPr>
          <w:p w:rsidR="00343118" w:rsidRDefault="00294AAE">
            <w:pPr>
              <w:jc w:val="center"/>
            </w:pPr>
            <w:r>
              <w:rPr>
                <w:color w:val="000000"/>
                <w:sz w:val="24"/>
                <w:szCs w:val="24"/>
              </w:rPr>
              <w:t>160304</w:t>
            </w:r>
          </w:p>
        </w:tc>
        <w:tc>
          <w:tcPr>
            <w:tcW w:w="1769" w:type="dxa"/>
            <w:vAlign w:val="center"/>
          </w:tcPr>
          <w:p w:rsidR="00343118" w:rsidRDefault="00294AAE">
            <w:pPr>
              <w:jc w:val="center"/>
            </w:pPr>
            <w:r>
              <w:rPr>
                <w:color w:val="000000"/>
                <w:sz w:val="24"/>
                <w:szCs w:val="24"/>
              </w:rPr>
              <w:t>16</w:t>
            </w:r>
            <w:r>
              <w:rPr>
                <w:color w:val="000000"/>
                <w:sz w:val="24"/>
                <w:szCs w:val="24"/>
              </w:rPr>
              <w:t>进出</w:t>
            </w:r>
            <w:r>
              <w:rPr>
                <w:color w:val="000000"/>
                <w:sz w:val="24"/>
                <w:szCs w:val="24"/>
              </w:rPr>
              <w:t>04</w:t>
            </w:r>
          </w:p>
        </w:tc>
        <w:tc>
          <w:tcPr>
            <w:tcW w:w="1387" w:type="dxa"/>
            <w:vAlign w:val="center"/>
          </w:tcPr>
          <w:p w:rsidR="00343118" w:rsidRDefault="00294AAE">
            <w:pPr>
              <w:jc w:val="right"/>
            </w:pPr>
            <w:r>
              <w:rPr>
                <w:color w:val="000000"/>
                <w:sz w:val="24"/>
                <w:szCs w:val="24"/>
              </w:rPr>
              <w:t>1,000,000</w:t>
            </w:r>
          </w:p>
        </w:tc>
        <w:tc>
          <w:tcPr>
            <w:tcW w:w="2150" w:type="dxa"/>
            <w:vAlign w:val="center"/>
          </w:tcPr>
          <w:p w:rsidR="00343118" w:rsidRDefault="00294AAE">
            <w:pPr>
              <w:jc w:val="right"/>
            </w:pPr>
            <w:r>
              <w:rPr>
                <w:color w:val="000000"/>
                <w:sz w:val="24"/>
                <w:szCs w:val="24"/>
              </w:rPr>
              <w:t>99,960,000.00</w:t>
            </w:r>
          </w:p>
        </w:tc>
        <w:tc>
          <w:tcPr>
            <w:tcW w:w="1237" w:type="dxa"/>
            <w:vAlign w:val="center"/>
          </w:tcPr>
          <w:p w:rsidR="00343118" w:rsidRDefault="00294AAE">
            <w:pPr>
              <w:jc w:val="right"/>
            </w:pPr>
            <w:r>
              <w:rPr>
                <w:color w:val="000000"/>
                <w:sz w:val="24"/>
                <w:szCs w:val="24"/>
              </w:rPr>
              <w:t>3.12</w:t>
            </w:r>
          </w:p>
        </w:tc>
      </w:tr>
      <w:tr w:rsidR="00343118">
        <w:trPr>
          <w:jc w:val="center"/>
        </w:trPr>
        <w:tc>
          <w:tcPr>
            <w:tcW w:w="850" w:type="dxa"/>
            <w:vAlign w:val="center"/>
          </w:tcPr>
          <w:p w:rsidR="00343118" w:rsidRDefault="00294AAE">
            <w:pPr>
              <w:jc w:val="center"/>
            </w:pPr>
            <w:r>
              <w:rPr>
                <w:color w:val="000000"/>
                <w:sz w:val="24"/>
                <w:szCs w:val="24"/>
              </w:rPr>
              <w:t>2</w:t>
            </w:r>
          </w:p>
        </w:tc>
        <w:tc>
          <w:tcPr>
            <w:tcW w:w="1475" w:type="dxa"/>
            <w:vAlign w:val="center"/>
          </w:tcPr>
          <w:p w:rsidR="00343118" w:rsidRDefault="00294AAE">
            <w:pPr>
              <w:jc w:val="center"/>
            </w:pPr>
            <w:r>
              <w:rPr>
                <w:color w:val="000000"/>
                <w:sz w:val="24"/>
                <w:szCs w:val="24"/>
              </w:rPr>
              <w:t>169958</w:t>
            </w:r>
          </w:p>
        </w:tc>
        <w:tc>
          <w:tcPr>
            <w:tcW w:w="1769" w:type="dxa"/>
            <w:vAlign w:val="center"/>
          </w:tcPr>
          <w:p w:rsidR="00343118" w:rsidRDefault="00294AAE">
            <w:pPr>
              <w:jc w:val="center"/>
            </w:pPr>
            <w:r>
              <w:rPr>
                <w:color w:val="000000"/>
                <w:sz w:val="24"/>
                <w:szCs w:val="24"/>
              </w:rPr>
              <w:t>16</w:t>
            </w:r>
            <w:r>
              <w:rPr>
                <w:color w:val="000000"/>
                <w:sz w:val="24"/>
                <w:szCs w:val="24"/>
              </w:rPr>
              <w:t>贴现国债</w:t>
            </w:r>
            <w:r>
              <w:rPr>
                <w:color w:val="000000"/>
                <w:sz w:val="24"/>
                <w:szCs w:val="24"/>
              </w:rPr>
              <w:t>58</w:t>
            </w:r>
          </w:p>
        </w:tc>
        <w:tc>
          <w:tcPr>
            <w:tcW w:w="1387" w:type="dxa"/>
            <w:vAlign w:val="center"/>
          </w:tcPr>
          <w:p w:rsidR="00343118" w:rsidRDefault="00294AAE">
            <w:pPr>
              <w:jc w:val="right"/>
            </w:pPr>
            <w:r>
              <w:rPr>
                <w:color w:val="000000"/>
                <w:sz w:val="24"/>
                <w:szCs w:val="24"/>
              </w:rPr>
              <w:t>400,000</w:t>
            </w:r>
          </w:p>
        </w:tc>
        <w:tc>
          <w:tcPr>
            <w:tcW w:w="2150" w:type="dxa"/>
            <w:vAlign w:val="center"/>
          </w:tcPr>
          <w:p w:rsidR="00343118" w:rsidRDefault="00294AAE">
            <w:pPr>
              <w:jc w:val="right"/>
            </w:pPr>
            <w:r>
              <w:rPr>
                <w:color w:val="000000"/>
                <w:sz w:val="24"/>
                <w:szCs w:val="24"/>
              </w:rPr>
              <w:t>39,736,000.00</w:t>
            </w:r>
          </w:p>
        </w:tc>
        <w:tc>
          <w:tcPr>
            <w:tcW w:w="1237" w:type="dxa"/>
            <w:vAlign w:val="center"/>
          </w:tcPr>
          <w:p w:rsidR="00343118" w:rsidRDefault="00294AAE">
            <w:pPr>
              <w:jc w:val="right"/>
            </w:pPr>
            <w:r>
              <w:rPr>
                <w:color w:val="000000"/>
                <w:sz w:val="24"/>
                <w:szCs w:val="24"/>
              </w:rPr>
              <w:t>1.24</w:t>
            </w:r>
          </w:p>
        </w:tc>
      </w:tr>
      <w:tr w:rsidR="00343118">
        <w:trPr>
          <w:jc w:val="center"/>
        </w:trPr>
        <w:tc>
          <w:tcPr>
            <w:tcW w:w="850" w:type="dxa"/>
            <w:vAlign w:val="center"/>
          </w:tcPr>
          <w:p w:rsidR="00343118" w:rsidRDefault="00294AAE">
            <w:pPr>
              <w:jc w:val="center"/>
            </w:pPr>
            <w:r>
              <w:rPr>
                <w:color w:val="000000"/>
                <w:sz w:val="24"/>
                <w:szCs w:val="24"/>
              </w:rPr>
              <w:t>3</w:t>
            </w:r>
          </w:p>
        </w:tc>
        <w:tc>
          <w:tcPr>
            <w:tcW w:w="1475" w:type="dxa"/>
            <w:vAlign w:val="center"/>
          </w:tcPr>
          <w:p w:rsidR="00343118" w:rsidRDefault="00294AAE">
            <w:pPr>
              <w:jc w:val="center"/>
            </w:pPr>
            <w:r>
              <w:rPr>
                <w:color w:val="000000"/>
                <w:sz w:val="24"/>
                <w:szCs w:val="24"/>
              </w:rPr>
              <w:t>120223</w:t>
            </w:r>
          </w:p>
        </w:tc>
        <w:tc>
          <w:tcPr>
            <w:tcW w:w="1769" w:type="dxa"/>
            <w:vAlign w:val="center"/>
          </w:tcPr>
          <w:p w:rsidR="00343118" w:rsidRDefault="00294AAE">
            <w:pPr>
              <w:jc w:val="center"/>
            </w:pPr>
            <w:r>
              <w:rPr>
                <w:color w:val="000000"/>
                <w:sz w:val="24"/>
                <w:szCs w:val="24"/>
              </w:rPr>
              <w:t>12</w:t>
            </w:r>
            <w:r>
              <w:rPr>
                <w:color w:val="000000"/>
                <w:sz w:val="24"/>
                <w:szCs w:val="24"/>
              </w:rPr>
              <w:t>国开</w:t>
            </w:r>
            <w:r>
              <w:rPr>
                <w:color w:val="000000"/>
                <w:sz w:val="24"/>
                <w:szCs w:val="24"/>
              </w:rPr>
              <w:t>23</w:t>
            </w:r>
          </w:p>
        </w:tc>
        <w:tc>
          <w:tcPr>
            <w:tcW w:w="1387" w:type="dxa"/>
            <w:vAlign w:val="center"/>
          </w:tcPr>
          <w:p w:rsidR="00343118" w:rsidRDefault="00294AAE">
            <w:pPr>
              <w:jc w:val="right"/>
            </w:pPr>
            <w:r>
              <w:rPr>
                <w:color w:val="000000"/>
                <w:sz w:val="24"/>
                <w:szCs w:val="24"/>
              </w:rPr>
              <w:t>100,000</w:t>
            </w:r>
          </w:p>
        </w:tc>
        <w:tc>
          <w:tcPr>
            <w:tcW w:w="2150" w:type="dxa"/>
            <w:vAlign w:val="center"/>
          </w:tcPr>
          <w:p w:rsidR="00343118" w:rsidRDefault="00294AAE">
            <w:pPr>
              <w:jc w:val="right"/>
            </w:pPr>
            <w:r>
              <w:rPr>
                <w:color w:val="000000"/>
                <w:sz w:val="24"/>
                <w:szCs w:val="24"/>
              </w:rPr>
              <w:t>9,992,000.00</w:t>
            </w:r>
          </w:p>
        </w:tc>
        <w:tc>
          <w:tcPr>
            <w:tcW w:w="1237" w:type="dxa"/>
            <w:vAlign w:val="center"/>
          </w:tcPr>
          <w:p w:rsidR="00343118" w:rsidRDefault="00294AAE">
            <w:pPr>
              <w:jc w:val="right"/>
            </w:pPr>
            <w:r>
              <w:rPr>
                <w:color w:val="000000"/>
                <w:sz w:val="24"/>
                <w:szCs w:val="24"/>
              </w:rPr>
              <w:t>0.31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2,140,931.24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2,949,803.85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29,445,797.83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34,536,532.92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1,223,221,570.26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417,995,642.90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201,013,028.75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1,440,204,184.41</w:t>
            </w:r>
          </w:p>
        </w:tc>
      </w:tr>
    </w:tbl>
    <w:p w:rsidR="00343118" w:rsidRDefault="00294A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43118" w:rsidRDefault="00294AA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343118" w:rsidRDefault="00294AA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、《交银施罗德先进制造混合型证券投资基金基金合同》；</w:t>
      </w:r>
      <w:r>
        <w:rPr>
          <w:color w:val="000000"/>
          <w:sz w:val="24"/>
          <w:szCs w:val="24"/>
        </w:rPr>
        <w:t xml:space="preserve"> </w:t>
      </w:r>
    </w:p>
    <w:p w:rsidR="00343118" w:rsidRDefault="00294AA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、《交银施罗德先进制造混合型证券投资基金招募说明书》；</w:t>
      </w:r>
      <w:r>
        <w:rPr>
          <w:color w:val="000000"/>
          <w:sz w:val="24"/>
          <w:szCs w:val="24"/>
        </w:rPr>
        <w:t xml:space="preserve"> </w:t>
      </w:r>
    </w:p>
    <w:p w:rsidR="00343118" w:rsidRDefault="00294AA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、《交银施罗德先进制造混合型证券投资基金托管协议》；</w:t>
      </w:r>
    </w:p>
    <w:p w:rsidR="00343118" w:rsidRDefault="00294AAE">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343118" w:rsidRDefault="00294AA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343118" w:rsidRDefault="00294AA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43118" w:rsidRDefault="00294AA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44" w:rsidRDefault="00610B44" w:rsidP="00876D65">
      <w:r>
        <w:separator/>
      </w:r>
    </w:p>
  </w:endnote>
  <w:endnote w:type="continuationSeparator" w:id="0">
    <w:p w:rsidR="00610B44" w:rsidRDefault="00610B4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57581E">
      <w:rPr>
        <w:noProof/>
        <w:kern w:val="0"/>
        <w:szCs w:val="21"/>
      </w:rPr>
      <w:t>6</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57581E">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44" w:rsidRDefault="00610B44" w:rsidP="00876D65">
      <w:r>
        <w:separator/>
      </w:r>
    </w:p>
  </w:footnote>
  <w:footnote w:type="continuationSeparator" w:id="0">
    <w:p w:rsidR="00610B44" w:rsidRDefault="00610B4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027FA"/>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4AAE"/>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3118"/>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81E"/>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0B44"/>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1E7"/>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3933"/>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3DE7"/>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2766E"/>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FC036F-AF8B-4FF0-B029-1A8A4534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944968502">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0759-F64E-489F-ABE0-30728EE0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2017-04-21T07:04:00Z</dcterms:modified>
</cp:coreProperties>
</file>