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5678B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909E8" w:rsidRDefault="00781DF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1909E8" w:rsidRDefault="00781DF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p>
    <w:p w:rsidR="001909E8" w:rsidRDefault="00781DF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1909E8" w:rsidRDefault="00781DF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1909E8" w:rsidRDefault="00781DF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678B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759,897,052.46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678B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81DF8" w:rsidRPr="00414345" w:rsidTr="00781DF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81DF8" w:rsidRPr="00414345" w:rsidTr="00781DF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17,836,393.41</w:t>
            </w:r>
          </w:p>
        </w:tc>
      </w:tr>
      <w:tr w:rsidR="00781DF8" w:rsidRPr="00414345" w:rsidTr="00781DF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30,150,048.66</w:t>
            </w:r>
          </w:p>
        </w:tc>
      </w:tr>
      <w:tr w:rsidR="00781DF8" w:rsidRPr="00414345" w:rsidTr="00781DF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0.0264</w:t>
            </w:r>
          </w:p>
        </w:tc>
      </w:tr>
      <w:tr w:rsidR="00781DF8" w:rsidRPr="00414345" w:rsidTr="00781DF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770,382,945.88</w:t>
            </w:r>
          </w:p>
        </w:tc>
      </w:tr>
      <w:tr w:rsidR="00781DF8" w:rsidRPr="00414345" w:rsidTr="00781DF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1.014</w:t>
            </w:r>
          </w:p>
        </w:tc>
      </w:tr>
    </w:tbl>
    <w:p w:rsidR="001909E8" w:rsidRDefault="00781DF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909E8">
        <w:trPr>
          <w:jc w:val="center"/>
        </w:trPr>
        <w:tc>
          <w:tcPr>
            <w:tcW w:w="1701" w:type="dxa"/>
            <w:vAlign w:val="center"/>
          </w:tcPr>
          <w:p w:rsidR="001909E8" w:rsidRDefault="00781DF8">
            <w:pPr>
              <w:jc w:val="left"/>
            </w:pPr>
            <w:r>
              <w:rPr>
                <w:color w:val="000000"/>
                <w:sz w:val="24"/>
                <w:szCs w:val="24"/>
              </w:rPr>
              <w:t>过去三个月</w:t>
            </w:r>
          </w:p>
        </w:tc>
        <w:tc>
          <w:tcPr>
            <w:tcW w:w="1045" w:type="dxa"/>
            <w:vAlign w:val="center"/>
          </w:tcPr>
          <w:p w:rsidR="001909E8" w:rsidRDefault="00781DF8">
            <w:pPr>
              <w:jc w:val="center"/>
            </w:pPr>
            <w:r>
              <w:rPr>
                <w:color w:val="000000"/>
                <w:sz w:val="24"/>
                <w:szCs w:val="24"/>
              </w:rPr>
              <w:t>2.02%</w:t>
            </w:r>
          </w:p>
        </w:tc>
        <w:tc>
          <w:tcPr>
            <w:tcW w:w="1344" w:type="dxa"/>
            <w:vAlign w:val="center"/>
          </w:tcPr>
          <w:p w:rsidR="001909E8" w:rsidRDefault="00781DF8">
            <w:pPr>
              <w:jc w:val="center"/>
            </w:pPr>
            <w:r>
              <w:rPr>
                <w:color w:val="000000"/>
                <w:sz w:val="24"/>
                <w:szCs w:val="24"/>
              </w:rPr>
              <w:t>0.54%</w:t>
            </w:r>
          </w:p>
        </w:tc>
        <w:tc>
          <w:tcPr>
            <w:tcW w:w="1194" w:type="dxa"/>
            <w:vAlign w:val="center"/>
          </w:tcPr>
          <w:p w:rsidR="001909E8" w:rsidRDefault="00781DF8">
            <w:pPr>
              <w:jc w:val="center"/>
            </w:pPr>
            <w:r>
              <w:rPr>
                <w:color w:val="000000"/>
                <w:sz w:val="24"/>
                <w:szCs w:val="24"/>
              </w:rPr>
              <w:t>2.59%</w:t>
            </w:r>
          </w:p>
        </w:tc>
        <w:tc>
          <w:tcPr>
            <w:tcW w:w="1492" w:type="dxa"/>
            <w:vAlign w:val="center"/>
          </w:tcPr>
          <w:p w:rsidR="001909E8" w:rsidRDefault="00781DF8">
            <w:pPr>
              <w:jc w:val="center"/>
            </w:pPr>
            <w:r>
              <w:rPr>
                <w:color w:val="000000"/>
                <w:sz w:val="24"/>
                <w:szCs w:val="24"/>
              </w:rPr>
              <w:t>0.31%</w:t>
            </w:r>
          </w:p>
        </w:tc>
        <w:tc>
          <w:tcPr>
            <w:tcW w:w="1194" w:type="dxa"/>
            <w:vAlign w:val="center"/>
          </w:tcPr>
          <w:p w:rsidR="001909E8" w:rsidRDefault="00EF5C6F">
            <w:pPr>
              <w:jc w:val="center"/>
            </w:pPr>
            <w:r>
              <w:rPr>
                <w:color w:val="000000"/>
                <w:sz w:val="24"/>
                <w:szCs w:val="24"/>
              </w:rPr>
              <w:t>-</w:t>
            </w:r>
            <w:r w:rsidR="00781DF8">
              <w:rPr>
                <w:color w:val="000000"/>
                <w:sz w:val="24"/>
                <w:szCs w:val="24"/>
              </w:rPr>
              <w:t>0.57%</w:t>
            </w:r>
          </w:p>
        </w:tc>
        <w:tc>
          <w:tcPr>
            <w:tcW w:w="898" w:type="dxa"/>
            <w:vAlign w:val="center"/>
          </w:tcPr>
          <w:p w:rsidR="001909E8" w:rsidRDefault="00781DF8">
            <w:pPr>
              <w:jc w:val="center"/>
            </w:pPr>
            <w:r>
              <w:rPr>
                <w:color w:val="000000"/>
                <w:sz w:val="24"/>
                <w:szCs w:val="24"/>
              </w:rPr>
              <w:t>0.23%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5678B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909E8">
        <w:trPr>
          <w:jc w:val="center"/>
        </w:trPr>
        <w:tc>
          <w:tcPr>
            <w:tcW w:w="846" w:type="dxa"/>
            <w:vAlign w:val="center"/>
          </w:tcPr>
          <w:p w:rsidR="001909E8" w:rsidRDefault="00781DF8">
            <w:pPr>
              <w:jc w:val="center"/>
            </w:pPr>
            <w:r>
              <w:rPr>
                <w:color w:val="000000"/>
                <w:sz w:val="24"/>
                <w:szCs w:val="24"/>
              </w:rPr>
              <w:t>沈楠</w:t>
            </w:r>
          </w:p>
        </w:tc>
        <w:tc>
          <w:tcPr>
            <w:tcW w:w="845" w:type="dxa"/>
            <w:vAlign w:val="center"/>
          </w:tcPr>
          <w:p w:rsidR="001909E8" w:rsidRDefault="00781DF8">
            <w:pPr>
              <w:jc w:val="center"/>
            </w:pPr>
            <w:r>
              <w:rPr>
                <w:color w:val="000000"/>
                <w:sz w:val="24"/>
                <w:szCs w:val="24"/>
              </w:rPr>
              <w:t>交银主题优选混合、交银国企改革灵活配置混合的基金经理</w:t>
            </w:r>
          </w:p>
        </w:tc>
        <w:tc>
          <w:tcPr>
            <w:tcW w:w="1549" w:type="dxa"/>
            <w:vAlign w:val="center"/>
          </w:tcPr>
          <w:p w:rsidR="001909E8" w:rsidRDefault="00781DF8">
            <w:pPr>
              <w:jc w:val="center"/>
            </w:pPr>
            <w:r>
              <w:rPr>
                <w:color w:val="000000"/>
                <w:sz w:val="24"/>
                <w:szCs w:val="24"/>
              </w:rPr>
              <w:t>2015-05-05</w:t>
            </w:r>
          </w:p>
        </w:tc>
        <w:tc>
          <w:tcPr>
            <w:tcW w:w="1548" w:type="dxa"/>
            <w:vAlign w:val="center"/>
          </w:tcPr>
          <w:p w:rsidR="001909E8" w:rsidRDefault="00781DF8">
            <w:pPr>
              <w:jc w:val="center"/>
            </w:pPr>
            <w:r>
              <w:rPr>
                <w:color w:val="000000"/>
                <w:sz w:val="24"/>
                <w:szCs w:val="24"/>
              </w:rPr>
              <w:t>-</w:t>
            </w:r>
          </w:p>
        </w:tc>
        <w:tc>
          <w:tcPr>
            <w:tcW w:w="1407" w:type="dxa"/>
            <w:vAlign w:val="center"/>
          </w:tcPr>
          <w:p w:rsidR="001909E8" w:rsidRDefault="00781DF8">
            <w:pPr>
              <w:jc w:val="center"/>
            </w:pPr>
            <w:r>
              <w:rPr>
                <w:color w:val="000000"/>
                <w:sz w:val="24"/>
                <w:szCs w:val="24"/>
              </w:rPr>
              <w:t>8</w:t>
            </w:r>
            <w:r>
              <w:rPr>
                <w:color w:val="000000"/>
                <w:sz w:val="24"/>
                <w:szCs w:val="24"/>
              </w:rPr>
              <w:t>年</w:t>
            </w:r>
          </w:p>
        </w:tc>
        <w:tc>
          <w:tcPr>
            <w:tcW w:w="2673" w:type="dxa"/>
            <w:vAlign w:val="center"/>
          </w:tcPr>
          <w:p w:rsidR="001909E8" w:rsidRDefault="00781DF8">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909E8" w:rsidRDefault="00781DF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909E8" w:rsidRDefault="00781DF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909E8" w:rsidRDefault="00781DF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1909E8" w:rsidRDefault="00781DF8">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1909E8" w:rsidRDefault="001909E8">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909E8" w:rsidRDefault="00781DF8">
      <w:pPr>
        <w:spacing w:before="29" w:line="288" w:lineRule="auto"/>
        <w:ind w:firstLineChars="200" w:firstLine="480"/>
        <w:rPr>
          <w:color w:val="000000"/>
          <w:sz w:val="24"/>
          <w:szCs w:val="24"/>
        </w:rPr>
      </w:pPr>
      <w:r>
        <w:rPr>
          <w:color w:val="000000"/>
          <w:sz w:val="24"/>
          <w:szCs w:val="24"/>
        </w:rPr>
        <w:t>2017</w:t>
      </w:r>
      <w:r>
        <w:rPr>
          <w:color w:val="000000"/>
          <w:sz w:val="24"/>
          <w:szCs w:val="24"/>
        </w:rPr>
        <w:t>年，伴随全球复苏中国经济稳步增长，通胀预期逐渐升温，部分地区房地产市场过热引发地产结构性调控加码。尽管汇率市场整体平稳，但金融体系去杠杆延续，对国内流动性和债券市场产生一定扰动。我们认为伴随联储加息国内货币政策在</w:t>
      </w:r>
      <w:r>
        <w:rPr>
          <w:color w:val="000000"/>
          <w:sz w:val="24"/>
          <w:szCs w:val="24"/>
        </w:rPr>
        <w:t>2017</w:t>
      </w:r>
      <w:r>
        <w:rPr>
          <w:color w:val="000000"/>
          <w:sz w:val="24"/>
          <w:szCs w:val="24"/>
        </w:rPr>
        <w:t>年将趋向中性略紧。一季度市场指数震荡小幅上行，以白酒、家电、医药、消费电子为主的白马消费股龙头表现亮眼。</w:t>
      </w:r>
    </w:p>
    <w:p w:rsidR="001909E8" w:rsidRDefault="00781DF8">
      <w:pPr>
        <w:spacing w:before="29" w:line="288" w:lineRule="auto"/>
        <w:ind w:firstLineChars="200" w:firstLine="480"/>
        <w:rPr>
          <w:color w:val="000000"/>
          <w:sz w:val="24"/>
          <w:szCs w:val="24"/>
        </w:rPr>
      </w:pPr>
      <w:r>
        <w:rPr>
          <w:color w:val="000000"/>
          <w:sz w:val="24"/>
          <w:szCs w:val="24"/>
        </w:rPr>
        <w:t>报告期内，本基金配置以稳定成长及主题轮动的股票为主，并适当参与了国企改革股票的投资机会。整体净值并未获取显著的阿尔法收益。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展望未来半年，我们认为在目前盈利慢牛背景下，由于利率中枢水平的抬升，预计市场整体仍将延续呈现结构性机会为主的震荡行情。经历调整后我们将对</w:t>
      </w:r>
      <w:r w:rsidRPr="00414345">
        <w:rPr>
          <w:color w:val="000000"/>
          <w:sz w:val="24"/>
          <w:szCs w:val="24"/>
        </w:rPr>
        <w:t>A</w:t>
      </w:r>
      <w:r w:rsidRPr="00414345">
        <w:rPr>
          <w:color w:val="000000"/>
          <w:sz w:val="24"/>
          <w:szCs w:val="24"/>
        </w:rPr>
        <w:t>股市场保持乐观，并将会积极参与部分成长行业和公司的投资机会，以期增强组合的抗波动性，同时我们也认为部分成长股估值已经处于较为合理甚至略低的水平，将逐渐关注这类公司的估值错杀机会。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1.014</w:t>
      </w:r>
      <w:r w:rsidRPr="00414345">
        <w:rPr>
          <w:color w:val="000000"/>
          <w:sz w:val="24"/>
          <w:szCs w:val="24"/>
        </w:rPr>
        <w:t>元，本报告期份额净值增长率为</w:t>
      </w:r>
      <w:r w:rsidRPr="00414345">
        <w:rPr>
          <w:color w:val="000000"/>
          <w:sz w:val="24"/>
          <w:szCs w:val="24"/>
        </w:rPr>
        <w:t>2.02%</w:t>
      </w:r>
      <w:r w:rsidRPr="00414345">
        <w:rPr>
          <w:color w:val="000000"/>
          <w:sz w:val="24"/>
          <w:szCs w:val="24"/>
        </w:rPr>
        <w:t>，同期业绩比较基准增长率为</w:t>
      </w:r>
      <w:r w:rsidRPr="00414345">
        <w:rPr>
          <w:color w:val="000000"/>
          <w:sz w:val="24"/>
          <w:szCs w:val="24"/>
        </w:rPr>
        <w:t>2.59%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5678B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440,522,464.65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55.27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440,522,464.65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55.27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39,646,000.00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39,646,000.00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199,000,618.50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24.97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115,335,483.40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2,524,934.11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797,029,500.66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7C3B32" w:rsidRDefault="007C3B32" w:rsidP="007C3B32">
      <w:pPr>
        <w:autoSpaceDE w:val="0"/>
        <w:autoSpaceDN w:val="0"/>
        <w:spacing w:before="29" w:line="288" w:lineRule="auto"/>
        <w:rPr>
          <w:b/>
          <w:bCs/>
          <w:color w:val="000000"/>
          <w:sz w:val="24"/>
          <w:szCs w:val="24"/>
        </w:rPr>
      </w:pPr>
      <w:r>
        <w:rPr>
          <w:b/>
          <w:bCs/>
          <w:color w:val="000000"/>
          <w:sz w:val="24"/>
          <w:szCs w:val="24"/>
        </w:rPr>
        <w:t xml:space="preserve">5.2 </w:t>
      </w:r>
      <w:r>
        <w:rPr>
          <w:rFonts w:ascii="宋体" w:hAnsi="宋体" w:hint="eastAsia"/>
          <w:b/>
          <w:bCs/>
          <w:color w:val="000000"/>
          <w:sz w:val="24"/>
          <w:szCs w:val="24"/>
        </w:rPr>
        <w:t>报告期末按行业分类的股票投资组合</w:t>
      </w:r>
    </w:p>
    <w:p w:rsidR="007C3B32" w:rsidRDefault="007C3B32" w:rsidP="007C3B32">
      <w:pPr>
        <w:rPr>
          <w:rFonts w:ascii="Calibri" w:hAnsi="Calibri" w:cs="宋体"/>
          <w:b/>
          <w:bCs/>
          <w:sz w:val="24"/>
          <w:szCs w:val="24"/>
        </w:rPr>
      </w:pPr>
      <w:r>
        <w:rPr>
          <w:b/>
          <w:bCs/>
          <w:color w:val="000000"/>
          <w:sz w:val="24"/>
          <w:szCs w:val="24"/>
        </w:rPr>
        <w:t>5.2.1</w:t>
      </w:r>
      <w:r>
        <w:rPr>
          <w:rFonts w:ascii="宋体" w:hAnsi="宋体" w:hint="eastAsia"/>
          <w:b/>
          <w:bCs/>
          <w:color w:val="000000"/>
          <w:sz w:val="24"/>
          <w:szCs w:val="24"/>
        </w:rPr>
        <w:t>报告期末按行业分类的境内股票投资组合</w:t>
      </w:r>
    </w:p>
    <w:tbl>
      <w:tblPr>
        <w:tblW w:w="8865" w:type="dxa"/>
        <w:jc w:val="center"/>
        <w:tblCellMar>
          <w:left w:w="0" w:type="dxa"/>
          <w:right w:w="0" w:type="dxa"/>
        </w:tblCellMar>
        <w:tblLook w:val="04A0" w:firstRow="1" w:lastRow="0" w:firstColumn="1" w:lastColumn="0" w:noHBand="0" w:noVBand="1"/>
      </w:tblPr>
      <w:tblGrid>
        <w:gridCol w:w="845"/>
        <w:gridCol w:w="3542"/>
        <w:gridCol w:w="2840"/>
        <w:gridCol w:w="1638"/>
      </w:tblGrid>
      <w:tr w:rsidR="007C3B32" w:rsidTr="007C3B32">
        <w:trPr>
          <w:trHeight w:val="390"/>
          <w:jc w:val="center"/>
        </w:trPr>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rFonts w:ascii="宋体" w:hAnsi="宋体" w:hint="eastAsia"/>
                <w:sz w:val="24"/>
                <w:szCs w:val="24"/>
              </w:rPr>
              <w:t>代码</w:t>
            </w:r>
          </w:p>
        </w:tc>
        <w:tc>
          <w:tcPr>
            <w:tcW w:w="3544" w:type="dxa"/>
            <w:tcBorders>
              <w:top w:val="single" w:sz="8" w:space="0" w:color="000000"/>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rFonts w:ascii="宋体" w:hAnsi="宋体" w:hint="eastAsia"/>
                <w:sz w:val="24"/>
                <w:szCs w:val="24"/>
              </w:rPr>
              <w:t>行业类别</w:t>
            </w:r>
          </w:p>
        </w:tc>
        <w:tc>
          <w:tcPr>
            <w:tcW w:w="28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rFonts w:ascii="宋体" w:hAnsi="宋体" w:hint="eastAsia"/>
                <w:sz w:val="24"/>
                <w:szCs w:val="24"/>
              </w:rPr>
              <w:t>公允价值（元）</w:t>
            </w:r>
          </w:p>
        </w:tc>
        <w:tc>
          <w:tcPr>
            <w:tcW w:w="1638" w:type="dxa"/>
            <w:tcBorders>
              <w:top w:val="single" w:sz="8" w:space="0" w:color="000000"/>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rFonts w:ascii="宋体" w:hAnsi="宋体" w:hint="eastAsia"/>
                <w:sz w:val="24"/>
                <w:szCs w:val="24"/>
              </w:rPr>
              <w:t>占基金资产净值比例（％）</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A</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农、林、牧、渔业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autoSpaceDE w:val="0"/>
              <w:autoSpaceDN w:val="0"/>
              <w:spacing w:before="29" w:line="288" w:lineRule="auto"/>
              <w:ind w:left="15"/>
              <w:jc w:val="right"/>
              <w:rPr>
                <w:sz w:val="24"/>
                <w:szCs w:val="24"/>
              </w:rPr>
            </w:pPr>
            <w:r>
              <w:rPr>
                <w:sz w:val="24"/>
                <w:szCs w:val="24"/>
              </w:rPr>
              <w:t>-</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B</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采矿业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7,234,605.00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0.94</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C</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制造业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309,922,642.88</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40.23</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D</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电力、热力、燃气及水生产和供应业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46,724.92</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0.01</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E</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建筑业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18,362,404.44</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2.38</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F</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批发和零售业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11,711,643.60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1.52</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G</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交通运输、仓储和邮政业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14,272,373.89</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1.85</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H</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住宿和餐饮业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r>
              <w:rPr>
                <w:rFonts w:ascii="宋体" w:hAnsi="宋体" w:hint="eastAsia"/>
                <w:sz w:val="24"/>
                <w:szCs w:val="24"/>
              </w:rPr>
              <w:t xml:space="preserve">　</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sz w:val="24"/>
                <w:szCs w:val="24"/>
              </w:rPr>
            </w:pPr>
            <w:r>
              <w:rPr>
                <w:sz w:val="24"/>
                <w:szCs w:val="24"/>
              </w:rPr>
              <w:t>I</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sz w:val="24"/>
                <w:szCs w:val="24"/>
              </w:rPr>
            </w:pPr>
            <w:r>
              <w:rPr>
                <w:rFonts w:ascii="宋体" w:hAnsi="宋体" w:hint="eastAsia"/>
                <w:sz w:val="24"/>
                <w:szCs w:val="24"/>
              </w:rPr>
              <w:t>信息传输、软件和信息技术服务业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25,410,213.20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3.30</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J</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金融业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r>
              <w:rPr>
                <w:rFonts w:ascii="宋体" w:hAnsi="宋体" w:hint="eastAsia"/>
                <w:sz w:val="24"/>
                <w:szCs w:val="24"/>
              </w:rPr>
              <w:t xml:space="preserve">　</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K</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房地产业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18,457,453.86</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2.40</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L</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租赁和商务服务业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rFonts w:ascii="宋体" w:hAnsi="宋体" w:hint="eastAsia"/>
                <w:sz w:val="24"/>
                <w:szCs w:val="24"/>
              </w:rPr>
              <w:t xml:space="preserve">　</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M</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科学研究和技术服务业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15,409,930.16</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2.00</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N</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水利、环境和公共设施管理业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r>
              <w:rPr>
                <w:rFonts w:ascii="宋体" w:hAnsi="宋体" w:hint="eastAsia"/>
                <w:sz w:val="24"/>
                <w:szCs w:val="24"/>
              </w:rPr>
              <w:t xml:space="preserve">　</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O</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居民服务、修理和其他服务业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r>
              <w:rPr>
                <w:rFonts w:ascii="宋体" w:hAnsi="宋体" w:hint="eastAsia"/>
                <w:sz w:val="24"/>
                <w:szCs w:val="24"/>
              </w:rPr>
              <w:t xml:space="preserve">　</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P</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教育</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r>
              <w:rPr>
                <w:rFonts w:ascii="宋体" w:hAnsi="宋体" w:hint="eastAsia"/>
                <w:sz w:val="24"/>
                <w:szCs w:val="24"/>
              </w:rPr>
              <w:t xml:space="preserve">　</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Q</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卫生和社会工作</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7,695,998.52</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1.00</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R</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文化、体育和娱乐业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11,998,474.18</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1.56</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napToGrid w:val="0"/>
              <w:spacing w:before="29" w:line="288" w:lineRule="auto"/>
              <w:jc w:val="center"/>
              <w:rPr>
                <w:color w:val="000000"/>
                <w:sz w:val="24"/>
                <w:szCs w:val="24"/>
              </w:rPr>
            </w:pPr>
            <w:r>
              <w:rPr>
                <w:color w:val="000000"/>
                <w:sz w:val="24"/>
                <w:szCs w:val="24"/>
              </w:rPr>
              <w:t>S</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综合</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w:t>
            </w:r>
          </w:p>
        </w:tc>
      </w:tr>
      <w:tr w:rsidR="007C3B32" w:rsidTr="007C3B32">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7C3B32" w:rsidRDefault="007C3B32">
            <w:pPr>
              <w:snapToGrid w:val="0"/>
              <w:spacing w:before="29" w:line="288" w:lineRule="auto"/>
              <w:jc w:val="center"/>
              <w:rPr>
                <w:color w:val="000000"/>
                <w:sz w:val="24"/>
                <w:szCs w:val="24"/>
              </w:rPr>
            </w:pP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7C3B32" w:rsidRDefault="007C3B32">
            <w:pPr>
              <w:snapToGrid w:val="0"/>
              <w:spacing w:before="29" w:line="288" w:lineRule="auto"/>
              <w:rPr>
                <w:color w:val="000000"/>
                <w:sz w:val="24"/>
                <w:szCs w:val="24"/>
              </w:rPr>
            </w:pPr>
            <w:r>
              <w:rPr>
                <w:rFonts w:ascii="宋体" w:hAnsi="宋体" w:hint="eastAsia"/>
                <w:color w:val="000000"/>
                <w:sz w:val="24"/>
                <w:szCs w:val="24"/>
              </w:rPr>
              <w:t>合计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440,522,464.65</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7C3B32" w:rsidRDefault="007C3B32">
            <w:pPr>
              <w:spacing w:before="29" w:line="288" w:lineRule="auto"/>
              <w:jc w:val="right"/>
              <w:rPr>
                <w:sz w:val="24"/>
                <w:szCs w:val="24"/>
              </w:rPr>
            </w:pPr>
            <w:r>
              <w:rPr>
                <w:sz w:val="24"/>
                <w:szCs w:val="24"/>
              </w:rPr>
              <w:t>57.18</w:t>
            </w:r>
          </w:p>
        </w:tc>
      </w:tr>
    </w:tbl>
    <w:p w:rsidR="007C3B32" w:rsidRDefault="007C3B3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909E8">
        <w:trPr>
          <w:jc w:val="center"/>
        </w:trPr>
        <w:tc>
          <w:tcPr>
            <w:tcW w:w="855" w:type="dxa"/>
            <w:vAlign w:val="center"/>
          </w:tcPr>
          <w:p w:rsidR="001909E8" w:rsidRDefault="00781DF8">
            <w:pPr>
              <w:jc w:val="center"/>
            </w:pPr>
            <w:r>
              <w:rPr>
                <w:color w:val="000000"/>
                <w:sz w:val="24"/>
                <w:szCs w:val="24"/>
              </w:rPr>
              <w:t>1</w:t>
            </w:r>
          </w:p>
        </w:tc>
        <w:tc>
          <w:tcPr>
            <w:tcW w:w="1334" w:type="dxa"/>
            <w:vAlign w:val="center"/>
          </w:tcPr>
          <w:p w:rsidR="001909E8" w:rsidRDefault="00781DF8">
            <w:pPr>
              <w:jc w:val="center"/>
            </w:pPr>
            <w:r>
              <w:rPr>
                <w:color w:val="000000"/>
                <w:sz w:val="24"/>
                <w:szCs w:val="24"/>
              </w:rPr>
              <w:t>300145</w:t>
            </w:r>
          </w:p>
        </w:tc>
        <w:tc>
          <w:tcPr>
            <w:tcW w:w="1777" w:type="dxa"/>
            <w:vAlign w:val="center"/>
          </w:tcPr>
          <w:p w:rsidR="001909E8" w:rsidRDefault="00781DF8">
            <w:pPr>
              <w:jc w:val="center"/>
            </w:pPr>
            <w:r>
              <w:rPr>
                <w:color w:val="000000"/>
                <w:sz w:val="24"/>
                <w:szCs w:val="24"/>
              </w:rPr>
              <w:t>中金环境</w:t>
            </w:r>
          </w:p>
        </w:tc>
        <w:tc>
          <w:tcPr>
            <w:tcW w:w="1334" w:type="dxa"/>
            <w:vAlign w:val="center"/>
          </w:tcPr>
          <w:p w:rsidR="001909E8" w:rsidRDefault="00781DF8">
            <w:pPr>
              <w:jc w:val="right"/>
            </w:pPr>
            <w:r>
              <w:rPr>
                <w:color w:val="000000"/>
                <w:sz w:val="24"/>
                <w:szCs w:val="24"/>
              </w:rPr>
              <w:t>1,322,229</w:t>
            </w:r>
          </w:p>
        </w:tc>
        <w:tc>
          <w:tcPr>
            <w:tcW w:w="1924" w:type="dxa"/>
            <w:vAlign w:val="center"/>
          </w:tcPr>
          <w:p w:rsidR="001909E8" w:rsidRDefault="00781DF8">
            <w:pPr>
              <w:jc w:val="right"/>
            </w:pPr>
            <w:r>
              <w:rPr>
                <w:color w:val="000000"/>
                <w:sz w:val="24"/>
                <w:szCs w:val="24"/>
              </w:rPr>
              <w:t>37,524,859.02</w:t>
            </w:r>
          </w:p>
        </w:tc>
        <w:tc>
          <w:tcPr>
            <w:tcW w:w="1644" w:type="dxa"/>
            <w:vAlign w:val="center"/>
          </w:tcPr>
          <w:p w:rsidR="001909E8" w:rsidRDefault="00781DF8">
            <w:pPr>
              <w:jc w:val="right"/>
            </w:pPr>
            <w:r>
              <w:rPr>
                <w:color w:val="000000"/>
                <w:sz w:val="24"/>
                <w:szCs w:val="24"/>
              </w:rPr>
              <w:t>4.87</w:t>
            </w:r>
          </w:p>
        </w:tc>
      </w:tr>
      <w:tr w:rsidR="001909E8">
        <w:trPr>
          <w:jc w:val="center"/>
        </w:trPr>
        <w:tc>
          <w:tcPr>
            <w:tcW w:w="855" w:type="dxa"/>
            <w:vAlign w:val="center"/>
          </w:tcPr>
          <w:p w:rsidR="001909E8" w:rsidRDefault="00781DF8">
            <w:pPr>
              <w:jc w:val="center"/>
            </w:pPr>
            <w:r>
              <w:rPr>
                <w:color w:val="000000"/>
                <w:sz w:val="24"/>
                <w:szCs w:val="24"/>
              </w:rPr>
              <w:t>2</w:t>
            </w:r>
          </w:p>
        </w:tc>
        <w:tc>
          <w:tcPr>
            <w:tcW w:w="1334" w:type="dxa"/>
            <w:vAlign w:val="center"/>
          </w:tcPr>
          <w:p w:rsidR="001909E8" w:rsidRDefault="00781DF8">
            <w:pPr>
              <w:jc w:val="center"/>
            </w:pPr>
            <w:r>
              <w:rPr>
                <w:color w:val="000000"/>
                <w:sz w:val="24"/>
                <w:szCs w:val="24"/>
              </w:rPr>
              <w:t>000949</w:t>
            </w:r>
          </w:p>
        </w:tc>
        <w:tc>
          <w:tcPr>
            <w:tcW w:w="1777" w:type="dxa"/>
            <w:vAlign w:val="center"/>
          </w:tcPr>
          <w:p w:rsidR="001909E8" w:rsidRDefault="00781DF8">
            <w:pPr>
              <w:jc w:val="center"/>
            </w:pPr>
            <w:r>
              <w:rPr>
                <w:color w:val="000000"/>
                <w:sz w:val="24"/>
                <w:szCs w:val="24"/>
              </w:rPr>
              <w:t>新乡化纤</w:t>
            </w:r>
          </w:p>
        </w:tc>
        <w:tc>
          <w:tcPr>
            <w:tcW w:w="1334" w:type="dxa"/>
            <w:vAlign w:val="center"/>
          </w:tcPr>
          <w:p w:rsidR="001909E8" w:rsidRDefault="00781DF8">
            <w:pPr>
              <w:jc w:val="right"/>
            </w:pPr>
            <w:r>
              <w:rPr>
                <w:color w:val="000000"/>
                <w:sz w:val="24"/>
                <w:szCs w:val="24"/>
              </w:rPr>
              <w:t>5,450,676</w:t>
            </w:r>
          </w:p>
        </w:tc>
        <w:tc>
          <w:tcPr>
            <w:tcW w:w="1924" w:type="dxa"/>
            <w:vAlign w:val="center"/>
          </w:tcPr>
          <w:p w:rsidR="001909E8" w:rsidRDefault="00781DF8">
            <w:pPr>
              <w:jc w:val="right"/>
            </w:pPr>
            <w:r>
              <w:rPr>
                <w:color w:val="000000"/>
                <w:sz w:val="24"/>
                <w:szCs w:val="24"/>
              </w:rPr>
              <w:t>33,848,697.96</w:t>
            </w:r>
          </w:p>
        </w:tc>
        <w:tc>
          <w:tcPr>
            <w:tcW w:w="1644" w:type="dxa"/>
            <w:vAlign w:val="center"/>
          </w:tcPr>
          <w:p w:rsidR="001909E8" w:rsidRDefault="00781DF8">
            <w:pPr>
              <w:jc w:val="right"/>
            </w:pPr>
            <w:r>
              <w:rPr>
                <w:color w:val="000000"/>
                <w:sz w:val="24"/>
                <w:szCs w:val="24"/>
              </w:rPr>
              <w:t>4.39</w:t>
            </w:r>
          </w:p>
        </w:tc>
      </w:tr>
      <w:tr w:rsidR="001909E8">
        <w:trPr>
          <w:jc w:val="center"/>
        </w:trPr>
        <w:tc>
          <w:tcPr>
            <w:tcW w:w="855" w:type="dxa"/>
            <w:vAlign w:val="center"/>
          </w:tcPr>
          <w:p w:rsidR="001909E8" w:rsidRDefault="00781DF8">
            <w:pPr>
              <w:jc w:val="center"/>
            </w:pPr>
            <w:r>
              <w:rPr>
                <w:color w:val="000000"/>
                <w:sz w:val="24"/>
                <w:szCs w:val="24"/>
              </w:rPr>
              <w:t>3</w:t>
            </w:r>
          </w:p>
        </w:tc>
        <w:tc>
          <w:tcPr>
            <w:tcW w:w="1334" w:type="dxa"/>
            <w:vAlign w:val="center"/>
          </w:tcPr>
          <w:p w:rsidR="001909E8" w:rsidRDefault="00781DF8">
            <w:pPr>
              <w:jc w:val="center"/>
            </w:pPr>
            <w:r>
              <w:rPr>
                <w:color w:val="000000"/>
                <w:sz w:val="24"/>
                <w:szCs w:val="24"/>
              </w:rPr>
              <w:t>000821</w:t>
            </w:r>
          </w:p>
        </w:tc>
        <w:tc>
          <w:tcPr>
            <w:tcW w:w="1777" w:type="dxa"/>
            <w:vAlign w:val="center"/>
          </w:tcPr>
          <w:p w:rsidR="001909E8" w:rsidRDefault="00781DF8">
            <w:pPr>
              <w:jc w:val="center"/>
            </w:pPr>
            <w:r>
              <w:rPr>
                <w:color w:val="000000"/>
                <w:sz w:val="24"/>
                <w:szCs w:val="24"/>
              </w:rPr>
              <w:t>京山轻机</w:t>
            </w:r>
          </w:p>
        </w:tc>
        <w:tc>
          <w:tcPr>
            <w:tcW w:w="1334" w:type="dxa"/>
            <w:vAlign w:val="center"/>
          </w:tcPr>
          <w:p w:rsidR="001909E8" w:rsidRDefault="00781DF8">
            <w:pPr>
              <w:jc w:val="right"/>
            </w:pPr>
            <w:r>
              <w:rPr>
                <w:color w:val="000000"/>
                <w:sz w:val="24"/>
                <w:szCs w:val="24"/>
              </w:rPr>
              <w:t>1,610,396</w:t>
            </w:r>
          </w:p>
        </w:tc>
        <w:tc>
          <w:tcPr>
            <w:tcW w:w="1924" w:type="dxa"/>
            <w:vAlign w:val="center"/>
          </w:tcPr>
          <w:p w:rsidR="001909E8" w:rsidRDefault="00781DF8">
            <w:pPr>
              <w:jc w:val="right"/>
            </w:pPr>
            <w:r>
              <w:rPr>
                <w:color w:val="000000"/>
                <w:sz w:val="24"/>
                <w:szCs w:val="24"/>
              </w:rPr>
              <w:t>25,508,672.64</w:t>
            </w:r>
          </w:p>
        </w:tc>
        <w:tc>
          <w:tcPr>
            <w:tcW w:w="1644" w:type="dxa"/>
            <w:vAlign w:val="center"/>
          </w:tcPr>
          <w:p w:rsidR="001909E8" w:rsidRDefault="00781DF8">
            <w:pPr>
              <w:jc w:val="right"/>
            </w:pPr>
            <w:r>
              <w:rPr>
                <w:color w:val="000000"/>
                <w:sz w:val="24"/>
                <w:szCs w:val="24"/>
              </w:rPr>
              <w:t>3.31</w:t>
            </w:r>
          </w:p>
        </w:tc>
      </w:tr>
      <w:tr w:rsidR="001909E8">
        <w:trPr>
          <w:jc w:val="center"/>
        </w:trPr>
        <w:tc>
          <w:tcPr>
            <w:tcW w:w="855" w:type="dxa"/>
            <w:vAlign w:val="center"/>
          </w:tcPr>
          <w:p w:rsidR="001909E8" w:rsidRDefault="00781DF8">
            <w:pPr>
              <w:jc w:val="center"/>
            </w:pPr>
            <w:r>
              <w:rPr>
                <w:color w:val="000000"/>
                <w:sz w:val="24"/>
                <w:szCs w:val="24"/>
              </w:rPr>
              <w:t>4</w:t>
            </w:r>
          </w:p>
        </w:tc>
        <w:tc>
          <w:tcPr>
            <w:tcW w:w="1334" w:type="dxa"/>
            <w:vAlign w:val="center"/>
          </w:tcPr>
          <w:p w:rsidR="001909E8" w:rsidRDefault="00781DF8">
            <w:pPr>
              <w:jc w:val="center"/>
            </w:pPr>
            <w:r>
              <w:rPr>
                <w:color w:val="000000"/>
                <w:sz w:val="24"/>
                <w:szCs w:val="24"/>
              </w:rPr>
              <w:t>600967</w:t>
            </w:r>
          </w:p>
        </w:tc>
        <w:tc>
          <w:tcPr>
            <w:tcW w:w="1777" w:type="dxa"/>
            <w:vAlign w:val="center"/>
          </w:tcPr>
          <w:p w:rsidR="001909E8" w:rsidRDefault="00781DF8">
            <w:pPr>
              <w:jc w:val="center"/>
            </w:pPr>
            <w:r>
              <w:rPr>
                <w:color w:val="000000"/>
                <w:sz w:val="24"/>
                <w:szCs w:val="24"/>
              </w:rPr>
              <w:t>北方创业</w:t>
            </w:r>
          </w:p>
        </w:tc>
        <w:tc>
          <w:tcPr>
            <w:tcW w:w="1334" w:type="dxa"/>
            <w:vAlign w:val="center"/>
          </w:tcPr>
          <w:p w:rsidR="001909E8" w:rsidRDefault="00781DF8">
            <w:pPr>
              <w:jc w:val="right"/>
            </w:pPr>
            <w:r>
              <w:rPr>
                <w:color w:val="000000"/>
                <w:sz w:val="24"/>
                <w:szCs w:val="24"/>
              </w:rPr>
              <w:t>1,468,437</w:t>
            </w:r>
          </w:p>
        </w:tc>
        <w:tc>
          <w:tcPr>
            <w:tcW w:w="1924" w:type="dxa"/>
            <w:vAlign w:val="center"/>
          </w:tcPr>
          <w:p w:rsidR="001909E8" w:rsidRDefault="00781DF8">
            <w:pPr>
              <w:jc w:val="right"/>
            </w:pPr>
            <w:r>
              <w:rPr>
                <w:color w:val="000000"/>
                <w:sz w:val="24"/>
                <w:szCs w:val="24"/>
              </w:rPr>
              <w:t>22,217,451.81</w:t>
            </w:r>
          </w:p>
        </w:tc>
        <w:tc>
          <w:tcPr>
            <w:tcW w:w="1644" w:type="dxa"/>
            <w:vAlign w:val="center"/>
          </w:tcPr>
          <w:p w:rsidR="001909E8" w:rsidRDefault="00781DF8">
            <w:pPr>
              <w:jc w:val="right"/>
            </w:pPr>
            <w:r>
              <w:rPr>
                <w:color w:val="000000"/>
                <w:sz w:val="24"/>
                <w:szCs w:val="24"/>
              </w:rPr>
              <w:t>2.88</w:t>
            </w:r>
          </w:p>
        </w:tc>
      </w:tr>
      <w:tr w:rsidR="001909E8">
        <w:trPr>
          <w:jc w:val="center"/>
        </w:trPr>
        <w:tc>
          <w:tcPr>
            <w:tcW w:w="855" w:type="dxa"/>
            <w:vAlign w:val="center"/>
          </w:tcPr>
          <w:p w:rsidR="001909E8" w:rsidRDefault="00781DF8">
            <w:pPr>
              <w:jc w:val="center"/>
            </w:pPr>
            <w:r>
              <w:rPr>
                <w:color w:val="000000"/>
                <w:sz w:val="24"/>
                <w:szCs w:val="24"/>
              </w:rPr>
              <w:t>5</w:t>
            </w:r>
          </w:p>
        </w:tc>
        <w:tc>
          <w:tcPr>
            <w:tcW w:w="1334" w:type="dxa"/>
            <w:vAlign w:val="center"/>
          </w:tcPr>
          <w:p w:rsidR="001909E8" w:rsidRDefault="00781DF8">
            <w:pPr>
              <w:jc w:val="center"/>
            </w:pPr>
            <w:r>
              <w:rPr>
                <w:color w:val="000000"/>
                <w:sz w:val="24"/>
                <w:szCs w:val="24"/>
              </w:rPr>
              <w:t>002202</w:t>
            </w:r>
          </w:p>
        </w:tc>
        <w:tc>
          <w:tcPr>
            <w:tcW w:w="1777" w:type="dxa"/>
            <w:vAlign w:val="center"/>
          </w:tcPr>
          <w:p w:rsidR="001909E8" w:rsidRDefault="00781DF8">
            <w:pPr>
              <w:jc w:val="center"/>
            </w:pPr>
            <w:r>
              <w:rPr>
                <w:color w:val="000000"/>
                <w:sz w:val="24"/>
                <w:szCs w:val="24"/>
              </w:rPr>
              <w:t>金风科技</w:t>
            </w:r>
          </w:p>
        </w:tc>
        <w:tc>
          <w:tcPr>
            <w:tcW w:w="1334" w:type="dxa"/>
            <w:vAlign w:val="center"/>
          </w:tcPr>
          <w:p w:rsidR="001909E8" w:rsidRDefault="00781DF8">
            <w:pPr>
              <w:jc w:val="right"/>
            </w:pPr>
            <w:r>
              <w:rPr>
                <w:color w:val="000000"/>
                <w:sz w:val="24"/>
                <w:szCs w:val="24"/>
              </w:rPr>
              <w:t>1,285,400</w:t>
            </w:r>
          </w:p>
        </w:tc>
        <w:tc>
          <w:tcPr>
            <w:tcW w:w="1924" w:type="dxa"/>
            <w:vAlign w:val="center"/>
          </w:tcPr>
          <w:p w:rsidR="001909E8" w:rsidRDefault="00781DF8">
            <w:pPr>
              <w:jc w:val="right"/>
            </w:pPr>
            <w:r>
              <w:rPr>
                <w:color w:val="000000"/>
                <w:sz w:val="24"/>
                <w:szCs w:val="24"/>
              </w:rPr>
              <w:t>20,643,524.00</w:t>
            </w:r>
          </w:p>
        </w:tc>
        <w:tc>
          <w:tcPr>
            <w:tcW w:w="1644" w:type="dxa"/>
            <w:vAlign w:val="center"/>
          </w:tcPr>
          <w:p w:rsidR="001909E8" w:rsidRDefault="00781DF8">
            <w:pPr>
              <w:jc w:val="right"/>
            </w:pPr>
            <w:r>
              <w:rPr>
                <w:color w:val="000000"/>
                <w:sz w:val="24"/>
                <w:szCs w:val="24"/>
              </w:rPr>
              <w:t>2.68</w:t>
            </w:r>
          </w:p>
        </w:tc>
      </w:tr>
      <w:tr w:rsidR="001909E8">
        <w:trPr>
          <w:jc w:val="center"/>
        </w:trPr>
        <w:tc>
          <w:tcPr>
            <w:tcW w:w="855" w:type="dxa"/>
            <w:vAlign w:val="center"/>
          </w:tcPr>
          <w:p w:rsidR="001909E8" w:rsidRDefault="00781DF8">
            <w:pPr>
              <w:jc w:val="center"/>
            </w:pPr>
            <w:r>
              <w:rPr>
                <w:color w:val="000000"/>
                <w:sz w:val="24"/>
                <w:szCs w:val="24"/>
              </w:rPr>
              <w:t>6</w:t>
            </w:r>
          </w:p>
        </w:tc>
        <w:tc>
          <w:tcPr>
            <w:tcW w:w="1334" w:type="dxa"/>
            <w:vAlign w:val="center"/>
          </w:tcPr>
          <w:p w:rsidR="001909E8" w:rsidRDefault="00781DF8">
            <w:pPr>
              <w:jc w:val="center"/>
            </w:pPr>
            <w:r>
              <w:rPr>
                <w:color w:val="000000"/>
                <w:sz w:val="24"/>
                <w:szCs w:val="24"/>
              </w:rPr>
              <w:t>600622</w:t>
            </w:r>
          </w:p>
        </w:tc>
        <w:tc>
          <w:tcPr>
            <w:tcW w:w="1777" w:type="dxa"/>
            <w:vAlign w:val="center"/>
          </w:tcPr>
          <w:p w:rsidR="001909E8" w:rsidRDefault="00781DF8">
            <w:pPr>
              <w:jc w:val="center"/>
            </w:pPr>
            <w:r>
              <w:rPr>
                <w:color w:val="000000"/>
                <w:sz w:val="24"/>
                <w:szCs w:val="24"/>
              </w:rPr>
              <w:t>嘉宝集团</w:t>
            </w:r>
          </w:p>
        </w:tc>
        <w:tc>
          <w:tcPr>
            <w:tcW w:w="1334" w:type="dxa"/>
            <w:vAlign w:val="center"/>
          </w:tcPr>
          <w:p w:rsidR="001909E8" w:rsidRDefault="00781DF8">
            <w:pPr>
              <w:jc w:val="right"/>
            </w:pPr>
            <w:r>
              <w:rPr>
                <w:color w:val="000000"/>
                <w:sz w:val="24"/>
                <w:szCs w:val="24"/>
              </w:rPr>
              <w:t>952,397</w:t>
            </w:r>
          </w:p>
        </w:tc>
        <w:tc>
          <w:tcPr>
            <w:tcW w:w="1924" w:type="dxa"/>
            <w:vAlign w:val="center"/>
          </w:tcPr>
          <w:p w:rsidR="001909E8" w:rsidRDefault="00781DF8">
            <w:pPr>
              <w:jc w:val="right"/>
            </w:pPr>
            <w:r>
              <w:rPr>
                <w:color w:val="000000"/>
                <w:sz w:val="24"/>
                <w:szCs w:val="24"/>
              </w:rPr>
              <w:t>18,457,453.86</w:t>
            </w:r>
          </w:p>
        </w:tc>
        <w:tc>
          <w:tcPr>
            <w:tcW w:w="1644" w:type="dxa"/>
            <w:vAlign w:val="center"/>
          </w:tcPr>
          <w:p w:rsidR="001909E8" w:rsidRDefault="00781DF8">
            <w:pPr>
              <w:jc w:val="right"/>
            </w:pPr>
            <w:r>
              <w:rPr>
                <w:color w:val="000000"/>
                <w:sz w:val="24"/>
                <w:szCs w:val="24"/>
              </w:rPr>
              <w:t>2.40</w:t>
            </w:r>
          </w:p>
        </w:tc>
      </w:tr>
      <w:tr w:rsidR="001909E8">
        <w:trPr>
          <w:jc w:val="center"/>
        </w:trPr>
        <w:tc>
          <w:tcPr>
            <w:tcW w:w="855" w:type="dxa"/>
            <w:vAlign w:val="center"/>
          </w:tcPr>
          <w:p w:rsidR="001909E8" w:rsidRDefault="00781DF8">
            <w:pPr>
              <w:jc w:val="center"/>
            </w:pPr>
            <w:r>
              <w:rPr>
                <w:color w:val="000000"/>
                <w:sz w:val="24"/>
                <w:szCs w:val="24"/>
              </w:rPr>
              <w:t>7</w:t>
            </w:r>
          </w:p>
        </w:tc>
        <w:tc>
          <w:tcPr>
            <w:tcW w:w="1334" w:type="dxa"/>
            <w:vAlign w:val="center"/>
          </w:tcPr>
          <w:p w:rsidR="001909E8" w:rsidRDefault="00781DF8">
            <w:pPr>
              <w:jc w:val="center"/>
            </w:pPr>
            <w:r>
              <w:rPr>
                <w:color w:val="000000"/>
                <w:sz w:val="24"/>
                <w:szCs w:val="24"/>
              </w:rPr>
              <w:t>002659</w:t>
            </w:r>
          </w:p>
        </w:tc>
        <w:tc>
          <w:tcPr>
            <w:tcW w:w="1777" w:type="dxa"/>
            <w:vAlign w:val="center"/>
          </w:tcPr>
          <w:p w:rsidR="001909E8" w:rsidRDefault="00781DF8">
            <w:pPr>
              <w:jc w:val="center"/>
            </w:pPr>
            <w:r>
              <w:rPr>
                <w:color w:val="000000"/>
                <w:sz w:val="24"/>
                <w:szCs w:val="24"/>
              </w:rPr>
              <w:t>中泰桥梁</w:t>
            </w:r>
          </w:p>
        </w:tc>
        <w:tc>
          <w:tcPr>
            <w:tcW w:w="1334" w:type="dxa"/>
            <w:vAlign w:val="center"/>
          </w:tcPr>
          <w:p w:rsidR="001909E8" w:rsidRDefault="00781DF8">
            <w:pPr>
              <w:jc w:val="right"/>
            </w:pPr>
            <w:r>
              <w:rPr>
                <w:color w:val="000000"/>
                <w:sz w:val="24"/>
                <w:szCs w:val="24"/>
              </w:rPr>
              <w:t>1,100,000</w:t>
            </w:r>
          </w:p>
        </w:tc>
        <w:tc>
          <w:tcPr>
            <w:tcW w:w="1924" w:type="dxa"/>
            <w:vAlign w:val="center"/>
          </w:tcPr>
          <w:p w:rsidR="001909E8" w:rsidRDefault="00781DF8">
            <w:pPr>
              <w:jc w:val="right"/>
            </w:pPr>
            <w:r>
              <w:rPr>
                <w:color w:val="000000"/>
                <w:sz w:val="24"/>
                <w:szCs w:val="24"/>
              </w:rPr>
              <w:t>18,150,000.00</w:t>
            </w:r>
          </w:p>
        </w:tc>
        <w:tc>
          <w:tcPr>
            <w:tcW w:w="1644" w:type="dxa"/>
            <w:vAlign w:val="center"/>
          </w:tcPr>
          <w:p w:rsidR="001909E8" w:rsidRDefault="00781DF8">
            <w:pPr>
              <w:jc w:val="right"/>
            </w:pPr>
            <w:r>
              <w:rPr>
                <w:color w:val="000000"/>
                <w:sz w:val="24"/>
                <w:szCs w:val="24"/>
              </w:rPr>
              <w:t>2.36</w:t>
            </w:r>
          </w:p>
        </w:tc>
      </w:tr>
      <w:tr w:rsidR="001909E8">
        <w:trPr>
          <w:jc w:val="center"/>
        </w:trPr>
        <w:tc>
          <w:tcPr>
            <w:tcW w:w="855" w:type="dxa"/>
            <w:vAlign w:val="center"/>
          </w:tcPr>
          <w:p w:rsidR="001909E8" w:rsidRDefault="00781DF8">
            <w:pPr>
              <w:jc w:val="center"/>
            </w:pPr>
            <w:r>
              <w:rPr>
                <w:color w:val="000000"/>
                <w:sz w:val="24"/>
                <w:szCs w:val="24"/>
              </w:rPr>
              <w:t>8</w:t>
            </w:r>
          </w:p>
        </w:tc>
        <w:tc>
          <w:tcPr>
            <w:tcW w:w="1334" w:type="dxa"/>
            <w:vAlign w:val="center"/>
          </w:tcPr>
          <w:p w:rsidR="001909E8" w:rsidRDefault="00781DF8">
            <w:pPr>
              <w:jc w:val="center"/>
            </w:pPr>
            <w:r>
              <w:rPr>
                <w:color w:val="000000"/>
                <w:sz w:val="24"/>
                <w:szCs w:val="24"/>
              </w:rPr>
              <w:t>603018</w:t>
            </w:r>
          </w:p>
        </w:tc>
        <w:tc>
          <w:tcPr>
            <w:tcW w:w="1777" w:type="dxa"/>
            <w:vAlign w:val="center"/>
          </w:tcPr>
          <w:p w:rsidR="001909E8" w:rsidRDefault="00781DF8">
            <w:pPr>
              <w:jc w:val="center"/>
            </w:pPr>
            <w:r>
              <w:rPr>
                <w:color w:val="000000"/>
                <w:sz w:val="24"/>
                <w:szCs w:val="24"/>
              </w:rPr>
              <w:t>中设集团</w:t>
            </w:r>
          </w:p>
        </w:tc>
        <w:tc>
          <w:tcPr>
            <w:tcW w:w="1334" w:type="dxa"/>
            <w:vAlign w:val="center"/>
          </w:tcPr>
          <w:p w:rsidR="001909E8" w:rsidRDefault="00781DF8">
            <w:pPr>
              <w:jc w:val="right"/>
            </w:pPr>
            <w:r>
              <w:rPr>
                <w:color w:val="000000"/>
                <w:sz w:val="24"/>
                <w:szCs w:val="24"/>
              </w:rPr>
              <w:t>420,000</w:t>
            </w:r>
          </w:p>
        </w:tc>
        <w:tc>
          <w:tcPr>
            <w:tcW w:w="1924" w:type="dxa"/>
            <w:vAlign w:val="center"/>
          </w:tcPr>
          <w:p w:rsidR="001909E8" w:rsidRDefault="00781DF8">
            <w:pPr>
              <w:jc w:val="right"/>
            </w:pPr>
            <w:r>
              <w:rPr>
                <w:color w:val="000000"/>
                <w:sz w:val="24"/>
                <w:szCs w:val="24"/>
              </w:rPr>
              <w:t>15,393,000.00</w:t>
            </w:r>
          </w:p>
        </w:tc>
        <w:tc>
          <w:tcPr>
            <w:tcW w:w="1644" w:type="dxa"/>
            <w:vAlign w:val="center"/>
          </w:tcPr>
          <w:p w:rsidR="001909E8" w:rsidRDefault="00781DF8">
            <w:pPr>
              <w:jc w:val="right"/>
            </w:pPr>
            <w:r>
              <w:rPr>
                <w:color w:val="000000"/>
                <w:sz w:val="24"/>
                <w:szCs w:val="24"/>
              </w:rPr>
              <w:t>2.00</w:t>
            </w:r>
          </w:p>
        </w:tc>
      </w:tr>
      <w:tr w:rsidR="001909E8">
        <w:trPr>
          <w:jc w:val="center"/>
        </w:trPr>
        <w:tc>
          <w:tcPr>
            <w:tcW w:w="855" w:type="dxa"/>
            <w:vAlign w:val="center"/>
          </w:tcPr>
          <w:p w:rsidR="001909E8" w:rsidRDefault="00781DF8">
            <w:pPr>
              <w:jc w:val="center"/>
            </w:pPr>
            <w:r>
              <w:rPr>
                <w:color w:val="000000"/>
                <w:sz w:val="24"/>
                <w:szCs w:val="24"/>
              </w:rPr>
              <w:t>9</w:t>
            </w:r>
          </w:p>
        </w:tc>
        <w:tc>
          <w:tcPr>
            <w:tcW w:w="1334" w:type="dxa"/>
            <w:vAlign w:val="center"/>
          </w:tcPr>
          <w:p w:rsidR="001909E8" w:rsidRDefault="00781DF8">
            <w:pPr>
              <w:jc w:val="center"/>
            </w:pPr>
            <w:r>
              <w:rPr>
                <w:color w:val="000000"/>
                <w:sz w:val="24"/>
                <w:szCs w:val="24"/>
              </w:rPr>
              <w:t>603008</w:t>
            </w:r>
          </w:p>
        </w:tc>
        <w:tc>
          <w:tcPr>
            <w:tcW w:w="1777" w:type="dxa"/>
            <w:vAlign w:val="center"/>
          </w:tcPr>
          <w:p w:rsidR="001909E8" w:rsidRDefault="00781DF8">
            <w:pPr>
              <w:jc w:val="center"/>
            </w:pPr>
            <w:r>
              <w:rPr>
                <w:color w:val="000000"/>
                <w:sz w:val="24"/>
                <w:szCs w:val="24"/>
              </w:rPr>
              <w:t>喜临门</w:t>
            </w:r>
          </w:p>
        </w:tc>
        <w:tc>
          <w:tcPr>
            <w:tcW w:w="1334" w:type="dxa"/>
            <w:vAlign w:val="center"/>
          </w:tcPr>
          <w:p w:rsidR="001909E8" w:rsidRDefault="00781DF8">
            <w:pPr>
              <w:jc w:val="right"/>
            </w:pPr>
            <w:r>
              <w:rPr>
                <w:color w:val="000000"/>
                <w:sz w:val="24"/>
                <w:szCs w:val="24"/>
              </w:rPr>
              <w:t>711,180</w:t>
            </w:r>
          </w:p>
        </w:tc>
        <w:tc>
          <w:tcPr>
            <w:tcW w:w="1924" w:type="dxa"/>
            <w:vAlign w:val="center"/>
          </w:tcPr>
          <w:p w:rsidR="001909E8" w:rsidRDefault="00781DF8">
            <w:pPr>
              <w:jc w:val="right"/>
            </w:pPr>
            <w:r>
              <w:rPr>
                <w:color w:val="000000"/>
                <w:sz w:val="24"/>
                <w:szCs w:val="24"/>
              </w:rPr>
              <w:t>14,422,730.40</w:t>
            </w:r>
          </w:p>
        </w:tc>
        <w:tc>
          <w:tcPr>
            <w:tcW w:w="1644" w:type="dxa"/>
            <w:vAlign w:val="center"/>
          </w:tcPr>
          <w:p w:rsidR="001909E8" w:rsidRDefault="00781DF8">
            <w:pPr>
              <w:jc w:val="right"/>
            </w:pPr>
            <w:r>
              <w:rPr>
                <w:color w:val="000000"/>
                <w:sz w:val="24"/>
                <w:szCs w:val="24"/>
              </w:rPr>
              <w:t>1.87</w:t>
            </w:r>
          </w:p>
        </w:tc>
      </w:tr>
      <w:tr w:rsidR="001909E8">
        <w:trPr>
          <w:jc w:val="center"/>
        </w:trPr>
        <w:tc>
          <w:tcPr>
            <w:tcW w:w="855" w:type="dxa"/>
            <w:vAlign w:val="center"/>
          </w:tcPr>
          <w:p w:rsidR="001909E8" w:rsidRDefault="00781DF8">
            <w:pPr>
              <w:jc w:val="center"/>
            </w:pPr>
            <w:r>
              <w:rPr>
                <w:color w:val="000000"/>
                <w:sz w:val="24"/>
                <w:szCs w:val="24"/>
              </w:rPr>
              <w:t>10</w:t>
            </w:r>
          </w:p>
        </w:tc>
        <w:tc>
          <w:tcPr>
            <w:tcW w:w="1334" w:type="dxa"/>
            <w:vAlign w:val="center"/>
          </w:tcPr>
          <w:p w:rsidR="001909E8" w:rsidRDefault="00781DF8">
            <w:pPr>
              <w:jc w:val="center"/>
            </w:pPr>
            <w:r>
              <w:rPr>
                <w:color w:val="000000"/>
                <w:sz w:val="24"/>
                <w:szCs w:val="24"/>
              </w:rPr>
              <w:t>002468</w:t>
            </w:r>
          </w:p>
        </w:tc>
        <w:tc>
          <w:tcPr>
            <w:tcW w:w="1777" w:type="dxa"/>
            <w:vAlign w:val="center"/>
          </w:tcPr>
          <w:p w:rsidR="001909E8" w:rsidRDefault="00781DF8">
            <w:pPr>
              <w:jc w:val="center"/>
            </w:pPr>
            <w:r>
              <w:rPr>
                <w:color w:val="000000"/>
                <w:sz w:val="24"/>
                <w:szCs w:val="24"/>
              </w:rPr>
              <w:t>申通快递</w:t>
            </w:r>
          </w:p>
        </w:tc>
        <w:tc>
          <w:tcPr>
            <w:tcW w:w="1334" w:type="dxa"/>
            <w:vAlign w:val="center"/>
          </w:tcPr>
          <w:p w:rsidR="001909E8" w:rsidRDefault="00781DF8">
            <w:pPr>
              <w:jc w:val="right"/>
            </w:pPr>
            <w:r>
              <w:rPr>
                <w:color w:val="000000"/>
                <w:sz w:val="24"/>
                <w:szCs w:val="24"/>
              </w:rPr>
              <w:t>498,100</w:t>
            </w:r>
          </w:p>
        </w:tc>
        <w:tc>
          <w:tcPr>
            <w:tcW w:w="1924" w:type="dxa"/>
            <w:vAlign w:val="center"/>
          </w:tcPr>
          <w:p w:rsidR="001909E8" w:rsidRDefault="00781DF8">
            <w:pPr>
              <w:jc w:val="right"/>
            </w:pPr>
            <w:r>
              <w:rPr>
                <w:color w:val="000000"/>
                <w:sz w:val="24"/>
                <w:szCs w:val="24"/>
              </w:rPr>
              <w:t>14,141,059.00</w:t>
            </w:r>
          </w:p>
        </w:tc>
        <w:tc>
          <w:tcPr>
            <w:tcW w:w="1644" w:type="dxa"/>
            <w:vAlign w:val="center"/>
          </w:tcPr>
          <w:p w:rsidR="001909E8" w:rsidRDefault="00781DF8">
            <w:pPr>
              <w:jc w:val="right"/>
            </w:pPr>
            <w:r>
              <w:rPr>
                <w:color w:val="000000"/>
                <w:sz w:val="24"/>
                <w:szCs w:val="24"/>
              </w:rPr>
              <w:t>1.84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39,646,000.00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39,646,000.00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909E8">
        <w:trPr>
          <w:jc w:val="center"/>
        </w:trPr>
        <w:tc>
          <w:tcPr>
            <w:tcW w:w="850" w:type="dxa"/>
            <w:vAlign w:val="center"/>
          </w:tcPr>
          <w:p w:rsidR="001909E8" w:rsidRDefault="00781DF8">
            <w:pPr>
              <w:jc w:val="center"/>
            </w:pPr>
            <w:r>
              <w:rPr>
                <w:color w:val="000000"/>
                <w:sz w:val="24"/>
                <w:szCs w:val="24"/>
              </w:rPr>
              <w:t>1</w:t>
            </w:r>
          </w:p>
        </w:tc>
        <w:tc>
          <w:tcPr>
            <w:tcW w:w="1475" w:type="dxa"/>
            <w:vAlign w:val="center"/>
          </w:tcPr>
          <w:p w:rsidR="001909E8" w:rsidRDefault="00781DF8">
            <w:pPr>
              <w:jc w:val="center"/>
            </w:pPr>
            <w:r>
              <w:rPr>
                <w:color w:val="000000"/>
                <w:sz w:val="24"/>
                <w:szCs w:val="24"/>
              </w:rPr>
              <w:t>179904</w:t>
            </w:r>
          </w:p>
        </w:tc>
        <w:tc>
          <w:tcPr>
            <w:tcW w:w="1769" w:type="dxa"/>
            <w:vAlign w:val="center"/>
          </w:tcPr>
          <w:p w:rsidR="001909E8" w:rsidRDefault="00781DF8">
            <w:pPr>
              <w:jc w:val="center"/>
            </w:pPr>
            <w:r>
              <w:rPr>
                <w:color w:val="000000"/>
                <w:sz w:val="24"/>
                <w:szCs w:val="24"/>
              </w:rPr>
              <w:t>17</w:t>
            </w:r>
            <w:r>
              <w:rPr>
                <w:color w:val="000000"/>
                <w:sz w:val="24"/>
                <w:szCs w:val="24"/>
              </w:rPr>
              <w:t>贴现国债</w:t>
            </w:r>
            <w:r>
              <w:rPr>
                <w:color w:val="000000"/>
                <w:sz w:val="24"/>
                <w:szCs w:val="24"/>
              </w:rPr>
              <w:t>04</w:t>
            </w:r>
          </w:p>
        </w:tc>
        <w:tc>
          <w:tcPr>
            <w:tcW w:w="1387" w:type="dxa"/>
            <w:vAlign w:val="center"/>
          </w:tcPr>
          <w:p w:rsidR="001909E8" w:rsidRDefault="00781DF8">
            <w:pPr>
              <w:jc w:val="right"/>
            </w:pPr>
            <w:r>
              <w:rPr>
                <w:color w:val="000000"/>
                <w:sz w:val="24"/>
                <w:szCs w:val="24"/>
              </w:rPr>
              <w:t>200,000</w:t>
            </w:r>
          </w:p>
        </w:tc>
        <w:tc>
          <w:tcPr>
            <w:tcW w:w="2150" w:type="dxa"/>
            <w:vAlign w:val="center"/>
          </w:tcPr>
          <w:p w:rsidR="001909E8" w:rsidRDefault="00781DF8">
            <w:pPr>
              <w:jc w:val="right"/>
            </w:pPr>
            <w:r>
              <w:rPr>
                <w:color w:val="000000"/>
                <w:sz w:val="24"/>
                <w:szCs w:val="24"/>
              </w:rPr>
              <w:t>19,870,000.00</w:t>
            </w:r>
          </w:p>
        </w:tc>
        <w:tc>
          <w:tcPr>
            <w:tcW w:w="1237" w:type="dxa"/>
            <w:vAlign w:val="center"/>
          </w:tcPr>
          <w:p w:rsidR="001909E8" w:rsidRDefault="00781DF8">
            <w:pPr>
              <w:jc w:val="right"/>
            </w:pPr>
            <w:r>
              <w:rPr>
                <w:color w:val="000000"/>
                <w:sz w:val="24"/>
                <w:szCs w:val="24"/>
              </w:rPr>
              <w:t>2.58</w:t>
            </w:r>
          </w:p>
        </w:tc>
      </w:tr>
      <w:tr w:rsidR="001909E8">
        <w:trPr>
          <w:jc w:val="center"/>
        </w:trPr>
        <w:tc>
          <w:tcPr>
            <w:tcW w:w="850" w:type="dxa"/>
            <w:vAlign w:val="center"/>
          </w:tcPr>
          <w:p w:rsidR="001909E8" w:rsidRDefault="00781DF8">
            <w:pPr>
              <w:jc w:val="center"/>
            </w:pPr>
            <w:r>
              <w:rPr>
                <w:color w:val="000000"/>
                <w:sz w:val="24"/>
                <w:szCs w:val="24"/>
              </w:rPr>
              <w:t>2</w:t>
            </w:r>
          </w:p>
        </w:tc>
        <w:tc>
          <w:tcPr>
            <w:tcW w:w="1475" w:type="dxa"/>
            <w:vAlign w:val="center"/>
          </w:tcPr>
          <w:p w:rsidR="001909E8" w:rsidRDefault="00781DF8">
            <w:pPr>
              <w:jc w:val="center"/>
            </w:pPr>
            <w:r>
              <w:rPr>
                <w:color w:val="000000"/>
                <w:sz w:val="24"/>
                <w:szCs w:val="24"/>
              </w:rPr>
              <w:t>169950</w:t>
            </w:r>
          </w:p>
        </w:tc>
        <w:tc>
          <w:tcPr>
            <w:tcW w:w="1769" w:type="dxa"/>
            <w:vAlign w:val="center"/>
          </w:tcPr>
          <w:p w:rsidR="001909E8" w:rsidRDefault="00781DF8">
            <w:pPr>
              <w:jc w:val="center"/>
            </w:pPr>
            <w:r>
              <w:rPr>
                <w:color w:val="000000"/>
                <w:sz w:val="24"/>
                <w:szCs w:val="24"/>
              </w:rPr>
              <w:t>16</w:t>
            </w:r>
            <w:r>
              <w:rPr>
                <w:color w:val="000000"/>
                <w:sz w:val="24"/>
                <w:szCs w:val="24"/>
              </w:rPr>
              <w:t>贴现国债</w:t>
            </w:r>
            <w:r>
              <w:rPr>
                <w:color w:val="000000"/>
                <w:sz w:val="24"/>
                <w:szCs w:val="24"/>
              </w:rPr>
              <w:t>50</w:t>
            </w:r>
          </w:p>
        </w:tc>
        <w:tc>
          <w:tcPr>
            <w:tcW w:w="1387" w:type="dxa"/>
            <w:vAlign w:val="center"/>
          </w:tcPr>
          <w:p w:rsidR="001909E8" w:rsidRDefault="00781DF8">
            <w:pPr>
              <w:jc w:val="right"/>
            </w:pPr>
            <w:r>
              <w:rPr>
                <w:color w:val="000000"/>
                <w:sz w:val="24"/>
                <w:szCs w:val="24"/>
              </w:rPr>
              <w:t>200,000</w:t>
            </w:r>
          </w:p>
        </w:tc>
        <w:tc>
          <w:tcPr>
            <w:tcW w:w="2150" w:type="dxa"/>
            <w:vAlign w:val="center"/>
          </w:tcPr>
          <w:p w:rsidR="001909E8" w:rsidRDefault="00781DF8">
            <w:pPr>
              <w:jc w:val="right"/>
            </w:pPr>
            <w:r>
              <w:rPr>
                <w:color w:val="000000"/>
                <w:sz w:val="24"/>
                <w:szCs w:val="24"/>
              </w:rPr>
              <w:t>19,776,000.00</w:t>
            </w:r>
          </w:p>
        </w:tc>
        <w:tc>
          <w:tcPr>
            <w:tcW w:w="1237" w:type="dxa"/>
            <w:vAlign w:val="center"/>
          </w:tcPr>
          <w:p w:rsidR="001909E8" w:rsidRDefault="00781DF8">
            <w:pPr>
              <w:jc w:val="right"/>
            </w:pPr>
            <w:r>
              <w:rPr>
                <w:color w:val="000000"/>
                <w:sz w:val="24"/>
                <w:szCs w:val="24"/>
              </w:rPr>
              <w:t>2.57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报告期内本基金投资的前十名证券的发行主体除中泰桥梁（证券代码：</w:t>
      </w:r>
      <w:r w:rsidRPr="00BE5388">
        <w:rPr>
          <w:bCs/>
          <w:color w:val="000000"/>
          <w:kern w:val="0"/>
          <w:sz w:val="24"/>
          <w:szCs w:val="24"/>
        </w:rPr>
        <w:t>002659</w:t>
      </w:r>
      <w:r w:rsidRPr="00BE5388">
        <w:rPr>
          <w:bCs/>
          <w:color w:val="000000"/>
          <w:kern w:val="0"/>
          <w:sz w:val="24"/>
          <w:szCs w:val="24"/>
        </w:rPr>
        <w:t>）外，未出现被监管部门立案调查，或在报告编制日前一年内受到公开谴责、处罚的情形。</w:t>
      </w:r>
    </w:p>
    <w:p w:rsidR="001909E8" w:rsidRDefault="00781DF8">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报告期内本基金投资的前十名证券之一中泰桥梁（证券代码：</w:t>
      </w:r>
      <w:r>
        <w:rPr>
          <w:bCs/>
          <w:color w:val="000000"/>
          <w:kern w:val="0"/>
          <w:sz w:val="24"/>
          <w:szCs w:val="24"/>
        </w:rPr>
        <w:t>002659</w:t>
      </w:r>
      <w:r>
        <w:rPr>
          <w:bCs/>
          <w:color w:val="000000"/>
          <w:kern w:val="0"/>
          <w:sz w:val="24"/>
          <w:szCs w:val="24"/>
        </w:rPr>
        <w:t>）于</w:t>
      </w:r>
      <w:r>
        <w:rPr>
          <w:bCs/>
          <w:color w:val="000000"/>
          <w:kern w:val="0"/>
          <w:sz w:val="24"/>
          <w:szCs w:val="24"/>
        </w:rPr>
        <w:t>2016</w:t>
      </w:r>
      <w:r>
        <w:rPr>
          <w:bCs/>
          <w:color w:val="000000"/>
          <w:kern w:val="0"/>
          <w:sz w:val="24"/>
          <w:szCs w:val="24"/>
        </w:rPr>
        <w:t>年</w:t>
      </w:r>
      <w:r>
        <w:rPr>
          <w:bCs/>
          <w:color w:val="000000"/>
          <w:kern w:val="0"/>
          <w:sz w:val="24"/>
          <w:szCs w:val="24"/>
        </w:rPr>
        <w:t>10</w:t>
      </w:r>
      <w:r>
        <w:rPr>
          <w:bCs/>
          <w:color w:val="000000"/>
          <w:kern w:val="0"/>
          <w:sz w:val="24"/>
          <w:szCs w:val="24"/>
        </w:rPr>
        <w:t>月</w:t>
      </w:r>
      <w:r>
        <w:rPr>
          <w:bCs/>
          <w:color w:val="000000"/>
          <w:kern w:val="0"/>
          <w:sz w:val="24"/>
          <w:szCs w:val="24"/>
        </w:rPr>
        <w:t>20</w:t>
      </w:r>
      <w:r>
        <w:rPr>
          <w:bCs/>
          <w:color w:val="000000"/>
          <w:kern w:val="0"/>
          <w:sz w:val="24"/>
          <w:szCs w:val="24"/>
        </w:rPr>
        <w:t>日公告，公司控股子公司北京文凯兴教育投资有限责任公司因违反了《北京市城乡规划条例》收到北京市规划和国土资源管理委员会于</w:t>
      </w:r>
      <w:r>
        <w:rPr>
          <w:bCs/>
          <w:color w:val="000000"/>
          <w:kern w:val="0"/>
          <w:sz w:val="24"/>
          <w:szCs w:val="24"/>
        </w:rPr>
        <w:t>2016</w:t>
      </w:r>
      <w:r>
        <w:rPr>
          <w:bCs/>
          <w:color w:val="000000"/>
          <w:kern w:val="0"/>
          <w:sz w:val="24"/>
          <w:szCs w:val="24"/>
        </w:rPr>
        <w:t>年</w:t>
      </w:r>
      <w:r>
        <w:rPr>
          <w:bCs/>
          <w:color w:val="000000"/>
          <w:kern w:val="0"/>
          <w:sz w:val="24"/>
          <w:szCs w:val="24"/>
        </w:rPr>
        <w:t>10</w:t>
      </w:r>
      <w:r>
        <w:rPr>
          <w:bCs/>
          <w:color w:val="000000"/>
          <w:kern w:val="0"/>
          <w:sz w:val="24"/>
          <w:szCs w:val="24"/>
        </w:rPr>
        <w:t>月</w:t>
      </w:r>
      <w:r>
        <w:rPr>
          <w:bCs/>
          <w:color w:val="000000"/>
          <w:kern w:val="0"/>
          <w:sz w:val="24"/>
          <w:szCs w:val="24"/>
        </w:rPr>
        <w:t>18</w:t>
      </w:r>
      <w:r>
        <w:rPr>
          <w:bCs/>
          <w:color w:val="000000"/>
          <w:kern w:val="0"/>
          <w:sz w:val="24"/>
          <w:szCs w:val="24"/>
        </w:rPr>
        <w:t>日出具的《行政处罚决定书》。据此，北京市规划和国土资源管理委员会决定对北京文凯兴教育投资有限责任公司处以罚款</w:t>
      </w:r>
      <w:r>
        <w:rPr>
          <w:bCs/>
          <w:color w:val="000000"/>
          <w:kern w:val="0"/>
          <w:sz w:val="24"/>
          <w:szCs w:val="24"/>
        </w:rPr>
        <w:t>14,284,788.1</w:t>
      </w:r>
      <w:r>
        <w:rPr>
          <w:bCs/>
          <w:color w:val="000000"/>
          <w:kern w:val="0"/>
          <w:sz w:val="24"/>
          <w:szCs w:val="24"/>
        </w:rPr>
        <w:t>元。</w:t>
      </w:r>
    </w:p>
    <w:p w:rsidR="001909E8" w:rsidRDefault="00781DF8">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385,087.24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706,510.20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1,433,336.67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2,524,934.11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370,139,585.85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9,017,759,923.83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8,628,002,457.22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759,897,052.46</w:t>
            </w:r>
          </w:p>
        </w:tc>
      </w:tr>
    </w:tbl>
    <w:p w:rsidR="001909E8" w:rsidRDefault="00781DF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678B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7</w:t>
      </w:r>
      <w:bookmarkStart w:id="0" w:name="_GoBack"/>
      <w:bookmarkEnd w:id="0"/>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80,455,912.12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168,234,018.00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22.14</w:t>
            </w:r>
          </w:p>
        </w:tc>
      </w:tr>
    </w:tbl>
    <w:p w:rsidR="001909E8" w:rsidRDefault="00781DF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781DF8">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77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17"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63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76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4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1909E8">
        <w:trPr>
          <w:jc w:val="center"/>
        </w:trPr>
        <w:tc>
          <w:tcPr>
            <w:tcW w:w="1032" w:type="dxa"/>
            <w:vAlign w:val="center"/>
          </w:tcPr>
          <w:p w:rsidR="001909E8" w:rsidRDefault="00781DF8">
            <w:pPr>
              <w:jc w:val="center"/>
            </w:pPr>
            <w:r>
              <w:rPr>
                <w:color w:val="000000"/>
                <w:sz w:val="24"/>
              </w:rPr>
              <w:t>1</w:t>
            </w:r>
          </w:p>
        </w:tc>
        <w:tc>
          <w:tcPr>
            <w:tcW w:w="1776" w:type="dxa"/>
            <w:vAlign w:val="center"/>
          </w:tcPr>
          <w:p w:rsidR="001909E8" w:rsidRDefault="00781DF8">
            <w:pPr>
              <w:jc w:val="center"/>
            </w:pPr>
            <w:r>
              <w:rPr>
                <w:color w:val="000000"/>
                <w:sz w:val="24"/>
              </w:rPr>
              <w:t>红利再投</w:t>
            </w:r>
          </w:p>
        </w:tc>
        <w:tc>
          <w:tcPr>
            <w:tcW w:w="1317" w:type="dxa"/>
            <w:vAlign w:val="center"/>
          </w:tcPr>
          <w:p w:rsidR="001909E8" w:rsidRDefault="00781DF8">
            <w:pPr>
              <w:jc w:val="center"/>
            </w:pPr>
            <w:r>
              <w:rPr>
                <w:color w:val="000000"/>
                <w:sz w:val="24"/>
              </w:rPr>
              <w:t>2017-02-23</w:t>
            </w:r>
          </w:p>
        </w:tc>
        <w:tc>
          <w:tcPr>
            <w:tcW w:w="1633" w:type="dxa"/>
            <w:vAlign w:val="center"/>
          </w:tcPr>
          <w:p w:rsidR="001909E8" w:rsidRDefault="00781DF8">
            <w:pPr>
              <w:jc w:val="right"/>
            </w:pPr>
            <w:r>
              <w:rPr>
                <w:color w:val="000000"/>
                <w:sz w:val="24"/>
              </w:rPr>
              <w:t>80,455,912.12</w:t>
            </w:r>
          </w:p>
        </w:tc>
        <w:tc>
          <w:tcPr>
            <w:tcW w:w="1767" w:type="dxa"/>
            <w:vAlign w:val="center"/>
          </w:tcPr>
          <w:p w:rsidR="001909E8" w:rsidRDefault="00781DF8">
            <w:pPr>
              <w:jc w:val="right"/>
            </w:pPr>
            <w:r>
              <w:rPr>
                <w:color w:val="000000"/>
                <w:sz w:val="24"/>
              </w:rPr>
              <w:t>80,053,632.56</w:t>
            </w:r>
          </w:p>
        </w:tc>
        <w:tc>
          <w:tcPr>
            <w:tcW w:w="1343" w:type="dxa"/>
            <w:vAlign w:val="center"/>
          </w:tcPr>
          <w:p w:rsidR="001909E8" w:rsidRDefault="00781DF8">
            <w:pPr>
              <w:jc w:val="center"/>
            </w:pPr>
            <w:r>
              <w:rPr>
                <w:color w:val="000000"/>
                <w:sz w:val="24"/>
              </w:rPr>
              <w:t>-</w:t>
            </w:r>
          </w:p>
        </w:tc>
      </w:tr>
      <w:tr w:rsidR="00781DF8" w:rsidRPr="00781DF8" w:rsidTr="00781DF8">
        <w:trPr>
          <w:trHeight w:val="340"/>
          <w:jc w:val="center"/>
        </w:trPr>
        <w:tc>
          <w:tcPr>
            <w:tcW w:w="1032" w:type="dxa"/>
            <w:vAlign w:val="center"/>
          </w:tcPr>
          <w:p w:rsidR="00781DF8" w:rsidRPr="00414345" w:rsidRDefault="00781DF8" w:rsidP="00781DF8">
            <w:pPr>
              <w:pStyle w:val="ad"/>
              <w:adjustRightInd w:val="0"/>
              <w:snapToGrid w:val="0"/>
              <w:spacing w:before="29" w:line="288" w:lineRule="auto"/>
              <w:jc w:val="center"/>
              <w:rPr>
                <w:color w:val="000000"/>
                <w:kern w:val="0"/>
              </w:rPr>
            </w:pPr>
            <w:r w:rsidRPr="00414345">
              <w:rPr>
                <w:color w:val="000000"/>
                <w:kern w:val="0"/>
              </w:rPr>
              <w:t>合计</w:t>
            </w:r>
          </w:p>
        </w:tc>
        <w:tc>
          <w:tcPr>
            <w:tcW w:w="1776" w:type="dxa"/>
            <w:vAlign w:val="center"/>
          </w:tcPr>
          <w:p w:rsidR="00781DF8" w:rsidRDefault="00781DF8" w:rsidP="00781DF8">
            <w:pPr>
              <w:jc w:val="center"/>
            </w:pPr>
          </w:p>
        </w:tc>
        <w:tc>
          <w:tcPr>
            <w:tcW w:w="1317" w:type="dxa"/>
            <w:vAlign w:val="center"/>
          </w:tcPr>
          <w:p w:rsidR="00781DF8" w:rsidRDefault="00781DF8" w:rsidP="00781DF8">
            <w:pPr>
              <w:jc w:val="center"/>
            </w:pPr>
          </w:p>
        </w:tc>
        <w:tc>
          <w:tcPr>
            <w:tcW w:w="1633" w:type="dxa"/>
            <w:vAlign w:val="center"/>
          </w:tcPr>
          <w:p w:rsidR="00781DF8" w:rsidRDefault="00781DF8" w:rsidP="00781DF8">
            <w:pPr>
              <w:jc w:val="right"/>
            </w:pPr>
            <w:r>
              <w:rPr>
                <w:color w:val="000000"/>
                <w:sz w:val="24"/>
              </w:rPr>
              <w:t>80,455,912.12</w:t>
            </w:r>
          </w:p>
        </w:tc>
        <w:tc>
          <w:tcPr>
            <w:tcW w:w="1767" w:type="dxa"/>
            <w:vAlign w:val="center"/>
          </w:tcPr>
          <w:p w:rsidR="00781DF8" w:rsidRDefault="00781DF8" w:rsidP="00781DF8">
            <w:pPr>
              <w:jc w:val="right"/>
            </w:pPr>
            <w:r>
              <w:rPr>
                <w:color w:val="000000"/>
                <w:sz w:val="24"/>
              </w:rPr>
              <w:t>80,053,632.56</w:t>
            </w:r>
          </w:p>
        </w:tc>
        <w:tc>
          <w:tcPr>
            <w:tcW w:w="1343" w:type="dxa"/>
            <w:vAlign w:val="center"/>
          </w:tcPr>
          <w:p w:rsidR="00781DF8" w:rsidRPr="00781DF8" w:rsidRDefault="00781DF8" w:rsidP="00781DF8">
            <w:pPr>
              <w:jc w:val="center"/>
              <w:rPr>
                <w:color w:val="000000"/>
                <w:sz w:val="24"/>
              </w:rPr>
            </w:pPr>
            <w:r>
              <w:rPr>
                <w:color w:val="000000"/>
                <w:sz w:val="24"/>
              </w:rPr>
              <w:t>-</w:t>
            </w:r>
          </w:p>
        </w:tc>
      </w:tr>
    </w:tbl>
    <w:p w:rsidR="00480B35" w:rsidRPr="00414345" w:rsidRDefault="00480B35" w:rsidP="00C15CAC">
      <w:pPr>
        <w:autoSpaceDE w:val="0"/>
        <w:autoSpaceDN w:val="0"/>
        <w:adjustRightInd w:val="0"/>
        <w:spacing w:before="29" w:line="288" w:lineRule="auto"/>
        <w:jc w:val="left"/>
        <w:rPr>
          <w:color w:val="000000"/>
          <w:sz w:val="24"/>
        </w:rPr>
      </w:pPr>
    </w:p>
    <w:p w:rsidR="005678BF" w:rsidRPr="007E75F6" w:rsidRDefault="005678BF" w:rsidP="005678BF">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5678BF" w:rsidRPr="007E75F6" w:rsidRDefault="005678BF" w:rsidP="005678BF">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5678BF" w:rsidRPr="007E75F6" w:rsidTr="006F292A">
        <w:tc>
          <w:tcPr>
            <w:tcW w:w="851" w:type="dxa"/>
            <w:vMerge w:val="restart"/>
            <w:vAlign w:val="center"/>
          </w:tcPr>
          <w:p w:rsidR="005678BF" w:rsidRPr="00412CB5" w:rsidRDefault="005678BF" w:rsidP="006F292A">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5678BF" w:rsidRPr="00412CB5" w:rsidRDefault="005678BF" w:rsidP="006F292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5678BF" w:rsidRPr="00412CB5" w:rsidRDefault="005678BF" w:rsidP="006F292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5678BF" w:rsidRPr="007E75F6" w:rsidTr="006F292A">
        <w:tc>
          <w:tcPr>
            <w:tcW w:w="851" w:type="dxa"/>
            <w:vMerge/>
            <w:vAlign w:val="center"/>
          </w:tcPr>
          <w:p w:rsidR="005678BF" w:rsidRPr="00412CB5" w:rsidRDefault="005678BF" w:rsidP="006F292A">
            <w:pPr>
              <w:autoSpaceDE w:val="0"/>
              <w:autoSpaceDN w:val="0"/>
              <w:adjustRightInd w:val="0"/>
              <w:jc w:val="center"/>
              <w:rPr>
                <w:rFonts w:ascii="宋体" w:hAnsi="宋体"/>
                <w:color w:val="000000"/>
                <w:sz w:val="22"/>
              </w:rPr>
            </w:pPr>
          </w:p>
        </w:tc>
        <w:tc>
          <w:tcPr>
            <w:tcW w:w="1134" w:type="dxa"/>
            <w:vAlign w:val="center"/>
          </w:tcPr>
          <w:p w:rsidR="005678BF" w:rsidRPr="00412CB5" w:rsidRDefault="005678BF" w:rsidP="006F292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5678BF" w:rsidRPr="00412CB5" w:rsidRDefault="005678BF" w:rsidP="006F292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5678BF" w:rsidRPr="00412CB5" w:rsidRDefault="005678BF" w:rsidP="006F292A">
            <w:pPr>
              <w:widowControl/>
              <w:jc w:val="center"/>
              <w:rPr>
                <w:rFonts w:ascii="宋体" w:hAnsi="宋体"/>
                <w:color w:val="000000"/>
                <w:sz w:val="22"/>
              </w:rPr>
            </w:pPr>
            <w:r w:rsidRPr="00412CB5">
              <w:rPr>
                <w:rFonts w:ascii="宋体" w:hAnsi="宋体" w:hint="eastAsia"/>
                <w:color w:val="000000"/>
                <w:sz w:val="22"/>
              </w:rPr>
              <w:t>期初份额</w:t>
            </w:r>
          </w:p>
          <w:p w:rsidR="005678BF" w:rsidRPr="00412CB5" w:rsidRDefault="005678BF" w:rsidP="006F292A">
            <w:pPr>
              <w:autoSpaceDE w:val="0"/>
              <w:autoSpaceDN w:val="0"/>
              <w:adjustRightInd w:val="0"/>
              <w:jc w:val="center"/>
              <w:rPr>
                <w:rFonts w:ascii="宋体" w:hAnsi="宋体"/>
                <w:color w:val="000000"/>
                <w:sz w:val="22"/>
              </w:rPr>
            </w:pPr>
          </w:p>
        </w:tc>
        <w:tc>
          <w:tcPr>
            <w:tcW w:w="850" w:type="dxa"/>
            <w:vAlign w:val="center"/>
          </w:tcPr>
          <w:p w:rsidR="005678BF" w:rsidRPr="00412CB5" w:rsidRDefault="005678BF" w:rsidP="006F292A">
            <w:pPr>
              <w:widowControl/>
              <w:jc w:val="center"/>
              <w:rPr>
                <w:rFonts w:ascii="宋体" w:hAnsi="宋体"/>
                <w:color w:val="000000"/>
                <w:sz w:val="22"/>
              </w:rPr>
            </w:pPr>
            <w:r w:rsidRPr="00412CB5">
              <w:rPr>
                <w:rFonts w:ascii="宋体" w:hAnsi="宋体" w:hint="eastAsia"/>
                <w:color w:val="000000"/>
                <w:sz w:val="22"/>
              </w:rPr>
              <w:t>申购份额</w:t>
            </w:r>
          </w:p>
          <w:p w:rsidR="005678BF" w:rsidRPr="00412CB5" w:rsidRDefault="005678BF" w:rsidP="006F292A">
            <w:pPr>
              <w:autoSpaceDE w:val="0"/>
              <w:autoSpaceDN w:val="0"/>
              <w:adjustRightInd w:val="0"/>
              <w:jc w:val="center"/>
              <w:rPr>
                <w:rFonts w:ascii="宋体" w:hAnsi="宋体"/>
                <w:color w:val="000000"/>
                <w:sz w:val="22"/>
              </w:rPr>
            </w:pPr>
          </w:p>
        </w:tc>
        <w:tc>
          <w:tcPr>
            <w:tcW w:w="992" w:type="dxa"/>
            <w:vAlign w:val="center"/>
          </w:tcPr>
          <w:p w:rsidR="005678BF" w:rsidRPr="00412CB5" w:rsidRDefault="005678BF" w:rsidP="006F292A">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5678BF" w:rsidRPr="00412CB5" w:rsidRDefault="005678BF" w:rsidP="006F292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5678BF" w:rsidRPr="00412CB5" w:rsidRDefault="005678BF" w:rsidP="006F292A">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5678BF" w:rsidTr="006F292A">
        <w:tc>
          <w:tcPr>
            <w:tcW w:w="851" w:type="dxa"/>
            <w:vMerge w:val="restart"/>
          </w:tcPr>
          <w:p w:rsidR="005678BF" w:rsidRDefault="005678BF" w:rsidP="006F292A"/>
          <w:p w:rsidR="005678BF" w:rsidRDefault="005678BF" w:rsidP="006F292A">
            <w:r>
              <w:rPr>
                <w:rFonts w:eastAsiaTheme="minorEastAsia" w:hint="eastAsia"/>
                <w:bCs/>
                <w:color w:val="000000" w:themeColor="text1"/>
                <w:sz w:val="24"/>
              </w:rPr>
              <w:t>机构</w:t>
            </w:r>
          </w:p>
        </w:tc>
        <w:tc>
          <w:tcPr>
            <w:tcW w:w="1134" w:type="dxa"/>
            <w:vAlign w:val="center"/>
          </w:tcPr>
          <w:p w:rsidR="005678BF" w:rsidRDefault="005678BF" w:rsidP="006F292A">
            <w:pPr>
              <w:jc w:val="center"/>
            </w:pPr>
            <w:r>
              <w:rPr>
                <w:color w:val="000000"/>
                <w:sz w:val="22"/>
              </w:rPr>
              <w:t>1</w:t>
            </w:r>
          </w:p>
        </w:tc>
        <w:tc>
          <w:tcPr>
            <w:tcW w:w="1843" w:type="dxa"/>
            <w:vAlign w:val="center"/>
          </w:tcPr>
          <w:p w:rsidR="005678BF" w:rsidRDefault="005678BF" w:rsidP="006F292A">
            <w:pPr>
              <w:jc w:val="center"/>
            </w:pPr>
            <w:r>
              <w:rPr>
                <w:color w:val="000000"/>
                <w:sz w:val="22"/>
              </w:rPr>
              <w:t>2017/2/17-2017/2/23</w:t>
            </w:r>
          </w:p>
        </w:tc>
        <w:tc>
          <w:tcPr>
            <w:tcW w:w="851" w:type="dxa"/>
            <w:vAlign w:val="center"/>
          </w:tcPr>
          <w:p w:rsidR="005678BF" w:rsidRDefault="005678BF" w:rsidP="006F292A">
            <w:pPr>
              <w:jc w:val="center"/>
            </w:pPr>
            <w:r>
              <w:rPr>
                <w:color w:val="000000"/>
                <w:sz w:val="22"/>
              </w:rPr>
              <w:t>-</w:t>
            </w:r>
          </w:p>
        </w:tc>
        <w:tc>
          <w:tcPr>
            <w:tcW w:w="850" w:type="dxa"/>
            <w:vAlign w:val="center"/>
          </w:tcPr>
          <w:p w:rsidR="005678BF" w:rsidRDefault="005678BF" w:rsidP="006F292A">
            <w:pPr>
              <w:jc w:val="center"/>
            </w:pPr>
            <w:r>
              <w:rPr>
                <w:color w:val="000000"/>
                <w:sz w:val="22"/>
              </w:rPr>
              <w:t>786,575,249.08</w:t>
            </w:r>
          </w:p>
        </w:tc>
        <w:tc>
          <w:tcPr>
            <w:tcW w:w="992" w:type="dxa"/>
            <w:vAlign w:val="center"/>
          </w:tcPr>
          <w:p w:rsidR="005678BF" w:rsidRDefault="005678BF" w:rsidP="006F292A">
            <w:pPr>
              <w:jc w:val="center"/>
            </w:pPr>
            <w:r>
              <w:rPr>
                <w:color w:val="000000"/>
                <w:sz w:val="22"/>
              </w:rPr>
              <w:t>786,575,249.08</w:t>
            </w:r>
          </w:p>
        </w:tc>
        <w:tc>
          <w:tcPr>
            <w:tcW w:w="1418" w:type="dxa"/>
            <w:vAlign w:val="center"/>
          </w:tcPr>
          <w:p w:rsidR="005678BF" w:rsidRDefault="005678BF" w:rsidP="006F292A">
            <w:pPr>
              <w:jc w:val="center"/>
            </w:pPr>
            <w:r>
              <w:rPr>
                <w:color w:val="000000"/>
                <w:sz w:val="22"/>
              </w:rPr>
              <w:t>-</w:t>
            </w:r>
          </w:p>
        </w:tc>
        <w:tc>
          <w:tcPr>
            <w:tcW w:w="1273" w:type="dxa"/>
            <w:vAlign w:val="center"/>
          </w:tcPr>
          <w:p w:rsidR="005678BF" w:rsidRDefault="005678BF" w:rsidP="006F292A">
            <w:pPr>
              <w:jc w:val="center"/>
            </w:pPr>
            <w:r>
              <w:rPr>
                <w:color w:val="000000"/>
                <w:sz w:val="22"/>
              </w:rPr>
              <w:t>-</w:t>
            </w:r>
          </w:p>
        </w:tc>
      </w:tr>
      <w:tr w:rsidR="005678BF" w:rsidTr="006F292A">
        <w:tc>
          <w:tcPr>
            <w:tcW w:w="851" w:type="dxa"/>
            <w:vMerge/>
          </w:tcPr>
          <w:p w:rsidR="005678BF" w:rsidRDefault="005678BF" w:rsidP="006F292A"/>
        </w:tc>
        <w:tc>
          <w:tcPr>
            <w:tcW w:w="1134" w:type="dxa"/>
            <w:vAlign w:val="center"/>
          </w:tcPr>
          <w:p w:rsidR="005678BF" w:rsidRDefault="005678BF" w:rsidP="006F292A">
            <w:pPr>
              <w:jc w:val="center"/>
            </w:pPr>
            <w:r>
              <w:rPr>
                <w:color w:val="000000"/>
                <w:sz w:val="22"/>
              </w:rPr>
              <w:t>2</w:t>
            </w:r>
          </w:p>
        </w:tc>
        <w:tc>
          <w:tcPr>
            <w:tcW w:w="1843" w:type="dxa"/>
            <w:vAlign w:val="center"/>
          </w:tcPr>
          <w:p w:rsidR="005678BF" w:rsidRDefault="005678BF" w:rsidP="006F292A">
            <w:pPr>
              <w:jc w:val="center"/>
            </w:pPr>
            <w:r>
              <w:rPr>
                <w:color w:val="000000"/>
                <w:sz w:val="22"/>
              </w:rPr>
              <w:t>2017/1/1-2017/3/31</w:t>
            </w:r>
          </w:p>
        </w:tc>
        <w:tc>
          <w:tcPr>
            <w:tcW w:w="851" w:type="dxa"/>
            <w:vAlign w:val="center"/>
          </w:tcPr>
          <w:p w:rsidR="005678BF" w:rsidRDefault="005678BF" w:rsidP="006F292A">
            <w:pPr>
              <w:jc w:val="center"/>
            </w:pPr>
            <w:r>
              <w:rPr>
                <w:color w:val="000000"/>
                <w:sz w:val="22"/>
              </w:rPr>
              <w:t>87,778,105.88</w:t>
            </w:r>
          </w:p>
        </w:tc>
        <w:tc>
          <w:tcPr>
            <w:tcW w:w="850" w:type="dxa"/>
            <w:vAlign w:val="center"/>
          </w:tcPr>
          <w:p w:rsidR="005678BF" w:rsidRDefault="005678BF" w:rsidP="006F292A">
            <w:pPr>
              <w:jc w:val="center"/>
            </w:pPr>
            <w:r>
              <w:rPr>
                <w:color w:val="000000"/>
                <w:sz w:val="22"/>
              </w:rPr>
              <w:t>80,455,912.12</w:t>
            </w:r>
          </w:p>
        </w:tc>
        <w:tc>
          <w:tcPr>
            <w:tcW w:w="992" w:type="dxa"/>
            <w:vAlign w:val="center"/>
          </w:tcPr>
          <w:p w:rsidR="005678BF" w:rsidRDefault="005678BF" w:rsidP="006F292A">
            <w:pPr>
              <w:jc w:val="center"/>
            </w:pPr>
            <w:r>
              <w:rPr>
                <w:color w:val="000000"/>
                <w:sz w:val="22"/>
              </w:rPr>
              <w:t>-</w:t>
            </w:r>
          </w:p>
        </w:tc>
        <w:tc>
          <w:tcPr>
            <w:tcW w:w="1418" w:type="dxa"/>
            <w:vAlign w:val="center"/>
          </w:tcPr>
          <w:p w:rsidR="005678BF" w:rsidRDefault="005678BF" w:rsidP="006F292A">
            <w:pPr>
              <w:jc w:val="center"/>
            </w:pPr>
            <w:r>
              <w:rPr>
                <w:color w:val="000000"/>
                <w:sz w:val="22"/>
              </w:rPr>
              <w:t>168,234,018.00</w:t>
            </w:r>
          </w:p>
        </w:tc>
        <w:tc>
          <w:tcPr>
            <w:tcW w:w="1273" w:type="dxa"/>
            <w:vAlign w:val="center"/>
          </w:tcPr>
          <w:p w:rsidR="005678BF" w:rsidRDefault="005678BF" w:rsidP="006F292A">
            <w:pPr>
              <w:jc w:val="center"/>
            </w:pPr>
            <w:r>
              <w:rPr>
                <w:color w:val="000000"/>
                <w:sz w:val="22"/>
              </w:rPr>
              <w:t>22.14%</w:t>
            </w:r>
          </w:p>
        </w:tc>
      </w:tr>
      <w:tr w:rsidR="005678BF" w:rsidTr="006F292A">
        <w:tc>
          <w:tcPr>
            <w:tcW w:w="851" w:type="dxa"/>
            <w:vMerge/>
          </w:tcPr>
          <w:p w:rsidR="005678BF" w:rsidRDefault="005678BF" w:rsidP="006F292A"/>
        </w:tc>
        <w:tc>
          <w:tcPr>
            <w:tcW w:w="1134" w:type="dxa"/>
            <w:vAlign w:val="center"/>
          </w:tcPr>
          <w:p w:rsidR="005678BF" w:rsidRDefault="005678BF" w:rsidP="006F292A">
            <w:pPr>
              <w:jc w:val="center"/>
            </w:pPr>
            <w:r>
              <w:rPr>
                <w:color w:val="000000"/>
                <w:sz w:val="22"/>
              </w:rPr>
              <w:t>3</w:t>
            </w:r>
          </w:p>
        </w:tc>
        <w:tc>
          <w:tcPr>
            <w:tcW w:w="1843" w:type="dxa"/>
            <w:vAlign w:val="center"/>
          </w:tcPr>
          <w:p w:rsidR="005678BF" w:rsidRDefault="005678BF" w:rsidP="006F292A">
            <w:pPr>
              <w:jc w:val="center"/>
            </w:pPr>
            <w:r>
              <w:rPr>
                <w:color w:val="000000"/>
                <w:sz w:val="22"/>
              </w:rPr>
              <w:t>2017/2/17-2017/2/23</w:t>
            </w:r>
          </w:p>
        </w:tc>
        <w:tc>
          <w:tcPr>
            <w:tcW w:w="851" w:type="dxa"/>
            <w:vAlign w:val="center"/>
          </w:tcPr>
          <w:p w:rsidR="005678BF" w:rsidRDefault="005678BF" w:rsidP="006F292A">
            <w:pPr>
              <w:jc w:val="center"/>
            </w:pPr>
            <w:r>
              <w:rPr>
                <w:color w:val="000000"/>
                <w:sz w:val="22"/>
              </w:rPr>
              <w:t>-</w:t>
            </w:r>
          </w:p>
        </w:tc>
        <w:tc>
          <w:tcPr>
            <w:tcW w:w="850" w:type="dxa"/>
            <w:vAlign w:val="center"/>
          </w:tcPr>
          <w:p w:rsidR="005678BF" w:rsidRDefault="005678BF" w:rsidP="006F292A">
            <w:pPr>
              <w:jc w:val="center"/>
            </w:pPr>
            <w:r>
              <w:rPr>
                <w:color w:val="000000"/>
                <w:sz w:val="22"/>
              </w:rPr>
              <w:t>1,048,767,173.57</w:t>
            </w:r>
          </w:p>
        </w:tc>
        <w:tc>
          <w:tcPr>
            <w:tcW w:w="992" w:type="dxa"/>
            <w:vAlign w:val="center"/>
          </w:tcPr>
          <w:p w:rsidR="005678BF" w:rsidRDefault="005678BF" w:rsidP="006F292A">
            <w:pPr>
              <w:jc w:val="center"/>
            </w:pPr>
            <w:r>
              <w:rPr>
                <w:color w:val="000000"/>
                <w:sz w:val="22"/>
              </w:rPr>
              <w:t>1,048,767,173.57</w:t>
            </w:r>
          </w:p>
        </w:tc>
        <w:tc>
          <w:tcPr>
            <w:tcW w:w="1418" w:type="dxa"/>
            <w:vAlign w:val="center"/>
          </w:tcPr>
          <w:p w:rsidR="005678BF" w:rsidRDefault="005678BF" w:rsidP="006F292A">
            <w:pPr>
              <w:jc w:val="center"/>
            </w:pPr>
            <w:r>
              <w:rPr>
                <w:color w:val="000000"/>
                <w:sz w:val="22"/>
              </w:rPr>
              <w:t>-</w:t>
            </w:r>
          </w:p>
        </w:tc>
        <w:tc>
          <w:tcPr>
            <w:tcW w:w="1273" w:type="dxa"/>
            <w:vAlign w:val="center"/>
          </w:tcPr>
          <w:p w:rsidR="005678BF" w:rsidRDefault="005678BF" w:rsidP="006F292A">
            <w:pPr>
              <w:jc w:val="center"/>
            </w:pPr>
            <w:r>
              <w:rPr>
                <w:color w:val="000000"/>
                <w:sz w:val="22"/>
              </w:rPr>
              <w:t>-</w:t>
            </w:r>
          </w:p>
        </w:tc>
      </w:tr>
      <w:tr w:rsidR="005678BF" w:rsidRPr="0077692E" w:rsidTr="006F292A">
        <w:tc>
          <w:tcPr>
            <w:tcW w:w="9212" w:type="dxa"/>
            <w:gridSpan w:val="8"/>
            <w:vAlign w:val="center"/>
          </w:tcPr>
          <w:p w:rsidR="005678BF" w:rsidRPr="0077692E" w:rsidRDefault="005678BF" w:rsidP="006F292A">
            <w:pPr>
              <w:autoSpaceDE w:val="0"/>
              <w:autoSpaceDN w:val="0"/>
              <w:adjustRightInd w:val="0"/>
              <w:ind w:firstLine="1126"/>
              <w:jc w:val="center"/>
              <w:rPr>
                <w:sz w:val="22"/>
              </w:rPr>
            </w:pPr>
            <w:r w:rsidRPr="0077692E">
              <w:rPr>
                <w:color w:val="000000"/>
                <w:sz w:val="22"/>
              </w:rPr>
              <w:t>产品特有风险</w:t>
            </w:r>
          </w:p>
        </w:tc>
      </w:tr>
      <w:tr w:rsidR="005678BF" w:rsidRPr="00EF20F9" w:rsidTr="006F292A">
        <w:tc>
          <w:tcPr>
            <w:tcW w:w="9212" w:type="dxa"/>
            <w:gridSpan w:val="8"/>
            <w:vAlign w:val="center"/>
          </w:tcPr>
          <w:p w:rsidR="005678BF" w:rsidRPr="00EF20F9" w:rsidRDefault="005678BF" w:rsidP="006F292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5678BF" w:rsidRPr="00E02660" w:rsidRDefault="005678BF" w:rsidP="005678BF">
      <w:pPr>
        <w:pStyle w:val="1"/>
        <w:spacing w:beforeLines="100" w:before="312" w:afterLines="100" w:after="312" w:line="288" w:lineRule="auto"/>
        <w:jc w:val="center"/>
        <w:rPr>
          <w:color w:val="000000"/>
          <w:kern w:val="0"/>
          <w:sz w:val="24"/>
          <w:szCs w:val="24"/>
        </w:rPr>
      </w:pPr>
      <w:r w:rsidRPr="00414345">
        <w:rPr>
          <w:color w:val="000000"/>
          <w:kern w:val="0"/>
          <w:sz w:val="24"/>
          <w:szCs w:val="24"/>
        </w:rPr>
        <w:t>§9</w:t>
      </w:r>
      <w:r w:rsidRPr="00414345">
        <w:rPr>
          <w:color w:val="000000"/>
          <w:kern w:val="0"/>
          <w:sz w:val="24"/>
          <w:szCs w:val="24"/>
        </w:rPr>
        <w:t>备查文件目录</w:t>
      </w:r>
    </w:p>
    <w:p w:rsidR="005678BF" w:rsidRPr="00414345" w:rsidRDefault="005678BF" w:rsidP="005678BF">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9.1</w:t>
      </w:r>
      <w:r w:rsidRPr="00414345">
        <w:rPr>
          <w:b/>
          <w:bCs/>
          <w:color w:val="000000"/>
          <w:kern w:val="0"/>
          <w:sz w:val="24"/>
          <w:szCs w:val="24"/>
        </w:rPr>
        <w:t>备查文件目录</w:t>
      </w:r>
    </w:p>
    <w:p w:rsidR="005678BF" w:rsidRDefault="005678BF" w:rsidP="005678B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5678BF" w:rsidRDefault="005678BF" w:rsidP="005678B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5678BF" w:rsidRDefault="005678BF" w:rsidP="005678B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5678BF" w:rsidRDefault="005678BF" w:rsidP="005678B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5678BF" w:rsidRDefault="005678BF" w:rsidP="005678B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5678BF" w:rsidRDefault="005678BF" w:rsidP="005678B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678BF" w:rsidRDefault="005678BF" w:rsidP="005678B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5678BF" w:rsidRPr="00414345" w:rsidRDefault="005678BF" w:rsidP="005678BF">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5678BF" w:rsidRPr="00414345" w:rsidRDefault="005678BF" w:rsidP="005678BF">
      <w:pPr>
        <w:spacing w:before="29" w:line="288" w:lineRule="auto"/>
        <w:ind w:firstLineChars="200" w:firstLine="480"/>
        <w:rPr>
          <w:color w:val="000000"/>
          <w:sz w:val="24"/>
          <w:szCs w:val="24"/>
        </w:rPr>
      </w:pPr>
    </w:p>
    <w:p w:rsidR="005678BF" w:rsidRPr="00414345" w:rsidRDefault="005678BF" w:rsidP="005678BF">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9.2</w:t>
      </w:r>
      <w:r w:rsidRPr="00414345">
        <w:rPr>
          <w:b/>
          <w:bCs/>
          <w:color w:val="000000"/>
          <w:kern w:val="0"/>
          <w:sz w:val="24"/>
          <w:szCs w:val="24"/>
        </w:rPr>
        <w:t>存放地点</w:t>
      </w:r>
    </w:p>
    <w:p w:rsidR="005678BF" w:rsidRPr="00414345" w:rsidRDefault="005678BF" w:rsidP="005678BF">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5678BF" w:rsidRPr="00414345" w:rsidRDefault="005678BF" w:rsidP="005678BF">
      <w:pPr>
        <w:spacing w:before="29" w:line="288" w:lineRule="auto"/>
        <w:ind w:firstLineChars="200" w:firstLine="480"/>
        <w:rPr>
          <w:color w:val="000000"/>
          <w:sz w:val="24"/>
          <w:szCs w:val="24"/>
        </w:rPr>
      </w:pPr>
    </w:p>
    <w:p w:rsidR="005678BF" w:rsidRPr="00414345" w:rsidRDefault="005678BF" w:rsidP="005678BF">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9.3</w:t>
      </w:r>
      <w:r w:rsidRPr="00414345">
        <w:rPr>
          <w:b/>
          <w:bCs/>
          <w:color w:val="000000"/>
          <w:kern w:val="0"/>
          <w:sz w:val="24"/>
          <w:szCs w:val="24"/>
        </w:rPr>
        <w:t>查阅方式</w:t>
      </w:r>
    </w:p>
    <w:p w:rsidR="005678BF" w:rsidRDefault="005678BF" w:rsidP="005678B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5678BF" w:rsidRPr="00414345" w:rsidRDefault="005678BF" w:rsidP="005678BF">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5678BF" w:rsidRPr="00414345" w:rsidRDefault="005678BF" w:rsidP="005678BF">
      <w:pPr>
        <w:spacing w:before="29" w:line="288" w:lineRule="auto"/>
        <w:ind w:firstLineChars="200" w:firstLine="480"/>
        <w:rPr>
          <w:color w:val="000000"/>
          <w:sz w:val="24"/>
          <w:szCs w:val="24"/>
        </w:rPr>
      </w:pPr>
    </w:p>
    <w:p w:rsidR="002C3C7A" w:rsidRPr="005678BF" w:rsidRDefault="002C3C7A" w:rsidP="005678BF">
      <w:pPr>
        <w:pStyle w:val="1"/>
        <w:spacing w:beforeLines="100" w:before="312" w:afterLines="100" w:after="312" w:line="288" w:lineRule="auto"/>
        <w:jc w:val="center"/>
        <w:rPr>
          <w:color w:val="000000"/>
          <w:sz w:val="24"/>
          <w:szCs w:val="24"/>
        </w:rPr>
      </w:pPr>
    </w:p>
    <w:sectPr w:rsidR="002C3C7A" w:rsidRPr="005678BF"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0D" w:rsidRDefault="0019470D" w:rsidP="00876D65">
      <w:r>
        <w:separator/>
      </w:r>
    </w:p>
  </w:endnote>
  <w:endnote w:type="continuationSeparator" w:id="0">
    <w:p w:rsidR="0019470D" w:rsidRDefault="0019470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121CFD">
      <w:rPr>
        <w:kern w:val="0"/>
        <w:szCs w:val="21"/>
      </w:rPr>
      <w:fldChar w:fldCharType="begin"/>
    </w:r>
    <w:r>
      <w:rPr>
        <w:kern w:val="0"/>
        <w:szCs w:val="21"/>
      </w:rPr>
      <w:instrText xml:space="preserve"> PAGE </w:instrText>
    </w:r>
    <w:r w:rsidR="00121CFD">
      <w:rPr>
        <w:kern w:val="0"/>
        <w:szCs w:val="21"/>
      </w:rPr>
      <w:fldChar w:fldCharType="separate"/>
    </w:r>
    <w:r w:rsidR="00C61E79">
      <w:rPr>
        <w:noProof/>
        <w:kern w:val="0"/>
        <w:szCs w:val="21"/>
      </w:rPr>
      <w:t>13</w:t>
    </w:r>
    <w:r w:rsidR="00121CFD">
      <w:rPr>
        <w:kern w:val="0"/>
        <w:szCs w:val="21"/>
      </w:rPr>
      <w:fldChar w:fldCharType="end"/>
    </w:r>
    <w:proofErr w:type="gramStart"/>
    <w:r>
      <w:rPr>
        <w:rFonts w:hint="eastAsia"/>
        <w:kern w:val="0"/>
        <w:szCs w:val="21"/>
      </w:rPr>
      <w:t>页共</w:t>
    </w:r>
    <w:proofErr w:type="gramEnd"/>
    <w:r w:rsidR="00121CFD">
      <w:rPr>
        <w:kern w:val="0"/>
        <w:szCs w:val="21"/>
      </w:rPr>
      <w:fldChar w:fldCharType="begin"/>
    </w:r>
    <w:r>
      <w:rPr>
        <w:kern w:val="0"/>
        <w:szCs w:val="21"/>
      </w:rPr>
      <w:instrText xml:space="preserve"> NUMPAGES </w:instrText>
    </w:r>
    <w:r w:rsidR="00121CFD">
      <w:rPr>
        <w:kern w:val="0"/>
        <w:szCs w:val="21"/>
      </w:rPr>
      <w:fldChar w:fldCharType="separate"/>
    </w:r>
    <w:r w:rsidR="00C61E79">
      <w:rPr>
        <w:noProof/>
        <w:kern w:val="0"/>
        <w:szCs w:val="21"/>
      </w:rPr>
      <w:t>13</w:t>
    </w:r>
    <w:r w:rsidR="00121CF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0D" w:rsidRDefault="0019470D" w:rsidP="00876D65">
      <w:r>
        <w:separator/>
      </w:r>
    </w:p>
  </w:footnote>
  <w:footnote w:type="continuationSeparator" w:id="0">
    <w:p w:rsidR="0019470D" w:rsidRDefault="0019470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2C14"/>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21CFD"/>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09E8"/>
    <w:rsid w:val="001934F6"/>
    <w:rsid w:val="0019470D"/>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2522"/>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678BF"/>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08A8"/>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1DF8"/>
    <w:rsid w:val="00794090"/>
    <w:rsid w:val="00796CA8"/>
    <w:rsid w:val="007972F5"/>
    <w:rsid w:val="00797305"/>
    <w:rsid w:val="007A0693"/>
    <w:rsid w:val="007A093F"/>
    <w:rsid w:val="007B035B"/>
    <w:rsid w:val="007B4C04"/>
    <w:rsid w:val="007B5AFB"/>
    <w:rsid w:val="007C395A"/>
    <w:rsid w:val="007C3B32"/>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16E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1E79"/>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5C6F"/>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5568A2-EBF8-491F-9DFD-42754262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68462175">
      <w:bodyDiv w:val="1"/>
      <w:marLeft w:val="0"/>
      <w:marRight w:val="0"/>
      <w:marTop w:val="0"/>
      <w:marBottom w:val="0"/>
      <w:divBdr>
        <w:top w:val="none" w:sz="0" w:space="0" w:color="auto"/>
        <w:left w:val="none" w:sz="0" w:space="0" w:color="auto"/>
        <w:bottom w:val="none" w:sz="0" w:space="0" w:color="auto"/>
        <w:right w:val="none" w:sz="0" w:space="0" w:color="auto"/>
      </w:divBdr>
    </w:div>
    <w:div w:id="1255631031">
      <w:bodyDiv w:val="1"/>
      <w:marLeft w:val="0"/>
      <w:marRight w:val="0"/>
      <w:marTop w:val="0"/>
      <w:marBottom w:val="0"/>
      <w:divBdr>
        <w:top w:val="none" w:sz="0" w:space="0" w:color="auto"/>
        <w:left w:val="none" w:sz="0" w:space="0" w:color="auto"/>
        <w:bottom w:val="none" w:sz="0" w:space="0" w:color="auto"/>
        <w:right w:val="none" w:sz="0" w:space="0" w:color="auto"/>
      </w:divBdr>
    </w:div>
    <w:div w:id="1318342512">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CFEF-A59D-4D3C-952F-B350F30B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许帆</cp:lastModifiedBy>
  <cp:revision>4</cp:revision>
  <dcterms:created xsi:type="dcterms:W3CDTF">2017-04-20T09:09:00Z</dcterms:created>
  <dcterms:modified xsi:type="dcterms:W3CDTF">2017-04-21T03:14:00Z</dcterms:modified>
</cp:coreProperties>
</file>