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二〇一七年四月二十四日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968A6" w:rsidRDefault="00A94C8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968A6" w:rsidRDefault="00A94C8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968A6" w:rsidRDefault="00A94C8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968A6" w:rsidRDefault="00A94C8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968A6" w:rsidRDefault="00A94C8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492,524,362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94C86" w:rsidRPr="0036023B" w:rsidTr="00A94C8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A94C86" w:rsidRPr="0036023B" w:rsidTr="00A94C8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694,648.53</w:t>
            </w:r>
          </w:p>
        </w:tc>
      </w:tr>
      <w:tr w:rsidR="00A94C86" w:rsidRPr="0036023B" w:rsidTr="00A94C8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18,528,500.15</w:t>
            </w:r>
          </w:p>
        </w:tc>
      </w:tr>
      <w:tr w:rsidR="00A94C86" w:rsidRPr="0036023B" w:rsidTr="00A94C8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0.0366</w:t>
            </w:r>
          </w:p>
        </w:tc>
      </w:tr>
      <w:tr w:rsidR="00A94C86" w:rsidRPr="0036023B" w:rsidTr="00A94C8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493,769,494.15</w:t>
            </w:r>
          </w:p>
        </w:tc>
      </w:tr>
      <w:tr w:rsidR="00A94C86" w:rsidRPr="0036023B" w:rsidTr="00A94C8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1.003</w:t>
            </w:r>
          </w:p>
        </w:tc>
      </w:tr>
    </w:tbl>
    <w:p w:rsidR="006968A6" w:rsidRDefault="00A94C8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968A6">
        <w:trPr>
          <w:jc w:val="center"/>
        </w:trPr>
        <w:tc>
          <w:tcPr>
            <w:tcW w:w="1469" w:type="dxa"/>
            <w:vAlign w:val="center"/>
          </w:tcPr>
          <w:p w:rsidR="006968A6" w:rsidRDefault="00A94C86">
            <w:pPr>
              <w:jc w:val="left"/>
            </w:pPr>
            <w:r>
              <w:rPr>
                <w:color w:val="000000"/>
                <w:sz w:val="24"/>
              </w:rPr>
              <w:t>过去三个月</w:t>
            </w:r>
          </w:p>
        </w:tc>
        <w:tc>
          <w:tcPr>
            <w:tcW w:w="1150" w:type="dxa"/>
            <w:vAlign w:val="center"/>
          </w:tcPr>
          <w:p w:rsidR="006968A6" w:rsidRDefault="00A94C86">
            <w:pPr>
              <w:jc w:val="center"/>
            </w:pPr>
            <w:r>
              <w:rPr>
                <w:color w:val="000000"/>
                <w:sz w:val="24"/>
              </w:rPr>
              <w:t>3.72%</w:t>
            </w:r>
          </w:p>
        </w:tc>
        <w:tc>
          <w:tcPr>
            <w:tcW w:w="1223" w:type="dxa"/>
            <w:vAlign w:val="center"/>
          </w:tcPr>
          <w:p w:rsidR="006968A6" w:rsidRDefault="00A94C86">
            <w:pPr>
              <w:jc w:val="center"/>
            </w:pPr>
            <w:r>
              <w:rPr>
                <w:color w:val="000000"/>
                <w:sz w:val="24"/>
              </w:rPr>
              <w:t>0.52%</w:t>
            </w:r>
          </w:p>
        </w:tc>
        <w:tc>
          <w:tcPr>
            <w:tcW w:w="1244" w:type="dxa"/>
            <w:vAlign w:val="center"/>
          </w:tcPr>
          <w:p w:rsidR="006968A6" w:rsidRDefault="00A94C86">
            <w:pPr>
              <w:jc w:val="center"/>
            </w:pPr>
            <w:r>
              <w:rPr>
                <w:color w:val="000000"/>
                <w:sz w:val="24"/>
              </w:rPr>
              <w:t>3.94%</w:t>
            </w:r>
          </w:p>
        </w:tc>
        <w:tc>
          <w:tcPr>
            <w:tcW w:w="1251" w:type="dxa"/>
            <w:vAlign w:val="center"/>
          </w:tcPr>
          <w:p w:rsidR="006968A6" w:rsidRDefault="00A94C86">
            <w:pPr>
              <w:jc w:val="center"/>
            </w:pPr>
            <w:r>
              <w:rPr>
                <w:color w:val="000000"/>
                <w:sz w:val="24"/>
              </w:rPr>
              <w:t>0.52%</w:t>
            </w:r>
          </w:p>
        </w:tc>
        <w:tc>
          <w:tcPr>
            <w:tcW w:w="1263" w:type="dxa"/>
            <w:vAlign w:val="center"/>
          </w:tcPr>
          <w:p w:rsidR="006968A6" w:rsidRDefault="00A94C86">
            <w:pPr>
              <w:jc w:val="center"/>
            </w:pPr>
            <w:r>
              <w:rPr>
                <w:color w:val="000000"/>
                <w:sz w:val="24"/>
              </w:rPr>
              <w:t>-0.22%</w:t>
            </w:r>
          </w:p>
        </w:tc>
        <w:tc>
          <w:tcPr>
            <w:tcW w:w="1268" w:type="dxa"/>
            <w:vAlign w:val="center"/>
          </w:tcPr>
          <w:p w:rsidR="006968A6" w:rsidRDefault="00A94C86">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968A6">
        <w:trPr>
          <w:jc w:val="center"/>
        </w:trPr>
        <w:tc>
          <w:tcPr>
            <w:tcW w:w="846" w:type="dxa"/>
            <w:vAlign w:val="center"/>
          </w:tcPr>
          <w:p w:rsidR="006968A6" w:rsidRDefault="00A94C86">
            <w:pPr>
              <w:jc w:val="center"/>
            </w:pPr>
            <w:r>
              <w:rPr>
                <w:color w:val="000000"/>
                <w:sz w:val="24"/>
              </w:rPr>
              <w:t>蔡铮</w:t>
            </w:r>
          </w:p>
        </w:tc>
        <w:tc>
          <w:tcPr>
            <w:tcW w:w="845" w:type="dxa"/>
            <w:vAlign w:val="center"/>
          </w:tcPr>
          <w:p w:rsidR="006968A6" w:rsidRDefault="00A94C86" w:rsidP="008C1306">
            <w:pPr>
              <w:jc w:val="center"/>
            </w:pPr>
            <w:bookmarkStart w:id="0" w:name="_GoBack"/>
            <w:bookmarkEnd w:id="0"/>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6968A6" w:rsidRDefault="00A94C86">
            <w:pPr>
              <w:jc w:val="center"/>
            </w:pPr>
            <w:r>
              <w:rPr>
                <w:color w:val="000000"/>
                <w:sz w:val="24"/>
              </w:rPr>
              <w:lastRenderedPageBreak/>
              <w:t>2012-12-27</w:t>
            </w:r>
          </w:p>
        </w:tc>
        <w:tc>
          <w:tcPr>
            <w:tcW w:w="1548" w:type="dxa"/>
            <w:vAlign w:val="center"/>
          </w:tcPr>
          <w:p w:rsidR="006968A6" w:rsidRDefault="00A94C86">
            <w:pPr>
              <w:jc w:val="center"/>
            </w:pPr>
            <w:r>
              <w:rPr>
                <w:color w:val="000000"/>
                <w:sz w:val="24"/>
              </w:rPr>
              <w:t>-</w:t>
            </w:r>
          </w:p>
        </w:tc>
        <w:tc>
          <w:tcPr>
            <w:tcW w:w="1407" w:type="dxa"/>
            <w:vAlign w:val="center"/>
          </w:tcPr>
          <w:p w:rsidR="006968A6" w:rsidRDefault="00A94C86">
            <w:pPr>
              <w:jc w:val="center"/>
            </w:pPr>
            <w:r>
              <w:rPr>
                <w:color w:val="000000"/>
                <w:sz w:val="24"/>
              </w:rPr>
              <w:t>8</w:t>
            </w:r>
            <w:r>
              <w:rPr>
                <w:color w:val="000000"/>
                <w:sz w:val="24"/>
              </w:rPr>
              <w:t>年</w:t>
            </w:r>
          </w:p>
        </w:tc>
        <w:tc>
          <w:tcPr>
            <w:tcW w:w="2673" w:type="dxa"/>
            <w:vAlign w:val="center"/>
          </w:tcPr>
          <w:p w:rsidR="006968A6" w:rsidRDefault="00A94C8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w:t>
      </w:r>
      <w:r w:rsidRPr="0036023B">
        <w:rPr>
          <w:color w:val="000000"/>
          <w:sz w:val="24"/>
        </w:rPr>
        <w:lastRenderedPageBreak/>
        <w:t>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6968A6" w:rsidRDefault="00A94C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68A6" w:rsidRDefault="00A94C8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968A6" w:rsidRDefault="00A94C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968A6" w:rsidRDefault="00A94C86">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年一季度，国内宏观经济延续弱势平稳的态势，货币政策中性偏紧，经济基本面对资本市场的支持力度总体较为有限。美联储加息，预计全球流动性将进入逐步紧缩的周期。</w:t>
      </w:r>
      <w:r>
        <w:rPr>
          <w:color w:val="000000"/>
          <w:sz w:val="24"/>
        </w:rPr>
        <w:t>A</w:t>
      </w:r>
      <w:r>
        <w:rPr>
          <w:color w:val="000000"/>
          <w:sz w:val="24"/>
        </w:rPr>
        <w:t>股市场呈现出震荡上扬格局，期间低估值蓝筹股表现较好，这与地产需求预期的修复不无关系。作为跟踪基准指数的指数基金，在本季度总体呈现出震荡上扬的走势。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展望下一季度，国内经济已有所企稳，处于阶段性弱复苏期间，预计将继续维持温和增长的态势。预计严控房价依然是常态，金融部门去杠杆将持续。我们对</w:t>
      </w:r>
      <w:r w:rsidRPr="0036023B">
        <w:rPr>
          <w:color w:val="000000"/>
          <w:sz w:val="24"/>
        </w:rPr>
        <w:t>A</w:t>
      </w:r>
      <w:r w:rsidRPr="0036023B">
        <w:rPr>
          <w:color w:val="000000"/>
          <w:sz w:val="24"/>
        </w:rPr>
        <w:t>股市场总体维持谨慎的态度。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1.003</w:t>
      </w:r>
      <w:r w:rsidRPr="0036023B">
        <w:rPr>
          <w:color w:val="000000"/>
          <w:sz w:val="24"/>
        </w:rPr>
        <w:t>元，本报告期份额净值增长率为</w:t>
      </w:r>
      <w:r w:rsidRPr="0036023B">
        <w:rPr>
          <w:color w:val="000000"/>
          <w:sz w:val="24"/>
        </w:rPr>
        <w:t>3.72%</w:t>
      </w:r>
      <w:r w:rsidRPr="0036023B">
        <w:rPr>
          <w:color w:val="000000"/>
          <w:sz w:val="24"/>
        </w:rPr>
        <w:t>，同期业绩比较基准增长率为</w:t>
      </w:r>
      <w:r w:rsidRPr="0036023B">
        <w:rPr>
          <w:color w:val="000000"/>
          <w:sz w:val="24"/>
        </w:rPr>
        <w:t>3.94%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490,642,593.51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99.23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490,642,593.51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99.23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1,421,000.00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0.29</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1,421,000.00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0.29</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lastRenderedPageBreak/>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2,394,376.67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0.48</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5,969.58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494,463,939.76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A94C86" w:rsidRPr="003C4BB4" w:rsidTr="00407B6D">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A94C86" w:rsidRPr="00A94C86" w:rsidRDefault="00A94C86" w:rsidP="00407B6D">
            <w:pPr>
              <w:adjustRightInd w:val="0"/>
              <w:snapToGrid w:val="0"/>
              <w:spacing w:before="29" w:line="288" w:lineRule="auto"/>
              <w:jc w:val="center"/>
              <w:rPr>
                <w:sz w:val="24"/>
              </w:rPr>
            </w:pPr>
            <w:r w:rsidRPr="00A94C86">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adjustRightInd w:val="0"/>
              <w:snapToGrid w:val="0"/>
              <w:spacing w:before="29" w:line="288" w:lineRule="auto"/>
              <w:jc w:val="center"/>
              <w:rPr>
                <w:sz w:val="24"/>
              </w:rPr>
            </w:pPr>
            <w:r w:rsidRPr="00A94C86">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占基金资产净值比例（％）</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建筑业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sz w:val="24"/>
              </w:rPr>
            </w:pPr>
            <w:r w:rsidRPr="00A94C86">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sz w:val="24"/>
              </w:rPr>
            </w:pPr>
            <w:r w:rsidRPr="00A94C86">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1,102,680.63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0.22</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C4BB4"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r w:rsidRPr="00A94C86">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tcPr>
          <w:p w:rsidR="00A94C86" w:rsidRPr="00A94C86" w:rsidRDefault="00A94C86" w:rsidP="00407B6D">
            <w:pPr>
              <w:spacing w:before="29" w:line="288" w:lineRule="auto"/>
              <w:jc w:val="right"/>
              <w:rPr>
                <w:sz w:val="24"/>
              </w:rPr>
            </w:pPr>
            <w:r w:rsidRPr="00A94C8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w:t>
            </w:r>
          </w:p>
        </w:tc>
      </w:tr>
      <w:tr w:rsidR="00A94C86" w:rsidRPr="0036023B" w:rsidTr="00407B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407B6D">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A94C86" w:rsidRDefault="00A94C86" w:rsidP="00407B6D">
            <w:pPr>
              <w:adjustRightInd w:val="0"/>
              <w:snapToGrid w:val="0"/>
              <w:spacing w:before="29" w:line="288" w:lineRule="auto"/>
              <w:rPr>
                <w:color w:val="000000"/>
                <w:sz w:val="24"/>
              </w:rPr>
            </w:pPr>
            <w:r w:rsidRPr="00A94C86">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407B6D">
            <w:pPr>
              <w:spacing w:before="29" w:line="288" w:lineRule="auto"/>
              <w:jc w:val="right"/>
              <w:rPr>
                <w:sz w:val="24"/>
              </w:rPr>
            </w:pPr>
            <w:r w:rsidRPr="00A94C86">
              <w:rPr>
                <w:sz w:val="24"/>
              </w:rPr>
              <w:t>1,102,680.63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tcPr>
          <w:p w:rsidR="00A94C86" w:rsidRPr="00A94C86" w:rsidRDefault="00A94C86" w:rsidP="00407B6D">
            <w:pPr>
              <w:autoSpaceDE w:val="0"/>
              <w:autoSpaceDN w:val="0"/>
              <w:adjustRightInd w:val="0"/>
              <w:spacing w:before="29" w:line="288" w:lineRule="auto"/>
              <w:ind w:left="15"/>
              <w:jc w:val="right"/>
              <w:rPr>
                <w:sz w:val="24"/>
              </w:rPr>
            </w:pPr>
            <w:r w:rsidRPr="00A94C86">
              <w:rPr>
                <w:sz w:val="24"/>
              </w:rPr>
              <w:t>0.22</w:t>
            </w:r>
          </w:p>
        </w:tc>
      </w:tr>
    </w:tbl>
    <w:p w:rsidR="00A94C86" w:rsidRPr="00A94C86" w:rsidRDefault="00A94C8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953,697.30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21,976,431.58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101,903,612.77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27,721,910.35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44,984,035.92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9,337,209.51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15,085,134.77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15,255,112.20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222,666,721.92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45.10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25,586,350.60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895,120.00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890,537.96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2,284,038.00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0.46</w:t>
            </w:r>
          </w:p>
        </w:tc>
      </w:tr>
      <w:tr w:rsidR="00A94C86"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36023B" w:rsidRDefault="00A94C86" w:rsidP="00A94C86">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A94C86" w:rsidRPr="0036023B" w:rsidRDefault="00A94C86" w:rsidP="00A94C86">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A94C86" w:rsidRPr="00A94C86" w:rsidRDefault="00A94C86" w:rsidP="00A94C86">
            <w:pPr>
              <w:spacing w:before="29" w:line="288" w:lineRule="auto"/>
              <w:jc w:val="right"/>
              <w:rPr>
                <w:sz w:val="24"/>
              </w:rPr>
            </w:pPr>
            <w:r w:rsidRPr="00A94C86">
              <w:rPr>
                <w:sz w:val="24"/>
              </w:rPr>
              <w:t>489,539,912.88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A94C86" w:rsidRPr="00A94C86" w:rsidRDefault="00A94C86" w:rsidP="00A94C86">
            <w:pPr>
              <w:spacing w:before="29" w:line="288" w:lineRule="auto"/>
              <w:jc w:val="right"/>
              <w:rPr>
                <w:sz w:val="24"/>
              </w:rPr>
            </w:pPr>
            <w:r w:rsidRPr="00A94C86">
              <w:rPr>
                <w:sz w:val="24"/>
              </w:rPr>
              <w:t>99.14</w:t>
            </w:r>
          </w:p>
        </w:tc>
      </w:tr>
    </w:tbl>
    <w:p w:rsidR="009324C9" w:rsidRDefault="009324C9"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lastRenderedPageBreak/>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968A6">
        <w:trPr>
          <w:jc w:val="center"/>
        </w:trPr>
        <w:tc>
          <w:tcPr>
            <w:tcW w:w="850" w:type="dxa"/>
            <w:vAlign w:val="center"/>
          </w:tcPr>
          <w:p w:rsidR="006968A6" w:rsidRDefault="00A94C86">
            <w:pPr>
              <w:jc w:val="center"/>
            </w:pPr>
            <w:r>
              <w:rPr>
                <w:color w:val="000000"/>
                <w:sz w:val="24"/>
              </w:rPr>
              <w:t>1</w:t>
            </w:r>
          </w:p>
        </w:tc>
        <w:tc>
          <w:tcPr>
            <w:tcW w:w="1327" w:type="dxa"/>
            <w:vAlign w:val="center"/>
          </w:tcPr>
          <w:p w:rsidR="006968A6" w:rsidRDefault="00A94C86">
            <w:pPr>
              <w:jc w:val="center"/>
            </w:pPr>
            <w:r>
              <w:rPr>
                <w:color w:val="000000"/>
                <w:sz w:val="24"/>
              </w:rPr>
              <w:t>601318</w:t>
            </w:r>
          </w:p>
        </w:tc>
        <w:tc>
          <w:tcPr>
            <w:tcW w:w="1769" w:type="dxa"/>
            <w:vAlign w:val="center"/>
          </w:tcPr>
          <w:p w:rsidR="006968A6" w:rsidRDefault="00A94C86">
            <w:pPr>
              <w:jc w:val="center"/>
            </w:pPr>
            <w:r>
              <w:rPr>
                <w:color w:val="000000"/>
                <w:sz w:val="24"/>
              </w:rPr>
              <w:t>中国平安</w:t>
            </w:r>
          </w:p>
        </w:tc>
        <w:tc>
          <w:tcPr>
            <w:tcW w:w="1327" w:type="dxa"/>
            <w:vAlign w:val="center"/>
          </w:tcPr>
          <w:p w:rsidR="006968A6" w:rsidRDefault="00A94C86">
            <w:pPr>
              <w:jc w:val="right"/>
            </w:pPr>
            <w:r>
              <w:rPr>
                <w:color w:val="000000"/>
                <w:sz w:val="24"/>
              </w:rPr>
              <w:t>1,287,300</w:t>
            </w:r>
          </w:p>
        </w:tc>
        <w:tc>
          <w:tcPr>
            <w:tcW w:w="1915" w:type="dxa"/>
            <w:vAlign w:val="center"/>
          </w:tcPr>
          <w:p w:rsidR="006968A6" w:rsidRDefault="00A94C86">
            <w:pPr>
              <w:jc w:val="right"/>
            </w:pPr>
            <w:r>
              <w:rPr>
                <w:color w:val="000000"/>
                <w:sz w:val="24"/>
              </w:rPr>
              <w:t>47,642,973.00</w:t>
            </w:r>
          </w:p>
        </w:tc>
        <w:tc>
          <w:tcPr>
            <w:tcW w:w="1680" w:type="dxa"/>
            <w:vAlign w:val="center"/>
          </w:tcPr>
          <w:p w:rsidR="006968A6" w:rsidRDefault="00A94C86">
            <w:pPr>
              <w:jc w:val="right"/>
            </w:pPr>
            <w:r>
              <w:rPr>
                <w:color w:val="000000"/>
                <w:sz w:val="24"/>
              </w:rPr>
              <w:t>9.65</w:t>
            </w:r>
          </w:p>
        </w:tc>
      </w:tr>
      <w:tr w:rsidR="006968A6">
        <w:trPr>
          <w:jc w:val="center"/>
        </w:trPr>
        <w:tc>
          <w:tcPr>
            <w:tcW w:w="850" w:type="dxa"/>
            <w:vAlign w:val="center"/>
          </w:tcPr>
          <w:p w:rsidR="006968A6" w:rsidRDefault="00A94C86">
            <w:pPr>
              <w:jc w:val="center"/>
            </w:pPr>
            <w:r>
              <w:rPr>
                <w:color w:val="000000"/>
                <w:sz w:val="24"/>
              </w:rPr>
              <w:t>2</w:t>
            </w:r>
          </w:p>
        </w:tc>
        <w:tc>
          <w:tcPr>
            <w:tcW w:w="1327" w:type="dxa"/>
            <w:vAlign w:val="center"/>
          </w:tcPr>
          <w:p w:rsidR="006968A6" w:rsidRDefault="00A94C86">
            <w:pPr>
              <w:jc w:val="center"/>
            </w:pPr>
            <w:r>
              <w:rPr>
                <w:color w:val="000000"/>
                <w:sz w:val="24"/>
              </w:rPr>
              <w:t>601166</w:t>
            </w:r>
          </w:p>
        </w:tc>
        <w:tc>
          <w:tcPr>
            <w:tcW w:w="1769" w:type="dxa"/>
            <w:vAlign w:val="center"/>
          </w:tcPr>
          <w:p w:rsidR="006968A6" w:rsidRDefault="00A94C86">
            <w:pPr>
              <w:jc w:val="center"/>
            </w:pPr>
            <w:r>
              <w:rPr>
                <w:color w:val="000000"/>
                <w:sz w:val="24"/>
              </w:rPr>
              <w:t>兴业银行</w:t>
            </w:r>
          </w:p>
        </w:tc>
        <w:tc>
          <w:tcPr>
            <w:tcW w:w="1327" w:type="dxa"/>
            <w:vAlign w:val="center"/>
          </w:tcPr>
          <w:p w:rsidR="006968A6" w:rsidRDefault="00A94C86">
            <w:pPr>
              <w:jc w:val="right"/>
            </w:pPr>
            <w:r>
              <w:rPr>
                <w:color w:val="000000"/>
                <w:sz w:val="24"/>
              </w:rPr>
              <w:t>1,584,862</w:t>
            </w:r>
          </w:p>
        </w:tc>
        <w:tc>
          <w:tcPr>
            <w:tcW w:w="1915" w:type="dxa"/>
            <w:vAlign w:val="center"/>
          </w:tcPr>
          <w:p w:rsidR="006968A6" w:rsidRDefault="00A94C86">
            <w:pPr>
              <w:jc w:val="right"/>
            </w:pPr>
            <w:r>
              <w:rPr>
                <w:color w:val="000000"/>
                <w:sz w:val="24"/>
              </w:rPr>
              <w:t>25,690,613.02</w:t>
            </w:r>
          </w:p>
        </w:tc>
        <w:tc>
          <w:tcPr>
            <w:tcW w:w="1680" w:type="dxa"/>
            <w:vAlign w:val="center"/>
          </w:tcPr>
          <w:p w:rsidR="006968A6" w:rsidRDefault="00A94C86">
            <w:pPr>
              <w:jc w:val="right"/>
            </w:pPr>
            <w:r>
              <w:rPr>
                <w:color w:val="000000"/>
                <w:sz w:val="24"/>
              </w:rPr>
              <w:t>5.20</w:t>
            </w:r>
          </w:p>
        </w:tc>
      </w:tr>
      <w:tr w:rsidR="006968A6">
        <w:trPr>
          <w:jc w:val="center"/>
        </w:trPr>
        <w:tc>
          <w:tcPr>
            <w:tcW w:w="850" w:type="dxa"/>
            <w:vAlign w:val="center"/>
          </w:tcPr>
          <w:p w:rsidR="006968A6" w:rsidRDefault="00A94C86">
            <w:pPr>
              <w:jc w:val="center"/>
            </w:pPr>
            <w:r>
              <w:rPr>
                <w:color w:val="000000"/>
                <w:sz w:val="24"/>
              </w:rPr>
              <w:t>3</w:t>
            </w:r>
          </w:p>
        </w:tc>
        <w:tc>
          <w:tcPr>
            <w:tcW w:w="1327" w:type="dxa"/>
            <w:vAlign w:val="center"/>
          </w:tcPr>
          <w:p w:rsidR="006968A6" w:rsidRDefault="00A94C86">
            <w:pPr>
              <w:jc w:val="center"/>
            </w:pPr>
            <w:r>
              <w:rPr>
                <w:color w:val="000000"/>
                <w:sz w:val="24"/>
              </w:rPr>
              <w:t>600016</w:t>
            </w:r>
          </w:p>
        </w:tc>
        <w:tc>
          <w:tcPr>
            <w:tcW w:w="1769" w:type="dxa"/>
            <w:vAlign w:val="center"/>
          </w:tcPr>
          <w:p w:rsidR="006968A6" w:rsidRDefault="00A94C86">
            <w:pPr>
              <w:jc w:val="center"/>
            </w:pPr>
            <w:r>
              <w:rPr>
                <w:color w:val="000000"/>
                <w:sz w:val="24"/>
              </w:rPr>
              <w:t>民生银行</w:t>
            </w:r>
          </w:p>
        </w:tc>
        <w:tc>
          <w:tcPr>
            <w:tcW w:w="1327" w:type="dxa"/>
            <w:vAlign w:val="center"/>
          </w:tcPr>
          <w:p w:rsidR="006968A6" w:rsidRDefault="00A94C86">
            <w:pPr>
              <w:jc w:val="right"/>
            </w:pPr>
            <w:r>
              <w:rPr>
                <w:color w:val="000000"/>
                <w:sz w:val="24"/>
              </w:rPr>
              <w:t>2,808,919</w:t>
            </w:r>
          </w:p>
        </w:tc>
        <w:tc>
          <w:tcPr>
            <w:tcW w:w="1915" w:type="dxa"/>
            <w:vAlign w:val="center"/>
          </w:tcPr>
          <w:p w:rsidR="006968A6" w:rsidRDefault="00A94C86">
            <w:pPr>
              <w:jc w:val="right"/>
            </w:pPr>
            <w:r>
              <w:rPr>
                <w:color w:val="000000"/>
                <w:sz w:val="24"/>
              </w:rPr>
              <w:t>23,819,633.12</w:t>
            </w:r>
          </w:p>
        </w:tc>
        <w:tc>
          <w:tcPr>
            <w:tcW w:w="1680" w:type="dxa"/>
            <w:vAlign w:val="center"/>
          </w:tcPr>
          <w:p w:rsidR="006968A6" w:rsidRDefault="00A94C86">
            <w:pPr>
              <w:jc w:val="right"/>
            </w:pPr>
            <w:r>
              <w:rPr>
                <w:color w:val="000000"/>
                <w:sz w:val="24"/>
              </w:rPr>
              <w:t>4.82</w:t>
            </w:r>
          </w:p>
        </w:tc>
      </w:tr>
      <w:tr w:rsidR="006968A6">
        <w:trPr>
          <w:jc w:val="center"/>
        </w:trPr>
        <w:tc>
          <w:tcPr>
            <w:tcW w:w="850" w:type="dxa"/>
            <w:vAlign w:val="center"/>
          </w:tcPr>
          <w:p w:rsidR="006968A6" w:rsidRDefault="00A94C86">
            <w:pPr>
              <w:jc w:val="center"/>
            </w:pPr>
            <w:r>
              <w:rPr>
                <w:color w:val="000000"/>
                <w:sz w:val="24"/>
              </w:rPr>
              <w:t>4</w:t>
            </w:r>
          </w:p>
        </w:tc>
        <w:tc>
          <w:tcPr>
            <w:tcW w:w="1327" w:type="dxa"/>
            <w:vAlign w:val="center"/>
          </w:tcPr>
          <w:p w:rsidR="006968A6" w:rsidRDefault="00A94C86">
            <w:pPr>
              <w:jc w:val="center"/>
            </w:pPr>
            <w:r>
              <w:rPr>
                <w:color w:val="000000"/>
                <w:sz w:val="24"/>
              </w:rPr>
              <w:t>600036</w:t>
            </w:r>
          </w:p>
        </w:tc>
        <w:tc>
          <w:tcPr>
            <w:tcW w:w="1769" w:type="dxa"/>
            <w:vAlign w:val="center"/>
          </w:tcPr>
          <w:p w:rsidR="006968A6" w:rsidRDefault="00A94C86">
            <w:pPr>
              <w:jc w:val="center"/>
            </w:pPr>
            <w:r>
              <w:rPr>
                <w:color w:val="000000"/>
                <w:sz w:val="24"/>
              </w:rPr>
              <w:t>招商银行</w:t>
            </w:r>
          </w:p>
        </w:tc>
        <w:tc>
          <w:tcPr>
            <w:tcW w:w="1327" w:type="dxa"/>
            <w:vAlign w:val="center"/>
          </w:tcPr>
          <w:p w:rsidR="006968A6" w:rsidRDefault="00A94C86">
            <w:pPr>
              <w:jc w:val="right"/>
            </w:pPr>
            <w:r>
              <w:rPr>
                <w:color w:val="000000"/>
                <w:sz w:val="24"/>
              </w:rPr>
              <w:t>1,225,282</w:t>
            </w:r>
          </w:p>
        </w:tc>
        <w:tc>
          <w:tcPr>
            <w:tcW w:w="1915" w:type="dxa"/>
            <w:vAlign w:val="center"/>
          </w:tcPr>
          <w:p w:rsidR="006968A6" w:rsidRDefault="00A94C86">
            <w:pPr>
              <w:jc w:val="right"/>
            </w:pPr>
            <w:r>
              <w:rPr>
                <w:color w:val="000000"/>
                <w:sz w:val="24"/>
              </w:rPr>
              <w:t>23,488,655.94</w:t>
            </w:r>
          </w:p>
        </w:tc>
        <w:tc>
          <w:tcPr>
            <w:tcW w:w="1680" w:type="dxa"/>
            <w:vAlign w:val="center"/>
          </w:tcPr>
          <w:p w:rsidR="006968A6" w:rsidRDefault="00A94C86">
            <w:pPr>
              <w:jc w:val="right"/>
            </w:pPr>
            <w:r>
              <w:rPr>
                <w:color w:val="000000"/>
                <w:sz w:val="24"/>
              </w:rPr>
              <w:t>4.76</w:t>
            </w:r>
          </w:p>
        </w:tc>
      </w:tr>
      <w:tr w:rsidR="006968A6">
        <w:trPr>
          <w:jc w:val="center"/>
        </w:trPr>
        <w:tc>
          <w:tcPr>
            <w:tcW w:w="850" w:type="dxa"/>
            <w:vAlign w:val="center"/>
          </w:tcPr>
          <w:p w:rsidR="006968A6" w:rsidRDefault="00A94C86">
            <w:pPr>
              <w:jc w:val="center"/>
            </w:pPr>
            <w:r>
              <w:rPr>
                <w:color w:val="000000"/>
                <w:sz w:val="24"/>
              </w:rPr>
              <w:t>5</w:t>
            </w:r>
          </w:p>
        </w:tc>
        <w:tc>
          <w:tcPr>
            <w:tcW w:w="1327" w:type="dxa"/>
            <w:vAlign w:val="center"/>
          </w:tcPr>
          <w:p w:rsidR="006968A6" w:rsidRDefault="00A94C86">
            <w:pPr>
              <w:jc w:val="center"/>
            </w:pPr>
            <w:r>
              <w:rPr>
                <w:color w:val="000000"/>
                <w:sz w:val="24"/>
              </w:rPr>
              <w:t>600000</w:t>
            </w:r>
          </w:p>
        </w:tc>
        <w:tc>
          <w:tcPr>
            <w:tcW w:w="1769" w:type="dxa"/>
            <w:vAlign w:val="center"/>
          </w:tcPr>
          <w:p w:rsidR="006968A6" w:rsidRDefault="00A94C86">
            <w:pPr>
              <w:jc w:val="center"/>
            </w:pPr>
            <w:r>
              <w:rPr>
                <w:color w:val="000000"/>
                <w:sz w:val="24"/>
              </w:rPr>
              <w:t>浦发银行</w:t>
            </w:r>
          </w:p>
        </w:tc>
        <w:tc>
          <w:tcPr>
            <w:tcW w:w="1327" w:type="dxa"/>
            <w:vAlign w:val="center"/>
          </w:tcPr>
          <w:p w:rsidR="006968A6" w:rsidRDefault="00A94C86">
            <w:pPr>
              <w:jc w:val="right"/>
            </w:pPr>
            <w:r>
              <w:rPr>
                <w:color w:val="000000"/>
                <w:sz w:val="24"/>
              </w:rPr>
              <w:t>1,027,104</w:t>
            </w:r>
          </w:p>
        </w:tc>
        <w:tc>
          <w:tcPr>
            <w:tcW w:w="1915" w:type="dxa"/>
            <w:vAlign w:val="center"/>
          </w:tcPr>
          <w:p w:rsidR="006968A6" w:rsidRDefault="00A94C86">
            <w:pPr>
              <w:jc w:val="right"/>
            </w:pPr>
            <w:r>
              <w:rPr>
                <w:color w:val="000000"/>
                <w:sz w:val="24"/>
              </w:rPr>
              <w:t>16,443,935.04</w:t>
            </w:r>
          </w:p>
        </w:tc>
        <w:tc>
          <w:tcPr>
            <w:tcW w:w="1680" w:type="dxa"/>
            <w:vAlign w:val="center"/>
          </w:tcPr>
          <w:p w:rsidR="006968A6" w:rsidRDefault="00A94C86">
            <w:pPr>
              <w:jc w:val="right"/>
            </w:pPr>
            <w:r>
              <w:rPr>
                <w:color w:val="000000"/>
                <w:sz w:val="24"/>
              </w:rPr>
              <w:t>3.33</w:t>
            </w:r>
          </w:p>
        </w:tc>
      </w:tr>
      <w:tr w:rsidR="006968A6">
        <w:trPr>
          <w:jc w:val="center"/>
        </w:trPr>
        <w:tc>
          <w:tcPr>
            <w:tcW w:w="850" w:type="dxa"/>
            <w:vAlign w:val="center"/>
          </w:tcPr>
          <w:p w:rsidR="006968A6" w:rsidRDefault="00A94C86">
            <w:pPr>
              <w:jc w:val="center"/>
            </w:pPr>
            <w:r>
              <w:rPr>
                <w:color w:val="000000"/>
                <w:sz w:val="24"/>
              </w:rPr>
              <w:t>6</w:t>
            </w:r>
          </w:p>
        </w:tc>
        <w:tc>
          <w:tcPr>
            <w:tcW w:w="1327" w:type="dxa"/>
            <w:vAlign w:val="center"/>
          </w:tcPr>
          <w:p w:rsidR="006968A6" w:rsidRDefault="00A94C86">
            <w:pPr>
              <w:jc w:val="center"/>
            </w:pPr>
            <w:r>
              <w:rPr>
                <w:color w:val="000000"/>
                <w:sz w:val="24"/>
              </w:rPr>
              <w:t>601668</w:t>
            </w:r>
          </w:p>
        </w:tc>
        <w:tc>
          <w:tcPr>
            <w:tcW w:w="1769" w:type="dxa"/>
            <w:vAlign w:val="center"/>
          </w:tcPr>
          <w:p w:rsidR="006968A6" w:rsidRDefault="00A94C86">
            <w:pPr>
              <w:jc w:val="center"/>
            </w:pPr>
            <w:r>
              <w:rPr>
                <w:color w:val="000000"/>
                <w:sz w:val="24"/>
              </w:rPr>
              <w:t>中国建筑</w:t>
            </w:r>
          </w:p>
        </w:tc>
        <w:tc>
          <w:tcPr>
            <w:tcW w:w="1327" w:type="dxa"/>
            <w:vAlign w:val="center"/>
          </w:tcPr>
          <w:p w:rsidR="006968A6" w:rsidRDefault="00A94C86">
            <w:pPr>
              <w:jc w:val="right"/>
            </w:pPr>
            <w:r>
              <w:rPr>
                <w:color w:val="000000"/>
                <w:sz w:val="24"/>
              </w:rPr>
              <w:t>1,782,546</w:t>
            </w:r>
          </w:p>
        </w:tc>
        <w:tc>
          <w:tcPr>
            <w:tcW w:w="1915" w:type="dxa"/>
            <w:vAlign w:val="center"/>
          </w:tcPr>
          <w:p w:rsidR="006968A6" w:rsidRDefault="00A94C86">
            <w:pPr>
              <w:jc w:val="right"/>
            </w:pPr>
            <w:r>
              <w:rPr>
                <w:color w:val="000000"/>
                <w:sz w:val="24"/>
              </w:rPr>
              <w:t>16,399,423.20</w:t>
            </w:r>
          </w:p>
        </w:tc>
        <w:tc>
          <w:tcPr>
            <w:tcW w:w="1680" w:type="dxa"/>
            <w:vAlign w:val="center"/>
          </w:tcPr>
          <w:p w:rsidR="006968A6" w:rsidRDefault="00A94C86">
            <w:pPr>
              <w:jc w:val="right"/>
            </w:pPr>
            <w:r>
              <w:rPr>
                <w:color w:val="000000"/>
                <w:sz w:val="24"/>
              </w:rPr>
              <w:t>3.32</w:t>
            </w:r>
          </w:p>
        </w:tc>
      </w:tr>
      <w:tr w:rsidR="006968A6">
        <w:trPr>
          <w:jc w:val="center"/>
        </w:trPr>
        <w:tc>
          <w:tcPr>
            <w:tcW w:w="850" w:type="dxa"/>
            <w:vAlign w:val="center"/>
          </w:tcPr>
          <w:p w:rsidR="006968A6" w:rsidRDefault="00A94C86">
            <w:pPr>
              <w:jc w:val="center"/>
            </w:pPr>
            <w:r>
              <w:rPr>
                <w:color w:val="000000"/>
                <w:sz w:val="24"/>
              </w:rPr>
              <w:t>7</w:t>
            </w:r>
          </w:p>
        </w:tc>
        <w:tc>
          <w:tcPr>
            <w:tcW w:w="1327" w:type="dxa"/>
            <w:vAlign w:val="center"/>
          </w:tcPr>
          <w:p w:rsidR="006968A6" w:rsidRDefault="00A94C86">
            <w:pPr>
              <w:jc w:val="center"/>
            </w:pPr>
            <w:r>
              <w:rPr>
                <w:color w:val="000000"/>
                <w:sz w:val="24"/>
              </w:rPr>
              <w:t>601398</w:t>
            </w:r>
          </w:p>
        </w:tc>
        <w:tc>
          <w:tcPr>
            <w:tcW w:w="1769" w:type="dxa"/>
            <w:vAlign w:val="center"/>
          </w:tcPr>
          <w:p w:rsidR="006968A6" w:rsidRDefault="00A94C86">
            <w:pPr>
              <w:jc w:val="center"/>
            </w:pPr>
            <w:r>
              <w:rPr>
                <w:color w:val="000000"/>
                <w:sz w:val="24"/>
              </w:rPr>
              <w:t>工商银行</w:t>
            </w:r>
          </w:p>
        </w:tc>
        <w:tc>
          <w:tcPr>
            <w:tcW w:w="1327" w:type="dxa"/>
            <w:vAlign w:val="center"/>
          </w:tcPr>
          <w:p w:rsidR="006968A6" w:rsidRDefault="00A94C86">
            <w:pPr>
              <w:jc w:val="right"/>
            </w:pPr>
            <w:r>
              <w:rPr>
                <w:color w:val="000000"/>
                <w:sz w:val="24"/>
              </w:rPr>
              <w:t>2,562,651</w:t>
            </w:r>
          </w:p>
        </w:tc>
        <w:tc>
          <w:tcPr>
            <w:tcW w:w="1915" w:type="dxa"/>
            <w:vAlign w:val="center"/>
          </w:tcPr>
          <w:p w:rsidR="006968A6" w:rsidRDefault="00A94C86">
            <w:pPr>
              <w:jc w:val="right"/>
            </w:pPr>
            <w:r>
              <w:rPr>
                <w:color w:val="000000"/>
                <w:sz w:val="24"/>
              </w:rPr>
              <w:t>12,403,230.84</w:t>
            </w:r>
          </w:p>
        </w:tc>
        <w:tc>
          <w:tcPr>
            <w:tcW w:w="1680" w:type="dxa"/>
            <w:vAlign w:val="center"/>
          </w:tcPr>
          <w:p w:rsidR="006968A6" w:rsidRDefault="00A94C86">
            <w:pPr>
              <w:jc w:val="right"/>
            </w:pPr>
            <w:r>
              <w:rPr>
                <w:color w:val="000000"/>
                <w:sz w:val="24"/>
              </w:rPr>
              <w:t>2.51</w:t>
            </w:r>
          </w:p>
        </w:tc>
      </w:tr>
      <w:tr w:rsidR="006968A6">
        <w:trPr>
          <w:jc w:val="center"/>
        </w:trPr>
        <w:tc>
          <w:tcPr>
            <w:tcW w:w="850" w:type="dxa"/>
            <w:vAlign w:val="center"/>
          </w:tcPr>
          <w:p w:rsidR="006968A6" w:rsidRDefault="00A94C86">
            <w:pPr>
              <w:jc w:val="center"/>
            </w:pPr>
            <w:r>
              <w:rPr>
                <w:color w:val="000000"/>
                <w:sz w:val="24"/>
              </w:rPr>
              <w:t>8</w:t>
            </w:r>
          </w:p>
        </w:tc>
        <w:tc>
          <w:tcPr>
            <w:tcW w:w="1327" w:type="dxa"/>
            <w:vAlign w:val="center"/>
          </w:tcPr>
          <w:p w:rsidR="006968A6" w:rsidRDefault="00A94C86">
            <w:pPr>
              <w:jc w:val="center"/>
            </w:pPr>
            <w:r>
              <w:rPr>
                <w:color w:val="000000"/>
                <w:sz w:val="24"/>
              </w:rPr>
              <w:t>601766</w:t>
            </w:r>
          </w:p>
        </w:tc>
        <w:tc>
          <w:tcPr>
            <w:tcW w:w="1769" w:type="dxa"/>
            <w:vAlign w:val="center"/>
          </w:tcPr>
          <w:p w:rsidR="006968A6" w:rsidRDefault="00A94C86">
            <w:pPr>
              <w:jc w:val="center"/>
            </w:pPr>
            <w:r>
              <w:rPr>
                <w:color w:val="000000"/>
                <w:sz w:val="24"/>
              </w:rPr>
              <w:t>中国中车</w:t>
            </w:r>
          </w:p>
        </w:tc>
        <w:tc>
          <w:tcPr>
            <w:tcW w:w="1327" w:type="dxa"/>
            <w:vAlign w:val="center"/>
          </w:tcPr>
          <w:p w:rsidR="006968A6" w:rsidRDefault="00A94C86">
            <w:pPr>
              <w:jc w:val="right"/>
            </w:pPr>
            <w:r>
              <w:rPr>
                <w:color w:val="000000"/>
                <w:sz w:val="24"/>
              </w:rPr>
              <w:t>1,088,590</w:t>
            </w:r>
          </w:p>
        </w:tc>
        <w:tc>
          <w:tcPr>
            <w:tcW w:w="1915" w:type="dxa"/>
            <w:vAlign w:val="center"/>
          </w:tcPr>
          <w:p w:rsidR="006968A6" w:rsidRDefault="00A94C86">
            <w:pPr>
              <w:jc w:val="right"/>
            </w:pPr>
            <w:r>
              <w:rPr>
                <w:color w:val="000000"/>
                <w:sz w:val="24"/>
              </w:rPr>
              <w:t>11,147,161.60</w:t>
            </w:r>
          </w:p>
        </w:tc>
        <w:tc>
          <w:tcPr>
            <w:tcW w:w="1680" w:type="dxa"/>
            <w:vAlign w:val="center"/>
          </w:tcPr>
          <w:p w:rsidR="006968A6" w:rsidRDefault="00A94C86">
            <w:pPr>
              <w:jc w:val="right"/>
            </w:pPr>
            <w:r>
              <w:rPr>
                <w:color w:val="000000"/>
                <w:sz w:val="24"/>
              </w:rPr>
              <w:t>2.26</w:t>
            </w:r>
          </w:p>
        </w:tc>
      </w:tr>
      <w:tr w:rsidR="006968A6">
        <w:trPr>
          <w:jc w:val="center"/>
        </w:trPr>
        <w:tc>
          <w:tcPr>
            <w:tcW w:w="850" w:type="dxa"/>
            <w:vAlign w:val="center"/>
          </w:tcPr>
          <w:p w:rsidR="006968A6" w:rsidRDefault="00A94C86">
            <w:pPr>
              <w:jc w:val="center"/>
            </w:pPr>
            <w:r>
              <w:rPr>
                <w:color w:val="000000"/>
                <w:sz w:val="24"/>
              </w:rPr>
              <w:t>9</w:t>
            </w:r>
          </w:p>
        </w:tc>
        <w:tc>
          <w:tcPr>
            <w:tcW w:w="1327" w:type="dxa"/>
            <w:vAlign w:val="center"/>
          </w:tcPr>
          <w:p w:rsidR="006968A6" w:rsidRDefault="00A94C86">
            <w:pPr>
              <w:jc w:val="center"/>
            </w:pPr>
            <w:r>
              <w:rPr>
                <w:color w:val="000000"/>
                <w:sz w:val="24"/>
              </w:rPr>
              <w:t>600900</w:t>
            </w:r>
          </w:p>
        </w:tc>
        <w:tc>
          <w:tcPr>
            <w:tcW w:w="1769" w:type="dxa"/>
            <w:vAlign w:val="center"/>
          </w:tcPr>
          <w:p w:rsidR="006968A6" w:rsidRDefault="00A94C86">
            <w:pPr>
              <w:jc w:val="center"/>
            </w:pPr>
            <w:r>
              <w:rPr>
                <w:color w:val="000000"/>
                <w:sz w:val="24"/>
              </w:rPr>
              <w:t>长江电力</w:t>
            </w:r>
          </w:p>
        </w:tc>
        <w:tc>
          <w:tcPr>
            <w:tcW w:w="1327" w:type="dxa"/>
            <w:vAlign w:val="center"/>
          </w:tcPr>
          <w:p w:rsidR="006968A6" w:rsidRDefault="00A94C86">
            <w:pPr>
              <w:jc w:val="right"/>
            </w:pPr>
            <w:r>
              <w:rPr>
                <w:color w:val="000000"/>
                <w:sz w:val="24"/>
              </w:rPr>
              <w:t>784,040</w:t>
            </w:r>
          </w:p>
        </w:tc>
        <w:tc>
          <w:tcPr>
            <w:tcW w:w="1915" w:type="dxa"/>
            <w:vAlign w:val="center"/>
          </w:tcPr>
          <w:p w:rsidR="006968A6" w:rsidRDefault="00A94C86">
            <w:pPr>
              <w:jc w:val="right"/>
            </w:pPr>
            <w:r>
              <w:rPr>
                <w:color w:val="000000"/>
                <w:sz w:val="24"/>
              </w:rPr>
              <w:t>10,404,210.80</w:t>
            </w:r>
          </w:p>
        </w:tc>
        <w:tc>
          <w:tcPr>
            <w:tcW w:w="1680" w:type="dxa"/>
            <w:vAlign w:val="center"/>
          </w:tcPr>
          <w:p w:rsidR="006968A6" w:rsidRDefault="00A94C86">
            <w:pPr>
              <w:jc w:val="right"/>
            </w:pPr>
            <w:r>
              <w:rPr>
                <w:color w:val="000000"/>
                <w:sz w:val="24"/>
              </w:rPr>
              <w:t>2.11</w:t>
            </w:r>
          </w:p>
        </w:tc>
      </w:tr>
      <w:tr w:rsidR="006968A6">
        <w:trPr>
          <w:jc w:val="center"/>
        </w:trPr>
        <w:tc>
          <w:tcPr>
            <w:tcW w:w="850" w:type="dxa"/>
            <w:vAlign w:val="center"/>
          </w:tcPr>
          <w:p w:rsidR="006968A6" w:rsidRDefault="00A94C86">
            <w:pPr>
              <w:jc w:val="center"/>
            </w:pPr>
            <w:r>
              <w:rPr>
                <w:color w:val="000000"/>
                <w:sz w:val="24"/>
              </w:rPr>
              <w:t>10</w:t>
            </w:r>
          </w:p>
        </w:tc>
        <w:tc>
          <w:tcPr>
            <w:tcW w:w="1327" w:type="dxa"/>
            <w:vAlign w:val="center"/>
          </w:tcPr>
          <w:p w:rsidR="006968A6" w:rsidRDefault="00A94C86">
            <w:pPr>
              <w:jc w:val="center"/>
            </w:pPr>
            <w:r>
              <w:rPr>
                <w:color w:val="000000"/>
                <w:sz w:val="24"/>
              </w:rPr>
              <w:t>601601</w:t>
            </w:r>
          </w:p>
        </w:tc>
        <w:tc>
          <w:tcPr>
            <w:tcW w:w="1769" w:type="dxa"/>
            <w:vAlign w:val="center"/>
          </w:tcPr>
          <w:p w:rsidR="006968A6" w:rsidRDefault="00A94C86">
            <w:pPr>
              <w:jc w:val="center"/>
            </w:pPr>
            <w:r>
              <w:rPr>
                <w:color w:val="000000"/>
                <w:sz w:val="24"/>
              </w:rPr>
              <w:t>中国太保</w:t>
            </w:r>
          </w:p>
        </w:tc>
        <w:tc>
          <w:tcPr>
            <w:tcW w:w="1327" w:type="dxa"/>
            <w:vAlign w:val="center"/>
          </w:tcPr>
          <w:p w:rsidR="006968A6" w:rsidRDefault="00A94C86">
            <w:pPr>
              <w:jc w:val="right"/>
            </w:pPr>
            <w:r>
              <w:rPr>
                <w:color w:val="000000"/>
                <w:sz w:val="24"/>
              </w:rPr>
              <w:t>368,299</w:t>
            </w:r>
          </w:p>
        </w:tc>
        <w:tc>
          <w:tcPr>
            <w:tcW w:w="1915" w:type="dxa"/>
            <w:vAlign w:val="center"/>
          </w:tcPr>
          <w:p w:rsidR="006968A6" w:rsidRDefault="00A94C86">
            <w:pPr>
              <w:jc w:val="right"/>
            </w:pPr>
            <w:r>
              <w:rPr>
                <w:color w:val="000000"/>
                <w:sz w:val="24"/>
              </w:rPr>
              <w:t>10,098,758.58</w:t>
            </w:r>
          </w:p>
        </w:tc>
        <w:tc>
          <w:tcPr>
            <w:tcW w:w="1680" w:type="dxa"/>
            <w:vAlign w:val="center"/>
          </w:tcPr>
          <w:p w:rsidR="006968A6" w:rsidRDefault="00A94C86">
            <w:pPr>
              <w:jc w:val="right"/>
            </w:pPr>
            <w:r>
              <w:rPr>
                <w:color w:val="000000"/>
                <w:sz w:val="24"/>
              </w:rPr>
              <w:t>2.05</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A94C86" w:rsidRPr="0036023B" w:rsidTr="00407B6D">
        <w:trPr>
          <w:jc w:val="center"/>
        </w:trPr>
        <w:tc>
          <w:tcPr>
            <w:tcW w:w="817" w:type="dxa"/>
            <w:vAlign w:val="center"/>
          </w:tcPr>
          <w:p w:rsidR="00A94C86" w:rsidRPr="00A94C86" w:rsidRDefault="00A94C86" w:rsidP="00407B6D">
            <w:pPr>
              <w:spacing w:before="29" w:line="288" w:lineRule="auto"/>
              <w:ind w:left="17"/>
              <w:jc w:val="center"/>
              <w:rPr>
                <w:color w:val="000000"/>
                <w:sz w:val="24"/>
              </w:rPr>
            </w:pPr>
            <w:r w:rsidRPr="00A94C86">
              <w:rPr>
                <w:color w:val="000000"/>
                <w:sz w:val="24"/>
              </w:rPr>
              <w:t>序号</w:t>
            </w:r>
          </w:p>
        </w:tc>
        <w:tc>
          <w:tcPr>
            <w:tcW w:w="1276" w:type="dxa"/>
            <w:vAlign w:val="center"/>
          </w:tcPr>
          <w:p w:rsidR="00A94C86" w:rsidRPr="00A94C86" w:rsidRDefault="00A94C86" w:rsidP="00407B6D">
            <w:pPr>
              <w:spacing w:before="29" w:line="288" w:lineRule="auto"/>
              <w:ind w:left="17"/>
              <w:jc w:val="center"/>
              <w:rPr>
                <w:color w:val="000000"/>
                <w:sz w:val="24"/>
              </w:rPr>
            </w:pPr>
            <w:r w:rsidRPr="00A94C86">
              <w:rPr>
                <w:color w:val="000000"/>
                <w:sz w:val="24"/>
              </w:rPr>
              <w:t>股票代码</w:t>
            </w:r>
          </w:p>
        </w:tc>
        <w:tc>
          <w:tcPr>
            <w:tcW w:w="1701" w:type="dxa"/>
            <w:vAlign w:val="center"/>
          </w:tcPr>
          <w:p w:rsidR="00A94C86" w:rsidRPr="00A94C86" w:rsidRDefault="00A94C86" w:rsidP="00407B6D">
            <w:pPr>
              <w:spacing w:before="29" w:line="288" w:lineRule="auto"/>
              <w:ind w:left="17"/>
              <w:jc w:val="center"/>
              <w:rPr>
                <w:color w:val="000000"/>
                <w:sz w:val="24"/>
              </w:rPr>
            </w:pPr>
            <w:r w:rsidRPr="00A94C86">
              <w:rPr>
                <w:color w:val="000000"/>
                <w:sz w:val="24"/>
              </w:rPr>
              <w:t>股票名称</w:t>
            </w:r>
          </w:p>
        </w:tc>
        <w:tc>
          <w:tcPr>
            <w:tcW w:w="1276" w:type="dxa"/>
            <w:vAlign w:val="center"/>
          </w:tcPr>
          <w:p w:rsidR="00A94C86" w:rsidRPr="00A94C86" w:rsidRDefault="00A94C86" w:rsidP="00407B6D">
            <w:pPr>
              <w:spacing w:before="29" w:line="288" w:lineRule="auto"/>
              <w:ind w:left="17"/>
              <w:jc w:val="center"/>
              <w:rPr>
                <w:color w:val="000000"/>
                <w:sz w:val="24"/>
              </w:rPr>
            </w:pPr>
            <w:r w:rsidRPr="00A94C86">
              <w:rPr>
                <w:color w:val="000000"/>
                <w:sz w:val="24"/>
              </w:rPr>
              <w:t>数量</w:t>
            </w:r>
            <w:r w:rsidRPr="00A94C86">
              <w:rPr>
                <w:color w:val="000000"/>
                <w:kern w:val="0"/>
                <w:sz w:val="24"/>
              </w:rPr>
              <w:t>（股）</w:t>
            </w:r>
          </w:p>
        </w:tc>
        <w:tc>
          <w:tcPr>
            <w:tcW w:w="1842" w:type="dxa"/>
            <w:vAlign w:val="center"/>
          </w:tcPr>
          <w:p w:rsidR="00A94C86" w:rsidRPr="00A94C86" w:rsidRDefault="00A94C86" w:rsidP="00407B6D">
            <w:pPr>
              <w:autoSpaceDE w:val="0"/>
              <w:autoSpaceDN w:val="0"/>
              <w:adjustRightInd w:val="0"/>
              <w:spacing w:before="29" w:line="288" w:lineRule="auto"/>
              <w:ind w:left="17"/>
              <w:jc w:val="center"/>
              <w:rPr>
                <w:color w:val="000000"/>
                <w:sz w:val="24"/>
              </w:rPr>
            </w:pPr>
            <w:r w:rsidRPr="00A94C86">
              <w:rPr>
                <w:color w:val="000000"/>
                <w:sz w:val="24"/>
              </w:rPr>
              <w:t>公允价值</w:t>
            </w:r>
            <w:r w:rsidRPr="00A94C86">
              <w:rPr>
                <w:color w:val="000000"/>
                <w:sz w:val="24"/>
              </w:rPr>
              <w:t>(</w:t>
            </w:r>
            <w:r w:rsidRPr="00A94C86">
              <w:rPr>
                <w:color w:val="000000"/>
                <w:sz w:val="24"/>
              </w:rPr>
              <w:t>元</w:t>
            </w:r>
            <w:r w:rsidRPr="00A94C86">
              <w:rPr>
                <w:color w:val="000000"/>
                <w:sz w:val="24"/>
              </w:rPr>
              <w:t>)</w:t>
            </w:r>
          </w:p>
        </w:tc>
        <w:tc>
          <w:tcPr>
            <w:tcW w:w="1616" w:type="dxa"/>
            <w:vAlign w:val="center"/>
          </w:tcPr>
          <w:p w:rsidR="00A94C86" w:rsidRPr="00A94C86" w:rsidRDefault="00A94C86" w:rsidP="00407B6D">
            <w:pPr>
              <w:spacing w:before="29" w:line="288" w:lineRule="auto"/>
              <w:ind w:left="17"/>
              <w:jc w:val="center"/>
              <w:rPr>
                <w:color w:val="000000"/>
                <w:sz w:val="24"/>
              </w:rPr>
            </w:pPr>
            <w:r w:rsidRPr="00A94C86">
              <w:rPr>
                <w:color w:val="000000"/>
                <w:sz w:val="24"/>
              </w:rPr>
              <w:t>占基金资产净值比例</w:t>
            </w:r>
            <w:r w:rsidRPr="00A94C86">
              <w:rPr>
                <w:color w:val="000000"/>
                <w:kern w:val="0"/>
                <w:sz w:val="24"/>
              </w:rPr>
              <w:t>（％）</w:t>
            </w:r>
          </w:p>
        </w:tc>
      </w:tr>
      <w:tr w:rsidR="00A94C86" w:rsidTr="00407B6D">
        <w:trPr>
          <w:jc w:val="center"/>
        </w:trPr>
        <w:tc>
          <w:tcPr>
            <w:tcW w:w="850" w:type="dxa"/>
            <w:vAlign w:val="center"/>
          </w:tcPr>
          <w:p w:rsidR="00A94C86" w:rsidRPr="00A94C86" w:rsidRDefault="00A94C86" w:rsidP="00407B6D">
            <w:pPr>
              <w:jc w:val="center"/>
            </w:pPr>
            <w:r w:rsidRPr="00A94C86">
              <w:rPr>
                <w:color w:val="000000"/>
                <w:sz w:val="24"/>
              </w:rPr>
              <w:t>1</w:t>
            </w:r>
          </w:p>
        </w:tc>
        <w:tc>
          <w:tcPr>
            <w:tcW w:w="1327" w:type="dxa"/>
            <w:vAlign w:val="center"/>
          </w:tcPr>
          <w:p w:rsidR="00A94C86" w:rsidRPr="00A94C86" w:rsidRDefault="00A94C86" w:rsidP="00407B6D">
            <w:pPr>
              <w:jc w:val="center"/>
            </w:pPr>
            <w:r w:rsidRPr="00A94C86">
              <w:rPr>
                <w:color w:val="000000"/>
                <w:sz w:val="24"/>
              </w:rPr>
              <w:t>601200</w:t>
            </w:r>
          </w:p>
        </w:tc>
        <w:tc>
          <w:tcPr>
            <w:tcW w:w="1769" w:type="dxa"/>
            <w:vAlign w:val="center"/>
          </w:tcPr>
          <w:p w:rsidR="00A94C86" w:rsidRPr="00A94C86" w:rsidRDefault="00A94C86" w:rsidP="00407B6D">
            <w:pPr>
              <w:jc w:val="center"/>
            </w:pPr>
            <w:r w:rsidRPr="00A94C86">
              <w:rPr>
                <w:rFonts w:hint="eastAsia"/>
                <w:color w:val="000000"/>
                <w:sz w:val="24"/>
              </w:rPr>
              <w:t>上海环境</w:t>
            </w:r>
          </w:p>
        </w:tc>
        <w:tc>
          <w:tcPr>
            <w:tcW w:w="1327" w:type="dxa"/>
            <w:vAlign w:val="center"/>
          </w:tcPr>
          <w:p w:rsidR="00A94C86" w:rsidRPr="00A94C86" w:rsidRDefault="00A94C86" w:rsidP="00407B6D">
            <w:pPr>
              <w:jc w:val="right"/>
            </w:pPr>
            <w:r w:rsidRPr="00A94C86">
              <w:rPr>
                <w:color w:val="000000"/>
                <w:sz w:val="24"/>
              </w:rPr>
              <w:t>37,647</w:t>
            </w:r>
          </w:p>
        </w:tc>
        <w:tc>
          <w:tcPr>
            <w:tcW w:w="1915" w:type="dxa"/>
            <w:vAlign w:val="center"/>
          </w:tcPr>
          <w:p w:rsidR="00A94C86" w:rsidRPr="00A94C86" w:rsidRDefault="00A94C86" w:rsidP="00407B6D">
            <w:pPr>
              <w:jc w:val="right"/>
            </w:pPr>
            <w:r w:rsidRPr="00A94C86">
              <w:rPr>
                <w:sz w:val="24"/>
              </w:rPr>
              <w:t>1,102,680.63</w:t>
            </w:r>
          </w:p>
        </w:tc>
        <w:tc>
          <w:tcPr>
            <w:tcW w:w="1680" w:type="dxa"/>
            <w:vAlign w:val="center"/>
          </w:tcPr>
          <w:p w:rsidR="00A94C86" w:rsidRPr="00A94C86" w:rsidRDefault="00A94C86" w:rsidP="00407B6D">
            <w:pPr>
              <w:jc w:val="right"/>
            </w:pPr>
            <w:r w:rsidRPr="00A94C86">
              <w:rPr>
                <w:color w:val="000000"/>
                <w:sz w:val="24"/>
              </w:rPr>
              <w:t>0.22</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A94C86" w:rsidRPr="0036023B" w:rsidTr="002942A1">
        <w:trPr>
          <w:jc w:val="center"/>
        </w:trPr>
        <w:tc>
          <w:tcPr>
            <w:tcW w:w="1292" w:type="dxa"/>
            <w:shd w:val="clear" w:color="auto" w:fill="auto"/>
            <w:vAlign w:val="center"/>
          </w:tcPr>
          <w:p w:rsidR="00A94C86" w:rsidRPr="0036023B" w:rsidRDefault="00A94C86" w:rsidP="00A94C86">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A94C86" w:rsidRPr="0036023B" w:rsidRDefault="00A94C86" w:rsidP="00A94C86">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rsidR="00A94C86" w:rsidRPr="0036023B" w:rsidRDefault="00A94C86" w:rsidP="00A94C86">
            <w:pPr>
              <w:spacing w:before="29" w:line="288" w:lineRule="auto"/>
              <w:ind w:left="17"/>
              <w:jc w:val="right"/>
              <w:rPr>
                <w:color w:val="000000"/>
                <w:sz w:val="24"/>
              </w:rPr>
            </w:pPr>
            <w:r w:rsidRPr="0036023B">
              <w:rPr>
                <w:color w:val="000000"/>
                <w:sz w:val="24"/>
              </w:rPr>
              <w:t>1,421,000.00</w:t>
            </w:r>
          </w:p>
        </w:tc>
        <w:tc>
          <w:tcPr>
            <w:tcW w:w="1827" w:type="dxa"/>
            <w:shd w:val="clear" w:color="auto" w:fill="auto"/>
            <w:vAlign w:val="center"/>
          </w:tcPr>
          <w:p w:rsidR="00A94C86" w:rsidRPr="0036023B" w:rsidRDefault="00A94C86" w:rsidP="00A94C86">
            <w:pPr>
              <w:spacing w:before="29" w:line="288" w:lineRule="auto"/>
              <w:ind w:left="17"/>
              <w:jc w:val="right"/>
              <w:rPr>
                <w:color w:val="000000"/>
                <w:sz w:val="24"/>
              </w:rPr>
            </w:pPr>
            <w:r w:rsidRPr="0036023B">
              <w:rPr>
                <w:color w:val="000000"/>
                <w:sz w:val="24"/>
              </w:rPr>
              <w:t>0.29</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1,421,000.00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0.29</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6968A6">
        <w:trPr>
          <w:jc w:val="center"/>
        </w:trPr>
        <w:tc>
          <w:tcPr>
            <w:tcW w:w="1302" w:type="dxa"/>
            <w:vAlign w:val="center"/>
          </w:tcPr>
          <w:p w:rsidR="006968A6" w:rsidRDefault="00A94C86">
            <w:pPr>
              <w:jc w:val="center"/>
            </w:pPr>
            <w:r>
              <w:rPr>
                <w:color w:val="000000"/>
                <w:sz w:val="24"/>
              </w:rPr>
              <w:t>1</w:t>
            </w:r>
          </w:p>
        </w:tc>
        <w:tc>
          <w:tcPr>
            <w:tcW w:w="1362" w:type="dxa"/>
            <w:vAlign w:val="center"/>
          </w:tcPr>
          <w:p w:rsidR="006968A6" w:rsidRDefault="00A94C86">
            <w:pPr>
              <w:jc w:val="center"/>
            </w:pPr>
            <w:r>
              <w:rPr>
                <w:color w:val="000000"/>
                <w:sz w:val="24"/>
              </w:rPr>
              <w:t>113011</w:t>
            </w:r>
          </w:p>
        </w:tc>
        <w:tc>
          <w:tcPr>
            <w:tcW w:w="1333" w:type="dxa"/>
            <w:vAlign w:val="center"/>
          </w:tcPr>
          <w:p w:rsidR="006968A6" w:rsidRDefault="00A94C86">
            <w:pPr>
              <w:jc w:val="center"/>
            </w:pPr>
            <w:r>
              <w:rPr>
                <w:color w:val="000000"/>
                <w:sz w:val="24"/>
              </w:rPr>
              <w:t>光大转债</w:t>
            </w:r>
          </w:p>
        </w:tc>
        <w:tc>
          <w:tcPr>
            <w:tcW w:w="1483" w:type="dxa"/>
            <w:vAlign w:val="center"/>
          </w:tcPr>
          <w:p w:rsidR="006968A6" w:rsidRDefault="00A94C86">
            <w:pPr>
              <w:jc w:val="right"/>
            </w:pPr>
            <w:r>
              <w:rPr>
                <w:color w:val="000000"/>
                <w:sz w:val="24"/>
              </w:rPr>
              <w:t>14,210</w:t>
            </w:r>
          </w:p>
        </w:tc>
        <w:tc>
          <w:tcPr>
            <w:tcW w:w="1712" w:type="dxa"/>
            <w:vAlign w:val="center"/>
          </w:tcPr>
          <w:p w:rsidR="006968A6" w:rsidRDefault="00A94C86">
            <w:pPr>
              <w:jc w:val="right"/>
            </w:pPr>
            <w:r>
              <w:rPr>
                <w:color w:val="000000"/>
                <w:sz w:val="24"/>
              </w:rPr>
              <w:t>1,421,000.00</w:t>
            </w:r>
          </w:p>
        </w:tc>
        <w:tc>
          <w:tcPr>
            <w:tcW w:w="1676" w:type="dxa"/>
            <w:vAlign w:val="center"/>
          </w:tcPr>
          <w:p w:rsidR="006968A6" w:rsidRDefault="00A94C86">
            <w:pPr>
              <w:jc w:val="right"/>
            </w:pPr>
            <w:r>
              <w:rPr>
                <w:color w:val="000000"/>
                <w:sz w:val="24"/>
              </w:rPr>
              <w:t>0.29</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5,360.19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609.39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5,969.58</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A94C86" w:rsidRPr="0036023B" w:rsidRDefault="00A94C86" w:rsidP="00A94C86">
      <w:pPr>
        <w:autoSpaceDE w:val="0"/>
        <w:autoSpaceDN w:val="0"/>
        <w:adjustRightInd w:val="0"/>
        <w:spacing w:before="29" w:line="288" w:lineRule="auto"/>
        <w:jc w:val="left"/>
        <w:rPr>
          <w:color w:val="000000"/>
          <w:sz w:val="24"/>
        </w:rPr>
      </w:pPr>
      <w:r w:rsidRPr="00A94C86">
        <w:rPr>
          <w:color w:val="000000"/>
          <w:sz w:val="24"/>
        </w:rPr>
        <w:t>本基金本报告期末</w:t>
      </w:r>
      <w:r w:rsidRPr="00A94C86">
        <w:rPr>
          <w:sz w:val="24"/>
        </w:rPr>
        <w:t>积极投资前五名股票中</w:t>
      </w:r>
      <w:r w:rsidRPr="00A94C86">
        <w:rPr>
          <w:color w:val="000000"/>
          <w:sz w:val="24"/>
        </w:rPr>
        <w:t>不存在流通受限情况。</w:t>
      </w:r>
    </w:p>
    <w:p w:rsidR="004D1A45" w:rsidRPr="00A94C86"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520,524,362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492,524,362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lastRenderedPageBreak/>
        <w:t>本基金管理人本报告期内未进行本基金的申购、赎回、红利再投等。</w:t>
      </w:r>
    </w:p>
    <w:p w:rsidR="000E1CB6" w:rsidRDefault="000E1CB6" w:rsidP="0099526C">
      <w:pPr>
        <w:autoSpaceDE w:val="0"/>
        <w:autoSpaceDN w:val="0"/>
        <w:adjustRightInd w:val="0"/>
        <w:spacing w:before="29" w:line="288" w:lineRule="auto"/>
        <w:jc w:val="left"/>
        <w:rPr>
          <w:color w:val="000000"/>
          <w:sz w:val="24"/>
        </w:rPr>
      </w:pPr>
    </w:p>
    <w:p w:rsidR="00784C6D" w:rsidRPr="00784C6D" w:rsidRDefault="00784C6D" w:rsidP="00784C6D">
      <w:pPr>
        <w:pStyle w:val="1"/>
        <w:tabs>
          <w:tab w:val="center" w:pos="4156"/>
          <w:tab w:val="right" w:pos="8312"/>
        </w:tabs>
        <w:spacing w:beforeLines="100" w:before="312" w:afterLines="100" w:after="312" w:line="288" w:lineRule="auto"/>
        <w:jc w:val="center"/>
        <w:rPr>
          <w:rFonts w:eastAsiaTheme="minorEastAsia"/>
          <w:color w:val="000000"/>
          <w:kern w:val="0"/>
          <w:sz w:val="24"/>
          <w:szCs w:val="24"/>
        </w:rPr>
      </w:pPr>
      <w:r w:rsidRPr="00784C6D">
        <w:rPr>
          <w:rFonts w:eastAsiaTheme="minorEastAsia"/>
          <w:color w:val="000000"/>
          <w:kern w:val="0"/>
          <w:sz w:val="24"/>
          <w:szCs w:val="24"/>
        </w:rPr>
        <w:t>§8</w:t>
      </w:r>
      <w:r w:rsidRPr="00784C6D">
        <w:rPr>
          <w:rFonts w:eastAsiaTheme="minorEastAsia"/>
          <w:color w:val="000000"/>
          <w:kern w:val="0"/>
          <w:sz w:val="24"/>
          <w:szCs w:val="24"/>
        </w:rPr>
        <w:t>影响投资者决策的其他重要信息</w:t>
      </w:r>
    </w:p>
    <w:p w:rsidR="00784C6D" w:rsidRPr="00784C6D" w:rsidRDefault="00784C6D" w:rsidP="00784C6D">
      <w:pPr>
        <w:autoSpaceDE w:val="0"/>
        <w:autoSpaceDN w:val="0"/>
        <w:adjustRightInd w:val="0"/>
        <w:spacing w:before="29" w:line="288" w:lineRule="auto"/>
        <w:jc w:val="left"/>
        <w:rPr>
          <w:b/>
          <w:sz w:val="24"/>
        </w:rPr>
      </w:pPr>
      <w:r w:rsidRPr="00784C6D">
        <w:rPr>
          <w:b/>
          <w:sz w:val="24"/>
        </w:rPr>
        <w:t>8.</w:t>
      </w:r>
      <w:r w:rsidRPr="00784C6D">
        <w:rPr>
          <w:rFonts w:hint="eastAsia"/>
          <w:b/>
          <w:sz w:val="24"/>
        </w:rPr>
        <w:t xml:space="preserve">1 </w:t>
      </w:r>
      <w:r w:rsidRPr="00784C6D">
        <w:rPr>
          <w:rFonts w:hint="eastAsia"/>
          <w:b/>
          <w:sz w:val="24"/>
        </w:rPr>
        <w:t>报告期内单一投资者持有基金份额比例达到或超过</w:t>
      </w:r>
      <w:r w:rsidRPr="00784C6D">
        <w:rPr>
          <w:rFonts w:hint="eastAsia"/>
          <w:b/>
          <w:sz w:val="24"/>
        </w:rPr>
        <w:t>20%</w:t>
      </w:r>
      <w:r w:rsidRPr="00784C6D">
        <w:rPr>
          <w:rFonts w:hint="eastAsia"/>
          <w:b/>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784C6D" w:rsidRPr="007E75F6" w:rsidTr="00C63C54">
        <w:tc>
          <w:tcPr>
            <w:tcW w:w="851" w:type="dxa"/>
            <w:vMerge w:val="restart"/>
            <w:vAlign w:val="center"/>
          </w:tcPr>
          <w:p w:rsidR="00784C6D" w:rsidRPr="00412CB5" w:rsidRDefault="00784C6D" w:rsidP="00C63C54">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784C6D" w:rsidRPr="00412CB5" w:rsidRDefault="00784C6D" w:rsidP="00C63C54">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784C6D" w:rsidRPr="00412CB5" w:rsidRDefault="00784C6D" w:rsidP="00C63C54">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784C6D" w:rsidRPr="007E75F6" w:rsidTr="00C63C54">
        <w:tc>
          <w:tcPr>
            <w:tcW w:w="851" w:type="dxa"/>
            <w:vMerge/>
            <w:vAlign w:val="center"/>
          </w:tcPr>
          <w:p w:rsidR="00784C6D" w:rsidRPr="00412CB5" w:rsidRDefault="00784C6D" w:rsidP="00C63C54">
            <w:pPr>
              <w:autoSpaceDE w:val="0"/>
              <w:autoSpaceDN w:val="0"/>
              <w:adjustRightInd w:val="0"/>
              <w:jc w:val="center"/>
              <w:rPr>
                <w:rFonts w:ascii="宋体" w:hAnsi="宋体"/>
                <w:color w:val="000000"/>
                <w:sz w:val="22"/>
              </w:rPr>
            </w:pPr>
          </w:p>
        </w:tc>
        <w:tc>
          <w:tcPr>
            <w:tcW w:w="1134" w:type="dxa"/>
            <w:vAlign w:val="center"/>
          </w:tcPr>
          <w:p w:rsidR="00784C6D" w:rsidRPr="00412CB5" w:rsidRDefault="00784C6D" w:rsidP="00C63C54">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784C6D" w:rsidRPr="00412CB5" w:rsidRDefault="00784C6D" w:rsidP="00C63C54">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784C6D" w:rsidRPr="00412CB5" w:rsidRDefault="00784C6D" w:rsidP="00C63C54">
            <w:pPr>
              <w:widowControl/>
              <w:jc w:val="center"/>
              <w:rPr>
                <w:rFonts w:ascii="宋体" w:hAnsi="宋体"/>
                <w:color w:val="000000"/>
                <w:sz w:val="22"/>
              </w:rPr>
            </w:pPr>
            <w:r w:rsidRPr="00412CB5">
              <w:rPr>
                <w:rFonts w:ascii="宋体" w:hAnsi="宋体" w:hint="eastAsia"/>
                <w:color w:val="000000"/>
                <w:sz w:val="22"/>
              </w:rPr>
              <w:t>期初份额</w:t>
            </w:r>
          </w:p>
          <w:p w:rsidR="00784C6D" w:rsidRPr="00412CB5" w:rsidRDefault="00784C6D" w:rsidP="00C63C54">
            <w:pPr>
              <w:autoSpaceDE w:val="0"/>
              <w:autoSpaceDN w:val="0"/>
              <w:adjustRightInd w:val="0"/>
              <w:jc w:val="center"/>
              <w:rPr>
                <w:rFonts w:ascii="宋体" w:hAnsi="宋体"/>
                <w:color w:val="000000"/>
                <w:sz w:val="22"/>
              </w:rPr>
            </w:pPr>
          </w:p>
        </w:tc>
        <w:tc>
          <w:tcPr>
            <w:tcW w:w="850" w:type="dxa"/>
            <w:vAlign w:val="center"/>
          </w:tcPr>
          <w:p w:rsidR="00784C6D" w:rsidRPr="00412CB5" w:rsidRDefault="00784C6D" w:rsidP="00C63C54">
            <w:pPr>
              <w:widowControl/>
              <w:jc w:val="center"/>
              <w:rPr>
                <w:rFonts w:ascii="宋体" w:hAnsi="宋体"/>
                <w:color w:val="000000"/>
                <w:sz w:val="22"/>
              </w:rPr>
            </w:pPr>
            <w:r w:rsidRPr="00412CB5">
              <w:rPr>
                <w:rFonts w:ascii="宋体" w:hAnsi="宋体" w:hint="eastAsia"/>
                <w:color w:val="000000"/>
                <w:sz w:val="22"/>
              </w:rPr>
              <w:t>申购份额</w:t>
            </w:r>
          </w:p>
          <w:p w:rsidR="00784C6D" w:rsidRPr="00412CB5" w:rsidRDefault="00784C6D" w:rsidP="00C63C54">
            <w:pPr>
              <w:autoSpaceDE w:val="0"/>
              <w:autoSpaceDN w:val="0"/>
              <w:adjustRightInd w:val="0"/>
              <w:jc w:val="center"/>
              <w:rPr>
                <w:rFonts w:ascii="宋体" w:hAnsi="宋体"/>
                <w:color w:val="000000"/>
                <w:sz w:val="22"/>
              </w:rPr>
            </w:pPr>
          </w:p>
        </w:tc>
        <w:tc>
          <w:tcPr>
            <w:tcW w:w="992" w:type="dxa"/>
            <w:vAlign w:val="center"/>
          </w:tcPr>
          <w:p w:rsidR="00784C6D" w:rsidRPr="00412CB5" w:rsidRDefault="00784C6D" w:rsidP="00C63C54">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784C6D" w:rsidRPr="00412CB5" w:rsidRDefault="00784C6D" w:rsidP="00C63C54">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784C6D" w:rsidRPr="00412CB5" w:rsidRDefault="00784C6D" w:rsidP="00C63C54">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784C6D" w:rsidTr="00C63C54">
        <w:tc>
          <w:tcPr>
            <w:tcW w:w="851" w:type="dxa"/>
          </w:tcPr>
          <w:p w:rsidR="00784C6D" w:rsidRDefault="00784C6D" w:rsidP="00C63C54"/>
          <w:p w:rsidR="00784C6D" w:rsidRDefault="00784C6D" w:rsidP="00C63C54">
            <w:r>
              <w:rPr>
                <w:rFonts w:hint="eastAsia"/>
                <w:sz w:val="24"/>
              </w:rPr>
              <w:t>交银施罗德上证</w:t>
            </w:r>
            <w:r>
              <w:rPr>
                <w:rFonts w:hint="eastAsia"/>
                <w:sz w:val="24"/>
              </w:rPr>
              <w:t>180</w:t>
            </w:r>
            <w:r>
              <w:rPr>
                <w:rFonts w:hint="eastAsia"/>
                <w:sz w:val="24"/>
              </w:rPr>
              <w:t>公司治理交易型开放式指数证券投资基金联接基金</w:t>
            </w:r>
          </w:p>
        </w:tc>
        <w:tc>
          <w:tcPr>
            <w:tcW w:w="1134" w:type="dxa"/>
            <w:vAlign w:val="center"/>
          </w:tcPr>
          <w:p w:rsidR="00784C6D" w:rsidRDefault="00784C6D" w:rsidP="00C63C54">
            <w:pPr>
              <w:jc w:val="center"/>
            </w:pPr>
            <w:r>
              <w:rPr>
                <w:rFonts w:eastAsiaTheme="minorEastAsia"/>
                <w:bCs/>
                <w:color w:val="000000" w:themeColor="text1"/>
                <w:sz w:val="24"/>
              </w:rPr>
              <w:t>1</w:t>
            </w:r>
          </w:p>
        </w:tc>
        <w:tc>
          <w:tcPr>
            <w:tcW w:w="1843" w:type="dxa"/>
            <w:vAlign w:val="center"/>
          </w:tcPr>
          <w:p w:rsidR="00784C6D" w:rsidRDefault="00784C6D" w:rsidP="00C63C54">
            <w:pPr>
              <w:jc w:val="center"/>
            </w:pPr>
            <w:r>
              <w:rPr>
                <w:rFonts w:eastAsiaTheme="minorEastAsia"/>
                <w:bCs/>
                <w:color w:val="000000" w:themeColor="text1"/>
                <w:sz w:val="24"/>
              </w:rPr>
              <w:t>2017/1/1-2017/3/31</w:t>
            </w:r>
          </w:p>
        </w:tc>
        <w:tc>
          <w:tcPr>
            <w:tcW w:w="851" w:type="dxa"/>
            <w:vAlign w:val="center"/>
          </w:tcPr>
          <w:p w:rsidR="00784C6D" w:rsidRDefault="00784C6D" w:rsidP="00C63C54">
            <w:pPr>
              <w:jc w:val="center"/>
            </w:pPr>
            <w:r>
              <w:rPr>
                <w:rFonts w:eastAsiaTheme="minorEastAsia"/>
                <w:bCs/>
                <w:color w:val="000000" w:themeColor="text1"/>
                <w:sz w:val="24"/>
              </w:rPr>
              <w:t>479,424,699.00</w:t>
            </w:r>
          </w:p>
        </w:tc>
        <w:tc>
          <w:tcPr>
            <w:tcW w:w="850" w:type="dxa"/>
            <w:vAlign w:val="center"/>
          </w:tcPr>
          <w:p w:rsidR="00784C6D" w:rsidRDefault="00784C6D" w:rsidP="00C63C54">
            <w:pPr>
              <w:jc w:val="center"/>
            </w:pPr>
            <w:r>
              <w:rPr>
                <w:rFonts w:eastAsiaTheme="minorEastAsia"/>
                <w:bCs/>
                <w:color w:val="000000" w:themeColor="text1"/>
                <w:sz w:val="24"/>
              </w:rPr>
              <w:t>-</w:t>
            </w:r>
          </w:p>
        </w:tc>
        <w:tc>
          <w:tcPr>
            <w:tcW w:w="992" w:type="dxa"/>
            <w:vAlign w:val="center"/>
          </w:tcPr>
          <w:p w:rsidR="00784C6D" w:rsidRDefault="00784C6D" w:rsidP="00C63C54">
            <w:pPr>
              <w:jc w:val="center"/>
            </w:pPr>
            <w:r>
              <w:rPr>
                <w:rFonts w:eastAsiaTheme="minorEastAsia"/>
                <w:bCs/>
                <w:color w:val="000000" w:themeColor="text1"/>
                <w:sz w:val="24"/>
              </w:rPr>
              <w:t>21,000,000.00</w:t>
            </w:r>
          </w:p>
        </w:tc>
        <w:tc>
          <w:tcPr>
            <w:tcW w:w="1418" w:type="dxa"/>
            <w:vAlign w:val="center"/>
          </w:tcPr>
          <w:p w:rsidR="00784C6D" w:rsidRDefault="00784C6D" w:rsidP="00C63C54">
            <w:pPr>
              <w:jc w:val="center"/>
            </w:pPr>
            <w:r>
              <w:rPr>
                <w:rFonts w:eastAsiaTheme="minorEastAsia"/>
                <w:bCs/>
                <w:color w:val="000000" w:themeColor="text1"/>
                <w:sz w:val="24"/>
              </w:rPr>
              <w:t>458,424,699.00</w:t>
            </w:r>
          </w:p>
        </w:tc>
        <w:tc>
          <w:tcPr>
            <w:tcW w:w="1273" w:type="dxa"/>
            <w:vAlign w:val="center"/>
          </w:tcPr>
          <w:p w:rsidR="00784C6D" w:rsidRDefault="00784C6D" w:rsidP="00C63C54">
            <w:pPr>
              <w:jc w:val="center"/>
            </w:pPr>
            <w:r>
              <w:rPr>
                <w:rFonts w:eastAsiaTheme="minorEastAsia"/>
                <w:bCs/>
                <w:color w:val="000000" w:themeColor="text1"/>
                <w:sz w:val="24"/>
              </w:rPr>
              <w:t>93.08%</w:t>
            </w:r>
          </w:p>
        </w:tc>
      </w:tr>
      <w:tr w:rsidR="00784C6D" w:rsidRPr="0077692E" w:rsidTr="00C63C54">
        <w:tc>
          <w:tcPr>
            <w:tcW w:w="9212" w:type="dxa"/>
            <w:gridSpan w:val="8"/>
            <w:vAlign w:val="center"/>
          </w:tcPr>
          <w:p w:rsidR="00784C6D" w:rsidRPr="0077692E" w:rsidRDefault="00784C6D" w:rsidP="00C63C54">
            <w:pPr>
              <w:autoSpaceDE w:val="0"/>
              <w:autoSpaceDN w:val="0"/>
              <w:adjustRightInd w:val="0"/>
              <w:ind w:firstLine="1126"/>
              <w:jc w:val="center"/>
              <w:rPr>
                <w:sz w:val="22"/>
              </w:rPr>
            </w:pPr>
            <w:r w:rsidRPr="0077692E">
              <w:rPr>
                <w:color w:val="000000"/>
                <w:sz w:val="22"/>
              </w:rPr>
              <w:t>产品特有风险</w:t>
            </w:r>
          </w:p>
        </w:tc>
      </w:tr>
      <w:tr w:rsidR="00784C6D" w:rsidRPr="00EF20F9" w:rsidTr="00C63C54">
        <w:tc>
          <w:tcPr>
            <w:tcW w:w="9212" w:type="dxa"/>
            <w:gridSpan w:val="8"/>
            <w:vAlign w:val="center"/>
          </w:tcPr>
          <w:p w:rsidR="00784C6D" w:rsidRPr="00DA688D" w:rsidRDefault="00DA688D" w:rsidP="00B958A7">
            <w:pPr>
              <w:rPr>
                <w:sz w:val="22"/>
              </w:rPr>
            </w:pPr>
            <w:r>
              <w:rPr>
                <w:rFonts w:ascii="宋体" w:hAnsi="宋体" w:hint="eastAsia"/>
                <w:sz w:val="22"/>
                <w:szCs w:val="22"/>
              </w:rPr>
              <w:t>本基金是交银施罗德上证</w:t>
            </w:r>
            <w:r>
              <w:rPr>
                <w:sz w:val="22"/>
                <w:szCs w:val="22"/>
              </w:rPr>
              <w:t>180</w:t>
            </w:r>
            <w:r>
              <w:rPr>
                <w:rFonts w:ascii="宋体" w:hAnsi="宋体" w:hint="eastAsia"/>
                <w:sz w:val="22"/>
                <w:szCs w:val="22"/>
              </w:rPr>
              <w:t>公司治理交易型开放式指数证券投资基金联接基金的目标</w:t>
            </w:r>
            <w:r>
              <w:rPr>
                <w:sz w:val="22"/>
                <w:szCs w:val="22"/>
              </w:rPr>
              <w:t>ETF</w:t>
            </w:r>
            <w:r>
              <w:rPr>
                <w:rFonts w:ascii="宋体" w:hAnsi="宋体" w:hint="eastAsia"/>
                <w:sz w:val="22"/>
                <w:szCs w:val="22"/>
              </w:rPr>
              <w:t>。交银施罗德上证</w:t>
            </w:r>
            <w:r>
              <w:rPr>
                <w:sz w:val="22"/>
                <w:szCs w:val="22"/>
              </w:rPr>
              <w:t>180</w:t>
            </w:r>
            <w:r>
              <w:rPr>
                <w:rFonts w:ascii="宋体" w:hAnsi="宋体" w:hint="eastAsia"/>
                <w:sz w:val="22"/>
                <w:szCs w:val="22"/>
              </w:rPr>
              <w:t>公司治理交易型开放式指数证券投资基金联接基金遵循指数化投资理念，以目标</w:t>
            </w:r>
            <w:r>
              <w:rPr>
                <w:sz w:val="22"/>
                <w:szCs w:val="22"/>
              </w:rPr>
              <w:t>ETF</w:t>
            </w:r>
            <w:r>
              <w:rPr>
                <w:rFonts w:ascii="宋体" w:hAnsi="宋体" w:hint="eastAsia"/>
                <w:sz w:val="22"/>
                <w:szCs w:val="22"/>
              </w:rPr>
              <w:t>为主要投资对象，正常情况下投资于目标</w:t>
            </w:r>
            <w:r>
              <w:rPr>
                <w:sz w:val="22"/>
                <w:szCs w:val="22"/>
              </w:rPr>
              <w:t>ETF</w:t>
            </w:r>
            <w:r>
              <w:rPr>
                <w:rFonts w:ascii="宋体" w:hAnsi="宋体" w:hint="eastAsia"/>
                <w:sz w:val="22"/>
                <w:szCs w:val="22"/>
              </w:rPr>
              <w:t>的资产比例不低于基金资产净值的</w:t>
            </w:r>
            <w:r>
              <w:rPr>
                <w:sz w:val="22"/>
                <w:szCs w:val="22"/>
              </w:rPr>
              <w:t>90%</w:t>
            </w:r>
            <w:r>
              <w:rPr>
                <w:rFonts w:ascii="宋体" w:hAnsi="宋体" w:hint="eastAsia"/>
                <w:sz w:val="22"/>
                <w:szCs w:val="22"/>
              </w:rPr>
              <w:t>。本基金本报告期内除上述联接基金外未出现单一投资者持有基金份额比例超过基金总份额</w:t>
            </w:r>
            <w:r>
              <w:rPr>
                <w:sz w:val="22"/>
                <w:szCs w:val="22"/>
              </w:rPr>
              <w:t>20%</w:t>
            </w:r>
            <w:r>
              <w:rPr>
                <w:rFonts w:ascii="宋体" w:hAnsi="宋体" w:hint="eastAsia"/>
                <w:sz w:val="22"/>
                <w:szCs w:val="22"/>
              </w:rPr>
              <w:t>的情况。</w:t>
            </w:r>
          </w:p>
        </w:tc>
      </w:tr>
    </w:tbl>
    <w:p w:rsidR="00784C6D" w:rsidRPr="00784C6D" w:rsidRDefault="00784C6D"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784C6D">
        <w:rPr>
          <w:rFonts w:hint="eastAsia"/>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784C6D"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6968A6" w:rsidRDefault="00A94C86">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6968A6" w:rsidRDefault="00A94C86">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6968A6" w:rsidRDefault="00A94C86">
      <w:pPr>
        <w:spacing w:before="29" w:line="288" w:lineRule="auto"/>
        <w:ind w:firstLineChars="200" w:firstLine="480"/>
        <w:rPr>
          <w:color w:val="000000"/>
          <w:sz w:val="24"/>
        </w:rPr>
      </w:pPr>
      <w:r>
        <w:rPr>
          <w:color w:val="000000"/>
          <w:sz w:val="24"/>
        </w:rPr>
        <w:lastRenderedPageBreak/>
        <w:t>3</w:t>
      </w:r>
      <w:r>
        <w:rPr>
          <w:color w:val="000000"/>
          <w:sz w:val="24"/>
        </w:rPr>
        <w:t>、《上证</w:t>
      </w:r>
      <w:r>
        <w:rPr>
          <w:color w:val="000000"/>
          <w:sz w:val="24"/>
        </w:rPr>
        <w:t>180</w:t>
      </w:r>
      <w:r>
        <w:rPr>
          <w:color w:val="000000"/>
          <w:sz w:val="24"/>
        </w:rPr>
        <w:t>公司治理交易型开放式指数证券投资基金招募说明书》；</w:t>
      </w:r>
    </w:p>
    <w:p w:rsidR="006968A6" w:rsidRDefault="00A94C86">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6968A6" w:rsidRDefault="00A94C86">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6968A6" w:rsidRDefault="00A94C8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968A6" w:rsidRDefault="00A94C8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784C6D"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784C6D" w:rsidP="0099526C">
      <w:pPr>
        <w:spacing w:before="29" w:line="288" w:lineRule="auto"/>
        <w:rPr>
          <w:b/>
          <w:color w:val="000000"/>
          <w:sz w:val="24"/>
        </w:rPr>
      </w:pPr>
      <w:r>
        <w:rPr>
          <w:rFonts w:hint="eastAsia"/>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6968A6" w:rsidRDefault="00A94C8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8C" w:rsidRDefault="004D0B8C">
      <w:r>
        <w:separator/>
      </w:r>
    </w:p>
  </w:endnote>
  <w:endnote w:type="continuationSeparator" w:id="0">
    <w:p w:rsidR="004D0B8C" w:rsidRDefault="004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B958A7">
      <w:rPr>
        <w:noProof/>
        <w:kern w:val="0"/>
        <w:szCs w:val="21"/>
      </w:rPr>
      <w:t>4</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B958A7">
      <w:rPr>
        <w:noProof/>
        <w:kern w:val="0"/>
        <w:szCs w:val="21"/>
      </w:rPr>
      <w:t>14</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8C" w:rsidRDefault="004D0B8C">
      <w:r>
        <w:separator/>
      </w:r>
    </w:p>
  </w:footnote>
  <w:footnote w:type="continuationSeparator" w:id="0">
    <w:p w:rsidR="004D0B8C" w:rsidRDefault="004D0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57940"/>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2F34"/>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0B8C"/>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968A6"/>
    <w:rsid w:val="006A6BE5"/>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4C6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1306"/>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24C9"/>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94C86"/>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958A7"/>
    <w:rsid w:val="00BA18F2"/>
    <w:rsid w:val="00BA22A8"/>
    <w:rsid w:val="00BA285B"/>
    <w:rsid w:val="00BA3E48"/>
    <w:rsid w:val="00BA4BD3"/>
    <w:rsid w:val="00BA5E72"/>
    <w:rsid w:val="00BA5E98"/>
    <w:rsid w:val="00BA7473"/>
    <w:rsid w:val="00BB0187"/>
    <w:rsid w:val="00BB1EB3"/>
    <w:rsid w:val="00BB22CA"/>
    <w:rsid w:val="00BB2678"/>
    <w:rsid w:val="00BB3B7B"/>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688D"/>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4571D"/>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843588398">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1160</Words>
  <Characters>6617</Characters>
  <Application>Microsoft Office Word</Application>
  <DocSecurity>0</DocSecurity>
  <Lines>55</Lines>
  <Paragraphs>15</Paragraphs>
  <ScaleCrop>false</ScaleCrop>
  <Company>TRT. Ltd. Co.</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390</cp:revision>
  <cp:lastPrinted>2007-07-19T00:46:00Z</cp:lastPrinted>
  <dcterms:created xsi:type="dcterms:W3CDTF">2012-11-21T04:46:00Z</dcterms:created>
  <dcterms:modified xsi:type="dcterms:W3CDTF">2017-04-20T05:38:00Z</dcterms:modified>
</cp:coreProperties>
</file>