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CB35A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A7C56" w:rsidRDefault="004672C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B35A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2,910,666,963.15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B35A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672C0" w:rsidRPr="00414345" w:rsidTr="004672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672C0" w:rsidRPr="00414345" w:rsidTr="004672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48,837,421.12</w:t>
            </w:r>
          </w:p>
        </w:tc>
      </w:tr>
      <w:tr w:rsidR="004672C0" w:rsidRPr="00414345" w:rsidTr="004672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145,083,259.77</w:t>
            </w:r>
          </w:p>
        </w:tc>
      </w:tr>
      <w:tr w:rsidR="004672C0" w:rsidRPr="00414345" w:rsidTr="004672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B35A9">
            <w:pPr>
              <w:adjustRightInd w:val="0"/>
              <w:spacing w:before="29" w:line="288" w:lineRule="auto"/>
              <w:ind w:left="17"/>
              <w:jc w:val="right"/>
              <w:rPr>
                <w:color w:val="000000"/>
                <w:sz w:val="24"/>
                <w:szCs w:val="24"/>
              </w:rPr>
            </w:pPr>
            <w:r w:rsidRPr="00414345">
              <w:rPr>
                <w:color w:val="000000"/>
                <w:sz w:val="24"/>
                <w:szCs w:val="24"/>
              </w:rPr>
              <w:t>0.04</w:t>
            </w:r>
            <w:r w:rsidR="00CB35A9">
              <w:rPr>
                <w:rFonts w:hint="eastAsia"/>
                <w:color w:val="000000"/>
                <w:sz w:val="24"/>
                <w:szCs w:val="24"/>
              </w:rPr>
              <w:t>88</w:t>
            </w:r>
          </w:p>
        </w:tc>
      </w:tr>
      <w:tr w:rsidR="004672C0" w:rsidRPr="00414345" w:rsidTr="004672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2,550,389,973.42</w:t>
            </w:r>
          </w:p>
        </w:tc>
      </w:tr>
      <w:tr w:rsidR="004672C0" w:rsidRPr="00414345" w:rsidTr="004672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0.8762</w:t>
            </w:r>
          </w:p>
        </w:tc>
      </w:tr>
    </w:tbl>
    <w:p w:rsidR="00BA7C56" w:rsidRDefault="004672C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A7C56">
        <w:trPr>
          <w:jc w:val="center"/>
        </w:trPr>
        <w:tc>
          <w:tcPr>
            <w:tcW w:w="1701" w:type="dxa"/>
            <w:vAlign w:val="center"/>
          </w:tcPr>
          <w:p w:rsidR="00BA7C56" w:rsidRDefault="004672C0">
            <w:pPr>
              <w:jc w:val="left"/>
            </w:pPr>
            <w:r>
              <w:rPr>
                <w:color w:val="000000"/>
                <w:sz w:val="24"/>
                <w:szCs w:val="24"/>
              </w:rPr>
              <w:t>过去三个月</w:t>
            </w:r>
          </w:p>
        </w:tc>
        <w:tc>
          <w:tcPr>
            <w:tcW w:w="1045" w:type="dxa"/>
            <w:vAlign w:val="center"/>
          </w:tcPr>
          <w:p w:rsidR="00BA7C56" w:rsidRDefault="004672C0">
            <w:pPr>
              <w:jc w:val="center"/>
            </w:pPr>
            <w:r>
              <w:rPr>
                <w:color w:val="000000"/>
                <w:sz w:val="24"/>
                <w:szCs w:val="24"/>
              </w:rPr>
              <w:t>5.87%</w:t>
            </w:r>
          </w:p>
        </w:tc>
        <w:tc>
          <w:tcPr>
            <w:tcW w:w="1344" w:type="dxa"/>
            <w:vAlign w:val="center"/>
          </w:tcPr>
          <w:p w:rsidR="00BA7C56" w:rsidRDefault="004672C0">
            <w:pPr>
              <w:jc w:val="center"/>
            </w:pPr>
            <w:r>
              <w:rPr>
                <w:color w:val="000000"/>
                <w:sz w:val="24"/>
                <w:szCs w:val="24"/>
              </w:rPr>
              <w:t>0.65%</w:t>
            </w:r>
          </w:p>
        </w:tc>
        <w:tc>
          <w:tcPr>
            <w:tcW w:w="1194" w:type="dxa"/>
            <w:vAlign w:val="center"/>
          </w:tcPr>
          <w:p w:rsidR="00BA7C56" w:rsidRDefault="004672C0">
            <w:pPr>
              <w:jc w:val="center"/>
            </w:pPr>
            <w:r>
              <w:rPr>
                <w:color w:val="000000"/>
                <w:sz w:val="24"/>
                <w:szCs w:val="24"/>
              </w:rPr>
              <w:t>3.63%</w:t>
            </w:r>
          </w:p>
        </w:tc>
        <w:tc>
          <w:tcPr>
            <w:tcW w:w="1492" w:type="dxa"/>
            <w:vAlign w:val="center"/>
          </w:tcPr>
          <w:p w:rsidR="00BA7C56" w:rsidRDefault="004672C0">
            <w:pPr>
              <w:jc w:val="center"/>
            </w:pPr>
            <w:r>
              <w:rPr>
                <w:color w:val="000000"/>
                <w:sz w:val="24"/>
                <w:szCs w:val="24"/>
              </w:rPr>
              <w:t>0.38%</w:t>
            </w:r>
          </w:p>
        </w:tc>
        <w:tc>
          <w:tcPr>
            <w:tcW w:w="1194" w:type="dxa"/>
            <w:vAlign w:val="center"/>
          </w:tcPr>
          <w:p w:rsidR="00BA7C56" w:rsidRDefault="004672C0">
            <w:pPr>
              <w:jc w:val="center"/>
            </w:pPr>
            <w:r>
              <w:rPr>
                <w:color w:val="000000"/>
                <w:sz w:val="24"/>
                <w:szCs w:val="24"/>
              </w:rPr>
              <w:t>2.24%</w:t>
            </w:r>
          </w:p>
        </w:tc>
        <w:tc>
          <w:tcPr>
            <w:tcW w:w="898" w:type="dxa"/>
            <w:vAlign w:val="center"/>
          </w:tcPr>
          <w:p w:rsidR="00BA7C56" w:rsidRDefault="004672C0">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B35A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A7C56">
        <w:trPr>
          <w:jc w:val="center"/>
        </w:trPr>
        <w:tc>
          <w:tcPr>
            <w:tcW w:w="846" w:type="dxa"/>
            <w:vAlign w:val="center"/>
          </w:tcPr>
          <w:p w:rsidR="00BA7C56" w:rsidRDefault="004672C0">
            <w:pPr>
              <w:jc w:val="center"/>
            </w:pPr>
            <w:r>
              <w:rPr>
                <w:color w:val="000000"/>
                <w:sz w:val="24"/>
                <w:szCs w:val="24"/>
              </w:rPr>
              <w:t>陈孜铎</w:t>
            </w:r>
          </w:p>
        </w:tc>
        <w:tc>
          <w:tcPr>
            <w:tcW w:w="845" w:type="dxa"/>
            <w:vAlign w:val="center"/>
          </w:tcPr>
          <w:p w:rsidR="00BA7C56" w:rsidRDefault="004672C0">
            <w:pPr>
              <w:jc w:val="center"/>
            </w:pPr>
            <w:r>
              <w:rPr>
                <w:color w:val="000000"/>
                <w:sz w:val="24"/>
                <w:szCs w:val="24"/>
              </w:rPr>
              <w:t>交银蓝筹混合的基金经理，公司研究部助理</w:t>
            </w:r>
            <w:r>
              <w:rPr>
                <w:color w:val="000000"/>
                <w:sz w:val="24"/>
                <w:szCs w:val="24"/>
              </w:rPr>
              <w:lastRenderedPageBreak/>
              <w:t>总经理</w:t>
            </w:r>
          </w:p>
        </w:tc>
        <w:tc>
          <w:tcPr>
            <w:tcW w:w="1549" w:type="dxa"/>
            <w:vAlign w:val="center"/>
          </w:tcPr>
          <w:p w:rsidR="00BA7C56" w:rsidRDefault="004672C0">
            <w:pPr>
              <w:jc w:val="center"/>
            </w:pPr>
            <w:r>
              <w:rPr>
                <w:color w:val="000000"/>
                <w:sz w:val="24"/>
                <w:szCs w:val="24"/>
              </w:rPr>
              <w:lastRenderedPageBreak/>
              <w:t>2014-10-22</w:t>
            </w:r>
          </w:p>
        </w:tc>
        <w:tc>
          <w:tcPr>
            <w:tcW w:w="1548" w:type="dxa"/>
            <w:vAlign w:val="center"/>
          </w:tcPr>
          <w:p w:rsidR="00BA7C56" w:rsidRDefault="004672C0">
            <w:pPr>
              <w:jc w:val="center"/>
            </w:pPr>
            <w:r>
              <w:rPr>
                <w:color w:val="000000"/>
                <w:sz w:val="24"/>
                <w:szCs w:val="24"/>
              </w:rPr>
              <w:t>-</w:t>
            </w:r>
          </w:p>
        </w:tc>
        <w:tc>
          <w:tcPr>
            <w:tcW w:w="1407" w:type="dxa"/>
            <w:vAlign w:val="center"/>
          </w:tcPr>
          <w:p w:rsidR="00BA7C56" w:rsidRDefault="004672C0">
            <w:pPr>
              <w:jc w:val="center"/>
            </w:pPr>
            <w:r>
              <w:rPr>
                <w:color w:val="000000"/>
                <w:sz w:val="24"/>
                <w:szCs w:val="24"/>
              </w:rPr>
              <w:t>9</w:t>
            </w:r>
            <w:r>
              <w:rPr>
                <w:color w:val="000000"/>
                <w:sz w:val="24"/>
                <w:szCs w:val="24"/>
              </w:rPr>
              <w:t>年</w:t>
            </w:r>
          </w:p>
        </w:tc>
        <w:tc>
          <w:tcPr>
            <w:tcW w:w="2673" w:type="dxa"/>
            <w:vAlign w:val="center"/>
          </w:tcPr>
          <w:p w:rsidR="00BA7C56" w:rsidRDefault="004672C0">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A7C56" w:rsidRDefault="004672C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A7C56" w:rsidRDefault="004672C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A7C56" w:rsidRDefault="004672C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A7C56" w:rsidRDefault="004672C0">
      <w:pPr>
        <w:spacing w:before="29" w:line="288" w:lineRule="auto"/>
        <w:ind w:firstLineChars="200" w:firstLine="480"/>
        <w:rPr>
          <w:color w:val="000000"/>
          <w:sz w:val="24"/>
          <w:szCs w:val="24"/>
        </w:rPr>
      </w:pPr>
      <w:r>
        <w:rPr>
          <w:color w:val="000000"/>
          <w:sz w:val="24"/>
          <w:szCs w:val="24"/>
        </w:rPr>
        <w:t>2017</w:t>
      </w:r>
      <w:r>
        <w:rPr>
          <w:color w:val="000000"/>
          <w:sz w:val="24"/>
          <w:szCs w:val="24"/>
        </w:rPr>
        <w:t>年一季度整个</w:t>
      </w:r>
      <w:r>
        <w:rPr>
          <w:color w:val="000000"/>
          <w:sz w:val="24"/>
          <w:szCs w:val="24"/>
        </w:rPr>
        <w:t>A</w:t>
      </w:r>
      <w:r>
        <w:rPr>
          <w:color w:val="000000"/>
          <w:sz w:val="24"/>
          <w:szCs w:val="24"/>
        </w:rPr>
        <w:t>股市场先跌后涨，</w:t>
      </w:r>
      <w:r>
        <w:rPr>
          <w:color w:val="000000"/>
          <w:sz w:val="24"/>
          <w:szCs w:val="24"/>
        </w:rPr>
        <w:t>1</w:t>
      </w:r>
      <w:r>
        <w:rPr>
          <w:color w:val="000000"/>
          <w:sz w:val="24"/>
          <w:szCs w:val="24"/>
        </w:rPr>
        <w:t>月份延续</w:t>
      </w:r>
      <w:r>
        <w:rPr>
          <w:color w:val="000000"/>
          <w:sz w:val="24"/>
          <w:szCs w:val="24"/>
        </w:rPr>
        <w:t>2016</w:t>
      </w:r>
      <w:r>
        <w:rPr>
          <w:color w:val="000000"/>
          <w:sz w:val="24"/>
          <w:szCs w:val="24"/>
        </w:rPr>
        <w:t>年四季度的调整，在风险进一步释放后探底回升，整个一季度指数取得小幅正收益。</w:t>
      </w:r>
      <w:r>
        <w:rPr>
          <w:color w:val="000000"/>
          <w:sz w:val="24"/>
          <w:szCs w:val="24"/>
        </w:rPr>
        <w:t>2016</w:t>
      </w:r>
      <w:r>
        <w:rPr>
          <w:color w:val="000000"/>
          <w:sz w:val="24"/>
          <w:szCs w:val="24"/>
        </w:rPr>
        <w:t>年四季度季中国内国</w:t>
      </w:r>
      <w:r>
        <w:rPr>
          <w:color w:val="000000"/>
          <w:sz w:val="24"/>
          <w:szCs w:val="24"/>
        </w:rPr>
        <w:lastRenderedPageBreak/>
        <w:t>际的宏观预期均有较大调整，市场对美国经济复苏、通胀上升和货币政策趋紧形成一致预期，国内中央经济工作会议定调</w:t>
      </w:r>
      <w:r>
        <w:rPr>
          <w:color w:val="000000"/>
          <w:sz w:val="24"/>
          <w:szCs w:val="24"/>
        </w:rPr>
        <w:t>“</w:t>
      </w:r>
      <w:r>
        <w:rPr>
          <w:color w:val="000000"/>
          <w:sz w:val="24"/>
          <w:szCs w:val="24"/>
        </w:rPr>
        <w:t>稳健中性</w:t>
      </w:r>
      <w:r>
        <w:rPr>
          <w:color w:val="000000"/>
          <w:sz w:val="24"/>
          <w:szCs w:val="24"/>
        </w:rPr>
        <w:t>”</w:t>
      </w:r>
      <w:r>
        <w:rPr>
          <w:color w:val="000000"/>
          <w:sz w:val="24"/>
          <w:szCs w:val="24"/>
        </w:rPr>
        <w:t>，将</w:t>
      </w:r>
      <w:r>
        <w:rPr>
          <w:color w:val="000000"/>
          <w:sz w:val="24"/>
          <w:szCs w:val="24"/>
        </w:rPr>
        <w:t>“</w:t>
      </w:r>
      <w:r>
        <w:rPr>
          <w:color w:val="000000"/>
          <w:sz w:val="24"/>
          <w:szCs w:val="24"/>
        </w:rPr>
        <w:t>三去一降一补</w:t>
      </w:r>
      <w:r>
        <w:rPr>
          <w:color w:val="000000"/>
          <w:sz w:val="24"/>
          <w:szCs w:val="24"/>
        </w:rPr>
        <w:t>”</w:t>
      </w:r>
      <w:r>
        <w:rPr>
          <w:color w:val="000000"/>
          <w:sz w:val="24"/>
          <w:szCs w:val="24"/>
        </w:rPr>
        <w:t>继续作为经济政策主要方向，在强调防风险的大政策导向下，整个大类资产环境中的流动性趋紧，房地产市场继续调控。在</w:t>
      </w:r>
      <w:r>
        <w:rPr>
          <w:color w:val="000000"/>
          <w:sz w:val="24"/>
          <w:szCs w:val="24"/>
        </w:rPr>
        <w:t>2017</w:t>
      </w:r>
      <w:r>
        <w:rPr>
          <w:color w:val="000000"/>
          <w:sz w:val="24"/>
          <w:szCs w:val="24"/>
        </w:rPr>
        <w:t>年一季度整体国内经济继续保持稳定，供给侧改革、库存调整、环保对供给干扰等一系列因素推动</w:t>
      </w:r>
      <w:r>
        <w:rPr>
          <w:color w:val="000000"/>
          <w:sz w:val="24"/>
          <w:szCs w:val="24"/>
        </w:rPr>
        <w:t>PPI</w:t>
      </w:r>
      <w:r>
        <w:rPr>
          <w:color w:val="000000"/>
          <w:sz w:val="24"/>
          <w:szCs w:val="24"/>
        </w:rPr>
        <w:t>继续小幅上行，央行继续实行稳健中性的货币政策，主导金融去杠杆，各大类资产的流动性环境持续保持较紧状态。在</w:t>
      </w:r>
      <w:r>
        <w:rPr>
          <w:color w:val="000000"/>
          <w:sz w:val="24"/>
          <w:szCs w:val="24"/>
        </w:rPr>
        <w:t>A</w:t>
      </w:r>
      <w:r>
        <w:rPr>
          <w:color w:val="000000"/>
          <w:sz w:val="24"/>
          <w:szCs w:val="24"/>
        </w:rPr>
        <w:t>股市场见底回暖后，投资者依然表现出一定的避险情绪，体现在低估值的价值股、周期股以及增长预期稳定估值合理的消费股整体表现较好。进入</w:t>
      </w:r>
      <w:r>
        <w:rPr>
          <w:color w:val="000000"/>
          <w:sz w:val="24"/>
          <w:szCs w:val="24"/>
        </w:rPr>
        <w:t>3</w:t>
      </w:r>
      <w:r>
        <w:rPr>
          <w:color w:val="000000"/>
          <w:sz w:val="24"/>
          <w:szCs w:val="24"/>
        </w:rPr>
        <w:t>月市场风险偏好有所提升，但整体对公司的业绩增长和估值匹配度仍要求较高，高估值增速有限的行业与个股表现较差。整体市场成交有所萎缩，体现一定存量博弈市场的特征。</w:t>
      </w:r>
    </w:p>
    <w:p w:rsidR="00BA7C56" w:rsidRDefault="004672C0">
      <w:pPr>
        <w:spacing w:before="29" w:line="288" w:lineRule="auto"/>
        <w:ind w:firstLineChars="200" w:firstLine="480"/>
        <w:rPr>
          <w:color w:val="000000"/>
          <w:sz w:val="24"/>
          <w:szCs w:val="24"/>
        </w:rPr>
      </w:pPr>
      <w:r>
        <w:rPr>
          <w:color w:val="000000"/>
          <w:sz w:val="24"/>
          <w:szCs w:val="24"/>
        </w:rPr>
        <w:t>在上述市场环境中，本基金在一季度整体控制组合风险偏好，一方面以适当的仓位调整回避风险，另一方积极参与了价值股价值修复、周期股业绩改善以及估值增速匹配的优质成长股的股价修复机会，以绝对收益为主要目标，取得一定效果，但就消费股基本面和估值扩张方面的机会，参与较少。</w:t>
      </w:r>
      <w:r>
        <w:rPr>
          <w:color w:val="000000"/>
          <w:sz w:val="24"/>
          <w:szCs w:val="24"/>
        </w:rPr>
        <w:t>2017</w:t>
      </w:r>
      <w:r>
        <w:rPr>
          <w:color w:val="000000"/>
          <w:sz w:val="24"/>
          <w:szCs w:val="24"/>
        </w:rPr>
        <w:t>年以来基金业绩跑赢业绩比较基准。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二季度，市场已经对国内国际的流动性环境形成一致预期，偏紧的流动性环境目前仍看不到改善的迹象。经济在去年企稳回升后进入库存周期的后半段，房地产政策、货币增速、耐用消费品增长情况等先行指标已有回落迹象。对于回落的趋势市场分歧不大，但在回落的速度和幅度上仍有一定分歧。从中观和微观上看，新的产业方向不多，现有的新兴行业的变化仍不足以支撑巨大的国民经济体量，同时短期的增长不足以消化偏高的估值。随着二季度中美元首会晤后，预计全球贸易政策格局会逐步走向清晰。同时政府力推的</w:t>
      </w:r>
      <w:r w:rsidRPr="00414345">
        <w:rPr>
          <w:color w:val="000000"/>
          <w:sz w:val="24"/>
          <w:szCs w:val="24"/>
        </w:rPr>
        <w:t>“</w:t>
      </w:r>
      <w:r w:rsidRPr="00414345">
        <w:rPr>
          <w:color w:val="000000"/>
          <w:sz w:val="24"/>
          <w:szCs w:val="24"/>
        </w:rPr>
        <w:t>一带一路</w:t>
      </w:r>
      <w:r w:rsidRPr="00414345">
        <w:rPr>
          <w:color w:val="000000"/>
          <w:sz w:val="24"/>
          <w:szCs w:val="24"/>
        </w:rPr>
        <w:t>”</w:t>
      </w:r>
      <w:r w:rsidRPr="00414345">
        <w:rPr>
          <w:color w:val="000000"/>
          <w:sz w:val="24"/>
          <w:szCs w:val="24"/>
        </w:rPr>
        <w:t>、</w:t>
      </w:r>
      <w:r w:rsidRPr="00414345">
        <w:rPr>
          <w:color w:val="000000"/>
          <w:sz w:val="24"/>
          <w:szCs w:val="24"/>
        </w:rPr>
        <w:t>“</w:t>
      </w:r>
      <w:r w:rsidRPr="00414345">
        <w:rPr>
          <w:color w:val="000000"/>
          <w:sz w:val="24"/>
          <w:szCs w:val="24"/>
        </w:rPr>
        <w:t>雄安新区</w:t>
      </w:r>
      <w:r w:rsidRPr="00414345">
        <w:rPr>
          <w:color w:val="000000"/>
          <w:sz w:val="24"/>
          <w:szCs w:val="24"/>
        </w:rPr>
        <w:t>”</w:t>
      </w:r>
      <w:r w:rsidRPr="00414345">
        <w:rPr>
          <w:color w:val="000000"/>
          <w:sz w:val="24"/>
          <w:szCs w:val="24"/>
        </w:rPr>
        <w:t>、</w:t>
      </w:r>
      <w:r w:rsidRPr="00414345">
        <w:rPr>
          <w:color w:val="000000"/>
          <w:sz w:val="24"/>
          <w:szCs w:val="24"/>
        </w:rPr>
        <w:t>“</w:t>
      </w:r>
      <w:r w:rsidRPr="00414345">
        <w:rPr>
          <w:color w:val="000000"/>
          <w:sz w:val="24"/>
          <w:szCs w:val="24"/>
        </w:rPr>
        <w:t>第三批自贸区</w:t>
      </w:r>
      <w:r w:rsidRPr="00414345">
        <w:rPr>
          <w:color w:val="000000"/>
          <w:sz w:val="24"/>
          <w:szCs w:val="24"/>
        </w:rPr>
        <w:t>”</w:t>
      </w:r>
      <w:r w:rsidRPr="00414345">
        <w:rPr>
          <w:color w:val="000000"/>
          <w:sz w:val="24"/>
          <w:szCs w:val="24"/>
        </w:rPr>
        <w:t>等一系列的国内国际区域发展政策有望为经济发展带来新的动力，也引起二级市场投资的关注。从目前来看，预计未来市场整体大幅上行机会有限，二季度依然计划以控制风险、力争绝对收益为主要目标。在上述的基本判断下，我们倾向于依然以增速与估值相对匹配、资产价值相对坚实的子行业与标的作为基础资产，短期继续关注在经济周期当前位置盈利修复显著快于估值压缩的相关行业，受益于财政基建的</w:t>
      </w:r>
      <w:r w:rsidRPr="00414345">
        <w:rPr>
          <w:color w:val="000000"/>
          <w:sz w:val="24"/>
          <w:szCs w:val="24"/>
        </w:rPr>
        <w:t>PPP</w:t>
      </w:r>
      <w:r w:rsidRPr="00414345">
        <w:rPr>
          <w:color w:val="000000"/>
          <w:sz w:val="24"/>
          <w:szCs w:val="24"/>
        </w:rPr>
        <w:t>子行业以及中期价值基础稳固有价值安全边际和分红收益的价值股的投资表现。同时进一步关注在未来中期技术周期有可能快速进入成长期的行业与标的，尤其关注此类新兴成长标的进入中期快速发展轨道的拐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0.8762</w:t>
      </w:r>
      <w:r w:rsidRPr="00414345">
        <w:rPr>
          <w:color w:val="000000"/>
          <w:sz w:val="24"/>
          <w:szCs w:val="24"/>
        </w:rPr>
        <w:t>元，本报告期份额净值增长率为</w:t>
      </w:r>
      <w:r w:rsidRPr="00414345">
        <w:rPr>
          <w:color w:val="000000"/>
          <w:sz w:val="24"/>
          <w:szCs w:val="24"/>
        </w:rPr>
        <w:t>5.87%</w:t>
      </w:r>
      <w:r w:rsidRPr="00414345">
        <w:rPr>
          <w:color w:val="000000"/>
          <w:sz w:val="24"/>
          <w:szCs w:val="24"/>
        </w:rPr>
        <w:t>，同期业绩比较基准增长率为</w:t>
      </w:r>
      <w:r w:rsidRPr="00414345">
        <w:rPr>
          <w:color w:val="000000"/>
          <w:sz w:val="24"/>
          <w:szCs w:val="24"/>
        </w:rPr>
        <w:t>3.63%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CB35A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1,894,804,919.76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1,894,804,919.76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71.59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129,851,000.00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129,851,000.00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415,031,262.55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204,496,768.37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2,626,660.34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2,646,810,611.02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46,464,000.00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1,414,814,302.38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46,577,036.50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91,136,160.58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232,259,875.28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1,324,718.86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36,495,000.00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25,660,000.00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1,894,804,919.76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74.29</w:t>
            </w:r>
          </w:p>
        </w:tc>
      </w:tr>
    </w:tbl>
    <w:p w:rsidR="00F51C4E" w:rsidRPr="004672C0" w:rsidRDefault="00F51C4E" w:rsidP="004672C0">
      <w:pPr>
        <w:rPr>
          <w:rFonts w:eastAsiaTheme="minorEastAsia"/>
          <w:b/>
          <w:color w:val="000000" w:themeColor="text1"/>
          <w:kern w:val="0"/>
          <w:sz w:val="24"/>
        </w:rPr>
      </w:pPr>
      <w:r w:rsidRPr="004672C0">
        <w:rPr>
          <w:rFonts w:eastAsiaTheme="minorEastAsia" w:hint="eastAsia"/>
          <w:b/>
          <w:color w:val="000000" w:themeColor="text1"/>
          <w:kern w:val="0"/>
          <w:sz w:val="24"/>
        </w:rPr>
        <w:t>5.2.2</w:t>
      </w:r>
      <w:r w:rsidRPr="004672C0">
        <w:rPr>
          <w:rFonts w:eastAsiaTheme="minorEastAsia" w:hint="eastAsia"/>
          <w:b/>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A7C56">
        <w:trPr>
          <w:jc w:val="center"/>
        </w:trPr>
        <w:tc>
          <w:tcPr>
            <w:tcW w:w="855" w:type="dxa"/>
            <w:vAlign w:val="center"/>
          </w:tcPr>
          <w:p w:rsidR="00BA7C56" w:rsidRDefault="004672C0">
            <w:pPr>
              <w:jc w:val="center"/>
            </w:pPr>
            <w:r>
              <w:rPr>
                <w:color w:val="000000"/>
                <w:sz w:val="24"/>
                <w:szCs w:val="24"/>
              </w:rPr>
              <w:t>1</w:t>
            </w:r>
          </w:p>
        </w:tc>
        <w:tc>
          <w:tcPr>
            <w:tcW w:w="1334" w:type="dxa"/>
            <w:vAlign w:val="center"/>
          </w:tcPr>
          <w:p w:rsidR="00BA7C56" w:rsidRDefault="004672C0">
            <w:pPr>
              <w:jc w:val="center"/>
            </w:pPr>
            <w:r>
              <w:rPr>
                <w:color w:val="000000"/>
                <w:sz w:val="24"/>
                <w:szCs w:val="24"/>
              </w:rPr>
              <w:t>002555</w:t>
            </w:r>
          </w:p>
        </w:tc>
        <w:tc>
          <w:tcPr>
            <w:tcW w:w="1777" w:type="dxa"/>
            <w:vAlign w:val="center"/>
          </w:tcPr>
          <w:p w:rsidR="00BA7C56" w:rsidRDefault="004672C0">
            <w:pPr>
              <w:jc w:val="center"/>
            </w:pPr>
            <w:r>
              <w:rPr>
                <w:color w:val="000000"/>
                <w:sz w:val="24"/>
                <w:szCs w:val="24"/>
              </w:rPr>
              <w:t>三七互娱</w:t>
            </w:r>
          </w:p>
        </w:tc>
        <w:tc>
          <w:tcPr>
            <w:tcW w:w="1334" w:type="dxa"/>
            <w:vAlign w:val="center"/>
          </w:tcPr>
          <w:p w:rsidR="00BA7C56" w:rsidRDefault="004672C0">
            <w:pPr>
              <w:jc w:val="right"/>
            </w:pPr>
            <w:r>
              <w:rPr>
                <w:color w:val="000000"/>
                <w:sz w:val="24"/>
                <w:szCs w:val="24"/>
              </w:rPr>
              <w:t>9,509,864</w:t>
            </w:r>
          </w:p>
        </w:tc>
        <w:tc>
          <w:tcPr>
            <w:tcW w:w="1924" w:type="dxa"/>
            <w:vAlign w:val="center"/>
          </w:tcPr>
          <w:p w:rsidR="00BA7C56" w:rsidRDefault="004672C0">
            <w:pPr>
              <w:jc w:val="right"/>
            </w:pPr>
            <w:r>
              <w:rPr>
                <w:color w:val="000000"/>
                <w:sz w:val="24"/>
                <w:szCs w:val="24"/>
              </w:rPr>
              <w:t>197,519,875.28</w:t>
            </w:r>
          </w:p>
        </w:tc>
        <w:tc>
          <w:tcPr>
            <w:tcW w:w="1644" w:type="dxa"/>
            <w:vAlign w:val="center"/>
          </w:tcPr>
          <w:p w:rsidR="00BA7C56" w:rsidRDefault="004672C0">
            <w:pPr>
              <w:jc w:val="right"/>
            </w:pPr>
            <w:r>
              <w:rPr>
                <w:color w:val="000000"/>
                <w:sz w:val="24"/>
                <w:szCs w:val="24"/>
              </w:rPr>
              <w:t>7.74</w:t>
            </w:r>
          </w:p>
        </w:tc>
      </w:tr>
      <w:tr w:rsidR="00BA7C56">
        <w:trPr>
          <w:jc w:val="center"/>
        </w:trPr>
        <w:tc>
          <w:tcPr>
            <w:tcW w:w="855" w:type="dxa"/>
            <w:vAlign w:val="center"/>
          </w:tcPr>
          <w:p w:rsidR="00BA7C56" w:rsidRDefault="004672C0">
            <w:pPr>
              <w:jc w:val="center"/>
            </w:pPr>
            <w:r>
              <w:rPr>
                <w:color w:val="000000"/>
                <w:sz w:val="24"/>
                <w:szCs w:val="24"/>
              </w:rPr>
              <w:t>2</w:t>
            </w:r>
          </w:p>
        </w:tc>
        <w:tc>
          <w:tcPr>
            <w:tcW w:w="1334" w:type="dxa"/>
            <w:vAlign w:val="center"/>
          </w:tcPr>
          <w:p w:rsidR="00BA7C56" w:rsidRDefault="004672C0">
            <w:pPr>
              <w:jc w:val="center"/>
            </w:pPr>
            <w:r>
              <w:rPr>
                <w:color w:val="000000"/>
                <w:sz w:val="24"/>
                <w:szCs w:val="24"/>
              </w:rPr>
              <w:t>600309</w:t>
            </w:r>
          </w:p>
        </w:tc>
        <w:tc>
          <w:tcPr>
            <w:tcW w:w="1777" w:type="dxa"/>
            <w:vAlign w:val="center"/>
          </w:tcPr>
          <w:p w:rsidR="00BA7C56" w:rsidRDefault="004672C0">
            <w:pPr>
              <w:jc w:val="center"/>
            </w:pPr>
            <w:r>
              <w:rPr>
                <w:color w:val="000000"/>
                <w:sz w:val="24"/>
                <w:szCs w:val="24"/>
              </w:rPr>
              <w:t>万华化学</w:t>
            </w:r>
          </w:p>
        </w:tc>
        <w:tc>
          <w:tcPr>
            <w:tcW w:w="1334" w:type="dxa"/>
            <w:vAlign w:val="center"/>
          </w:tcPr>
          <w:p w:rsidR="00BA7C56" w:rsidRDefault="004672C0">
            <w:pPr>
              <w:jc w:val="right"/>
            </w:pPr>
            <w:r>
              <w:rPr>
                <w:color w:val="000000"/>
                <w:sz w:val="24"/>
                <w:szCs w:val="24"/>
              </w:rPr>
              <w:t>7,250,000</w:t>
            </w:r>
          </w:p>
        </w:tc>
        <w:tc>
          <w:tcPr>
            <w:tcW w:w="1924" w:type="dxa"/>
            <w:vAlign w:val="center"/>
          </w:tcPr>
          <w:p w:rsidR="00BA7C56" w:rsidRDefault="004672C0">
            <w:pPr>
              <w:jc w:val="right"/>
            </w:pPr>
            <w:r>
              <w:rPr>
                <w:color w:val="000000"/>
                <w:sz w:val="24"/>
                <w:szCs w:val="24"/>
              </w:rPr>
              <w:t>196,547,500.00</w:t>
            </w:r>
          </w:p>
        </w:tc>
        <w:tc>
          <w:tcPr>
            <w:tcW w:w="1644" w:type="dxa"/>
            <w:vAlign w:val="center"/>
          </w:tcPr>
          <w:p w:rsidR="00BA7C56" w:rsidRDefault="004672C0">
            <w:pPr>
              <w:jc w:val="right"/>
            </w:pPr>
            <w:r>
              <w:rPr>
                <w:color w:val="000000"/>
                <w:sz w:val="24"/>
                <w:szCs w:val="24"/>
              </w:rPr>
              <w:t>7.71</w:t>
            </w:r>
          </w:p>
        </w:tc>
      </w:tr>
      <w:tr w:rsidR="00BA7C56">
        <w:trPr>
          <w:jc w:val="center"/>
        </w:trPr>
        <w:tc>
          <w:tcPr>
            <w:tcW w:w="855" w:type="dxa"/>
            <w:vAlign w:val="center"/>
          </w:tcPr>
          <w:p w:rsidR="00BA7C56" w:rsidRDefault="004672C0">
            <w:pPr>
              <w:jc w:val="center"/>
            </w:pPr>
            <w:r>
              <w:rPr>
                <w:color w:val="000000"/>
                <w:sz w:val="24"/>
                <w:szCs w:val="24"/>
              </w:rPr>
              <w:t>3</w:t>
            </w:r>
          </w:p>
        </w:tc>
        <w:tc>
          <w:tcPr>
            <w:tcW w:w="1334" w:type="dxa"/>
            <w:vAlign w:val="center"/>
          </w:tcPr>
          <w:p w:rsidR="00BA7C56" w:rsidRDefault="004672C0">
            <w:pPr>
              <w:jc w:val="center"/>
            </w:pPr>
            <w:r>
              <w:rPr>
                <w:color w:val="000000"/>
                <w:sz w:val="24"/>
                <w:szCs w:val="24"/>
              </w:rPr>
              <w:t>600967</w:t>
            </w:r>
          </w:p>
        </w:tc>
        <w:tc>
          <w:tcPr>
            <w:tcW w:w="1777" w:type="dxa"/>
            <w:vAlign w:val="center"/>
          </w:tcPr>
          <w:p w:rsidR="00BA7C56" w:rsidRDefault="004672C0">
            <w:pPr>
              <w:jc w:val="center"/>
            </w:pPr>
            <w:r>
              <w:rPr>
                <w:color w:val="000000"/>
                <w:sz w:val="24"/>
                <w:szCs w:val="24"/>
              </w:rPr>
              <w:t>北方创业</w:t>
            </w:r>
          </w:p>
        </w:tc>
        <w:tc>
          <w:tcPr>
            <w:tcW w:w="1334" w:type="dxa"/>
            <w:vAlign w:val="center"/>
          </w:tcPr>
          <w:p w:rsidR="00BA7C56" w:rsidRDefault="004672C0">
            <w:pPr>
              <w:jc w:val="right"/>
            </w:pPr>
            <w:r>
              <w:rPr>
                <w:color w:val="000000"/>
                <w:sz w:val="24"/>
                <w:szCs w:val="24"/>
              </w:rPr>
              <w:t>11,098,400</w:t>
            </w:r>
          </w:p>
        </w:tc>
        <w:tc>
          <w:tcPr>
            <w:tcW w:w="1924" w:type="dxa"/>
            <w:vAlign w:val="center"/>
          </w:tcPr>
          <w:p w:rsidR="00BA7C56" w:rsidRDefault="004672C0">
            <w:pPr>
              <w:jc w:val="right"/>
            </w:pPr>
            <w:r>
              <w:rPr>
                <w:color w:val="000000"/>
                <w:sz w:val="24"/>
                <w:szCs w:val="24"/>
              </w:rPr>
              <w:t>167,918,792.00</w:t>
            </w:r>
          </w:p>
        </w:tc>
        <w:tc>
          <w:tcPr>
            <w:tcW w:w="1644" w:type="dxa"/>
            <w:vAlign w:val="center"/>
          </w:tcPr>
          <w:p w:rsidR="00BA7C56" w:rsidRDefault="004672C0">
            <w:pPr>
              <w:jc w:val="right"/>
            </w:pPr>
            <w:r>
              <w:rPr>
                <w:color w:val="000000"/>
                <w:sz w:val="24"/>
                <w:szCs w:val="24"/>
              </w:rPr>
              <w:t>6.58</w:t>
            </w:r>
          </w:p>
        </w:tc>
      </w:tr>
      <w:tr w:rsidR="00BA7C56">
        <w:trPr>
          <w:jc w:val="center"/>
        </w:trPr>
        <w:tc>
          <w:tcPr>
            <w:tcW w:w="855" w:type="dxa"/>
            <w:vAlign w:val="center"/>
          </w:tcPr>
          <w:p w:rsidR="00BA7C56" w:rsidRDefault="004672C0">
            <w:pPr>
              <w:jc w:val="center"/>
            </w:pPr>
            <w:r>
              <w:rPr>
                <w:color w:val="000000"/>
                <w:sz w:val="24"/>
                <w:szCs w:val="24"/>
              </w:rPr>
              <w:t>4</w:t>
            </w:r>
          </w:p>
        </w:tc>
        <w:tc>
          <w:tcPr>
            <w:tcW w:w="1334" w:type="dxa"/>
            <w:vAlign w:val="center"/>
          </w:tcPr>
          <w:p w:rsidR="00BA7C56" w:rsidRDefault="004672C0">
            <w:pPr>
              <w:jc w:val="center"/>
            </w:pPr>
            <w:r>
              <w:rPr>
                <w:color w:val="000000"/>
                <w:sz w:val="24"/>
                <w:szCs w:val="24"/>
              </w:rPr>
              <w:t>002180</w:t>
            </w:r>
          </w:p>
        </w:tc>
        <w:tc>
          <w:tcPr>
            <w:tcW w:w="1777" w:type="dxa"/>
            <w:vAlign w:val="center"/>
          </w:tcPr>
          <w:p w:rsidR="00BA7C56" w:rsidRDefault="004672C0">
            <w:pPr>
              <w:jc w:val="center"/>
            </w:pPr>
            <w:r>
              <w:rPr>
                <w:color w:val="000000"/>
                <w:sz w:val="24"/>
                <w:szCs w:val="24"/>
              </w:rPr>
              <w:t>艾派克</w:t>
            </w:r>
          </w:p>
        </w:tc>
        <w:tc>
          <w:tcPr>
            <w:tcW w:w="1334" w:type="dxa"/>
            <w:vAlign w:val="center"/>
          </w:tcPr>
          <w:p w:rsidR="00BA7C56" w:rsidRDefault="004672C0">
            <w:pPr>
              <w:jc w:val="right"/>
            </w:pPr>
            <w:r>
              <w:rPr>
                <w:color w:val="000000"/>
                <w:sz w:val="24"/>
                <w:szCs w:val="24"/>
              </w:rPr>
              <w:t>5,701,503</w:t>
            </w:r>
          </w:p>
        </w:tc>
        <w:tc>
          <w:tcPr>
            <w:tcW w:w="1924" w:type="dxa"/>
            <w:vAlign w:val="center"/>
          </w:tcPr>
          <w:p w:rsidR="00BA7C56" w:rsidRDefault="004672C0">
            <w:pPr>
              <w:jc w:val="right"/>
            </w:pPr>
            <w:r>
              <w:rPr>
                <w:color w:val="000000"/>
                <w:sz w:val="24"/>
                <w:szCs w:val="24"/>
              </w:rPr>
              <w:t>157,646,557.95</w:t>
            </w:r>
          </w:p>
        </w:tc>
        <w:tc>
          <w:tcPr>
            <w:tcW w:w="1644" w:type="dxa"/>
            <w:vAlign w:val="center"/>
          </w:tcPr>
          <w:p w:rsidR="00BA7C56" w:rsidRDefault="004672C0">
            <w:pPr>
              <w:jc w:val="right"/>
            </w:pPr>
            <w:r>
              <w:rPr>
                <w:color w:val="000000"/>
                <w:sz w:val="24"/>
                <w:szCs w:val="24"/>
              </w:rPr>
              <w:t>6.18</w:t>
            </w:r>
          </w:p>
        </w:tc>
      </w:tr>
      <w:tr w:rsidR="00BA7C56">
        <w:trPr>
          <w:jc w:val="center"/>
        </w:trPr>
        <w:tc>
          <w:tcPr>
            <w:tcW w:w="855" w:type="dxa"/>
            <w:vAlign w:val="center"/>
          </w:tcPr>
          <w:p w:rsidR="00BA7C56" w:rsidRDefault="004672C0">
            <w:pPr>
              <w:jc w:val="center"/>
            </w:pPr>
            <w:r>
              <w:rPr>
                <w:color w:val="000000"/>
                <w:sz w:val="24"/>
                <w:szCs w:val="24"/>
              </w:rPr>
              <w:t>5</w:t>
            </w:r>
          </w:p>
        </w:tc>
        <w:tc>
          <w:tcPr>
            <w:tcW w:w="1334" w:type="dxa"/>
            <w:vAlign w:val="center"/>
          </w:tcPr>
          <w:p w:rsidR="00BA7C56" w:rsidRDefault="004672C0">
            <w:pPr>
              <w:jc w:val="center"/>
            </w:pPr>
            <w:r>
              <w:rPr>
                <w:color w:val="000000"/>
                <w:sz w:val="24"/>
                <w:szCs w:val="24"/>
              </w:rPr>
              <w:t>300129</w:t>
            </w:r>
          </w:p>
        </w:tc>
        <w:tc>
          <w:tcPr>
            <w:tcW w:w="1777" w:type="dxa"/>
            <w:vAlign w:val="center"/>
          </w:tcPr>
          <w:p w:rsidR="00BA7C56" w:rsidRDefault="004672C0">
            <w:pPr>
              <w:jc w:val="center"/>
            </w:pPr>
            <w:r>
              <w:rPr>
                <w:color w:val="000000"/>
                <w:sz w:val="24"/>
                <w:szCs w:val="24"/>
              </w:rPr>
              <w:t>泰胜风能</w:t>
            </w:r>
          </w:p>
        </w:tc>
        <w:tc>
          <w:tcPr>
            <w:tcW w:w="1334" w:type="dxa"/>
            <w:vAlign w:val="center"/>
          </w:tcPr>
          <w:p w:rsidR="00BA7C56" w:rsidRDefault="004672C0">
            <w:pPr>
              <w:jc w:val="right"/>
            </w:pPr>
            <w:r>
              <w:rPr>
                <w:color w:val="000000"/>
                <w:sz w:val="24"/>
                <w:szCs w:val="24"/>
              </w:rPr>
              <w:t>14,709,250</w:t>
            </w:r>
          </w:p>
        </w:tc>
        <w:tc>
          <w:tcPr>
            <w:tcW w:w="1924" w:type="dxa"/>
            <w:vAlign w:val="center"/>
          </w:tcPr>
          <w:p w:rsidR="00BA7C56" w:rsidRDefault="004672C0">
            <w:pPr>
              <w:jc w:val="right"/>
            </w:pPr>
            <w:r>
              <w:rPr>
                <w:color w:val="000000"/>
                <w:sz w:val="24"/>
                <w:szCs w:val="24"/>
              </w:rPr>
              <w:t>121,204,220.00</w:t>
            </w:r>
          </w:p>
        </w:tc>
        <w:tc>
          <w:tcPr>
            <w:tcW w:w="1644" w:type="dxa"/>
            <w:vAlign w:val="center"/>
          </w:tcPr>
          <w:p w:rsidR="00BA7C56" w:rsidRDefault="004672C0">
            <w:pPr>
              <w:jc w:val="right"/>
            </w:pPr>
            <w:r>
              <w:rPr>
                <w:color w:val="000000"/>
                <w:sz w:val="24"/>
                <w:szCs w:val="24"/>
              </w:rPr>
              <w:t>4.75</w:t>
            </w:r>
          </w:p>
        </w:tc>
      </w:tr>
      <w:tr w:rsidR="00BA7C56">
        <w:trPr>
          <w:jc w:val="center"/>
        </w:trPr>
        <w:tc>
          <w:tcPr>
            <w:tcW w:w="855" w:type="dxa"/>
            <w:vAlign w:val="center"/>
          </w:tcPr>
          <w:p w:rsidR="00BA7C56" w:rsidRDefault="004672C0">
            <w:pPr>
              <w:jc w:val="center"/>
            </w:pPr>
            <w:r>
              <w:rPr>
                <w:color w:val="000000"/>
                <w:sz w:val="24"/>
                <w:szCs w:val="24"/>
              </w:rPr>
              <w:t>6</w:t>
            </w:r>
          </w:p>
        </w:tc>
        <w:tc>
          <w:tcPr>
            <w:tcW w:w="1334" w:type="dxa"/>
            <w:vAlign w:val="center"/>
          </w:tcPr>
          <w:p w:rsidR="00BA7C56" w:rsidRDefault="004672C0">
            <w:pPr>
              <w:jc w:val="center"/>
            </w:pPr>
            <w:r>
              <w:rPr>
                <w:color w:val="000000"/>
                <w:sz w:val="24"/>
                <w:szCs w:val="24"/>
              </w:rPr>
              <w:t>600500</w:t>
            </w:r>
          </w:p>
        </w:tc>
        <w:tc>
          <w:tcPr>
            <w:tcW w:w="1777" w:type="dxa"/>
            <w:vAlign w:val="center"/>
          </w:tcPr>
          <w:p w:rsidR="00BA7C56" w:rsidRDefault="004672C0">
            <w:pPr>
              <w:jc w:val="center"/>
            </w:pPr>
            <w:r>
              <w:rPr>
                <w:color w:val="000000"/>
                <w:sz w:val="24"/>
                <w:szCs w:val="24"/>
              </w:rPr>
              <w:t>中化国际</w:t>
            </w:r>
          </w:p>
        </w:tc>
        <w:tc>
          <w:tcPr>
            <w:tcW w:w="1334" w:type="dxa"/>
            <w:vAlign w:val="center"/>
          </w:tcPr>
          <w:p w:rsidR="00BA7C56" w:rsidRDefault="004672C0">
            <w:pPr>
              <w:jc w:val="right"/>
            </w:pPr>
            <w:r>
              <w:rPr>
                <w:color w:val="000000"/>
                <w:sz w:val="24"/>
                <w:szCs w:val="24"/>
              </w:rPr>
              <w:t>10,705,000</w:t>
            </w:r>
          </w:p>
        </w:tc>
        <w:tc>
          <w:tcPr>
            <w:tcW w:w="1924" w:type="dxa"/>
            <w:vAlign w:val="center"/>
          </w:tcPr>
          <w:p w:rsidR="00BA7C56" w:rsidRDefault="004672C0">
            <w:pPr>
              <w:jc w:val="right"/>
            </w:pPr>
            <w:r>
              <w:rPr>
                <w:color w:val="000000"/>
                <w:sz w:val="24"/>
                <w:szCs w:val="24"/>
              </w:rPr>
              <w:t>117,969,100.00</w:t>
            </w:r>
          </w:p>
        </w:tc>
        <w:tc>
          <w:tcPr>
            <w:tcW w:w="1644" w:type="dxa"/>
            <w:vAlign w:val="center"/>
          </w:tcPr>
          <w:p w:rsidR="00BA7C56" w:rsidRDefault="004672C0">
            <w:pPr>
              <w:jc w:val="right"/>
            </w:pPr>
            <w:r>
              <w:rPr>
                <w:color w:val="000000"/>
                <w:sz w:val="24"/>
                <w:szCs w:val="24"/>
              </w:rPr>
              <w:t>4.63</w:t>
            </w:r>
          </w:p>
        </w:tc>
      </w:tr>
      <w:tr w:rsidR="00BA7C56">
        <w:trPr>
          <w:jc w:val="center"/>
        </w:trPr>
        <w:tc>
          <w:tcPr>
            <w:tcW w:w="855" w:type="dxa"/>
            <w:vAlign w:val="center"/>
          </w:tcPr>
          <w:p w:rsidR="00BA7C56" w:rsidRDefault="004672C0">
            <w:pPr>
              <w:jc w:val="center"/>
            </w:pPr>
            <w:r>
              <w:rPr>
                <w:color w:val="000000"/>
                <w:sz w:val="24"/>
                <w:szCs w:val="24"/>
              </w:rPr>
              <w:t>7</w:t>
            </w:r>
          </w:p>
        </w:tc>
        <w:tc>
          <w:tcPr>
            <w:tcW w:w="1334" w:type="dxa"/>
            <w:vAlign w:val="center"/>
          </w:tcPr>
          <w:p w:rsidR="00BA7C56" w:rsidRDefault="004672C0">
            <w:pPr>
              <w:jc w:val="center"/>
            </w:pPr>
            <w:r>
              <w:rPr>
                <w:color w:val="000000"/>
                <w:sz w:val="24"/>
                <w:szCs w:val="24"/>
              </w:rPr>
              <w:t>002045</w:t>
            </w:r>
          </w:p>
        </w:tc>
        <w:tc>
          <w:tcPr>
            <w:tcW w:w="1777" w:type="dxa"/>
            <w:vAlign w:val="center"/>
          </w:tcPr>
          <w:p w:rsidR="00BA7C56" w:rsidRDefault="004672C0">
            <w:pPr>
              <w:jc w:val="center"/>
            </w:pPr>
            <w:r>
              <w:rPr>
                <w:color w:val="000000"/>
                <w:sz w:val="24"/>
                <w:szCs w:val="24"/>
              </w:rPr>
              <w:t>国光电器</w:t>
            </w:r>
          </w:p>
        </w:tc>
        <w:tc>
          <w:tcPr>
            <w:tcW w:w="1334" w:type="dxa"/>
            <w:vAlign w:val="center"/>
          </w:tcPr>
          <w:p w:rsidR="00BA7C56" w:rsidRDefault="004672C0">
            <w:pPr>
              <w:jc w:val="right"/>
            </w:pPr>
            <w:r>
              <w:rPr>
                <w:color w:val="000000"/>
                <w:sz w:val="24"/>
                <w:szCs w:val="24"/>
              </w:rPr>
              <w:t>7,119,563</w:t>
            </w:r>
          </w:p>
        </w:tc>
        <w:tc>
          <w:tcPr>
            <w:tcW w:w="1924" w:type="dxa"/>
            <w:vAlign w:val="center"/>
          </w:tcPr>
          <w:p w:rsidR="00BA7C56" w:rsidRDefault="004672C0">
            <w:pPr>
              <w:jc w:val="right"/>
            </w:pPr>
            <w:r>
              <w:rPr>
                <w:color w:val="000000"/>
                <w:sz w:val="24"/>
                <w:szCs w:val="24"/>
              </w:rPr>
              <w:t>112,489,095.40</w:t>
            </w:r>
          </w:p>
        </w:tc>
        <w:tc>
          <w:tcPr>
            <w:tcW w:w="1644" w:type="dxa"/>
            <w:vAlign w:val="center"/>
          </w:tcPr>
          <w:p w:rsidR="00BA7C56" w:rsidRDefault="004672C0">
            <w:pPr>
              <w:jc w:val="right"/>
            </w:pPr>
            <w:r>
              <w:rPr>
                <w:color w:val="000000"/>
                <w:sz w:val="24"/>
                <w:szCs w:val="24"/>
              </w:rPr>
              <w:t>4.41</w:t>
            </w:r>
          </w:p>
        </w:tc>
      </w:tr>
      <w:tr w:rsidR="00BA7C56">
        <w:trPr>
          <w:jc w:val="center"/>
        </w:trPr>
        <w:tc>
          <w:tcPr>
            <w:tcW w:w="855" w:type="dxa"/>
            <w:vAlign w:val="center"/>
          </w:tcPr>
          <w:p w:rsidR="00BA7C56" w:rsidRDefault="004672C0">
            <w:pPr>
              <w:jc w:val="center"/>
            </w:pPr>
            <w:r>
              <w:rPr>
                <w:color w:val="000000"/>
                <w:sz w:val="24"/>
                <w:szCs w:val="24"/>
              </w:rPr>
              <w:t>8</w:t>
            </w:r>
          </w:p>
        </w:tc>
        <w:tc>
          <w:tcPr>
            <w:tcW w:w="1334" w:type="dxa"/>
            <w:vAlign w:val="center"/>
          </w:tcPr>
          <w:p w:rsidR="00BA7C56" w:rsidRDefault="004672C0">
            <w:pPr>
              <w:jc w:val="center"/>
            </w:pPr>
            <w:r>
              <w:rPr>
                <w:color w:val="000000"/>
                <w:sz w:val="24"/>
                <w:szCs w:val="24"/>
              </w:rPr>
              <w:t>000821</w:t>
            </w:r>
          </w:p>
        </w:tc>
        <w:tc>
          <w:tcPr>
            <w:tcW w:w="1777" w:type="dxa"/>
            <w:vAlign w:val="center"/>
          </w:tcPr>
          <w:p w:rsidR="00BA7C56" w:rsidRDefault="004672C0">
            <w:pPr>
              <w:jc w:val="center"/>
            </w:pPr>
            <w:r>
              <w:rPr>
                <w:color w:val="000000"/>
                <w:sz w:val="24"/>
                <w:szCs w:val="24"/>
              </w:rPr>
              <w:t>京山轻机</w:t>
            </w:r>
          </w:p>
        </w:tc>
        <w:tc>
          <w:tcPr>
            <w:tcW w:w="1334" w:type="dxa"/>
            <w:vAlign w:val="center"/>
          </w:tcPr>
          <w:p w:rsidR="00BA7C56" w:rsidRDefault="004672C0">
            <w:pPr>
              <w:jc w:val="right"/>
            </w:pPr>
            <w:r>
              <w:rPr>
                <w:color w:val="000000"/>
                <w:sz w:val="24"/>
                <w:szCs w:val="24"/>
              </w:rPr>
              <w:t>6,503,625</w:t>
            </w:r>
          </w:p>
        </w:tc>
        <w:tc>
          <w:tcPr>
            <w:tcW w:w="1924" w:type="dxa"/>
            <w:vAlign w:val="center"/>
          </w:tcPr>
          <w:p w:rsidR="00BA7C56" w:rsidRDefault="004672C0">
            <w:pPr>
              <w:jc w:val="right"/>
            </w:pPr>
            <w:r>
              <w:rPr>
                <w:color w:val="000000"/>
                <w:sz w:val="24"/>
                <w:szCs w:val="24"/>
              </w:rPr>
              <w:t>103,017,420.00</w:t>
            </w:r>
          </w:p>
        </w:tc>
        <w:tc>
          <w:tcPr>
            <w:tcW w:w="1644" w:type="dxa"/>
            <w:vAlign w:val="center"/>
          </w:tcPr>
          <w:p w:rsidR="00BA7C56" w:rsidRDefault="004672C0">
            <w:pPr>
              <w:jc w:val="right"/>
            </w:pPr>
            <w:r>
              <w:rPr>
                <w:color w:val="000000"/>
                <w:sz w:val="24"/>
                <w:szCs w:val="24"/>
              </w:rPr>
              <w:t>4.04</w:t>
            </w:r>
          </w:p>
        </w:tc>
      </w:tr>
      <w:tr w:rsidR="00BA7C56">
        <w:trPr>
          <w:jc w:val="center"/>
        </w:trPr>
        <w:tc>
          <w:tcPr>
            <w:tcW w:w="855" w:type="dxa"/>
            <w:vAlign w:val="center"/>
          </w:tcPr>
          <w:p w:rsidR="00BA7C56" w:rsidRDefault="004672C0">
            <w:pPr>
              <w:jc w:val="center"/>
            </w:pPr>
            <w:r>
              <w:rPr>
                <w:color w:val="000000"/>
                <w:sz w:val="24"/>
                <w:szCs w:val="24"/>
              </w:rPr>
              <w:t>9</w:t>
            </w:r>
          </w:p>
        </w:tc>
        <w:tc>
          <w:tcPr>
            <w:tcW w:w="1334" w:type="dxa"/>
            <w:vAlign w:val="center"/>
          </w:tcPr>
          <w:p w:rsidR="00BA7C56" w:rsidRDefault="004672C0">
            <w:pPr>
              <w:jc w:val="center"/>
            </w:pPr>
            <w:r>
              <w:rPr>
                <w:color w:val="000000"/>
                <w:sz w:val="24"/>
                <w:szCs w:val="24"/>
              </w:rPr>
              <w:t>600389</w:t>
            </w:r>
          </w:p>
        </w:tc>
        <w:tc>
          <w:tcPr>
            <w:tcW w:w="1777" w:type="dxa"/>
            <w:vAlign w:val="center"/>
          </w:tcPr>
          <w:p w:rsidR="00BA7C56" w:rsidRDefault="004672C0">
            <w:pPr>
              <w:jc w:val="center"/>
            </w:pPr>
            <w:r>
              <w:rPr>
                <w:color w:val="000000"/>
                <w:sz w:val="24"/>
                <w:szCs w:val="24"/>
              </w:rPr>
              <w:t>江山股份</w:t>
            </w:r>
          </w:p>
        </w:tc>
        <w:tc>
          <w:tcPr>
            <w:tcW w:w="1334" w:type="dxa"/>
            <w:vAlign w:val="center"/>
          </w:tcPr>
          <w:p w:rsidR="00BA7C56" w:rsidRDefault="004672C0">
            <w:pPr>
              <w:jc w:val="right"/>
            </w:pPr>
            <w:r>
              <w:rPr>
                <w:color w:val="000000"/>
                <w:sz w:val="24"/>
                <w:szCs w:val="24"/>
              </w:rPr>
              <w:t>4,302,338</w:t>
            </w:r>
          </w:p>
        </w:tc>
        <w:tc>
          <w:tcPr>
            <w:tcW w:w="1924" w:type="dxa"/>
            <w:vAlign w:val="center"/>
          </w:tcPr>
          <w:p w:rsidR="00BA7C56" w:rsidRDefault="004672C0">
            <w:pPr>
              <w:jc w:val="right"/>
            </w:pPr>
            <w:r>
              <w:rPr>
                <w:color w:val="000000"/>
                <w:sz w:val="24"/>
                <w:szCs w:val="24"/>
              </w:rPr>
              <w:t>79,335,112.72</w:t>
            </w:r>
          </w:p>
        </w:tc>
        <w:tc>
          <w:tcPr>
            <w:tcW w:w="1644" w:type="dxa"/>
            <w:vAlign w:val="center"/>
          </w:tcPr>
          <w:p w:rsidR="00BA7C56" w:rsidRDefault="004672C0">
            <w:pPr>
              <w:jc w:val="right"/>
            </w:pPr>
            <w:r>
              <w:rPr>
                <w:color w:val="000000"/>
                <w:sz w:val="24"/>
                <w:szCs w:val="24"/>
              </w:rPr>
              <w:t>3.11</w:t>
            </w:r>
          </w:p>
        </w:tc>
      </w:tr>
      <w:tr w:rsidR="00BA7C56">
        <w:trPr>
          <w:jc w:val="center"/>
        </w:trPr>
        <w:tc>
          <w:tcPr>
            <w:tcW w:w="855" w:type="dxa"/>
            <w:vAlign w:val="center"/>
          </w:tcPr>
          <w:p w:rsidR="00BA7C56" w:rsidRDefault="004672C0">
            <w:pPr>
              <w:jc w:val="center"/>
            </w:pPr>
            <w:r>
              <w:rPr>
                <w:color w:val="000000"/>
                <w:sz w:val="24"/>
                <w:szCs w:val="24"/>
              </w:rPr>
              <w:t>10</w:t>
            </w:r>
          </w:p>
        </w:tc>
        <w:tc>
          <w:tcPr>
            <w:tcW w:w="1334" w:type="dxa"/>
            <w:vAlign w:val="center"/>
          </w:tcPr>
          <w:p w:rsidR="00BA7C56" w:rsidRDefault="004672C0">
            <w:pPr>
              <w:jc w:val="center"/>
            </w:pPr>
            <w:r>
              <w:rPr>
                <w:color w:val="000000"/>
                <w:sz w:val="24"/>
                <w:szCs w:val="24"/>
              </w:rPr>
              <w:t>000538</w:t>
            </w:r>
          </w:p>
        </w:tc>
        <w:tc>
          <w:tcPr>
            <w:tcW w:w="1777" w:type="dxa"/>
            <w:vAlign w:val="center"/>
          </w:tcPr>
          <w:p w:rsidR="00BA7C56" w:rsidRDefault="004672C0">
            <w:pPr>
              <w:jc w:val="center"/>
            </w:pPr>
            <w:r>
              <w:rPr>
                <w:color w:val="000000"/>
                <w:sz w:val="24"/>
                <w:szCs w:val="24"/>
              </w:rPr>
              <w:t>云南白药</w:t>
            </w:r>
          </w:p>
        </w:tc>
        <w:tc>
          <w:tcPr>
            <w:tcW w:w="1334" w:type="dxa"/>
            <w:vAlign w:val="center"/>
          </w:tcPr>
          <w:p w:rsidR="00BA7C56" w:rsidRDefault="004672C0">
            <w:pPr>
              <w:jc w:val="right"/>
            </w:pPr>
            <w:r>
              <w:rPr>
                <w:color w:val="000000"/>
                <w:sz w:val="24"/>
                <w:szCs w:val="24"/>
              </w:rPr>
              <w:t>909,901</w:t>
            </w:r>
          </w:p>
        </w:tc>
        <w:tc>
          <w:tcPr>
            <w:tcW w:w="1924" w:type="dxa"/>
            <w:vAlign w:val="center"/>
          </w:tcPr>
          <w:p w:rsidR="00BA7C56" w:rsidRDefault="004672C0">
            <w:pPr>
              <w:jc w:val="right"/>
            </w:pPr>
            <w:r>
              <w:rPr>
                <w:color w:val="000000"/>
                <w:sz w:val="24"/>
                <w:szCs w:val="24"/>
              </w:rPr>
              <w:t>77,450,773.12</w:t>
            </w:r>
          </w:p>
        </w:tc>
        <w:tc>
          <w:tcPr>
            <w:tcW w:w="1644" w:type="dxa"/>
            <w:vAlign w:val="center"/>
          </w:tcPr>
          <w:p w:rsidR="00BA7C56" w:rsidRDefault="004672C0">
            <w:pPr>
              <w:jc w:val="right"/>
            </w:pPr>
            <w:r>
              <w:rPr>
                <w:color w:val="000000"/>
                <w:sz w:val="24"/>
                <w:szCs w:val="24"/>
              </w:rPr>
              <w:t>3.04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129,851,000.00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129,851,000.00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129,851,000.00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A7C56">
        <w:trPr>
          <w:jc w:val="center"/>
        </w:trPr>
        <w:tc>
          <w:tcPr>
            <w:tcW w:w="850" w:type="dxa"/>
            <w:vAlign w:val="center"/>
          </w:tcPr>
          <w:p w:rsidR="00BA7C56" w:rsidRDefault="004672C0">
            <w:pPr>
              <w:jc w:val="center"/>
            </w:pPr>
            <w:r>
              <w:rPr>
                <w:color w:val="000000"/>
                <w:sz w:val="24"/>
                <w:szCs w:val="24"/>
              </w:rPr>
              <w:t>1</w:t>
            </w:r>
          </w:p>
        </w:tc>
        <w:tc>
          <w:tcPr>
            <w:tcW w:w="1475" w:type="dxa"/>
            <w:vAlign w:val="center"/>
          </w:tcPr>
          <w:p w:rsidR="00BA7C56" w:rsidRDefault="004672C0">
            <w:pPr>
              <w:jc w:val="center"/>
            </w:pPr>
            <w:r>
              <w:rPr>
                <w:color w:val="000000"/>
                <w:sz w:val="24"/>
                <w:szCs w:val="24"/>
              </w:rPr>
              <w:t>170203</w:t>
            </w:r>
          </w:p>
        </w:tc>
        <w:tc>
          <w:tcPr>
            <w:tcW w:w="1769" w:type="dxa"/>
            <w:vAlign w:val="center"/>
          </w:tcPr>
          <w:p w:rsidR="00BA7C56" w:rsidRDefault="004672C0">
            <w:pPr>
              <w:jc w:val="center"/>
            </w:pPr>
            <w:r>
              <w:rPr>
                <w:color w:val="000000"/>
                <w:sz w:val="24"/>
                <w:szCs w:val="24"/>
              </w:rPr>
              <w:t>17</w:t>
            </w:r>
            <w:r>
              <w:rPr>
                <w:color w:val="000000"/>
                <w:sz w:val="24"/>
                <w:szCs w:val="24"/>
              </w:rPr>
              <w:t>国开</w:t>
            </w:r>
            <w:r>
              <w:rPr>
                <w:color w:val="000000"/>
                <w:sz w:val="24"/>
                <w:szCs w:val="24"/>
              </w:rPr>
              <w:t>03</w:t>
            </w:r>
          </w:p>
        </w:tc>
        <w:tc>
          <w:tcPr>
            <w:tcW w:w="1387" w:type="dxa"/>
            <w:vAlign w:val="center"/>
          </w:tcPr>
          <w:p w:rsidR="00BA7C56" w:rsidRDefault="004672C0">
            <w:pPr>
              <w:jc w:val="right"/>
            </w:pPr>
            <w:r>
              <w:rPr>
                <w:color w:val="000000"/>
                <w:sz w:val="24"/>
                <w:szCs w:val="24"/>
              </w:rPr>
              <w:t>1,000,000</w:t>
            </w:r>
          </w:p>
        </w:tc>
        <w:tc>
          <w:tcPr>
            <w:tcW w:w="2150" w:type="dxa"/>
            <w:vAlign w:val="center"/>
          </w:tcPr>
          <w:p w:rsidR="00BA7C56" w:rsidRDefault="004672C0">
            <w:pPr>
              <w:jc w:val="right"/>
            </w:pPr>
            <w:r>
              <w:rPr>
                <w:color w:val="000000"/>
                <w:sz w:val="24"/>
                <w:szCs w:val="24"/>
              </w:rPr>
              <w:t>99,710,000.00</w:t>
            </w:r>
          </w:p>
        </w:tc>
        <w:tc>
          <w:tcPr>
            <w:tcW w:w="1237" w:type="dxa"/>
            <w:vAlign w:val="center"/>
          </w:tcPr>
          <w:p w:rsidR="00BA7C56" w:rsidRDefault="004672C0">
            <w:pPr>
              <w:jc w:val="right"/>
            </w:pPr>
            <w:r>
              <w:rPr>
                <w:color w:val="000000"/>
                <w:sz w:val="24"/>
                <w:szCs w:val="24"/>
              </w:rPr>
              <w:t>3.91</w:t>
            </w:r>
          </w:p>
        </w:tc>
      </w:tr>
      <w:tr w:rsidR="00BA7C56">
        <w:trPr>
          <w:jc w:val="center"/>
        </w:trPr>
        <w:tc>
          <w:tcPr>
            <w:tcW w:w="850" w:type="dxa"/>
            <w:vAlign w:val="center"/>
          </w:tcPr>
          <w:p w:rsidR="00BA7C56" w:rsidRDefault="004672C0">
            <w:pPr>
              <w:jc w:val="center"/>
            </w:pPr>
            <w:r>
              <w:rPr>
                <w:color w:val="000000"/>
                <w:sz w:val="24"/>
                <w:szCs w:val="24"/>
              </w:rPr>
              <w:t>2</w:t>
            </w:r>
          </w:p>
        </w:tc>
        <w:tc>
          <w:tcPr>
            <w:tcW w:w="1475" w:type="dxa"/>
            <w:vAlign w:val="center"/>
          </w:tcPr>
          <w:p w:rsidR="00BA7C56" w:rsidRDefault="004672C0">
            <w:pPr>
              <w:jc w:val="center"/>
            </w:pPr>
            <w:r>
              <w:rPr>
                <w:color w:val="000000"/>
                <w:sz w:val="24"/>
                <w:szCs w:val="24"/>
              </w:rPr>
              <w:t>140225</w:t>
            </w:r>
          </w:p>
        </w:tc>
        <w:tc>
          <w:tcPr>
            <w:tcW w:w="1769" w:type="dxa"/>
            <w:vAlign w:val="center"/>
          </w:tcPr>
          <w:p w:rsidR="00BA7C56" w:rsidRDefault="004672C0">
            <w:pPr>
              <w:jc w:val="center"/>
            </w:pPr>
            <w:r>
              <w:rPr>
                <w:color w:val="000000"/>
                <w:sz w:val="24"/>
                <w:szCs w:val="24"/>
              </w:rPr>
              <w:t>14</w:t>
            </w:r>
            <w:r>
              <w:rPr>
                <w:color w:val="000000"/>
                <w:sz w:val="24"/>
                <w:szCs w:val="24"/>
              </w:rPr>
              <w:t>国开</w:t>
            </w:r>
            <w:r>
              <w:rPr>
                <w:color w:val="000000"/>
                <w:sz w:val="24"/>
                <w:szCs w:val="24"/>
              </w:rPr>
              <w:t>25</w:t>
            </w:r>
          </w:p>
        </w:tc>
        <w:tc>
          <w:tcPr>
            <w:tcW w:w="1387" w:type="dxa"/>
            <w:vAlign w:val="center"/>
          </w:tcPr>
          <w:p w:rsidR="00BA7C56" w:rsidRDefault="004672C0">
            <w:pPr>
              <w:jc w:val="right"/>
            </w:pPr>
            <w:r>
              <w:rPr>
                <w:color w:val="000000"/>
                <w:sz w:val="24"/>
                <w:szCs w:val="24"/>
              </w:rPr>
              <w:t>300,000</w:t>
            </w:r>
          </w:p>
        </w:tc>
        <w:tc>
          <w:tcPr>
            <w:tcW w:w="2150" w:type="dxa"/>
            <w:vAlign w:val="center"/>
          </w:tcPr>
          <w:p w:rsidR="00BA7C56" w:rsidRDefault="004672C0">
            <w:pPr>
              <w:jc w:val="right"/>
            </w:pPr>
            <w:r>
              <w:rPr>
                <w:color w:val="000000"/>
                <w:sz w:val="24"/>
                <w:szCs w:val="24"/>
              </w:rPr>
              <w:t>30,141,000.00</w:t>
            </w:r>
          </w:p>
        </w:tc>
        <w:tc>
          <w:tcPr>
            <w:tcW w:w="1237" w:type="dxa"/>
            <w:vAlign w:val="center"/>
          </w:tcPr>
          <w:p w:rsidR="00BA7C56" w:rsidRDefault="004672C0">
            <w:pPr>
              <w:jc w:val="right"/>
            </w:pPr>
            <w:r>
              <w:rPr>
                <w:color w:val="000000"/>
                <w:sz w:val="24"/>
                <w:szCs w:val="24"/>
              </w:rPr>
              <w:t>1.18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1,104,545.49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1,368,766.32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153,348.53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2,626,660.34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3,033,409,845.22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7,439,808.15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130,182,690.22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w:t>
            </w:r>
            <w:r w:rsidR="00F31B0C" w:rsidRPr="006664D2">
              <w:rPr>
                <w:rFonts w:hint="eastAsia"/>
                <w:color w:val="000000"/>
                <w:kern w:val="0"/>
                <w:sz w:val="24"/>
              </w:rPr>
              <w:lastRenderedPageBreak/>
              <w:t>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lastRenderedPageBreak/>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2,910,666,963.15</w:t>
            </w:r>
          </w:p>
        </w:tc>
      </w:tr>
    </w:tbl>
    <w:p w:rsidR="00BA7C56" w:rsidRDefault="004672C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B35A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BA7C56" w:rsidRDefault="004672C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BA7C56">
        <w:trPr>
          <w:jc w:val="center"/>
        </w:trPr>
        <w:tc>
          <w:tcPr>
            <w:tcW w:w="1032" w:type="dxa"/>
            <w:vAlign w:val="center"/>
          </w:tcPr>
          <w:p w:rsidR="00BA7C56" w:rsidRDefault="004672C0">
            <w:pPr>
              <w:jc w:val="center"/>
            </w:pPr>
            <w:r>
              <w:rPr>
                <w:color w:val="000000"/>
                <w:sz w:val="24"/>
              </w:rPr>
              <w:t>1</w:t>
            </w:r>
          </w:p>
        </w:tc>
        <w:tc>
          <w:tcPr>
            <w:tcW w:w="1776" w:type="dxa"/>
            <w:vAlign w:val="center"/>
          </w:tcPr>
          <w:p w:rsidR="00BA7C56" w:rsidRDefault="004672C0">
            <w:pPr>
              <w:jc w:val="center"/>
            </w:pPr>
            <w:r>
              <w:rPr>
                <w:color w:val="000000"/>
                <w:sz w:val="24"/>
              </w:rPr>
              <w:t>赎回</w:t>
            </w:r>
          </w:p>
        </w:tc>
        <w:tc>
          <w:tcPr>
            <w:tcW w:w="1317" w:type="dxa"/>
            <w:vAlign w:val="center"/>
          </w:tcPr>
          <w:p w:rsidR="00BA7C56" w:rsidRDefault="004672C0">
            <w:pPr>
              <w:jc w:val="center"/>
            </w:pPr>
            <w:r>
              <w:rPr>
                <w:color w:val="000000"/>
                <w:sz w:val="24"/>
              </w:rPr>
              <w:t>2017-01-05</w:t>
            </w:r>
          </w:p>
        </w:tc>
        <w:tc>
          <w:tcPr>
            <w:tcW w:w="1633" w:type="dxa"/>
            <w:vAlign w:val="center"/>
          </w:tcPr>
          <w:p w:rsidR="00BA7C56" w:rsidRDefault="004672C0">
            <w:pPr>
              <w:jc w:val="right"/>
            </w:pPr>
            <w:r>
              <w:rPr>
                <w:color w:val="000000"/>
                <w:sz w:val="24"/>
              </w:rPr>
              <w:t>-23,710,503.49</w:t>
            </w:r>
          </w:p>
        </w:tc>
        <w:tc>
          <w:tcPr>
            <w:tcW w:w="1767" w:type="dxa"/>
            <w:vAlign w:val="center"/>
          </w:tcPr>
          <w:p w:rsidR="00BA7C56" w:rsidRDefault="004672C0">
            <w:pPr>
              <w:jc w:val="right"/>
            </w:pPr>
            <w:r>
              <w:rPr>
                <w:color w:val="000000"/>
                <w:sz w:val="24"/>
              </w:rPr>
              <w:t>-19,930,298.78</w:t>
            </w:r>
          </w:p>
        </w:tc>
        <w:tc>
          <w:tcPr>
            <w:tcW w:w="1343" w:type="dxa"/>
            <w:vAlign w:val="center"/>
          </w:tcPr>
          <w:p w:rsidR="00BA7C56" w:rsidRDefault="004672C0">
            <w:pPr>
              <w:jc w:val="center"/>
            </w:pPr>
            <w:r>
              <w:rPr>
                <w:color w:val="000000"/>
                <w:sz w:val="24"/>
              </w:rPr>
              <w:t>0.04%</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-23,710,503.49</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-19,930,298.78</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CB35A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A7C56" w:rsidRDefault="004672C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lastRenderedPageBreak/>
        <w:t>5</w:t>
      </w:r>
      <w:r>
        <w:rPr>
          <w:color w:val="000000"/>
          <w:sz w:val="24"/>
          <w:szCs w:val="24"/>
        </w:rPr>
        <w:t>、关于募集交银施罗德蓝筹股票证券投资基金之法律意见书；</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A7C56" w:rsidRDefault="004672C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A7C56" w:rsidRDefault="004672C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BC5" w:rsidRDefault="001A3BC5" w:rsidP="00876D65">
      <w:r>
        <w:separator/>
      </w:r>
    </w:p>
  </w:endnote>
  <w:endnote w:type="continuationSeparator" w:id="0">
    <w:p w:rsidR="001A3BC5" w:rsidRDefault="001A3BC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3E1E2E">
      <w:rPr>
        <w:kern w:val="0"/>
        <w:szCs w:val="21"/>
      </w:rPr>
      <w:fldChar w:fldCharType="begin"/>
    </w:r>
    <w:r>
      <w:rPr>
        <w:kern w:val="0"/>
        <w:szCs w:val="21"/>
      </w:rPr>
      <w:instrText xml:space="preserve"> PAGE </w:instrText>
    </w:r>
    <w:r w:rsidR="003E1E2E">
      <w:rPr>
        <w:kern w:val="0"/>
        <w:szCs w:val="21"/>
      </w:rPr>
      <w:fldChar w:fldCharType="separate"/>
    </w:r>
    <w:r w:rsidR="00617984">
      <w:rPr>
        <w:noProof/>
        <w:kern w:val="0"/>
        <w:szCs w:val="21"/>
      </w:rPr>
      <w:t>1</w:t>
    </w:r>
    <w:r w:rsidR="003E1E2E">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3E1E2E">
      <w:rPr>
        <w:kern w:val="0"/>
        <w:szCs w:val="21"/>
      </w:rPr>
      <w:fldChar w:fldCharType="begin"/>
    </w:r>
    <w:r>
      <w:rPr>
        <w:kern w:val="0"/>
        <w:szCs w:val="21"/>
      </w:rPr>
      <w:instrText xml:space="preserve"> NUMPAGES </w:instrText>
    </w:r>
    <w:r w:rsidR="003E1E2E">
      <w:rPr>
        <w:kern w:val="0"/>
        <w:szCs w:val="21"/>
      </w:rPr>
      <w:fldChar w:fldCharType="separate"/>
    </w:r>
    <w:r w:rsidR="00617984">
      <w:rPr>
        <w:noProof/>
        <w:kern w:val="0"/>
        <w:szCs w:val="21"/>
      </w:rPr>
      <w:t>12</w:t>
    </w:r>
    <w:r w:rsidR="003E1E2E">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BC5" w:rsidRDefault="001A3BC5" w:rsidP="00876D65">
      <w:r>
        <w:separator/>
      </w:r>
    </w:p>
  </w:footnote>
  <w:footnote w:type="continuationSeparator" w:id="0">
    <w:p w:rsidR="001A3BC5" w:rsidRDefault="001A3BC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3BC5"/>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1E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672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1798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A7C56"/>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35A9"/>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98DDDE-B406-4906-9CD6-261CD80A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0A91C-28F8-4D5A-B4F6-6B5EEE228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1165</Words>
  <Characters>6642</Characters>
  <Application>Microsoft Office Word</Application>
  <DocSecurity>0</DocSecurity>
  <Lines>55</Lines>
  <Paragraphs>15</Paragraphs>
  <ScaleCrop>false</ScaleCrop>
  <Company/>
  <LinksUpToDate>false</LinksUpToDate>
  <CharactersWithSpaces>7792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2017-04-20T09:08:00Z</dcterms:created>
  <dcterms:modified xsi:type="dcterms:W3CDTF">2017-04-20T09:08:00Z</dcterms:modified>
</cp:coreProperties>
</file>