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050B7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4561A" w:rsidRDefault="00050B7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4561A" w:rsidRDefault="00050B71">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4561A" w:rsidRDefault="00050B7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4561A" w:rsidRDefault="00050B7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4561A" w:rsidRDefault="00050B7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50B7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1,868,798,060.65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50B7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50B71" w:rsidRPr="00414345" w:rsidTr="00050B7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50B71" w:rsidRPr="00414345" w:rsidTr="00050B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29,689,114.28</w:t>
            </w:r>
          </w:p>
        </w:tc>
      </w:tr>
      <w:tr w:rsidR="00050B71" w:rsidRPr="00414345" w:rsidTr="00050B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256,591,356.70</w:t>
            </w:r>
          </w:p>
        </w:tc>
      </w:tr>
      <w:tr w:rsidR="00050B71" w:rsidRPr="00414345" w:rsidTr="00050B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0.1369</w:t>
            </w:r>
          </w:p>
        </w:tc>
      </w:tr>
      <w:tr w:rsidR="00050B71" w:rsidRPr="00414345" w:rsidTr="00050B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2,283,310,779.02</w:t>
            </w:r>
          </w:p>
        </w:tc>
      </w:tr>
      <w:tr w:rsidR="00050B71" w:rsidRPr="00414345" w:rsidTr="00050B7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1.2218</w:t>
            </w:r>
          </w:p>
        </w:tc>
      </w:tr>
    </w:tbl>
    <w:p w:rsidR="0034561A" w:rsidRDefault="00050B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4561A">
        <w:trPr>
          <w:jc w:val="center"/>
        </w:trPr>
        <w:tc>
          <w:tcPr>
            <w:tcW w:w="1701" w:type="dxa"/>
            <w:vAlign w:val="center"/>
          </w:tcPr>
          <w:p w:rsidR="0034561A" w:rsidRDefault="00050B71">
            <w:pPr>
              <w:jc w:val="left"/>
            </w:pPr>
            <w:r>
              <w:rPr>
                <w:color w:val="000000"/>
                <w:sz w:val="24"/>
                <w:szCs w:val="24"/>
              </w:rPr>
              <w:t>过去三个月</w:t>
            </w:r>
          </w:p>
        </w:tc>
        <w:tc>
          <w:tcPr>
            <w:tcW w:w="1045" w:type="dxa"/>
            <w:vAlign w:val="center"/>
          </w:tcPr>
          <w:p w:rsidR="0034561A" w:rsidRDefault="00050B71">
            <w:pPr>
              <w:jc w:val="center"/>
            </w:pPr>
            <w:r>
              <w:rPr>
                <w:color w:val="000000"/>
                <w:sz w:val="24"/>
                <w:szCs w:val="24"/>
              </w:rPr>
              <w:t>12.66%</w:t>
            </w:r>
          </w:p>
        </w:tc>
        <w:tc>
          <w:tcPr>
            <w:tcW w:w="1344" w:type="dxa"/>
            <w:vAlign w:val="center"/>
          </w:tcPr>
          <w:p w:rsidR="0034561A" w:rsidRDefault="00050B71">
            <w:pPr>
              <w:jc w:val="center"/>
            </w:pPr>
            <w:r>
              <w:rPr>
                <w:color w:val="000000"/>
                <w:sz w:val="24"/>
                <w:szCs w:val="24"/>
              </w:rPr>
              <w:t>0.60%</w:t>
            </w:r>
          </w:p>
        </w:tc>
        <w:tc>
          <w:tcPr>
            <w:tcW w:w="1194" w:type="dxa"/>
            <w:vAlign w:val="center"/>
          </w:tcPr>
          <w:p w:rsidR="0034561A" w:rsidRDefault="00050B71">
            <w:pPr>
              <w:jc w:val="center"/>
            </w:pPr>
            <w:r>
              <w:rPr>
                <w:color w:val="000000"/>
                <w:sz w:val="24"/>
                <w:szCs w:val="24"/>
              </w:rPr>
              <w:t>2.15%</w:t>
            </w:r>
          </w:p>
        </w:tc>
        <w:tc>
          <w:tcPr>
            <w:tcW w:w="1492" w:type="dxa"/>
            <w:vAlign w:val="center"/>
          </w:tcPr>
          <w:p w:rsidR="0034561A" w:rsidRDefault="00050B71">
            <w:pPr>
              <w:jc w:val="center"/>
            </w:pPr>
            <w:r>
              <w:rPr>
                <w:color w:val="000000"/>
                <w:sz w:val="24"/>
                <w:szCs w:val="24"/>
              </w:rPr>
              <w:t>0.36%</w:t>
            </w:r>
          </w:p>
        </w:tc>
        <w:tc>
          <w:tcPr>
            <w:tcW w:w="1194" w:type="dxa"/>
            <w:vAlign w:val="center"/>
          </w:tcPr>
          <w:p w:rsidR="0034561A" w:rsidRDefault="00050B71">
            <w:pPr>
              <w:jc w:val="center"/>
            </w:pPr>
            <w:r>
              <w:rPr>
                <w:color w:val="000000"/>
                <w:sz w:val="24"/>
                <w:szCs w:val="24"/>
              </w:rPr>
              <w:t>10.51%</w:t>
            </w:r>
          </w:p>
        </w:tc>
        <w:tc>
          <w:tcPr>
            <w:tcW w:w="898" w:type="dxa"/>
            <w:vAlign w:val="center"/>
          </w:tcPr>
          <w:p w:rsidR="0034561A" w:rsidRDefault="00050B71">
            <w:pPr>
              <w:jc w:val="center"/>
            </w:pPr>
            <w:r>
              <w:rPr>
                <w:color w:val="000000"/>
                <w:sz w:val="24"/>
                <w:szCs w:val="24"/>
              </w:rPr>
              <w:t>0.24%</w:t>
            </w:r>
          </w:p>
        </w:tc>
      </w:tr>
    </w:tbl>
    <w:p w:rsidR="0034561A" w:rsidRDefault="00050B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w:t>
      </w:r>
      <w:r w:rsidRPr="00414345">
        <w:rPr>
          <w:color w:val="000000"/>
          <w:sz w:val="24"/>
          <w:szCs w:val="24"/>
        </w:rPr>
        <w:lastRenderedPageBreak/>
        <w:t>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50B7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4561A">
        <w:trPr>
          <w:jc w:val="center"/>
        </w:trPr>
        <w:tc>
          <w:tcPr>
            <w:tcW w:w="846" w:type="dxa"/>
            <w:vAlign w:val="center"/>
          </w:tcPr>
          <w:p w:rsidR="0034561A" w:rsidRDefault="00050B71">
            <w:pPr>
              <w:jc w:val="center"/>
            </w:pPr>
            <w:r>
              <w:rPr>
                <w:color w:val="000000"/>
                <w:sz w:val="24"/>
                <w:szCs w:val="24"/>
              </w:rPr>
              <w:t>唐倩</w:t>
            </w:r>
          </w:p>
        </w:tc>
        <w:tc>
          <w:tcPr>
            <w:tcW w:w="845" w:type="dxa"/>
            <w:vAlign w:val="center"/>
          </w:tcPr>
          <w:p w:rsidR="0034561A" w:rsidRDefault="00050B71">
            <w:pPr>
              <w:jc w:val="center"/>
            </w:pPr>
            <w:r>
              <w:rPr>
                <w:color w:val="000000"/>
                <w:sz w:val="24"/>
                <w:szCs w:val="24"/>
              </w:rPr>
              <w:t>交银稳健配置混合的基金经</w:t>
            </w:r>
            <w:r>
              <w:rPr>
                <w:color w:val="000000"/>
                <w:sz w:val="24"/>
                <w:szCs w:val="24"/>
              </w:rPr>
              <w:lastRenderedPageBreak/>
              <w:t>理、公司首席基金经理</w:t>
            </w:r>
          </w:p>
        </w:tc>
        <w:tc>
          <w:tcPr>
            <w:tcW w:w="1549" w:type="dxa"/>
            <w:vAlign w:val="center"/>
          </w:tcPr>
          <w:p w:rsidR="0034561A" w:rsidRDefault="00050B71">
            <w:pPr>
              <w:jc w:val="center"/>
            </w:pPr>
            <w:r>
              <w:rPr>
                <w:color w:val="000000"/>
                <w:sz w:val="24"/>
                <w:szCs w:val="24"/>
              </w:rPr>
              <w:lastRenderedPageBreak/>
              <w:t>2013-12-12</w:t>
            </w:r>
          </w:p>
        </w:tc>
        <w:tc>
          <w:tcPr>
            <w:tcW w:w="1548" w:type="dxa"/>
            <w:vAlign w:val="center"/>
          </w:tcPr>
          <w:p w:rsidR="0034561A" w:rsidRDefault="00050B71">
            <w:pPr>
              <w:jc w:val="center"/>
            </w:pPr>
            <w:r>
              <w:rPr>
                <w:color w:val="000000"/>
                <w:sz w:val="24"/>
                <w:szCs w:val="24"/>
              </w:rPr>
              <w:t>-</w:t>
            </w:r>
          </w:p>
        </w:tc>
        <w:tc>
          <w:tcPr>
            <w:tcW w:w="1407" w:type="dxa"/>
            <w:vAlign w:val="center"/>
          </w:tcPr>
          <w:p w:rsidR="0034561A" w:rsidRDefault="00050B71">
            <w:pPr>
              <w:jc w:val="center"/>
            </w:pPr>
            <w:r>
              <w:rPr>
                <w:color w:val="000000"/>
                <w:sz w:val="24"/>
                <w:szCs w:val="24"/>
              </w:rPr>
              <w:t>17</w:t>
            </w:r>
            <w:r>
              <w:rPr>
                <w:color w:val="000000"/>
                <w:sz w:val="24"/>
                <w:szCs w:val="24"/>
              </w:rPr>
              <w:t>年</w:t>
            </w:r>
          </w:p>
        </w:tc>
        <w:tc>
          <w:tcPr>
            <w:tcW w:w="2673" w:type="dxa"/>
            <w:vAlign w:val="center"/>
          </w:tcPr>
          <w:p w:rsidR="0034561A" w:rsidRDefault="00050B71">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w:t>
            </w:r>
            <w:r>
              <w:rPr>
                <w:color w:val="000000"/>
                <w:sz w:val="24"/>
                <w:szCs w:val="24"/>
              </w:rPr>
              <w:lastRenderedPageBreak/>
              <w:t>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4561A" w:rsidRDefault="00050B7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4561A" w:rsidRDefault="00050B7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4561A" w:rsidRDefault="00050B7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4561A" w:rsidRDefault="00050B71">
      <w:pPr>
        <w:spacing w:before="29" w:line="288" w:lineRule="auto"/>
        <w:ind w:firstLineChars="200" w:firstLine="480"/>
        <w:rPr>
          <w:color w:val="000000"/>
          <w:sz w:val="24"/>
          <w:szCs w:val="24"/>
        </w:rPr>
      </w:pPr>
      <w:r>
        <w:rPr>
          <w:color w:val="000000"/>
          <w:sz w:val="24"/>
          <w:szCs w:val="24"/>
        </w:rPr>
        <w:t>今年年初我们对于</w:t>
      </w:r>
      <w:r>
        <w:rPr>
          <w:color w:val="000000"/>
          <w:sz w:val="24"/>
          <w:szCs w:val="24"/>
        </w:rPr>
        <w:t>2017</w:t>
      </w:r>
      <w:r>
        <w:rPr>
          <w:color w:val="000000"/>
          <w:sz w:val="24"/>
          <w:szCs w:val="24"/>
        </w:rPr>
        <w:t>年整体行情的基本判断是龙头股的继续胜出。而今年一季度的行情，也较好地验证了之前的判断。在消费、电子、医药、家电、汽车甚至周期等行业，龙头股都有了很好的业绩和股价表现。就宏观和资金面背景来看，一季度在地产销售和投资超预期以及消费升级的大背景下面，经济继续好转，另一方面，国内的地产政策和海外各种政治事件也存在较大的不确定因素。因此，我们对二季度市场保持谨慎乐观。</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二季度而言，龙头公司的业绩情况是重要考量因素。随着一季度的涨幅，龙头公司的估值有所提升，从过去的明显低估到接近合理水平。因此，我们将进行更加细致的研究分析工作，力图尽力获取阿尔法收益。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1.2218</w:t>
      </w:r>
      <w:r w:rsidRPr="00414345">
        <w:rPr>
          <w:color w:val="000000"/>
          <w:sz w:val="24"/>
          <w:szCs w:val="24"/>
        </w:rPr>
        <w:t>元，本报告期份额净值增长率为</w:t>
      </w:r>
      <w:r w:rsidRPr="00414345">
        <w:rPr>
          <w:color w:val="000000"/>
          <w:sz w:val="24"/>
          <w:szCs w:val="24"/>
        </w:rPr>
        <w:t>12.66%</w:t>
      </w:r>
      <w:r w:rsidRPr="00414345">
        <w:rPr>
          <w:color w:val="000000"/>
          <w:sz w:val="24"/>
          <w:szCs w:val="24"/>
        </w:rPr>
        <w:t>，同期业绩比较基准增长率为</w:t>
      </w:r>
      <w:r w:rsidRPr="00414345">
        <w:rPr>
          <w:color w:val="000000"/>
          <w:sz w:val="24"/>
          <w:szCs w:val="24"/>
        </w:rPr>
        <w:t>2.15%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050B7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1,931,131,333.95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1,931,131,333.95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109,903,200.82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109,903,200.82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50,000,275.00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w:t>
            </w:r>
            <w:r w:rsidRPr="00414345">
              <w:rPr>
                <w:color w:val="000000"/>
                <w:sz w:val="24"/>
                <w:szCs w:val="24"/>
              </w:rPr>
              <w:lastRenderedPageBreak/>
              <w:t>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lastRenderedPageBreak/>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194,720,875.91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8.50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4,945,207.99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2,290,700,893.67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41,367.40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1,441,070,446.82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16,935,776.31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311,696.11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74,388,500.35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56,117.16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129,618,944.00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5.68</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809,452.38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4,757,744.00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227,436,629.45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35,309,115.04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15,302.14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23,170.50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340,142.13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1,931,131,333.95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84.58</w:t>
            </w:r>
          </w:p>
        </w:tc>
      </w:tr>
    </w:tbl>
    <w:p w:rsidR="00050B71" w:rsidRDefault="00050B71" w:rsidP="00050B71">
      <w:pPr>
        <w:rPr>
          <w:rFonts w:eastAsiaTheme="minorEastAsia"/>
          <w:b/>
          <w:color w:val="000000" w:themeColor="text1"/>
          <w:kern w:val="0"/>
          <w:sz w:val="24"/>
        </w:rPr>
      </w:pPr>
    </w:p>
    <w:p w:rsidR="00F51C4E" w:rsidRPr="00050B71" w:rsidRDefault="00F51C4E" w:rsidP="00050B71">
      <w:pPr>
        <w:rPr>
          <w:rFonts w:eastAsiaTheme="minorEastAsia"/>
          <w:b/>
          <w:color w:val="000000" w:themeColor="text1"/>
          <w:kern w:val="0"/>
          <w:sz w:val="24"/>
        </w:rPr>
      </w:pPr>
      <w:r w:rsidRPr="00050B71">
        <w:rPr>
          <w:rFonts w:eastAsiaTheme="minorEastAsia" w:hint="eastAsia"/>
          <w:b/>
          <w:color w:val="000000" w:themeColor="text1"/>
          <w:kern w:val="0"/>
          <w:sz w:val="24"/>
        </w:rPr>
        <w:t>5.2.2</w:t>
      </w:r>
      <w:r w:rsidRPr="00050B71">
        <w:rPr>
          <w:rFonts w:eastAsiaTheme="minorEastAsia" w:hint="eastAsia"/>
          <w:b/>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4561A">
        <w:trPr>
          <w:jc w:val="center"/>
        </w:trPr>
        <w:tc>
          <w:tcPr>
            <w:tcW w:w="855" w:type="dxa"/>
            <w:vAlign w:val="center"/>
          </w:tcPr>
          <w:p w:rsidR="0034561A" w:rsidRDefault="00050B71">
            <w:pPr>
              <w:jc w:val="center"/>
            </w:pPr>
            <w:r>
              <w:rPr>
                <w:color w:val="000000"/>
                <w:sz w:val="24"/>
                <w:szCs w:val="24"/>
              </w:rPr>
              <w:t>1</w:t>
            </w:r>
          </w:p>
        </w:tc>
        <w:tc>
          <w:tcPr>
            <w:tcW w:w="1334" w:type="dxa"/>
            <w:vAlign w:val="center"/>
          </w:tcPr>
          <w:p w:rsidR="0034561A" w:rsidRDefault="00050B71">
            <w:pPr>
              <w:jc w:val="center"/>
            </w:pPr>
            <w:r>
              <w:rPr>
                <w:color w:val="000000"/>
                <w:sz w:val="24"/>
                <w:szCs w:val="24"/>
              </w:rPr>
              <w:t>600622</w:t>
            </w:r>
          </w:p>
        </w:tc>
        <w:tc>
          <w:tcPr>
            <w:tcW w:w="1777" w:type="dxa"/>
            <w:vAlign w:val="center"/>
          </w:tcPr>
          <w:p w:rsidR="0034561A" w:rsidRDefault="00050B71">
            <w:pPr>
              <w:jc w:val="center"/>
            </w:pPr>
            <w:r>
              <w:rPr>
                <w:color w:val="000000"/>
                <w:sz w:val="24"/>
                <w:szCs w:val="24"/>
              </w:rPr>
              <w:t>嘉宝集团</w:t>
            </w:r>
          </w:p>
        </w:tc>
        <w:tc>
          <w:tcPr>
            <w:tcW w:w="1334" w:type="dxa"/>
            <w:vAlign w:val="center"/>
          </w:tcPr>
          <w:p w:rsidR="0034561A" w:rsidRDefault="00050B71">
            <w:pPr>
              <w:jc w:val="right"/>
            </w:pPr>
            <w:r>
              <w:rPr>
                <w:color w:val="000000"/>
                <w:sz w:val="24"/>
                <w:szCs w:val="24"/>
              </w:rPr>
              <w:t>11,715,179</w:t>
            </w:r>
          </w:p>
        </w:tc>
        <w:tc>
          <w:tcPr>
            <w:tcW w:w="1924" w:type="dxa"/>
            <w:vAlign w:val="center"/>
          </w:tcPr>
          <w:p w:rsidR="0034561A" w:rsidRDefault="00050B71">
            <w:pPr>
              <w:jc w:val="right"/>
            </w:pPr>
            <w:r>
              <w:rPr>
                <w:color w:val="000000"/>
                <w:sz w:val="24"/>
                <w:szCs w:val="24"/>
              </w:rPr>
              <w:t>227,040,169.02</w:t>
            </w:r>
          </w:p>
        </w:tc>
        <w:tc>
          <w:tcPr>
            <w:tcW w:w="1644" w:type="dxa"/>
            <w:vAlign w:val="center"/>
          </w:tcPr>
          <w:p w:rsidR="0034561A" w:rsidRDefault="00050B71">
            <w:pPr>
              <w:jc w:val="right"/>
            </w:pPr>
            <w:r>
              <w:rPr>
                <w:color w:val="000000"/>
                <w:sz w:val="24"/>
                <w:szCs w:val="24"/>
              </w:rPr>
              <w:t>9.94</w:t>
            </w:r>
          </w:p>
        </w:tc>
      </w:tr>
      <w:tr w:rsidR="0034561A">
        <w:trPr>
          <w:jc w:val="center"/>
        </w:trPr>
        <w:tc>
          <w:tcPr>
            <w:tcW w:w="855" w:type="dxa"/>
            <w:vAlign w:val="center"/>
          </w:tcPr>
          <w:p w:rsidR="0034561A" w:rsidRDefault="00050B71">
            <w:pPr>
              <w:jc w:val="center"/>
            </w:pPr>
            <w:r>
              <w:rPr>
                <w:color w:val="000000"/>
                <w:sz w:val="24"/>
                <w:szCs w:val="24"/>
              </w:rPr>
              <w:t>2</w:t>
            </w:r>
          </w:p>
        </w:tc>
        <w:tc>
          <w:tcPr>
            <w:tcW w:w="1334" w:type="dxa"/>
            <w:vAlign w:val="center"/>
          </w:tcPr>
          <w:p w:rsidR="0034561A" w:rsidRDefault="00050B71">
            <w:pPr>
              <w:jc w:val="center"/>
            </w:pPr>
            <w:r>
              <w:rPr>
                <w:color w:val="000000"/>
                <w:sz w:val="24"/>
                <w:szCs w:val="24"/>
              </w:rPr>
              <w:t>000538</w:t>
            </w:r>
          </w:p>
        </w:tc>
        <w:tc>
          <w:tcPr>
            <w:tcW w:w="1777" w:type="dxa"/>
            <w:vAlign w:val="center"/>
          </w:tcPr>
          <w:p w:rsidR="0034561A" w:rsidRDefault="00050B71">
            <w:pPr>
              <w:jc w:val="center"/>
            </w:pPr>
            <w:r>
              <w:rPr>
                <w:color w:val="000000"/>
                <w:sz w:val="24"/>
                <w:szCs w:val="24"/>
              </w:rPr>
              <w:t>云南白药</w:t>
            </w:r>
          </w:p>
        </w:tc>
        <w:tc>
          <w:tcPr>
            <w:tcW w:w="1334" w:type="dxa"/>
            <w:vAlign w:val="center"/>
          </w:tcPr>
          <w:p w:rsidR="0034561A" w:rsidRDefault="00050B71">
            <w:pPr>
              <w:jc w:val="right"/>
            </w:pPr>
            <w:r>
              <w:rPr>
                <w:color w:val="000000"/>
                <w:sz w:val="24"/>
                <w:szCs w:val="24"/>
              </w:rPr>
              <w:t>2,527,046</w:t>
            </w:r>
          </w:p>
        </w:tc>
        <w:tc>
          <w:tcPr>
            <w:tcW w:w="1924" w:type="dxa"/>
            <w:vAlign w:val="center"/>
          </w:tcPr>
          <w:p w:rsidR="0034561A" w:rsidRDefault="00050B71">
            <w:pPr>
              <w:jc w:val="right"/>
            </w:pPr>
            <w:r>
              <w:rPr>
                <w:color w:val="000000"/>
                <w:sz w:val="24"/>
                <w:szCs w:val="24"/>
              </w:rPr>
              <w:t>215,102,155.52</w:t>
            </w:r>
          </w:p>
        </w:tc>
        <w:tc>
          <w:tcPr>
            <w:tcW w:w="1644" w:type="dxa"/>
            <w:vAlign w:val="center"/>
          </w:tcPr>
          <w:p w:rsidR="0034561A" w:rsidRDefault="00050B71">
            <w:pPr>
              <w:jc w:val="right"/>
            </w:pPr>
            <w:r>
              <w:rPr>
                <w:color w:val="000000"/>
                <w:sz w:val="24"/>
                <w:szCs w:val="24"/>
              </w:rPr>
              <w:t>9.42</w:t>
            </w:r>
          </w:p>
        </w:tc>
      </w:tr>
      <w:tr w:rsidR="0034561A">
        <w:trPr>
          <w:jc w:val="center"/>
        </w:trPr>
        <w:tc>
          <w:tcPr>
            <w:tcW w:w="855" w:type="dxa"/>
            <w:vAlign w:val="center"/>
          </w:tcPr>
          <w:p w:rsidR="0034561A" w:rsidRDefault="00050B71">
            <w:pPr>
              <w:jc w:val="center"/>
            </w:pPr>
            <w:r>
              <w:rPr>
                <w:color w:val="000000"/>
                <w:sz w:val="24"/>
                <w:szCs w:val="24"/>
              </w:rPr>
              <w:t>3</w:t>
            </w:r>
          </w:p>
        </w:tc>
        <w:tc>
          <w:tcPr>
            <w:tcW w:w="1334" w:type="dxa"/>
            <w:vAlign w:val="center"/>
          </w:tcPr>
          <w:p w:rsidR="0034561A" w:rsidRDefault="00050B71">
            <w:pPr>
              <w:jc w:val="center"/>
            </w:pPr>
            <w:r>
              <w:rPr>
                <w:color w:val="000000"/>
                <w:sz w:val="24"/>
                <w:szCs w:val="24"/>
              </w:rPr>
              <w:t>600519</w:t>
            </w:r>
          </w:p>
        </w:tc>
        <w:tc>
          <w:tcPr>
            <w:tcW w:w="1777" w:type="dxa"/>
            <w:vAlign w:val="center"/>
          </w:tcPr>
          <w:p w:rsidR="0034561A" w:rsidRDefault="00050B71">
            <w:pPr>
              <w:jc w:val="center"/>
            </w:pPr>
            <w:r>
              <w:rPr>
                <w:color w:val="000000"/>
                <w:sz w:val="24"/>
                <w:szCs w:val="24"/>
              </w:rPr>
              <w:t>贵州茅台</w:t>
            </w:r>
          </w:p>
        </w:tc>
        <w:tc>
          <w:tcPr>
            <w:tcW w:w="1334" w:type="dxa"/>
            <w:vAlign w:val="center"/>
          </w:tcPr>
          <w:p w:rsidR="0034561A" w:rsidRDefault="00050B71">
            <w:pPr>
              <w:jc w:val="right"/>
            </w:pPr>
            <w:r>
              <w:rPr>
                <w:color w:val="000000"/>
                <w:sz w:val="24"/>
                <w:szCs w:val="24"/>
              </w:rPr>
              <w:t>505,567</w:t>
            </w:r>
          </w:p>
        </w:tc>
        <w:tc>
          <w:tcPr>
            <w:tcW w:w="1924" w:type="dxa"/>
            <w:vAlign w:val="center"/>
          </w:tcPr>
          <w:p w:rsidR="0034561A" w:rsidRDefault="00050B71">
            <w:pPr>
              <w:jc w:val="right"/>
            </w:pPr>
            <w:r>
              <w:rPr>
                <w:color w:val="000000"/>
                <w:sz w:val="24"/>
                <w:szCs w:val="24"/>
              </w:rPr>
              <w:t>195,330,866.12</w:t>
            </w:r>
          </w:p>
        </w:tc>
        <w:tc>
          <w:tcPr>
            <w:tcW w:w="1644" w:type="dxa"/>
            <w:vAlign w:val="center"/>
          </w:tcPr>
          <w:p w:rsidR="0034561A" w:rsidRDefault="00050B71">
            <w:pPr>
              <w:jc w:val="right"/>
            </w:pPr>
            <w:r>
              <w:rPr>
                <w:color w:val="000000"/>
                <w:sz w:val="24"/>
                <w:szCs w:val="24"/>
              </w:rPr>
              <w:t>8.55</w:t>
            </w:r>
          </w:p>
        </w:tc>
      </w:tr>
      <w:tr w:rsidR="0034561A">
        <w:trPr>
          <w:jc w:val="center"/>
        </w:trPr>
        <w:tc>
          <w:tcPr>
            <w:tcW w:w="855" w:type="dxa"/>
            <w:vAlign w:val="center"/>
          </w:tcPr>
          <w:p w:rsidR="0034561A" w:rsidRDefault="00050B71">
            <w:pPr>
              <w:jc w:val="center"/>
            </w:pPr>
            <w:r>
              <w:rPr>
                <w:color w:val="000000"/>
                <w:sz w:val="24"/>
                <w:szCs w:val="24"/>
              </w:rPr>
              <w:t>4</w:t>
            </w:r>
          </w:p>
        </w:tc>
        <w:tc>
          <w:tcPr>
            <w:tcW w:w="1334" w:type="dxa"/>
            <w:vAlign w:val="center"/>
          </w:tcPr>
          <w:p w:rsidR="0034561A" w:rsidRDefault="00050B71">
            <w:pPr>
              <w:jc w:val="center"/>
            </w:pPr>
            <w:r>
              <w:rPr>
                <w:color w:val="000000"/>
                <w:sz w:val="24"/>
                <w:szCs w:val="24"/>
              </w:rPr>
              <w:t>600056</w:t>
            </w:r>
          </w:p>
        </w:tc>
        <w:tc>
          <w:tcPr>
            <w:tcW w:w="1777" w:type="dxa"/>
            <w:vAlign w:val="center"/>
          </w:tcPr>
          <w:p w:rsidR="0034561A" w:rsidRDefault="00050B71">
            <w:pPr>
              <w:jc w:val="center"/>
            </w:pPr>
            <w:r>
              <w:rPr>
                <w:color w:val="000000"/>
                <w:sz w:val="24"/>
                <w:szCs w:val="24"/>
              </w:rPr>
              <w:t>中国医药</w:t>
            </w:r>
          </w:p>
        </w:tc>
        <w:tc>
          <w:tcPr>
            <w:tcW w:w="1334" w:type="dxa"/>
            <w:vAlign w:val="center"/>
          </w:tcPr>
          <w:p w:rsidR="0034561A" w:rsidRDefault="00050B71">
            <w:pPr>
              <w:jc w:val="right"/>
            </w:pPr>
            <w:r>
              <w:rPr>
                <w:color w:val="000000"/>
                <w:sz w:val="24"/>
                <w:szCs w:val="24"/>
              </w:rPr>
              <w:t>7,995,214</w:t>
            </w:r>
          </w:p>
        </w:tc>
        <w:tc>
          <w:tcPr>
            <w:tcW w:w="1924" w:type="dxa"/>
            <w:vAlign w:val="center"/>
          </w:tcPr>
          <w:p w:rsidR="0034561A" w:rsidRDefault="00050B71">
            <w:pPr>
              <w:jc w:val="right"/>
            </w:pPr>
            <w:r>
              <w:rPr>
                <w:color w:val="000000"/>
                <w:sz w:val="24"/>
                <w:szCs w:val="24"/>
              </w:rPr>
              <w:t>189,006,858.96</w:t>
            </w:r>
          </w:p>
        </w:tc>
        <w:tc>
          <w:tcPr>
            <w:tcW w:w="1644" w:type="dxa"/>
            <w:vAlign w:val="center"/>
          </w:tcPr>
          <w:p w:rsidR="0034561A" w:rsidRDefault="00050B71">
            <w:pPr>
              <w:jc w:val="right"/>
            </w:pPr>
            <w:r>
              <w:rPr>
                <w:color w:val="000000"/>
                <w:sz w:val="24"/>
                <w:szCs w:val="24"/>
              </w:rPr>
              <w:t>8.28</w:t>
            </w:r>
          </w:p>
        </w:tc>
      </w:tr>
      <w:tr w:rsidR="0034561A">
        <w:trPr>
          <w:jc w:val="center"/>
        </w:trPr>
        <w:tc>
          <w:tcPr>
            <w:tcW w:w="855" w:type="dxa"/>
            <w:vAlign w:val="center"/>
          </w:tcPr>
          <w:p w:rsidR="0034561A" w:rsidRDefault="00050B71">
            <w:pPr>
              <w:jc w:val="center"/>
            </w:pPr>
            <w:r>
              <w:rPr>
                <w:color w:val="000000"/>
                <w:sz w:val="24"/>
                <w:szCs w:val="24"/>
              </w:rPr>
              <w:t>5</w:t>
            </w:r>
          </w:p>
        </w:tc>
        <w:tc>
          <w:tcPr>
            <w:tcW w:w="1334" w:type="dxa"/>
            <w:vAlign w:val="center"/>
          </w:tcPr>
          <w:p w:rsidR="0034561A" w:rsidRDefault="00050B71">
            <w:pPr>
              <w:jc w:val="center"/>
            </w:pPr>
            <w:r>
              <w:rPr>
                <w:color w:val="000000"/>
                <w:sz w:val="24"/>
                <w:szCs w:val="24"/>
              </w:rPr>
              <w:t>002271</w:t>
            </w:r>
          </w:p>
        </w:tc>
        <w:tc>
          <w:tcPr>
            <w:tcW w:w="1777" w:type="dxa"/>
            <w:vAlign w:val="center"/>
          </w:tcPr>
          <w:p w:rsidR="0034561A" w:rsidRDefault="00050B71">
            <w:pPr>
              <w:jc w:val="center"/>
            </w:pPr>
            <w:r>
              <w:rPr>
                <w:color w:val="000000"/>
                <w:sz w:val="24"/>
                <w:szCs w:val="24"/>
              </w:rPr>
              <w:t>东方雨虹</w:t>
            </w:r>
          </w:p>
        </w:tc>
        <w:tc>
          <w:tcPr>
            <w:tcW w:w="1334" w:type="dxa"/>
            <w:vAlign w:val="center"/>
          </w:tcPr>
          <w:p w:rsidR="0034561A" w:rsidRDefault="00050B71">
            <w:pPr>
              <w:jc w:val="right"/>
            </w:pPr>
            <w:r>
              <w:rPr>
                <w:color w:val="000000"/>
                <w:sz w:val="24"/>
                <w:szCs w:val="24"/>
              </w:rPr>
              <w:t>5,392,085</w:t>
            </w:r>
          </w:p>
        </w:tc>
        <w:tc>
          <w:tcPr>
            <w:tcW w:w="1924" w:type="dxa"/>
            <w:vAlign w:val="center"/>
          </w:tcPr>
          <w:p w:rsidR="0034561A" w:rsidRDefault="00050B71">
            <w:pPr>
              <w:jc w:val="right"/>
            </w:pPr>
            <w:r>
              <w:rPr>
                <w:color w:val="000000"/>
                <w:sz w:val="24"/>
                <w:szCs w:val="24"/>
              </w:rPr>
              <w:t>143,968,669.50</w:t>
            </w:r>
          </w:p>
        </w:tc>
        <w:tc>
          <w:tcPr>
            <w:tcW w:w="1644" w:type="dxa"/>
            <w:vAlign w:val="center"/>
          </w:tcPr>
          <w:p w:rsidR="0034561A" w:rsidRDefault="00050B71">
            <w:pPr>
              <w:jc w:val="right"/>
            </w:pPr>
            <w:r>
              <w:rPr>
                <w:color w:val="000000"/>
                <w:sz w:val="24"/>
                <w:szCs w:val="24"/>
              </w:rPr>
              <w:t>6.31</w:t>
            </w:r>
          </w:p>
        </w:tc>
      </w:tr>
      <w:tr w:rsidR="0034561A">
        <w:trPr>
          <w:jc w:val="center"/>
        </w:trPr>
        <w:tc>
          <w:tcPr>
            <w:tcW w:w="855" w:type="dxa"/>
            <w:vAlign w:val="center"/>
          </w:tcPr>
          <w:p w:rsidR="0034561A" w:rsidRDefault="00050B71">
            <w:pPr>
              <w:jc w:val="center"/>
            </w:pPr>
            <w:r>
              <w:rPr>
                <w:color w:val="000000"/>
                <w:sz w:val="24"/>
                <w:szCs w:val="24"/>
              </w:rPr>
              <w:t>6</w:t>
            </w:r>
          </w:p>
        </w:tc>
        <w:tc>
          <w:tcPr>
            <w:tcW w:w="1334" w:type="dxa"/>
            <w:vAlign w:val="center"/>
          </w:tcPr>
          <w:p w:rsidR="0034561A" w:rsidRDefault="00050B71">
            <w:pPr>
              <w:jc w:val="center"/>
            </w:pPr>
            <w:r>
              <w:rPr>
                <w:color w:val="000000"/>
                <w:sz w:val="24"/>
                <w:szCs w:val="24"/>
              </w:rPr>
              <w:t>000423</w:t>
            </w:r>
          </w:p>
        </w:tc>
        <w:tc>
          <w:tcPr>
            <w:tcW w:w="1777" w:type="dxa"/>
            <w:vAlign w:val="center"/>
          </w:tcPr>
          <w:p w:rsidR="0034561A" w:rsidRDefault="00050B71">
            <w:pPr>
              <w:jc w:val="center"/>
            </w:pPr>
            <w:r>
              <w:rPr>
                <w:color w:val="000000"/>
                <w:sz w:val="24"/>
                <w:szCs w:val="24"/>
              </w:rPr>
              <w:t>东阿阿胶</w:t>
            </w:r>
          </w:p>
        </w:tc>
        <w:tc>
          <w:tcPr>
            <w:tcW w:w="1334" w:type="dxa"/>
            <w:vAlign w:val="center"/>
          </w:tcPr>
          <w:p w:rsidR="0034561A" w:rsidRDefault="00050B71">
            <w:pPr>
              <w:jc w:val="right"/>
            </w:pPr>
            <w:r>
              <w:rPr>
                <w:color w:val="000000"/>
                <w:sz w:val="24"/>
                <w:szCs w:val="24"/>
              </w:rPr>
              <w:t>2,060,025</w:t>
            </w:r>
          </w:p>
        </w:tc>
        <w:tc>
          <w:tcPr>
            <w:tcW w:w="1924" w:type="dxa"/>
            <w:vAlign w:val="center"/>
          </w:tcPr>
          <w:p w:rsidR="0034561A" w:rsidRDefault="00050B71">
            <w:pPr>
              <w:jc w:val="right"/>
            </w:pPr>
            <w:r>
              <w:rPr>
                <w:color w:val="000000"/>
                <w:sz w:val="24"/>
                <w:szCs w:val="24"/>
              </w:rPr>
              <w:t>135,137,640.00</w:t>
            </w:r>
          </w:p>
        </w:tc>
        <w:tc>
          <w:tcPr>
            <w:tcW w:w="1644" w:type="dxa"/>
            <w:vAlign w:val="center"/>
          </w:tcPr>
          <w:p w:rsidR="0034561A" w:rsidRDefault="00050B71">
            <w:pPr>
              <w:jc w:val="right"/>
            </w:pPr>
            <w:r>
              <w:rPr>
                <w:color w:val="000000"/>
                <w:sz w:val="24"/>
                <w:szCs w:val="24"/>
              </w:rPr>
              <w:t>5.92</w:t>
            </w:r>
          </w:p>
        </w:tc>
      </w:tr>
      <w:tr w:rsidR="0034561A">
        <w:trPr>
          <w:jc w:val="center"/>
        </w:trPr>
        <w:tc>
          <w:tcPr>
            <w:tcW w:w="855" w:type="dxa"/>
            <w:vAlign w:val="center"/>
          </w:tcPr>
          <w:p w:rsidR="0034561A" w:rsidRDefault="00050B71">
            <w:pPr>
              <w:jc w:val="center"/>
            </w:pPr>
            <w:r>
              <w:rPr>
                <w:color w:val="000000"/>
                <w:sz w:val="24"/>
                <w:szCs w:val="24"/>
              </w:rPr>
              <w:t>7</w:t>
            </w:r>
          </w:p>
        </w:tc>
        <w:tc>
          <w:tcPr>
            <w:tcW w:w="1334" w:type="dxa"/>
            <w:vAlign w:val="center"/>
          </w:tcPr>
          <w:p w:rsidR="0034561A" w:rsidRDefault="00050B71">
            <w:pPr>
              <w:jc w:val="center"/>
            </w:pPr>
            <w:r>
              <w:rPr>
                <w:color w:val="000000"/>
                <w:sz w:val="24"/>
                <w:szCs w:val="24"/>
              </w:rPr>
              <w:t>600258</w:t>
            </w:r>
          </w:p>
        </w:tc>
        <w:tc>
          <w:tcPr>
            <w:tcW w:w="1777" w:type="dxa"/>
            <w:vAlign w:val="center"/>
          </w:tcPr>
          <w:p w:rsidR="0034561A" w:rsidRDefault="00050B71">
            <w:pPr>
              <w:jc w:val="center"/>
            </w:pPr>
            <w:r>
              <w:rPr>
                <w:color w:val="000000"/>
                <w:sz w:val="24"/>
                <w:szCs w:val="24"/>
              </w:rPr>
              <w:t>首旅酒店</w:t>
            </w:r>
          </w:p>
        </w:tc>
        <w:tc>
          <w:tcPr>
            <w:tcW w:w="1334" w:type="dxa"/>
            <w:vAlign w:val="center"/>
          </w:tcPr>
          <w:p w:rsidR="0034561A" w:rsidRDefault="00050B71">
            <w:pPr>
              <w:jc w:val="right"/>
            </w:pPr>
            <w:r>
              <w:rPr>
                <w:color w:val="000000"/>
                <w:sz w:val="24"/>
                <w:szCs w:val="24"/>
              </w:rPr>
              <w:t>4,845,568</w:t>
            </w:r>
          </w:p>
        </w:tc>
        <w:tc>
          <w:tcPr>
            <w:tcW w:w="1924" w:type="dxa"/>
            <w:vAlign w:val="center"/>
          </w:tcPr>
          <w:p w:rsidR="0034561A" w:rsidRDefault="00050B71">
            <w:pPr>
              <w:jc w:val="right"/>
            </w:pPr>
            <w:r>
              <w:rPr>
                <w:color w:val="000000"/>
                <w:sz w:val="24"/>
                <w:szCs w:val="24"/>
              </w:rPr>
              <w:t>129,618,944.00</w:t>
            </w:r>
          </w:p>
        </w:tc>
        <w:tc>
          <w:tcPr>
            <w:tcW w:w="1644" w:type="dxa"/>
            <w:vAlign w:val="center"/>
          </w:tcPr>
          <w:p w:rsidR="0034561A" w:rsidRDefault="00050B71">
            <w:pPr>
              <w:jc w:val="right"/>
            </w:pPr>
            <w:r>
              <w:rPr>
                <w:color w:val="000000"/>
                <w:sz w:val="24"/>
                <w:szCs w:val="24"/>
              </w:rPr>
              <w:t>5.68</w:t>
            </w:r>
          </w:p>
        </w:tc>
      </w:tr>
      <w:tr w:rsidR="0034561A">
        <w:trPr>
          <w:jc w:val="center"/>
        </w:trPr>
        <w:tc>
          <w:tcPr>
            <w:tcW w:w="855" w:type="dxa"/>
            <w:vAlign w:val="center"/>
          </w:tcPr>
          <w:p w:rsidR="0034561A" w:rsidRDefault="00050B71">
            <w:pPr>
              <w:jc w:val="center"/>
            </w:pPr>
            <w:r>
              <w:rPr>
                <w:color w:val="000000"/>
                <w:sz w:val="24"/>
                <w:szCs w:val="24"/>
              </w:rPr>
              <w:t>8</w:t>
            </w:r>
          </w:p>
        </w:tc>
        <w:tc>
          <w:tcPr>
            <w:tcW w:w="1334" w:type="dxa"/>
            <w:vAlign w:val="center"/>
          </w:tcPr>
          <w:p w:rsidR="0034561A" w:rsidRDefault="00050B71">
            <w:pPr>
              <w:jc w:val="center"/>
            </w:pPr>
            <w:r>
              <w:rPr>
                <w:color w:val="000000"/>
                <w:sz w:val="24"/>
                <w:szCs w:val="24"/>
              </w:rPr>
              <w:t>000333</w:t>
            </w:r>
          </w:p>
        </w:tc>
        <w:tc>
          <w:tcPr>
            <w:tcW w:w="1777" w:type="dxa"/>
            <w:vAlign w:val="center"/>
          </w:tcPr>
          <w:p w:rsidR="0034561A" w:rsidRDefault="00050B71">
            <w:pPr>
              <w:jc w:val="center"/>
            </w:pPr>
            <w:r>
              <w:rPr>
                <w:color w:val="000000"/>
                <w:sz w:val="24"/>
                <w:szCs w:val="24"/>
              </w:rPr>
              <w:t>美的集团</w:t>
            </w:r>
          </w:p>
        </w:tc>
        <w:tc>
          <w:tcPr>
            <w:tcW w:w="1334" w:type="dxa"/>
            <w:vAlign w:val="center"/>
          </w:tcPr>
          <w:p w:rsidR="0034561A" w:rsidRDefault="00050B71">
            <w:pPr>
              <w:jc w:val="right"/>
            </w:pPr>
            <w:r>
              <w:rPr>
                <w:color w:val="000000"/>
                <w:sz w:val="24"/>
                <w:szCs w:val="24"/>
              </w:rPr>
              <w:t>3,000,025</w:t>
            </w:r>
          </w:p>
        </w:tc>
        <w:tc>
          <w:tcPr>
            <w:tcW w:w="1924" w:type="dxa"/>
            <w:vAlign w:val="center"/>
          </w:tcPr>
          <w:p w:rsidR="0034561A" w:rsidRDefault="00050B71">
            <w:pPr>
              <w:jc w:val="right"/>
            </w:pPr>
            <w:r>
              <w:rPr>
                <w:color w:val="000000"/>
                <w:sz w:val="24"/>
                <w:szCs w:val="24"/>
              </w:rPr>
              <w:t>99,900,832.50</w:t>
            </w:r>
          </w:p>
        </w:tc>
        <w:tc>
          <w:tcPr>
            <w:tcW w:w="1644" w:type="dxa"/>
            <w:vAlign w:val="center"/>
          </w:tcPr>
          <w:p w:rsidR="0034561A" w:rsidRDefault="00050B71">
            <w:pPr>
              <w:jc w:val="right"/>
            </w:pPr>
            <w:r>
              <w:rPr>
                <w:color w:val="000000"/>
                <w:sz w:val="24"/>
                <w:szCs w:val="24"/>
              </w:rPr>
              <w:t>4.38</w:t>
            </w:r>
          </w:p>
        </w:tc>
      </w:tr>
      <w:tr w:rsidR="0034561A">
        <w:trPr>
          <w:jc w:val="center"/>
        </w:trPr>
        <w:tc>
          <w:tcPr>
            <w:tcW w:w="855" w:type="dxa"/>
            <w:vAlign w:val="center"/>
          </w:tcPr>
          <w:p w:rsidR="0034561A" w:rsidRDefault="00050B71">
            <w:pPr>
              <w:jc w:val="center"/>
            </w:pPr>
            <w:r>
              <w:rPr>
                <w:color w:val="000000"/>
                <w:sz w:val="24"/>
                <w:szCs w:val="24"/>
              </w:rPr>
              <w:t>9</w:t>
            </w:r>
          </w:p>
        </w:tc>
        <w:tc>
          <w:tcPr>
            <w:tcW w:w="1334" w:type="dxa"/>
            <w:vAlign w:val="center"/>
          </w:tcPr>
          <w:p w:rsidR="0034561A" w:rsidRDefault="00050B71">
            <w:pPr>
              <w:jc w:val="center"/>
            </w:pPr>
            <w:r>
              <w:rPr>
                <w:color w:val="000000"/>
                <w:sz w:val="24"/>
                <w:szCs w:val="24"/>
              </w:rPr>
              <w:t>600521</w:t>
            </w:r>
          </w:p>
        </w:tc>
        <w:tc>
          <w:tcPr>
            <w:tcW w:w="1777" w:type="dxa"/>
            <w:vAlign w:val="center"/>
          </w:tcPr>
          <w:p w:rsidR="0034561A" w:rsidRDefault="00050B71">
            <w:pPr>
              <w:jc w:val="center"/>
            </w:pPr>
            <w:r>
              <w:rPr>
                <w:color w:val="000000"/>
                <w:sz w:val="24"/>
                <w:szCs w:val="24"/>
              </w:rPr>
              <w:t>华海药业</w:t>
            </w:r>
          </w:p>
        </w:tc>
        <w:tc>
          <w:tcPr>
            <w:tcW w:w="1334" w:type="dxa"/>
            <w:vAlign w:val="center"/>
          </w:tcPr>
          <w:p w:rsidR="0034561A" w:rsidRDefault="00050B71">
            <w:pPr>
              <w:jc w:val="right"/>
            </w:pPr>
            <w:r>
              <w:rPr>
                <w:color w:val="000000"/>
                <w:sz w:val="24"/>
                <w:szCs w:val="24"/>
              </w:rPr>
              <w:t>4,396,671</w:t>
            </w:r>
          </w:p>
        </w:tc>
        <w:tc>
          <w:tcPr>
            <w:tcW w:w="1924" w:type="dxa"/>
            <w:vAlign w:val="center"/>
          </w:tcPr>
          <w:p w:rsidR="0034561A" w:rsidRDefault="00050B71">
            <w:pPr>
              <w:jc w:val="right"/>
            </w:pPr>
            <w:r>
              <w:rPr>
                <w:color w:val="000000"/>
                <w:sz w:val="24"/>
                <w:szCs w:val="24"/>
              </w:rPr>
              <w:t>96,726,762.00</w:t>
            </w:r>
          </w:p>
        </w:tc>
        <w:tc>
          <w:tcPr>
            <w:tcW w:w="1644" w:type="dxa"/>
            <w:vAlign w:val="center"/>
          </w:tcPr>
          <w:p w:rsidR="0034561A" w:rsidRDefault="00050B71">
            <w:pPr>
              <w:jc w:val="right"/>
            </w:pPr>
            <w:r>
              <w:rPr>
                <w:color w:val="000000"/>
                <w:sz w:val="24"/>
                <w:szCs w:val="24"/>
              </w:rPr>
              <w:t>4.24</w:t>
            </w:r>
          </w:p>
        </w:tc>
      </w:tr>
      <w:tr w:rsidR="0034561A">
        <w:trPr>
          <w:jc w:val="center"/>
        </w:trPr>
        <w:tc>
          <w:tcPr>
            <w:tcW w:w="855" w:type="dxa"/>
            <w:vAlign w:val="center"/>
          </w:tcPr>
          <w:p w:rsidR="0034561A" w:rsidRDefault="00050B71">
            <w:pPr>
              <w:jc w:val="center"/>
            </w:pPr>
            <w:r>
              <w:rPr>
                <w:color w:val="000000"/>
                <w:sz w:val="24"/>
                <w:szCs w:val="24"/>
              </w:rPr>
              <w:t>10</w:t>
            </w:r>
          </w:p>
        </w:tc>
        <w:tc>
          <w:tcPr>
            <w:tcW w:w="1334" w:type="dxa"/>
            <w:vAlign w:val="center"/>
          </w:tcPr>
          <w:p w:rsidR="0034561A" w:rsidRDefault="00050B71">
            <w:pPr>
              <w:jc w:val="center"/>
            </w:pPr>
            <w:r>
              <w:rPr>
                <w:color w:val="000000"/>
                <w:sz w:val="24"/>
                <w:szCs w:val="24"/>
              </w:rPr>
              <w:t>002460</w:t>
            </w:r>
          </w:p>
        </w:tc>
        <w:tc>
          <w:tcPr>
            <w:tcW w:w="1777" w:type="dxa"/>
            <w:vAlign w:val="center"/>
          </w:tcPr>
          <w:p w:rsidR="0034561A" w:rsidRDefault="00050B71">
            <w:pPr>
              <w:jc w:val="center"/>
            </w:pPr>
            <w:r>
              <w:rPr>
                <w:color w:val="000000"/>
                <w:sz w:val="24"/>
                <w:szCs w:val="24"/>
              </w:rPr>
              <w:t>赣锋锂业</w:t>
            </w:r>
          </w:p>
        </w:tc>
        <w:tc>
          <w:tcPr>
            <w:tcW w:w="1334" w:type="dxa"/>
            <w:vAlign w:val="center"/>
          </w:tcPr>
          <w:p w:rsidR="0034561A" w:rsidRDefault="00050B71">
            <w:pPr>
              <w:jc w:val="right"/>
            </w:pPr>
            <w:r>
              <w:rPr>
                <w:color w:val="000000"/>
                <w:sz w:val="24"/>
                <w:szCs w:val="24"/>
              </w:rPr>
              <w:t>1,849,424</w:t>
            </w:r>
          </w:p>
        </w:tc>
        <w:tc>
          <w:tcPr>
            <w:tcW w:w="1924" w:type="dxa"/>
            <w:vAlign w:val="center"/>
          </w:tcPr>
          <w:p w:rsidR="0034561A" w:rsidRDefault="00050B71">
            <w:pPr>
              <w:jc w:val="right"/>
            </w:pPr>
            <w:r>
              <w:rPr>
                <w:color w:val="000000"/>
                <w:sz w:val="24"/>
                <w:szCs w:val="24"/>
              </w:rPr>
              <w:t>76,436,693.92</w:t>
            </w:r>
          </w:p>
        </w:tc>
        <w:tc>
          <w:tcPr>
            <w:tcW w:w="1644" w:type="dxa"/>
            <w:vAlign w:val="center"/>
          </w:tcPr>
          <w:p w:rsidR="0034561A" w:rsidRDefault="00050B71">
            <w:pPr>
              <w:jc w:val="right"/>
            </w:pPr>
            <w:r>
              <w:rPr>
                <w:color w:val="000000"/>
                <w:sz w:val="24"/>
                <w:szCs w:val="24"/>
              </w:rPr>
              <w:t>3.35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9,934,000.00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99,960,000.00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9,200.82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109,903,200.82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4561A">
        <w:trPr>
          <w:jc w:val="center"/>
        </w:trPr>
        <w:tc>
          <w:tcPr>
            <w:tcW w:w="850" w:type="dxa"/>
            <w:vAlign w:val="center"/>
          </w:tcPr>
          <w:p w:rsidR="0034561A" w:rsidRDefault="00050B71">
            <w:pPr>
              <w:jc w:val="center"/>
            </w:pPr>
            <w:r>
              <w:rPr>
                <w:color w:val="000000"/>
                <w:sz w:val="24"/>
                <w:szCs w:val="24"/>
              </w:rPr>
              <w:t>1</w:t>
            </w:r>
          </w:p>
        </w:tc>
        <w:tc>
          <w:tcPr>
            <w:tcW w:w="1475" w:type="dxa"/>
            <w:vAlign w:val="center"/>
          </w:tcPr>
          <w:p w:rsidR="0034561A" w:rsidRDefault="00050B71">
            <w:pPr>
              <w:jc w:val="center"/>
            </w:pPr>
            <w:r>
              <w:rPr>
                <w:color w:val="000000"/>
                <w:sz w:val="24"/>
                <w:szCs w:val="24"/>
              </w:rPr>
              <w:t>160304</w:t>
            </w:r>
          </w:p>
        </w:tc>
        <w:tc>
          <w:tcPr>
            <w:tcW w:w="1769" w:type="dxa"/>
            <w:vAlign w:val="center"/>
          </w:tcPr>
          <w:p w:rsidR="0034561A" w:rsidRDefault="00050B71">
            <w:pPr>
              <w:jc w:val="center"/>
            </w:pPr>
            <w:r>
              <w:rPr>
                <w:color w:val="000000"/>
                <w:sz w:val="24"/>
                <w:szCs w:val="24"/>
              </w:rPr>
              <w:t>16</w:t>
            </w:r>
            <w:r>
              <w:rPr>
                <w:color w:val="000000"/>
                <w:sz w:val="24"/>
                <w:szCs w:val="24"/>
              </w:rPr>
              <w:t>进出</w:t>
            </w:r>
            <w:r>
              <w:rPr>
                <w:color w:val="000000"/>
                <w:sz w:val="24"/>
                <w:szCs w:val="24"/>
              </w:rPr>
              <w:t>04</w:t>
            </w:r>
          </w:p>
        </w:tc>
        <w:tc>
          <w:tcPr>
            <w:tcW w:w="1387" w:type="dxa"/>
            <w:vAlign w:val="center"/>
          </w:tcPr>
          <w:p w:rsidR="0034561A" w:rsidRDefault="00050B71">
            <w:pPr>
              <w:jc w:val="right"/>
            </w:pPr>
            <w:r>
              <w:rPr>
                <w:color w:val="000000"/>
                <w:sz w:val="24"/>
                <w:szCs w:val="24"/>
              </w:rPr>
              <w:t>1,000,000</w:t>
            </w:r>
          </w:p>
        </w:tc>
        <w:tc>
          <w:tcPr>
            <w:tcW w:w="2150" w:type="dxa"/>
            <w:vAlign w:val="center"/>
          </w:tcPr>
          <w:p w:rsidR="0034561A" w:rsidRDefault="00050B71">
            <w:pPr>
              <w:jc w:val="right"/>
            </w:pPr>
            <w:r>
              <w:rPr>
                <w:color w:val="000000"/>
                <w:sz w:val="24"/>
                <w:szCs w:val="24"/>
              </w:rPr>
              <w:t>99,960,000.00</w:t>
            </w:r>
          </w:p>
        </w:tc>
        <w:tc>
          <w:tcPr>
            <w:tcW w:w="1237" w:type="dxa"/>
            <w:vAlign w:val="center"/>
          </w:tcPr>
          <w:p w:rsidR="0034561A" w:rsidRDefault="00050B71">
            <w:pPr>
              <w:jc w:val="right"/>
            </w:pPr>
            <w:r>
              <w:rPr>
                <w:color w:val="000000"/>
                <w:sz w:val="24"/>
                <w:szCs w:val="24"/>
              </w:rPr>
              <w:t>4.38</w:t>
            </w:r>
          </w:p>
        </w:tc>
      </w:tr>
      <w:tr w:rsidR="0034561A">
        <w:trPr>
          <w:jc w:val="center"/>
        </w:trPr>
        <w:tc>
          <w:tcPr>
            <w:tcW w:w="850" w:type="dxa"/>
            <w:vAlign w:val="center"/>
          </w:tcPr>
          <w:p w:rsidR="0034561A" w:rsidRDefault="00050B71">
            <w:pPr>
              <w:jc w:val="center"/>
            </w:pPr>
            <w:r>
              <w:rPr>
                <w:color w:val="000000"/>
                <w:sz w:val="24"/>
                <w:szCs w:val="24"/>
              </w:rPr>
              <w:t>2</w:t>
            </w:r>
          </w:p>
        </w:tc>
        <w:tc>
          <w:tcPr>
            <w:tcW w:w="1475" w:type="dxa"/>
            <w:vAlign w:val="center"/>
          </w:tcPr>
          <w:p w:rsidR="0034561A" w:rsidRDefault="00050B71">
            <w:pPr>
              <w:jc w:val="center"/>
            </w:pPr>
            <w:r>
              <w:rPr>
                <w:color w:val="000000"/>
                <w:sz w:val="24"/>
                <w:szCs w:val="24"/>
              </w:rPr>
              <w:t>169958</w:t>
            </w:r>
          </w:p>
        </w:tc>
        <w:tc>
          <w:tcPr>
            <w:tcW w:w="1769" w:type="dxa"/>
            <w:vAlign w:val="center"/>
          </w:tcPr>
          <w:p w:rsidR="0034561A" w:rsidRDefault="00050B71">
            <w:pPr>
              <w:jc w:val="center"/>
            </w:pPr>
            <w:r>
              <w:rPr>
                <w:color w:val="000000"/>
                <w:sz w:val="24"/>
                <w:szCs w:val="24"/>
              </w:rPr>
              <w:t>16</w:t>
            </w:r>
            <w:r>
              <w:rPr>
                <w:color w:val="000000"/>
                <w:sz w:val="24"/>
                <w:szCs w:val="24"/>
              </w:rPr>
              <w:t>贴现国债</w:t>
            </w:r>
            <w:r>
              <w:rPr>
                <w:color w:val="000000"/>
                <w:sz w:val="24"/>
                <w:szCs w:val="24"/>
              </w:rPr>
              <w:t>58</w:t>
            </w:r>
          </w:p>
        </w:tc>
        <w:tc>
          <w:tcPr>
            <w:tcW w:w="1387" w:type="dxa"/>
            <w:vAlign w:val="center"/>
          </w:tcPr>
          <w:p w:rsidR="0034561A" w:rsidRDefault="00050B71">
            <w:pPr>
              <w:jc w:val="right"/>
            </w:pPr>
            <w:r>
              <w:rPr>
                <w:color w:val="000000"/>
                <w:sz w:val="24"/>
                <w:szCs w:val="24"/>
              </w:rPr>
              <w:t>100,000</w:t>
            </w:r>
          </w:p>
        </w:tc>
        <w:tc>
          <w:tcPr>
            <w:tcW w:w="2150" w:type="dxa"/>
            <w:vAlign w:val="center"/>
          </w:tcPr>
          <w:p w:rsidR="0034561A" w:rsidRDefault="00050B71">
            <w:pPr>
              <w:jc w:val="right"/>
            </w:pPr>
            <w:r>
              <w:rPr>
                <w:color w:val="000000"/>
                <w:sz w:val="24"/>
                <w:szCs w:val="24"/>
              </w:rPr>
              <w:t>9,934,000.00</w:t>
            </w:r>
          </w:p>
        </w:tc>
        <w:tc>
          <w:tcPr>
            <w:tcW w:w="1237" w:type="dxa"/>
            <w:vAlign w:val="center"/>
          </w:tcPr>
          <w:p w:rsidR="0034561A" w:rsidRDefault="00050B71">
            <w:pPr>
              <w:jc w:val="right"/>
            </w:pPr>
            <w:r>
              <w:rPr>
                <w:color w:val="000000"/>
                <w:sz w:val="24"/>
                <w:szCs w:val="24"/>
              </w:rPr>
              <w:t>0.44</w:t>
            </w:r>
          </w:p>
        </w:tc>
      </w:tr>
      <w:tr w:rsidR="0034561A">
        <w:trPr>
          <w:jc w:val="center"/>
        </w:trPr>
        <w:tc>
          <w:tcPr>
            <w:tcW w:w="850" w:type="dxa"/>
            <w:vAlign w:val="center"/>
          </w:tcPr>
          <w:p w:rsidR="0034561A" w:rsidRDefault="00050B71">
            <w:pPr>
              <w:jc w:val="center"/>
            </w:pPr>
            <w:r>
              <w:rPr>
                <w:color w:val="000000"/>
                <w:sz w:val="24"/>
                <w:szCs w:val="24"/>
              </w:rPr>
              <w:t>3</w:t>
            </w:r>
          </w:p>
        </w:tc>
        <w:tc>
          <w:tcPr>
            <w:tcW w:w="1475" w:type="dxa"/>
            <w:vAlign w:val="center"/>
          </w:tcPr>
          <w:p w:rsidR="0034561A" w:rsidRDefault="00050B71">
            <w:pPr>
              <w:jc w:val="center"/>
            </w:pPr>
            <w:r>
              <w:rPr>
                <w:color w:val="000000"/>
                <w:sz w:val="24"/>
                <w:szCs w:val="24"/>
              </w:rPr>
              <w:t>123001</w:t>
            </w:r>
          </w:p>
        </w:tc>
        <w:tc>
          <w:tcPr>
            <w:tcW w:w="1769" w:type="dxa"/>
            <w:vAlign w:val="center"/>
          </w:tcPr>
          <w:p w:rsidR="0034561A" w:rsidRDefault="00050B71">
            <w:pPr>
              <w:jc w:val="center"/>
            </w:pPr>
            <w:r>
              <w:rPr>
                <w:color w:val="000000"/>
                <w:sz w:val="24"/>
                <w:szCs w:val="24"/>
              </w:rPr>
              <w:t>蓝标转债</w:t>
            </w:r>
          </w:p>
        </w:tc>
        <w:tc>
          <w:tcPr>
            <w:tcW w:w="1387" w:type="dxa"/>
            <w:vAlign w:val="center"/>
          </w:tcPr>
          <w:p w:rsidR="0034561A" w:rsidRDefault="00050B71">
            <w:pPr>
              <w:jc w:val="right"/>
            </w:pPr>
            <w:r>
              <w:rPr>
                <w:color w:val="000000"/>
                <w:sz w:val="24"/>
                <w:szCs w:val="24"/>
              </w:rPr>
              <w:t>89</w:t>
            </w:r>
          </w:p>
        </w:tc>
        <w:tc>
          <w:tcPr>
            <w:tcW w:w="2150" w:type="dxa"/>
            <w:vAlign w:val="center"/>
          </w:tcPr>
          <w:p w:rsidR="0034561A" w:rsidRDefault="00050B71">
            <w:pPr>
              <w:jc w:val="right"/>
            </w:pPr>
            <w:r>
              <w:rPr>
                <w:color w:val="000000"/>
                <w:sz w:val="24"/>
                <w:szCs w:val="24"/>
              </w:rPr>
              <w:t>9,200.82</w:t>
            </w:r>
          </w:p>
        </w:tc>
        <w:tc>
          <w:tcPr>
            <w:tcW w:w="1237" w:type="dxa"/>
            <w:vAlign w:val="center"/>
          </w:tcPr>
          <w:p w:rsidR="0034561A" w:rsidRDefault="00050B71">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681,050.38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2,462,720.03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1,801,437.58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4,945,207.99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34561A">
        <w:trPr>
          <w:jc w:val="center"/>
        </w:trPr>
        <w:tc>
          <w:tcPr>
            <w:tcW w:w="1883" w:type="dxa"/>
            <w:vAlign w:val="center"/>
          </w:tcPr>
          <w:p w:rsidR="0034561A" w:rsidRDefault="00050B71">
            <w:pPr>
              <w:jc w:val="center"/>
            </w:pPr>
            <w:r>
              <w:rPr>
                <w:color w:val="000000"/>
                <w:sz w:val="24"/>
                <w:szCs w:val="24"/>
              </w:rPr>
              <w:t>1</w:t>
            </w:r>
          </w:p>
        </w:tc>
        <w:tc>
          <w:tcPr>
            <w:tcW w:w="1801" w:type="dxa"/>
            <w:vAlign w:val="center"/>
          </w:tcPr>
          <w:p w:rsidR="0034561A" w:rsidRDefault="00050B71">
            <w:pPr>
              <w:jc w:val="center"/>
            </w:pPr>
            <w:r>
              <w:rPr>
                <w:color w:val="000000"/>
                <w:sz w:val="24"/>
                <w:szCs w:val="24"/>
              </w:rPr>
              <w:t>123001</w:t>
            </w:r>
          </w:p>
        </w:tc>
        <w:tc>
          <w:tcPr>
            <w:tcW w:w="1727" w:type="dxa"/>
            <w:vAlign w:val="center"/>
          </w:tcPr>
          <w:p w:rsidR="0034561A" w:rsidRDefault="00050B71">
            <w:pPr>
              <w:jc w:val="center"/>
            </w:pPr>
            <w:r>
              <w:rPr>
                <w:color w:val="000000"/>
                <w:sz w:val="24"/>
                <w:szCs w:val="24"/>
              </w:rPr>
              <w:t>蓝标转债</w:t>
            </w:r>
          </w:p>
        </w:tc>
        <w:tc>
          <w:tcPr>
            <w:tcW w:w="1768" w:type="dxa"/>
            <w:vAlign w:val="center"/>
          </w:tcPr>
          <w:p w:rsidR="0034561A" w:rsidRDefault="00050B71">
            <w:pPr>
              <w:jc w:val="right"/>
            </w:pPr>
            <w:r>
              <w:rPr>
                <w:color w:val="000000"/>
                <w:sz w:val="24"/>
                <w:szCs w:val="24"/>
              </w:rPr>
              <w:t>9,200.82</w:t>
            </w:r>
          </w:p>
        </w:tc>
        <w:tc>
          <w:tcPr>
            <w:tcW w:w="1689" w:type="dxa"/>
            <w:vAlign w:val="center"/>
          </w:tcPr>
          <w:p w:rsidR="0034561A" w:rsidRDefault="00050B71">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1,885,011,251.98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47,754,111.92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63,967,303.25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1,868,798,060.65</w:t>
            </w:r>
          </w:p>
        </w:tc>
      </w:tr>
    </w:tbl>
    <w:p w:rsidR="0034561A" w:rsidRDefault="00050B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50B7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050B7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4561A" w:rsidRDefault="00050B7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34561A" w:rsidRDefault="00050B7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34561A" w:rsidRDefault="00050B7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34561A" w:rsidRDefault="00050B7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34561A" w:rsidRDefault="00050B7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34561A" w:rsidRDefault="00050B7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4561A" w:rsidRDefault="00050B7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4561A" w:rsidRDefault="00050B7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FB8" w:rsidRDefault="001C5FB8" w:rsidP="00876D65">
      <w:r>
        <w:separator/>
      </w:r>
    </w:p>
  </w:endnote>
  <w:endnote w:type="continuationSeparator" w:id="0">
    <w:p w:rsidR="001C5FB8" w:rsidRDefault="001C5FB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34561A">
      <w:rPr>
        <w:kern w:val="0"/>
        <w:szCs w:val="21"/>
      </w:rPr>
      <w:fldChar w:fldCharType="begin"/>
    </w:r>
    <w:r>
      <w:rPr>
        <w:kern w:val="0"/>
        <w:szCs w:val="21"/>
      </w:rPr>
      <w:instrText xml:space="preserve"> PAGE </w:instrText>
    </w:r>
    <w:r w:rsidR="0034561A">
      <w:rPr>
        <w:kern w:val="0"/>
        <w:szCs w:val="21"/>
      </w:rPr>
      <w:fldChar w:fldCharType="separate"/>
    </w:r>
    <w:r w:rsidR="00ED56E8">
      <w:rPr>
        <w:noProof/>
        <w:kern w:val="0"/>
        <w:szCs w:val="21"/>
      </w:rPr>
      <w:t>1</w:t>
    </w:r>
    <w:r w:rsidR="0034561A">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34561A">
      <w:rPr>
        <w:kern w:val="0"/>
        <w:szCs w:val="21"/>
      </w:rPr>
      <w:fldChar w:fldCharType="begin"/>
    </w:r>
    <w:r>
      <w:rPr>
        <w:kern w:val="0"/>
        <w:szCs w:val="21"/>
      </w:rPr>
      <w:instrText xml:space="preserve"> NUMPAGES </w:instrText>
    </w:r>
    <w:r w:rsidR="0034561A">
      <w:rPr>
        <w:kern w:val="0"/>
        <w:szCs w:val="21"/>
      </w:rPr>
      <w:fldChar w:fldCharType="separate"/>
    </w:r>
    <w:r w:rsidR="00ED56E8">
      <w:rPr>
        <w:noProof/>
        <w:kern w:val="0"/>
        <w:szCs w:val="21"/>
      </w:rPr>
      <w:t>11</w:t>
    </w:r>
    <w:r w:rsidR="0034561A">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FB8" w:rsidRDefault="001C5FB8" w:rsidP="00876D65">
      <w:r>
        <w:separator/>
      </w:r>
    </w:p>
  </w:footnote>
  <w:footnote w:type="continuationSeparator" w:id="0">
    <w:p w:rsidR="001C5FB8" w:rsidRDefault="001C5FB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50B71"/>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5FB8"/>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61A"/>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56E8"/>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DB4CDC-F7EA-46E9-A00E-F46F3750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EAC9C-75EE-4A59-A738-ACE73906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1056</Words>
  <Characters>6021</Characters>
  <Application>Microsoft Office Word</Application>
  <DocSecurity>0</DocSecurity>
  <Lines>50</Lines>
  <Paragraphs>14</Paragraphs>
  <ScaleCrop>false</ScaleCrop>
  <Company/>
  <LinksUpToDate>false</LinksUpToDate>
  <CharactersWithSpaces>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2017-04-20T09:07:00Z</dcterms:created>
  <dcterms:modified xsi:type="dcterms:W3CDTF">2017-04-20T09:07:00Z</dcterms:modified>
</cp:coreProperties>
</file>