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9670B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C1427" w:rsidRDefault="0043308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670B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5,353,186,033.54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670B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869C8" w:rsidRPr="00414345" w:rsidTr="004869C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869C8" w:rsidRPr="00414345" w:rsidTr="004869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16,097,789.82</w:t>
            </w:r>
          </w:p>
        </w:tc>
      </w:tr>
      <w:tr w:rsidR="004869C8" w:rsidRPr="00414345" w:rsidTr="004869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-31,485,064.66</w:t>
            </w:r>
          </w:p>
        </w:tc>
      </w:tr>
      <w:tr w:rsidR="004869C8" w:rsidRPr="00414345" w:rsidTr="004869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-0.0055</w:t>
            </w:r>
          </w:p>
        </w:tc>
      </w:tr>
      <w:tr w:rsidR="004869C8" w:rsidRPr="00414345" w:rsidTr="004869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3,005,464,157.92</w:t>
            </w:r>
          </w:p>
        </w:tc>
      </w:tr>
      <w:tr w:rsidR="004869C8" w:rsidRPr="00414345" w:rsidTr="004869C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0.5614</w:t>
            </w:r>
          </w:p>
        </w:tc>
      </w:tr>
    </w:tbl>
    <w:p w:rsidR="000C1427" w:rsidRDefault="0043308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C1427">
        <w:trPr>
          <w:jc w:val="center"/>
        </w:trPr>
        <w:tc>
          <w:tcPr>
            <w:tcW w:w="1701" w:type="dxa"/>
            <w:vAlign w:val="center"/>
          </w:tcPr>
          <w:p w:rsidR="000C1427" w:rsidRDefault="00433084">
            <w:pPr>
              <w:jc w:val="left"/>
            </w:pPr>
            <w:r>
              <w:rPr>
                <w:color w:val="000000"/>
                <w:sz w:val="24"/>
                <w:szCs w:val="24"/>
              </w:rPr>
              <w:t>过去三个月</w:t>
            </w:r>
          </w:p>
        </w:tc>
        <w:tc>
          <w:tcPr>
            <w:tcW w:w="1045" w:type="dxa"/>
            <w:vAlign w:val="center"/>
          </w:tcPr>
          <w:p w:rsidR="000C1427" w:rsidRDefault="00433084">
            <w:pPr>
              <w:jc w:val="center"/>
            </w:pPr>
            <w:r>
              <w:rPr>
                <w:color w:val="000000"/>
                <w:sz w:val="24"/>
                <w:szCs w:val="24"/>
              </w:rPr>
              <w:t>-1.20%</w:t>
            </w:r>
          </w:p>
        </w:tc>
        <w:tc>
          <w:tcPr>
            <w:tcW w:w="1344" w:type="dxa"/>
            <w:vAlign w:val="center"/>
          </w:tcPr>
          <w:p w:rsidR="000C1427" w:rsidRDefault="00433084">
            <w:pPr>
              <w:jc w:val="center"/>
            </w:pPr>
            <w:r>
              <w:rPr>
                <w:color w:val="000000"/>
                <w:sz w:val="24"/>
                <w:szCs w:val="24"/>
              </w:rPr>
              <w:t>0.74%</w:t>
            </w:r>
          </w:p>
        </w:tc>
        <w:tc>
          <w:tcPr>
            <w:tcW w:w="1194" w:type="dxa"/>
            <w:vAlign w:val="center"/>
          </w:tcPr>
          <w:p w:rsidR="000C1427" w:rsidRDefault="00433084">
            <w:pPr>
              <w:jc w:val="center"/>
            </w:pPr>
            <w:r>
              <w:rPr>
                <w:color w:val="000000"/>
                <w:sz w:val="24"/>
                <w:szCs w:val="24"/>
              </w:rPr>
              <w:t>3.27%</w:t>
            </w:r>
          </w:p>
        </w:tc>
        <w:tc>
          <w:tcPr>
            <w:tcW w:w="1492" w:type="dxa"/>
            <w:vAlign w:val="center"/>
          </w:tcPr>
          <w:p w:rsidR="000C1427" w:rsidRDefault="00433084">
            <w:pPr>
              <w:jc w:val="center"/>
            </w:pPr>
            <w:r>
              <w:rPr>
                <w:color w:val="000000"/>
                <w:sz w:val="24"/>
                <w:szCs w:val="24"/>
              </w:rPr>
              <w:t>0.39%</w:t>
            </w:r>
          </w:p>
        </w:tc>
        <w:tc>
          <w:tcPr>
            <w:tcW w:w="1194" w:type="dxa"/>
            <w:vAlign w:val="center"/>
          </w:tcPr>
          <w:p w:rsidR="000C1427" w:rsidRDefault="00433084">
            <w:pPr>
              <w:jc w:val="center"/>
            </w:pPr>
            <w:r>
              <w:rPr>
                <w:color w:val="000000"/>
                <w:sz w:val="24"/>
                <w:szCs w:val="24"/>
              </w:rPr>
              <w:t>-4.47%</w:t>
            </w:r>
          </w:p>
        </w:tc>
        <w:tc>
          <w:tcPr>
            <w:tcW w:w="898" w:type="dxa"/>
            <w:vAlign w:val="center"/>
          </w:tcPr>
          <w:p w:rsidR="000C1427" w:rsidRDefault="00433084">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9670B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C1427">
        <w:trPr>
          <w:jc w:val="center"/>
        </w:trPr>
        <w:tc>
          <w:tcPr>
            <w:tcW w:w="846" w:type="dxa"/>
            <w:vAlign w:val="center"/>
          </w:tcPr>
          <w:p w:rsidR="000C1427" w:rsidRDefault="00433084">
            <w:pPr>
              <w:jc w:val="center"/>
            </w:pPr>
            <w:r>
              <w:rPr>
                <w:color w:val="000000"/>
                <w:sz w:val="24"/>
                <w:szCs w:val="24"/>
              </w:rPr>
              <w:t>曹文俊</w:t>
            </w:r>
          </w:p>
        </w:tc>
        <w:tc>
          <w:tcPr>
            <w:tcW w:w="845" w:type="dxa"/>
            <w:vAlign w:val="center"/>
          </w:tcPr>
          <w:p w:rsidR="000C1427" w:rsidRDefault="00433084">
            <w:pPr>
              <w:jc w:val="center"/>
            </w:pPr>
            <w:r>
              <w:rPr>
                <w:color w:val="000000"/>
                <w:sz w:val="24"/>
                <w:szCs w:val="24"/>
              </w:rPr>
              <w:t>交银精选混合、交银趋势混合的基金经理</w:t>
            </w:r>
          </w:p>
        </w:tc>
        <w:tc>
          <w:tcPr>
            <w:tcW w:w="1549" w:type="dxa"/>
            <w:vAlign w:val="center"/>
          </w:tcPr>
          <w:p w:rsidR="000C1427" w:rsidRDefault="00433084">
            <w:pPr>
              <w:jc w:val="center"/>
            </w:pPr>
            <w:r>
              <w:rPr>
                <w:color w:val="000000"/>
                <w:sz w:val="24"/>
                <w:szCs w:val="24"/>
              </w:rPr>
              <w:t>2014-10-22</w:t>
            </w:r>
          </w:p>
        </w:tc>
        <w:tc>
          <w:tcPr>
            <w:tcW w:w="1548" w:type="dxa"/>
            <w:vAlign w:val="center"/>
          </w:tcPr>
          <w:p w:rsidR="000C1427" w:rsidRDefault="00433084">
            <w:pPr>
              <w:jc w:val="center"/>
            </w:pPr>
            <w:r>
              <w:rPr>
                <w:color w:val="000000"/>
                <w:sz w:val="24"/>
                <w:szCs w:val="24"/>
              </w:rPr>
              <w:t>-</w:t>
            </w:r>
          </w:p>
        </w:tc>
        <w:tc>
          <w:tcPr>
            <w:tcW w:w="1407" w:type="dxa"/>
            <w:vAlign w:val="center"/>
          </w:tcPr>
          <w:p w:rsidR="000C1427" w:rsidRDefault="00433084">
            <w:pPr>
              <w:jc w:val="center"/>
            </w:pPr>
            <w:r>
              <w:rPr>
                <w:color w:val="000000"/>
                <w:sz w:val="24"/>
                <w:szCs w:val="24"/>
              </w:rPr>
              <w:t>12</w:t>
            </w:r>
            <w:r>
              <w:rPr>
                <w:color w:val="000000"/>
                <w:sz w:val="24"/>
                <w:szCs w:val="24"/>
              </w:rPr>
              <w:t>年</w:t>
            </w:r>
          </w:p>
        </w:tc>
        <w:tc>
          <w:tcPr>
            <w:tcW w:w="2673" w:type="dxa"/>
            <w:vAlign w:val="center"/>
          </w:tcPr>
          <w:p w:rsidR="000C1427" w:rsidRDefault="00433084">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C1427" w:rsidRDefault="0043308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C1427" w:rsidRDefault="0043308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C1427" w:rsidRDefault="0043308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C1427" w:rsidRDefault="00433084">
      <w:pPr>
        <w:spacing w:before="29" w:line="288" w:lineRule="auto"/>
        <w:ind w:firstLineChars="200" w:firstLine="480"/>
        <w:rPr>
          <w:color w:val="000000"/>
          <w:sz w:val="24"/>
          <w:szCs w:val="24"/>
        </w:rPr>
      </w:pPr>
      <w:r>
        <w:rPr>
          <w:color w:val="000000"/>
          <w:sz w:val="24"/>
          <w:szCs w:val="24"/>
        </w:rPr>
        <w:t>2017</w:t>
      </w:r>
      <w:r>
        <w:rPr>
          <w:color w:val="000000"/>
          <w:sz w:val="24"/>
          <w:szCs w:val="24"/>
        </w:rPr>
        <w:t>年一季度市场延续分化格局，低估值蓝筹股上涨明显，而高估值中小创则跌幅居前。一季度以来，市场整体依然维持震荡格局，但是投资者对于房地产市场的需求预期出现了一波三折的变化。经历</w:t>
      </w:r>
      <w:r>
        <w:rPr>
          <w:color w:val="000000"/>
          <w:sz w:val="24"/>
          <w:szCs w:val="24"/>
        </w:rPr>
        <w:t>2016</w:t>
      </w:r>
      <w:r>
        <w:rPr>
          <w:color w:val="000000"/>
          <w:sz w:val="24"/>
          <w:szCs w:val="24"/>
        </w:rPr>
        <w:t>年四季度销售降温之后，今年年初随着按揭贷款的过量投放，房地产市场又出现了欣欣向荣的态势，而</w:t>
      </w:r>
      <w:r>
        <w:rPr>
          <w:color w:val="000000"/>
          <w:sz w:val="24"/>
          <w:szCs w:val="24"/>
        </w:rPr>
        <w:t>“</w:t>
      </w:r>
      <w:r>
        <w:rPr>
          <w:color w:val="000000"/>
          <w:sz w:val="24"/>
          <w:szCs w:val="24"/>
        </w:rPr>
        <w:t>两会</w:t>
      </w:r>
      <w:r>
        <w:rPr>
          <w:color w:val="000000"/>
          <w:sz w:val="24"/>
          <w:szCs w:val="24"/>
        </w:rPr>
        <w:t>”</w:t>
      </w:r>
      <w:r>
        <w:rPr>
          <w:color w:val="000000"/>
          <w:sz w:val="24"/>
          <w:szCs w:val="24"/>
        </w:rPr>
        <w:t>后各地再度发力进行严厉调控。</w:t>
      </w:r>
      <w:r>
        <w:rPr>
          <w:color w:val="000000"/>
          <w:sz w:val="24"/>
          <w:szCs w:val="24"/>
        </w:rPr>
        <w:t>2017</w:t>
      </w:r>
      <w:r>
        <w:rPr>
          <w:color w:val="000000"/>
          <w:sz w:val="24"/>
          <w:szCs w:val="24"/>
        </w:rPr>
        <w:t>年年初周期股表现强劲以及后来稳定增长类低估值蓝筹股表现较强，与地产需求预期的修复不无关系。一季度本基金净值未能超越业绩比较基准表现，主要在于投资策略选择上的原因。</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展望未来一个季度，我们对市场持谨慎态度，可能将保持中低仓位水平。以未来</w:t>
      </w:r>
      <w:r w:rsidRPr="00414345">
        <w:rPr>
          <w:color w:val="000000"/>
          <w:sz w:val="24"/>
          <w:szCs w:val="24"/>
        </w:rPr>
        <w:lastRenderedPageBreak/>
        <w:t>6-12</w:t>
      </w:r>
      <w:r w:rsidRPr="00414345">
        <w:rPr>
          <w:color w:val="000000"/>
          <w:sz w:val="24"/>
          <w:szCs w:val="24"/>
        </w:rPr>
        <w:t>个月时间维度来考量，自上而下宏观判断有两点是相对确定的：</w:t>
      </w:r>
      <w:r w:rsidRPr="00414345">
        <w:rPr>
          <w:color w:val="000000"/>
          <w:sz w:val="24"/>
          <w:szCs w:val="24"/>
        </w:rPr>
        <w:t>1</w:t>
      </w:r>
      <w:r w:rsidRPr="00414345">
        <w:rPr>
          <w:color w:val="000000"/>
          <w:sz w:val="24"/>
          <w:szCs w:val="24"/>
        </w:rPr>
        <w:t>）中上游周期品的盈利见顶；</w:t>
      </w:r>
      <w:r w:rsidRPr="00414345">
        <w:rPr>
          <w:color w:val="000000"/>
          <w:sz w:val="24"/>
          <w:szCs w:val="24"/>
        </w:rPr>
        <w:t>2</w:t>
      </w:r>
      <w:r w:rsidRPr="00414345">
        <w:rPr>
          <w:color w:val="000000"/>
          <w:sz w:val="24"/>
          <w:szCs w:val="24"/>
        </w:rPr>
        <w:t>）去杠杆的持续，估值水平天花板明显。选股方向上，我们倾向于寻找与宏观经济周期关联度弱的领域或者后周期领域，又或与公司或行业层面存在超预期变化的领域。成长股选股方面，仍然强调自下而上业绩表现与自上而下大逻辑的统一，瑕疵要少，能够抵御估值水平的下降。本基金将持续关注部分偏后周期行业的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0.5614</w:t>
      </w:r>
      <w:r w:rsidRPr="00414345">
        <w:rPr>
          <w:color w:val="000000"/>
          <w:sz w:val="24"/>
          <w:szCs w:val="24"/>
        </w:rPr>
        <w:t>元，本报告期份额净值增长率为</w:t>
      </w:r>
      <w:r w:rsidRPr="00414345">
        <w:rPr>
          <w:color w:val="000000"/>
          <w:sz w:val="24"/>
          <w:szCs w:val="24"/>
        </w:rPr>
        <w:t>-1.20%</w:t>
      </w:r>
      <w:r w:rsidRPr="00414345">
        <w:rPr>
          <w:color w:val="000000"/>
          <w:sz w:val="24"/>
          <w:szCs w:val="24"/>
        </w:rPr>
        <w:t>，同期业绩比较基准增长率为</w:t>
      </w:r>
      <w:r w:rsidRPr="00414345">
        <w:rPr>
          <w:color w:val="000000"/>
          <w:sz w:val="24"/>
          <w:szCs w:val="24"/>
        </w:rPr>
        <w:t>3.27%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9670B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2,069,005,955.86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2,069,005,955.86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149,910,000.00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149,910,000.00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491,693,617.54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16.30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297,261,086.13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9.86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7,781,243.21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3,015,651,902.74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w:t>
            </w:r>
            <w:r w:rsidRPr="00414345">
              <w:rPr>
                <w:sz w:val="24"/>
                <w:szCs w:val="24"/>
              </w:rPr>
              <w:lastRenderedPageBreak/>
              <w:t>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1,421,658,846.44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83,816,946.42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56,454,606.16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222,604,178.16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77,564,690.28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43,996,930.16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34,599,135.00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128,310,623.24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2,069,005,955.86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68.84</w:t>
            </w:r>
          </w:p>
        </w:tc>
      </w:tr>
    </w:tbl>
    <w:p w:rsidR="004869C8" w:rsidRDefault="004869C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C1427">
        <w:trPr>
          <w:jc w:val="center"/>
        </w:trPr>
        <w:tc>
          <w:tcPr>
            <w:tcW w:w="855" w:type="dxa"/>
            <w:vAlign w:val="center"/>
          </w:tcPr>
          <w:p w:rsidR="000C1427" w:rsidRDefault="00433084">
            <w:pPr>
              <w:jc w:val="center"/>
            </w:pPr>
            <w:r>
              <w:rPr>
                <w:color w:val="000000"/>
                <w:sz w:val="24"/>
                <w:szCs w:val="24"/>
              </w:rPr>
              <w:t>1</w:t>
            </w:r>
          </w:p>
        </w:tc>
        <w:tc>
          <w:tcPr>
            <w:tcW w:w="1334" w:type="dxa"/>
            <w:vAlign w:val="center"/>
          </w:tcPr>
          <w:p w:rsidR="000C1427" w:rsidRDefault="00433084">
            <w:pPr>
              <w:jc w:val="center"/>
            </w:pPr>
            <w:r>
              <w:rPr>
                <w:color w:val="000000"/>
                <w:sz w:val="24"/>
                <w:szCs w:val="24"/>
              </w:rPr>
              <w:t>002583</w:t>
            </w:r>
          </w:p>
        </w:tc>
        <w:tc>
          <w:tcPr>
            <w:tcW w:w="1777" w:type="dxa"/>
            <w:vAlign w:val="center"/>
          </w:tcPr>
          <w:p w:rsidR="000C1427" w:rsidRDefault="00433084">
            <w:pPr>
              <w:jc w:val="center"/>
            </w:pPr>
            <w:r>
              <w:rPr>
                <w:color w:val="000000"/>
                <w:sz w:val="24"/>
                <w:szCs w:val="24"/>
              </w:rPr>
              <w:t>海能达</w:t>
            </w:r>
          </w:p>
        </w:tc>
        <w:tc>
          <w:tcPr>
            <w:tcW w:w="1334" w:type="dxa"/>
            <w:vAlign w:val="center"/>
          </w:tcPr>
          <w:p w:rsidR="000C1427" w:rsidRDefault="00433084">
            <w:pPr>
              <w:jc w:val="right"/>
            </w:pPr>
            <w:r>
              <w:rPr>
                <w:color w:val="000000"/>
                <w:sz w:val="24"/>
                <w:szCs w:val="24"/>
              </w:rPr>
              <w:t>20,000,752</w:t>
            </w:r>
          </w:p>
        </w:tc>
        <w:tc>
          <w:tcPr>
            <w:tcW w:w="1924" w:type="dxa"/>
            <w:vAlign w:val="center"/>
          </w:tcPr>
          <w:p w:rsidR="000C1427" w:rsidRDefault="00433084">
            <w:pPr>
              <w:jc w:val="right"/>
            </w:pPr>
            <w:r>
              <w:rPr>
                <w:color w:val="000000"/>
                <w:sz w:val="24"/>
                <w:szCs w:val="24"/>
              </w:rPr>
              <w:t>291,810,971.68</w:t>
            </w:r>
          </w:p>
        </w:tc>
        <w:tc>
          <w:tcPr>
            <w:tcW w:w="1644" w:type="dxa"/>
            <w:vAlign w:val="center"/>
          </w:tcPr>
          <w:p w:rsidR="000C1427" w:rsidRDefault="00433084">
            <w:pPr>
              <w:jc w:val="right"/>
            </w:pPr>
            <w:r>
              <w:rPr>
                <w:color w:val="000000"/>
                <w:sz w:val="24"/>
                <w:szCs w:val="24"/>
              </w:rPr>
              <w:t>9.71</w:t>
            </w:r>
          </w:p>
        </w:tc>
      </w:tr>
      <w:tr w:rsidR="000C1427">
        <w:trPr>
          <w:jc w:val="center"/>
        </w:trPr>
        <w:tc>
          <w:tcPr>
            <w:tcW w:w="855" w:type="dxa"/>
            <w:vAlign w:val="center"/>
          </w:tcPr>
          <w:p w:rsidR="000C1427" w:rsidRDefault="00433084">
            <w:pPr>
              <w:jc w:val="center"/>
            </w:pPr>
            <w:r>
              <w:rPr>
                <w:color w:val="000000"/>
                <w:sz w:val="24"/>
                <w:szCs w:val="24"/>
              </w:rPr>
              <w:lastRenderedPageBreak/>
              <w:t>2</w:t>
            </w:r>
          </w:p>
        </w:tc>
        <w:tc>
          <w:tcPr>
            <w:tcW w:w="1334" w:type="dxa"/>
            <w:vAlign w:val="center"/>
          </w:tcPr>
          <w:p w:rsidR="000C1427" w:rsidRDefault="00433084">
            <w:pPr>
              <w:jc w:val="center"/>
            </w:pPr>
            <w:r>
              <w:rPr>
                <w:color w:val="000000"/>
                <w:sz w:val="24"/>
                <w:szCs w:val="24"/>
              </w:rPr>
              <w:t>002123</w:t>
            </w:r>
          </w:p>
        </w:tc>
        <w:tc>
          <w:tcPr>
            <w:tcW w:w="1777" w:type="dxa"/>
            <w:vAlign w:val="center"/>
          </w:tcPr>
          <w:p w:rsidR="000C1427" w:rsidRDefault="00433084">
            <w:pPr>
              <w:jc w:val="center"/>
            </w:pPr>
            <w:r>
              <w:rPr>
                <w:color w:val="000000"/>
                <w:sz w:val="24"/>
                <w:szCs w:val="24"/>
              </w:rPr>
              <w:t>梦网荣信</w:t>
            </w:r>
          </w:p>
        </w:tc>
        <w:tc>
          <w:tcPr>
            <w:tcW w:w="1334" w:type="dxa"/>
            <w:vAlign w:val="center"/>
          </w:tcPr>
          <w:p w:rsidR="000C1427" w:rsidRDefault="00433084">
            <w:pPr>
              <w:jc w:val="right"/>
            </w:pPr>
            <w:r>
              <w:rPr>
                <w:color w:val="000000"/>
                <w:sz w:val="24"/>
                <w:szCs w:val="24"/>
              </w:rPr>
              <w:t>16,003,176</w:t>
            </w:r>
          </w:p>
        </w:tc>
        <w:tc>
          <w:tcPr>
            <w:tcW w:w="1924" w:type="dxa"/>
            <w:vAlign w:val="center"/>
          </w:tcPr>
          <w:p w:rsidR="000C1427" w:rsidRDefault="00433084">
            <w:pPr>
              <w:jc w:val="right"/>
            </w:pPr>
            <w:r>
              <w:rPr>
                <w:color w:val="000000"/>
                <w:sz w:val="24"/>
                <w:szCs w:val="24"/>
              </w:rPr>
              <w:t>222,604,178.16</w:t>
            </w:r>
          </w:p>
        </w:tc>
        <w:tc>
          <w:tcPr>
            <w:tcW w:w="1644" w:type="dxa"/>
            <w:vAlign w:val="center"/>
          </w:tcPr>
          <w:p w:rsidR="000C1427" w:rsidRDefault="00433084">
            <w:pPr>
              <w:jc w:val="right"/>
            </w:pPr>
            <w:r>
              <w:rPr>
                <w:color w:val="000000"/>
                <w:sz w:val="24"/>
                <w:szCs w:val="24"/>
              </w:rPr>
              <w:t>7.41</w:t>
            </w:r>
          </w:p>
        </w:tc>
      </w:tr>
      <w:tr w:rsidR="000C1427">
        <w:trPr>
          <w:jc w:val="center"/>
        </w:trPr>
        <w:tc>
          <w:tcPr>
            <w:tcW w:w="855" w:type="dxa"/>
            <w:vAlign w:val="center"/>
          </w:tcPr>
          <w:p w:rsidR="000C1427" w:rsidRDefault="00433084">
            <w:pPr>
              <w:jc w:val="center"/>
            </w:pPr>
            <w:r>
              <w:rPr>
                <w:color w:val="000000"/>
                <w:sz w:val="24"/>
                <w:szCs w:val="24"/>
              </w:rPr>
              <w:t>3</w:t>
            </w:r>
          </w:p>
        </w:tc>
        <w:tc>
          <w:tcPr>
            <w:tcW w:w="1334" w:type="dxa"/>
            <w:vAlign w:val="center"/>
          </w:tcPr>
          <w:p w:rsidR="000C1427" w:rsidRDefault="00433084">
            <w:pPr>
              <w:jc w:val="center"/>
            </w:pPr>
            <w:r>
              <w:rPr>
                <w:color w:val="000000"/>
                <w:sz w:val="24"/>
                <w:szCs w:val="24"/>
              </w:rPr>
              <w:t>300347</w:t>
            </w:r>
          </w:p>
        </w:tc>
        <w:tc>
          <w:tcPr>
            <w:tcW w:w="1777" w:type="dxa"/>
            <w:vAlign w:val="center"/>
          </w:tcPr>
          <w:p w:rsidR="000C1427" w:rsidRDefault="00433084">
            <w:pPr>
              <w:jc w:val="center"/>
            </w:pPr>
            <w:r>
              <w:rPr>
                <w:color w:val="000000"/>
                <w:sz w:val="24"/>
                <w:szCs w:val="24"/>
              </w:rPr>
              <w:t>泰格医药</w:t>
            </w:r>
          </w:p>
        </w:tc>
        <w:tc>
          <w:tcPr>
            <w:tcW w:w="1334" w:type="dxa"/>
            <w:vAlign w:val="center"/>
          </w:tcPr>
          <w:p w:rsidR="000C1427" w:rsidRDefault="00433084">
            <w:pPr>
              <w:jc w:val="right"/>
            </w:pPr>
            <w:r>
              <w:rPr>
                <w:color w:val="000000"/>
                <w:sz w:val="24"/>
                <w:szCs w:val="24"/>
              </w:rPr>
              <w:t>5,000,414</w:t>
            </w:r>
          </w:p>
        </w:tc>
        <w:tc>
          <w:tcPr>
            <w:tcW w:w="1924" w:type="dxa"/>
            <w:vAlign w:val="center"/>
          </w:tcPr>
          <w:p w:rsidR="000C1427" w:rsidRDefault="00433084">
            <w:pPr>
              <w:jc w:val="right"/>
            </w:pPr>
            <w:r>
              <w:rPr>
                <w:color w:val="000000"/>
                <w:sz w:val="24"/>
                <w:szCs w:val="24"/>
              </w:rPr>
              <w:t>128,310,623.24</w:t>
            </w:r>
          </w:p>
        </w:tc>
        <w:tc>
          <w:tcPr>
            <w:tcW w:w="1644" w:type="dxa"/>
            <w:vAlign w:val="center"/>
          </w:tcPr>
          <w:p w:rsidR="000C1427" w:rsidRDefault="00433084">
            <w:pPr>
              <w:jc w:val="right"/>
            </w:pPr>
            <w:r>
              <w:rPr>
                <w:color w:val="000000"/>
                <w:sz w:val="24"/>
                <w:szCs w:val="24"/>
              </w:rPr>
              <w:t>4.27</w:t>
            </w:r>
          </w:p>
        </w:tc>
      </w:tr>
      <w:tr w:rsidR="000C1427">
        <w:trPr>
          <w:jc w:val="center"/>
        </w:trPr>
        <w:tc>
          <w:tcPr>
            <w:tcW w:w="855" w:type="dxa"/>
            <w:vAlign w:val="center"/>
          </w:tcPr>
          <w:p w:rsidR="000C1427" w:rsidRDefault="00433084">
            <w:pPr>
              <w:jc w:val="center"/>
            </w:pPr>
            <w:r>
              <w:rPr>
                <w:color w:val="000000"/>
                <w:sz w:val="24"/>
                <w:szCs w:val="24"/>
              </w:rPr>
              <w:t>4</w:t>
            </w:r>
          </w:p>
        </w:tc>
        <w:tc>
          <w:tcPr>
            <w:tcW w:w="1334" w:type="dxa"/>
            <w:vAlign w:val="center"/>
          </w:tcPr>
          <w:p w:rsidR="000C1427" w:rsidRDefault="00433084">
            <w:pPr>
              <w:jc w:val="center"/>
            </w:pPr>
            <w:r>
              <w:rPr>
                <w:color w:val="000000"/>
                <w:sz w:val="24"/>
                <w:szCs w:val="24"/>
              </w:rPr>
              <w:t>600486</w:t>
            </w:r>
          </w:p>
        </w:tc>
        <w:tc>
          <w:tcPr>
            <w:tcW w:w="1777" w:type="dxa"/>
            <w:vAlign w:val="center"/>
          </w:tcPr>
          <w:p w:rsidR="000C1427" w:rsidRDefault="00433084">
            <w:pPr>
              <w:jc w:val="center"/>
            </w:pPr>
            <w:r>
              <w:rPr>
                <w:color w:val="000000"/>
                <w:sz w:val="24"/>
                <w:szCs w:val="24"/>
              </w:rPr>
              <w:t>扬农化工</w:t>
            </w:r>
          </w:p>
        </w:tc>
        <w:tc>
          <w:tcPr>
            <w:tcW w:w="1334" w:type="dxa"/>
            <w:vAlign w:val="center"/>
          </w:tcPr>
          <w:p w:rsidR="000C1427" w:rsidRDefault="00433084">
            <w:pPr>
              <w:jc w:val="right"/>
            </w:pPr>
            <w:r>
              <w:rPr>
                <w:color w:val="000000"/>
                <w:sz w:val="24"/>
                <w:szCs w:val="24"/>
              </w:rPr>
              <w:t>3,421,481</w:t>
            </w:r>
          </w:p>
        </w:tc>
        <w:tc>
          <w:tcPr>
            <w:tcW w:w="1924" w:type="dxa"/>
            <w:vAlign w:val="center"/>
          </w:tcPr>
          <w:p w:rsidR="000C1427" w:rsidRDefault="00433084">
            <w:pPr>
              <w:jc w:val="right"/>
            </w:pPr>
            <w:r>
              <w:rPr>
                <w:color w:val="000000"/>
                <w:sz w:val="24"/>
                <w:szCs w:val="24"/>
              </w:rPr>
              <w:t>125,191,989.79</w:t>
            </w:r>
          </w:p>
        </w:tc>
        <w:tc>
          <w:tcPr>
            <w:tcW w:w="1644" w:type="dxa"/>
            <w:vAlign w:val="center"/>
          </w:tcPr>
          <w:p w:rsidR="000C1427" w:rsidRDefault="00433084">
            <w:pPr>
              <w:jc w:val="right"/>
            </w:pPr>
            <w:r>
              <w:rPr>
                <w:color w:val="000000"/>
                <w:sz w:val="24"/>
                <w:szCs w:val="24"/>
              </w:rPr>
              <w:t>4.17</w:t>
            </w:r>
          </w:p>
        </w:tc>
      </w:tr>
      <w:tr w:rsidR="000C1427">
        <w:trPr>
          <w:jc w:val="center"/>
        </w:trPr>
        <w:tc>
          <w:tcPr>
            <w:tcW w:w="855" w:type="dxa"/>
            <w:vAlign w:val="center"/>
          </w:tcPr>
          <w:p w:rsidR="000C1427" w:rsidRDefault="00433084">
            <w:pPr>
              <w:jc w:val="center"/>
            </w:pPr>
            <w:r>
              <w:rPr>
                <w:color w:val="000000"/>
                <w:sz w:val="24"/>
                <w:szCs w:val="24"/>
              </w:rPr>
              <w:t>5</w:t>
            </w:r>
          </w:p>
        </w:tc>
        <w:tc>
          <w:tcPr>
            <w:tcW w:w="1334" w:type="dxa"/>
            <w:vAlign w:val="center"/>
          </w:tcPr>
          <w:p w:rsidR="000C1427" w:rsidRDefault="00433084">
            <w:pPr>
              <w:jc w:val="center"/>
            </w:pPr>
            <w:r>
              <w:rPr>
                <w:color w:val="000000"/>
                <w:sz w:val="24"/>
                <w:szCs w:val="24"/>
              </w:rPr>
              <w:t>300279</w:t>
            </w:r>
          </w:p>
        </w:tc>
        <w:tc>
          <w:tcPr>
            <w:tcW w:w="1777" w:type="dxa"/>
            <w:vAlign w:val="center"/>
          </w:tcPr>
          <w:p w:rsidR="000C1427" w:rsidRDefault="00433084">
            <w:pPr>
              <w:jc w:val="center"/>
            </w:pPr>
            <w:r>
              <w:rPr>
                <w:color w:val="000000"/>
                <w:sz w:val="24"/>
                <w:szCs w:val="24"/>
              </w:rPr>
              <w:t>和晶科技</w:t>
            </w:r>
          </w:p>
        </w:tc>
        <w:tc>
          <w:tcPr>
            <w:tcW w:w="1334" w:type="dxa"/>
            <w:vAlign w:val="center"/>
          </w:tcPr>
          <w:p w:rsidR="000C1427" w:rsidRDefault="00433084">
            <w:pPr>
              <w:jc w:val="right"/>
            </w:pPr>
            <w:r>
              <w:rPr>
                <w:color w:val="000000"/>
                <w:sz w:val="24"/>
                <w:szCs w:val="24"/>
              </w:rPr>
              <w:t>3,000,797</w:t>
            </w:r>
          </w:p>
        </w:tc>
        <w:tc>
          <w:tcPr>
            <w:tcW w:w="1924" w:type="dxa"/>
            <w:vAlign w:val="center"/>
          </w:tcPr>
          <w:p w:rsidR="000C1427" w:rsidRDefault="00433084">
            <w:pPr>
              <w:jc w:val="right"/>
            </w:pPr>
            <w:r>
              <w:rPr>
                <w:color w:val="000000"/>
                <w:sz w:val="24"/>
                <w:szCs w:val="24"/>
              </w:rPr>
              <w:t>116,190,859.84</w:t>
            </w:r>
          </w:p>
        </w:tc>
        <w:tc>
          <w:tcPr>
            <w:tcW w:w="1644" w:type="dxa"/>
            <w:vAlign w:val="center"/>
          </w:tcPr>
          <w:p w:rsidR="000C1427" w:rsidRDefault="00433084">
            <w:pPr>
              <w:jc w:val="right"/>
            </w:pPr>
            <w:r>
              <w:rPr>
                <w:color w:val="000000"/>
                <w:sz w:val="24"/>
                <w:szCs w:val="24"/>
              </w:rPr>
              <w:t>3.87</w:t>
            </w:r>
          </w:p>
        </w:tc>
      </w:tr>
      <w:tr w:rsidR="000C1427">
        <w:trPr>
          <w:jc w:val="center"/>
        </w:trPr>
        <w:tc>
          <w:tcPr>
            <w:tcW w:w="855" w:type="dxa"/>
            <w:vAlign w:val="center"/>
          </w:tcPr>
          <w:p w:rsidR="000C1427" w:rsidRDefault="00433084">
            <w:pPr>
              <w:jc w:val="center"/>
            </w:pPr>
            <w:r>
              <w:rPr>
                <w:color w:val="000000"/>
                <w:sz w:val="24"/>
                <w:szCs w:val="24"/>
              </w:rPr>
              <w:t>6</w:t>
            </w:r>
          </w:p>
        </w:tc>
        <w:tc>
          <w:tcPr>
            <w:tcW w:w="1334" w:type="dxa"/>
            <w:vAlign w:val="center"/>
          </w:tcPr>
          <w:p w:rsidR="000C1427" w:rsidRDefault="00433084">
            <w:pPr>
              <w:jc w:val="center"/>
            </w:pPr>
            <w:r>
              <w:rPr>
                <w:color w:val="000000"/>
                <w:sz w:val="24"/>
                <w:szCs w:val="24"/>
              </w:rPr>
              <w:t>002434</w:t>
            </w:r>
          </w:p>
        </w:tc>
        <w:tc>
          <w:tcPr>
            <w:tcW w:w="1777" w:type="dxa"/>
            <w:vAlign w:val="center"/>
          </w:tcPr>
          <w:p w:rsidR="000C1427" w:rsidRDefault="00433084">
            <w:pPr>
              <w:jc w:val="center"/>
            </w:pPr>
            <w:r>
              <w:rPr>
                <w:color w:val="000000"/>
                <w:sz w:val="24"/>
                <w:szCs w:val="24"/>
              </w:rPr>
              <w:t>万里扬</w:t>
            </w:r>
          </w:p>
        </w:tc>
        <w:tc>
          <w:tcPr>
            <w:tcW w:w="1334" w:type="dxa"/>
            <w:vAlign w:val="center"/>
          </w:tcPr>
          <w:p w:rsidR="000C1427" w:rsidRDefault="00433084">
            <w:pPr>
              <w:jc w:val="right"/>
            </w:pPr>
            <w:r>
              <w:rPr>
                <w:color w:val="000000"/>
                <w:sz w:val="24"/>
                <w:szCs w:val="24"/>
              </w:rPr>
              <w:t>5,823,770</w:t>
            </w:r>
          </w:p>
        </w:tc>
        <w:tc>
          <w:tcPr>
            <w:tcW w:w="1924" w:type="dxa"/>
            <w:vAlign w:val="center"/>
          </w:tcPr>
          <w:p w:rsidR="000C1427" w:rsidRDefault="00433084">
            <w:pPr>
              <w:jc w:val="right"/>
            </w:pPr>
            <w:r>
              <w:rPr>
                <w:color w:val="000000"/>
                <w:sz w:val="24"/>
                <w:szCs w:val="24"/>
              </w:rPr>
              <w:t>99,761,180.10</w:t>
            </w:r>
          </w:p>
        </w:tc>
        <w:tc>
          <w:tcPr>
            <w:tcW w:w="1644" w:type="dxa"/>
            <w:vAlign w:val="center"/>
          </w:tcPr>
          <w:p w:rsidR="000C1427" w:rsidRDefault="00433084">
            <w:pPr>
              <w:jc w:val="right"/>
            </w:pPr>
            <w:r>
              <w:rPr>
                <w:color w:val="000000"/>
                <w:sz w:val="24"/>
                <w:szCs w:val="24"/>
              </w:rPr>
              <w:t>3.32</w:t>
            </w:r>
          </w:p>
        </w:tc>
      </w:tr>
      <w:tr w:rsidR="000C1427">
        <w:trPr>
          <w:jc w:val="center"/>
        </w:trPr>
        <w:tc>
          <w:tcPr>
            <w:tcW w:w="855" w:type="dxa"/>
            <w:vAlign w:val="center"/>
          </w:tcPr>
          <w:p w:rsidR="000C1427" w:rsidRDefault="00433084">
            <w:pPr>
              <w:jc w:val="center"/>
            </w:pPr>
            <w:r>
              <w:rPr>
                <w:color w:val="000000"/>
                <w:sz w:val="24"/>
                <w:szCs w:val="24"/>
              </w:rPr>
              <w:t>7</w:t>
            </w:r>
          </w:p>
        </w:tc>
        <w:tc>
          <w:tcPr>
            <w:tcW w:w="1334" w:type="dxa"/>
            <w:vAlign w:val="center"/>
          </w:tcPr>
          <w:p w:rsidR="000C1427" w:rsidRDefault="00433084">
            <w:pPr>
              <w:jc w:val="center"/>
            </w:pPr>
            <w:r>
              <w:rPr>
                <w:color w:val="000000"/>
                <w:sz w:val="24"/>
                <w:szCs w:val="24"/>
              </w:rPr>
              <w:t>000661</w:t>
            </w:r>
          </w:p>
        </w:tc>
        <w:tc>
          <w:tcPr>
            <w:tcW w:w="1777" w:type="dxa"/>
            <w:vAlign w:val="center"/>
          </w:tcPr>
          <w:p w:rsidR="000C1427" w:rsidRDefault="00433084">
            <w:pPr>
              <w:jc w:val="center"/>
            </w:pPr>
            <w:r>
              <w:rPr>
                <w:color w:val="000000"/>
                <w:sz w:val="24"/>
                <w:szCs w:val="24"/>
              </w:rPr>
              <w:t>长春高新</w:t>
            </w:r>
          </w:p>
        </w:tc>
        <w:tc>
          <w:tcPr>
            <w:tcW w:w="1334" w:type="dxa"/>
            <w:vAlign w:val="center"/>
          </w:tcPr>
          <w:p w:rsidR="000C1427" w:rsidRDefault="00433084">
            <w:pPr>
              <w:jc w:val="right"/>
            </w:pPr>
            <w:r>
              <w:rPr>
                <w:color w:val="000000"/>
                <w:sz w:val="24"/>
                <w:szCs w:val="24"/>
              </w:rPr>
              <w:t>900,000</w:t>
            </w:r>
          </w:p>
        </w:tc>
        <w:tc>
          <w:tcPr>
            <w:tcW w:w="1924" w:type="dxa"/>
            <w:vAlign w:val="center"/>
          </w:tcPr>
          <w:p w:rsidR="000C1427" w:rsidRDefault="00433084">
            <w:pPr>
              <w:jc w:val="right"/>
            </w:pPr>
            <w:r>
              <w:rPr>
                <w:color w:val="000000"/>
                <w:sz w:val="24"/>
                <w:szCs w:val="24"/>
              </w:rPr>
              <w:t>99,000,000.00</w:t>
            </w:r>
          </w:p>
        </w:tc>
        <w:tc>
          <w:tcPr>
            <w:tcW w:w="1644" w:type="dxa"/>
            <w:vAlign w:val="center"/>
          </w:tcPr>
          <w:p w:rsidR="000C1427" w:rsidRDefault="00433084">
            <w:pPr>
              <w:jc w:val="right"/>
            </w:pPr>
            <w:r>
              <w:rPr>
                <w:color w:val="000000"/>
                <w:sz w:val="24"/>
                <w:szCs w:val="24"/>
              </w:rPr>
              <w:t>3.29</w:t>
            </w:r>
          </w:p>
        </w:tc>
      </w:tr>
      <w:tr w:rsidR="000C1427">
        <w:trPr>
          <w:jc w:val="center"/>
        </w:trPr>
        <w:tc>
          <w:tcPr>
            <w:tcW w:w="855" w:type="dxa"/>
            <w:vAlign w:val="center"/>
          </w:tcPr>
          <w:p w:rsidR="000C1427" w:rsidRDefault="00433084">
            <w:pPr>
              <w:jc w:val="center"/>
            </w:pPr>
            <w:r>
              <w:rPr>
                <w:color w:val="000000"/>
                <w:sz w:val="24"/>
                <w:szCs w:val="24"/>
              </w:rPr>
              <w:t>8</w:t>
            </w:r>
          </w:p>
        </w:tc>
        <w:tc>
          <w:tcPr>
            <w:tcW w:w="1334" w:type="dxa"/>
            <w:vAlign w:val="center"/>
          </w:tcPr>
          <w:p w:rsidR="000C1427" w:rsidRDefault="00433084">
            <w:pPr>
              <w:jc w:val="center"/>
            </w:pPr>
            <w:r>
              <w:rPr>
                <w:color w:val="000000"/>
                <w:sz w:val="24"/>
                <w:szCs w:val="24"/>
              </w:rPr>
              <w:t>300349</w:t>
            </w:r>
          </w:p>
        </w:tc>
        <w:tc>
          <w:tcPr>
            <w:tcW w:w="1777" w:type="dxa"/>
            <w:vAlign w:val="center"/>
          </w:tcPr>
          <w:p w:rsidR="000C1427" w:rsidRDefault="00433084">
            <w:pPr>
              <w:jc w:val="center"/>
            </w:pPr>
            <w:r>
              <w:rPr>
                <w:color w:val="000000"/>
                <w:sz w:val="24"/>
                <w:szCs w:val="24"/>
              </w:rPr>
              <w:t>金卡智能</w:t>
            </w:r>
          </w:p>
        </w:tc>
        <w:tc>
          <w:tcPr>
            <w:tcW w:w="1334" w:type="dxa"/>
            <w:vAlign w:val="center"/>
          </w:tcPr>
          <w:p w:rsidR="000C1427" w:rsidRDefault="00433084">
            <w:pPr>
              <w:jc w:val="right"/>
            </w:pPr>
            <w:r>
              <w:rPr>
                <w:color w:val="000000"/>
                <w:sz w:val="24"/>
                <w:szCs w:val="24"/>
              </w:rPr>
              <w:t>3,000,347</w:t>
            </w:r>
          </w:p>
        </w:tc>
        <w:tc>
          <w:tcPr>
            <w:tcW w:w="1924" w:type="dxa"/>
            <w:vAlign w:val="center"/>
          </w:tcPr>
          <w:p w:rsidR="000C1427" w:rsidRDefault="00433084">
            <w:pPr>
              <w:jc w:val="right"/>
            </w:pPr>
            <w:r>
              <w:rPr>
                <w:color w:val="000000"/>
                <w:sz w:val="24"/>
                <w:szCs w:val="24"/>
              </w:rPr>
              <w:t>97,181,239.33</w:t>
            </w:r>
          </w:p>
        </w:tc>
        <w:tc>
          <w:tcPr>
            <w:tcW w:w="1644" w:type="dxa"/>
            <w:vAlign w:val="center"/>
          </w:tcPr>
          <w:p w:rsidR="000C1427" w:rsidRDefault="00433084">
            <w:pPr>
              <w:jc w:val="right"/>
            </w:pPr>
            <w:r>
              <w:rPr>
                <w:color w:val="000000"/>
                <w:sz w:val="24"/>
                <w:szCs w:val="24"/>
              </w:rPr>
              <w:t>3.23</w:t>
            </w:r>
          </w:p>
        </w:tc>
      </w:tr>
      <w:tr w:rsidR="000C1427">
        <w:trPr>
          <w:jc w:val="center"/>
        </w:trPr>
        <w:tc>
          <w:tcPr>
            <w:tcW w:w="855" w:type="dxa"/>
            <w:vAlign w:val="center"/>
          </w:tcPr>
          <w:p w:rsidR="000C1427" w:rsidRDefault="00433084">
            <w:pPr>
              <w:jc w:val="center"/>
            </w:pPr>
            <w:r>
              <w:rPr>
                <w:color w:val="000000"/>
                <w:sz w:val="24"/>
                <w:szCs w:val="24"/>
              </w:rPr>
              <w:t>9</w:t>
            </w:r>
          </w:p>
        </w:tc>
        <w:tc>
          <w:tcPr>
            <w:tcW w:w="1334" w:type="dxa"/>
            <w:vAlign w:val="center"/>
          </w:tcPr>
          <w:p w:rsidR="000C1427" w:rsidRDefault="00433084">
            <w:pPr>
              <w:jc w:val="center"/>
            </w:pPr>
            <w:r>
              <w:rPr>
                <w:color w:val="000000"/>
                <w:sz w:val="24"/>
                <w:szCs w:val="24"/>
              </w:rPr>
              <w:t>600500</w:t>
            </w:r>
          </w:p>
        </w:tc>
        <w:tc>
          <w:tcPr>
            <w:tcW w:w="1777" w:type="dxa"/>
            <w:vAlign w:val="center"/>
          </w:tcPr>
          <w:p w:rsidR="000C1427" w:rsidRDefault="00433084">
            <w:pPr>
              <w:jc w:val="center"/>
            </w:pPr>
            <w:r>
              <w:rPr>
                <w:color w:val="000000"/>
                <w:sz w:val="24"/>
                <w:szCs w:val="24"/>
              </w:rPr>
              <w:t>中化国际</w:t>
            </w:r>
          </w:p>
        </w:tc>
        <w:tc>
          <w:tcPr>
            <w:tcW w:w="1334" w:type="dxa"/>
            <w:vAlign w:val="center"/>
          </w:tcPr>
          <w:p w:rsidR="000C1427" w:rsidRDefault="00433084">
            <w:pPr>
              <w:jc w:val="right"/>
            </w:pPr>
            <w:r>
              <w:rPr>
                <w:color w:val="000000"/>
                <w:sz w:val="24"/>
                <w:szCs w:val="24"/>
              </w:rPr>
              <w:t>8,002,498</w:t>
            </w:r>
          </w:p>
        </w:tc>
        <w:tc>
          <w:tcPr>
            <w:tcW w:w="1924" w:type="dxa"/>
            <w:vAlign w:val="center"/>
          </w:tcPr>
          <w:p w:rsidR="000C1427" w:rsidRDefault="00433084">
            <w:pPr>
              <w:jc w:val="right"/>
            </w:pPr>
            <w:r>
              <w:rPr>
                <w:color w:val="000000"/>
                <w:sz w:val="24"/>
                <w:szCs w:val="24"/>
              </w:rPr>
              <w:t>88,187,527.96</w:t>
            </w:r>
          </w:p>
        </w:tc>
        <w:tc>
          <w:tcPr>
            <w:tcW w:w="1644" w:type="dxa"/>
            <w:vAlign w:val="center"/>
          </w:tcPr>
          <w:p w:rsidR="000C1427" w:rsidRDefault="00433084">
            <w:pPr>
              <w:jc w:val="right"/>
            </w:pPr>
            <w:r>
              <w:rPr>
                <w:color w:val="000000"/>
                <w:sz w:val="24"/>
                <w:szCs w:val="24"/>
              </w:rPr>
              <w:t>2.93</w:t>
            </w:r>
          </w:p>
        </w:tc>
      </w:tr>
      <w:tr w:rsidR="000C1427">
        <w:trPr>
          <w:jc w:val="center"/>
        </w:trPr>
        <w:tc>
          <w:tcPr>
            <w:tcW w:w="855" w:type="dxa"/>
            <w:vAlign w:val="center"/>
          </w:tcPr>
          <w:p w:rsidR="000C1427" w:rsidRDefault="00433084">
            <w:pPr>
              <w:jc w:val="center"/>
            </w:pPr>
            <w:r>
              <w:rPr>
                <w:color w:val="000000"/>
                <w:sz w:val="24"/>
                <w:szCs w:val="24"/>
              </w:rPr>
              <w:t>10</w:t>
            </w:r>
          </w:p>
        </w:tc>
        <w:tc>
          <w:tcPr>
            <w:tcW w:w="1334" w:type="dxa"/>
            <w:vAlign w:val="center"/>
          </w:tcPr>
          <w:p w:rsidR="000C1427" w:rsidRDefault="00433084">
            <w:pPr>
              <w:jc w:val="center"/>
            </w:pPr>
            <w:r>
              <w:rPr>
                <w:color w:val="000000"/>
                <w:sz w:val="24"/>
                <w:szCs w:val="24"/>
              </w:rPr>
              <w:t>600867</w:t>
            </w:r>
          </w:p>
        </w:tc>
        <w:tc>
          <w:tcPr>
            <w:tcW w:w="1777" w:type="dxa"/>
            <w:vAlign w:val="center"/>
          </w:tcPr>
          <w:p w:rsidR="000C1427" w:rsidRDefault="00433084">
            <w:pPr>
              <w:jc w:val="center"/>
            </w:pPr>
            <w:r>
              <w:rPr>
                <w:color w:val="000000"/>
                <w:sz w:val="24"/>
                <w:szCs w:val="24"/>
              </w:rPr>
              <w:t>通化东宝</w:t>
            </w:r>
          </w:p>
        </w:tc>
        <w:tc>
          <w:tcPr>
            <w:tcW w:w="1334" w:type="dxa"/>
            <w:vAlign w:val="center"/>
          </w:tcPr>
          <w:p w:rsidR="000C1427" w:rsidRDefault="00433084">
            <w:pPr>
              <w:jc w:val="right"/>
            </w:pPr>
            <w:r>
              <w:rPr>
                <w:color w:val="000000"/>
                <w:sz w:val="24"/>
                <w:szCs w:val="24"/>
              </w:rPr>
              <w:t>4,310,097</w:t>
            </w:r>
          </w:p>
        </w:tc>
        <w:tc>
          <w:tcPr>
            <w:tcW w:w="1924" w:type="dxa"/>
            <w:vAlign w:val="center"/>
          </w:tcPr>
          <w:p w:rsidR="000C1427" w:rsidRDefault="00433084">
            <w:pPr>
              <w:jc w:val="right"/>
            </w:pPr>
            <w:r>
              <w:rPr>
                <w:color w:val="000000"/>
                <w:sz w:val="24"/>
                <w:szCs w:val="24"/>
              </w:rPr>
              <w:t>87,494,969.10</w:t>
            </w:r>
          </w:p>
        </w:tc>
        <w:tc>
          <w:tcPr>
            <w:tcW w:w="1644" w:type="dxa"/>
            <w:vAlign w:val="center"/>
          </w:tcPr>
          <w:p w:rsidR="000C1427" w:rsidRDefault="00433084">
            <w:pPr>
              <w:jc w:val="right"/>
            </w:pPr>
            <w:r>
              <w:rPr>
                <w:color w:val="000000"/>
                <w:sz w:val="24"/>
                <w:szCs w:val="24"/>
              </w:rPr>
              <w:t>2.91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149,910,000.00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149,910,000.00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149,910,000.00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C1427">
        <w:trPr>
          <w:jc w:val="center"/>
        </w:trPr>
        <w:tc>
          <w:tcPr>
            <w:tcW w:w="850" w:type="dxa"/>
            <w:vAlign w:val="center"/>
          </w:tcPr>
          <w:p w:rsidR="000C1427" w:rsidRDefault="00433084">
            <w:pPr>
              <w:jc w:val="center"/>
            </w:pPr>
            <w:r>
              <w:rPr>
                <w:color w:val="000000"/>
                <w:sz w:val="24"/>
                <w:szCs w:val="24"/>
              </w:rPr>
              <w:t>1</w:t>
            </w:r>
          </w:p>
        </w:tc>
        <w:tc>
          <w:tcPr>
            <w:tcW w:w="1475" w:type="dxa"/>
            <w:vAlign w:val="center"/>
          </w:tcPr>
          <w:p w:rsidR="000C1427" w:rsidRDefault="00433084">
            <w:pPr>
              <w:jc w:val="center"/>
            </w:pPr>
            <w:r>
              <w:rPr>
                <w:color w:val="000000"/>
                <w:sz w:val="24"/>
                <w:szCs w:val="24"/>
              </w:rPr>
              <w:t>160414</w:t>
            </w:r>
          </w:p>
        </w:tc>
        <w:tc>
          <w:tcPr>
            <w:tcW w:w="1769" w:type="dxa"/>
            <w:vAlign w:val="center"/>
          </w:tcPr>
          <w:p w:rsidR="000C1427" w:rsidRDefault="00433084">
            <w:pPr>
              <w:jc w:val="center"/>
            </w:pPr>
            <w:r>
              <w:rPr>
                <w:color w:val="000000"/>
                <w:sz w:val="24"/>
                <w:szCs w:val="24"/>
              </w:rPr>
              <w:t>16</w:t>
            </w:r>
            <w:r>
              <w:rPr>
                <w:color w:val="000000"/>
                <w:sz w:val="24"/>
                <w:szCs w:val="24"/>
              </w:rPr>
              <w:t>农发</w:t>
            </w:r>
            <w:r>
              <w:rPr>
                <w:color w:val="000000"/>
                <w:sz w:val="24"/>
                <w:szCs w:val="24"/>
              </w:rPr>
              <w:t>14</w:t>
            </w:r>
          </w:p>
        </w:tc>
        <w:tc>
          <w:tcPr>
            <w:tcW w:w="1387" w:type="dxa"/>
            <w:vAlign w:val="center"/>
          </w:tcPr>
          <w:p w:rsidR="000C1427" w:rsidRDefault="00433084">
            <w:pPr>
              <w:jc w:val="right"/>
            </w:pPr>
            <w:r>
              <w:rPr>
                <w:color w:val="000000"/>
                <w:sz w:val="24"/>
                <w:szCs w:val="24"/>
              </w:rPr>
              <w:t>800,000</w:t>
            </w:r>
          </w:p>
        </w:tc>
        <w:tc>
          <w:tcPr>
            <w:tcW w:w="2150" w:type="dxa"/>
            <w:vAlign w:val="center"/>
          </w:tcPr>
          <w:p w:rsidR="000C1427" w:rsidRDefault="00433084">
            <w:pPr>
              <w:jc w:val="right"/>
            </w:pPr>
            <w:r>
              <w:rPr>
                <w:color w:val="000000"/>
                <w:sz w:val="24"/>
                <w:szCs w:val="24"/>
              </w:rPr>
              <w:t>79,952,000.00</w:t>
            </w:r>
          </w:p>
        </w:tc>
        <w:tc>
          <w:tcPr>
            <w:tcW w:w="1237" w:type="dxa"/>
            <w:vAlign w:val="center"/>
          </w:tcPr>
          <w:p w:rsidR="000C1427" w:rsidRDefault="00433084">
            <w:pPr>
              <w:jc w:val="right"/>
            </w:pPr>
            <w:r>
              <w:rPr>
                <w:color w:val="000000"/>
                <w:sz w:val="24"/>
                <w:szCs w:val="24"/>
              </w:rPr>
              <w:t>2.66</w:t>
            </w:r>
          </w:p>
        </w:tc>
      </w:tr>
      <w:tr w:rsidR="000C1427">
        <w:trPr>
          <w:jc w:val="center"/>
        </w:trPr>
        <w:tc>
          <w:tcPr>
            <w:tcW w:w="850" w:type="dxa"/>
            <w:vAlign w:val="center"/>
          </w:tcPr>
          <w:p w:rsidR="000C1427" w:rsidRDefault="00433084">
            <w:pPr>
              <w:jc w:val="center"/>
            </w:pPr>
            <w:r>
              <w:rPr>
                <w:color w:val="000000"/>
                <w:sz w:val="24"/>
                <w:szCs w:val="24"/>
              </w:rPr>
              <w:t>2</w:t>
            </w:r>
          </w:p>
        </w:tc>
        <w:tc>
          <w:tcPr>
            <w:tcW w:w="1475" w:type="dxa"/>
            <w:vAlign w:val="center"/>
          </w:tcPr>
          <w:p w:rsidR="000C1427" w:rsidRDefault="00433084">
            <w:pPr>
              <w:jc w:val="center"/>
            </w:pPr>
            <w:r>
              <w:rPr>
                <w:color w:val="000000"/>
                <w:sz w:val="24"/>
                <w:szCs w:val="24"/>
              </w:rPr>
              <w:t>160211</w:t>
            </w:r>
          </w:p>
        </w:tc>
        <w:tc>
          <w:tcPr>
            <w:tcW w:w="1769" w:type="dxa"/>
            <w:vAlign w:val="center"/>
          </w:tcPr>
          <w:p w:rsidR="000C1427" w:rsidRDefault="00433084">
            <w:pPr>
              <w:jc w:val="center"/>
            </w:pPr>
            <w:r>
              <w:rPr>
                <w:color w:val="000000"/>
                <w:sz w:val="24"/>
                <w:szCs w:val="24"/>
              </w:rPr>
              <w:t>16</w:t>
            </w:r>
            <w:r>
              <w:rPr>
                <w:color w:val="000000"/>
                <w:sz w:val="24"/>
                <w:szCs w:val="24"/>
              </w:rPr>
              <w:t>国开</w:t>
            </w:r>
            <w:r>
              <w:rPr>
                <w:color w:val="000000"/>
                <w:sz w:val="24"/>
                <w:szCs w:val="24"/>
              </w:rPr>
              <w:t>11</w:t>
            </w:r>
          </w:p>
        </w:tc>
        <w:tc>
          <w:tcPr>
            <w:tcW w:w="1387" w:type="dxa"/>
            <w:vAlign w:val="center"/>
          </w:tcPr>
          <w:p w:rsidR="000C1427" w:rsidRDefault="00433084">
            <w:pPr>
              <w:jc w:val="right"/>
            </w:pPr>
            <w:r>
              <w:rPr>
                <w:color w:val="000000"/>
                <w:sz w:val="24"/>
                <w:szCs w:val="24"/>
              </w:rPr>
              <w:t>700,000</w:t>
            </w:r>
          </w:p>
        </w:tc>
        <w:tc>
          <w:tcPr>
            <w:tcW w:w="2150" w:type="dxa"/>
            <w:vAlign w:val="center"/>
          </w:tcPr>
          <w:p w:rsidR="000C1427" w:rsidRDefault="00433084">
            <w:pPr>
              <w:jc w:val="right"/>
            </w:pPr>
            <w:r>
              <w:rPr>
                <w:color w:val="000000"/>
                <w:sz w:val="24"/>
                <w:szCs w:val="24"/>
              </w:rPr>
              <w:t>69,958,000.00</w:t>
            </w:r>
          </w:p>
        </w:tc>
        <w:tc>
          <w:tcPr>
            <w:tcW w:w="1237" w:type="dxa"/>
            <w:vAlign w:val="center"/>
          </w:tcPr>
          <w:p w:rsidR="000C1427" w:rsidRDefault="00433084">
            <w:pPr>
              <w:jc w:val="right"/>
            </w:pPr>
            <w:r>
              <w:rPr>
                <w:color w:val="000000"/>
                <w:sz w:val="24"/>
                <w:szCs w:val="24"/>
              </w:rPr>
              <w:t>2.33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2,725,185.67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3,794,730.47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1,261,327.07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7,781,243.21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5,676,062,235.40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865,687,151.88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1,188,563,353.74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5,353,186,033.54</w:t>
            </w:r>
          </w:p>
        </w:tc>
      </w:tr>
    </w:tbl>
    <w:p w:rsidR="000C1427" w:rsidRDefault="0043308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670B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5737A2" w:rsidRPr="00AE55CC" w:rsidRDefault="005737A2" w:rsidP="005737A2">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Default="00480B35" w:rsidP="00C15CAC">
      <w:pPr>
        <w:autoSpaceDE w:val="0"/>
        <w:autoSpaceDN w:val="0"/>
        <w:adjustRightInd w:val="0"/>
        <w:spacing w:before="29" w:line="288" w:lineRule="auto"/>
        <w:jc w:val="left"/>
        <w:rPr>
          <w:color w:val="000000"/>
          <w:sz w:val="24"/>
        </w:rPr>
      </w:pPr>
    </w:p>
    <w:p w:rsidR="003F16FB" w:rsidRPr="007E75F6" w:rsidRDefault="003F16FB" w:rsidP="009670B6">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F16FB" w:rsidRPr="007E75F6" w:rsidRDefault="003F16FB" w:rsidP="003F16FB">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F16FB" w:rsidRPr="007E75F6" w:rsidTr="00D90E89">
        <w:tc>
          <w:tcPr>
            <w:tcW w:w="851" w:type="dxa"/>
            <w:vMerge w:val="restart"/>
            <w:vAlign w:val="center"/>
          </w:tcPr>
          <w:p w:rsidR="003F16FB" w:rsidRPr="00412CB5" w:rsidRDefault="003F16FB" w:rsidP="00D90E89">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3F16FB" w:rsidRPr="00412CB5" w:rsidRDefault="003F16FB" w:rsidP="00D90E89">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3F16FB" w:rsidRPr="00412CB5" w:rsidRDefault="003F16FB" w:rsidP="00D90E89">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3F16FB" w:rsidRPr="007E75F6" w:rsidTr="00D90E89">
        <w:tc>
          <w:tcPr>
            <w:tcW w:w="851" w:type="dxa"/>
            <w:vMerge/>
            <w:vAlign w:val="center"/>
          </w:tcPr>
          <w:p w:rsidR="003F16FB" w:rsidRPr="00412CB5" w:rsidRDefault="003F16FB" w:rsidP="00D90E89">
            <w:pPr>
              <w:autoSpaceDE w:val="0"/>
              <w:autoSpaceDN w:val="0"/>
              <w:adjustRightInd w:val="0"/>
              <w:jc w:val="center"/>
              <w:rPr>
                <w:rFonts w:ascii="宋体" w:hAnsi="宋体"/>
                <w:color w:val="000000"/>
                <w:sz w:val="22"/>
              </w:rPr>
            </w:pPr>
          </w:p>
        </w:tc>
        <w:tc>
          <w:tcPr>
            <w:tcW w:w="1134" w:type="dxa"/>
            <w:vAlign w:val="center"/>
          </w:tcPr>
          <w:p w:rsidR="003F16FB" w:rsidRPr="00412CB5" w:rsidRDefault="003F16FB" w:rsidP="00D90E89">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3F16FB" w:rsidRPr="00412CB5" w:rsidRDefault="003F16FB" w:rsidP="00D90E89">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3F16FB" w:rsidRPr="00412CB5" w:rsidRDefault="003F16FB" w:rsidP="00D90E89">
            <w:pPr>
              <w:widowControl/>
              <w:jc w:val="center"/>
              <w:rPr>
                <w:rFonts w:ascii="宋体" w:hAnsi="宋体"/>
                <w:color w:val="000000"/>
                <w:sz w:val="22"/>
              </w:rPr>
            </w:pPr>
            <w:r w:rsidRPr="00412CB5">
              <w:rPr>
                <w:rFonts w:ascii="宋体" w:hAnsi="宋体" w:hint="eastAsia"/>
                <w:color w:val="000000"/>
                <w:sz w:val="22"/>
              </w:rPr>
              <w:t>期初份额</w:t>
            </w:r>
          </w:p>
          <w:p w:rsidR="003F16FB" w:rsidRPr="00412CB5" w:rsidRDefault="003F16FB" w:rsidP="00D90E89">
            <w:pPr>
              <w:autoSpaceDE w:val="0"/>
              <w:autoSpaceDN w:val="0"/>
              <w:adjustRightInd w:val="0"/>
              <w:jc w:val="center"/>
              <w:rPr>
                <w:rFonts w:ascii="宋体" w:hAnsi="宋体"/>
                <w:color w:val="000000"/>
                <w:sz w:val="22"/>
              </w:rPr>
            </w:pPr>
          </w:p>
        </w:tc>
        <w:tc>
          <w:tcPr>
            <w:tcW w:w="850" w:type="dxa"/>
            <w:vAlign w:val="center"/>
          </w:tcPr>
          <w:p w:rsidR="003F16FB" w:rsidRPr="00412CB5" w:rsidRDefault="003F16FB" w:rsidP="00D90E89">
            <w:pPr>
              <w:widowControl/>
              <w:jc w:val="center"/>
              <w:rPr>
                <w:rFonts w:ascii="宋体" w:hAnsi="宋体"/>
                <w:color w:val="000000"/>
                <w:sz w:val="22"/>
              </w:rPr>
            </w:pPr>
            <w:r w:rsidRPr="00412CB5">
              <w:rPr>
                <w:rFonts w:ascii="宋体" w:hAnsi="宋体" w:hint="eastAsia"/>
                <w:color w:val="000000"/>
                <w:sz w:val="22"/>
              </w:rPr>
              <w:t>申购份额</w:t>
            </w:r>
          </w:p>
          <w:p w:rsidR="003F16FB" w:rsidRPr="00412CB5" w:rsidRDefault="003F16FB" w:rsidP="00D90E89">
            <w:pPr>
              <w:autoSpaceDE w:val="0"/>
              <w:autoSpaceDN w:val="0"/>
              <w:adjustRightInd w:val="0"/>
              <w:jc w:val="center"/>
              <w:rPr>
                <w:rFonts w:ascii="宋体" w:hAnsi="宋体"/>
                <w:color w:val="000000"/>
                <w:sz w:val="22"/>
              </w:rPr>
            </w:pPr>
          </w:p>
        </w:tc>
        <w:tc>
          <w:tcPr>
            <w:tcW w:w="992" w:type="dxa"/>
            <w:vAlign w:val="center"/>
          </w:tcPr>
          <w:p w:rsidR="003F16FB" w:rsidRPr="00412CB5" w:rsidRDefault="003F16FB" w:rsidP="009670B6">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3F16FB" w:rsidRPr="00412CB5" w:rsidRDefault="003F16FB" w:rsidP="00D90E89">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3F16FB" w:rsidRPr="00412CB5" w:rsidRDefault="009670B6" w:rsidP="00D90E89">
            <w:pPr>
              <w:autoSpaceDE w:val="0"/>
              <w:autoSpaceDN w:val="0"/>
              <w:adjustRightInd w:val="0"/>
              <w:jc w:val="center"/>
              <w:rPr>
                <w:rFonts w:ascii="宋体" w:hAnsi="宋体"/>
                <w:color w:val="000000"/>
                <w:sz w:val="22"/>
              </w:rPr>
            </w:pPr>
            <w:r>
              <w:rPr>
                <w:rFonts w:ascii="宋体" w:hAnsi="宋体" w:hint="eastAsia"/>
                <w:color w:val="000000"/>
                <w:sz w:val="22"/>
              </w:rPr>
              <w:t>份</w:t>
            </w:r>
            <w:r w:rsidR="003F16FB" w:rsidRPr="00412CB5">
              <w:rPr>
                <w:rFonts w:ascii="宋体" w:hAnsi="宋体" w:hint="eastAsia"/>
                <w:color w:val="000000"/>
                <w:sz w:val="22"/>
              </w:rPr>
              <w:t>额占比</w:t>
            </w:r>
          </w:p>
        </w:tc>
      </w:tr>
      <w:tr w:rsidR="003F16FB" w:rsidTr="00D90E89">
        <w:tc>
          <w:tcPr>
            <w:tcW w:w="851" w:type="dxa"/>
            <w:vMerge w:val="restart"/>
          </w:tcPr>
          <w:p w:rsidR="003F16FB" w:rsidRDefault="003F16FB" w:rsidP="00D90E89"/>
          <w:p w:rsidR="003F16FB" w:rsidRDefault="003F16FB" w:rsidP="00D90E89">
            <w:r>
              <w:rPr>
                <w:rFonts w:eastAsiaTheme="minorEastAsia" w:hint="eastAsia"/>
                <w:bCs/>
                <w:color w:val="000000" w:themeColor="text1"/>
                <w:sz w:val="24"/>
              </w:rPr>
              <w:t>机构</w:t>
            </w:r>
          </w:p>
        </w:tc>
        <w:tc>
          <w:tcPr>
            <w:tcW w:w="1134" w:type="dxa"/>
            <w:vAlign w:val="center"/>
          </w:tcPr>
          <w:p w:rsidR="003F16FB" w:rsidRDefault="003F16FB" w:rsidP="00D90E89">
            <w:pPr>
              <w:jc w:val="center"/>
            </w:pPr>
            <w:r>
              <w:rPr>
                <w:color w:val="000000"/>
                <w:sz w:val="22"/>
              </w:rPr>
              <w:t>1</w:t>
            </w:r>
          </w:p>
        </w:tc>
        <w:tc>
          <w:tcPr>
            <w:tcW w:w="1843" w:type="dxa"/>
            <w:vAlign w:val="center"/>
          </w:tcPr>
          <w:p w:rsidR="003F16FB" w:rsidRDefault="003F16FB" w:rsidP="00D90E89">
            <w:pPr>
              <w:jc w:val="center"/>
            </w:pPr>
            <w:r>
              <w:rPr>
                <w:color w:val="000000"/>
                <w:sz w:val="22"/>
              </w:rPr>
              <w:t>2017/1/1-2017/3/31</w:t>
            </w:r>
          </w:p>
        </w:tc>
        <w:tc>
          <w:tcPr>
            <w:tcW w:w="851" w:type="dxa"/>
            <w:vAlign w:val="center"/>
          </w:tcPr>
          <w:p w:rsidR="003F16FB" w:rsidRDefault="003F16FB" w:rsidP="00D90E89">
            <w:pPr>
              <w:jc w:val="center"/>
            </w:pPr>
            <w:r>
              <w:rPr>
                <w:color w:val="000000"/>
                <w:sz w:val="22"/>
              </w:rPr>
              <w:t>1,177,003,85</w:t>
            </w:r>
            <w:r>
              <w:rPr>
                <w:color w:val="000000"/>
                <w:sz w:val="22"/>
              </w:rPr>
              <w:lastRenderedPageBreak/>
              <w:t>6.48</w:t>
            </w:r>
          </w:p>
        </w:tc>
        <w:tc>
          <w:tcPr>
            <w:tcW w:w="850" w:type="dxa"/>
            <w:vAlign w:val="center"/>
          </w:tcPr>
          <w:p w:rsidR="003F16FB" w:rsidRDefault="003F16FB" w:rsidP="00D90E89">
            <w:pPr>
              <w:jc w:val="center"/>
            </w:pPr>
            <w:r>
              <w:rPr>
                <w:color w:val="000000"/>
                <w:sz w:val="22"/>
              </w:rPr>
              <w:lastRenderedPageBreak/>
              <w:t>357,651,409.</w:t>
            </w:r>
            <w:r>
              <w:rPr>
                <w:color w:val="000000"/>
                <w:sz w:val="22"/>
              </w:rPr>
              <w:lastRenderedPageBreak/>
              <w:t>26</w:t>
            </w:r>
          </w:p>
        </w:tc>
        <w:tc>
          <w:tcPr>
            <w:tcW w:w="992" w:type="dxa"/>
            <w:vAlign w:val="center"/>
          </w:tcPr>
          <w:p w:rsidR="003F16FB" w:rsidRDefault="003F16FB" w:rsidP="00D90E89">
            <w:pPr>
              <w:jc w:val="center"/>
            </w:pPr>
            <w:r>
              <w:rPr>
                <w:color w:val="000000"/>
                <w:sz w:val="22"/>
              </w:rPr>
              <w:lastRenderedPageBreak/>
              <w:t>340,000,000.00</w:t>
            </w:r>
          </w:p>
        </w:tc>
        <w:tc>
          <w:tcPr>
            <w:tcW w:w="1418" w:type="dxa"/>
            <w:vAlign w:val="center"/>
          </w:tcPr>
          <w:p w:rsidR="003F16FB" w:rsidRDefault="003F16FB" w:rsidP="00D90E89">
            <w:pPr>
              <w:jc w:val="center"/>
            </w:pPr>
            <w:r>
              <w:rPr>
                <w:color w:val="000000"/>
                <w:sz w:val="22"/>
              </w:rPr>
              <w:t>1,194,655,265.74</w:t>
            </w:r>
          </w:p>
        </w:tc>
        <w:tc>
          <w:tcPr>
            <w:tcW w:w="1273" w:type="dxa"/>
            <w:vAlign w:val="center"/>
          </w:tcPr>
          <w:p w:rsidR="003F16FB" w:rsidRDefault="003F16FB" w:rsidP="00D90E89">
            <w:pPr>
              <w:jc w:val="center"/>
            </w:pPr>
            <w:r>
              <w:rPr>
                <w:color w:val="000000"/>
                <w:sz w:val="22"/>
              </w:rPr>
              <w:t>22.32%</w:t>
            </w:r>
          </w:p>
        </w:tc>
      </w:tr>
      <w:tr w:rsidR="003F16FB" w:rsidRPr="0077692E" w:rsidTr="00D90E89">
        <w:tc>
          <w:tcPr>
            <w:tcW w:w="9212" w:type="dxa"/>
            <w:gridSpan w:val="8"/>
            <w:vAlign w:val="center"/>
          </w:tcPr>
          <w:p w:rsidR="003F16FB" w:rsidRPr="0077692E" w:rsidRDefault="003F16FB" w:rsidP="00D90E89">
            <w:pPr>
              <w:autoSpaceDE w:val="0"/>
              <w:autoSpaceDN w:val="0"/>
              <w:adjustRightInd w:val="0"/>
              <w:ind w:firstLine="1126"/>
              <w:jc w:val="center"/>
              <w:rPr>
                <w:sz w:val="22"/>
              </w:rPr>
            </w:pPr>
            <w:r w:rsidRPr="0077692E">
              <w:rPr>
                <w:color w:val="000000"/>
                <w:sz w:val="22"/>
              </w:rPr>
              <w:lastRenderedPageBreak/>
              <w:t>产品特有风险</w:t>
            </w:r>
          </w:p>
        </w:tc>
      </w:tr>
      <w:tr w:rsidR="003F16FB" w:rsidRPr="00EF20F9" w:rsidTr="00D90E89">
        <w:tc>
          <w:tcPr>
            <w:tcW w:w="9212" w:type="dxa"/>
            <w:gridSpan w:val="8"/>
            <w:vAlign w:val="center"/>
          </w:tcPr>
          <w:p w:rsidR="003F16FB" w:rsidRPr="00EF20F9" w:rsidRDefault="003F16FB" w:rsidP="00D90E89">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3F16FB" w:rsidRPr="003F16FB" w:rsidRDefault="003F16FB" w:rsidP="00C15CAC">
      <w:pPr>
        <w:autoSpaceDE w:val="0"/>
        <w:autoSpaceDN w:val="0"/>
        <w:adjustRightInd w:val="0"/>
        <w:spacing w:before="29" w:line="288" w:lineRule="auto"/>
        <w:jc w:val="left"/>
        <w:rPr>
          <w:color w:val="000000"/>
          <w:sz w:val="24"/>
        </w:rPr>
      </w:pPr>
    </w:p>
    <w:p w:rsidR="00B22DEE" w:rsidRPr="00E02660" w:rsidRDefault="004061AC" w:rsidP="009670B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3F16FB">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3F16FB"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C1427" w:rsidRDefault="0043308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C1427" w:rsidRDefault="0043308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3F16FB"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3F16FB"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C1427" w:rsidRDefault="0043308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305" w:rsidRDefault="00EE0305" w:rsidP="00876D65">
      <w:r>
        <w:separator/>
      </w:r>
    </w:p>
  </w:endnote>
  <w:endnote w:type="continuationSeparator" w:id="0">
    <w:p w:rsidR="00EE0305" w:rsidRDefault="00EE030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26538E">
      <w:rPr>
        <w:kern w:val="0"/>
        <w:szCs w:val="21"/>
      </w:rPr>
      <w:fldChar w:fldCharType="begin"/>
    </w:r>
    <w:r>
      <w:rPr>
        <w:kern w:val="0"/>
        <w:szCs w:val="21"/>
      </w:rPr>
      <w:instrText xml:space="preserve"> PAGE </w:instrText>
    </w:r>
    <w:r w:rsidR="0026538E">
      <w:rPr>
        <w:kern w:val="0"/>
        <w:szCs w:val="21"/>
      </w:rPr>
      <w:fldChar w:fldCharType="separate"/>
    </w:r>
    <w:r w:rsidR="00E301F9">
      <w:rPr>
        <w:noProof/>
        <w:kern w:val="0"/>
        <w:szCs w:val="21"/>
      </w:rPr>
      <w:t>1</w:t>
    </w:r>
    <w:r w:rsidR="0026538E">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26538E">
      <w:rPr>
        <w:kern w:val="0"/>
        <w:szCs w:val="21"/>
      </w:rPr>
      <w:fldChar w:fldCharType="begin"/>
    </w:r>
    <w:r>
      <w:rPr>
        <w:kern w:val="0"/>
        <w:szCs w:val="21"/>
      </w:rPr>
      <w:instrText xml:space="preserve"> NUMPAGES </w:instrText>
    </w:r>
    <w:r w:rsidR="0026538E">
      <w:rPr>
        <w:kern w:val="0"/>
        <w:szCs w:val="21"/>
      </w:rPr>
      <w:fldChar w:fldCharType="separate"/>
    </w:r>
    <w:r w:rsidR="00E301F9">
      <w:rPr>
        <w:noProof/>
        <w:kern w:val="0"/>
        <w:szCs w:val="21"/>
      </w:rPr>
      <w:t>11</w:t>
    </w:r>
    <w:r w:rsidR="0026538E">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305" w:rsidRDefault="00EE0305" w:rsidP="00876D65">
      <w:r>
        <w:separator/>
      </w:r>
    </w:p>
  </w:footnote>
  <w:footnote w:type="continuationSeparator" w:id="0">
    <w:p w:rsidR="00EE0305" w:rsidRDefault="00EE030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427"/>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6538E"/>
    <w:rsid w:val="00270744"/>
    <w:rsid w:val="00270749"/>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6FB"/>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084"/>
    <w:rsid w:val="00433805"/>
    <w:rsid w:val="00443869"/>
    <w:rsid w:val="00443ABF"/>
    <w:rsid w:val="00460575"/>
    <w:rsid w:val="00463EC0"/>
    <w:rsid w:val="00464787"/>
    <w:rsid w:val="00471408"/>
    <w:rsid w:val="00480B35"/>
    <w:rsid w:val="004858E0"/>
    <w:rsid w:val="004869C8"/>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37A2"/>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670B6"/>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1CA"/>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01F9"/>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0305"/>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5013D-B4D3-46C6-971D-9D6531DD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414CD-6056-45D9-ABAF-B3D03A55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2017-04-20T09:07:00Z</dcterms:created>
  <dcterms:modified xsi:type="dcterms:W3CDTF">2017-04-20T09:07:00Z</dcterms:modified>
</cp:coreProperties>
</file>