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二〇一七年四月二十四日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10282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AC7E56" w:rsidRDefault="000637C4">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C7E56" w:rsidRDefault="000637C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C7E56" w:rsidRDefault="000637C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C7E56" w:rsidRDefault="000637C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C7E56" w:rsidRDefault="000637C4">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50,421,464.92</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B7218" w:rsidRPr="008640AE" w:rsidTr="005B7218">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5B7218" w:rsidRPr="008640AE" w:rsidTr="005B721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1,294,992.87</w:t>
            </w:r>
          </w:p>
        </w:tc>
      </w:tr>
      <w:tr w:rsidR="005B7218" w:rsidRPr="008640AE" w:rsidTr="005B721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4,572,157.22</w:t>
            </w:r>
          </w:p>
        </w:tc>
      </w:tr>
      <w:tr w:rsidR="005B7218" w:rsidRPr="008640AE" w:rsidTr="005B721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0.1130</w:t>
            </w:r>
          </w:p>
        </w:tc>
      </w:tr>
      <w:tr w:rsidR="005B7218" w:rsidRPr="008640AE" w:rsidTr="005B721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68,621,278.23</w:t>
            </w:r>
          </w:p>
        </w:tc>
      </w:tr>
      <w:tr w:rsidR="005B7218" w:rsidRPr="008640AE" w:rsidTr="005B7218">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1.361</w:t>
            </w:r>
          </w:p>
        </w:tc>
      </w:tr>
    </w:tbl>
    <w:p w:rsidR="00AC7E56" w:rsidRDefault="000637C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AC7E56">
        <w:trPr>
          <w:jc w:val="center"/>
        </w:trPr>
        <w:tc>
          <w:tcPr>
            <w:tcW w:w="1701" w:type="dxa"/>
            <w:vAlign w:val="center"/>
          </w:tcPr>
          <w:p w:rsidR="00AC7E56" w:rsidRDefault="000637C4">
            <w:pPr>
              <w:jc w:val="left"/>
            </w:pPr>
            <w:r>
              <w:rPr>
                <w:color w:val="000000"/>
                <w:sz w:val="24"/>
              </w:rPr>
              <w:t>过去三个月</w:t>
            </w:r>
          </w:p>
        </w:tc>
        <w:tc>
          <w:tcPr>
            <w:tcW w:w="1194" w:type="dxa"/>
            <w:vAlign w:val="center"/>
          </w:tcPr>
          <w:p w:rsidR="00AC7E56" w:rsidRDefault="000637C4">
            <w:pPr>
              <w:jc w:val="right"/>
            </w:pPr>
            <w:r>
              <w:rPr>
                <w:color w:val="000000"/>
                <w:sz w:val="24"/>
              </w:rPr>
              <w:t>10.92%</w:t>
            </w:r>
          </w:p>
        </w:tc>
        <w:tc>
          <w:tcPr>
            <w:tcW w:w="1194" w:type="dxa"/>
            <w:vAlign w:val="center"/>
          </w:tcPr>
          <w:p w:rsidR="00AC7E56" w:rsidRDefault="000637C4">
            <w:pPr>
              <w:jc w:val="right"/>
            </w:pPr>
            <w:r>
              <w:rPr>
                <w:color w:val="000000"/>
                <w:sz w:val="24"/>
              </w:rPr>
              <w:t>0.69%</w:t>
            </w:r>
          </w:p>
        </w:tc>
        <w:tc>
          <w:tcPr>
            <w:tcW w:w="1194" w:type="dxa"/>
            <w:vAlign w:val="center"/>
          </w:tcPr>
          <w:p w:rsidR="00AC7E56" w:rsidRDefault="000637C4">
            <w:pPr>
              <w:jc w:val="right"/>
            </w:pPr>
            <w:r>
              <w:rPr>
                <w:color w:val="000000"/>
                <w:sz w:val="24"/>
              </w:rPr>
              <w:t>2.02%</w:t>
            </w:r>
          </w:p>
        </w:tc>
        <w:tc>
          <w:tcPr>
            <w:tcW w:w="1343" w:type="dxa"/>
            <w:vAlign w:val="center"/>
          </w:tcPr>
          <w:p w:rsidR="00AC7E56" w:rsidRDefault="000637C4">
            <w:pPr>
              <w:jc w:val="right"/>
            </w:pPr>
            <w:r>
              <w:rPr>
                <w:color w:val="000000"/>
                <w:sz w:val="24"/>
              </w:rPr>
              <w:t>0.64%</w:t>
            </w:r>
          </w:p>
        </w:tc>
        <w:tc>
          <w:tcPr>
            <w:tcW w:w="1194" w:type="dxa"/>
            <w:vAlign w:val="center"/>
          </w:tcPr>
          <w:p w:rsidR="00AC7E56" w:rsidRDefault="000637C4">
            <w:pPr>
              <w:jc w:val="right"/>
            </w:pPr>
            <w:r>
              <w:rPr>
                <w:color w:val="000000"/>
                <w:sz w:val="24"/>
              </w:rPr>
              <w:t>8.90%</w:t>
            </w:r>
          </w:p>
        </w:tc>
        <w:tc>
          <w:tcPr>
            <w:tcW w:w="1048" w:type="dxa"/>
            <w:vAlign w:val="center"/>
          </w:tcPr>
          <w:p w:rsidR="00AC7E56" w:rsidRDefault="000637C4">
            <w:pPr>
              <w:jc w:val="right"/>
            </w:pPr>
            <w:r>
              <w:rPr>
                <w:color w:val="000000"/>
                <w:sz w:val="24"/>
              </w:rPr>
              <w:t>0.05%</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lastRenderedPageBreak/>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AC7E56">
        <w:trPr>
          <w:jc w:val="center"/>
        </w:trPr>
        <w:tc>
          <w:tcPr>
            <w:tcW w:w="846" w:type="dxa"/>
            <w:vAlign w:val="center"/>
          </w:tcPr>
          <w:p w:rsidR="00AC7E56" w:rsidRDefault="000637C4">
            <w:pPr>
              <w:jc w:val="center"/>
            </w:pPr>
            <w:r>
              <w:rPr>
                <w:color w:val="000000"/>
                <w:sz w:val="24"/>
              </w:rPr>
              <w:t>蔡铮</w:t>
            </w:r>
          </w:p>
        </w:tc>
        <w:tc>
          <w:tcPr>
            <w:tcW w:w="845" w:type="dxa"/>
            <w:vAlign w:val="center"/>
          </w:tcPr>
          <w:p w:rsidR="00AC7E56" w:rsidRDefault="000637C4">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w:t>
            </w:r>
            <w:r>
              <w:rPr>
                <w:color w:val="000000"/>
                <w:sz w:val="24"/>
              </w:rPr>
              <w:lastRenderedPageBreak/>
              <w:t>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AC7E56" w:rsidRDefault="000637C4">
            <w:pPr>
              <w:jc w:val="center"/>
            </w:pPr>
            <w:r>
              <w:rPr>
                <w:color w:val="000000"/>
                <w:sz w:val="24"/>
              </w:rPr>
              <w:lastRenderedPageBreak/>
              <w:t>2015-04-22</w:t>
            </w:r>
          </w:p>
        </w:tc>
        <w:tc>
          <w:tcPr>
            <w:tcW w:w="1548" w:type="dxa"/>
            <w:vAlign w:val="center"/>
          </w:tcPr>
          <w:p w:rsidR="00AC7E56" w:rsidRDefault="000637C4">
            <w:pPr>
              <w:jc w:val="center"/>
            </w:pPr>
            <w:r>
              <w:rPr>
                <w:color w:val="000000"/>
                <w:sz w:val="24"/>
              </w:rPr>
              <w:t>2017-03-25</w:t>
            </w:r>
          </w:p>
        </w:tc>
        <w:tc>
          <w:tcPr>
            <w:tcW w:w="1407" w:type="dxa"/>
            <w:vAlign w:val="center"/>
          </w:tcPr>
          <w:p w:rsidR="00AC7E56" w:rsidRDefault="000637C4">
            <w:pPr>
              <w:jc w:val="center"/>
            </w:pPr>
            <w:r>
              <w:rPr>
                <w:color w:val="000000"/>
                <w:sz w:val="24"/>
              </w:rPr>
              <w:t>8</w:t>
            </w:r>
            <w:r>
              <w:rPr>
                <w:color w:val="000000"/>
                <w:sz w:val="24"/>
              </w:rPr>
              <w:t>年</w:t>
            </w:r>
          </w:p>
        </w:tc>
        <w:tc>
          <w:tcPr>
            <w:tcW w:w="2673" w:type="dxa"/>
            <w:vAlign w:val="center"/>
          </w:tcPr>
          <w:p w:rsidR="00AC7E56" w:rsidRDefault="000637C4">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r w:rsidR="00AC7E56">
        <w:trPr>
          <w:jc w:val="center"/>
        </w:trPr>
        <w:tc>
          <w:tcPr>
            <w:tcW w:w="846" w:type="dxa"/>
            <w:vAlign w:val="center"/>
          </w:tcPr>
          <w:p w:rsidR="00AC7E56" w:rsidRDefault="000637C4">
            <w:pPr>
              <w:jc w:val="center"/>
            </w:pPr>
            <w:r>
              <w:rPr>
                <w:color w:val="000000"/>
                <w:sz w:val="24"/>
              </w:rPr>
              <w:lastRenderedPageBreak/>
              <w:t>陈俊华</w:t>
            </w:r>
          </w:p>
        </w:tc>
        <w:tc>
          <w:tcPr>
            <w:tcW w:w="845" w:type="dxa"/>
            <w:vAlign w:val="center"/>
          </w:tcPr>
          <w:p w:rsidR="00AC7E56" w:rsidRDefault="000637C4">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549" w:type="dxa"/>
            <w:vAlign w:val="center"/>
          </w:tcPr>
          <w:p w:rsidR="00AC7E56" w:rsidRDefault="000637C4">
            <w:pPr>
              <w:jc w:val="center"/>
            </w:pPr>
            <w:r>
              <w:rPr>
                <w:color w:val="000000"/>
                <w:sz w:val="24"/>
              </w:rPr>
              <w:t>2015-11-21</w:t>
            </w:r>
          </w:p>
        </w:tc>
        <w:tc>
          <w:tcPr>
            <w:tcW w:w="1548" w:type="dxa"/>
            <w:vAlign w:val="center"/>
          </w:tcPr>
          <w:p w:rsidR="00AC7E56" w:rsidRDefault="000637C4">
            <w:pPr>
              <w:jc w:val="center"/>
            </w:pPr>
            <w:r>
              <w:rPr>
                <w:color w:val="000000"/>
                <w:sz w:val="24"/>
              </w:rPr>
              <w:t>-</w:t>
            </w:r>
          </w:p>
        </w:tc>
        <w:tc>
          <w:tcPr>
            <w:tcW w:w="1407" w:type="dxa"/>
            <w:vAlign w:val="center"/>
          </w:tcPr>
          <w:p w:rsidR="00AC7E56" w:rsidRDefault="000637C4">
            <w:pPr>
              <w:jc w:val="center"/>
            </w:pPr>
            <w:r>
              <w:rPr>
                <w:color w:val="000000"/>
                <w:sz w:val="24"/>
              </w:rPr>
              <w:t>12</w:t>
            </w:r>
            <w:r>
              <w:rPr>
                <w:color w:val="000000"/>
                <w:sz w:val="24"/>
              </w:rPr>
              <w:t>年</w:t>
            </w:r>
          </w:p>
        </w:tc>
        <w:tc>
          <w:tcPr>
            <w:tcW w:w="2673" w:type="dxa"/>
            <w:vAlign w:val="center"/>
          </w:tcPr>
          <w:p w:rsidR="00AC7E56" w:rsidRDefault="000637C4">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AC7E56">
        <w:trPr>
          <w:jc w:val="center"/>
        </w:trPr>
        <w:tc>
          <w:tcPr>
            <w:tcW w:w="846" w:type="dxa"/>
            <w:vAlign w:val="center"/>
          </w:tcPr>
          <w:p w:rsidR="00AC7E56" w:rsidRDefault="000637C4">
            <w:pPr>
              <w:jc w:val="center"/>
            </w:pPr>
            <w:r>
              <w:rPr>
                <w:color w:val="000000"/>
                <w:sz w:val="24"/>
              </w:rPr>
              <w:lastRenderedPageBreak/>
              <w:t>周中</w:t>
            </w:r>
          </w:p>
        </w:tc>
        <w:tc>
          <w:tcPr>
            <w:tcW w:w="845" w:type="dxa"/>
            <w:vAlign w:val="center"/>
          </w:tcPr>
          <w:p w:rsidR="00AC7E56" w:rsidRDefault="000637C4">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AC7E56" w:rsidRDefault="000637C4">
            <w:pPr>
              <w:jc w:val="center"/>
            </w:pPr>
            <w:r>
              <w:rPr>
                <w:color w:val="000000"/>
                <w:sz w:val="24"/>
              </w:rPr>
              <w:t>2015-12-12</w:t>
            </w:r>
          </w:p>
        </w:tc>
        <w:tc>
          <w:tcPr>
            <w:tcW w:w="1548" w:type="dxa"/>
            <w:vAlign w:val="center"/>
          </w:tcPr>
          <w:p w:rsidR="00AC7E56" w:rsidRDefault="000637C4">
            <w:pPr>
              <w:jc w:val="center"/>
            </w:pPr>
            <w:r>
              <w:rPr>
                <w:color w:val="000000"/>
                <w:sz w:val="24"/>
              </w:rPr>
              <w:t>-</w:t>
            </w:r>
          </w:p>
        </w:tc>
        <w:tc>
          <w:tcPr>
            <w:tcW w:w="1407" w:type="dxa"/>
            <w:vAlign w:val="center"/>
          </w:tcPr>
          <w:p w:rsidR="00AC7E56" w:rsidRDefault="000637C4">
            <w:pPr>
              <w:jc w:val="center"/>
            </w:pPr>
            <w:r>
              <w:rPr>
                <w:color w:val="000000"/>
                <w:sz w:val="24"/>
              </w:rPr>
              <w:t>8</w:t>
            </w:r>
            <w:r>
              <w:rPr>
                <w:color w:val="000000"/>
                <w:sz w:val="24"/>
              </w:rPr>
              <w:t>年</w:t>
            </w:r>
          </w:p>
        </w:tc>
        <w:tc>
          <w:tcPr>
            <w:tcW w:w="2673" w:type="dxa"/>
            <w:vAlign w:val="center"/>
          </w:tcPr>
          <w:p w:rsidR="00AC7E56" w:rsidRDefault="000637C4">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AC7E56">
        <w:trPr>
          <w:jc w:val="center"/>
        </w:trPr>
        <w:tc>
          <w:tcPr>
            <w:tcW w:w="2070" w:type="dxa"/>
            <w:vAlign w:val="center"/>
          </w:tcPr>
          <w:p w:rsidR="00AC7E56" w:rsidRDefault="000637C4">
            <w:pPr>
              <w:jc w:val="center"/>
            </w:pPr>
            <w:r>
              <w:rPr>
                <w:color w:val="000000"/>
                <w:sz w:val="24"/>
              </w:rPr>
              <w:t>Simon Webber</w:t>
            </w:r>
          </w:p>
        </w:tc>
        <w:tc>
          <w:tcPr>
            <w:tcW w:w="2465" w:type="dxa"/>
            <w:vAlign w:val="center"/>
          </w:tcPr>
          <w:p w:rsidR="00AC7E56" w:rsidRDefault="000637C4">
            <w:pPr>
              <w:jc w:val="center"/>
            </w:pPr>
            <w:r>
              <w:rPr>
                <w:color w:val="000000"/>
                <w:sz w:val="24"/>
              </w:rPr>
              <w:t>施罗德集团多区域（全球及国际）股票投资主管、全球和国际股票基金经理、全球气候变化股票基金经理</w:t>
            </w:r>
          </w:p>
        </w:tc>
        <w:tc>
          <w:tcPr>
            <w:tcW w:w="2116" w:type="dxa"/>
            <w:vAlign w:val="center"/>
          </w:tcPr>
          <w:p w:rsidR="00AC7E56" w:rsidRDefault="000637C4">
            <w:pPr>
              <w:jc w:val="center"/>
            </w:pPr>
            <w:r>
              <w:rPr>
                <w:color w:val="000000"/>
                <w:sz w:val="24"/>
              </w:rPr>
              <w:t>18</w:t>
            </w:r>
            <w:r>
              <w:rPr>
                <w:color w:val="000000"/>
                <w:sz w:val="24"/>
              </w:rPr>
              <w:t>年</w:t>
            </w:r>
          </w:p>
        </w:tc>
        <w:tc>
          <w:tcPr>
            <w:tcW w:w="2217" w:type="dxa"/>
            <w:vAlign w:val="center"/>
          </w:tcPr>
          <w:p w:rsidR="00AC7E56" w:rsidRDefault="000637C4">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AC7E56" w:rsidRDefault="000637C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C7E56" w:rsidRDefault="000637C4">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C7E56" w:rsidRDefault="000637C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AC7E56" w:rsidRDefault="000637C4">
      <w:pPr>
        <w:spacing w:before="29" w:line="288" w:lineRule="auto"/>
        <w:ind w:firstLineChars="200" w:firstLine="480"/>
        <w:rPr>
          <w:color w:val="000000"/>
          <w:sz w:val="24"/>
        </w:rPr>
      </w:pPr>
      <w:r>
        <w:rPr>
          <w:color w:val="000000"/>
          <w:sz w:val="24"/>
        </w:rPr>
        <w:t>2017</w:t>
      </w:r>
      <w:r>
        <w:rPr>
          <w:color w:val="000000"/>
          <w:sz w:val="24"/>
        </w:rPr>
        <w:t>年一季度，市场表现较我们前期预测更为乐观：欧美、香港普遍上涨。欧美股市稳步上涨，平均涨幅在</w:t>
      </w:r>
      <w:r>
        <w:rPr>
          <w:color w:val="000000"/>
          <w:sz w:val="24"/>
        </w:rPr>
        <w:t>4%</w:t>
      </w:r>
      <w:r>
        <w:rPr>
          <w:color w:val="000000"/>
          <w:sz w:val="24"/>
        </w:rPr>
        <w:t>左右，主要获益于经济复苏预期增强。美国方面，受益于新任总统就职，引发新增基建、减税等预期。香港股市则表现更为亮眼，涨幅接近双位数，除人民币贬值预期放缓，海外资金回流外，更主要的是，沪港通、港股通带来的南下资金涌动，为低估值的港股带来了重估的机会。</w:t>
      </w:r>
    </w:p>
    <w:p w:rsidR="00AC7E56" w:rsidRDefault="000637C4">
      <w:pPr>
        <w:spacing w:before="29" w:line="288" w:lineRule="auto"/>
        <w:ind w:firstLineChars="200" w:firstLine="480"/>
        <w:rPr>
          <w:color w:val="000000"/>
          <w:sz w:val="24"/>
        </w:rPr>
      </w:pPr>
      <w:r>
        <w:rPr>
          <w:color w:val="000000"/>
          <w:sz w:val="24"/>
        </w:rPr>
        <w:t>本基金在一季度总体呈中、高仓位运作，跑赢了业绩比较基准。我们主要是进行结构调整，在我们投资范围内，我们加大了基建、能源和农产品领域的投资，低配了公用事业板块，对于煤炭板块我们整体作中性配置。</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2017</w:t>
      </w:r>
      <w:r w:rsidRPr="008640AE">
        <w:rPr>
          <w:color w:val="000000"/>
          <w:sz w:val="24"/>
        </w:rPr>
        <w:t>年二季度，我们更多希望以</w:t>
      </w:r>
      <w:r w:rsidRPr="008640AE">
        <w:rPr>
          <w:color w:val="000000"/>
          <w:sz w:val="24"/>
        </w:rPr>
        <w:t>6-12</w:t>
      </w:r>
      <w:r w:rsidRPr="008640AE">
        <w:rPr>
          <w:color w:val="000000"/>
          <w:sz w:val="24"/>
        </w:rPr>
        <w:t>个月的角度去寻找基本面逐步改善的板块和行业龙头。从资金角度，我们仍对港股保持乐观；基本面方面，我们需要关注复苏步伐对于资源品需求的变化，供给方面，需要注意国内国企改革和政策变动对行业的影响。板块方面，我们密切关注燃气需求量变化的可持续性、公用事业板块的寻底过程。我们将一如既往勤勉努力地为投资者赚取较为稳健的投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1.361</w:t>
      </w:r>
      <w:r w:rsidRPr="008640AE">
        <w:rPr>
          <w:color w:val="000000"/>
          <w:sz w:val="24"/>
        </w:rPr>
        <w:t>元，本报告期份额净值增长率为</w:t>
      </w:r>
      <w:r w:rsidRPr="008640AE">
        <w:rPr>
          <w:color w:val="000000"/>
          <w:sz w:val="24"/>
        </w:rPr>
        <w:t>10.92%</w:t>
      </w:r>
      <w:r w:rsidRPr="008640AE">
        <w:rPr>
          <w:color w:val="000000"/>
          <w:sz w:val="24"/>
        </w:rPr>
        <w:t>，同期业绩比较基准增长率为</w:t>
      </w:r>
      <w:r w:rsidRPr="008640AE">
        <w:rPr>
          <w:color w:val="000000"/>
          <w:sz w:val="24"/>
        </w:rPr>
        <w:t>2.02%</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lastRenderedPageBreak/>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本基金本报告期内曾连续二十个工作日以上出现基金资产净值低于五千万元的情形，但截至本报告期末，本基金基金资产净值已高于五千万元。</w:t>
      </w:r>
    </w:p>
    <w:p w:rsidR="00EA3F21" w:rsidRPr="008640AE" w:rsidRDefault="00EA3F21"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46,970,403.74</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66.18</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46,970,403.74</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66.18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23,449,641.11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33.04</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554,964.52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0.78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70,975,009.37</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lastRenderedPageBreak/>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AC7E56">
        <w:trPr>
          <w:jc w:val="center"/>
        </w:trPr>
        <w:tc>
          <w:tcPr>
            <w:tcW w:w="2484" w:type="dxa"/>
            <w:vAlign w:val="center"/>
          </w:tcPr>
          <w:p w:rsidR="00AC7E56" w:rsidRDefault="000637C4">
            <w:pPr>
              <w:jc w:val="left"/>
            </w:pPr>
            <w:r>
              <w:rPr>
                <w:color w:val="000000"/>
                <w:sz w:val="24"/>
              </w:rPr>
              <w:t>香港</w:t>
            </w:r>
          </w:p>
        </w:tc>
        <w:tc>
          <w:tcPr>
            <w:tcW w:w="3214" w:type="dxa"/>
            <w:vAlign w:val="center"/>
          </w:tcPr>
          <w:p w:rsidR="00AC7E56" w:rsidRDefault="000637C4">
            <w:pPr>
              <w:jc w:val="right"/>
            </w:pPr>
            <w:r>
              <w:rPr>
                <w:color w:val="000000"/>
                <w:sz w:val="24"/>
              </w:rPr>
              <w:t>46,970,403.74</w:t>
            </w:r>
          </w:p>
        </w:tc>
        <w:tc>
          <w:tcPr>
            <w:tcW w:w="3170" w:type="dxa"/>
            <w:vAlign w:val="center"/>
          </w:tcPr>
          <w:p w:rsidR="00AC7E56" w:rsidRDefault="000637C4">
            <w:pPr>
              <w:jc w:val="right"/>
            </w:pPr>
            <w:r>
              <w:rPr>
                <w:color w:val="000000"/>
                <w:sz w:val="24"/>
              </w:rPr>
              <w:t>68.45</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46,970,403.74</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68.45</w:t>
            </w:r>
          </w:p>
        </w:tc>
      </w:tr>
    </w:tbl>
    <w:p w:rsidR="00AC7E56" w:rsidRDefault="000637C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AC7E56">
        <w:trPr>
          <w:jc w:val="center"/>
        </w:trPr>
        <w:tc>
          <w:tcPr>
            <w:tcW w:w="2904" w:type="dxa"/>
            <w:vAlign w:val="center"/>
          </w:tcPr>
          <w:p w:rsidR="00AC7E56" w:rsidRDefault="000637C4">
            <w:pPr>
              <w:jc w:val="left"/>
            </w:pPr>
            <w:r>
              <w:rPr>
                <w:color w:val="000000"/>
                <w:sz w:val="24"/>
              </w:rPr>
              <w:t>工业</w:t>
            </w:r>
          </w:p>
        </w:tc>
        <w:tc>
          <w:tcPr>
            <w:tcW w:w="2657" w:type="dxa"/>
            <w:vAlign w:val="center"/>
          </w:tcPr>
          <w:p w:rsidR="00AC7E56" w:rsidRDefault="000637C4">
            <w:pPr>
              <w:jc w:val="right"/>
            </w:pPr>
            <w:r>
              <w:rPr>
                <w:color w:val="000000"/>
                <w:sz w:val="24"/>
              </w:rPr>
              <w:t>10,438,331.13</w:t>
            </w:r>
          </w:p>
        </w:tc>
        <w:tc>
          <w:tcPr>
            <w:tcW w:w="3307" w:type="dxa"/>
            <w:vAlign w:val="center"/>
          </w:tcPr>
          <w:p w:rsidR="00AC7E56" w:rsidRDefault="000637C4">
            <w:pPr>
              <w:jc w:val="right"/>
            </w:pPr>
            <w:r>
              <w:rPr>
                <w:color w:val="000000"/>
                <w:sz w:val="24"/>
              </w:rPr>
              <w:t>15.21</w:t>
            </w:r>
          </w:p>
        </w:tc>
      </w:tr>
      <w:tr w:rsidR="00AC7E56">
        <w:trPr>
          <w:jc w:val="center"/>
        </w:trPr>
        <w:tc>
          <w:tcPr>
            <w:tcW w:w="2904" w:type="dxa"/>
            <w:vAlign w:val="center"/>
          </w:tcPr>
          <w:p w:rsidR="00AC7E56" w:rsidRDefault="000637C4">
            <w:pPr>
              <w:jc w:val="left"/>
            </w:pPr>
            <w:r>
              <w:rPr>
                <w:color w:val="000000"/>
                <w:sz w:val="24"/>
              </w:rPr>
              <w:t>材料</w:t>
            </w:r>
          </w:p>
        </w:tc>
        <w:tc>
          <w:tcPr>
            <w:tcW w:w="2657" w:type="dxa"/>
            <w:vAlign w:val="center"/>
          </w:tcPr>
          <w:p w:rsidR="00AC7E56" w:rsidRDefault="000637C4">
            <w:pPr>
              <w:jc w:val="right"/>
            </w:pPr>
            <w:r>
              <w:rPr>
                <w:color w:val="000000"/>
                <w:sz w:val="24"/>
              </w:rPr>
              <w:t>8,569,508.08</w:t>
            </w:r>
          </w:p>
        </w:tc>
        <w:tc>
          <w:tcPr>
            <w:tcW w:w="3307" w:type="dxa"/>
            <w:vAlign w:val="center"/>
          </w:tcPr>
          <w:p w:rsidR="00AC7E56" w:rsidRDefault="000637C4">
            <w:pPr>
              <w:jc w:val="right"/>
            </w:pPr>
            <w:r>
              <w:rPr>
                <w:color w:val="000000"/>
                <w:sz w:val="24"/>
              </w:rPr>
              <w:t>12.49</w:t>
            </w:r>
          </w:p>
        </w:tc>
      </w:tr>
      <w:tr w:rsidR="00AC7E56">
        <w:trPr>
          <w:jc w:val="center"/>
        </w:trPr>
        <w:tc>
          <w:tcPr>
            <w:tcW w:w="2904" w:type="dxa"/>
            <w:vAlign w:val="center"/>
          </w:tcPr>
          <w:p w:rsidR="00AC7E56" w:rsidRDefault="000637C4">
            <w:pPr>
              <w:jc w:val="left"/>
            </w:pPr>
            <w:r>
              <w:rPr>
                <w:color w:val="000000"/>
                <w:sz w:val="24"/>
              </w:rPr>
              <w:t>公共事业</w:t>
            </w:r>
          </w:p>
        </w:tc>
        <w:tc>
          <w:tcPr>
            <w:tcW w:w="2657" w:type="dxa"/>
            <w:vAlign w:val="center"/>
          </w:tcPr>
          <w:p w:rsidR="00AC7E56" w:rsidRDefault="000637C4">
            <w:pPr>
              <w:jc w:val="right"/>
            </w:pPr>
            <w:r>
              <w:rPr>
                <w:color w:val="000000"/>
                <w:sz w:val="24"/>
              </w:rPr>
              <w:t>6,023,558.50</w:t>
            </w:r>
          </w:p>
        </w:tc>
        <w:tc>
          <w:tcPr>
            <w:tcW w:w="3307" w:type="dxa"/>
            <w:vAlign w:val="center"/>
          </w:tcPr>
          <w:p w:rsidR="00AC7E56" w:rsidRDefault="000637C4">
            <w:pPr>
              <w:jc w:val="right"/>
            </w:pPr>
            <w:r>
              <w:rPr>
                <w:color w:val="000000"/>
                <w:sz w:val="24"/>
              </w:rPr>
              <w:t>8.78</w:t>
            </w:r>
          </w:p>
        </w:tc>
      </w:tr>
      <w:tr w:rsidR="00AC7E56">
        <w:trPr>
          <w:jc w:val="center"/>
        </w:trPr>
        <w:tc>
          <w:tcPr>
            <w:tcW w:w="2904" w:type="dxa"/>
            <w:vAlign w:val="center"/>
          </w:tcPr>
          <w:p w:rsidR="00AC7E56" w:rsidRDefault="000637C4">
            <w:pPr>
              <w:jc w:val="left"/>
            </w:pPr>
            <w:r>
              <w:rPr>
                <w:color w:val="000000"/>
                <w:sz w:val="24"/>
              </w:rPr>
              <w:t>能源</w:t>
            </w:r>
          </w:p>
        </w:tc>
        <w:tc>
          <w:tcPr>
            <w:tcW w:w="2657" w:type="dxa"/>
            <w:vAlign w:val="center"/>
          </w:tcPr>
          <w:p w:rsidR="00AC7E56" w:rsidRDefault="000637C4">
            <w:pPr>
              <w:jc w:val="right"/>
            </w:pPr>
            <w:r>
              <w:rPr>
                <w:color w:val="000000"/>
                <w:sz w:val="24"/>
              </w:rPr>
              <w:t>6,022,848.25</w:t>
            </w:r>
          </w:p>
        </w:tc>
        <w:tc>
          <w:tcPr>
            <w:tcW w:w="3307" w:type="dxa"/>
            <w:vAlign w:val="center"/>
          </w:tcPr>
          <w:p w:rsidR="00AC7E56" w:rsidRDefault="000637C4">
            <w:pPr>
              <w:jc w:val="right"/>
            </w:pPr>
            <w:r>
              <w:rPr>
                <w:color w:val="000000"/>
                <w:sz w:val="24"/>
              </w:rPr>
              <w:t>8.78</w:t>
            </w:r>
          </w:p>
        </w:tc>
      </w:tr>
      <w:tr w:rsidR="00AC7E56">
        <w:trPr>
          <w:jc w:val="center"/>
        </w:trPr>
        <w:tc>
          <w:tcPr>
            <w:tcW w:w="2904" w:type="dxa"/>
            <w:vAlign w:val="center"/>
          </w:tcPr>
          <w:p w:rsidR="00AC7E56" w:rsidRDefault="000637C4">
            <w:pPr>
              <w:jc w:val="left"/>
            </w:pPr>
            <w:r>
              <w:rPr>
                <w:color w:val="000000"/>
                <w:sz w:val="24"/>
              </w:rPr>
              <w:t>非必需消费品</w:t>
            </w:r>
          </w:p>
        </w:tc>
        <w:tc>
          <w:tcPr>
            <w:tcW w:w="2657" w:type="dxa"/>
            <w:vAlign w:val="center"/>
          </w:tcPr>
          <w:p w:rsidR="00AC7E56" w:rsidRDefault="000637C4">
            <w:pPr>
              <w:jc w:val="right"/>
            </w:pPr>
            <w:r>
              <w:rPr>
                <w:color w:val="000000"/>
                <w:sz w:val="24"/>
              </w:rPr>
              <w:t>4,256,122.42</w:t>
            </w:r>
          </w:p>
        </w:tc>
        <w:tc>
          <w:tcPr>
            <w:tcW w:w="3307" w:type="dxa"/>
            <w:vAlign w:val="center"/>
          </w:tcPr>
          <w:p w:rsidR="00AC7E56" w:rsidRDefault="000637C4">
            <w:pPr>
              <w:jc w:val="right"/>
            </w:pPr>
            <w:r>
              <w:rPr>
                <w:color w:val="000000"/>
                <w:sz w:val="24"/>
              </w:rPr>
              <w:t>6.20</w:t>
            </w:r>
          </w:p>
        </w:tc>
      </w:tr>
      <w:tr w:rsidR="00AC7E56">
        <w:trPr>
          <w:jc w:val="center"/>
        </w:trPr>
        <w:tc>
          <w:tcPr>
            <w:tcW w:w="2904" w:type="dxa"/>
            <w:vAlign w:val="center"/>
          </w:tcPr>
          <w:p w:rsidR="00AC7E56" w:rsidRDefault="000637C4">
            <w:pPr>
              <w:jc w:val="left"/>
            </w:pPr>
            <w:r>
              <w:rPr>
                <w:color w:val="000000"/>
                <w:sz w:val="24"/>
              </w:rPr>
              <w:t>信息技术</w:t>
            </w:r>
          </w:p>
        </w:tc>
        <w:tc>
          <w:tcPr>
            <w:tcW w:w="2657" w:type="dxa"/>
            <w:vAlign w:val="center"/>
          </w:tcPr>
          <w:p w:rsidR="00AC7E56" w:rsidRDefault="000637C4">
            <w:pPr>
              <w:jc w:val="right"/>
            </w:pPr>
            <w:r>
              <w:rPr>
                <w:color w:val="000000"/>
                <w:sz w:val="24"/>
              </w:rPr>
              <w:t>4,078,562.04</w:t>
            </w:r>
          </w:p>
        </w:tc>
        <w:tc>
          <w:tcPr>
            <w:tcW w:w="3307" w:type="dxa"/>
            <w:vAlign w:val="center"/>
          </w:tcPr>
          <w:p w:rsidR="00AC7E56" w:rsidRDefault="000637C4">
            <w:pPr>
              <w:jc w:val="right"/>
            </w:pPr>
            <w:r>
              <w:rPr>
                <w:color w:val="000000"/>
                <w:sz w:val="24"/>
              </w:rPr>
              <w:t>5.94</w:t>
            </w:r>
          </w:p>
        </w:tc>
      </w:tr>
      <w:tr w:rsidR="00AC7E56">
        <w:trPr>
          <w:jc w:val="center"/>
        </w:trPr>
        <w:tc>
          <w:tcPr>
            <w:tcW w:w="2904" w:type="dxa"/>
            <w:vAlign w:val="center"/>
          </w:tcPr>
          <w:p w:rsidR="00AC7E56" w:rsidRDefault="000637C4">
            <w:pPr>
              <w:jc w:val="left"/>
            </w:pPr>
            <w:r>
              <w:rPr>
                <w:color w:val="000000"/>
                <w:sz w:val="24"/>
              </w:rPr>
              <w:t>保健</w:t>
            </w:r>
          </w:p>
        </w:tc>
        <w:tc>
          <w:tcPr>
            <w:tcW w:w="2657" w:type="dxa"/>
            <w:vAlign w:val="center"/>
          </w:tcPr>
          <w:p w:rsidR="00AC7E56" w:rsidRDefault="000637C4">
            <w:pPr>
              <w:jc w:val="right"/>
            </w:pPr>
            <w:r>
              <w:rPr>
                <w:color w:val="000000"/>
                <w:sz w:val="24"/>
              </w:rPr>
              <w:t>2,711,347.08</w:t>
            </w:r>
          </w:p>
        </w:tc>
        <w:tc>
          <w:tcPr>
            <w:tcW w:w="3307" w:type="dxa"/>
            <w:vAlign w:val="center"/>
          </w:tcPr>
          <w:p w:rsidR="00AC7E56" w:rsidRDefault="000637C4">
            <w:pPr>
              <w:jc w:val="right"/>
            </w:pPr>
            <w:r>
              <w:rPr>
                <w:color w:val="000000"/>
                <w:sz w:val="24"/>
              </w:rPr>
              <w:t>3.95</w:t>
            </w:r>
          </w:p>
        </w:tc>
      </w:tr>
      <w:tr w:rsidR="00AC7E56">
        <w:trPr>
          <w:jc w:val="center"/>
        </w:trPr>
        <w:tc>
          <w:tcPr>
            <w:tcW w:w="2904" w:type="dxa"/>
            <w:vAlign w:val="center"/>
          </w:tcPr>
          <w:p w:rsidR="00AC7E56" w:rsidRDefault="000637C4">
            <w:pPr>
              <w:jc w:val="left"/>
            </w:pPr>
            <w:r>
              <w:rPr>
                <w:color w:val="000000"/>
                <w:sz w:val="24"/>
              </w:rPr>
              <w:t>金融</w:t>
            </w:r>
          </w:p>
        </w:tc>
        <w:tc>
          <w:tcPr>
            <w:tcW w:w="2657" w:type="dxa"/>
            <w:vAlign w:val="center"/>
          </w:tcPr>
          <w:p w:rsidR="00AC7E56" w:rsidRDefault="000637C4">
            <w:pPr>
              <w:jc w:val="right"/>
            </w:pPr>
            <w:r>
              <w:rPr>
                <w:color w:val="000000"/>
                <w:sz w:val="24"/>
              </w:rPr>
              <w:t>2,556,869.54</w:t>
            </w:r>
          </w:p>
        </w:tc>
        <w:tc>
          <w:tcPr>
            <w:tcW w:w="3307" w:type="dxa"/>
            <w:vAlign w:val="center"/>
          </w:tcPr>
          <w:p w:rsidR="00AC7E56" w:rsidRDefault="000637C4">
            <w:pPr>
              <w:jc w:val="right"/>
            </w:pPr>
            <w:r>
              <w:rPr>
                <w:color w:val="000000"/>
                <w:sz w:val="24"/>
              </w:rPr>
              <w:t>3.73</w:t>
            </w:r>
          </w:p>
        </w:tc>
      </w:tr>
      <w:tr w:rsidR="00AC7E56">
        <w:trPr>
          <w:jc w:val="center"/>
        </w:trPr>
        <w:tc>
          <w:tcPr>
            <w:tcW w:w="2904" w:type="dxa"/>
            <w:vAlign w:val="center"/>
          </w:tcPr>
          <w:p w:rsidR="00AC7E56" w:rsidRDefault="000637C4">
            <w:pPr>
              <w:jc w:val="left"/>
            </w:pPr>
            <w:r>
              <w:rPr>
                <w:color w:val="000000"/>
                <w:sz w:val="24"/>
              </w:rPr>
              <w:t>必需消费品</w:t>
            </w:r>
          </w:p>
        </w:tc>
        <w:tc>
          <w:tcPr>
            <w:tcW w:w="2657" w:type="dxa"/>
            <w:vAlign w:val="center"/>
          </w:tcPr>
          <w:p w:rsidR="00AC7E56" w:rsidRDefault="000637C4">
            <w:pPr>
              <w:jc w:val="right"/>
            </w:pPr>
            <w:r>
              <w:rPr>
                <w:color w:val="000000"/>
                <w:sz w:val="24"/>
              </w:rPr>
              <w:t>2,313,256.70</w:t>
            </w:r>
          </w:p>
        </w:tc>
        <w:tc>
          <w:tcPr>
            <w:tcW w:w="3307" w:type="dxa"/>
            <w:vAlign w:val="center"/>
          </w:tcPr>
          <w:p w:rsidR="00AC7E56" w:rsidRDefault="000637C4">
            <w:pPr>
              <w:jc w:val="right"/>
            </w:pPr>
            <w:r>
              <w:rPr>
                <w:color w:val="000000"/>
                <w:sz w:val="24"/>
              </w:rPr>
              <w:t>3.37</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46,970,403.74</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68.45</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AC7E56">
        <w:trPr>
          <w:jc w:val="center"/>
        </w:trPr>
        <w:tc>
          <w:tcPr>
            <w:tcW w:w="1243" w:type="dxa"/>
            <w:vAlign w:val="center"/>
          </w:tcPr>
          <w:p w:rsidR="00AC7E56" w:rsidRDefault="000637C4">
            <w:pPr>
              <w:jc w:val="center"/>
            </w:pPr>
            <w:r>
              <w:rPr>
                <w:color w:val="000000"/>
                <w:sz w:val="24"/>
              </w:rPr>
              <w:t>1</w:t>
            </w:r>
          </w:p>
        </w:tc>
        <w:tc>
          <w:tcPr>
            <w:tcW w:w="971" w:type="dxa"/>
            <w:vAlign w:val="center"/>
          </w:tcPr>
          <w:p w:rsidR="00AC7E56" w:rsidRDefault="000637C4">
            <w:pPr>
              <w:jc w:val="center"/>
            </w:pPr>
            <w:r>
              <w:rPr>
                <w:color w:val="000000"/>
                <w:sz w:val="24"/>
              </w:rPr>
              <w:t>China Petroleum &amp; Chemical Corporation</w:t>
            </w:r>
          </w:p>
        </w:tc>
        <w:tc>
          <w:tcPr>
            <w:tcW w:w="993" w:type="dxa"/>
            <w:vAlign w:val="center"/>
          </w:tcPr>
          <w:p w:rsidR="00AC7E56" w:rsidRDefault="000637C4">
            <w:pPr>
              <w:jc w:val="center"/>
            </w:pPr>
            <w:r>
              <w:rPr>
                <w:color w:val="000000"/>
                <w:sz w:val="24"/>
              </w:rPr>
              <w:t>中国石油化工股份有限公司</w:t>
            </w:r>
          </w:p>
        </w:tc>
        <w:tc>
          <w:tcPr>
            <w:tcW w:w="725" w:type="dxa"/>
            <w:vAlign w:val="center"/>
          </w:tcPr>
          <w:p w:rsidR="00AC7E56" w:rsidRDefault="000637C4">
            <w:pPr>
              <w:jc w:val="center"/>
            </w:pPr>
            <w:r>
              <w:rPr>
                <w:color w:val="000000"/>
                <w:sz w:val="24"/>
              </w:rPr>
              <w:t>386 HK</w:t>
            </w:r>
          </w:p>
        </w:tc>
        <w:tc>
          <w:tcPr>
            <w:tcW w:w="747" w:type="dxa"/>
            <w:vAlign w:val="center"/>
          </w:tcPr>
          <w:p w:rsidR="00AC7E56" w:rsidRDefault="000637C4">
            <w:pPr>
              <w:jc w:val="center"/>
            </w:pPr>
            <w:r>
              <w:rPr>
                <w:color w:val="000000"/>
                <w:sz w:val="24"/>
              </w:rPr>
              <w:t>香港证券交易所</w:t>
            </w:r>
          </w:p>
        </w:tc>
        <w:tc>
          <w:tcPr>
            <w:tcW w:w="975" w:type="dxa"/>
            <w:vAlign w:val="center"/>
          </w:tcPr>
          <w:p w:rsidR="00AC7E56" w:rsidRDefault="000637C4">
            <w:pPr>
              <w:jc w:val="center"/>
            </w:pPr>
            <w:r>
              <w:rPr>
                <w:color w:val="000000"/>
                <w:sz w:val="24"/>
              </w:rPr>
              <w:t>香港</w:t>
            </w:r>
          </w:p>
        </w:tc>
        <w:tc>
          <w:tcPr>
            <w:tcW w:w="1175" w:type="dxa"/>
            <w:vAlign w:val="center"/>
          </w:tcPr>
          <w:p w:rsidR="00AC7E56" w:rsidRDefault="000637C4">
            <w:pPr>
              <w:jc w:val="right"/>
            </w:pPr>
            <w:r>
              <w:rPr>
                <w:color w:val="000000"/>
                <w:sz w:val="24"/>
              </w:rPr>
              <w:t>600,000</w:t>
            </w:r>
          </w:p>
        </w:tc>
        <w:tc>
          <w:tcPr>
            <w:tcW w:w="975" w:type="dxa"/>
            <w:vAlign w:val="center"/>
          </w:tcPr>
          <w:p w:rsidR="00AC7E56" w:rsidRDefault="000637C4">
            <w:pPr>
              <w:jc w:val="right"/>
            </w:pPr>
            <w:r>
              <w:rPr>
                <w:color w:val="000000"/>
                <w:sz w:val="24"/>
              </w:rPr>
              <w:t>3,355,891.27</w:t>
            </w:r>
          </w:p>
        </w:tc>
        <w:tc>
          <w:tcPr>
            <w:tcW w:w="1175" w:type="dxa"/>
            <w:vAlign w:val="center"/>
          </w:tcPr>
          <w:p w:rsidR="00AC7E56" w:rsidRDefault="000637C4">
            <w:pPr>
              <w:jc w:val="right"/>
            </w:pPr>
            <w:r>
              <w:rPr>
                <w:color w:val="000000"/>
                <w:sz w:val="24"/>
              </w:rPr>
              <w:t>4.89</w:t>
            </w:r>
          </w:p>
        </w:tc>
      </w:tr>
      <w:tr w:rsidR="00AC7E56">
        <w:trPr>
          <w:jc w:val="center"/>
        </w:trPr>
        <w:tc>
          <w:tcPr>
            <w:tcW w:w="1243" w:type="dxa"/>
            <w:vAlign w:val="center"/>
          </w:tcPr>
          <w:p w:rsidR="00AC7E56" w:rsidRDefault="000637C4">
            <w:pPr>
              <w:jc w:val="center"/>
            </w:pPr>
            <w:r>
              <w:rPr>
                <w:color w:val="000000"/>
                <w:sz w:val="24"/>
              </w:rPr>
              <w:lastRenderedPageBreak/>
              <w:t>2</w:t>
            </w:r>
          </w:p>
        </w:tc>
        <w:tc>
          <w:tcPr>
            <w:tcW w:w="971" w:type="dxa"/>
            <w:vAlign w:val="center"/>
          </w:tcPr>
          <w:p w:rsidR="00AC7E56" w:rsidRDefault="000637C4">
            <w:pPr>
              <w:jc w:val="center"/>
            </w:pPr>
            <w:r>
              <w:rPr>
                <w:color w:val="000000"/>
                <w:sz w:val="24"/>
              </w:rPr>
              <w:t>Zijin Mining Group Co.,Ltd.</w:t>
            </w:r>
          </w:p>
        </w:tc>
        <w:tc>
          <w:tcPr>
            <w:tcW w:w="993" w:type="dxa"/>
            <w:vAlign w:val="center"/>
          </w:tcPr>
          <w:p w:rsidR="00AC7E56" w:rsidRDefault="000637C4">
            <w:pPr>
              <w:jc w:val="center"/>
            </w:pPr>
            <w:r>
              <w:rPr>
                <w:color w:val="000000"/>
                <w:sz w:val="24"/>
              </w:rPr>
              <w:t>紫金矿业集团股份有限公司</w:t>
            </w:r>
          </w:p>
        </w:tc>
        <w:tc>
          <w:tcPr>
            <w:tcW w:w="725" w:type="dxa"/>
            <w:vAlign w:val="center"/>
          </w:tcPr>
          <w:p w:rsidR="00AC7E56" w:rsidRDefault="000637C4">
            <w:pPr>
              <w:jc w:val="center"/>
            </w:pPr>
            <w:r>
              <w:rPr>
                <w:color w:val="000000"/>
                <w:sz w:val="24"/>
              </w:rPr>
              <w:t>2899 HK</w:t>
            </w:r>
          </w:p>
        </w:tc>
        <w:tc>
          <w:tcPr>
            <w:tcW w:w="747" w:type="dxa"/>
            <w:vAlign w:val="center"/>
          </w:tcPr>
          <w:p w:rsidR="00AC7E56" w:rsidRDefault="000637C4">
            <w:pPr>
              <w:jc w:val="center"/>
            </w:pPr>
            <w:r>
              <w:rPr>
                <w:color w:val="000000"/>
                <w:sz w:val="24"/>
              </w:rPr>
              <w:t>香港证券交易所</w:t>
            </w:r>
          </w:p>
        </w:tc>
        <w:tc>
          <w:tcPr>
            <w:tcW w:w="975" w:type="dxa"/>
            <w:vAlign w:val="center"/>
          </w:tcPr>
          <w:p w:rsidR="00AC7E56" w:rsidRDefault="000637C4">
            <w:pPr>
              <w:jc w:val="center"/>
            </w:pPr>
            <w:r>
              <w:rPr>
                <w:color w:val="000000"/>
                <w:sz w:val="24"/>
              </w:rPr>
              <w:t>香港</w:t>
            </w:r>
          </w:p>
        </w:tc>
        <w:tc>
          <w:tcPr>
            <w:tcW w:w="1175" w:type="dxa"/>
            <w:vAlign w:val="center"/>
          </w:tcPr>
          <w:p w:rsidR="00AC7E56" w:rsidRDefault="000637C4">
            <w:pPr>
              <w:jc w:val="right"/>
            </w:pPr>
            <w:r>
              <w:rPr>
                <w:color w:val="000000"/>
                <w:sz w:val="24"/>
              </w:rPr>
              <w:t>1,200,000</w:t>
            </w:r>
          </w:p>
        </w:tc>
        <w:tc>
          <w:tcPr>
            <w:tcW w:w="975" w:type="dxa"/>
            <w:vAlign w:val="center"/>
          </w:tcPr>
          <w:p w:rsidR="00AC7E56" w:rsidRDefault="000637C4">
            <w:pPr>
              <w:jc w:val="right"/>
            </w:pPr>
            <w:r>
              <w:rPr>
                <w:color w:val="000000"/>
                <w:sz w:val="24"/>
              </w:rPr>
              <w:t>3,068,243.45</w:t>
            </w:r>
          </w:p>
        </w:tc>
        <w:tc>
          <w:tcPr>
            <w:tcW w:w="1175" w:type="dxa"/>
            <w:vAlign w:val="center"/>
          </w:tcPr>
          <w:p w:rsidR="00AC7E56" w:rsidRDefault="000637C4">
            <w:pPr>
              <w:jc w:val="right"/>
            </w:pPr>
            <w:r>
              <w:rPr>
                <w:color w:val="000000"/>
                <w:sz w:val="24"/>
              </w:rPr>
              <w:t>4.47</w:t>
            </w:r>
          </w:p>
        </w:tc>
      </w:tr>
      <w:tr w:rsidR="00AC7E56">
        <w:trPr>
          <w:jc w:val="center"/>
        </w:trPr>
        <w:tc>
          <w:tcPr>
            <w:tcW w:w="1243" w:type="dxa"/>
            <w:vAlign w:val="center"/>
          </w:tcPr>
          <w:p w:rsidR="00AC7E56" w:rsidRDefault="000637C4">
            <w:pPr>
              <w:jc w:val="center"/>
            </w:pPr>
            <w:r>
              <w:rPr>
                <w:color w:val="000000"/>
                <w:sz w:val="24"/>
              </w:rPr>
              <w:t>3</w:t>
            </w:r>
          </w:p>
        </w:tc>
        <w:tc>
          <w:tcPr>
            <w:tcW w:w="971" w:type="dxa"/>
            <w:vAlign w:val="center"/>
          </w:tcPr>
          <w:p w:rsidR="00AC7E56" w:rsidRDefault="000637C4">
            <w:pPr>
              <w:jc w:val="center"/>
            </w:pPr>
            <w:r>
              <w:rPr>
                <w:color w:val="000000"/>
                <w:sz w:val="24"/>
              </w:rPr>
              <w:t>Tencent Holdings Limited</w:t>
            </w:r>
          </w:p>
        </w:tc>
        <w:tc>
          <w:tcPr>
            <w:tcW w:w="993" w:type="dxa"/>
            <w:vAlign w:val="center"/>
          </w:tcPr>
          <w:p w:rsidR="00AC7E56" w:rsidRDefault="000637C4">
            <w:pPr>
              <w:jc w:val="center"/>
            </w:pPr>
            <w:r>
              <w:rPr>
                <w:color w:val="000000"/>
                <w:sz w:val="24"/>
              </w:rPr>
              <w:t>腾讯控股有限公司</w:t>
            </w:r>
          </w:p>
        </w:tc>
        <w:tc>
          <w:tcPr>
            <w:tcW w:w="725" w:type="dxa"/>
            <w:vAlign w:val="center"/>
          </w:tcPr>
          <w:p w:rsidR="00AC7E56" w:rsidRDefault="000637C4">
            <w:pPr>
              <w:jc w:val="center"/>
            </w:pPr>
            <w:r>
              <w:rPr>
                <w:color w:val="000000"/>
                <w:sz w:val="24"/>
              </w:rPr>
              <w:t>700 HK</w:t>
            </w:r>
          </w:p>
        </w:tc>
        <w:tc>
          <w:tcPr>
            <w:tcW w:w="747" w:type="dxa"/>
            <w:vAlign w:val="center"/>
          </w:tcPr>
          <w:p w:rsidR="00AC7E56" w:rsidRDefault="000637C4">
            <w:pPr>
              <w:jc w:val="center"/>
            </w:pPr>
            <w:r>
              <w:rPr>
                <w:color w:val="000000"/>
                <w:sz w:val="24"/>
              </w:rPr>
              <w:t>香港证券交易所</w:t>
            </w:r>
          </w:p>
        </w:tc>
        <w:tc>
          <w:tcPr>
            <w:tcW w:w="975" w:type="dxa"/>
            <w:vAlign w:val="center"/>
          </w:tcPr>
          <w:p w:rsidR="00AC7E56" w:rsidRDefault="000637C4">
            <w:pPr>
              <w:jc w:val="center"/>
            </w:pPr>
            <w:r>
              <w:rPr>
                <w:color w:val="000000"/>
                <w:sz w:val="24"/>
              </w:rPr>
              <w:t>香港</w:t>
            </w:r>
          </w:p>
        </w:tc>
        <w:tc>
          <w:tcPr>
            <w:tcW w:w="1175" w:type="dxa"/>
            <w:vAlign w:val="center"/>
          </w:tcPr>
          <w:p w:rsidR="00AC7E56" w:rsidRDefault="000637C4">
            <w:pPr>
              <w:jc w:val="right"/>
            </w:pPr>
            <w:r>
              <w:rPr>
                <w:color w:val="000000"/>
                <w:sz w:val="24"/>
              </w:rPr>
              <w:t>15,000</w:t>
            </w:r>
          </w:p>
        </w:tc>
        <w:tc>
          <w:tcPr>
            <w:tcW w:w="975" w:type="dxa"/>
            <w:vAlign w:val="center"/>
          </w:tcPr>
          <w:p w:rsidR="00AC7E56" w:rsidRDefault="000637C4">
            <w:pPr>
              <w:jc w:val="right"/>
            </w:pPr>
            <w:r>
              <w:rPr>
                <w:color w:val="000000"/>
                <w:sz w:val="24"/>
              </w:rPr>
              <w:t>2,967,034.03</w:t>
            </w:r>
          </w:p>
        </w:tc>
        <w:tc>
          <w:tcPr>
            <w:tcW w:w="1175" w:type="dxa"/>
            <w:vAlign w:val="center"/>
          </w:tcPr>
          <w:p w:rsidR="00AC7E56" w:rsidRDefault="000637C4">
            <w:pPr>
              <w:jc w:val="right"/>
            </w:pPr>
            <w:r>
              <w:rPr>
                <w:color w:val="000000"/>
                <w:sz w:val="24"/>
              </w:rPr>
              <w:t>4.32</w:t>
            </w:r>
          </w:p>
        </w:tc>
      </w:tr>
      <w:tr w:rsidR="00AC7E56">
        <w:trPr>
          <w:jc w:val="center"/>
        </w:trPr>
        <w:tc>
          <w:tcPr>
            <w:tcW w:w="1243" w:type="dxa"/>
            <w:vAlign w:val="center"/>
          </w:tcPr>
          <w:p w:rsidR="00AC7E56" w:rsidRDefault="000637C4">
            <w:pPr>
              <w:jc w:val="center"/>
            </w:pPr>
            <w:r>
              <w:rPr>
                <w:color w:val="000000"/>
                <w:sz w:val="24"/>
              </w:rPr>
              <w:t>4</w:t>
            </w:r>
          </w:p>
        </w:tc>
        <w:tc>
          <w:tcPr>
            <w:tcW w:w="971" w:type="dxa"/>
            <w:vAlign w:val="center"/>
          </w:tcPr>
          <w:p w:rsidR="00AC7E56" w:rsidRDefault="000637C4">
            <w:pPr>
              <w:jc w:val="center"/>
            </w:pPr>
            <w:r>
              <w:rPr>
                <w:color w:val="000000"/>
                <w:sz w:val="24"/>
              </w:rPr>
              <w:t>CSPC Pharmaceutical Group Limited</w:t>
            </w:r>
          </w:p>
        </w:tc>
        <w:tc>
          <w:tcPr>
            <w:tcW w:w="993" w:type="dxa"/>
            <w:vAlign w:val="center"/>
          </w:tcPr>
          <w:p w:rsidR="00AC7E56" w:rsidRDefault="000637C4">
            <w:pPr>
              <w:jc w:val="center"/>
            </w:pPr>
            <w:r>
              <w:rPr>
                <w:color w:val="000000"/>
                <w:sz w:val="24"/>
              </w:rPr>
              <w:t>石药集团有限公司</w:t>
            </w:r>
          </w:p>
        </w:tc>
        <w:tc>
          <w:tcPr>
            <w:tcW w:w="725" w:type="dxa"/>
            <w:vAlign w:val="center"/>
          </w:tcPr>
          <w:p w:rsidR="00AC7E56" w:rsidRDefault="000637C4">
            <w:pPr>
              <w:jc w:val="center"/>
            </w:pPr>
            <w:r>
              <w:rPr>
                <w:color w:val="000000"/>
                <w:sz w:val="24"/>
              </w:rPr>
              <w:t>1093 HK</w:t>
            </w:r>
          </w:p>
        </w:tc>
        <w:tc>
          <w:tcPr>
            <w:tcW w:w="747" w:type="dxa"/>
            <w:vAlign w:val="center"/>
          </w:tcPr>
          <w:p w:rsidR="00AC7E56" w:rsidRDefault="000637C4">
            <w:pPr>
              <w:jc w:val="center"/>
            </w:pPr>
            <w:r>
              <w:rPr>
                <w:color w:val="000000"/>
                <w:sz w:val="24"/>
              </w:rPr>
              <w:t>香港证券交易所</w:t>
            </w:r>
          </w:p>
        </w:tc>
        <w:tc>
          <w:tcPr>
            <w:tcW w:w="975" w:type="dxa"/>
            <w:vAlign w:val="center"/>
          </w:tcPr>
          <w:p w:rsidR="00AC7E56" w:rsidRDefault="000637C4">
            <w:pPr>
              <w:jc w:val="center"/>
            </w:pPr>
            <w:r>
              <w:rPr>
                <w:color w:val="000000"/>
                <w:sz w:val="24"/>
              </w:rPr>
              <w:t>香港</w:t>
            </w:r>
          </w:p>
        </w:tc>
        <w:tc>
          <w:tcPr>
            <w:tcW w:w="1175" w:type="dxa"/>
            <w:vAlign w:val="center"/>
          </w:tcPr>
          <w:p w:rsidR="00AC7E56" w:rsidRDefault="000637C4">
            <w:pPr>
              <w:jc w:val="right"/>
            </w:pPr>
            <w:r>
              <w:rPr>
                <w:color w:val="000000"/>
                <w:sz w:val="24"/>
              </w:rPr>
              <w:t>300,000</w:t>
            </w:r>
          </w:p>
        </w:tc>
        <w:tc>
          <w:tcPr>
            <w:tcW w:w="975" w:type="dxa"/>
            <w:vAlign w:val="center"/>
          </w:tcPr>
          <w:p w:rsidR="00AC7E56" w:rsidRDefault="000637C4">
            <w:pPr>
              <w:jc w:val="right"/>
            </w:pPr>
            <w:r>
              <w:rPr>
                <w:color w:val="000000"/>
                <w:sz w:val="24"/>
              </w:rPr>
              <w:t>2,711,347.08</w:t>
            </w:r>
          </w:p>
        </w:tc>
        <w:tc>
          <w:tcPr>
            <w:tcW w:w="1175" w:type="dxa"/>
            <w:vAlign w:val="center"/>
          </w:tcPr>
          <w:p w:rsidR="00AC7E56" w:rsidRDefault="000637C4">
            <w:pPr>
              <w:jc w:val="right"/>
            </w:pPr>
            <w:r>
              <w:rPr>
                <w:color w:val="000000"/>
                <w:sz w:val="24"/>
              </w:rPr>
              <w:t>3.95</w:t>
            </w:r>
          </w:p>
        </w:tc>
      </w:tr>
      <w:tr w:rsidR="00AC7E56">
        <w:trPr>
          <w:jc w:val="center"/>
        </w:trPr>
        <w:tc>
          <w:tcPr>
            <w:tcW w:w="1243" w:type="dxa"/>
            <w:vAlign w:val="center"/>
          </w:tcPr>
          <w:p w:rsidR="00AC7E56" w:rsidRDefault="000637C4">
            <w:pPr>
              <w:jc w:val="center"/>
            </w:pPr>
            <w:r>
              <w:rPr>
                <w:color w:val="000000"/>
                <w:sz w:val="24"/>
              </w:rPr>
              <w:t>5</w:t>
            </w:r>
          </w:p>
        </w:tc>
        <w:tc>
          <w:tcPr>
            <w:tcW w:w="971" w:type="dxa"/>
            <w:vAlign w:val="center"/>
          </w:tcPr>
          <w:p w:rsidR="00AC7E56" w:rsidRDefault="000637C4">
            <w:pPr>
              <w:jc w:val="center"/>
            </w:pPr>
            <w:r>
              <w:rPr>
                <w:color w:val="000000"/>
                <w:sz w:val="24"/>
              </w:rPr>
              <w:t>China State Construction International Holdings Limited</w:t>
            </w:r>
          </w:p>
        </w:tc>
        <w:tc>
          <w:tcPr>
            <w:tcW w:w="993" w:type="dxa"/>
            <w:vAlign w:val="center"/>
          </w:tcPr>
          <w:p w:rsidR="00AC7E56" w:rsidRDefault="000637C4">
            <w:pPr>
              <w:jc w:val="center"/>
            </w:pPr>
            <w:r>
              <w:rPr>
                <w:color w:val="000000"/>
                <w:sz w:val="24"/>
              </w:rPr>
              <w:t>中国建筑国际集团有限公司</w:t>
            </w:r>
          </w:p>
        </w:tc>
        <w:tc>
          <w:tcPr>
            <w:tcW w:w="725" w:type="dxa"/>
            <w:vAlign w:val="center"/>
          </w:tcPr>
          <w:p w:rsidR="00AC7E56" w:rsidRDefault="000637C4">
            <w:pPr>
              <w:jc w:val="center"/>
            </w:pPr>
            <w:r>
              <w:rPr>
                <w:color w:val="000000"/>
                <w:sz w:val="24"/>
              </w:rPr>
              <w:t>3311 HK</w:t>
            </w:r>
          </w:p>
        </w:tc>
        <w:tc>
          <w:tcPr>
            <w:tcW w:w="747" w:type="dxa"/>
            <w:vAlign w:val="center"/>
          </w:tcPr>
          <w:p w:rsidR="00AC7E56" w:rsidRDefault="000637C4">
            <w:pPr>
              <w:jc w:val="center"/>
            </w:pPr>
            <w:r>
              <w:rPr>
                <w:color w:val="000000"/>
                <w:sz w:val="24"/>
              </w:rPr>
              <w:t>香港证券交易所</w:t>
            </w:r>
          </w:p>
        </w:tc>
        <w:tc>
          <w:tcPr>
            <w:tcW w:w="975" w:type="dxa"/>
            <w:vAlign w:val="center"/>
          </w:tcPr>
          <w:p w:rsidR="00AC7E56" w:rsidRDefault="000637C4">
            <w:pPr>
              <w:jc w:val="center"/>
            </w:pPr>
            <w:r>
              <w:rPr>
                <w:color w:val="000000"/>
                <w:sz w:val="24"/>
              </w:rPr>
              <w:t>香港</w:t>
            </w:r>
          </w:p>
        </w:tc>
        <w:tc>
          <w:tcPr>
            <w:tcW w:w="1175" w:type="dxa"/>
            <w:vAlign w:val="center"/>
          </w:tcPr>
          <w:p w:rsidR="00AC7E56" w:rsidRDefault="000637C4">
            <w:pPr>
              <w:jc w:val="right"/>
            </w:pPr>
            <w:r>
              <w:rPr>
                <w:color w:val="000000"/>
                <w:sz w:val="24"/>
              </w:rPr>
              <w:t>200,000</w:t>
            </w:r>
          </w:p>
        </w:tc>
        <w:tc>
          <w:tcPr>
            <w:tcW w:w="975" w:type="dxa"/>
            <w:vAlign w:val="center"/>
          </w:tcPr>
          <w:p w:rsidR="00AC7E56" w:rsidRDefault="000637C4">
            <w:pPr>
              <w:jc w:val="right"/>
            </w:pPr>
            <w:r>
              <w:rPr>
                <w:color w:val="000000"/>
                <w:sz w:val="24"/>
              </w:rPr>
              <w:t>2,468,089.35</w:t>
            </w:r>
          </w:p>
        </w:tc>
        <w:tc>
          <w:tcPr>
            <w:tcW w:w="1175" w:type="dxa"/>
            <w:vAlign w:val="center"/>
          </w:tcPr>
          <w:p w:rsidR="00AC7E56" w:rsidRDefault="000637C4">
            <w:pPr>
              <w:jc w:val="right"/>
            </w:pPr>
            <w:r>
              <w:rPr>
                <w:color w:val="000000"/>
                <w:sz w:val="24"/>
              </w:rPr>
              <w:t>3.60</w:t>
            </w:r>
          </w:p>
        </w:tc>
      </w:tr>
      <w:tr w:rsidR="00AC7E56">
        <w:trPr>
          <w:jc w:val="center"/>
        </w:trPr>
        <w:tc>
          <w:tcPr>
            <w:tcW w:w="1243" w:type="dxa"/>
            <w:vAlign w:val="center"/>
          </w:tcPr>
          <w:p w:rsidR="00AC7E56" w:rsidRDefault="000637C4">
            <w:pPr>
              <w:jc w:val="center"/>
            </w:pPr>
            <w:r>
              <w:rPr>
                <w:color w:val="000000"/>
                <w:sz w:val="24"/>
              </w:rPr>
              <w:t>6</w:t>
            </w:r>
          </w:p>
        </w:tc>
        <w:tc>
          <w:tcPr>
            <w:tcW w:w="971" w:type="dxa"/>
            <w:vAlign w:val="center"/>
          </w:tcPr>
          <w:p w:rsidR="00AC7E56" w:rsidRDefault="000637C4">
            <w:pPr>
              <w:jc w:val="center"/>
            </w:pPr>
            <w:r>
              <w:rPr>
                <w:color w:val="000000"/>
                <w:sz w:val="24"/>
              </w:rPr>
              <w:t>Beijing Urban Construction Design &amp; Development Group Co., Limited</w:t>
            </w:r>
          </w:p>
        </w:tc>
        <w:tc>
          <w:tcPr>
            <w:tcW w:w="993" w:type="dxa"/>
            <w:vAlign w:val="center"/>
          </w:tcPr>
          <w:p w:rsidR="00AC7E56" w:rsidRDefault="000637C4">
            <w:pPr>
              <w:jc w:val="center"/>
            </w:pPr>
            <w:r>
              <w:rPr>
                <w:color w:val="000000"/>
                <w:sz w:val="24"/>
              </w:rPr>
              <w:t>北京城建设计发展集团股份有限公司</w:t>
            </w:r>
          </w:p>
        </w:tc>
        <w:tc>
          <w:tcPr>
            <w:tcW w:w="725" w:type="dxa"/>
            <w:vAlign w:val="center"/>
          </w:tcPr>
          <w:p w:rsidR="00AC7E56" w:rsidRDefault="000637C4">
            <w:pPr>
              <w:jc w:val="center"/>
            </w:pPr>
            <w:r>
              <w:rPr>
                <w:color w:val="000000"/>
                <w:sz w:val="24"/>
              </w:rPr>
              <w:t>1599 HK</w:t>
            </w:r>
          </w:p>
        </w:tc>
        <w:tc>
          <w:tcPr>
            <w:tcW w:w="747" w:type="dxa"/>
            <w:vAlign w:val="center"/>
          </w:tcPr>
          <w:p w:rsidR="00AC7E56" w:rsidRDefault="000637C4">
            <w:pPr>
              <w:jc w:val="center"/>
            </w:pPr>
            <w:r>
              <w:rPr>
                <w:color w:val="000000"/>
                <w:sz w:val="24"/>
              </w:rPr>
              <w:t>香港证券交易所</w:t>
            </w:r>
          </w:p>
        </w:tc>
        <w:tc>
          <w:tcPr>
            <w:tcW w:w="975" w:type="dxa"/>
            <w:vAlign w:val="center"/>
          </w:tcPr>
          <w:p w:rsidR="00AC7E56" w:rsidRDefault="000637C4">
            <w:pPr>
              <w:jc w:val="center"/>
            </w:pPr>
            <w:r>
              <w:rPr>
                <w:color w:val="000000"/>
                <w:sz w:val="24"/>
              </w:rPr>
              <w:t>香港</w:t>
            </w:r>
          </w:p>
        </w:tc>
        <w:tc>
          <w:tcPr>
            <w:tcW w:w="1175" w:type="dxa"/>
            <w:vAlign w:val="center"/>
          </w:tcPr>
          <w:p w:rsidR="00AC7E56" w:rsidRDefault="000637C4">
            <w:pPr>
              <w:jc w:val="right"/>
            </w:pPr>
            <w:r>
              <w:rPr>
                <w:color w:val="000000"/>
                <w:sz w:val="24"/>
              </w:rPr>
              <w:t>450,000</w:t>
            </w:r>
          </w:p>
        </w:tc>
        <w:tc>
          <w:tcPr>
            <w:tcW w:w="975" w:type="dxa"/>
            <w:vAlign w:val="center"/>
          </w:tcPr>
          <w:p w:rsidR="00AC7E56" w:rsidRDefault="000637C4">
            <w:pPr>
              <w:jc w:val="right"/>
            </w:pPr>
            <w:r>
              <w:rPr>
                <w:color w:val="000000"/>
                <w:sz w:val="24"/>
              </w:rPr>
              <w:t>1,945,617.92</w:t>
            </w:r>
          </w:p>
        </w:tc>
        <w:tc>
          <w:tcPr>
            <w:tcW w:w="1175" w:type="dxa"/>
            <w:vAlign w:val="center"/>
          </w:tcPr>
          <w:p w:rsidR="00AC7E56" w:rsidRDefault="000637C4">
            <w:pPr>
              <w:jc w:val="right"/>
            </w:pPr>
            <w:r>
              <w:rPr>
                <w:color w:val="000000"/>
                <w:sz w:val="24"/>
              </w:rPr>
              <w:t>2.84</w:t>
            </w:r>
          </w:p>
        </w:tc>
      </w:tr>
      <w:tr w:rsidR="00AC7E56">
        <w:trPr>
          <w:jc w:val="center"/>
        </w:trPr>
        <w:tc>
          <w:tcPr>
            <w:tcW w:w="1243" w:type="dxa"/>
            <w:vAlign w:val="center"/>
          </w:tcPr>
          <w:p w:rsidR="00AC7E56" w:rsidRDefault="000637C4">
            <w:pPr>
              <w:jc w:val="center"/>
            </w:pPr>
            <w:r>
              <w:rPr>
                <w:color w:val="000000"/>
                <w:sz w:val="24"/>
              </w:rPr>
              <w:t>7</w:t>
            </w:r>
          </w:p>
        </w:tc>
        <w:tc>
          <w:tcPr>
            <w:tcW w:w="971" w:type="dxa"/>
            <w:vAlign w:val="center"/>
          </w:tcPr>
          <w:p w:rsidR="00AC7E56" w:rsidRDefault="000637C4">
            <w:pPr>
              <w:jc w:val="center"/>
            </w:pPr>
            <w:r>
              <w:rPr>
                <w:color w:val="000000"/>
                <w:sz w:val="24"/>
              </w:rPr>
              <w:t>ENN Energy Holdin</w:t>
            </w:r>
            <w:r>
              <w:rPr>
                <w:color w:val="000000"/>
                <w:sz w:val="24"/>
              </w:rPr>
              <w:lastRenderedPageBreak/>
              <w:t>gs Limited</w:t>
            </w:r>
          </w:p>
        </w:tc>
        <w:tc>
          <w:tcPr>
            <w:tcW w:w="993" w:type="dxa"/>
            <w:vAlign w:val="center"/>
          </w:tcPr>
          <w:p w:rsidR="00AC7E56" w:rsidRDefault="000637C4">
            <w:pPr>
              <w:jc w:val="center"/>
            </w:pPr>
            <w:r>
              <w:rPr>
                <w:color w:val="000000"/>
                <w:sz w:val="24"/>
              </w:rPr>
              <w:lastRenderedPageBreak/>
              <w:t>新奥能源控股有限公</w:t>
            </w:r>
            <w:r>
              <w:rPr>
                <w:color w:val="000000"/>
                <w:sz w:val="24"/>
              </w:rPr>
              <w:lastRenderedPageBreak/>
              <w:t>司</w:t>
            </w:r>
          </w:p>
        </w:tc>
        <w:tc>
          <w:tcPr>
            <w:tcW w:w="725" w:type="dxa"/>
            <w:vAlign w:val="center"/>
          </w:tcPr>
          <w:p w:rsidR="00AC7E56" w:rsidRDefault="000637C4">
            <w:pPr>
              <w:jc w:val="center"/>
            </w:pPr>
            <w:r>
              <w:rPr>
                <w:color w:val="000000"/>
                <w:sz w:val="24"/>
              </w:rPr>
              <w:lastRenderedPageBreak/>
              <w:t>2688 HK</w:t>
            </w:r>
          </w:p>
        </w:tc>
        <w:tc>
          <w:tcPr>
            <w:tcW w:w="747" w:type="dxa"/>
            <w:vAlign w:val="center"/>
          </w:tcPr>
          <w:p w:rsidR="00AC7E56" w:rsidRDefault="000637C4">
            <w:pPr>
              <w:jc w:val="center"/>
            </w:pPr>
            <w:r>
              <w:rPr>
                <w:color w:val="000000"/>
                <w:sz w:val="24"/>
              </w:rPr>
              <w:t>香港证券交易</w:t>
            </w:r>
            <w:r>
              <w:rPr>
                <w:color w:val="000000"/>
                <w:sz w:val="24"/>
              </w:rPr>
              <w:lastRenderedPageBreak/>
              <w:t>所</w:t>
            </w:r>
          </w:p>
        </w:tc>
        <w:tc>
          <w:tcPr>
            <w:tcW w:w="975" w:type="dxa"/>
            <w:vAlign w:val="center"/>
          </w:tcPr>
          <w:p w:rsidR="00AC7E56" w:rsidRDefault="000637C4">
            <w:pPr>
              <w:jc w:val="center"/>
            </w:pPr>
            <w:r>
              <w:rPr>
                <w:color w:val="000000"/>
                <w:sz w:val="24"/>
              </w:rPr>
              <w:lastRenderedPageBreak/>
              <w:t>香港</w:t>
            </w:r>
          </w:p>
        </w:tc>
        <w:tc>
          <w:tcPr>
            <w:tcW w:w="1175" w:type="dxa"/>
            <w:vAlign w:val="center"/>
          </w:tcPr>
          <w:p w:rsidR="00AC7E56" w:rsidRDefault="000637C4">
            <w:pPr>
              <w:jc w:val="right"/>
            </w:pPr>
            <w:r>
              <w:rPr>
                <w:color w:val="000000"/>
                <w:sz w:val="24"/>
              </w:rPr>
              <w:t>50,000</w:t>
            </w:r>
          </w:p>
        </w:tc>
        <w:tc>
          <w:tcPr>
            <w:tcW w:w="975" w:type="dxa"/>
            <w:vAlign w:val="center"/>
          </w:tcPr>
          <w:p w:rsidR="00AC7E56" w:rsidRDefault="000637C4">
            <w:pPr>
              <w:jc w:val="right"/>
            </w:pPr>
            <w:r>
              <w:rPr>
                <w:color w:val="000000"/>
                <w:sz w:val="24"/>
              </w:rPr>
              <w:t>1,942,066.71</w:t>
            </w:r>
          </w:p>
        </w:tc>
        <w:tc>
          <w:tcPr>
            <w:tcW w:w="1175" w:type="dxa"/>
            <w:vAlign w:val="center"/>
          </w:tcPr>
          <w:p w:rsidR="00AC7E56" w:rsidRDefault="000637C4">
            <w:pPr>
              <w:jc w:val="right"/>
            </w:pPr>
            <w:r>
              <w:rPr>
                <w:color w:val="000000"/>
                <w:sz w:val="24"/>
              </w:rPr>
              <w:t>2.83</w:t>
            </w:r>
          </w:p>
        </w:tc>
      </w:tr>
      <w:tr w:rsidR="00AC7E56">
        <w:trPr>
          <w:jc w:val="center"/>
        </w:trPr>
        <w:tc>
          <w:tcPr>
            <w:tcW w:w="1243" w:type="dxa"/>
            <w:vAlign w:val="center"/>
          </w:tcPr>
          <w:p w:rsidR="00AC7E56" w:rsidRDefault="000637C4">
            <w:pPr>
              <w:jc w:val="center"/>
            </w:pPr>
            <w:r>
              <w:rPr>
                <w:color w:val="000000"/>
                <w:sz w:val="24"/>
              </w:rPr>
              <w:lastRenderedPageBreak/>
              <w:t>8</w:t>
            </w:r>
          </w:p>
        </w:tc>
        <w:tc>
          <w:tcPr>
            <w:tcW w:w="971" w:type="dxa"/>
            <w:vAlign w:val="center"/>
          </w:tcPr>
          <w:p w:rsidR="00AC7E56" w:rsidRDefault="000637C4">
            <w:pPr>
              <w:jc w:val="center"/>
            </w:pPr>
            <w:r>
              <w:rPr>
                <w:color w:val="000000"/>
                <w:sz w:val="24"/>
              </w:rPr>
              <w:t>Fuyao Glass Industry Group Co.,Ltd.</w:t>
            </w:r>
          </w:p>
        </w:tc>
        <w:tc>
          <w:tcPr>
            <w:tcW w:w="993" w:type="dxa"/>
            <w:vAlign w:val="center"/>
          </w:tcPr>
          <w:p w:rsidR="00AC7E56" w:rsidRDefault="000637C4">
            <w:pPr>
              <w:jc w:val="center"/>
            </w:pPr>
            <w:r>
              <w:rPr>
                <w:color w:val="000000"/>
                <w:sz w:val="24"/>
              </w:rPr>
              <w:t>福耀玻璃工业集团股份有限公司</w:t>
            </w:r>
          </w:p>
        </w:tc>
        <w:tc>
          <w:tcPr>
            <w:tcW w:w="725" w:type="dxa"/>
            <w:vAlign w:val="center"/>
          </w:tcPr>
          <w:p w:rsidR="00AC7E56" w:rsidRDefault="000637C4">
            <w:pPr>
              <w:jc w:val="center"/>
            </w:pPr>
            <w:r>
              <w:rPr>
                <w:color w:val="000000"/>
                <w:sz w:val="24"/>
              </w:rPr>
              <w:t>3606 HK</w:t>
            </w:r>
          </w:p>
        </w:tc>
        <w:tc>
          <w:tcPr>
            <w:tcW w:w="747" w:type="dxa"/>
            <w:vAlign w:val="center"/>
          </w:tcPr>
          <w:p w:rsidR="00AC7E56" w:rsidRDefault="000637C4">
            <w:pPr>
              <w:jc w:val="center"/>
            </w:pPr>
            <w:r>
              <w:rPr>
                <w:color w:val="000000"/>
                <w:sz w:val="24"/>
              </w:rPr>
              <w:t>香港证券交易所</w:t>
            </w:r>
          </w:p>
        </w:tc>
        <w:tc>
          <w:tcPr>
            <w:tcW w:w="975" w:type="dxa"/>
            <w:vAlign w:val="center"/>
          </w:tcPr>
          <w:p w:rsidR="00AC7E56" w:rsidRDefault="000637C4">
            <w:pPr>
              <w:jc w:val="center"/>
            </w:pPr>
            <w:r>
              <w:rPr>
                <w:color w:val="000000"/>
                <w:sz w:val="24"/>
              </w:rPr>
              <w:t>香港</w:t>
            </w:r>
          </w:p>
        </w:tc>
        <w:tc>
          <w:tcPr>
            <w:tcW w:w="1175" w:type="dxa"/>
            <w:vAlign w:val="center"/>
          </w:tcPr>
          <w:p w:rsidR="00AC7E56" w:rsidRDefault="000637C4">
            <w:pPr>
              <w:jc w:val="right"/>
            </w:pPr>
            <w:r>
              <w:rPr>
                <w:color w:val="000000"/>
                <w:sz w:val="24"/>
              </w:rPr>
              <w:t>80,000</w:t>
            </w:r>
          </w:p>
        </w:tc>
        <w:tc>
          <w:tcPr>
            <w:tcW w:w="975" w:type="dxa"/>
            <w:vAlign w:val="center"/>
          </w:tcPr>
          <w:p w:rsidR="00AC7E56" w:rsidRDefault="000637C4">
            <w:pPr>
              <w:jc w:val="right"/>
            </w:pPr>
            <w:r>
              <w:rPr>
                <w:color w:val="000000"/>
                <w:sz w:val="24"/>
              </w:rPr>
              <w:t>1,914,100.95</w:t>
            </w:r>
          </w:p>
        </w:tc>
        <w:tc>
          <w:tcPr>
            <w:tcW w:w="1175" w:type="dxa"/>
            <w:vAlign w:val="center"/>
          </w:tcPr>
          <w:p w:rsidR="00AC7E56" w:rsidRDefault="000637C4">
            <w:pPr>
              <w:jc w:val="right"/>
            </w:pPr>
            <w:r>
              <w:rPr>
                <w:color w:val="000000"/>
                <w:sz w:val="24"/>
              </w:rPr>
              <w:t>2.79</w:t>
            </w:r>
          </w:p>
        </w:tc>
      </w:tr>
      <w:tr w:rsidR="00AC7E56">
        <w:trPr>
          <w:jc w:val="center"/>
        </w:trPr>
        <w:tc>
          <w:tcPr>
            <w:tcW w:w="1243" w:type="dxa"/>
            <w:vAlign w:val="center"/>
          </w:tcPr>
          <w:p w:rsidR="00AC7E56" w:rsidRDefault="000637C4">
            <w:pPr>
              <w:jc w:val="center"/>
            </w:pPr>
            <w:r>
              <w:rPr>
                <w:color w:val="000000"/>
                <w:sz w:val="24"/>
              </w:rPr>
              <w:t>9</w:t>
            </w:r>
          </w:p>
        </w:tc>
        <w:tc>
          <w:tcPr>
            <w:tcW w:w="971" w:type="dxa"/>
            <w:vAlign w:val="center"/>
          </w:tcPr>
          <w:p w:rsidR="00AC7E56" w:rsidRDefault="000637C4">
            <w:pPr>
              <w:jc w:val="center"/>
            </w:pPr>
            <w:r>
              <w:rPr>
                <w:color w:val="000000"/>
                <w:sz w:val="24"/>
              </w:rPr>
              <w:t>SITC International Holdings Company Limited</w:t>
            </w:r>
          </w:p>
        </w:tc>
        <w:tc>
          <w:tcPr>
            <w:tcW w:w="993" w:type="dxa"/>
            <w:vAlign w:val="center"/>
          </w:tcPr>
          <w:p w:rsidR="00AC7E56" w:rsidRDefault="000637C4">
            <w:pPr>
              <w:jc w:val="center"/>
            </w:pPr>
            <w:r>
              <w:rPr>
                <w:color w:val="000000"/>
                <w:sz w:val="24"/>
              </w:rPr>
              <w:t>海丰国际控股有限公司</w:t>
            </w:r>
          </w:p>
        </w:tc>
        <w:tc>
          <w:tcPr>
            <w:tcW w:w="725" w:type="dxa"/>
            <w:vAlign w:val="center"/>
          </w:tcPr>
          <w:p w:rsidR="00AC7E56" w:rsidRDefault="000637C4">
            <w:pPr>
              <w:jc w:val="center"/>
            </w:pPr>
            <w:r>
              <w:rPr>
                <w:color w:val="000000"/>
                <w:sz w:val="24"/>
              </w:rPr>
              <w:t>1308 HK</w:t>
            </w:r>
          </w:p>
        </w:tc>
        <w:tc>
          <w:tcPr>
            <w:tcW w:w="747" w:type="dxa"/>
            <w:vAlign w:val="center"/>
          </w:tcPr>
          <w:p w:rsidR="00AC7E56" w:rsidRDefault="000637C4">
            <w:pPr>
              <w:jc w:val="center"/>
            </w:pPr>
            <w:r>
              <w:rPr>
                <w:color w:val="000000"/>
                <w:sz w:val="24"/>
              </w:rPr>
              <w:t>香港证券交易所</w:t>
            </w:r>
          </w:p>
        </w:tc>
        <w:tc>
          <w:tcPr>
            <w:tcW w:w="975" w:type="dxa"/>
            <w:vAlign w:val="center"/>
          </w:tcPr>
          <w:p w:rsidR="00AC7E56" w:rsidRDefault="000637C4">
            <w:pPr>
              <w:jc w:val="center"/>
            </w:pPr>
            <w:r>
              <w:rPr>
                <w:color w:val="000000"/>
                <w:sz w:val="24"/>
              </w:rPr>
              <w:t>香港</w:t>
            </w:r>
          </w:p>
        </w:tc>
        <w:tc>
          <w:tcPr>
            <w:tcW w:w="1175" w:type="dxa"/>
            <w:vAlign w:val="center"/>
          </w:tcPr>
          <w:p w:rsidR="00AC7E56" w:rsidRDefault="000637C4">
            <w:pPr>
              <w:jc w:val="right"/>
            </w:pPr>
            <w:r>
              <w:rPr>
                <w:color w:val="000000"/>
                <w:sz w:val="24"/>
              </w:rPr>
              <w:t>400,000</w:t>
            </w:r>
          </w:p>
        </w:tc>
        <w:tc>
          <w:tcPr>
            <w:tcW w:w="975" w:type="dxa"/>
            <w:vAlign w:val="center"/>
          </w:tcPr>
          <w:p w:rsidR="00AC7E56" w:rsidRDefault="000637C4">
            <w:pPr>
              <w:jc w:val="right"/>
            </w:pPr>
            <w:r>
              <w:rPr>
                <w:color w:val="000000"/>
                <w:sz w:val="24"/>
              </w:rPr>
              <w:t>1,896,344.91</w:t>
            </w:r>
          </w:p>
        </w:tc>
        <w:tc>
          <w:tcPr>
            <w:tcW w:w="1175" w:type="dxa"/>
            <w:vAlign w:val="center"/>
          </w:tcPr>
          <w:p w:rsidR="00AC7E56" w:rsidRDefault="000637C4">
            <w:pPr>
              <w:jc w:val="right"/>
            </w:pPr>
            <w:r>
              <w:rPr>
                <w:color w:val="000000"/>
                <w:sz w:val="24"/>
              </w:rPr>
              <w:t>2.76</w:t>
            </w:r>
          </w:p>
        </w:tc>
      </w:tr>
      <w:tr w:rsidR="00AC7E56">
        <w:trPr>
          <w:jc w:val="center"/>
        </w:trPr>
        <w:tc>
          <w:tcPr>
            <w:tcW w:w="1243" w:type="dxa"/>
            <w:vAlign w:val="center"/>
          </w:tcPr>
          <w:p w:rsidR="00AC7E56" w:rsidRDefault="000637C4">
            <w:pPr>
              <w:jc w:val="center"/>
            </w:pPr>
            <w:r>
              <w:rPr>
                <w:color w:val="000000"/>
                <w:sz w:val="24"/>
              </w:rPr>
              <w:t>10</w:t>
            </w:r>
          </w:p>
        </w:tc>
        <w:tc>
          <w:tcPr>
            <w:tcW w:w="971" w:type="dxa"/>
            <w:vAlign w:val="center"/>
          </w:tcPr>
          <w:p w:rsidR="00AC7E56" w:rsidRDefault="000637C4">
            <w:pPr>
              <w:jc w:val="center"/>
            </w:pPr>
            <w:r>
              <w:rPr>
                <w:color w:val="000000"/>
                <w:sz w:val="24"/>
              </w:rPr>
              <w:t>Cosco Shipping Holdings Co.,ltd.</w:t>
            </w:r>
          </w:p>
        </w:tc>
        <w:tc>
          <w:tcPr>
            <w:tcW w:w="993" w:type="dxa"/>
            <w:vAlign w:val="center"/>
          </w:tcPr>
          <w:p w:rsidR="00AC7E56" w:rsidRDefault="000637C4">
            <w:pPr>
              <w:jc w:val="center"/>
            </w:pPr>
            <w:r>
              <w:rPr>
                <w:color w:val="000000"/>
                <w:sz w:val="24"/>
              </w:rPr>
              <w:t>中远海运控股股份有限公司</w:t>
            </w:r>
          </w:p>
        </w:tc>
        <w:tc>
          <w:tcPr>
            <w:tcW w:w="725" w:type="dxa"/>
            <w:vAlign w:val="center"/>
          </w:tcPr>
          <w:p w:rsidR="00AC7E56" w:rsidRDefault="000637C4">
            <w:pPr>
              <w:jc w:val="center"/>
            </w:pPr>
            <w:r>
              <w:rPr>
                <w:color w:val="000000"/>
                <w:sz w:val="24"/>
              </w:rPr>
              <w:t>1919 HK</w:t>
            </w:r>
          </w:p>
        </w:tc>
        <w:tc>
          <w:tcPr>
            <w:tcW w:w="747" w:type="dxa"/>
            <w:vAlign w:val="center"/>
          </w:tcPr>
          <w:p w:rsidR="00AC7E56" w:rsidRDefault="000637C4">
            <w:pPr>
              <w:jc w:val="center"/>
            </w:pPr>
            <w:r>
              <w:rPr>
                <w:color w:val="000000"/>
                <w:sz w:val="24"/>
              </w:rPr>
              <w:t>香港证券交易所</w:t>
            </w:r>
          </w:p>
        </w:tc>
        <w:tc>
          <w:tcPr>
            <w:tcW w:w="975" w:type="dxa"/>
            <w:vAlign w:val="center"/>
          </w:tcPr>
          <w:p w:rsidR="00AC7E56" w:rsidRDefault="000637C4">
            <w:pPr>
              <w:jc w:val="center"/>
            </w:pPr>
            <w:r>
              <w:rPr>
                <w:color w:val="000000"/>
                <w:sz w:val="24"/>
              </w:rPr>
              <w:t>香港</w:t>
            </w:r>
          </w:p>
        </w:tc>
        <w:tc>
          <w:tcPr>
            <w:tcW w:w="1175" w:type="dxa"/>
            <w:vAlign w:val="center"/>
          </w:tcPr>
          <w:p w:rsidR="00AC7E56" w:rsidRDefault="000637C4">
            <w:pPr>
              <w:jc w:val="right"/>
            </w:pPr>
            <w:r>
              <w:rPr>
                <w:color w:val="000000"/>
                <w:sz w:val="24"/>
              </w:rPr>
              <w:t>600,000</w:t>
            </w:r>
          </w:p>
        </w:tc>
        <w:tc>
          <w:tcPr>
            <w:tcW w:w="975" w:type="dxa"/>
            <w:vAlign w:val="center"/>
          </w:tcPr>
          <w:p w:rsidR="00AC7E56" w:rsidRDefault="000637C4">
            <w:pPr>
              <w:jc w:val="right"/>
            </w:pPr>
            <w:r>
              <w:rPr>
                <w:color w:val="000000"/>
                <w:sz w:val="24"/>
              </w:rPr>
              <w:t>1,896,344.91</w:t>
            </w:r>
          </w:p>
        </w:tc>
        <w:tc>
          <w:tcPr>
            <w:tcW w:w="1175" w:type="dxa"/>
            <w:vAlign w:val="center"/>
          </w:tcPr>
          <w:p w:rsidR="00AC7E56" w:rsidRDefault="000637C4">
            <w:pPr>
              <w:jc w:val="right"/>
            </w:pPr>
            <w:r>
              <w:rPr>
                <w:color w:val="000000"/>
                <w:sz w:val="24"/>
              </w:rPr>
              <w:t>2.76</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2,113.42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552,851.10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554,964.52</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32,063,310.06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24,578,404.76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lastRenderedPageBreak/>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6,220,249.90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50,421,464.92</w:t>
            </w:r>
          </w:p>
        </w:tc>
      </w:tr>
    </w:tbl>
    <w:p w:rsidR="00AC7E56" w:rsidRDefault="000637C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AC7E56" w:rsidRDefault="000637C4">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AC7E56" w:rsidRDefault="000637C4">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AC7E56" w:rsidRDefault="000637C4">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AC7E56" w:rsidRDefault="000637C4">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AC7E56" w:rsidRDefault="000637C4">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AC7E56" w:rsidRDefault="000637C4">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AC7E56" w:rsidRDefault="000637C4">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AC7E56" w:rsidRDefault="000637C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0637C4">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4FD" w:rsidRDefault="00F914FD">
      <w:r>
        <w:separator/>
      </w:r>
    </w:p>
  </w:endnote>
  <w:endnote w:type="continuationSeparator" w:id="0">
    <w:p w:rsidR="00F914FD" w:rsidRDefault="00F9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B40704">
      <w:rPr>
        <w:kern w:val="0"/>
        <w:szCs w:val="21"/>
      </w:rPr>
      <w:fldChar w:fldCharType="begin"/>
    </w:r>
    <w:r>
      <w:rPr>
        <w:kern w:val="0"/>
        <w:szCs w:val="21"/>
      </w:rPr>
      <w:instrText xml:space="preserve"> PAGE </w:instrText>
    </w:r>
    <w:r w:rsidR="00B40704">
      <w:rPr>
        <w:kern w:val="0"/>
        <w:szCs w:val="21"/>
      </w:rPr>
      <w:fldChar w:fldCharType="separate"/>
    </w:r>
    <w:r w:rsidR="001F08FE">
      <w:rPr>
        <w:noProof/>
        <w:kern w:val="0"/>
        <w:szCs w:val="21"/>
      </w:rPr>
      <w:t>1</w:t>
    </w:r>
    <w:r w:rsidR="00B40704">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B40704">
      <w:rPr>
        <w:kern w:val="0"/>
        <w:szCs w:val="21"/>
      </w:rPr>
      <w:fldChar w:fldCharType="begin"/>
    </w:r>
    <w:r>
      <w:rPr>
        <w:kern w:val="0"/>
        <w:szCs w:val="21"/>
      </w:rPr>
      <w:instrText xml:space="preserve"> NUMPAGES </w:instrText>
    </w:r>
    <w:r w:rsidR="00B40704">
      <w:rPr>
        <w:kern w:val="0"/>
        <w:szCs w:val="21"/>
      </w:rPr>
      <w:fldChar w:fldCharType="separate"/>
    </w:r>
    <w:r w:rsidR="001F08FE">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B4070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4FD" w:rsidRDefault="00F914FD">
      <w:r>
        <w:separator/>
      </w:r>
    </w:p>
  </w:footnote>
  <w:footnote w:type="continuationSeparator" w:id="0">
    <w:p w:rsidR="00F914FD" w:rsidRDefault="00F91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7C4"/>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08FE"/>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218"/>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C7E56"/>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14FD"/>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189D138-6EA2-4A3E-9462-5FBB9049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102</TotalTime>
  <Pages>14</Pages>
  <Words>1194</Words>
  <Characters>6808</Characters>
  <Application>Microsoft Office Word</Application>
  <DocSecurity>0</DocSecurity>
  <Lines>56</Lines>
  <Paragraphs>15</Paragraphs>
  <ScaleCrop>false</ScaleCrop>
  <Company>TRT. Ltd. Co.</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239</cp:revision>
  <cp:lastPrinted>2007-07-19T00:46:00Z</cp:lastPrinted>
  <dcterms:created xsi:type="dcterms:W3CDTF">2013-08-01T05:26:00Z</dcterms:created>
  <dcterms:modified xsi:type="dcterms:W3CDTF">2017-04-20T08:31:00Z</dcterms:modified>
</cp:coreProperties>
</file>