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二〇一七年四月二十四日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8E29A9">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6D7F8D" w:rsidRDefault="001836A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74,813,141.24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836A1" w:rsidRPr="008640AE" w:rsidTr="001836A1">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1836A1" w:rsidRPr="008640AE" w:rsidTr="001836A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1,815,522.75</w:t>
            </w:r>
          </w:p>
        </w:tc>
      </w:tr>
      <w:tr w:rsidR="001836A1" w:rsidRPr="008640AE" w:rsidTr="001836A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6,495,138.78</w:t>
            </w:r>
          </w:p>
        </w:tc>
      </w:tr>
      <w:tr w:rsidR="001836A1" w:rsidRPr="008640AE" w:rsidTr="001836A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0.0928</w:t>
            </w:r>
          </w:p>
        </w:tc>
      </w:tr>
      <w:tr w:rsidR="001836A1" w:rsidRPr="008640AE" w:rsidTr="001836A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124,895,089.80</w:t>
            </w:r>
          </w:p>
        </w:tc>
      </w:tr>
      <w:tr w:rsidR="001836A1" w:rsidRPr="008640AE" w:rsidTr="001836A1">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1.669</w:t>
            </w:r>
          </w:p>
        </w:tc>
      </w:tr>
    </w:tbl>
    <w:p w:rsidR="006D7F8D" w:rsidRDefault="001836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6D7F8D">
        <w:trPr>
          <w:jc w:val="center"/>
        </w:trPr>
        <w:tc>
          <w:tcPr>
            <w:tcW w:w="1701" w:type="dxa"/>
            <w:vAlign w:val="center"/>
          </w:tcPr>
          <w:p w:rsidR="006D7F8D" w:rsidRDefault="001836A1">
            <w:pPr>
              <w:jc w:val="left"/>
            </w:pPr>
            <w:r>
              <w:rPr>
                <w:color w:val="000000"/>
                <w:sz w:val="24"/>
              </w:rPr>
              <w:t>过去三个月</w:t>
            </w:r>
          </w:p>
        </w:tc>
        <w:tc>
          <w:tcPr>
            <w:tcW w:w="1194" w:type="dxa"/>
            <w:vAlign w:val="center"/>
          </w:tcPr>
          <w:p w:rsidR="006D7F8D" w:rsidRDefault="001836A1">
            <w:pPr>
              <w:jc w:val="right"/>
            </w:pPr>
            <w:r>
              <w:rPr>
                <w:color w:val="000000"/>
                <w:sz w:val="24"/>
              </w:rPr>
              <w:t>6.10%</w:t>
            </w:r>
          </w:p>
        </w:tc>
        <w:tc>
          <w:tcPr>
            <w:tcW w:w="1194" w:type="dxa"/>
            <w:vAlign w:val="center"/>
          </w:tcPr>
          <w:p w:rsidR="006D7F8D" w:rsidRDefault="001836A1">
            <w:pPr>
              <w:jc w:val="right"/>
            </w:pPr>
            <w:r>
              <w:rPr>
                <w:color w:val="000000"/>
                <w:sz w:val="24"/>
              </w:rPr>
              <w:t>0.40%</w:t>
            </w:r>
          </w:p>
        </w:tc>
        <w:tc>
          <w:tcPr>
            <w:tcW w:w="1194" w:type="dxa"/>
            <w:vAlign w:val="center"/>
          </w:tcPr>
          <w:p w:rsidR="006D7F8D" w:rsidRDefault="001836A1">
            <w:pPr>
              <w:jc w:val="right"/>
            </w:pPr>
            <w:r>
              <w:rPr>
                <w:color w:val="000000"/>
                <w:sz w:val="24"/>
              </w:rPr>
              <w:t>7.32%</w:t>
            </w:r>
          </w:p>
        </w:tc>
        <w:tc>
          <w:tcPr>
            <w:tcW w:w="1343" w:type="dxa"/>
            <w:vAlign w:val="center"/>
          </w:tcPr>
          <w:p w:rsidR="006D7F8D" w:rsidRDefault="001836A1">
            <w:pPr>
              <w:jc w:val="right"/>
            </w:pPr>
            <w:r>
              <w:rPr>
                <w:color w:val="000000"/>
                <w:sz w:val="24"/>
              </w:rPr>
              <w:t>0.38%</w:t>
            </w:r>
          </w:p>
        </w:tc>
        <w:tc>
          <w:tcPr>
            <w:tcW w:w="1194" w:type="dxa"/>
            <w:vAlign w:val="center"/>
          </w:tcPr>
          <w:p w:rsidR="006D7F8D" w:rsidRDefault="001836A1">
            <w:pPr>
              <w:jc w:val="right"/>
            </w:pPr>
            <w:r>
              <w:rPr>
                <w:color w:val="000000"/>
                <w:sz w:val="24"/>
              </w:rPr>
              <w:t>-1.22%</w:t>
            </w:r>
          </w:p>
        </w:tc>
        <w:tc>
          <w:tcPr>
            <w:tcW w:w="1048" w:type="dxa"/>
            <w:vAlign w:val="center"/>
          </w:tcPr>
          <w:p w:rsidR="006D7F8D" w:rsidRDefault="001836A1">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6D7F8D">
        <w:trPr>
          <w:jc w:val="center"/>
        </w:trPr>
        <w:tc>
          <w:tcPr>
            <w:tcW w:w="846" w:type="dxa"/>
            <w:vAlign w:val="center"/>
          </w:tcPr>
          <w:p w:rsidR="006D7F8D" w:rsidRDefault="001836A1">
            <w:pPr>
              <w:jc w:val="center"/>
            </w:pPr>
            <w:r>
              <w:rPr>
                <w:color w:val="000000"/>
                <w:sz w:val="24"/>
              </w:rPr>
              <w:t>蔡铮</w:t>
            </w:r>
          </w:p>
        </w:tc>
        <w:tc>
          <w:tcPr>
            <w:tcW w:w="845" w:type="dxa"/>
            <w:vAlign w:val="center"/>
          </w:tcPr>
          <w:p w:rsidR="006D7F8D" w:rsidRDefault="001836A1">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w:t>
            </w:r>
            <w:r>
              <w:rPr>
                <w:color w:val="000000"/>
                <w:sz w:val="24"/>
              </w:rPr>
              <w:t>LOF</w:t>
            </w:r>
            <w:r>
              <w:rPr>
                <w:color w:val="000000"/>
                <w:sz w:val="24"/>
              </w:rPr>
              <w:t>）的基金经理，公司量化投资部副总经理</w:t>
            </w:r>
          </w:p>
        </w:tc>
        <w:tc>
          <w:tcPr>
            <w:tcW w:w="1549" w:type="dxa"/>
            <w:vAlign w:val="center"/>
          </w:tcPr>
          <w:p w:rsidR="006D7F8D" w:rsidRDefault="001836A1">
            <w:pPr>
              <w:jc w:val="center"/>
            </w:pPr>
            <w:r>
              <w:rPr>
                <w:color w:val="000000"/>
                <w:sz w:val="24"/>
              </w:rPr>
              <w:lastRenderedPageBreak/>
              <w:t>2015-04-22</w:t>
            </w:r>
          </w:p>
        </w:tc>
        <w:tc>
          <w:tcPr>
            <w:tcW w:w="1548" w:type="dxa"/>
            <w:vAlign w:val="center"/>
          </w:tcPr>
          <w:p w:rsidR="006D7F8D" w:rsidRDefault="001836A1">
            <w:pPr>
              <w:jc w:val="center"/>
            </w:pPr>
            <w:r>
              <w:rPr>
                <w:color w:val="000000"/>
                <w:sz w:val="24"/>
              </w:rPr>
              <w:t>2017-03-25</w:t>
            </w:r>
          </w:p>
        </w:tc>
        <w:tc>
          <w:tcPr>
            <w:tcW w:w="1407" w:type="dxa"/>
            <w:vAlign w:val="center"/>
          </w:tcPr>
          <w:p w:rsidR="006D7F8D" w:rsidRDefault="001836A1">
            <w:pPr>
              <w:jc w:val="center"/>
            </w:pPr>
            <w:r>
              <w:rPr>
                <w:color w:val="000000"/>
                <w:sz w:val="24"/>
              </w:rPr>
              <w:t>8</w:t>
            </w:r>
            <w:r>
              <w:rPr>
                <w:color w:val="000000"/>
                <w:sz w:val="24"/>
              </w:rPr>
              <w:t>年</w:t>
            </w:r>
          </w:p>
        </w:tc>
        <w:tc>
          <w:tcPr>
            <w:tcW w:w="2673" w:type="dxa"/>
            <w:vAlign w:val="center"/>
          </w:tcPr>
          <w:p w:rsidR="006D7F8D" w:rsidRDefault="001836A1">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r w:rsidR="006D7F8D">
        <w:trPr>
          <w:jc w:val="center"/>
        </w:trPr>
        <w:tc>
          <w:tcPr>
            <w:tcW w:w="846" w:type="dxa"/>
            <w:vAlign w:val="center"/>
          </w:tcPr>
          <w:p w:rsidR="006D7F8D" w:rsidRDefault="001836A1">
            <w:pPr>
              <w:jc w:val="center"/>
            </w:pPr>
            <w:r>
              <w:rPr>
                <w:color w:val="000000"/>
                <w:sz w:val="24"/>
              </w:rPr>
              <w:lastRenderedPageBreak/>
              <w:t>陈俊华</w:t>
            </w:r>
          </w:p>
        </w:tc>
        <w:tc>
          <w:tcPr>
            <w:tcW w:w="845" w:type="dxa"/>
            <w:vAlign w:val="center"/>
          </w:tcPr>
          <w:p w:rsidR="006D7F8D" w:rsidRDefault="001836A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6D7F8D" w:rsidRDefault="001836A1">
            <w:pPr>
              <w:jc w:val="center"/>
            </w:pPr>
            <w:r>
              <w:rPr>
                <w:color w:val="000000"/>
                <w:sz w:val="24"/>
              </w:rPr>
              <w:t>2015-11-21</w:t>
            </w:r>
          </w:p>
        </w:tc>
        <w:tc>
          <w:tcPr>
            <w:tcW w:w="1548" w:type="dxa"/>
            <w:vAlign w:val="center"/>
          </w:tcPr>
          <w:p w:rsidR="006D7F8D" w:rsidRDefault="001836A1">
            <w:pPr>
              <w:jc w:val="center"/>
            </w:pPr>
            <w:r>
              <w:rPr>
                <w:color w:val="000000"/>
                <w:sz w:val="24"/>
              </w:rPr>
              <w:t>-</w:t>
            </w:r>
          </w:p>
        </w:tc>
        <w:tc>
          <w:tcPr>
            <w:tcW w:w="1407" w:type="dxa"/>
            <w:vAlign w:val="center"/>
          </w:tcPr>
          <w:p w:rsidR="006D7F8D" w:rsidRDefault="001836A1">
            <w:pPr>
              <w:jc w:val="center"/>
            </w:pPr>
            <w:r>
              <w:rPr>
                <w:color w:val="000000"/>
                <w:sz w:val="24"/>
              </w:rPr>
              <w:t>12</w:t>
            </w:r>
            <w:r>
              <w:rPr>
                <w:color w:val="000000"/>
                <w:sz w:val="24"/>
              </w:rPr>
              <w:t>年</w:t>
            </w:r>
          </w:p>
        </w:tc>
        <w:tc>
          <w:tcPr>
            <w:tcW w:w="2673" w:type="dxa"/>
            <w:vAlign w:val="center"/>
          </w:tcPr>
          <w:p w:rsidR="006D7F8D" w:rsidRDefault="001836A1">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6D7F8D">
        <w:trPr>
          <w:jc w:val="center"/>
        </w:trPr>
        <w:tc>
          <w:tcPr>
            <w:tcW w:w="846" w:type="dxa"/>
            <w:vAlign w:val="center"/>
          </w:tcPr>
          <w:p w:rsidR="006D7F8D" w:rsidRDefault="001836A1">
            <w:pPr>
              <w:jc w:val="center"/>
            </w:pPr>
            <w:r>
              <w:rPr>
                <w:color w:val="000000"/>
                <w:sz w:val="24"/>
              </w:rPr>
              <w:t>周中</w:t>
            </w:r>
          </w:p>
        </w:tc>
        <w:tc>
          <w:tcPr>
            <w:tcW w:w="845" w:type="dxa"/>
            <w:vAlign w:val="center"/>
          </w:tcPr>
          <w:p w:rsidR="006D7F8D" w:rsidRDefault="001836A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w:t>
            </w:r>
            <w:r>
              <w:rPr>
                <w:color w:val="000000"/>
                <w:sz w:val="24"/>
              </w:rPr>
              <w:lastRenderedPageBreak/>
              <w:t>金经理</w:t>
            </w:r>
          </w:p>
        </w:tc>
        <w:tc>
          <w:tcPr>
            <w:tcW w:w="1549" w:type="dxa"/>
            <w:vAlign w:val="center"/>
          </w:tcPr>
          <w:p w:rsidR="006D7F8D" w:rsidRDefault="001836A1">
            <w:pPr>
              <w:jc w:val="center"/>
            </w:pPr>
            <w:r>
              <w:rPr>
                <w:color w:val="000000"/>
                <w:sz w:val="24"/>
              </w:rPr>
              <w:lastRenderedPageBreak/>
              <w:t>2015-12-12</w:t>
            </w:r>
          </w:p>
        </w:tc>
        <w:tc>
          <w:tcPr>
            <w:tcW w:w="1548" w:type="dxa"/>
            <w:vAlign w:val="center"/>
          </w:tcPr>
          <w:p w:rsidR="006D7F8D" w:rsidRDefault="001836A1">
            <w:pPr>
              <w:jc w:val="center"/>
            </w:pPr>
            <w:r>
              <w:rPr>
                <w:color w:val="000000"/>
                <w:sz w:val="24"/>
              </w:rPr>
              <w:t>-</w:t>
            </w:r>
          </w:p>
        </w:tc>
        <w:tc>
          <w:tcPr>
            <w:tcW w:w="1407" w:type="dxa"/>
            <w:vAlign w:val="center"/>
          </w:tcPr>
          <w:p w:rsidR="006D7F8D" w:rsidRDefault="001836A1">
            <w:pPr>
              <w:jc w:val="center"/>
            </w:pPr>
            <w:r>
              <w:rPr>
                <w:color w:val="000000"/>
                <w:sz w:val="24"/>
              </w:rPr>
              <w:t>8</w:t>
            </w:r>
            <w:r>
              <w:rPr>
                <w:color w:val="000000"/>
                <w:sz w:val="24"/>
              </w:rPr>
              <w:t>年</w:t>
            </w:r>
          </w:p>
        </w:tc>
        <w:tc>
          <w:tcPr>
            <w:tcW w:w="2673" w:type="dxa"/>
            <w:vAlign w:val="center"/>
          </w:tcPr>
          <w:p w:rsidR="006D7F8D" w:rsidRDefault="001836A1">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6D7F8D">
        <w:trPr>
          <w:jc w:val="center"/>
        </w:trPr>
        <w:tc>
          <w:tcPr>
            <w:tcW w:w="2070" w:type="dxa"/>
            <w:vAlign w:val="center"/>
          </w:tcPr>
          <w:p w:rsidR="006D7F8D" w:rsidRDefault="001836A1">
            <w:pPr>
              <w:jc w:val="center"/>
            </w:pPr>
            <w:r>
              <w:rPr>
                <w:color w:val="000000"/>
                <w:sz w:val="24"/>
              </w:rPr>
              <w:t>Simon Webber</w:t>
            </w:r>
          </w:p>
        </w:tc>
        <w:tc>
          <w:tcPr>
            <w:tcW w:w="2465" w:type="dxa"/>
            <w:vAlign w:val="center"/>
          </w:tcPr>
          <w:p w:rsidR="006D7F8D" w:rsidRDefault="001836A1">
            <w:pPr>
              <w:jc w:val="center"/>
            </w:pPr>
            <w:r>
              <w:rPr>
                <w:color w:val="000000"/>
                <w:sz w:val="24"/>
              </w:rPr>
              <w:t>施罗德集团多区域（全球及国际）股票投资主管、全球和国际股票基金经理、全球气候变化股票基金经理</w:t>
            </w:r>
          </w:p>
        </w:tc>
        <w:tc>
          <w:tcPr>
            <w:tcW w:w="2116" w:type="dxa"/>
            <w:vAlign w:val="center"/>
          </w:tcPr>
          <w:p w:rsidR="006D7F8D" w:rsidRDefault="001836A1">
            <w:pPr>
              <w:jc w:val="center"/>
            </w:pPr>
            <w:r>
              <w:rPr>
                <w:color w:val="000000"/>
                <w:sz w:val="24"/>
              </w:rPr>
              <w:t>18</w:t>
            </w:r>
            <w:r>
              <w:rPr>
                <w:color w:val="000000"/>
                <w:sz w:val="24"/>
              </w:rPr>
              <w:t>年</w:t>
            </w:r>
          </w:p>
        </w:tc>
        <w:tc>
          <w:tcPr>
            <w:tcW w:w="2217" w:type="dxa"/>
            <w:vAlign w:val="center"/>
          </w:tcPr>
          <w:p w:rsidR="006D7F8D" w:rsidRDefault="001836A1">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6D7F8D" w:rsidRDefault="001836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D7F8D" w:rsidRDefault="001836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D7F8D" w:rsidRDefault="001836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lastRenderedPageBreak/>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6D7F8D" w:rsidRDefault="001836A1">
      <w:pPr>
        <w:spacing w:before="29" w:line="288" w:lineRule="auto"/>
        <w:ind w:firstLineChars="200" w:firstLine="480"/>
        <w:rPr>
          <w:color w:val="000000"/>
          <w:sz w:val="24"/>
        </w:rPr>
      </w:pPr>
      <w:r>
        <w:rPr>
          <w:color w:val="000000"/>
          <w:sz w:val="24"/>
        </w:rPr>
        <w:t>2017</w:t>
      </w:r>
      <w:r>
        <w:rPr>
          <w:color w:val="000000"/>
          <w:sz w:val="24"/>
        </w:rPr>
        <w:t>年一季度，市场表现较我们前期预测更为乐观：欧美、香港普遍上涨。欧美股市稳步上涨，平均涨幅在</w:t>
      </w:r>
      <w:r>
        <w:rPr>
          <w:color w:val="000000"/>
          <w:sz w:val="24"/>
        </w:rPr>
        <w:t>4%</w:t>
      </w:r>
      <w:r>
        <w:rPr>
          <w:color w:val="000000"/>
          <w:sz w:val="24"/>
        </w:rPr>
        <w:t>左右，主要获益于经济复苏预期增强。美国方面，受益于新任总统就职，引发新增基建、减税等预期。香港股市则表现更为亮眼，涨幅接近双位数，除人民币贬值预期放缓，海外资金回流外，更主要的是，沪港通、港股通带来的南下资金涌动，为低估值的港股带来了重估的机会。</w:t>
      </w:r>
    </w:p>
    <w:p w:rsidR="006D7F8D" w:rsidRDefault="001836A1">
      <w:pPr>
        <w:spacing w:before="29" w:line="288" w:lineRule="auto"/>
        <w:ind w:firstLineChars="200" w:firstLine="480"/>
        <w:rPr>
          <w:color w:val="000000"/>
          <w:sz w:val="24"/>
        </w:rPr>
      </w:pPr>
      <w:r>
        <w:rPr>
          <w:color w:val="000000"/>
          <w:sz w:val="24"/>
        </w:rPr>
        <w:t>本基金在一季度总体呈高仓位运作，涨幅与业绩比较基准相当。欧美股市方面，精选行业龙头，在大消费、医药等领域加大布局；港股方面，我们较欧美股市更为乐观，在</w:t>
      </w:r>
      <w:r>
        <w:rPr>
          <w:color w:val="000000"/>
          <w:sz w:val="24"/>
        </w:rPr>
        <w:t>TMT</w:t>
      </w:r>
      <w:r>
        <w:rPr>
          <w:color w:val="000000"/>
          <w:sz w:val="24"/>
        </w:rPr>
        <w:t>和能源领域加大了配置，精选了一些汽车个股；此外，我们密切寻找</w:t>
      </w:r>
      <w:r>
        <w:rPr>
          <w:color w:val="000000"/>
          <w:sz w:val="24"/>
        </w:rPr>
        <w:t>2017</w:t>
      </w:r>
      <w:r>
        <w:rPr>
          <w:color w:val="000000"/>
          <w:sz w:val="24"/>
        </w:rPr>
        <w:t>年基本面呈现反转趋势的板块，如天然气、交运等板块。</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年二季度，我们更多希望以</w:t>
      </w:r>
      <w:r w:rsidRPr="008640AE">
        <w:rPr>
          <w:color w:val="000000"/>
          <w:sz w:val="24"/>
        </w:rPr>
        <w:t>6-12</w:t>
      </w:r>
      <w:r w:rsidRPr="008640AE">
        <w:rPr>
          <w:color w:val="000000"/>
          <w:sz w:val="24"/>
        </w:rPr>
        <w:t>个月的角度去寻找基本面逐步改善的板块和行业龙头。欧美市场方面，我们整体表示谨慎乐观：美国进入加息周期，复苏将持续，前期的乐观预期能否全面兑现仍需要观察，欧洲市场后续还有一些不确定因素，我们仍坚持精选个股的投资策略。港股方面，我们相对更为乐观：尽管一季度港股涨幅较大，但从绝对估值和资金趋势方面，我们认为港股仍具备一定的优势。我们将一如既往勤勉努力地为投资者赚取较为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1.669</w:t>
      </w:r>
      <w:r w:rsidRPr="008640AE">
        <w:rPr>
          <w:color w:val="000000"/>
          <w:sz w:val="24"/>
        </w:rPr>
        <w:t>元，本报告期份额净值增长率为</w:t>
      </w:r>
      <w:r w:rsidRPr="008640AE">
        <w:rPr>
          <w:color w:val="000000"/>
          <w:sz w:val="24"/>
        </w:rPr>
        <w:t>6.10%</w:t>
      </w:r>
      <w:r w:rsidRPr="008640AE">
        <w:rPr>
          <w:color w:val="000000"/>
          <w:sz w:val="24"/>
        </w:rPr>
        <w:t>，同期业绩比较基准增长率为</w:t>
      </w:r>
      <w:r w:rsidRPr="008640AE">
        <w:rPr>
          <w:color w:val="000000"/>
          <w:sz w:val="24"/>
        </w:rPr>
        <w:t>7.32%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w:t>
            </w:r>
            <w:r w:rsidRPr="008640AE">
              <w:rPr>
                <w:color w:val="000000"/>
                <w:sz w:val="24"/>
              </w:rPr>
              <w:lastRenderedPageBreak/>
              <w:t>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lastRenderedPageBreak/>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105,273,392.46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82.22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103,695,455.00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80.98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1,577,937.46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1.23</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21,925,403.83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17.12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846,393.33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0.66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128,045,189.62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D7F8D">
        <w:trPr>
          <w:jc w:val="center"/>
        </w:trPr>
        <w:tc>
          <w:tcPr>
            <w:tcW w:w="2484" w:type="dxa"/>
            <w:vAlign w:val="center"/>
          </w:tcPr>
          <w:p w:rsidR="006D7F8D" w:rsidRDefault="001836A1">
            <w:pPr>
              <w:jc w:val="left"/>
            </w:pPr>
            <w:r>
              <w:rPr>
                <w:color w:val="000000"/>
                <w:sz w:val="24"/>
              </w:rPr>
              <w:t>美国</w:t>
            </w:r>
          </w:p>
        </w:tc>
        <w:tc>
          <w:tcPr>
            <w:tcW w:w="3214" w:type="dxa"/>
            <w:vAlign w:val="center"/>
          </w:tcPr>
          <w:p w:rsidR="006D7F8D" w:rsidRDefault="001836A1">
            <w:pPr>
              <w:jc w:val="right"/>
            </w:pPr>
            <w:r>
              <w:rPr>
                <w:color w:val="000000"/>
                <w:sz w:val="24"/>
              </w:rPr>
              <w:t>51,487,689.37</w:t>
            </w:r>
          </w:p>
        </w:tc>
        <w:tc>
          <w:tcPr>
            <w:tcW w:w="3170" w:type="dxa"/>
            <w:vAlign w:val="center"/>
          </w:tcPr>
          <w:p w:rsidR="006D7F8D" w:rsidRDefault="001836A1">
            <w:pPr>
              <w:jc w:val="right"/>
            </w:pPr>
            <w:r>
              <w:rPr>
                <w:color w:val="000000"/>
                <w:sz w:val="24"/>
              </w:rPr>
              <w:t>41.22</w:t>
            </w:r>
          </w:p>
        </w:tc>
      </w:tr>
      <w:tr w:rsidR="006D7F8D">
        <w:trPr>
          <w:jc w:val="center"/>
        </w:trPr>
        <w:tc>
          <w:tcPr>
            <w:tcW w:w="2484" w:type="dxa"/>
            <w:vAlign w:val="center"/>
          </w:tcPr>
          <w:p w:rsidR="006D7F8D" w:rsidRDefault="001836A1">
            <w:pPr>
              <w:jc w:val="left"/>
            </w:pPr>
            <w:r>
              <w:rPr>
                <w:color w:val="000000"/>
                <w:sz w:val="24"/>
              </w:rPr>
              <w:t>香港</w:t>
            </w:r>
          </w:p>
        </w:tc>
        <w:tc>
          <w:tcPr>
            <w:tcW w:w="3214" w:type="dxa"/>
            <w:vAlign w:val="center"/>
          </w:tcPr>
          <w:p w:rsidR="006D7F8D" w:rsidRDefault="001836A1">
            <w:pPr>
              <w:jc w:val="right"/>
            </w:pPr>
            <w:r>
              <w:rPr>
                <w:color w:val="000000"/>
                <w:sz w:val="24"/>
              </w:rPr>
              <w:t>32,234,019.30</w:t>
            </w:r>
          </w:p>
        </w:tc>
        <w:tc>
          <w:tcPr>
            <w:tcW w:w="3170" w:type="dxa"/>
            <w:vAlign w:val="center"/>
          </w:tcPr>
          <w:p w:rsidR="006D7F8D" w:rsidRDefault="001836A1">
            <w:pPr>
              <w:jc w:val="right"/>
            </w:pPr>
            <w:r>
              <w:rPr>
                <w:color w:val="000000"/>
                <w:sz w:val="24"/>
              </w:rPr>
              <w:t>25.81</w:t>
            </w:r>
          </w:p>
        </w:tc>
      </w:tr>
      <w:tr w:rsidR="006D7F8D">
        <w:trPr>
          <w:jc w:val="center"/>
        </w:trPr>
        <w:tc>
          <w:tcPr>
            <w:tcW w:w="2484" w:type="dxa"/>
            <w:vAlign w:val="center"/>
          </w:tcPr>
          <w:p w:rsidR="006D7F8D" w:rsidRDefault="001836A1">
            <w:pPr>
              <w:jc w:val="left"/>
            </w:pPr>
            <w:r>
              <w:rPr>
                <w:color w:val="000000"/>
                <w:sz w:val="24"/>
              </w:rPr>
              <w:t>日本</w:t>
            </w:r>
          </w:p>
        </w:tc>
        <w:tc>
          <w:tcPr>
            <w:tcW w:w="3214" w:type="dxa"/>
            <w:vAlign w:val="center"/>
          </w:tcPr>
          <w:p w:rsidR="006D7F8D" w:rsidRDefault="001836A1">
            <w:pPr>
              <w:jc w:val="right"/>
            </w:pPr>
            <w:r>
              <w:rPr>
                <w:color w:val="000000"/>
                <w:sz w:val="24"/>
              </w:rPr>
              <w:t>5,186,687.87</w:t>
            </w:r>
          </w:p>
        </w:tc>
        <w:tc>
          <w:tcPr>
            <w:tcW w:w="3170" w:type="dxa"/>
            <w:vAlign w:val="center"/>
          </w:tcPr>
          <w:p w:rsidR="006D7F8D" w:rsidRDefault="001836A1">
            <w:pPr>
              <w:jc w:val="right"/>
            </w:pPr>
            <w:r>
              <w:rPr>
                <w:color w:val="000000"/>
                <w:sz w:val="24"/>
              </w:rPr>
              <w:t>4.15</w:t>
            </w:r>
          </w:p>
        </w:tc>
      </w:tr>
      <w:tr w:rsidR="006D7F8D">
        <w:trPr>
          <w:jc w:val="center"/>
        </w:trPr>
        <w:tc>
          <w:tcPr>
            <w:tcW w:w="2484" w:type="dxa"/>
            <w:vAlign w:val="center"/>
          </w:tcPr>
          <w:p w:rsidR="006D7F8D" w:rsidRDefault="001836A1">
            <w:pPr>
              <w:jc w:val="left"/>
            </w:pPr>
            <w:r>
              <w:rPr>
                <w:color w:val="000000"/>
                <w:sz w:val="24"/>
              </w:rPr>
              <w:t>德国</w:t>
            </w:r>
          </w:p>
        </w:tc>
        <w:tc>
          <w:tcPr>
            <w:tcW w:w="3214" w:type="dxa"/>
            <w:vAlign w:val="center"/>
          </w:tcPr>
          <w:p w:rsidR="006D7F8D" w:rsidRDefault="001836A1">
            <w:pPr>
              <w:jc w:val="right"/>
            </w:pPr>
            <w:r>
              <w:rPr>
                <w:color w:val="000000"/>
                <w:sz w:val="24"/>
              </w:rPr>
              <w:t>3,869,772.75</w:t>
            </w:r>
          </w:p>
        </w:tc>
        <w:tc>
          <w:tcPr>
            <w:tcW w:w="3170" w:type="dxa"/>
            <w:vAlign w:val="center"/>
          </w:tcPr>
          <w:p w:rsidR="006D7F8D" w:rsidRDefault="001836A1">
            <w:pPr>
              <w:jc w:val="right"/>
            </w:pPr>
            <w:r>
              <w:rPr>
                <w:color w:val="000000"/>
                <w:sz w:val="24"/>
              </w:rPr>
              <w:t>3.10</w:t>
            </w:r>
          </w:p>
        </w:tc>
      </w:tr>
      <w:tr w:rsidR="006D7F8D">
        <w:trPr>
          <w:jc w:val="center"/>
        </w:trPr>
        <w:tc>
          <w:tcPr>
            <w:tcW w:w="2484" w:type="dxa"/>
            <w:vAlign w:val="center"/>
          </w:tcPr>
          <w:p w:rsidR="006D7F8D" w:rsidRDefault="001836A1">
            <w:pPr>
              <w:jc w:val="left"/>
            </w:pPr>
            <w:r>
              <w:rPr>
                <w:color w:val="000000"/>
                <w:sz w:val="24"/>
              </w:rPr>
              <w:t>英国</w:t>
            </w:r>
          </w:p>
        </w:tc>
        <w:tc>
          <w:tcPr>
            <w:tcW w:w="3214" w:type="dxa"/>
            <w:vAlign w:val="center"/>
          </w:tcPr>
          <w:p w:rsidR="006D7F8D" w:rsidRDefault="001836A1">
            <w:pPr>
              <w:jc w:val="right"/>
            </w:pPr>
            <w:r>
              <w:rPr>
                <w:color w:val="000000"/>
                <w:sz w:val="24"/>
              </w:rPr>
              <w:t>3,429,464.24</w:t>
            </w:r>
          </w:p>
        </w:tc>
        <w:tc>
          <w:tcPr>
            <w:tcW w:w="3170" w:type="dxa"/>
            <w:vAlign w:val="center"/>
          </w:tcPr>
          <w:p w:rsidR="006D7F8D" w:rsidRDefault="001836A1">
            <w:pPr>
              <w:jc w:val="right"/>
            </w:pPr>
            <w:r>
              <w:rPr>
                <w:color w:val="000000"/>
                <w:sz w:val="24"/>
              </w:rPr>
              <w:t>2.75</w:t>
            </w:r>
          </w:p>
        </w:tc>
      </w:tr>
      <w:tr w:rsidR="006D7F8D">
        <w:trPr>
          <w:jc w:val="center"/>
        </w:trPr>
        <w:tc>
          <w:tcPr>
            <w:tcW w:w="2484" w:type="dxa"/>
            <w:vAlign w:val="center"/>
          </w:tcPr>
          <w:p w:rsidR="006D7F8D" w:rsidRDefault="001836A1">
            <w:pPr>
              <w:jc w:val="left"/>
            </w:pPr>
            <w:r>
              <w:rPr>
                <w:color w:val="000000"/>
                <w:sz w:val="24"/>
              </w:rPr>
              <w:t>法国</w:t>
            </w:r>
          </w:p>
        </w:tc>
        <w:tc>
          <w:tcPr>
            <w:tcW w:w="3214" w:type="dxa"/>
            <w:vAlign w:val="center"/>
          </w:tcPr>
          <w:p w:rsidR="006D7F8D" w:rsidRDefault="001836A1">
            <w:pPr>
              <w:jc w:val="right"/>
            </w:pPr>
            <w:r>
              <w:rPr>
                <w:color w:val="000000"/>
                <w:sz w:val="24"/>
              </w:rPr>
              <w:t>2,033,001.89</w:t>
            </w:r>
          </w:p>
        </w:tc>
        <w:tc>
          <w:tcPr>
            <w:tcW w:w="3170" w:type="dxa"/>
            <w:vAlign w:val="center"/>
          </w:tcPr>
          <w:p w:rsidR="006D7F8D" w:rsidRDefault="001836A1">
            <w:pPr>
              <w:jc w:val="right"/>
            </w:pPr>
            <w:r>
              <w:rPr>
                <w:color w:val="000000"/>
                <w:sz w:val="24"/>
              </w:rPr>
              <w:t>1.63</w:t>
            </w:r>
          </w:p>
        </w:tc>
      </w:tr>
      <w:tr w:rsidR="006D7F8D">
        <w:trPr>
          <w:jc w:val="center"/>
        </w:trPr>
        <w:tc>
          <w:tcPr>
            <w:tcW w:w="2484" w:type="dxa"/>
            <w:vAlign w:val="center"/>
          </w:tcPr>
          <w:p w:rsidR="006D7F8D" w:rsidRDefault="001836A1">
            <w:pPr>
              <w:jc w:val="left"/>
            </w:pPr>
            <w:r>
              <w:rPr>
                <w:color w:val="000000"/>
                <w:sz w:val="24"/>
              </w:rPr>
              <w:lastRenderedPageBreak/>
              <w:t>瑞士</w:t>
            </w:r>
          </w:p>
        </w:tc>
        <w:tc>
          <w:tcPr>
            <w:tcW w:w="3214" w:type="dxa"/>
            <w:vAlign w:val="center"/>
          </w:tcPr>
          <w:p w:rsidR="006D7F8D" w:rsidRDefault="001836A1">
            <w:pPr>
              <w:jc w:val="right"/>
            </w:pPr>
            <w:r>
              <w:rPr>
                <w:color w:val="000000"/>
                <w:sz w:val="24"/>
              </w:rPr>
              <w:t>1,577,603.78</w:t>
            </w:r>
          </w:p>
        </w:tc>
        <w:tc>
          <w:tcPr>
            <w:tcW w:w="3170" w:type="dxa"/>
            <w:vAlign w:val="center"/>
          </w:tcPr>
          <w:p w:rsidR="006D7F8D" w:rsidRDefault="001836A1">
            <w:pPr>
              <w:jc w:val="right"/>
            </w:pPr>
            <w:r>
              <w:rPr>
                <w:color w:val="000000"/>
                <w:sz w:val="24"/>
              </w:rPr>
              <w:t>1.26</w:t>
            </w:r>
          </w:p>
        </w:tc>
      </w:tr>
      <w:tr w:rsidR="006D7F8D">
        <w:trPr>
          <w:jc w:val="center"/>
        </w:trPr>
        <w:tc>
          <w:tcPr>
            <w:tcW w:w="2484" w:type="dxa"/>
            <w:vAlign w:val="center"/>
          </w:tcPr>
          <w:p w:rsidR="006D7F8D" w:rsidRDefault="001836A1">
            <w:pPr>
              <w:jc w:val="left"/>
            </w:pPr>
            <w:r>
              <w:rPr>
                <w:color w:val="000000"/>
                <w:sz w:val="24"/>
              </w:rPr>
              <w:t>挪威</w:t>
            </w:r>
          </w:p>
        </w:tc>
        <w:tc>
          <w:tcPr>
            <w:tcW w:w="3214" w:type="dxa"/>
            <w:vAlign w:val="center"/>
          </w:tcPr>
          <w:p w:rsidR="006D7F8D" w:rsidRDefault="001836A1">
            <w:pPr>
              <w:jc w:val="right"/>
            </w:pPr>
            <w:r>
              <w:rPr>
                <w:color w:val="000000"/>
                <w:sz w:val="24"/>
              </w:rPr>
              <w:t>1,136,764.31</w:t>
            </w:r>
          </w:p>
        </w:tc>
        <w:tc>
          <w:tcPr>
            <w:tcW w:w="3170" w:type="dxa"/>
            <w:vAlign w:val="center"/>
          </w:tcPr>
          <w:p w:rsidR="006D7F8D" w:rsidRDefault="001836A1">
            <w:pPr>
              <w:jc w:val="right"/>
            </w:pPr>
            <w:r>
              <w:rPr>
                <w:color w:val="000000"/>
                <w:sz w:val="24"/>
              </w:rPr>
              <w:t>0.91</w:t>
            </w:r>
          </w:p>
        </w:tc>
      </w:tr>
      <w:tr w:rsidR="006D7F8D">
        <w:trPr>
          <w:jc w:val="center"/>
        </w:trPr>
        <w:tc>
          <w:tcPr>
            <w:tcW w:w="2484" w:type="dxa"/>
            <w:vAlign w:val="center"/>
          </w:tcPr>
          <w:p w:rsidR="006D7F8D" w:rsidRDefault="001836A1">
            <w:pPr>
              <w:jc w:val="left"/>
            </w:pPr>
            <w:r>
              <w:rPr>
                <w:color w:val="000000"/>
                <w:sz w:val="24"/>
              </w:rPr>
              <w:t>新加坡</w:t>
            </w:r>
          </w:p>
        </w:tc>
        <w:tc>
          <w:tcPr>
            <w:tcW w:w="3214" w:type="dxa"/>
            <w:vAlign w:val="center"/>
          </w:tcPr>
          <w:p w:rsidR="006D7F8D" w:rsidRDefault="001836A1">
            <w:pPr>
              <w:jc w:val="right"/>
            </w:pPr>
            <w:r>
              <w:rPr>
                <w:color w:val="000000"/>
                <w:sz w:val="24"/>
              </w:rPr>
              <w:t>1,052,736.59</w:t>
            </w:r>
          </w:p>
        </w:tc>
        <w:tc>
          <w:tcPr>
            <w:tcW w:w="3170" w:type="dxa"/>
            <w:vAlign w:val="center"/>
          </w:tcPr>
          <w:p w:rsidR="006D7F8D" w:rsidRDefault="001836A1">
            <w:pPr>
              <w:jc w:val="right"/>
            </w:pPr>
            <w:r>
              <w:rPr>
                <w:color w:val="000000"/>
                <w:sz w:val="24"/>
              </w:rPr>
              <w:t>0.84</w:t>
            </w:r>
          </w:p>
        </w:tc>
      </w:tr>
      <w:tr w:rsidR="006D7F8D">
        <w:trPr>
          <w:jc w:val="center"/>
        </w:trPr>
        <w:tc>
          <w:tcPr>
            <w:tcW w:w="2484" w:type="dxa"/>
            <w:vAlign w:val="center"/>
          </w:tcPr>
          <w:p w:rsidR="006D7F8D" w:rsidRDefault="001836A1">
            <w:pPr>
              <w:jc w:val="left"/>
            </w:pPr>
            <w:r>
              <w:rPr>
                <w:color w:val="000000"/>
                <w:sz w:val="24"/>
              </w:rPr>
              <w:t>泰国</w:t>
            </w:r>
          </w:p>
        </w:tc>
        <w:tc>
          <w:tcPr>
            <w:tcW w:w="3214" w:type="dxa"/>
            <w:vAlign w:val="center"/>
          </w:tcPr>
          <w:p w:rsidR="006D7F8D" w:rsidRDefault="001836A1">
            <w:pPr>
              <w:jc w:val="right"/>
            </w:pPr>
            <w:r>
              <w:rPr>
                <w:color w:val="000000"/>
                <w:sz w:val="24"/>
              </w:rPr>
              <w:t>896,282.20</w:t>
            </w:r>
          </w:p>
        </w:tc>
        <w:tc>
          <w:tcPr>
            <w:tcW w:w="3170" w:type="dxa"/>
            <w:vAlign w:val="center"/>
          </w:tcPr>
          <w:p w:rsidR="006D7F8D" w:rsidRDefault="001836A1">
            <w:pPr>
              <w:jc w:val="right"/>
            </w:pPr>
            <w:r>
              <w:rPr>
                <w:color w:val="000000"/>
                <w:sz w:val="24"/>
              </w:rPr>
              <w:t>0.72</w:t>
            </w:r>
          </w:p>
        </w:tc>
      </w:tr>
      <w:tr w:rsidR="006D7F8D">
        <w:trPr>
          <w:jc w:val="center"/>
        </w:trPr>
        <w:tc>
          <w:tcPr>
            <w:tcW w:w="2484" w:type="dxa"/>
            <w:vAlign w:val="center"/>
          </w:tcPr>
          <w:p w:rsidR="006D7F8D" w:rsidRDefault="001836A1">
            <w:pPr>
              <w:jc w:val="left"/>
            </w:pPr>
            <w:r>
              <w:rPr>
                <w:color w:val="000000"/>
                <w:sz w:val="24"/>
              </w:rPr>
              <w:t>巴西</w:t>
            </w:r>
          </w:p>
        </w:tc>
        <w:tc>
          <w:tcPr>
            <w:tcW w:w="3214" w:type="dxa"/>
            <w:vAlign w:val="center"/>
          </w:tcPr>
          <w:p w:rsidR="006D7F8D" w:rsidRDefault="001836A1">
            <w:pPr>
              <w:jc w:val="right"/>
            </w:pPr>
            <w:r>
              <w:rPr>
                <w:color w:val="000000"/>
                <w:sz w:val="24"/>
              </w:rPr>
              <w:t>853,717.80</w:t>
            </w:r>
          </w:p>
        </w:tc>
        <w:tc>
          <w:tcPr>
            <w:tcW w:w="3170" w:type="dxa"/>
            <w:vAlign w:val="center"/>
          </w:tcPr>
          <w:p w:rsidR="006D7F8D" w:rsidRDefault="001836A1">
            <w:pPr>
              <w:jc w:val="right"/>
            </w:pPr>
            <w:r>
              <w:rPr>
                <w:color w:val="000000"/>
                <w:sz w:val="24"/>
              </w:rPr>
              <w:t>0.68</w:t>
            </w:r>
          </w:p>
        </w:tc>
      </w:tr>
      <w:tr w:rsidR="006D7F8D">
        <w:trPr>
          <w:jc w:val="center"/>
        </w:trPr>
        <w:tc>
          <w:tcPr>
            <w:tcW w:w="2484" w:type="dxa"/>
            <w:vAlign w:val="center"/>
          </w:tcPr>
          <w:p w:rsidR="006D7F8D" w:rsidRDefault="001836A1">
            <w:pPr>
              <w:jc w:val="left"/>
            </w:pPr>
            <w:r>
              <w:rPr>
                <w:color w:val="000000"/>
                <w:sz w:val="24"/>
              </w:rPr>
              <w:t>瑞典</w:t>
            </w:r>
          </w:p>
        </w:tc>
        <w:tc>
          <w:tcPr>
            <w:tcW w:w="3214" w:type="dxa"/>
            <w:vAlign w:val="center"/>
          </w:tcPr>
          <w:p w:rsidR="006D7F8D" w:rsidRDefault="001836A1">
            <w:pPr>
              <w:jc w:val="right"/>
            </w:pPr>
            <w:r>
              <w:rPr>
                <w:color w:val="000000"/>
                <w:sz w:val="24"/>
              </w:rPr>
              <w:t>837,116.16</w:t>
            </w:r>
          </w:p>
        </w:tc>
        <w:tc>
          <w:tcPr>
            <w:tcW w:w="3170" w:type="dxa"/>
            <w:vAlign w:val="center"/>
          </w:tcPr>
          <w:p w:rsidR="006D7F8D" w:rsidRDefault="001836A1">
            <w:pPr>
              <w:jc w:val="right"/>
            </w:pPr>
            <w:r>
              <w:rPr>
                <w:color w:val="000000"/>
                <w:sz w:val="24"/>
              </w:rPr>
              <w:t>0.67</w:t>
            </w:r>
          </w:p>
        </w:tc>
      </w:tr>
      <w:tr w:rsidR="006D7F8D">
        <w:trPr>
          <w:jc w:val="center"/>
        </w:trPr>
        <w:tc>
          <w:tcPr>
            <w:tcW w:w="2484" w:type="dxa"/>
            <w:vAlign w:val="center"/>
          </w:tcPr>
          <w:p w:rsidR="006D7F8D" w:rsidRDefault="001836A1">
            <w:pPr>
              <w:jc w:val="left"/>
            </w:pPr>
            <w:r>
              <w:rPr>
                <w:color w:val="000000"/>
                <w:sz w:val="24"/>
              </w:rPr>
              <w:t>比利时</w:t>
            </w:r>
          </w:p>
        </w:tc>
        <w:tc>
          <w:tcPr>
            <w:tcW w:w="3214" w:type="dxa"/>
            <w:vAlign w:val="center"/>
          </w:tcPr>
          <w:p w:rsidR="006D7F8D" w:rsidRDefault="001836A1">
            <w:pPr>
              <w:jc w:val="right"/>
            </w:pPr>
            <w:r>
              <w:rPr>
                <w:color w:val="000000"/>
                <w:sz w:val="24"/>
              </w:rPr>
              <w:t>678,536.20</w:t>
            </w:r>
          </w:p>
        </w:tc>
        <w:tc>
          <w:tcPr>
            <w:tcW w:w="3170" w:type="dxa"/>
            <w:vAlign w:val="center"/>
          </w:tcPr>
          <w:p w:rsidR="006D7F8D" w:rsidRDefault="001836A1">
            <w:pPr>
              <w:jc w:val="right"/>
            </w:pPr>
            <w:r>
              <w:rPr>
                <w:color w:val="000000"/>
                <w:sz w:val="24"/>
              </w:rPr>
              <w:t>0.54</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105,273,392.46</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84.29</w:t>
            </w:r>
          </w:p>
        </w:tc>
      </w:tr>
    </w:tbl>
    <w:p w:rsidR="006D7F8D" w:rsidRDefault="001836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6D7F8D">
        <w:trPr>
          <w:jc w:val="center"/>
        </w:trPr>
        <w:tc>
          <w:tcPr>
            <w:tcW w:w="2904" w:type="dxa"/>
            <w:vAlign w:val="center"/>
          </w:tcPr>
          <w:p w:rsidR="006D7F8D" w:rsidRDefault="001836A1">
            <w:pPr>
              <w:jc w:val="left"/>
            </w:pPr>
            <w:r>
              <w:rPr>
                <w:color w:val="000000"/>
                <w:sz w:val="24"/>
              </w:rPr>
              <w:t>金融</w:t>
            </w:r>
          </w:p>
        </w:tc>
        <w:tc>
          <w:tcPr>
            <w:tcW w:w="2657" w:type="dxa"/>
            <w:vAlign w:val="center"/>
          </w:tcPr>
          <w:p w:rsidR="006D7F8D" w:rsidRDefault="001836A1">
            <w:pPr>
              <w:jc w:val="right"/>
            </w:pPr>
            <w:r>
              <w:rPr>
                <w:color w:val="000000"/>
                <w:sz w:val="24"/>
              </w:rPr>
              <w:t>20,797,609.22</w:t>
            </w:r>
          </w:p>
        </w:tc>
        <w:tc>
          <w:tcPr>
            <w:tcW w:w="3307" w:type="dxa"/>
            <w:vAlign w:val="center"/>
          </w:tcPr>
          <w:p w:rsidR="006D7F8D" w:rsidRDefault="001836A1">
            <w:pPr>
              <w:jc w:val="right"/>
            </w:pPr>
            <w:r>
              <w:rPr>
                <w:color w:val="000000"/>
                <w:sz w:val="24"/>
              </w:rPr>
              <w:t>16.65</w:t>
            </w:r>
          </w:p>
        </w:tc>
      </w:tr>
      <w:tr w:rsidR="006D7F8D">
        <w:trPr>
          <w:jc w:val="center"/>
        </w:trPr>
        <w:tc>
          <w:tcPr>
            <w:tcW w:w="2904" w:type="dxa"/>
            <w:vAlign w:val="center"/>
          </w:tcPr>
          <w:p w:rsidR="006D7F8D" w:rsidRDefault="001836A1">
            <w:pPr>
              <w:jc w:val="left"/>
            </w:pPr>
            <w:r>
              <w:rPr>
                <w:color w:val="000000"/>
                <w:sz w:val="24"/>
              </w:rPr>
              <w:t>信息技术</w:t>
            </w:r>
          </w:p>
        </w:tc>
        <w:tc>
          <w:tcPr>
            <w:tcW w:w="2657" w:type="dxa"/>
            <w:vAlign w:val="center"/>
          </w:tcPr>
          <w:p w:rsidR="006D7F8D" w:rsidRDefault="001836A1">
            <w:pPr>
              <w:jc w:val="right"/>
            </w:pPr>
            <w:r>
              <w:rPr>
                <w:color w:val="000000"/>
                <w:sz w:val="24"/>
              </w:rPr>
              <w:t>19,486,384.44</w:t>
            </w:r>
          </w:p>
        </w:tc>
        <w:tc>
          <w:tcPr>
            <w:tcW w:w="3307" w:type="dxa"/>
            <w:vAlign w:val="center"/>
          </w:tcPr>
          <w:p w:rsidR="006D7F8D" w:rsidRDefault="001836A1">
            <w:pPr>
              <w:jc w:val="right"/>
            </w:pPr>
            <w:r>
              <w:rPr>
                <w:color w:val="000000"/>
                <w:sz w:val="24"/>
              </w:rPr>
              <w:t>15.60</w:t>
            </w:r>
          </w:p>
        </w:tc>
      </w:tr>
      <w:tr w:rsidR="006D7F8D">
        <w:trPr>
          <w:jc w:val="center"/>
        </w:trPr>
        <w:tc>
          <w:tcPr>
            <w:tcW w:w="2904" w:type="dxa"/>
            <w:vAlign w:val="center"/>
          </w:tcPr>
          <w:p w:rsidR="006D7F8D" w:rsidRDefault="001836A1">
            <w:pPr>
              <w:jc w:val="left"/>
            </w:pPr>
            <w:r>
              <w:rPr>
                <w:color w:val="000000"/>
                <w:sz w:val="24"/>
              </w:rPr>
              <w:t>工业</w:t>
            </w:r>
          </w:p>
        </w:tc>
        <w:tc>
          <w:tcPr>
            <w:tcW w:w="2657" w:type="dxa"/>
            <w:vAlign w:val="center"/>
          </w:tcPr>
          <w:p w:rsidR="006D7F8D" w:rsidRDefault="001836A1">
            <w:pPr>
              <w:jc w:val="right"/>
            </w:pPr>
            <w:r>
              <w:rPr>
                <w:color w:val="000000"/>
                <w:sz w:val="24"/>
              </w:rPr>
              <w:t>15,447,482.19</w:t>
            </w:r>
          </w:p>
        </w:tc>
        <w:tc>
          <w:tcPr>
            <w:tcW w:w="3307" w:type="dxa"/>
            <w:vAlign w:val="center"/>
          </w:tcPr>
          <w:p w:rsidR="006D7F8D" w:rsidRDefault="001836A1">
            <w:pPr>
              <w:jc w:val="right"/>
            </w:pPr>
            <w:r>
              <w:rPr>
                <w:color w:val="000000"/>
                <w:sz w:val="24"/>
              </w:rPr>
              <w:t>12.37</w:t>
            </w:r>
          </w:p>
        </w:tc>
      </w:tr>
      <w:tr w:rsidR="006D7F8D">
        <w:trPr>
          <w:jc w:val="center"/>
        </w:trPr>
        <w:tc>
          <w:tcPr>
            <w:tcW w:w="2904" w:type="dxa"/>
            <w:vAlign w:val="center"/>
          </w:tcPr>
          <w:p w:rsidR="006D7F8D" w:rsidRDefault="001836A1">
            <w:pPr>
              <w:jc w:val="left"/>
            </w:pPr>
            <w:r>
              <w:rPr>
                <w:color w:val="000000"/>
                <w:sz w:val="24"/>
              </w:rPr>
              <w:t>保健</w:t>
            </w:r>
          </w:p>
        </w:tc>
        <w:tc>
          <w:tcPr>
            <w:tcW w:w="2657" w:type="dxa"/>
            <w:vAlign w:val="center"/>
          </w:tcPr>
          <w:p w:rsidR="006D7F8D" w:rsidRDefault="001836A1">
            <w:pPr>
              <w:jc w:val="right"/>
            </w:pPr>
            <w:r>
              <w:rPr>
                <w:color w:val="000000"/>
                <w:sz w:val="24"/>
              </w:rPr>
              <w:t>13,072,406.89</w:t>
            </w:r>
          </w:p>
        </w:tc>
        <w:tc>
          <w:tcPr>
            <w:tcW w:w="3307" w:type="dxa"/>
            <w:vAlign w:val="center"/>
          </w:tcPr>
          <w:p w:rsidR="006D7F8D" w:rsidRDefault="001836A1">
            <w:pPr>
              <w:jc w:val="right"/>
            </w:pPr>
            <w:r>
              <w:rPr>
                <w:color w:val="000000"/>
                <w:sz w:val="24"/>
              </w:rPr>
              <w:t>10.47</w:t>
            </w:r>
          </w:p>
        </w:tc>
      </w:tr>
      <w:tr w:rsidR="006D7F8D">
        <w:trPr>
          <w:jc w:val="center"/>
        </w:trPr>
        <w:tc>
          <w:tcPr>
            <w:tcW w:w="2904" w:type="dxa"/>
            <w:vAlign w:val="center"/>
          </w:tcPr>
          <w:p w:rsidR="006D7F8D" w:rsidRDefault="001836A1">
            <w:pPr>
              <w:jc w:val="left"/>
            </w:pPr>
            <w:r>
              <w:rPr>
                <w:color w:val="000000"/>
                <w:sz w:val="24"/>
              </w:rPr>
              <w:t>非必需消费品</w:t>
            </w:r>
          </w:p>
        </w:tc>
        <w:tc>
          <w:tcPr>
            <w:tcW w:w="2657" w:type="dxa"/>
            <w:vAlign w:val="center"/>
          </w:tcPr>
          <w:p w:rsidR="006D7F8D" w:rsidRDefault="001836A1">
            <w:pPr>
              <w:jc w:val="right"/>
            </w:pPr>
            <w:r>
              <w:rPr>
                <w:color w:val="000000"/>
                <w:sz w:val="24"/>
              </w:rPr>
              <w:t>10,692,091.42</w:t>
            </w:r>
          </w:p>
        </w:tc>
        <w:tc>
          <w:tcPr>
            <w:tcW w:w="3307" w:type="dxa"/>
            <w:vAlign w:val="center"/>
          </w:tcPr>
          <w:p w:rsidR="006D7F8D" w:rsidRDefault="001836A1">
            <w:pPr>
              <w:jc w:val="right"/>
            </w:pPr>
            <w:r>
              <w:rPr>
                <w:color w:val="000000"/>
                <w:sz w:val="24"/>
              </w:rPr>
              <w:t>8.56</w:t>
            </w:r>
          </w:p>
        </w:tc>
      </w:tr>
      <w:tr w:rsidR="006D7F8D">
        <w:trPr>
          <w:jc w:val="center"/>
        </w:trPr>
        <w:tc>
          <w:tcPr>
            <w:tcW w:w="2904" w:type="dxa"/>
            <w:vAlign w:val="center"/>
          </w:tcPr>
          <w:p w:rsidR="006D7F8D" w:rsidRDefault="001836A1">
            <w:pPr>
              <w:jc w:val="left"/>
            </w:pPr>
            <w:r>
              <w:rPr>
                <w:color w:val="000000"/>
                <w:sz w:val="24"/>
              </w:rPr>
              <w:t>必需消费品</w:t>
            </w:r>
          </w:p>
        </w:tc>
        <w:tc>
          <w:tcPr>
            <w:tcW w:w="2657" w:type="dxa"/>
            <w:vAlign w:val="center"/>
          </w:tcPr>
          <w:p w:rsidR="006D7F8D" w:rsidRDefault="001836A1">
            <w:pPr>
              <w:jc w:val="right"/>
            </w:pPr>
            <w:r>
              <w:rPr>
                <w:color w:val="000000"/>
                <w:sz w:val="24"/>
              </w:rPr>
              <w:t>8,578,965.32</w:t>
            </w:r>
          </w:p>
        </w:tc>
        <w:tc>
          <w:tcPr>
            <w:tcW w:w="3307" w:type="dxa"/>
            <w:vAlign w:val="center"/>
          </w:tcPr>
          <w:p w:rsidR="006D7F8D" w:rsidRDefault="001836A1">
            <w:pPr>
              <w:jc w:val="right"/>
            </w:pPr>
            <w:r>
              <w:rPr>
                <w:color w:val="000000"/>
                <w:sz w:val="24"/>
              </w:rPr>
              <w:t>6.87</w:t>
            </w:r>
          </w:p>
        </w:tc>
      </w:tr>
      <w:tr w:rsidR="006D7F8D">
        <w:trPr>
          <w:jc w:val="center"/>
        </w:trPr>
        <w:tc>
          <w:tcPr>
            <w:tcW w:w="2904" w:type="dxa"/>
            <w:vAlign w:val="center"/>
          </w:tcPr>
          <w:p w:rsidR="006D7F8D" w:rsidRDefault="001836A1">
            <w:pPr>
              <w:jc w:val="left"/>
            </w:pPr>
            <w:r>
              <w:rPr>
                <w:color w:val="000000"/>
                <w:sz w:val="24"/>
              </w:rPr>
              <w:t>材料</w:t>
            </w:r>
          </w:p>
        </w:tc>
        <w:tc>
          <w:tcPr>
            <w:tcW w:w="2657" w:type="dxa"/>
            <w:vAlign w:val="center"/>
          </w:tcPr>
          <w:p w:rsidR="006D7F8D" w:rsidRDefault="001836A1">
            <w:pPr>
              <w:jc w:val="right"/>
            </w:pPr>
            <w:r>
              <w:rPr>
                <w:color w:val="000000"/>
                <w:sz w:val="24"/>
              </w:rPr>
              <w:t>5,231,383.76</w:t>
            </w:r>
          </w:p>
        </w:tc>
        <w:tc>
          <w:tcPr>
            <w:tcW w:w="3307" w:type="dxa"/>
            <w:vAlign w:val="center"/>
          </w:tcPr>
          <w:p w:rsidR="006D7F8D" w:rsidRDefault="001836A1">
            <w:pPr>
              <w:jc w:val="right"/>
            </w:pPr>
            <w:r>
              <w:rPr>
                <w:color w:val="000000"/>
                <w:sz w:val="24"/>
              </w:rPr>
              <w:t>4.19</w:t>
            </w:r>
          </w:p>
        </w:tc>
      </w:tr>
      <w:tr w:rsidR="006D7F8D">
        <w:trPr>
          <w:jc w:val="center"/>
        </w:trPr>
        <w:tc>
          <w:tcPr>
            <w:tcW w:w="2904" w:type="dxa"/>
            <w:vAlign w:val="center"/>
          </w:tcPr>
          <w:p w:rsidR="006D7F8D" w:rsidRDefault="001836A1">
            <w:pPr>
              <w:jc w:val="left"/>
            </w:pPr>
            <w:r>
              <w:rPr>
                <w:color w:val="000000"/>
                <w:sz w:val="24"/>
              </w:rPr>
              <w:t>能源</w:t>
            </w:r>
          </w:p>
        </w:tc>
        <w:tc>
          <w:tcPr>
            <w:tcW w:w="2657" w:type="dxa"/>
            <w:vAlign w:val="center"/>
          </w:tcPr>
          <w:p w:rsidR="006D7F8D" w:rsidRDefault="001836A1">
            <w:pPr>
              <w:jc w:val="right"/>
            </w:pPr>
            <w:r>
              <w:rPr>
                <w:color w:val="000000"/>
                <w:sz w:val="24"/>
              </w:rPr>
              <w:t>4,873,556.76</w:t>
            </w:r>
          </w:p>
        </w:tc>
        <w:tc>
          <w:tcPr>
            <w:tcW w:w="3307" w:type="dxa"/>
            <w:vAlign w:val="center"/>
          </w:tcPr>
          <w:p w:rsidR="006D7F8D" w:rsidRDefault="001836A1">
            <w:pPr>
              <w:jc w:val="right"/>
            </w:pPr>
            <w:r>
              <w:rPr>
                <w:color w:val="000000"/>
                <w:sz w:val="24"/>
              </w:rPr>
              <w:t>3.90</w:t>
            </w:r>
          </w:p>
        </w:tc>
      </w:tr>
      <w:tr w:rsidR="006D7F8D">
        <w:trPr>
          <w:jc w:val="center"/>
        </w:trPr>
        <w:tc>
          <w:tcPr>
            <w:tcW w:w="2904" w:type="dxa"/>
            <w:vAlign w:val="center"/>
          </w:tcPr>
          <w:p w:rsidR="006D7F8D" w:rsidRDefault="001836A1">
            <w:pPr>
              <w:jc w:val="left"/>
            </w:pPr>
            <w:r>
              <w:rPr>
                <w:color w:val="000000"/>
                <w:sz w:val="24"/>
              </w:rPr>
              <w:t>电信服务</w:t>
            </w:r>
          </w:p>
        </w:tc>
        <w:tc>
          <w:tcPr>
            <w:tcW w:w="2657" w:type="dxa"/>
            <w:vAlign w:val="center"/>
          </w:tcPr>
          <w:p w:rsidR="006D7F8D" w:rsidRDefault="001836A1">
            <w:pPr>
              <w:jc w:val="right"/>
            </w:pPr>
            <w:r>
              <w:rPr>
                <w:color w:val="000000"/>
                <w:sz w:val="24"/>
              </w:rPr>
              <w:t>3,113,940.33</w:t>
            </w:r>
          </w:p>
        </w:tc>
        <w:tc>
          <w:tcPr>
            <w:tcW w:w="3307" w:type="dxa"/>
            <w:vAlign w:val="center"/>
          </w:tcPr>
          <w:p w:rsidR="006D7F8D" w:rsidRDefault="001836A1">
            <w:pPr>
              <w:jc w:val="right"/>
            </w:pPr>
            <w:r>
              <w:rPr>
                <w:color w:val="000000"/>
                <w:sz w:val="24"/>
              </w:rPr>
              <w:t>2.49</w:t>
            </w:r>
          </w:p>
        </w:tc>
      </w:tr>
      <w:tr w:rsidR="006D7F8D">
        <w:trPr>
          <w:jc w:val="center"/>
        </w:trPr>
        <w:tc>
          <w:tcPr>
            <w:tcW w:w="2904" w:type="dxa"/>
            <w:vAlign w:val="center"/>
          </w:tcPr>
          <w:p w:rsidR="006D7F8D" w:rsidRDefault="001836A1">
            <w:pPr>
              <w:jc w:val="left"/>
            </w:pPr>
            <w:r>
              <w:rPr>
                <w:color w:val="000000"/>
                <w:sz w:val="24"/>
              </w:rPr>
              <w:t>房地产</w:t>
            </w:r>
          </w:p>
        </w:tc>
        <w:tc>
          <w:tcPr>
            <w:tcW w:w="2657" w:type="dxa"/>
            <w:vAlign w:val="center"/>
          </w:tcPr>
          <w:p w:rsidR="006D7F8D" w:rsidRDefault="001836A1">
            <w:pPr>
              <w:jc w:val="right"/>
            </w:pPr>
            <w:r>
              <w:rPr>
                <w:color w:val="000000"/>
                <w:sz w:val="24"/>
              </w:rPr>
              <w:t>2,891,570.87</w:t>
            </w:r>
          </w:p>
        </w:tc>
        <w:tc>
          <w:tcPr>
            <w:tcW w:w="3307" w:type="dxa"/>
            <w:vAlign w:val="center"/>
          </w:tcPr>
          <w:p w:rsidR="006D7F8D" w:rsidRDefault="001836A1">
            <w:pPr>
              <w:jc w:val="right"/>
            </w:pPr>
            <w:r>
              <w:rPr>
                <w:color w:val="000000"/>
                <w:sz w:val="24"/>
              </w:rPr>
              <w:t>2.32</w:t>
            </w:r>
          </w:p>
        </w:tc>
      </w:tr>
      <w:tr w:rsidR="006D7F8D">
        <w:trPr>
          <w:jc w:val="center"/>
        </w:trPr>
        <w:tc>
          <w:tcPr>
            <w:tcW w:w="2904" w:type="dxa"/>
            <w:vAlign w:val="center"/>
          </w:tcPr>
          <w:p w:rsidR="006D7F8D" w:rsidRDefault="001836A1">
            <w:pPr>
              <w:jc w:val="left"/>
            </w:pPr>
            <w:r>
              <w:rPr>
                <w:color w:val="000000"/>
                <w:sz w:val="24"/>
              </w:rPr>
              <w:t>公共事业</w:t>
            </w:r>
          </w:p>
        </w:tc>
        <w:tc>
          <w:tcPr>
            <w:tcW w:w="2657" w:type="dxa"/>
            <w:vAlign w:val="center"/>
          </w:tcPr>
          <w:p w:rsidR="006D7F8D" w:rsidRDefault="001836A1">
            <w:pPr>
              <w:jc w:val="right"/>
            </w:pPr>
            <w:r>
              <w:rPr>
                <w:color w:val="000000"/>
                <w:sz w:val="24"/>
              </w:rPr>
              <w:t>1,088,001.26</w:t>
            </w:r>
          </w:p>
        </w:tc>
        <w:tc>
          <w:tcPr>
            <w:tcW w:w="3307" w:type="dxa"/>
            <w:vAlign w:val="center"/>
          </w:tcPr>
          <w:p w:rsidR="006D7F8D" w:rsidRDefault="001836A1">
            <w:pPr>
              <w:jc w:val="right"/>
            </w:pPr>
            <w:r>
              <w:rPr>
                <w:color w:val="000000"/>
                <w:sz w:val="24"/>
              </w:rPr>
              <w:t>0.87</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105,273,392.46</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84.29</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lastRenderedPageBreak/>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lastRenderedPageBreak/>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w:t>
            </w:r>
            <w:r w:rsidRPr="00293A87">
              <w:rPr>
                <w:color w:val="000000"/>
                <w:kern w:val="0"/>
                <w:sz w:val="24"/>
              </w:rPr>
              <w:lastRenderedPageBreak/>
              <w:t>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lastRenderedPageBreak/>
              <w:t>占基金资产净值比例</w:t>
            </w:r>
            <w:r w:rsidRPr="00293A87">
              <w:rPr>
                <w:color w:val="000000"/>
                <w:kern w:val="0"/>
                <w:sz w:val="24"/>
              </w:rPr>
              <w:lastRenderedPageBreak/>
              <w:t>（％）</w:t>
            </w:r>
          </w:p>
        </w:tc>
      </w:tr>
      <w:tr w:rsidR="006D7F8D">
        <w:trPr>
          <w:jc w:val="center"/>
        </w:trPr>
        <w:tc>
          <w:tcPr>
            <w:tcW w:w="1243" w:type="dxa"/>
            <w:vAlign w:val="center"/>
          </w:tcPr>
          <w:p w:rsidR="006D7F8D" w:rsidRDefault="001836A1">
            <w:pPr>
              <w:jc w:val="center"/>
            </w:pPr>
            <w:r>
              <w:rPr>
                <w:color w:val="000000"/>
                <w:sz w:val="24"/>
              </w:rPr>
              <w:lastRenderedPageBreak/>
              <w:t>1</w:t>
            </w:r>
          </w:p>
        </w:tc>
        <w:tc>
          <w:tcPr>
            <w:tcW w:w="971" w:type="dxa"/>
            <w:vAlign w:val="center"/>
          </w:tcPr>
          <w:p w:rsidR="006D7F8D" w:rsidRDefault="001836A1">
            <w:pPr>
              <w:jc w:val="center"/>
            </w:pPr>
            <w:r>
              <w:rPr>
                <w:color w:val="000000"/>
                <w:sz w:val="24"/>
              </w:rPr>
              <w:t>CSPC Pharmaceutical Group Limited</w:t>
            </w:r>
          </w:p>
        </w:tc>
        <w:tc>
          <w:tcPr>
            <w:tcW w:w="993" w:type="dxa"/>
            <w:vAlign w:val="center"/>
          </w:tcPr>
          <w:p w:rsidR="006D7F8D" w:rsidRDefault="001836A1">
            <w:pPr>
              <w:jc w:val="center"/>
            </w:pPr>
            <w:r>
              <w:rPr>
                <w:color w:val="000000"/>
                <w:sz w:val="24"/>
              </w:rPr>
              <w:t>石药集团有限公司</w:t>
            </w:r>
          </w:p>
        </w:tc>
        <w:tc>
          <w:tcPr>
            <w:tcW w:w="725" w:type="dxa"/>
            <w:vAlign w:val="center"/>
          </w:tcPr>
          <w:p w:rsidR="006D7F8D" w:rsidRDefault="001836A1">
            <w:pPr>
              <w:jc w:val="center"/>
            </w:pPr>
            <w:r>
              <w:rPr>
                <w:color w:val="000000"/>
                <w:sz w:val="24"/>
              </w:rPr>
              <w:t>1093 HK</w:t>
            </w:r>
          </w:p>
        </w:tc>
        <w:tc>
          <w:tcPr>
            <w:tcW w:w="747" w:type="dxa"/>
            <w:vAlign w:val="center"/>
          </w:tcPr>
          <w:p w:rsidR="006D7F8D" w:rsidRDefault="001836A1">
            <w:pPr>
              <w:jc w:val="center"/>
            </w:pPr>
            <w:r>
              <w:rPr>
                <w:color w:val="000000"/>
                <w:sz w:val="24"/>
              </w:rPr>
              <w:t>香港证券交易所</w:t>
            </w:r>
          </w:p>
        </w:tc>
        <w:tc>
          <w:tcPr>
            <w:tcW w:w="975" w:type="dxa"/>
            <w:vAlign w:val="center"/>
          </w:tcPr>
          <w:p w:rsidR="006D7F8D" w:rsidRDefault="001836A1">
            <w:pPr>
              <w:jc w:val="center"/>
            </w:pPr>
            <w:r>
              <w:rPr>
                <w:color w:val="000000"/>
                <w:sz w:val="24"/>
              </w:rPr>
              <w:t>香港</w:t>
            </w:r>
          </w:p>
        </w:tc>
        <w:tc>
          <w:tcPr>
            <w:tcW w:w="1175" w:type="dxa"/>
            <w:vAlign w:val="center"/>
          </w:tcPr>
          <w:p w:rsidR="006D7F8D" w:rsidRDefault="001836A1">
            <w:pPr>
              <w:jc w:val="right"/>
            </w:pPr>
            <w:r>
              <w:rPr>
                <w:color w:val="000000"/>
                <w:sz w:val="24"/>
              </w:rPr>
              <w:t>300,000</w:t>
            </w:r>
          </w:p>
        </w:tc>
        <w:tc>
          <w:tcPr>
            <w:tcW w:w="975" w:type="dxa"/>
            <w:vAlign w:val="center"/>
          </w:tcPr>
          <w:p w:rsidR="006D7F8D" w:rsidRDefault="001836A1">
            <w:pPr>
              <w:jc w:val="right"/>
            </w:pPr>
            <w:r>
              <w:rPr>
                <w:color w:val="000000"/>
                <w:sz w:val="24"/>
              </w:rPr>
              <w:t>2,711,347.08</w:t>
            </w:r>
          </w:p>
        </w:tc>
        <w:tc>
          <w:tcPr>
            <w:tcW w:w="1175" w:type="dxa"/>
            <w:vAlign w:val="center"/>
          </w:tcPr>
          <w:p w:rsidR="006D7F8D" w:rsidRDefault="001836A1">
            <w:pPr>
              <w:jc w:val="right"/>
            </w:pPr>
            <w:r>
              <w:rPr>
                <w:color w:val="000000"/>
                <w:sz w:val="24"/>
              </w:rPr>
              <w:t>2.17</w:t>
            </w:r>
          </w:p>
        </w:tc>
      </w:tr>
      <w:tr w:rsidR="006D7F8D">
        <w:trPr>
          <w:jc w:val="center"/>
        </w:trPr>
        <w:tc>
          <w:tcPr>
            <w:tcW w:w="1243" w:type="dxa"/>
            <w:vAlign w:val="center"/>
          </w:tcPr>
          <w:p w:rsidR="006D7F8D" w:rsidRDefault="001836A1">
            <w:pPr>
              <w:jc w:val="center"/>
            </w:pPr>
            <w:r>
              <w:rPr>
                <w:color w:val="000000"/>
                <w:sz w:val="24"/>
              </w:rPr>
              <w:t>2</w:t>
            </w:r>
          </w:p>
        </w:tc>
        <w:tc>
          <w:tcPr>
            <w:tcW w:w="971" w:type="dxa"/>
            <w:vAlign w:val="center"/>
          </w:tcPr>
          <w:p w:rsidR="006D7F8D" w:rsidRDefault="001836A1">
            <w:pPr>
              <w:jc w:val="center"/>
            </w:pPr>
            <w:r>
              <w:rPr>
                <w:color w:val="000000"/>
                <w:sz w:val="24"/>
              </w:rPr>
              <w:t>Tencent Holdings Ltd</w:t>
            </w:r>
          </w:p>
        </w:tc>
        <w:tc>
          <w:tcPr>
            <w:tcW w:w="993" w:type="dxa"/>
            <w:vAlign w:val="center"/>
          </w:tcPr>
          <w:p w:rsidR="006D7F8D" w:rsidRDefault="001836A1">
            <w:pPr>
              <w:jc w:val="center"/>
            </w:pPr>
            <w:r>
              <w:rPr>
                <w:color w:val="000000"/>
                <w:sz w:val="24"/>
              </w:rPr>
              <w:t>腾讯控股</w:t>
            </w:r>
          </w:p>
        </w:tc>
        <w:tc>
          <w:tcPr>
            <w:tcW w:w="725" w:type="dxa"/>
            <w:vAlign w:val="center"/>
          </w:tcPr>
          <w:p w:rsidR="006D7F8D" w:rsidRDefault="001836A1">
            <w:pPr>
              <w:jc w:val="center"/>
            </w:pPr>
            <w:r>
              <w:rPr>
                <w:color w:val="000000"/>
                <w:sz w:val="24"/>
              </w:rPr>
              <w:t>700 HK</w:t>
            </w:r>
          </w:p>
        </w:tc>
        <w:tc>
          <w:tcPr>
            <w:tcW w:w="747" w:type="dxa"/>
            <w:vAlign w:val="center"/>
          </w:tcPr>
          <w:p w:rsidR="006D7F8D" w:rsidRDefault="001836A1">
            <w:pPr>
              <w:jc w:val="center"/>
            </w:pPr>
            <w:r>
              <w:rPr>
                <w:color w:val="000000"/>
                <w:sz w:val="24"/>
              </w:rPr>
              <w:t>香港证券交易所</w:t>
            </w:r>
          </w:p>
        </w:tc>
        <w:tc>
          <w:tcPr>
            <w:tcW w:w="975" w:type="dxa"/>
            <w:vAlign w:val="center"/>
          </w:tcPr>
          <w:p w:rsidR="006D7F8D" w:rsidRDefault="001836A1">
            <w:pPr>
              <w:jc w:val="center"/>
            </w:pPr>
            <w:r>
              <w:rPr>
                <w:color w:val="000000"/>
                <w:sz w:val="24"/>
              </w:rPr>
              <w:t>香港</w:t>
            </w:r>
          </w:p>
        </w:tc>
        <w:tc>
          <w:tcPr>
            <w:tcW w:w="1175" w:type="dxa"/>
            <w:vAlign w:val="center"/>
          </w:tcPr>
          <w:p w:rsidR="006D7F8D" w:rsidRDefault="001836A1">
            <w:pPr>
              <w:jc w:val="right"/>
            </w:pPr>
            <w:r>
              <w:rPr>
                <w:color w:val="000000"/>
                <w:sz w:val="24"/>
              </w:rPr>
              <w:t>13,000</w:t>
            </w:r>
          </w:p>
        </w:tc>
        <w:tc>
          <w:tcPr>
            <w:tcW w:w="975" w:type="dxa"/>
            <w:vAlign w:val="center"/>
          </w:tcPr>
          <w:p w:rsidR="006D7F8D" w:rsidRDefault="001836A1">
            <w:pPr>
              <w:jc w:val="right"/>
            </w:pPr>
            <w:r>
              <w:rPr>
                <w:color w:val="000000"/>
                <w:sz w:val="24"/>
              </w:rPr>
              <w:t>2,571,429.49</w:t>
            </w:r>
          </w:p>
        </w:tc>
        <w:tc>
          <w:tcPr>
            <w:tcW w:w="1175" w:type="dxa"/>
            <w:vAlign w:val="center"/>
          </w:tcPr>
          <w:p w:rsidR="006D7F8D" w:rsidRDefault="001836A1">
            <w:pPr>
              <w:jc w:val="right"/>
            </w:pPr>
            <w:r>
              <w:rPr>
                <w:color w:val="000000"/>
                <w:sz w:val="24"/>
              </w:rPr>
              <w:t>2.06</w:t>
            </w:r>
          </w:p>
        </w:tc>
      </w:tr>
      <w:tr w:rsidR="006D7F8D">
        <w:trPr>
          <w:jc w:val="center"/>
        </w:trPr>
        <w:tc>
          <w:tcPr>
            <w:tcW w:w="1243" w:type="dxa"/>
            <w:vAlign w:val="center"/>
          </w:tcPr>
          <w:p w:rsidR="006D7F8D" w:rsidRDefault="001836A1">
            <w:pPr>
              <w:jc w:val="center"/>
            </w:pPr>
            <w:r>
              <w:rPr>
                <w:color w:val="000000"/>
                <w:sz w:val="24"/>
              </w:rPr>
              <w:t>3</w:t>
            </w:r>
          </w:p>
        </w:tc>
        <w:tc>
          <w:tcPr>
            <w:tcW w:w="971" w:type="dxa"/>
            <w:vAlign w:val="center"/>
          </w:tcPr>
          <w:p w:rsidR="006D7F8D" w:rsidRDefault="001836A1">
            <w:pPr>
              <w:jc w:val="center"/>
            </w:pPr>
            <w:r>
              <w:rPr>
                <w:color w:val="000000"/>
                <w:sz w:val="24"/>
              </w:rPr>
              <w:t>China Merchants Bank Co Ltd</w:t>
            </w:r>
          </w:p>
        </w:tc>
        <w:tc>
          <w:tcPr>
            <w:tcW w:w="993" w:type="dxa"/>
            <w:vAlign w:val="center"/>
          </w:tcPr>
          <w:p w:rsidR="006D7F8D" w:rsidRDefault="001836A1">
            <w:pPr>
              <w:jc w:val="center"/>
            </w:pPr>
            <w:r>
              <w:rPr>
                <w:color w:val="000000"/>
                <w:sz w:val="24"/>
              </w:rPr>
              <w:t>招商银行</w:t>
            </w:r>
          </w:p>
        </w:tc>
        <w:tc>
          <w:tcPr>
            <w:tcW w:w="725" w:type="dxa"/>
            <w:vAlign w:val="center"/>
          </w:tcPr>
          <w:p w:rsidR="006D7F8D" w:rsidRDefault="001836A1">
            <w:pPr>
              <w:jc w:val="center"/>
            </w:pPr>
            <w:r>
              <w:rPr>
                <w:color w:val="000000"/>
                <w:sz w:val="24"/>
              </w:rPr>
              <w:t>3968 HK</w:t>
            </w:r>
          </w:p>
        </w:tc>
        <w:tc>
          <w:tcPr>
            <w:tcW w:w="747" w:type="dxa"/>
            <w:vAlign w:val="center"/>
          </w:tcPr>
          <w:p w:rsidR="006D7F8D" w:rsidRDefault="001836A1">
            <w:pPr>
              <w:jc w:val="center"/>
            </w:pPr>
            <w:r>
              <w:rPr>
                <w:color w:val="000000"/>
                <w:sz w:val="24"/>
              </w:rPr>
              <w:t>香港证券交易所</w:t>
            </w:r>
          </w:p>
        </w:tc>
        <w:tc>
          <w:tcPr>
            <w:tcW w:w="975" w:type="dxa"/>
            <w:vAlign w:val="center"/>
          </w:tcPr>
          <w:p w:rsidR="006D7F8D" w:rsidRDefault="001836A1">
            <w:pPr>
              <w:jc w:val="center"/>
            </w:pPr>
            <w:r>
              <w:rPr>
                <w:color w:val="000000"/>
                <w:sz w:val="24"/>
              </w:rPr>
              <w:t>香港</w:t>
            </w:r>
          </w:p>
        </w:tc>
        <w:tc>
          <w:tcPr>
            <w:tcW w:w="1175" w:type="dxa"/>
            <w:vAlign w:val="center"/>
          </w:tcPr>
          <w:p w:rsidR="006D7F8D" w:rsidRDefault="001836A1">
            <w:pPr>
              <w:jc w:val="right"/>
            </w:pPr>
            <w:r>
              <w:rPr>
                <w:color w:val="000000"/>
                <w:sz w:val="24"/>
              </w:rPr>
              <w:t>140,000</w:t>
            </w:r>
          </w:p>
        </w:tc>
        <w:tc>
          <w:tcPr>
            <w:tcW w:w="975" w:type="dxa"/>
            <w:vAlign w:val="center"/>
          </w:tcPr>
          <w:p w:rsidR="006D7F8D" w:rsidRDefault="001836A1">
            <w:pPr>
              <w:jc w:val="right"/>
            </w:pPr>
            <w:r>
              <w:rPr>
                <w:color w:val="000000"/>
                <w:sz w:val="24"/>
              </w:rPr>
              <w:t>2,554,206.14</w:t>
            </w:r>
          </w:p>
        </w:tc>
        <w:tc>
          <w:tcPr>
            <w:tcW w:w="1175" w:type="dxa"/>
            <w:vAlign w:val="center"/>
          </w:tcPr>
          <w:p w:rsidR="006D7F8D" w:rsidRDefault="001836A1">
            <w:pPr>
              <w:jc w:val="right"/>
            </w:pPr>
            <w:r>
              <w:rPr>
                <w:color w:val="000000"/>
                <w:sz w:val="24"/>
              </w:rPr>
              <w:t>2.05</w:t>
            </w:r>
          </w:p>
        </w:tc>
      </w:tr>
      <w:tr w:rsidR="006D7F8D">
        <w:trPr>
          <w:jc w:val="center"/>
        </w:trPr>
        <w:tc>
          <w:tcPr>
            <w:tcW w:w="1243" w:type="dxa"/>
            <w:vAlign w:val="center"/>
          </w:tcPr>
          <w:p w:rsidR="006D7F8D" w:rsidRDefault="001836A1">
            <w:pPr>
              <w:jc w:val="center"/>
            </w:pPr>
            <w:r>
              <w:rPr>
                <w:color w:val="000000"/>
                <w:sz w:val="24"/>
              </w:rPr>
              <w:t>4</w:t>
            </w:r>
          </w:p>
        </w:tc>
        <w:tc>
          <w:tcPr>
            <w:tcW w:w="971" w:type="dxa"/>
            <w:vAlign w:val="center"/>
          </w:tcPr>
          <w:p w:rsidR="006D7F8D" w:rsidRDefault="001836A1">
            <w:pPr>
              <w:jc w:val="center"/>
            </w:pPr>
            <w:r>
              <w:rPr>
                <w:color w:val="000000"/>
                <w:sz w:val="24"/>
              </w:rPr>
              <w:t>Chongqing Rural Commercial Bank Co.,ltd.</w:t>
            </w:r>
          </w:p>
        </w:tc>
        <w:tc>
          <w:tcPr>
            <w:tcW w:w="993" w:type="dxa"/>
            <w:vAlign w:val="center"/>
          </w:tcPr>
          <w:p w:rsidR="006D7F8D" w:rsidRDefault="001836A1">
            <w:pPr>
              <w:jc w:val="center"/>
            </w:pPr>
            <w:r>
              <w:rPr>
                <w:color w:val="000000"/>
                <w:sz w:val="24"/>
              </w:rPr>
              <w:t>重庆农村商业银行股份有限公司</w:t>
            </w:r>
          </w:p>
        </w:tc>
        <w:tc>
          <w:tcPr>
            <w:tcW w:w="725" w:type="dxa"/>
            <w:vAlign w:val="center"/>
          </w:tcPr>
          <w:p w:rsidR="006D7F8D" w:rsidRDefault="001836A1">
            <w:pPr>
              <w:jc w:val="center"/>
            </w:pPr>
            <w:r>
              <w:rPr>
                <w:color w:val="000000"/>
                <w:sz w:val="24"/>
              </w:rPr>
              <w:t>3618 HK</w:t>
            </w:r>
          </w:p>
        </w:tc>
        <w:tc>
          <w:tcPr>
            <w:tcW w:w="747" w:type="dxa"/>
            <w:vAlign w:val="center"/>
          </w:tcPr>
          <w:p w:rsidR="006D7F8D" w:rsidRDefault="001836A1">
            <w:pPr>
              <w:jc w:val="center"/>
            </w:pPr>
            <w:r>
              <w:rPr>
                <w:color w:val="000000"/>
                <w:sz w:val="24"/>
              </w:rPr>
              <w:t>香港证券交易所</w:t>
            </w:r>
          </w:p>
        </w:tc>
        <w:tc>
          <w:tcPr>
            <w:tcW w:w="975" w:type="dxa"/>
            <w:vAlign w:val="center"/>
          </w:tcPr>
          <w:p w:rsidR="006D7F8D" w:rsidRDefault="001836A1">
            <w:pPr>
              <w:jc w:val="center"/>
            </w:pPr>
            <w:r>
              <w:rPr>
                <w:color w:val="000000"/>
                <w:sz w:val="24"/>
              </w:rPr>
              <w:t>香港</w:t>
            </w:r>
          </w:p>
        </w:tc>
        <w:tc>
          <w:tcPr>
            <w:tcW w:w="1175" w:type="dxa"/>
            <w:vAlign w:val="center"/>
          </w:tcPr>
          <w:p w:rsidR="006D7F8D" w:rsidRDefault="001836A1">
            <w:pPr>
              <w:jc w:val="right"/>
            </w:pPr>
            <w:r>
              <w:rPr>
                <w:color w:val="000000"/>
                <w:sz w:val="24"/>
              </w:rPr>
              <w:t>500,000</w:t>
            </w:r>
          </w:p>
        </w:tc>
        <w:tc>
          <w:tcPr>
            <w:tcW w:w="975" w:type="dxa"/>
            <w:vAlign w:val="center"/>
          </w:tcPr>
          <w:p w:rsidR="006D7F8D" w:rsidRDefault="001836A1">
            <w:pPr>
              <w:jc w:val="right"/>
            </w:pPr>
            <w:r>
              <w:rPr>
                <w:color w:val="000000"/>
                <w:sz w:val="24"/>
              </w:rPr>
              <w:t>2,330,480.05</w:t>
            </w:r>
          </w:p>
        </w:tc>
        <w:tc>
          <w:tcPr>
            <w:tcW w:w="1175" w:type="dxa"/>
            <w:vAlign w:val="center"/>
          </w:tcPr>
          <w:p w:rsidR="006D7F8D" w:rsidRDefault="001836A1">
            <w:pPr>
              <w:jc w:val="right"/>
            </w:pPr>
            <w:r>
              <w:rPr>
                <w:color w:val="000000"/>
                <w:sz w:val="24"/>
              </w:rPr>
              <w:t>1.87</w:t>
            </w:r>
          </w:p>
        </w:tc>
      </w:tr>
      <w:tr w:rsidR="006D7F8D">
        <w:trPr>
          <w:jc w:val="center"/>
        </w:trPr>
        <w:tc>
          <w:tcPr>
            <w:tcW w:w="1243" w:type="dxa"/>
            <w:vAlign w:val="center"/>
          </w:tcPr>
          <w:p w:rsidR="006D7F8D" w:rsidRDefault="001836A1">
            <w:pPr>
              <w:jc w:val="center"/>
            </w:pPr>
            <w:r>
              <w:rPr>
                <w:color w:val="000000"/>
                <w:sz w:val="24"/>
              </w:rPr>
              <w:t>5</w:t>
            </w:r>
          </w:p>
        </w:tc>
        <w:tc>
          <w:tcPr>
            <w:tcW w:w="971" w:type="dxa"/>
            <w:vAlign w:val="center"/>
          </w:tcPr>
          <w:p w:rsidR="006D7F8D" w:rsidRDefault="001836A1">
            <w:pPr>
              <w:jc w:val="center"/>
            </w:pPr>
            <w:r>
              <w:rPr>
                <w:color w:val="000000"/>
                <w:sz w:val="24"/>
              </w:rPr>
              <w:t>Alphabet Inc</w:t>
            </w:r>
          </w:p>
        </w:tc>
        <w:tc>
          <w:tcPr>
            <w:tcW w:w="993" w:type="dxa"/>
            <w:vAlign w:val="center"/>
          </w:tcPr>
          <w:p w:rsidR="006D7F8D" w:rsidRDefault="001836A1">
            <w:pPr>
              <w:jc w:val="center"/>
            </w:pPr>
            <w:r>
              <w:rPr>
                <w:color w:val="000000"/>
                <w:sz w:val="24"/>
              </w:rPr>
              <w:t>Alphabet</w:t>
            </w:r>
            <w:r>
              <w:rPr>
                <w:color w:val="000000"/>
                <w:sz w:val="24"/>
              </w:rPr>
              <w:t>公司</w:t>
            </w:r>
          </w:p>
        </w:tc>
        <w:tc>
          <w:tcPr>
            <w:tcW w:w="725" w:type="dxa"/>
            <w:vAlign w:val="center"/>
          </w:tcPr>
          <w:p w:rsidR="006D7F8D" w:rsidRDefault="001836A1">
            <w:pPr>
              <w:jc w:val="center"/>
            </w:pPr>
            <w:r>
              <w:rPr>
                <w:color w:val="000000"/>
                <w:sz w:val="24"/>
              </w:rPr>
              <w:t>GOOGL US</w:t>
            </w:r>
          </w:p>
        </w:tc>
        <w:tc>
          <w:tcPr>
            <w:tcW w:w="747" w:type="dxa"/>
            <w:vAlign w:val="center"/>
          </w:tcPr>
          <w:p w:rsidR="006D7F8D" w:rsidRDefault="001836A1">
            <w:pPr>
              <w:jc w:val="center"/>
            </w:pPr>
            <w:r>
              <w:rPr>
                <w:color w:val="000000"/>
                <w:sz w:val="24"/>
              </w:rPr>
              <w:t>美国证券交易所</w:t>
            </w:r>
          </w:p>
        </w:tc>
        <w:tc>
          <w:tcPr>
            <w:tcW w:w="975" w:type="dxa"/>
            <w:vAlign w:val="center"/>
          </w:tcPr>
          <w:p w:rsidR="006D7F8D" w:rsidRDefault="001836A1">
            <w:pPr>
              <w:jc w:val="center"/>
            </w:pPr>
            <w:r>
              <w:rPr>
                <w:color w:val="000000"/>
                <w:sz w:val="24"/>
              </w:rPr>
              <w:t>美国</w:t>
            </w:r>
          </w:p>
        </w:tc>
        <w:tc>
          <w:tcPr>
            <w:tcW w:w="1175" w:type="dxa"/>
            <w:vAlign w:val="center"/>
          </w:tcPr>
          <w:p w:rsidR="006D7F8D" w:rsidRDefault="001836A1">
            <w:pPr>
              <w:jc w:val="right"/>
            </w:pPr>
            <w:r>
              <w:rPr>
                <w:color w:val="000000"/>
                <w:sz w:val="24"/>
              </w:rPr>
              <w:t>396</w:t>
            </w:r>
          </w:p>
        </w:tc>
        <w:tc>
          <w:tcPr>
            <w:tcW w:w="975" w:type="dxa"/>
            <w:vAlign w:val="center"/>
          </w:tcPr>
          <w:p w:rsidR="006D7F8D" w:rsidRDefault="001836A1">
            <w:pPr>
              <w:jc w:val="right"/>
            </w:pPr>
            <w:r>
              <w:rPr>
                <w:color w:val="000000"/>
                <w:sz w:val="24"/>
              </w:rPr>
              <w:t>2,316,293.71</w:t>
            </w:r>
          </w:p>
        </w:tc>
        <w:tc>
          <w:tcPr>
            <w:tcW w:w="1175" w:type="dxa"/>
            <w:vAlign w:val="center"/>
          </w:tcPr>
          <w:p w:rsidR="006D7F8D" w:rsidRDefault="001836A1">
            <w:pPr>
              <w:jc w:val="right"/>
            </w:pPr>
            <w:r>
              <w:rPr>
                <w:color w:val="000000"/>
                <w:sz w:val="24"/>
              </w:rPr>
              <w:t>1.85</w:t>
            </w:r>
          </w:p>
        </w:tc>
      </w:tr>
      <w:tr w:rsidR="006D7F8D">
        <w:trPr>
          <w:jc w:val="center"/>
        </w:trPr>
        <w:tc>
          <w:tcPr>
            <w:tcW w:w="1243" w:type="dxa"/>
            <w:vAlign w:val="center"/>
          </w:tcPr>
          <w:p w:rsidR="006D7F8D" w:rsidRDefault="001836A1">
            <w:pPr>
              <w:jc w:val="center"/>
            </w:pPr>
            <w:r>
              <w:rPr>
                <w:color w:val="000000"/>
                <w:sz w:val="24"/>
              </w:rPr>
              <w:t>6</w:t>
            </w:r>
          </w:p>
        </w:tc>
        <w:tc>
          <w:tcPr>
            <w:tcW w:w="971" w:type="dxa"/>
            <w:vAlign w:val="center"/>
          </w:tcPr>
          <w:p w:rsidR="006D7F8D" w:rsidRDefault="001836A1">
            <w:pPr>
              <w:jc w:val="center"/>
            </w:pPr>
            <w:r>
              <w:rPr>
                <w:color w:val="000000"/>
                <w:sz w:val="24"/>
              </w:rPr>
              <w:t>Citigroup Inc</w:t>
            </w:r>
          </w:p>
        </w:tc>
        <w:tc>
          <w:tcPr>
            <w:tcW w:w="993" w:type="dxa"/>
            <w:vAlign w:val="center"/>
          </w:tcPr>
          <w:p w:rsidR="006D7F8D" w:rsidRDefault="001836A1">
            <w:pPr>
              <w:jc w:val="center"/>
            </w:pPr>
            <w:r>
              <w:rPr>
                <w:color w:val="000000"/>
                <w:sz w:val="24"/>
              </w:rPr>
              <w:t>花旗集团</w:t>
            </w:r>
          </w:p>
        </w:tc>
        <w:tc>
          <w:tcPr>
            <w:tcW w:w="725" w:type="dxa"/>
            <w:vAlign w:val="center"/>
          </w:tcPr>
          <w:p w:rsidR="006D7F8D" w:rsidRDefault="001836A1">
            <w:pPr>
              <w:jc w:val="center"/>
            </w:pPr>
            <w:r>
              <w:rPr>
                <w:color w:val="000000"/>
                <w:sz w:val="24"/>
              </w:rPr>
              <w:t>C US</w:t>
            </w:r>
          </w:p>
        </w:tc>
        <w:tc>
          <w:tcPr>
            <w:tcW w:w="747" w:type="dxa"/>
            <w:vAlign w:val="center"/>
          </w:tcPr>
          <w:p w:rsidR="006D7F8D" w:rsidRDefault="001836A1">
            <w:pPr>
              <w:jc w:val="center"/>
            </w:pPr>
            <w:r>
              <w:rPr>
                <w:color w:val="000000"/>
                <w:sz w:val="24"/>
              </w:rPr>
              <w:t>美国证券交易所</w:t>
            </w:r>
          </w:p>
        </w:tc>
        <w:tc>
          <w:tcPr>
            <w:tcW w:w="975" w:type="dxa"/>
            <w:vAlign w:val="center"/>
          </w:tcPr>
          <w:p w:rsidR="006D7F8D" w:rsidRDefault="001836A1">
            <w:pPr>
              <w:jc w:val="center"/>
            </w:pPr>
            <w:r>
              <w:rPr>
                <w:color w:val="000000"/>
                <w:sz w:val="24"/>
              </w:rPr>
              <w:t>美国</w:t>
            </w:r>
          </w:p>
        </w:tc>
        <w:tc>
          <w:tcPr>
            <w:tcW w:w="1175" w:type="dxa"/>
            <w:vAlign w:val="center"/>
          </w:tcPr>
          <w:p w:rsidR="006D7F8D" w:rsidRDefault="001836A1">
            <w:pPr>
              <w:jc w:val="right"/>
            </w:pPr>
            <w:r>
              <w:rPr>
                <w:color w:val="000000"/>
                <w:sz w:val="24"/>
              </w:rPr>
              <w:t>5,229</w:t>
            </w:r>
          </w:p>
        </w:tc>
        <w:tc>
          <w:tcPr>
            <w:tcW w:w="975" w:type="dxa"/>
            <w:vAlign w:val="center"/>
          </w:tcPr>
          <w:p w:rsidR="006D7F8D" w:rsidRDefault="001836A1">
            <w:pPr>
              <w:jc w:val="right"/>
            </w:pPr>
            <w:r>
              <w:rPr>
                <w:color w:val="000000"/>
                <w:sz w:val="24"/>
              </w:rPr>
              <w:t>2,158,092.62</w:t>
            </w:r>
          </w:p>
        </w:tc>
        <w:tc>
          <w:tcPr>
            <w:tcW w:w="1175" w:type="dxa"/>
            <w:vAlign w:val="center"/>
          </w:tcPr>
          <w:p w:rsidR="006D7F8D" w:rsidRDefault="001836A1">
            <w:pPr>
              <w:jc w:val="right"/>
            </w:pPr>
            <w:r>
              <w:rPr>
                <w:color w:val="000000"/>
                <w:sz w:val="24"/>
              </w:rPr>
              <w:t>1.73</w:t>
            </w:r>
          </w:p>
        </w:tc>
      </w:tr>
      <w:tr w:rsidR="006D7F8D">
        <w:trPr>
          <w:jc w:val="center"/>
        </w:trPr>
        <w:tc>
          <w:tcPr>
            <w:tcW w:w="1243" w:type="dxa"/>
            <w:vAlign w:val="center"/>
          </w:tcPr>
          <w:p w:rsidR="006D7F8D" w:rsidRDefault="001836A1">
            <w:pPr>
              <w:jc w:val="center"/>
            </w:pPr>
            <w:r>
              <w:rPr>
                <w:color w:val="000000"/>
                <w:sz w:val="24"/>
              </w:rPr>
              <w:t>7</w:t>
            </w:r>
          </w:p>
        </w:tc>
        <w:tc>
          <w:tcPr>
            <w:tcW w:w="971" w:type="dxa"/>
            <w:vAlign w:val="center"/>
          </w:tcPr>
          <w:p w:rsidR="006D7F8D" w:rsidRDefault="001836A1">
            <w:pPr>
              <w:jc w:val="center"/>
            </w:pPr>
            <w:r>
              <w:rPr>
                <w:color w:val="000000"/>
                <w:sz w:val="24"/>
              </w:rPr>
              <w:t>Comcast Corporation</w:t>
            </w:r>
          </w:p>
        </w:tc>
        <w:tc>
          <w:tcPr>
            <w:tcW w:w="993" w:type="dxa"/>
            <w:vAlign w:val="center"/>
          </w:tcPr>
          <w:p w:rsidR="006D7F8D" w:rsidRDefault="001836A1">
            <w:pPr>
              <w:jc w:val="center"/>
            </w:pPr>
            <w:r>
              <w:rPr>
                <w:color w:val="000000"/>
                <w:sz w:val="24"/>
              </w:rPr>
              <w:t>康卡斯特公司</w:t>
            </w:r>
          </w:p>
        </w:tc>
        <w:tc>
          <w:tcPr>
            <w:tcW w:w="725" w:type="dxa"/>
            <w:vAlign w:val="center"/>
          </w:tcPr>
          <w:p w:rsidR="006D7F8D" w:rsidRDefault="001836A1">
            <w:pPr>
              <w:jc w:val="center"/>
            </w:pPr>
            <w:r>
              <w:rPr>
                <w:color w:val="000000"/>
                <w:sz w:val="24"/>
              </w:rPr>
              <w:t>CMCSA US</w:t>
            </w:r>
          </w:p>
        </w:tc>
        <w:tc>
          <w:tcPr>
            <w:tcW w:w="747" w:type="dxa"/>
            <w:vAlign w:val="center"/>
          </w:tcPr>
          <w:p w:rsidR="006D7F8D" w:rsidRDefault="001836A1">
            <w:pPr>
              <w:jc w:val="center"/>
            </w:pPr>
            <w:r>
              <w:rPr>
                <w:color w:val="000000"/>
                <w:sz w:val="24"/>
              </w:rPr>
              <w:t>美国证券交易所</w:t>
            </w:r>
          </w:p>
        </w:tc>
        <w:tc>
          <w:tcPr>
            <w:tcW w:w="975" w:type="dxa"/>
            <w:vAlign w:val="center"/>
          </w:tcPr>
          <w:p w:rsidR="006D7F8D" w:rsidRDefault="001836A1">
            <w:pPr>
              <w:jc w:val="center"/>
            </w:pPr>
            <w:r>
              <w:rPr>
                <w:color w:val="000000"/>
                <w:sz w:val="24"/>
              </w:rPr>
              <w:t>美国</w:t>
            </w:r>
          </w:p>
        </w:tc>
        <w:tc>
          <w:tcPr>
            <w:tcW w:w="1175" w:type="dxa"/>
            <w:vAlign w:val="center"/>
          </w:tcPr>
          <w:p w:rsidR="006D7F8D" w:rsidRDefault="001836A1">
            <w:pPr>
              <w:jc w:val="right"/>
            </w:pPr>
            <w:r>
              <w:rPr>
                <w:color w:val="000000"/>
                <w:sz w:val="24"/>
              </w:rPr>
              <w:t>8,288</w:t>
            </w:r>
          </w:p>
        </w:tc>
        <w:tc>
          <w:tcPr>
            <w:tcW w:w="975" w:type="dxa"/>
            <w:vAlign w:val="center"/>
          </w:tcPr>
          <w:p w:rsidR="006D7F8D" w:rsidRDefault="001836A1">
            <w:pPr>
              <w:jc w:val="right"/>
            </w:pPr>
            <w:r>
              <w:rPr>
                <w:color w:val="000000"/>
                <w:sz w:val="24"/>
              </w:rPr>
              <w:t>2,149,448.77</w:t>
            </w:r>
          </w:p>
        </w:tc>
        <w:tc>
          <w:tcPr>
            <w:tcW w:w="1175" w:type="dxa"/>
            <w:vAlign w:val="center"/>
          </w:tcPr>
          <w:p w:rsidR="006D7F8D" w:rsidRDefault="001836A1">
            <w:pPr>
              <w:jc w:val="right"/>
            </w:pPr>
            <w:r>
              <w:rPr>
                <w:color w:val="000000"/>
                <w:sz w:val="24"/>
              </w:rPr>
              <w:t>1.72</w:t>
            </w:r>
          </w:p>
        </w:tc>
      </w:tr>
      <w:tr w:rsidR="006D7F8D">
        <w:trPr>
          <w:jc w:val="center"/>
        </w:trPr>
        <w:tc>
          <w:tcPr>
            <w:tcW w:w="1243" w:type="dxa"/>
            <w:vAlign w:val="center"/>
          </w:tcPr>
          <w:p w:rsidR="006D7F8D" w:rsidRDefault="001836A1">
            <w:pPr>
              <w:jc w:val="center"/>
            </w:pPr>
            <w:r>
              <w:rPr>
                <w:color w:val="000000"/>
                <w:sz w:val="24"/>
              </w:rPr>
              <w:t>8</w:t>
            </w:r>
          </w:p>
        </w:tc>
        <w:tc>
          <w:tcPr>
            <w:tcW w:w="971" w:type="dxa"/>
            <w:vAlign w:val="center"/>
          </w:tcPr>
          <w:p w:rsidR="006D7F8D" w:rsidRDefault="001836A1">
            <w:pPr>
              <w:jc w:val="center"/>
            </w:pPr>
            <w:r>
              <w:rPr>
                <w:color w:val="000000"/>
                <w:sz w:val="24"/>
              </w:rPr>
              <w:t>Amazon.Com Inc</w:t>
            </w:r>
          </w:p>
        </w:tc>
        <w:tc>
          <w:tcPr>
            <w:tcW w:w="993" w:type="dxa"/>
            <w:vAlign w:val="center"/>
          </w:tcPr>
          <w:p w:rsidR="006D7F8D" w:rsidRDefault="001836A1">
            <w:pPr>
              <w:jc w:val="center"/>
            </w:pPr>
            <w:r>
              <w:rPr>
                <w:color w:val="000000"/>
                <w:sz w:val="24"/>
              </w:rPr>
              <w:t>亚马逊公司</w:t>
            </w:r>
          </w:p>
        </w:tc>
        <w:tc>
          <w:tcPr>
            <w:tcW w:w="725" w:type="dxa"/>
            <w:vAlign w:val="center"/>
          </w:tcPr>
          <w:p w:rsidR="006D7F8D" w:rsidRDefault="001836A1">
            <w:pPr>
              <w:jc w:val="center"/>
            </w:pPr>
            <w:r>
              <w:rPr>
                <w:color w:val="000000"/>
                <w:sz w:val="24"/>
              </w:rPr>
              <w:t>AMZN US</w:t>
            </w:r>
          </w:p>
        </w:tc>
        <w:tc>
          <w:tcPr>
            <w:tcW w:w="747" w:type="dxa"/>
            <w:vAlign w:val="center"/>
          </w:tcPr>
          <w:p w:rsidR="006D7F8D" w:rsidRDefault="001836A1">
            <w:pPr>
              <w:jc w:val="center"/>
            </w:pPr>
            <w:r>
              <w:rPr>
                <w:color w:val="000000"/>
                <w:sz w:val="24"/>
              </w:rPr>
              <w:t>美国证券交易所</w:t>
            </w:r>
          </w:p>
        </w:tc>
        <w:tc>
          <w:tcPr>
            <w:tcW w:w="975" w:type="dxa"/>
            <w:vAlign w:val="center"/>
          </w:tcPr>
          <w:p w:rsidR="006D7F8D" w:rsidRDefault="001836A1">
            <w:pPr>
              <w:jc w:val="center"/>
            </w:pPr>
            <w:r>
              <w:rPr>
                <w:color w:val="000000"/>
                <w:sz w:val="24"/>
              </w:rPr>
              <w:t>美国</w:t>
            </w:r>
          </w:p>
        </w:tc>
        <w:tc>
          <w:tcPr>
            <w:tcW w:w="1175" w:type="dxa"/>
            <w:vAlign w:val="center"/>
          </w:tcPr>
          <w:p w:rsidR="006D7F8D" w:rsidRDefault="001836A1">
            <w:pPr>
              <w:jc w:val="right"/>
            </w:pPr>
            <w:r>
              <w:rPr>
                <w:color w:val="000000"/>
                <w:sz w:val="24"/>
              </w:rPr>
              <w:t>345</w:t>
            </w:r>
          </w:p>
        </w:tc>
        <w:tc>
          <w:tcPr>
            <w:tcW w:w="975" w:type="dxa"/>
            <w:vAlign w:val="center"/>
          </w:tcPr>
          <w:p w:rsidR="006D7F8D" w:rsidRDefault="001836A1">
            <w:pPr>
              <w:jc w:val="right"/>
            </w:pPr>
            <w:r>
              <w:rPr>
                <w:color w:val="000000"/>
                <w:sz w:val="24"/>
              </w:rPr>
              <w:t>2,110,194.37</w:t>
            </w:r>
          </w:p>
        </w:tc>
        <w:tc>
          <w:tcPr>
            <w:tcW w:w="1175" w:type="dxa"/>
            <w:vAlign w:val="center"/>
          </w:tcPr>
          <w:p w:rsidR="006D7F8D" w:rsidRDefault="001836A1">
            <w:pPr>
              <w:jc w:val="right"/>
            </w:pPr>
            <w:r>
              <w:rPr>
                <w:color w:val="000000"/>
                <w:sz w:val="24"/>
              </w:rPr>
              <w:t>1.69</w:t>
            </w:r>
          </w:p>
        </w:tc>
      </w:tr>
      <w:tr w:rsidR="006D7F8D">
        <w:trPr>
          <w:jc w:val="center"/>
        </w:trPr>
        <w:tc>
          <w:tcPr>
            <w:tcW w:w="1243" w:type="dxa"/>
            <w:vAlign w:val="center"/>
          </w:tcPr>
          <w:p w:rsidR="006D7F8D" w:rsidRDefault="001836A1">
            <w:pPr>
              <w:jc w:val="center"/>
            </w:pPr>
            <w:r>
              <w:rPr>
                <w:color w:val="000000"/>
                <w:sz w:val="24"/>
              </w:rPr>
              <w:lastRenderedPageBreak/>
              <w:t>9</w:t>
            </w:r>
          </w:p>
        </w:tc>
        <w:tc>
          <w:tcPr>
            <w:tcW w:w="971" w:type="dxa"/>
            <w:vAlign w:val="center"/>
          </w:tcPr>
          <w:p w:rsidR="006D7F8D" w:rsidRDefault="001836A1">
            <w:pPr>
              <w:jc w:val="center"/>
            </w:pPr>
            <w:r>
              <w:rPr>
                <w:color w:val="000000"/>
                <w:sz w:val="24"/>
              </w:rPr>
              <w:t>Unitedhealth Group Inc</w:t>
            </w:r>
          </w:p>
        </w:tc>
        <w:tc>
          <w:tcPr>
            <w:tcW w:w="993" w:type="dxa"/>
            <w:vAlign w:val="center"/>
          </w:tcPr>
          <w:p w:rsidR="006D7F8D" w:rsidRDefault="001836A1">
            <w:pPr>
              <w:jc w:val="center"/>
            </w:pPr>
            <w:r>
              <w:rPr>
                <w:color w:val="000000"/>
                <w:sz w:val="24"/>
              </w:rPr>
              <w:t>美国联合健康集团</w:t>
            </w:r>
          </w:p>
        </w:tc>
        <w:tc>
          <w:tcPr>
            <w:tcW w:w="725" w:type="dxa"/>
            <w:vAlign w:val="center"/>
          </w:tcPr>
          <w:p w:rsidR="006D7F8D" w:rsidRDefault="001836A1">
            <w:pPr>
              <w:jc w:val="center"/>
            </w:pPr>
            <w:r>
              <w:rPr>
                <w:color w:val="000000"/>
                <w:sz w:val="24"/>
              </w:rPr>
              <w:t>UNH US</w:t>
            </w:r>
          </w:p>
        </w:tc>
        <w:tc>
          <w:tcPr>
            <w:tcW w:w="747" w:type="dxa"/>
            <w:vAlign w:val="center"/>
          </w:tcPr>
          <w:p w:rsidR="006D7F8D" w:rsidRDefault="001836A1">
            <w:pPr>
              <w:jc w:val="center"/>
            </w:pPr>
            <w:r>
              <w:rPr>
                <w:color w:val="000000"/>
                <w:sz w:val="24"/>
              </w:rPr>
              <w:t>美国证券交易所</w:t>
            </w:r>
          </w:p>
        </w:tc>
        <w:tc>
          <w:tcPr>
            <w:tcW w:w="975" w:type="dxa"/>
            <w:vAlign w:val="center"/>
          </w:tcPr>
          <w:p w:rsidR="006D7F8D" w:rsidRDefault="001836A1">
            <w:pPr>
              <w:jc w:val="center"/>
            </w:pPr>
            <w:r>
              <w:rPr>
                <w:color w:val="000000"/>
                <w:sz w:val="24"/>
              </w:rPr>
              <w:t>美国</w:t>
            </w:r>
          </w:p>
        </w:tc>
        <w:tc>
          <w:tcPr>
            <w:tcW w:w="1175" w:type="dxa"/>
            <w:vAlign w:val="center"/>
          </w:tcPr>
          <w:p w:rsidR="006D7F8D" w:rsidRDefault="001836A1">
            <w:pPr>
              <w:jc w:val="right"/>
            </w:pPr>
            <w:r>
              <w:rPr>
                <w:color w:val="000000"/>
                <w:sz w:val="24"/>
              </w:rPr>
              <w:t>1,861</w:t>
            </w:r>
          </w:p>
        </w:tc>
        <w:tc>
          <w:tcPr>
            <w:tcW w:w="975" w:type="dxa"/>
            <w:vAlign w:val="center"/>
          </w:tcPr>
          <w:p w:rsidR="006D7F8D" w:rsidRDefault="001836A1">
            <w:pPr>
              <w:jc w:val="right"/>
            </w:pPr>
            <w:r>
              <w:rPr>
                <w:color w:val="000000"/>
                <w:sz w:val="24"/>
              </w:rPr>
              <w:t>2,105,822.35</w:t>
            </w:r>
          </w:p>
        </w:tc>
        <w:tc>
          <w:tcPr>
            <w:tcW w:w="1175" w:type="dxa"/>
            <w:vAlign w:val="center"/>
          </w:tcPr>
          <w:p w:rsidR="006D7F8D" w:rsidRDefault="001836A1">
            <w:pPr>
              <w:jc w:val="right"/>
            </w:pPr>
            <w:r>
              <w:rPr>
                <w:color w:val="000000"/>
                <w:sz w:val="24"/>
              </w:rPr>
              <w:t>1.69</w:t>
            </w:r>
          </w:p>
        </w:tc>
      </w:tr>
      <w:tr w:rsidR="006D7F8D">
        <w:trPr>
          <w:jc w:val="center"/>
        </w:trPr>
        <w:tc>
          <w:tcPr>
            <w:tcW w:w="1243" w:type="dxa"/>
            <w:vAlign w:val="center"/>
          </w:tcPr>
          <w:p w:rsidR="006D7F8D" w:rsidRDefault="001836A1">
            <w:pPr>
              <w:jc w:val="center"/>
            </w:pPr>
            <w:r>
              <w:rPr>
                <w:color w:val="000000"/>
                <w:sz w:val="24"/>
              </w:rPr>
              <w:t>10</w:t>
            </w:r>
          </w:p>
        </w:tc>
        <w:tc>
          <w:tcPr>
            <w:tcW w:w="971" w:type="dxa"/>
            <w:vAlign w:val="center"/>
          </w:tcPr>
          <w:p w:rsidR="006D7F8D" w:rsidRDefault="001836A1">
            <w:pPr>
              <w:jc w:val="center"/>
            </w:pPr>
            <w:r>
              <w:rPr>
                <w:color w:val="000000"/>
                <w:sz w:val="24"/>
              </w:rPr>
              <w:t>New China Life Insurance Company Ltd.</w:t>
            </w:r>
          </w:p>
        </w:tc>
        <w:tc>
          <w:tcPr>
            <w:tcW w:w="993" w:type="dxa"/>
            <w:vAlign w:val="center"/>
          </w:tcPr>
          <w:p w:rsidR="006D7F8D" w:rsidRDefault="001836A1">
            <w:pPr>
              <w:jc w:val="center"/>
            </w:pPr>
            <w:r>
              <w:rPr>
                <w:color w:val="000000"/>
                <w:sz w:val="24"/>
              </w:rPr>
              <w:t>新华人寿保险股份有限公司</w:t>
            </w:r>
          </w:p>
        </w:tc>
        <w:tc>
          <w:tcPr>
            <w:tcW w:w="725" w:type="dxa"/>
            <w:vAlign w:val="center"/>
          </w:tcPr>
          <w:p w:rsidR="006D7F8D" w:rsidRDefault="001836A1">
            <w:pPr>
              <w:jc w:val="center"/>
            </w:pPr>
            <w:r>
              <w:rPr>
                <w:color w:val="000000"/>
                <w:sz w:val="24"/>
              </w:rPr>
              <w:t>1336 HK</w:t>
            </w:r>
          </w:p>
        </w:tc>
        <w:tc>
          <w:tcPr>
            <w:tcW w:w="747" w:type="dxa"/>
            <w:vAlign w:val="center"/>
          </w:tcPr>
          <w:p w:rsidR="006D7F8D" w:rsidRDefault="001836A1">
            <w:pPr>
              <w:jc w:val="center"/>
            </w:pPr>
            <w:r>
              <w:rPr>
                <w:color w:val="000000"/>
                <w:sz w:val="24"/>
              </w:rPr>
              <w:t>香港证券交易所</w:t>
            </w:r>
          </w:p>
        </w:tc>
        <w:tc>
          <w:tcPr>
            <w:tcW w:w="975" w:type="dxa"/>
            <w:vAlign w:val="center"/>
          </w:tcPr>
          <w:p w:rsidR="006D7F8D" w:rsidRDefault="001836A1">
            <w:pPr>
              <w:jc w:val="center"/>
            </w:pPr>
            <w:r>
              <w:rPr>
                <w:color w:val="000000"/>
                <w:sz w:val="24"/>
              </w:rPr>
              <w:t>香港</w:t>
            </w:r>
          </w:p>
        </w:tc>
        <w:tc>
          <w:tcPr>
            <w:tcW w:w="1175" w:type="dxa"/>
            <w:vAlign w:val="center"/>
          </w:tcPr>
          <w:p w:rsidR="006D7F8D" w:rsidRDefault="001836A1">
            <w:pPr>
              <w:jc w:val="right"/>
            </w:pPr>
            <w:r>
              <w:rPr>
                <w:color w:val="000000"/>
                <w:sz w:val="24"/>
              </w:rPr>
              <w:t>60,000</w:t>
            </w:r>
          </w:p>
        </w:tc>
        <w:tc>
          <w:tcPr>
            <w:tcW w:w="975" w:type="dxa"/>
            <w:vAlign w:val="center"/>
          </w:tcPr>
          <w:p w:rsidR="006D7F8D" w:rsidRDefault="001836A1">
            <w:pPr>
              <w:jc w:val="right"/>
            </w:pPr>
            <w:r>
              <w:rPr>
                <w:color w:val="000000"/>
                <w:sz w:val="24"/>
              </w:rPr>
              <w:t>1,970,920.27</w:t>
            </w:r>
          </w:p>
        </w:tc>
        <w:tc>
          <w:tcPr>
            <w:tcW w:w="1175" w:type="dxa"/>
            <w:vAlign w:val="center"/>
          </w:tcPr>
          <w:p w:rsidR="006D7F8D" w:rsidRDefault="001836A1">
            <w:pPr>
              <w:jc w:val="right"/>
            </w:pPr>
            <w:r>
              <w:rPr>
                <w:color w:val="000000"/>
                <w:sz w:val="24"/>
              </w:rPr>
              <w:t>1.58</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132,334.07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1,776.67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286,043.37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426,239.22</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846,393.33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61,370,048.29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19,313,641.57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5,870,548.62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74,813,141.24</w:t>
            </w:r>
          </w:p>
        </w:tc>
      </w:tr>
    </w:tbl>
    <w:p w:rsidR="006D7F8D" w:rsidRDefault="001836A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序号</w:t>
            </w:r>
          </w:p>
        </w:tc>
        <w:tc>
          <w:tcPr>
            <w:tcW w:w="185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交易方式</w:t>
            </w:r>
          </w:p>
        </w:tc>
        <w:tc>
          <w:tcPr>
            <w:tcW w:w="1370" w:type="dxa"/>
            <w:vAlign w:val="center"/>
          </w:tcPr>
          <w:p w:rsidR="005E64DA" w:rsidRPr="008640AE" w:rsidRDefault="005E64DA" w:rsidP="005546C0">
            <w:pPr>
              <w:adjustRightInd w:val="0"/>
              <w:snapToGrid w:val="0"/>
              <w:spacing w:before="29" w:line="288" w:lineRule="auto"/>
              <w:rPr>
                <w:color w:val="000000"/>
                <w:kern w:val="0"/>
                <w:sz w:val="24"/>
              </w:rPr>
            </w:pPr>
            <w:r w:rsidRPr="008640AE">
              <w:rPr>
                <w:color w:val="000000"/>
                <w:kern w:val="0"/>
                <w:sz w:val="24"/>
              </w:rPr>
              <w:t>交易日期</w:t>
            </w:r>
          </w:p>
        </w:tc>
        <w:tc>
          <w:tcPr>
            <w:tcW w:w="1701"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交易份额（份）</w:t>
            </w:r>
          </w:p>
        </w:tc>
        <w:tc>
          <w:tcPr>
            <w:tcW w:w="1842"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交易金额（元）</w:t>
            </w:r>
          </w:p>
        </w:tc>
        <w:tc>
          <w:tcPr>
            <w:tcW w:w="1397" w:type="dxa"/>
            <w:vAlign w:val="center"/>
          </w:tcPr>
          <w:p w:rsidR="005E64DA" w:rsidRPr="008640AE" w:rsidRDefault="005E64DA" w:rsidP="005546C0">
            <w:pPr>
              <w:adjustRightInd w:val="0"/>
              <w:snapToGrid w:val="0"/>
              <w:spacing w:before="29" w:line="288" w:lineRule="auto"/>
              <w:jc w:val="center"/>
              <w:rPr>
                <w:color w:val="000000"/>
                <w:kern w:val="0"/>
                <w:sz w:val="24"/>
              </w:rPr>
            </w:pPr>
            <w:r w:rsidRPr="008640AE">
              <w:rPr>
                <w:color w:val="000000"/>
                <w:kern w:val="0"/>
                <w:sz w:val="24"/>
              </w:rPr>
              <w:t>适用费率</w:t>
            </w:r>
          </w:p>
        </w:tc>
      </w:tr>
      <w:tr w:rsidR="006D7F8D">
        <w:trPr>
          <w:jc w:val="center"/>
        </w:trPr>
        <w:tc>
          <w:tcPr>
            <w:tcW w:w="1032" w:type="dxa"/>
            <w:vAlign w:val="center"/>
          </w:tcPr>
          <w:p w:rsidR="006D7F8D" w:rsidRDefault="001836A1">
            <w:pPr>
              <w:jc w:val="center"/>
            </w:pPr>
            <w:r>
              <w:rPr>
                <w:color w:val="000000"/>
                <w:sz w:val="24"/>
              </w:rPr>
              <w:lastRenderedPageBreak/>
              <w:t>1</w:t>
            </w:r>
          </w:p>
        </w:tc>
        <w:tc>
          <w:tcPr>
            <w:tcW w:w="1776" w:type="dxa"/>
            <w:vAlign w:val="center"/>
          </w:tcPr>
          <w:p w:rsidR="006D7F8D" w:rsidRDefault="001836A1">
            <w:pPr>
              <w:jc w:val="center"/>
            </w:pPr>
            <w:r>
              <w:rPr>
                <w:color w:val="000000"/>
                <w:sz w:val="24"/>
              </w:rPr>
              <w:t>红利再投</w:t>
            </w:r>
          </w:p>
        </w:tc>
        <w:tc>
          <w:tcPr>
            <w:tcW w:w="1317" w:type="dxa"/>
            <w:vAlign w:val="center"/>
          </w:tcPr>
          <w:p w:rsidR="006D7F8D" w:rsidRDefault="001836A1">
            <w:pPr>
              <w:jc w:val="center"/>
            </w:pPr>
            <w:r>
              <w:rPr>
                <w:color w:val="000000"/>
                <w:sz w:val="24"/>
              </w:rPr>
              <w:t>2017-01-17</w:t>
            </w:r>
          </w:p>
        </w:tc>
        <w:tc>
          <w:tcPr>
            <w:tcW w:w="1633" w:type="dxa"/>
            <w:vAlign w:val="center"/>
          </w:tcPr>
          <w:p w:rsidR="006D7F8D" w:rsidRDefault="001836A1">
            <w:pPr>
              <w:jc w:val="right"/>
            </w:pPr>
            <w:r>
              <w:rPr>
                <w:color w:val="000000"/>
                <w:sz w:val="24"/>
              </w:rPr>
              <w:t>1,094,720.82</w:t>
            </w:r>
          </w:p>
        </w:tc>
        <w:tc>
          <w:tcPr>
            <w:tcW w:w="1767" w:type="dxa"/>
            <w:vAlign w:val="center"/>
          </w:tcPr>
          <w:p w:rsidR="006D7F8D" w:rsidRDefault="001836A1">
            <w:pPr>
              <w:jc w:val="right"/>
            </w:pPr>
            <w:r>
              <w:rPr>
                <w:color w:val="000000"/>
                <w:sz w:val="24"/>
              </w:rPr>
              <w:t>1,747,174.43</w:t>
            </w:r>
          </w:p>
        </w:tc>
        <w:tc>
          <w:tcPr>
            <w:tcW w:w="1343" w:type="dxa"/>
            <w:vAlign w:val="center"/>
          </w:tcPr>
          <w:p w:rsidR="006D7F8D" w:rsidRDefault="001836A1">
            <w:pPr>
              <w:jc w:val="center"/>
            </w:pPr>
            <w:r>
              <w:rPr>
                <w:color w:val="000000"/>
                <w:sz w:val="24"/>
              </w:rPr>
              <w:t>-</w:t>
            </w:r>
          </w:p>
        </w:tc>
      </w:tr>
      <w:tr w:rsidR="005E64DA" w:rsidRPr="008640AE" w:rsidTr="001A3475">
        <w:trPr>
          <w:trHeight w:val="340"/>
          <w:jc w:val="center"/>
        </w:trPr>
        <w:tc>
          <w:tcPr>
            <w:tcW w:w="1070" w:type="dxa"/>
            <w:vAlign w:val="center"/>
          </w:tcPr>
          <w:p w:rsidR="005E64DA" w:rsidRPr="008640AE" w:rsidRDefault="005E64DA" w:rsidP="005546C0">
            <w:pPr>
              <w:pStyle w:val="ad"/>
              <w:adjustRightInd w:val="0"/>
              <w:snapToGrid w:val="0"/>
              <w:spacing w:before="29" w:line="288" w:lineRule="auto"/>
              <w:jc w:val="center"/>
              <w:rPr>
                <w:color w:val="000000"/>
                <w:kern w:val="0"/>
              </w:rPr>
            </w:pPr>
            <w:r w:rsidRPr="008640AE">
              <w:rPr>
                <w:color w:val="000000"/>
                <w:kern w:val="0"/>
              </w:rPr>
              <w:t>合计</w:t>
            </w:r>
          </w:p>
        </w:tc>
        <w:tc>
          <w:tcPr>
            <w:tcW w:w="1851"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370" w:type="dxa"/>
            <w:vAlign w:val="center"/>
          </w:tcPr>
          <w:p w:rsidR="005E64DA" w:rsidRPr="008640AE" w:rsidRDefault="005E64DA" w:rsidP="005546C0">
            <w:pPr>
              <w:adjustRightInd w:val="0"/>
              <w:snapToGrid w:val="0"/>
              <w:spacing w:before="29" w:line="288" w:lineRule="auto"/>
              <w:jc w:val="right"/>
              <w:rPr>
                <w:color w:val="0000FF"/>
                <w:kern w:val="0"/>
                <w:sz w:val="18"/>
              </w:rPr>
            </w:pPr>
          </w:p>
        </w:tc>
        <w:tc>
          <w:tcPr>
            <w:tcW w:w="1701"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1,094,720.82</w:t>
            </w:r>
          </w:p>
        </w:tc>
        <w:tc>
          <w:tcPr>
            <w:tcW w:w="1842" w:type="dxa"/>
            <w:vAlign w:val="center"/>
          </w:tcPr>
          <w:p w:rsidR="005E64DA" w:rsidRPr="008640AE" w:rsidRDefault="005E64DA" w:rsidP="005546C0">
            <w:pPr>
              <w:adjustRightInd w:val="0"/>
              <w:snapToGrid w:val="0"/>
              <w:spacing w:before="29" w:line="288" w:lineRule="auto"/>
              <w:jc w:val="right"/>
              <w:rPr>
                <w:color w:val="000000"/>
                <w:sz w:val="24"/>
              </w:rPr>
            </w:pPr>
            <w:r w:rsidRPr="008640AE">
              <w:rPr>
                <w:color w:val="000000"/>
                <w:sz w:val="24"/>
              </w:rPr>
              <w:t>1,747,174.43</w:t>
            </w:r>
          </w:p>
        </w:tc>
        <w:tc>
          <w:tcPr>
            <w:tcW w:w="1397" w:type="dxa"/>
            <w:vAlign w:val="center"/>
          </w:tcPr>
          <w:p w:rsidR="005E64DA" w:rsidRPr="008640AE" w:rsidRDefault="005E64DA" w:rsidP="005546C0">
            <w:pPr>
              <w:adjustRightInd w:val="0"/>
              <w:snapToGrid w:val="0"/>
              <w:spacing w:before="29" w:line="288" w:lineRule="auto"/>
              <w:jc w:val="right"/>
              <w:rPr>
                <w:color w:val="0000FF"/>
                <w:kern w:val="0"/>
                <w:sz w:val="18"/>
              </w:rPr>
            </w:pPr>
          </w:p>
        </w:tc>
      </w:tr>
    </w:tbl>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注：本基金管理人本报告期末持有本基金份额</w:t>
      </w:r>
      <w:r w:rsidRPr="008640AE">
        <w:rPr>
          <w:color w:val="000000"/>
          <w:sz w:val="24"/>
        </w:rPr>
        <w:t>26,054,355.51</w:t>
      </w:r>
      <w:r w:rsidRPr="008640AE">
        <w:rPr>
          <w:color w:val="000000"/>
          <w:sz w:val="24"/>
        </w:rPr>
        <w:t>份，占本基金期末总份额的</w:t>
      </w:r>
      <w:r w:rsidRPr="008640AE">
        <w:rPr>
          <w:color w:val="000000"/>
          <w:sz w:val="24"/>
        </w:rPr>
        <w:t>34.83%</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8E29A9" w:rsidRPr="00941CE1" w:rsidRDefault="008E29A9" w:rsidP="008E29A9">
      <w:pPr>
        <w:pStyle w:val="1"/>
        <w:spacing w:beforeLines="100" w:before="312" w:afterLines="100" w:after="312" w:line="360" w:lineRule="auto"/>
        <w:jc w:val="center"/>
        <w:rPr>
          <w:rFonts w:eastAsiaTheme="minorEastAsia"/>
          <w:color w:val="000000" w:themeColor="text1"/>
          <w:kern w:val="0"/>
          <w:sz w:val="24"/>
          <w:szCs w:val="24"/>
        </w:rPr>
      </w:pPr>
      <w:r w:rsidRPr="00941CE1">
        <w:rPr>
          <w:rFonts w:eastAsiaTheme="minorEastAsia"/>
          <w:color w:val="000000" w:themeColor="text1"/>
          <w:kern w:val="0"/>
          <w:sz w:val="24"/>
          <w:szCs w:val="24"/>
        </w:rPr>
        <w:t xml:space="preserve">§8 </w:t>
      </w:r>
      <w:r w:rsidRPr="00941CE1">
        <w:rPr>
          <w:rFonts w:eastAsiaTheme="minorEastAsia"/>
          <w:color w:val="000000" w:themeColor="text1"/>
          <w:kern w:val="0"/>
          <w:sz w:val="24"/>
          <w:szCs w:val="24"/>
        </w:rPr>
        <w:t>影响投资者决策的其他重要信息</w:t>
      </w:r>
    </w:p>
    <w:p w:rsidR="008E29A9" w:rsidRPr="00941CE1" w:rsidRDefault="008E29A9" w:rsidP="008E29A9">
      <w:pPr>
        <w:autoSpaceDE w:val="0"/>
        <w:autoSpaceDN w:val="0"/>
        <w:adjustRightInd w:val="0"/>
        <w:spacing w:line="360" w:lineRule="auto"/>
        <w:jc w:val="left"/>
        <w:rPr>
          <w:rFonts w:eastAsiaTheme="minorEastAsia"/>
          <w:b/>
          <w:bCs/>
          <w:color w:val="000000" w:themeColor="text1"/>
          <w:kern w:val="0"/>
          <w:sz w:val="24"/>
        </w:rPr>
      </w:pPr>
      <w:r w:rsidRPr="00941CE1">
        <w:rPr>
          <w:rFonts w:eastAsiaTheme="minorEastAsia"/>
          <w:b/>
          <w:bCs/>
          <w:color w:val="000000" w:themeColor="text1"/>
          <w:kern w:val="0"/>
          <w:sz w:val="24"/>
        </w:rPr>
        <w:t>8.</w:t>
      </w:r>
      <w:r w:rsidRPr="00941CE1">
        <w:rPr>
          <w:rFonts w:eastAsiaTheme="minorEastAsia" w:hint="eastAsia"/>
          <w:b/>
          <w:bCs/>
          <w:color w:val="000000" w:themeColor="text1"/>
          <w:kern w:val="0"/>
          <w:sz w:val="24"/>
        </w:rPr>
        <w:t xml:space="preserve">1 </w:t>
      </w:r>
      <w:r w:rsidRPr="00941CE1">
        <w:rPr>
          <w:rFonts w:eastAsiaTheme="minorEastAsia" w:hint="eastAsia"/>
          <w:b/>
          <w:bCs/>
          <w:color w:val="000000" w:themeColor="text1"/>
          <w:kern w:val="0"/>
          <w:sz w:val="24"/>
        </w:rPr>
        <w:t>报告期内单一投资者持有基金份额比例达到或超过</w:t>
      </w:r>
      <w:r w:rsidRPr="00941CE1">
        <w:rPr>
          <w:rFonts w:eastAsiaTheme="minorEastAsia" w:hint="eastAsia"/>
          <w:b/>
          <w:bCs/>
          <w:color w:val="000000" w:themeColor="text1"/>
          <w:kern w:val="0"/>
          <w:sz w:val="24"/>
        </w:rPr>
        <w:t>20%</w:t>
      </w:r>
      <w:r w:rsidRPr="00941CE1">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8E29A9" w:rsidRPr="00941CE1" w:rsidTr="00B06DDA">
        <w:tc>
          <w:tcPr>
            <w:tcW w:w="993" w:type="dxa"/>
            <w:vMerge w:val="restart"/>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投资者类别</w:t>
            </w:r>
            <w:r w:rsidRPr="00941CE1">
              <w:rPr>
                <w:rFonts w:ascii="宋体" w:hAnsi="宋体"/>
                <w:color w:val="000000" w:themeColor="text1"/>
                <w:sz w:val="24"/>
              </w:rPr>
              <w:t xml:space="preserve">  </w:t>
            </w:r>
          </w:p>
        </w:tc>
        <w:tc>
          <w:tcPr>
            <w:tcW w:w="5670" w:type="dxa"/>
            <w:gridSpan w:val="5"/>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报告期内持有基金份额变化情况</w:t>
            </w:r>
          </w:p>
        </w:tc>
        <w:tc>
          <w:tcPr>
            <w:tcW w:w="2549" w:type="dxa"/>
            <w:gridSpan w:val="2"/>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报告期末持有基金情况</w:t>
            </w:r>
          </w:p>
        </w:tc>
      </w:tr>
      <w:tr w:rsidR="008E29A9" w:rsidRPr="00941CE1" w:rsidTr="00B06DDA">
        <w:tc>
          <w:tcPr>
            <w:tcW w:w="993" w:type="dxa"/>
            <w:vMerge/>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p>
        </w:tc>
        <w:tc>
          <w:tcPr>
            <w:tcW w:w="992" w:type="dxa"/>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序号</w:t>
            </w:r>
          </w:p>
        </w:tc>
        <w:tc>
          <w:tcPr>
            <w:tcW w:w="1843" w:type="dxa"/>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持有基金份额比例达到或者超过20%的时间区间</w:t>
            </w:r>
          </w:p>
        </w:tc>
        <w:tc>
          <w:tcPr>
            <w:tcW w:w="851" w:type="dxa"/>
            <w:vAlign w:val="center"/>
          </w:tcPr>
          <w:p w:rsidR="008E29A9" w:rsidRPr="00941CE1" w:rsidRDefault="008E29A9" w:rsidP="00B06DDA">
            <w:pPr>
              <w:widowControl/>
              <w:jc w:val="center"/>
              <w:rPr>
                <w:rFonts w:eastAsiaTheme="minorEastAsia"/>
                <w:b/>
                <w:bCs/>
                <w:color w:val="000000" w:themeColor="text1"/>
                <w:sz w:val="24"/>
              </w:rPr>
            </w:pPr>
            <w:r w:rsidRPr="00941CE1">
              <w:rPr>
                <w:rFonts w:ascii="宋体" w:hAnsi="宋体" w:hint="eastAsia"/>
                <w:color w:val="000000"/>
                <w:sz w:val="24"/>
              </w:rPr>
              <w:t>期初份额</w:t>
            </w:r>
          </w:p>
        </w:tc>
        <w:tc>
          <w:tcPr>
            <w:tcW w:w="850" w:type="dxa"/>
            <w:vAlign w:val="center"/>
          </w:tcPr>
          <w:p w:rsidR="008E29A9" w:rsidRPr="00941CE1" w:rsidRDefault="008E29A9" w:rsidP="00B06DDA">
            <w:pPr>
              <w:widowControl/>
              <w:jc w:val="center"/>
              <w:rPr>
                <w:rFonts w:eastAsiaTheme="minorEastAsia"/>
                <w:b/>
                <w:bCs/>
                <w:color w:val="000000" w:themeColor="text1"/>
                <w:sz w:val="24"/>
              </w:rPr>
            </w:pPr>
            <w:r w:rsidRPr="00941CE1">
              <w:rPr>
                <w:rFonts w:ascii="宋体" w:hAnsi="宋体" w:hint="eastAsia"/>
                <w:color w:val="000000"/>
                <w:sz w:val="24"/>
              </w:rPr>
              <w:t>申购份额</w:t>
            </w:r>
          </w:p>
        </w:tc>
        <w:tc>
          <w:tcPr>
            <w:tcW w:w="1134" w:type="dxa"/>
            <w:vAlign w:val="center"/>
          </w:tcPr>
          <w:p w:rsidR="008E29A9" w:rsidRPr="00941CE1" w:rsidRDefault="008E29A9" w:rsidP="00B06DDA">
            <w:pPr>
              <w:widowControl/>
              <w:jc w:val="center"/>
              <w:rPr>
                <w:rFonts w:eastAsiaTheme="minorEastAsia"/>
                <w:b/>
                <w:bCs/>
                <w:color w:val="000000" w:themeColor="text1"/>
                <w:sz w:val="24"/>
              </w:rPr>
            </w:pPr>
            <w:r w:rsidRPr="00941CE1">
              <w:rPr>
                <w:rFonts w:ascii="宋体" w:hAnsi="宋体" w:hint="eastAsia"/>
                <w:color w:val="000000"/>
                <w:sz w:val="24"/>
              </w:rPr>
              <w:t>赎回份额</w:t>
            </w:r>
          </w:p>
        </w:tc>
        <w:tc>
          <w:tcPr>
            <w:tcW w:w="1419" w:type="dxa"/>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持有份额</w:t>
            </w:r>
          </w:p>
        </w:tc>
        <w:tc>
          <w:tcPr>
            <w:tcW w:w="1130" w:type="dxa"/>
            <w:vAlign w:val="center"/>
          </w:tcPr>
          <w:p w:rsidR="008E29A9" w:rsidRPr="00941CE1" w:rsidRDefault="008E29A9" w:rsidP="00B06DDA">
            <w:pPr>
              <w:autoSpaceDE w:val="0"/>
              <w:autoSpaceDN w:val="0"/>
              <w:adjustRightInd w:val="0"/>
              <w:jc w:val="center"/>
              <w:rPr>
                <w:rFonts w:eastAsiaTheme="minorEastAsia"/>
                <w:b/>
                <w:bCs/>
                <w:color w:val="000000" w:themeColor="text1"/>
                <w:sz w:val="24"/>
              </w:rPr>
            </w:pPr>
            <w:r w:rsidRPr="00941CE1">
              <w:rPr>
                <w:rFonts w:ascii="宋体" w:hAnsi="宋体" w:hint="eastAsia"/>
                <w:color w:val="000000"/>
                <w:sz w:val="24"/>
              </w:rPr>
              <w:t>份额占比</w:t>
            </w:r>
          </w:p>
        </w:tc>
      </w:tr>
      <w:tr w:rsidR="006D7F8D" w:rsidRPr="00941CE1">
        <w:tc>
          <w:tcPr>
            <w:tcW w:w="993" w:type="dxa"/>
            <w:vMerge w:val="restart"/>
          </w:tcPr>
          <w:p w:rsidR="006D7F8D" w:rsidRPr="00941CE1" w:rsidRDefault="006D7F8D">
            <w:pPr>
              <w:rPr>
                <w:sz w:val="24"/>
              </w:rPr>
            </w:pPr>
          </w:p>
          <w:p w:rsidR="006D7F8D" w:rsidRPr="00941CE1" w:rsidRDefault="001836A1">
            <w:pPr>
              <w:rPr>
                <w:sz w:val="24"/>
              </w:rPr>
            </w:pPr>
            <w:r w:rsidRPr="00941CE1">
              <w:rPr>
                <w:rFonts w:eastAsiaTheme="minorEastAsia" w:hint="eastAsia"/>
                <w:bCs/>
                <w:color w:val="000000" w:themeColor="text1"/>
                <w:sz w:val="24"/>
              </w:rPr>
              <w:t>机构</w:t>
            </w:r>
          </w:p>
        </w:tc>
        <w:tc>
          <w:tcPr>
            <w:tcW w:w="992" w:type="dxa"/>
            <w:vAlign w:val="center"/>
          </w:tcPr>
          <w:p w:rsidR="006D7F8D" w:rsidRPr="00941CE1" w:rsidRDefault="001836A1">
            <w:pPr>
              <w:jc w:val="center"/>
              <w:rPr>
                <w:sz w:val="24"/>
              </w:rPr>
            </w:pPr>
            <w:r w:rsidRPr="00941CE1">
              <w:rPr>
                <w:color w:val="000000"/>
                <w:sz w:val="24"/>
              </w:rPr>
              <w:t>1</w:t>
            </w:r>
          </w:p>
        </w:tc>
        <w:tc>
          <w:tcPr>
            <w:tcW w:w="1843" w:type="dxa"/>
            <w:vAlign w:val="center"/>
          </w:tcPr>
          <w:p w:rsidR="006D7F8D" w:rsidRPr="00941CE1" w:rsidRDefault="001836A1">
            <w:pPr>
              <w:jc w:val="center"/>
              <w:rPr>
                <w:sz w:val="24"/>
              </w:rPr>
            </w:pPr>
            <w:r w:rsidRPr="00941CE1">
              <w:rPr>
                <w:color w:val="000000"/>
                <w:sz w:val="24"/>
              </w:rPr>
              <w:t>2017/1/1-2017/3/31</w:t>
            </w:r>
          </w:p>
        </w:tc>
        <w:tc>
          <w:tcPr>
            <w:tcW w:w="851" w:type="dxa"/>
            <w:vAlign w:val="center"/>
          </w:tcPr>
          <w:p w:rsidR="006D7F8D" w:rsidRPr="00941CE1" w:rsidRDefault="001836A1">
            <w:pPr>
              <w:jc w:val="center"/>
              <w:rPr>
                <w:sz w:val="24"/>
              </w:rPr>
            </w:pPr>
            <w:r w:rsidRPr="00941CE1">
              <w:rPr>
                <w:color w:val="000000"/>
                <w:sz w:val="24"/>
              </w:rPr>
              <w:t>24,959,634.69</w:t>
            </w:r>
          </w:p>
        </w:tc>
        <w:tc>
          <w:tcPr>
            <w:tcW w:w="850" w:type="dxa"/>
            <w:vAlign w:val="center"/>
          </w:tcPr>
          <w:p w:rsidR="006D7F8D" w:rsidRPr="00941CE1" w:rsidRDefault="001836A1">
            <w:pPr>
              <w:jc w:val="center"/>
              <w:rPr>
                <w:sz w:val="24"/>
              </w:rPr>
            </w:pPr>
            <w:r w:rsidRPr="00941CE1">
              <w:rPr>
                <w:color w:val="000000"/>
                <w:sz w:val="24"/>
              </w:rPr>
              <w:t>1,094,720.82</w:t>
            </w:r>
          </w:p>
        </w:tc>
        <w:tc>
          <w:tcPr>
            <w:tcW w:w="1134" w:type="dxa"/>
            <w:vAlign w:val="center"/>
          </w:tcPr>
          <w:p w:rsidR="006D7F8D" w:rsidRPr="00941CE1" w:rsidRDefault="001836A1">
            <w:pPr>
              <w:jc w:val="center"/>
              <w:rPr>
                <w:sz w:val="24"/>
              </w:rPr>
            </w:pPr>
            <w:r w:rsidRPr="00941CE1">
              <w:rPr>
                <w:color w:val="000000"/>
                <w:sz w:val="24"/>
              </w:rPr>
              <w:t>-</w:t>
            </w:r>
          </w:p>
        </w:tc>
        <w:tc>
          <w:tcPr>
            <w:tcW w:w="1419" w:type="dxa"/>
            <w:vAlign w:val="center"/>
          </w:tcPr>
          <w:p w:rsidR="006D7F8D" w:rsidRPr="00941CE1" w:rsidRDefault="001836A1">
            <w:pPr>
              <w:jc w:val="center"/>
              <w:rPr>
                <w:sz w:val="24"/>
              </w:rPr>
            </w:pPr>
            <w:r w:rsidRPr="00941CE1">
              <w:rPr>
                <w:color w:val="000000"/>
                <w:sz w:val="24"/>
              </w:rPr>
              <w:t>26,054,355.51</w:t>
            </w:r>
          </w:p>
        </w:tc>
        <w:tc>
          <w:tcPr>
            <w:tcW w:w="1130" w:type="dxa"/>
            <w:vAlign w:val="center"/>
          </w:tcPr>
          <w:p w:rsidR="006D7F8D" w:rsidRPr="00941CE1" w:rsidRDefault="001836A1">
            <w:pPr>
              <w:jc w:val="center"/>
              <w:rPr>
                <w:sz w:val="24"/>
              </w:rPr>
            </w:pPr>
            <w:r w:rsidRPr="00941CE1">
              <w:rPr>
                <w:color w:val="000000"/>
                <w:sz w:val="24"/>
              </w:rPr>
              <w:t>34.83%</w:t>
            </w:r>
          </w:p>
        </w:tc>
      </w:tr>
      <w:tr w:rsidR="008E29A9" w:rsidRPr="00941CE1" w:rsidTr="00B06DDA">
        <w:tc>
          <w:tcPr>
            <w:tcW w:w="9212" w:type="dxa"/>
            <w:gridSpan w:val="8"/>
            <w:vAlign w:val="center"/>
          </w:tcPr>
          <w:p w:rsidR="008E29A9" w:rsidRPr="00941CE1" w:rsidRDefault="008E29A9" w:rsidP="00B06DDA">
            <w:pPr>
              <w:autoSpaceDE w:val="0"/>
              <w:autoSpaceDN w:val="0"/>
              <w:adjustRightInd w:val="0"/>
              <w:jc w:val="center"/>
              <w:rPr>
                <w:sz w:val="24"/>
              </w:rPr>
            </w:pPr>
            <w:r w:rsidRPr="00941CE1">
              <w:rPr>
                <w:color w:val="000000"/>
                <w:sz w:val="24"/>
              </w:rPr>
              <w:t>产品特有风险</w:t>
            </w:r>
          </w:p>
        </w:tc>
      </w:tr>
      <w:tr w:rsidR="008E29A9" w:rsidRPr="00941CE1" w:rsidTr="00B06DDA">
        <w:tc>
          <w:tcPr>
            <w:tcW w:w="9212" w:type="dxa"/>
            <w:gridSpan w:val="8"/>
            <w:vAlign w:val="center"/>
          </w:tcPr>
          <w:p w:rsidR="008E29A9" w:rsidRPr="00941CE1" w:rsidRDefault="008E29A9" w:rsidP="00B06DDA">
            <w:pPr>
              <w:autoSpaceDE w:val="0"/>
              <w:autoSpaceDN w:val="0"/>
              <w:adjustRightInd w:val="0"/>
              <w:jc w:val="left"/>
              <w:rPr>
                <w:sz w:val="24"/>
              </w:rPr>
            </w:pPr>
            <w:r w:rsidRPr="00941CE1">
              <w:rPr>
                <w:rFonts w:hint="eastAsia"/>
                <w:sz w:val="24"/>
              </w:rPr>
              <w:t>本基金本报告期内出现单一投资者持有基金份额比例超过基金总份额</w:t>
            </w:r>
            <w:r w:rsidRPr="00941CE1">
              <w:rPr>
                <w:rFonts w:hint="eastAsia"/>
                <w:sz w:val="24"/>
              </w:rPr>
              <w:t>20%</w:t>
            </w:r>
            <w:r w:rsidRPr="00941CE1">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941CE1" w:rsidRDefault="00941CE1" w:rsidP="00941CE1">
      <w:bookmarkStart w:id="0" w:name="_GoBack"/>
      <w:bookmarkEnd w:id="0"/>
    </w:p>
    <w:p w:rsidR="0076518F" w:rsidRPr="008640AE" w:rsidRDefault="0076518F" w:rsidP="008E29A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6D7F8D" w:rsidRDefault="001836A1">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6D7F8D" w:rsidRDefault="001836A1">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6D7F8D" w:rsidRDefault="001836A1">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6D7F8D" w:rsidRDefault="001836A1">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6D7F8D" w:rsidRDefault="001836A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D7F8D" w:rsidRDefault="001836A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lastRenderedPageBreak/>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6D7F8D" w:rsidRDefault="001836A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880" w:rsidRDefault="00A94880">
      <w:r>
        <w:separator/>
      </w:r>
    </w:p>
  </w:endnote>
  <w:endnote w:type="continuationSeparator" w:id="0">
    <w:p w:rsidR="00A94880" w:rsidRDefault="00A9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941CE1">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941CE1">
      <w:rPr>
        <w:noProof/>
        <w:kern w:val="0"/>
        <w:szCs w:val="21"/>
      </w:rPr>
      <w:t>15</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880" w:rsidRDefault="00A94880">
      <w:r>
        <w:separator/>
      </w:r>
    </w:p>
  </w:footnote>
  <w:footnote w:type="continuationSeparator" w:id="0">
    <w:p w:rsidR="00A94880" w:rsidRDefault="00A9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6A1"/>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D7F8D"/>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1CE1"/>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4880"/>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D1745A5-B1AC-4CE2-BB5B-3F777C4F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15</Pages>
  <Words>1256</Words>
  <Characters>7161</Characters>
  <Application>Microsoft Office Word</Application>
  <DocSecurity>0</DocSecurity>
  <Lines>59</Lines>
  <Paragraphs>16</Paragraphs>
  <ScaleCrop>false</ScaleCrop>
  <Company>TRT. Ltd. Co.</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239</cp:revision>
  <cp:lastPrinted>2007-07-19T00:46:00Z</cp:lastPrinted>
  <dcterms:created xsi:type="dcterms:W3CDTF">2013-08-01T05:26:00Z</dcterms:created>
  <dcterms:modified xsi:type="dcterms:W3CDTF">2017-04-19T09:15:00Z</dcterms:modified>
</cp:coreProperties>
</file>