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交银施罗德裕兴纯债债券型证券投资基金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w:t>
      </w:r>
      <w:bookmarkStart w:id="5" w:name="_GoBack"/>
      <w:bookmarkEnd w:id="5"/>
      <w:r w:rsidRPr="00C97222">
        <w:rPr>
          <w:rFonts w:hint="eastAsia"/>
          <w:color w:val="000000"/>
          <w:sz w:val="24"/>
        </w:rPr>
        <w:t>、净值表现、利润分配情况、财务会计报告、投资组合报告等内容，保证复核内容不存在虚假记载、误导性陈述或者重大遗漏。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9</w:t>
      </w:r>
      <w:r w:rsidRPr="00C97222">
        <w:rPr>
          <w:color w:val="000000"/>
          <w:sz w:val="24"/>
        </w:rPr>
        <w:t>月</w:t>
      </w:r>
      <w:r w:rsidRPr="00C97222">
        <w:rPr>
          <w:color w:val="000000"/>
          <w:sz w:val="24"/>
        </w:rPr>
        <w:t>7</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6"/>
      <w:bookmarkEnd w:id="7"/>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交银裕兴纯债债券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519774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519774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9</w:t>
            </w:r>
            <w:r w:rsidRPr="00E25C2A">
              <w:rPr>
                <w:sz w:val="24"/>
              </w:rPr>
              <w:t>月</w:t>
            </w:r>
            <w:r w:rsidRPr="00E25C2A">
              <w:rPr>
                <w:sz w:val="24"/>
              </w:rPr>
              <w:t>7</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599,311,411.47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交银裕兴纯债债券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交银裕兴纯债债券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519774</w:t>
            </w:r>
          </w:p>
        </w:tc>
        <w:tc>
          <w:tcPr>
            <w:tcW w:w="2902" w:type="dxa"/>
            <w:vAlign w:val="center"/>
          </w:tcPr>
          <w:p w:rsidR="009511B7" w:rsidRPr="000E4C40" w:rsidRDefault="009511B7" w:rsidP="00C57BBB">
            <w:pPr>
              <w:spacing w:before="29" w:line="288" w:lineRule="auto"/>
              <w:jc w:val="left"/>
              <w:rPr>
                <w:sz w:val="24"/>
              </w:rPr>
            </w:pPr>
            <w:r w:rsidRPr="000E4C40">
              <w:rPr>
                <w:sz w:val="24"/>
              </w:rPr>
              <w:t>519775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599,309,651.25</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1,760.22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本基金在控制风险和保持资产流动性的基础上，通过积极主动的投资管理，追求基金资产的长期稳健增值，力争较高的投资回报。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0" w:name="_Toc225498247"/>
      <w:bookmarkStart w:id="11"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刘峰</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7777@126.com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021-62159217</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2" w:name="_Toc225498248"/>
      <w:bookmarkStart w:id="13"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4"/>
      <w:r w:rsidRPr="00D209B0">
        <w:rPr>
          <w:rFonts w:hint="eastAsia"/>
          <w:b/>
          <w:bCs/>
          <w:szCs w:val="24"/>
          <w:lang w:val="en-US"/>
        </w:rPr>
        <w:t>及利润分配情况</w:t>
      </w:r>
      <w:bookmarkEnd w:id="1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8" w:name="_Toc286996129"/>
      <w:bookmarkStart w:id="19"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8"/>
      <w:bookmarkEnd w:id="19"/>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9F49F3" w:rsidRPr="00A942AC" w:rsidTr="009F49F3">
        <w:trPr>
          <w:trHeight w:val="487"/>
        </w:trPr>
        <w:tc>
          <w:tcPr>
            <w:tcW w:w="822" w:type="pct"/>
            <w:vMerge w:val="restart"/>
            <w:vAlign w:val="center"/>
          </w:tcPr>
          <w:bookmarkEnd w:id="16"/>
          <w:bookmarkEnd w:id="17"/>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9</w:t>
            </w:r>
            <w:r w:rsidRPr="00A942AC">
              <w:rPr>
                <w:b/>
                <w:szCs w:val="21"/>
              </w:rPr>
              <w:t>月</w:t>
            </w:r>
            <w:r w:rsidRPr="00A942AC">
              <w:rPr>
                <w:b/>
                <w:szCs w:val="21"/>
              </w:rPr>
              <w:t>7</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F49F3" w:rsidRPr="00A942AC" w:rsidTr="009F49F3">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交银裕兴纯债债券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交银裕兴纯债债券</w:t>
            </w:r>
            <w:r w:rsidRPr="00A942AC">
              <w:rPr>
                <w:szCs w:val="21"/>
              </w:rPr>
              <w:t>C</w:t>
            </w:r>
          </w:p>
        </w:tc>
      </w:tr>
      <w:tr w:rsidR="009F49F3" w:rsidRPr="00A942AC" w:rsidTr="009F49F3">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6,134,901.52</w:t>
            </w:r>
          </w:p>
        </w:tc>
        <w:tc>
          <w:tcPr>
            <w:tcW w:w="688" w:type="pct"/>
            <w:vAlign w:val="center"/>
          </w:tcPr>
          <w:p w:rsidR="00B44DBC" w:rsidRPr="00A942AC" w:rsidRDefault="00B44DBC" w:rsidP="00674CBD">
            <w:pPr>
              <w:spacing w:before="29" w:line="288" w:lineRule="auto"/>
              <w:jc w:val="right"/>
              <w:rPr>
                <w:szCs w:val="21"/>
              </w:rPr>
            </w:pPr>
            <w:r w:rsidRPr="00A942AC">
              <w:rPr>
                <w:szCs w:val="21"/>
              </w:rPr>
              <w:t>26.73</w:t>
            </w:r>
          </w:p>
        </w:tc>
      </w:tr>
      <w:tr w:rsidR="009F49F3" w:rsidRPr="00A942AC" w:rsidTr="009F49F3">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-8,164,624.31</w:t>
            </w:r>
          </w:p>
        </w:tc>
        <w:tc>
          <w:tcPr>
            <w:tcW w:w="688" w:type="pct"/>
            <w:vAlign w:val="center"/>
          </w:tcPr>
          <w:p w:rsidR="00B44DBC" w:rsidRPr="00A942AC" w:rsidRDefault="00B44DBC" w:rsidP="00674CBD">
            <w:pPr>
              <w:spacing w:before="29" w:line="288" w:lineRule="auto"/>
              <w:jc w:val="right"/>
              <w:rPr>
                <w:szCs w:val="21"/>
              </w:rPr>
            </w:pPr>
            <w:r w:rsidRPr="00A942AC">
              <w:rPr>
                <w:szCs w:val="21"/>
              </w:rPr>
              <w:t>84.93</w:t>
            </w:r>
          </w:p>
        </w:tc>
      </w:tr>
      <w:tr w:rsidR="009F49F3" w:rsidRPr="00A942AC" w:rsidTr="009F49F3">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-0.0169</w:t>
            </w:r>
          </w:p>
        </w:tc>
        <w:tc>
          <w:tcPr>
            <w:tcW w:w="688" w:type="pct"/>
            <w:vAlign w:val="center"/>
          </w:tcPr>
          <w:p w:rsidR="008C42FD" w:rsidRPr="00E52F9F" w:rsidRDefault="008C42FD" w:rsidP="00AF7CB5">
            <w:pPr>
              <w:spacing w:before="29" w:line="288" w:lineRule="auto"/>
              <w:jc w:val="right"/>
              <w:rPr>
                <w:szCs w:val="21"/>
              </w:rPr>
            </w:pPr>
            <w:r w:rsidRPr="00E52F9F">
              <w:rPr>
                <w:szCs w:val="21"/>
              </w:rPr>
              <w:t>0.0281</w:t>
            </w:r>
          </w:p>
        </w:tc>
      </w:tr>
      <w:tr w:rsidR="009F49F3" w:rsidRPr="00A942AC" w:rsidTr="009F49F3">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-1.20%</w:t>
            </w:r>
          </w:p>
        </w:tc>
        <w:tc>
          <w:tcPr>
            <w:tcW w:w="688" w:type="pct"/>
            <w:vAlign w:val="center"/>
          </w:tcPr>
          <w:p w:rsidR="00A62AD8" w:rsidRPr="00A942AC" w:rsidRDefault="00A62AD8" w:rsidP="00674CBD">
            <w:pPr>
              <w:spacing w:before="29" w:line="288" w:lineRule="auto"/>
              <w:jc w:val="right"/>
              <w:rPr>
                <w:szCs w:val="21"/>
              </w:rPr>
            </w:pPr>
            <w:r w:rsidRPr="00A942AC">
              <w:rPr>
                <w:szCs w:val="21"/>
              </w:rPr>
              <w:t>-1.70%</w:t>
            </w:r>
          </w:p>
        </w:tc>
      </w:tr>
      <w:tr w:rsidR="009F49F3" w:rsidRPr="00A942AC" w:rsidTr="009F49F3">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9F49F3" w:rsidRPr="00A942AC" w:rsidTr="009F49F3">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交银裕兴纯债债券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交银裕兴纯债债券</w:t>
            </w:r>
            <w:r w:rsidRPr="00A942AC">
              <w:rPr>
                <w:szCs w:val="21"/>
              </w:rPr>
              <w:t>C</w:t>
            </w:r>
          </w:p>
        </w:tc>
      </w:tr>
      <w:tr w:rsidR="009F49F3" w:rsidRPr="00A942AC" w:rsidTr="009F49F3">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-0.012</w:t>
            </w:r>
          </w:p>
        </w:tc>
        <w:tc>
          <w:tcPr>
            <w:tcW w:w="687" w:type="pct"/>
            <w:vAlign w:val="center"/>
          </w:tcPr>
          <w:p w:rsidR="00B44DBC" w:rsidRPr="00A942AC" w:rsidRDefault="00B44DBC" w:rsidP="00674CBD">
            <w:pPr>
              <w:spacing w:before="29" w:line="288" w:lineRule="auto"/>
              <w:jc w:val="right"/>
              <w:rPr>
                <w:szCs w:val="21"/>
              </w:rPr>
            </w:pPr>
            <w:r w:rsidRPr="00A942AC">
              <w:rPr>
                <w:szCs w:val="21"/>
              </w:rPr>
              <w:t>-0.017</w:t>
            </w:r>
          </w:p>
        </w:tc>
      </w:tr>
      <w:tr w:rsidR="009F49F3" w:rsidRPr="00A942AC" w:rsidTr="009F49F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591,943,410.53</w:t>
            </w:r>
          </w:p>
        </w:tc>
        <w:tc>
          <w:tcPr>
            <w:tcW w:w="687" w:type="pct"/>
            <w:vAlign w:val="center"/>
          </w:tcPr>
          <w:p w:rsidR="00B44DBC" w:rsidRPr="00A942AC" w:rsidRDefault="00B44DBC" w:rsidP="00674CBD">
            <w:pPr>
              <w:spacing w:before="29" w:line="288" w:lineRule="auto"/>
              <w:jc w:val="right"/>
              <w:rPr>
                <w:szCs w:val="21"/>
              </w:rPr>
            </w:pPr>
            <w:r w:rsidRPr="00A942AC">
              <w:rPr>
                <w:szCs w:val="21"/>
              </w:rPr>
              <w:t>1,729.44</w:t>
            </w:r>
          </w:p>
        </w:tc>
      </w:tr>
      <w:tr w:rsidR="009F49F3" w:rsidRPr="00A942AC" w:rsidTr="009F49F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0.988</w:t>
            </w:r>
          </w:p>
        </w:tc>
        <w:tc>
          <w:tcPr>
            <w:tcW w:w="687" w:type="pct"/>
            <w:vAlign w:val="center"/>
          </w:tcPr>
          <w:p w:rsidR="00B44DBC" w:rsidRPr="00A942AC" w:rsidRDefault="00B44DBC" w:rsidP="00674CBD">
            <w:pPr>
              <w:spacing w:before="29" w:line="288" w:lineRule="auto"/>
              <w:jc w:val="right"/>
              <w:rPr>
                <w:szCs w:val="21"/>
              </w:rPr>
            </w:pPr>
            <w:r w:rsidRPr="00A942AC">
              <w:rPr>
                <w:szCs w:val="21"/>
              </w:rPr>
              <w:t>0.983</w:t>
            </w:r>
          </w:p>
        </w:tc>
      </w:tr>
    </w:tbl>
    <w:p w:rsidR="00F52644" w:rsidRDefault="009F49F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F52644" w:rsidRDefault="009F49F3">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3</w:t>
      </w:r>
      <w:r w:rsidRPr="00E25C2A">
        <w:rPr>
          <w:kern w:val="0"/>
          <w:sz w:val="24"/>
        </w:rPr>
        <w:t>、本基金基金合同生效日为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0" w:name="_Toc225498252"/>
      <w:bookmarkStart w:id="21"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20"/>
      <w:bookmarkEnd w:id="2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交银裕兴纯债债券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F52644">
        <w:tc>
          <w:tcPr>
            <w:tcW w:w="1286" w:type="dxa"/>
            <w:vAlign w:val="center"/>
          </w:tcPr>
          <w:p w:rsidR="00F52644" w:rsidRDefault="009F49F3">
            <w:pPr>
              <w:jc w:val="left"/>
            </w:pPr>
            <w:r>
              <w:rPr>
                <w:color w:val="000000"/>
                <w:sz w:val="24"/>
              </w:rPr>
              <w:t>过去三个月</w:t>
            </w:r>
          </w:p>
        </w:tc>
        <w:tc>
          <w:tcPr>
            <w:tcW w:w="1286" w:type="dxa"/>
            <w:vAlign w:val="center"/>
          </w:tcPr>
          <w:p w:rsidR="00F52644" w:rsidRDefault="009F49F3">
            <w:pPr>
              <w:jc w:val="center"/>
            </w:pPr>
            <w:r>
              <w:rPr>
                <w:color w:val="000000"/>
                <w:sz w:val="24"/>
              </w:rPr>
              <w:t>-1.30%</w:t>
            </w:r>
          </w:p>
        </w:tc>
        <w:tc>
          <w:tcPr>
            <w:tcW w:w="1286" w:type="dxa"/>
            <w:vAlign w:val="center"/>
          </w:tcPr>
          <w:p w:rsidR="00F52644" w:rsidRDefault="009F49F3">
            <w:pPr>
              <w:jc w:val="center"/>
            </w:pPr>
            <w:r>
              <w:rPr>
                <w:color w:val="000000"/>
                <w:sz w:val="24"/>
              </w:rPr>
              <w:t>0.14%</w:t>
            </w:r>
          </w:p>
        </w:tc>
        <w:tc>
          <w:tcPr>
            <w:tcW w:w="1285" w:type="dxa"/>
            <w:vAlign w:val="center"/>
          </w:tcPr>
          <w:p w:rsidR="00F52644" w:rsidRDefault="009F49F3">
            <w:pPr>
              <w:jc w:val="center"/>
            </w:pPr>
            <w:r>
              <w:rPr>
                <w:color w:val="000000"/>
                <w:sz w:val="24"/>
              </w:rPr>
              <w:t>-2.31%</w:t>
            </w:r>
          </w:p>
        </w:tc>
        <w:tc>
          <w:tcPr>
            <w:tcW w:w="1285" w:type="dxa"/>
            <w:vAlign w:val="center"/>
          </w:tcPr>
          <w:p w:rsidR="00F52644" w:rsidRDefault="009F49F3">
            <w:pPr>
              <w:jc w:val="center"/>
            </w:pPr>
            <w:r>
              <w:rPr>
                <w:color w:val="000000"/>
                <w:sz w:val="24"/>
              </w:rPr>
              <w:t>0.15%</w:t>
            </w:r>
          </w:p>
        </w:tc>
        <w:tc>
          <w:tcPr>
            <w:tcW w:w="1285" w:type="dxa"/>
            <w:vAlign w:val="center"/>
          </w:tcPr>
          <w:p w:rsidR="00F52644" w:rsidRDefault="009F49F3">
            <w:pPr>
              <w:jc w:val="center"/>
            </w:pPr>
            <w:r>
              <w:rPr>
                <w:color w:val="000000"/>
                <w:sz w:val="24"/>
              </w:rPr>
              <w:t>1.01%</w:t>
            </w:r>
          </w:p>
        </w:tc>
        <w:tc>
          <w:tcPr>
            <w:tcW w:w="1285" w:type="dxa"/>
            <w:vAlign w:val="center"/>
          </w:tcPr>
          <w:p w:rsidR="00F52644" w:rsidRDefault="009F49F3">
            <w:pPr>
              <w:jc w:val="center"/>
            </w:pPr>
            <w:r>
              <w:rPr>
                <w:color w:val="000000"/>
                <w:sz w:val="24"/>
              </w:rPr>
              <w:t>-0.01%</w:t>
            </w:r>
          </w:p>
        </w:tc>
      </w:tr>
      <w:tr w:rsidR="00F52644">
        <w:tc>
          <w:tcPr>
            <w:tcW w:w="1286" w:type="dxa"/>
            <w:vAlign w:val="center"/>
          </w:tcPr>
          <w:p w:rsidR="00F52644" w:rsidRDefault="009F49F3">
            <w:pPr>
              <w:jc w:val="left"/>
            </w:pPr>
            <w:r>
              <w:rPr>
                <w:color w:val="000000"/>
                <w:sz w:val="24"/>
              </w:rPr>
              <w:t>自基金合同生效起至今</w:t>
            </w:r>
          </w:p>
        </w:tc>
        <w:tc>
          <w:tcPr>
            <w:tcW w:w="1286" w:type="dxa"/>
            <w:vAlign w:val="center"/>
          </w:tcPr>
          <w:p w:rsidR="00F52644" w:rsidRDefault="009F49F3">
            <w:pPr>
              <w:jc w:val="center"/>
            </w:pPr>
            <w:r>
              <w:rPr>
                <w:color w:val="000000"/>
                <w:sz w:val="24"/>
              </w:rPr>
              <w:t>-1.20%</w:t>
            </w:r>
          </w:p>
        </w:tc>
        <w:tc>
          <w:tcPr>
            <w:tcW w:w="1286" w:type="dxa"/>
            <w:vAlign w:val="center"/>
          </w:tcPr>
          <w:p w:rsidR="00F52644" w:rsidRDefault="009F49F3">
            <w:pPr>
              <w:jc w:val="center"/>
            </w:pPr>
            <w:r>
              <w:rPr>
                <w:color w:val="000000"/>
                <w:sz w:val="24"/>
              </w:rPr>
              <w:t>0.13%</w:t>
            </w:r>
          </w:p>
        </w:tc>
        <w:tc>
          <w:tcPr>
            <w:tcW w:w="1285" w:type="dxa"/>
            <w:vAlign w:val="center"/>
          </w:tcPr>
          <w:p w:rsidR="00F52644" w:rsidRDefault="009F49F3">
            <w:pPr>
              <w:jc w:val="center"/>
            </w:pPr>
            <w:r>
              <w:rPr>
                <w:color w:val="000000"/>
                <w:sz w:val="24"/>
              </w:rPr>
              <w:t>-2.19%</w:t>
            </w:r>
          </w:p>
        </w:tc>
        <w:tc>
          <w:tcPr>
            <w:tcW w:w="1285" w:type="dxa"/>
            <w:vAlign w:val="center"/>
          </w:tcPr>
          <w:p w:rsidR="00F52644" w:rsidRDefault="009F49F3">
            <w:pPr>
              <w:jc w:val="center"/>
            </w:pPr>
            <w:r>
              <w:rPr>
                <w:color w:val="000000"/>
                <w:sz w:val="24"/>
              </w:rPr>
              <w:t>0.13%</w:t>
            </w:r>
          </w:p>
        </w:tc>
        <w:tc>
          <w:tcPr>
            <w:tcW w:w="1285" w:type="dxa"/>
            <w:vAlign w:val="center"/>
          </w:tcPr>
          <w:p w:rsidR="00F52644" w:rsidRDefault="009F49F3">
            <w:pPr>
              <w:jc w:val="center"/>
            </w:pPr>
            <w:r>
              <w:rPr>
                <w:color w:val="000000"/>
                <w:sz w:val="24"/>
              </w:rPr>
              <w:t>0.99%</w:t>
            </w:r>
          </w:p>
        </w:tc>
        <w:tc>
          <w:tcPr>
            <w:tcW w:w="1285" w:type="dxa"/>
            <w:vAlign w:val="center"/>
          </w:tcPr>
          <w:p w:rsidR="00F52644" w:rsidRDefault="009F49F3">
            <w:pPr>
              <w:jc w:val="center"/>
            </w:pPr>
            <w:r>
              <w:rPr>
                <w:color w:val="000000"/>
                <w:sz w:val="24"/>
              </w:rPr>
              <w:t>0.00%</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交银裕兴纯债债券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F52644">
        <w:tc>
          <w:tcPr>
            <w:tcW w:w="1286" w:type="dxa"/>
            <w:vAlign w:val="center"/>
          </w:tcPr>
          <w:p w:rsidR="00F52644" w:rsidRDefault="009F49F3">
            <w:pPr>
              <w:jc w:val="left"/>
            </w:pPr>
            <w:r>
              <w:rPr>
                <w:color w:val="000000"/>
                <w:sz w:val="24"/>
              </w:rPr>
              <w:t>过去三个月</w:t>
            </w:r>
          </w:p>
        </w:tc>
        <w:tc>
          <w:tcPr>
            <w:tcW w:w="1286" w:type="dxa"/>
            <w:vAlign w:val="center"/>
          </w:tcPr>
          <w:p w:rsidR="00F52644" w:rsidRDefault="009F49F3">
            <w:pPr>
              <w:jc w:val="center"/>
            </w:pPr>
            <w:r>
              <w:rPr>
                <w:color w:val="000000"/>
                <w:sz w:val="24"/>
              </w:rPr>
              <w:t>-1.80%</w:t>
            </w:r>
          </w:p>
        </w:tc>
        <w:tc>
          <w:tcPr>
            <w:tcW w:w="1286" w:type="dxa"/>
            <w:vAlign w:val="center"/>
          </w:tcPr>
          <w:p w:rsidR="00F52644" w:rsidRDefault="009F49F3">
            <w:pPr>
              <w:jc w:val="center"/>
            </w:pPr>
            <w:r>
              <w:rPr>
                <w:color w:val="000000"/>
                <w:sz w:val="24"/>
              </w:rPr>
              <w:t>0.15%</w:t>
            </w:r>
          </w:p>
        </w:tc>
        <w:tc>
          <w:tcPr>
            <w:tcW w:w="1285" w:type="dxa"/>
            <w:vAlign w:val="center"/>
          </w:tcPr>
          <w:p w:rsidR="00F52644" w:rsidRDefault="009F49F3">
            <w:pPr>
              <w:jc w:val="center"/>
            </w:pPr>
            <w:r>
              <w:rPr>
                <w:color w:val="000000"/>
                <w:sz w:val="24"/>
              </w:rPr>
              <w:t>-2.31%</w:t>
            </w:r>
          </w:p>
        </w:tc>
        <w:tc>
          <w:tcPr>
            <w:tcW w:w="1285" w:type="dxa"/>
            <w:vAlign w:val="center"/>
          </w:tcPr>
          <w:p w:rsidR="00F52644" w:rsidRDefault="009F49F3">
            <w:pPr>
              <w:jc w:val="center"/>
            </w:pPr>
            <w:r>
              <w:rPr>
                <w:color w:val="000000"/>
                <w:sz w:val="24"/>
              </w:rPr>
              <w:t>0.15%</w:t>
            </w:r>
          </w:p>
        </w:tc>
        <w:tc>
          <w:tcPr>
            <w:tcW w:w="1285" w:type="dxa"/>
            <w:vAlign w:val="center"/>
          </w:tcPr>
          <w:p w:rsidR="00F52644" w:rsidRDefault="009F49F3">
            <w:pPr>
              <w:jc w:val="center"/>
            </w:pPr>
            <w:r>
              <w:rPr>
                <w:color w:val="000000"/>
                <w:sz w:val="24"/>
              </w:rPr>
              <w:t>0.51%</w:t>
            </w:r>
          </w:p>
        </w:tc>
        <w:tc>
          <w:tcPr>
            <w:tcW w:w="1285" w:type="dxa"/>
            <w:vAlign w:val="center"/>
          </w:tcPr>
          <w:p w:rsidR="00F52644" w:rsidRDefault="009F49F3">
            <w:pPr>
              <w:jc w:val="center"/>
            </w:pPr>
            <w:r>
              <w:rPr>
                <w:color w:val="000000"/>
                <w:sz w:val="24"/>
              </w:rPr>
              <w:t>0.00%</w:t>
            </w:r>
          </w:p>
        </w:tc>
      </w:tr>
      <w:tr w:rsidR="00F52644">
        <w:tc>
          <w:tcPr>
            <w:tcW w:w="1286" w:type="dxa"/>
            <w:vAlign w:val="center"/>
          </w:tcPr>
          <w:p w:rsidR="00F52644" w:rsidRDefault="009F49F3">
            <w:pPr>
              <w:jc w:val="left"/>
            </w:pPr>
            <w:r>
              <w:rPr>
                <w:color w:val="000000"/>
                <w:sz w:val="24"/>
              </w:rPr>
              <w:t>自基金合同生效起至今</w:t>
            </w:r>
          </w:p>
        </w:tc>
        <w:tc>
          <w:tcPr>
            <w:tcW w:w="1286" w:type="dxa"/>
            <w:vAlign w:val="center"/>
          </w:tcPr>
          <w:p w:rsidR="00F52644" w:rsidRDefault="009F49F3">
            <w:pPr>
              <w:jc w:val="center"/>
            </w:pPr>
            <w:r>
              <w:rPr>
                <w:color w:val="000000"/>
                <w:sz w:val="24"/>
              </w:rPr>
              <w:t>-1.70%</w:t>
            </w:r>
          </w:p>
        </w:tc>
        <w:tc>
          <w:tcPr>
            <w:tcW w:w="1286" w:type="dxa"/>
            <w:vAlign w:val="center"/>
          </w:tcPr>
          <w:p w:rsidR="00F52644" w:rsidRDefault="009F49F3">
            <w:pPr>
              <w:jc w:val="center"/>
            </w:pPr>
            <w:r>
              <w:rPr>
                <w:color w:val="000000"/>
                <w:sz w:val="24"/>
              </w:rPr>
              <w:t>0.13%</w:t>
            </w:r>
          </w:p>
        </w:tc>
        <w:tc>
          <w:tcPr>
            <w:tcW w:w="1285" w:type="dxa"/>
            <w:vAlign w:val="center"/>
          </w:tcPr>
          <w:p w:rsidR="00F52644" w:rsidRDefault="009F49F3">
            <w:pPr>
              <w:jc w:val="center"/>
            </w:pPr>
            <w:r>
              <w:rPr>
                <w:color w:val="000000"/>
                <w:sz w:val="24"/>
              </w:rPr>
              <w:t>-2.19%</w:t>
            </w:r>
          </w:p>
        </w:tc>
        <w:tc>
          <w:tcPr>
            <w:tcW w:w="1285" w:type="dxa"/>
            <w:vAlign w:val="center"/>
          </w:tcPr>
          <w:p w:rsidR="00F52644" w:rsidRDefault="009F49F3">
            <w:pPr>
              <w:jc w:val="center"/>
            </w:pPr>
            <w:r>
              <w:rPr>
                <w:color w:val="000000"/>
                <w:sz w:val="24"/>
              </w:rPr>
              <w:t>0.13%</w:t>
            </w:r>
          </w:p>
        </w:tc>
        <w:tc>
          <w:tcPr>
            <w:tcW w:w="1285" w:type="dxa"/>
            <w:vAlign w:val="center"/>
          </w:tcPr>
          <w:p w:rsidR="00F52644" w:rsidRDefault="009F49F3">
            <w:pPr>
              <w:jc w:val="center"/>
            </w:pPr>
            <w:r>
              <w:rPr>
                <w:color w:val="000000"/>
                <w:sz w:val="24"/>
              </w:rPr>
              <w:t>0.49%</w:t>
            </w:r>
          </w:p>
        </w:tc>
        <w:tc>
          <w:tcPr>
            <w:tcW w:w="1285" w:type="dxa"/>
            <w:vAlign w:val="center"/>
          </w:tcPr>
          <w:p w:rsidR="00F52644" w:rsidRDefault="009F49F3">
            <w:pPr>
              <w:jc w:val="center"/>
            </w:pPr>
            <w:r>
              <w:rPr>
                <w:color w:val="000000"/>
                <w:sz w:val="24"/>
              </w:rPr>
              <w:t>0.00%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交银裕兴纯债债券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日，本基金尚处于建仓期。</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交银裕兴纯债债券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日，本基金尚处于建仓期。</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交银裕兴纯债债券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交银裕兴纯债债券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2016</w:t>
      </w:r>
      <w:r w:rsidRPr="00E25C2A">
        <w:rPr>
          <w:kern w:val="0"/>
          <w:sz w:val="24"/>
        </w:rPr>
        <w:t>年</w:t>
      </w:r>
      <w:r w:rsidRPr="00E25C2A">
        <w:rPr>
          <w:kern w:val="0"/>
          <w:sz w:val="24"/>
        </w:rPr>
        <w:t>9</w:t>
      </w:r>
      <w:r w:rsidRPr="00E25C2A">
        <w:rPr>
          <w:kern w:val="0"/>
          <w:sz w:val="24"/>
        </w:rPr>
        <w:t>月</w:t>
      </w:r>
      <w:r w:rsidRPr="00E25C2A">
        <w:rPr>
          <w:kern w:val="0"/>
          <w:sz w:val="24"/>
        </w:rPr>
        <w:t>7</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交银裕兴纯债债券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F52644">
        <w:tc>
          <w:tcPr>
            <w:tcW w:w="1276" w:type="dxa"/>
            <w:vAlign w:val="center"/>
          </w:tcPr>
          <w:p w:rsidR="00F52644" w:rsidRDefault="009F49F3">
            <w:pPr>
              <w:jc w:val="center"/>
            </w:pPr>
            <w:r>
              <w:rPr>
                <w:color w:val="000000"/>
                <w:sz w:val="24"/>
              </w:rPr>
              <w:t>2016</w:t>
            </w:r>
            <w:r>
              <w:rPr>
                <w:color w:val="000000"/>
                <w:sz w:val="24"/>
              </w:rPr>
              <w:t>年</w:t>
            </w:r>
          </w:p>
        </w:tc>
        <w:tc>
          <w:tcPr>
            <w:tcW w:w="1701" w:type="dxa"/>
            <w:vAlign w:val="center"/>
          </w:tcPr>
          <w:p w:rsidR="00F52644" w:rsidRDefault="009F49F3">
            <w:pPr>
              <w:jc w:val="right"/>
            </w:pPr>
            <w:r>
              <w:rPr>
                <w:color w:val="000000"/>
                <w:sz w:val="24"/>
              </w:rPr>
              <w:t>-</w:t>
            </w:r>
          </w:p>
        </w:tc>
        <w:tc>
          <w:tcPr>
            <w:tcW w:w="1701" w:type="dxa"/>
            <w:vAlign w:val="center"/>
          </w:tcPr>
          <w:p w:rsidR="00F52644" w:rsidRDefault="009F49F3">
            <w:pPr>
              <w:jc w:val="right"/>
            </w:pPr>
            <w:r>
              <w:rPr>
                <w:color w:val="000000"/>
                <w:sz w:val="24"/>
              </w:rPr>
              <w:t>-</w:t>
            </w:r>
          </w:p>
        </w:tc>
        <w:tc>
          <w:tcPr>
            <w:tcW w:w="1701" w:type="dxa"/>
            <w:vAlign w:val="center"/>
          </w:tcPr>
          <w:p w:rsidR="00F52644" w:rsidRDefault="009F49F3">
            <w:pPr>
              <w:jc w:val="right"/>
            </w:pPr>
            <w:r>
              <w:rPr>
                <w:color w:val="000000"/>
                <w:sz w:val="24"/>
              </w:rPr>
              <w:t>-</w:t>
            </w:r>
          </w:p>
        </w:tc>
        <w:tc>
          <w:tcPr>
            <w:tcW w:w="1559" w:type="dxa"/>
            <w:vAlign w:val="center"/>
          </w:tcPr>
          <w:p w:rsidR="00F52644" w:rsidRDefault="009F49F3">
            <w:pPr>
              <w:jc w:val="right"/>
            </w:pPr>
            <w:r>
              <w:rPr>
                <w:color w:val="000000"/>
                <w:sz w:val="24"/>
              </w:rPr>
              <w:t>-</w:t>
            </w:r>
          </w:p>
        </w:tc>
        <w:tc>
          <w:tcPr>
            <w:tcW w:w="1060" w:type="dxa"/>
            <w:vAlign w:val="center"/>
          </w:tcPr>
          <w:p w:rsidR="00F52644" w:rsidRDefault="009F49F3">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交银裕兴纯债债券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F52644">
        <w:tc>
          <w:tcPr>
            <w:tcW w:w="1276" w:type="dxa"/>
            <w:vAlign w:val="center"/>
          </w:tcPr>
          <w:p w:rsidR="00F52644" w:rsidRDefault="009F49F3">
            <w:pPr>
              <w:jc w:val="center"/>
            </w:pPr>
            <w:r>
              <w:rPr>
                <w:color w:val="000000"/>
                <w:sz w:val="24"/>
              </w:rPr>
              <w:t>2016</w:t>
            </w:r>
            <w:r>
              <w:rPr>
                <w:color w:val="000000"/>
                <w:sz w:val="24"/>
              </w:rPr>
              <w:t>年</w:t>
            </w:r>
          </w:p>
        </w:tc>
        <w:tc>
          <w:tcPr>
            <w:tcW w:w="1701" w:type="dxa"/>
            <w:vAlign w:val="center"/>
          </w:tcPr>
          <w:p w:rsidR="00F52644" w:rsidRDefault="009F49F3">
            <w:pPr>
              <w:jc w:val="right"/>
            </w:pPr>
            <w:r>
              <w:rPr>
                <w:color w:val="000000"/>
                <w:sz w:val="24"/>
              </w:rPr>
              <w:t>-</w:t>
            </w:r>
          </w:p>
        </w:tc>
        <w:tc>
          <w:tcPr>
            <w:tcW w:w="1701" w:type="dxa"/>
            <w:vAlign w:val="center"/>
          </w:tcPr>
          <w:p w:rsidR="00F52644" w:rsidRDefault="009F49F3">
            <w:pPr>
              <w:jc w:val="right"/>
            </w:pPr>
            <w:r>
              <w:rPr>
                <w:color w:val="000000"/>
                <w:sz w:val="24"/>
              </w:rPr>
              <w:t>-</w:t>
            </w:r>
          </w:p>
        </w:tc>
        <w:tc>
          <w:tcPr>
            <w:tcW w:w="1701" w:type="dxa"/>
            <w:vAlign w:val="center"/>
          </w:tcPr>
          <w:p w:rsidR="00F52644" w:rsidRDefault="009F49F3">
            <w:pPr>
              <w:jc w:val="right"/>
            </w:pPr>
            <w:r>
              <w:rPr>
                <w:color w:val="000000"/>
                <w:sz w:val="24"/>
              </w:rPr>
              <w:t>-</w:t>
            </w:r>
          </w:p>
        </w:tc>
        <w:tc>
          <w:tcPr>
            <w:tcW w:w="1559" w:type="dxa"/>
            <w:vAlign w:val="center"/>
          </w:tcPr>
          <w:p w:rsidR="00F52644" w:rsidRDefault="009F49F3">
            <w:pPr>
              <w:jc w:val="right"/>
            </w:pPr>
            <w:r>
              <w:rPr>
                <w:color w:val="000000"/>
                <w:sz w:val="24"/>
              </w:rPr>
              <w:t>-</w:t>
            </w:r>
          </w:p>
        </w:tc>
        <w:tc>
          <w:tcPr>
            <w:tcW w:w="1060" w:type="dxa"/>
            <w:vAlign w:val="center"/>
          </w:tcPr>
          <w:p w:rsidR="00F52644" w:rsidRDefault="009F49F3">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F52644" w:rsidRDefault="009F49F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F52644">
        <w:tc>
          <w:tcPr>
            <w:tcW w:w="1499" w:type="dxa"/>
            <w:vAlign w:val="center"/>
          </w:tcPr>
          <w:p w:rsidR="00F52644" w:rsidRDefault="009F49F3">
            <w:pPr>
              <w:jc w:val="center"/>
            </w:pPr>
            <w:r>
              <w:rPr>
                <w:color w:val="000000"/>
                <w:sz w:val="24"/>
              </w:rPr>
              <w:t>章妍</w:t>
            </w:r>
          </w:p>
        </w:tc>
        <w:tc>
          <w:tcPr>
            <w:tcW w:w="1499" w:type="dxa"/>
            <w:vAlign w:val="center"/>
          </w:tcPr>
          <w:p w:rsidR="00F52644" w:rsidRDefault="009F49F3">
            <w:pPr>
              <w:jc w:val="center"/>
            </w:pPr>
            <w:r>
              <w:rPr>
                <w:color w:val="000000"/>
                <w:sz w:val="24"/>
              </w:rPr>
              <w:t>交银荣祥保本混合、交银增强收益债券、交银裕通纯债债券、交银裕兴纯债债券、交银裕盈纯债债券、交银裕利纯债债券的基金经理</w:t>
            </w:r>
          </w:p>
        </w:tc>
        <w:tc>
          <w:tcPr>
            <w:tcW w:w="1255" w:type="dxa"/>
            <w:vAlign w:val="center"/>
          </w:tcPr>
          <w:p w:rsidR="00F52644" w:rsidRDefault="009F49F3">
            <w:pPr>
              <w:jc w:val="center"/>
            </w:pPr>
            <w:r>
              <w:rPr>
                <w:color w:val="000000"/>
                <w:sz w:val="24"/>
              </w:rPr>
              <w:t>2016-09-07</w:t>
            </w:r>
          </w:p>
        </w:tc>
        <w:tc>
          <w:tcPr>
            <w:tcW w:w="1276" w:type="dxa"/>
            <w:vAlign w:val="center"/>
          </w:tcPr>
          <w:p w:rsidR="00F52644" w:rsidRDefault="009F49F3">
            <w:pPr>
              <w:jc w:val="center"/>
            </w:pPr>
            <w:r>
              <w:rPr>
                <w:color w:val="000000"/>
                <w:sz w:val="24"/>
              </w:rPr>
              <w:t>-</w:t>
            </w:r>
          </w:p>
        </w:tc>
        <w:tc>
          <w:tcPr>
            <w:tcW w:w="992" w:type="dxa"/>
            <w:vAlign w:val="center"/>
          </w:tcPr>
          <w:p w:rsidR="00F52644" w:rsidRDefault="009F49F3">
            <w:pPr>
              <w:jc w:val="center"/>
            </w:pPr>
            <w:r>
              <w:rPr>
                <w:color w:val="000000"/>
                <w:sz w:val="24"/>
              </w:rPr>
              <w:t>1</w:t>
            </w:r>
            <w:r>
              <w:rPr>
                <w:color w:val="000000"/>
                <w:sz w:val="24"/>
              </w:rPr>
              <w:t>年</w:t>
            </w:r>
          </w:p>
        </w:tc>
        <w:tc>
          <w:tcPr>
            <w:tcW w:w="2477" w:type="dxa"/>
            <w:vAlign w:val="center"/>
          </w:tcPr>
          <w:p w:rsidR="00F52644" w:rsidRDefault="009F49F3">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F52644" w:rsidRDefault="009F49F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52644" w:rsidRDefault="00F00C93">
      <w:pPr>
        <w:tabs>
          <w:tab w:val="left" w:pos="426"/>
        </w:tabs>
        <w:spacing w:before="29" w:line="288" w:lineRule="auto"/>
        <w:jc w:val="left"/>
        <w:rPr>
          <w:kern w:val="0"/>
          <w:sz w:val="24"/>
        </w:rPr>
      </w:pPr>
      <w:r>
        <w:rPr>
          <w:kern w:val="0"/>
          <w:sz w:val="24"/>
        </w:rPr>
        <w:tab/>
      </w:r>
      <w:r w:rsidR="009F49F3">
        <w:rPr>
          <w:kern w:val="0"/>
          <w:sz w:val="24"/>
        </w:rPr>
        <w:t>2</w:t>
      </w:r>
      <w:r w:rsidR="009F49F3">
        <w:rPr>
          <w:kern w:val="0"/>
          <w:sz w:val="24"/>
        </w:rPr>
        <w:t>、本表所列基金经理（助理）证券从业年限中的</w:t>
      </w:r>
      <w:r w:rsidR="009F49F3">
        <w:rPr>
          <w:kern w:val="0"/>
          <w:sz w:val="24"/>
        </w:rPr>
        <w:t>“</w:t>
      </w:r>
      <w:r w:rsidR="009F49F3">
        <w:rPr>
          <w:kern w:val="0"/>
          <w:sz w:val="24"/>
        </w:rPr>
        <w:t>证券从业</w:t>
      </w:r>
      <w:r w:rsidR="009F49F3">
        <w:rPr>
          <w:kern w:val="0"/>
          <w:sz w:val="24"/>
        </w:rPr>
        <w:t>”</w:t>
      </w:r>
      <w:r w:rsidR="009F49F3">
        <w:rPr>
          <w:kern w:val="0"/>
          <w:sz w:val="24"/>
        </w:rPr>
        <w:t>的含义遵从中国证券业协会《证券业从业人员资格管理办法》的相关规定；</w:t>
      </w:r>
      <w:r w:rsidR="009F49F3">
        <w:rPr>
          <w:kern w:val="0"/>
          <w:sz w:val="24"/>
        </w:rPr>
        <w:t xml:space="preserve"> </w:t>
      </w:r>
    </w:p>
    <w:p w:rsidR="001A59F9" w:rsidRPr="00E25C2A" w:rsidRDefault="00F00C93" w:rsidP="00E25C2A">
      <w:pPr>
        <w:tabs>
          <w:tab w:val="left" w:pos="426"/>
        </w:tabs>
        <w:spacing w:before="29" w:line="288" w:lineRule="auto"/>
        <w:jc w:val="left"/>
        <w:rPr>
          <w:kern w:val="0"/>
          <w:sz w:val="24"/>
        </w:rPr>
      </w:pPr>
      <w:r>
        <w:rPr>
          <w:kern w:val="0"/>
          <w:sz w:val="24"/>
        </w:rPr>
        <w:tab/>
      </w:r>
      <w:r w:rsidR="001A59F9" w:rsidRPr="00E25C2A">
        <w:rPr>
          <w:kern w:val="0"/>
          <w:sz w:val="24"/>
        </w:rPr>
        <w:t>3</w:t>
      </w:r>
      <w:r w:rsidR="001A59F9"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F52644" w:rsidRDefault="009F49F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F52644" w:rsidRDefault="009F49F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52644" w:rsidRDefault="009F49F3">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52644" w:rsidRDefault="009F49F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2644" w:rsidRDefault="009F49F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52644" w:rsidRDefault="009F49F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F52644" w:rsidRDefault="009F49F3">
      <w:pPr>
        <w:spacing w:before="29" w:line="288" w:lineRule="auto"/>
        <w:ind w:firstLineChars="200" w:firstLine="480"/>
        <w:rPr>
          <w:color w:val="000000"/>
          <w:sz w:val="24"/>
        </w:rPr>
      </w:pPr>
      <w:r>
        <w:rPr>
          <w:color w:val="000000"/>
          <w:sz w:val="24"/>
        </w:rPr>
        <w:t>2016</w:t>
      </w:r>
      <w:r>
        <w:rPr>
          <w:color w:val="000000"/>
          <w:sz w:val="24"/>
        </w:rPr>
        <w:t>年前三季度债券市场收益率震荡下行，但四季度受金融去杠杆、央行收紧流动性、美国加息等多重利空因素影响，债券市场呈现大幅调整格局，收益率上行至</w:t>
      </w:r>
      <w:r>
        <w:rPr>
          <w:color w:val="000000"/>
          <w:sz w:val="24"/>
        </w:rPr>
        <w:t>2015</w:t>
      </w:r>
      <w:r>
        <w:rPr>
          <w:color w:val="000000"/>
          <w:sz w:val="24"/>
        </w:rPr>
        <w:lastRenderedPageBreak/>
        <w:t>年三季度之前的水平。全年来看债券市场有一定程度的下跌。</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w:t>
      </w:r>
      <w:r w:rsidRPr="001358D2">
        <w:rPr>
          <w:color w:val="000000"/>
          <w:sz w:val="24"/>
        </w:rPr>
        <w:t>2016</w:t>
      </w:r>
      <w:r w:rsidRPr="001358D2">
        <w:rPr>
          <w:color w:val="000000"/>
          <w:sz w:val="24"/>
        </w:rPr>
        <w:t>年三季度成立，四季度初建仓，虽然维持了较低的久期和杠杆，还是受到了市场收益率大幅上升的影响。</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日，交银裕兴纯债债券</w:t>
      </w:r>
      <w:r w:rsidRPr="001358D2">
        <w:rPr>
          <w:color w:val="000000"/>
          <w:sz w:val="24"/>
        </w:rPr>
        <w:t>A</w:t>
      </w:r>
      <w:r w:rsidRPr="001358D2">
        <w:rPr>
          <w:color w:val="000000"/>
          <w:sz w:val="24"/>
        </w:rPr>
        <w:t>份额净值为</w:t>
      </w:r>
      <w:r w:rsidRPr="001358D2">
        <w:rPr>
          <w:color w:val="000000"/>
          <w:sz w:val="24"/>
        </w:rPr>
        <w:t>0.988</w:t>
      </w:r>
      <w:r w:rsidRPr="001358D2">
        <w:rPr>
          <w:color w:val="000000"/>
          <w:sz w:val="24"/>
        </w:rPr>
        <w:t>元，本报告期份额净值增长率为</w:t>
      </w:r>
      <w:r w:rsidRPr="001358D2">
        <w:rPr>
          <w:color w:val="000000"/>
          <w:sz w:val="24"/>
        </w:rPr>
        <w:t>-1.20%</w:t>
      </w:r>
      <w:r w:rsidRPr="001358D2">
        <w:rPr>
          <w:color w:val="000000"/>
          <w:sz w:val="24"/>
        </w:rPr>
        <w:t>，同期业绩比较基准增长率为</w:t>
      </w:r>
      <w:r w:rsidRPr="001358D2">
        <w:rPr>
          <w:color w:val="000000"/>
          <w:sz w:val="24"/>
        </w:rPr>
        <w:t>-2.19%</w:t>
      </w:r>
      <w:r w:rsidRPr="001358D2">
        <w:rPr>
          <w:color w:val="000000"/>
          <w:sz w:val="24"/>
        </w:rPr>
        <w:t>；交银裕兴纯债债券</w:t>
      </w:r>
      <w:r w:rsidRPr="001358D2">
        <w:rPr>
          <w:color w:val="000000"/>
          <w:sz w:val="24"/>
        </w:rPr>
        <w:t>C</w:t>
      </w:r>
      <w:r w:rsidRPr="001358D2">
        <w:rPr>
          <w:color w:val="000000"/>
          <w:sz w:val="24"/>
        </w:rPr>
        <w:t>份额净值为</w:t>
      </w:r>
      <w:r w:rsidRPr="001358D2">
        <w:rPr>
          <w:color w:val="000000"/>
          <w:sz w:val="24"/>
        </w:rPr>
        <w:t>0.983</w:t>
      </w:r>
      <w:r w:rsidRPr="001358D2">
        <w:rPr>
          <w:color w:val="000000"/>
          <w:sz w:val="24"/>
        </w:rPr>
        <w:t>元，本报告期份额净值增长率为</w:t>
      </w:r>
      <w:r w:rsidRPr="001358D2">
        <w:rPr>
          <w:color w:val="000000"/>
          <w:sz w:val="24"/>
        </w:rPr>
        <w:t>-1.70%</w:t>
      </w:r>
      <w:r w:rsidRPr="001358D2">
        <w:rPr>
          <w:color w:val="000000"/>
          <w:sz w:val="24"/>
        </w:rPr>
        <w:t>，同期业绩比较基准增长率为</w:t>
      </w:r>
      <w:r w:rsidRPr="001358D2">
        <w:rPr>
          <w:color w:val="000000"/>
          <w:sz w:val="24"/>
        </w:rPr>
        <w:t>-2.19%</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F52644" w:rsidRDefault="009F49F3">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年，短期看，近期经济结构依然不稳，传统动力无法完全换挡至新兴产业，地产调控升级，</w:t>
      </w:r>
      <w:r>
        <w:rPr>
          <w:color w:val="000000"/>
          <w:sz w:val="24"/>
        </w:rPr>
        <w:t>2017</w:t>
      </w:r>
      <w:r>
        <w:rPr>
          <w:color w:val="000000"/>
          <w:sz w:val="24"/>
        </w:rPr>
        <w:t>年经济动能依然落脚于基建投资。</w:t>
      </w:r>
      <w:r>
        <w:rPr>
          <w:color w:val="000000"/>
          <w:sz w:val="24"/>
        </w:rPr>
        <w:t>2017</w:t>
      </w:r>
      <w:r>
        <w:rPr>
          <w:color w:val="000000"/>
          <w:sz w:val="24"/>
        </w:rPr>
        <w:t>年中国经济依然面临下行压力，近期政治局会议关键词为供给侧、稳增长、资产泡沫。二产对</w:t>
      </w:r>
      <w:r>
        <w:rPr>
          <w:color w:val="000000"/>
          <w:sz w:val="24"/>
        </w:rPr>
        <w:t>GDP</w:t>
      </w:r>
      <w:r>
        <w:rPr>
          <w:color w:val="000000"/>
          <w:sz w:val="24"/>
        </w:rPr>
        <w:t>的拉动在近些年逐步回落，尽管三产对</w:t>
      </w:r>
      <w:r>
        <w:rPr>
          <w:color w:val="000000"/>
          <w:sz w:val="24"/>
        </w:rPr>
        <w:t>GDP</w:t>
      </w:r>
      <w:r>
        <w:rPr>
          <w:color w:val="000000"/>
          <w:sz w:val="24"/>
        </w:rPr>
        <w:t>贡献逐年上升，但三产的结构并不稳定，今年主要增量拉力地产和汽车预计很难继续成为明年经济引擎。预计</w:t>
      </w:r>
      <w:r>
        <w:rPr>
          <w:color w:val="000000"/>
          <w:sz w:val="24"/>
        </w:rPr>
        <w:t>2017</w:t>
      </w:r>
      <w:r>
        <w:rPr>
          <w:color w:val="000000"/>
          <w:sz w:val="24"/>
        </w:rPr>
        <w:t>年经济增长依然需要依托基建投资，货币政策中性下，财政政策或将更为积极，在预算内财政支出空间受限的情况下，明年</w:t>
      </w:r>
      <w:r>
        <w:rPr>
          <w:color w:val="000000"/>
          <w:sz w:val="24"/>
        </w:rPr>
        <w:t>PPP</w:t>
      </w:r>
      <w:r>
        <w:rPr>
          <w:color w:val="000000"/>
          <w:sz w:val="24"/>
        </w:rPr>
        <w:t>和置换债等货币化工具有望继续成为稳定增长的主要融资手段。中期看，中国经济潜在增速存在下行压力：人口红利的拐点已过，储蓄率存在下行压力。资本产出比持续提升，资本积累将速度放缓。随着经济的发展，发展中国家的学习效应将逐步降低，技术对于增长的促进效应开始面临局限。基于人口、资本及技术外溢效应变化，中国经济潜在增速持续保持高位的压力较大。</w:t>
      </w:r>
    </w:p>
    <w:p w:rsidR="00F52644" w:rsidRDefault="009F49F3">
      <w:pPr>
        <w:spacing w:before="29" w:line="288" w:lineRule="auto"/>
        <w:ind w:firstLineChars="200" w:firstLine="480"/>
        <w:rPr>
          <w:color w:val="000000"/>
          <w:sz w:val="24"/>
        </w:rPr>
      </w:pPr>
      <w:r>
        <w:rPr>
          <w:color w:val="000000"/>
          <w:sz w:val="24"/>
        </w:rPr>
        <w:t>2017</w:t>
      </w:r>
      <w:r>
        <w:rPr>
          <w:color w:val="000000"/>
          <w:sz w:val="24"/>
        </w:rPr>
        <w:t>年，中国经济依然面临下行压力，无法长期承受过高的利率。年末债券收益率大幅走高，提升了明年的收益空间，但也要关注债市的几个风险因素：</w:t>
      </w:r>
      <w:r>
        <w:rPr>
          <w:color w:val="000000"/>
          <w:sz w:val="24"/>
        </w:rPr>
        <w:t>1</w:t>
      </w:r>
      <w:r>
        <w:rPr>
          <w:color w:val="000000"/>
          <w:sz w:val="24"/>
        </w:rPr>
        <w:t>）上游涨价传导至中下游，</w:t>
      </w:r>
      <w:r>
        <w:rPr>
          <w:color w:val="000000"/>
          <w:sz w:val="24"/>
        </w:rPr>
        <w:t>CPI</w:t>
      </w:r>
      <w:r>
        <w:rPr>
          <w:color w:val="000000"/>
          <w:sz w:val="24"/>
        </w:rPr>
        <w:t>中枢较</w:t>
      </w:r>
      <w:r>
        <w:rPr>
          <w:color w:val="000000"/>
          <w:sz w:val="24"/>
        </w:rPr>
        <w:t>2016</w:t>
      </w:r>
      <w:r>
        <w:rPr>
          <w:color w:val="000000"/>
          <w:sz w:val="24"/>
        </w:rPr>
        <w:t>年明显抬升。不过目前迹象还不明显。</w:t>
      </w:r>
      <w:r>
        <w:rPr>
          <w:color w:val="000000"/>
          <w:sz w:val="24"/>
        </w:rPr>
        <w:t>2</w:t>
      </w:r>
      <w:r>
        <w:rPr>
          <w:color w:val="000000"/>
          <w:sz w:val="24"/>
        </w:rPr>
        <w:t>）外汇压力及金融去杠杆政策带来的市场预期紊乱，导致资金面紧张可能是明年债市应关注的主要风险。</w:t>
      </w:r>
      <w:r>
        <w:rPr>
          <w:color w:val="000000"/>
          <w:sz w:val="24"/>
        </w:rPr>
        <w:t>3</w:t>
      </w:r>
      <w:r>
        <w:rPr>
          <w:color w:val="000000"/>
          <w:sz w:val="24"/>
        </w:rPr>
        <w:t>）美国基建刺激的全球示范效应，带来全球债市阶段见顶，恐慌情绪及外汇压力打压国内债市。</w:t>
      </w:r>
    </w:p>
    <w:p w:rsidR="00D54B59" w:rsidRPr="001358D2" w:rsidRDefault="00D54B59" w:rsidP="001358D2">
      <w:pPr>
        <w:spacing w:before="29" w:line="288" w:lineRule="auto"/>
        <w:ind w:firstLineChars="200" w:firstLine="480"/>
        <w:rPr>
          <w:color w:val="000000"/>
          <w:sz w:val="24"/>
        </w:rPr>
      </w:pPr>
      <w:r w:rsidRPr="001358D2">
        <w:rPr>
          <w:color w:val="000000"/>
          <w:sz w:val="24"/>
        </w:rPr>
        <w:t>本基金将保持一定流动性，力求控制久期和杠杆，在震荡中等待调整加仓机会。</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F52644" w:rsidRDefault="009F49F3">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52644" w:rsidRDefault="009F49F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lastRenderedPageBreak/>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交银施罗德裕兴纯债债券型证券投资基金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Pr="003C6BFD">
        <w:rPr>
          <w:color w:val="000000"/>
          <w:sz w:val="24"/>
        </w:rPr>
        <w:t>9</w:t>
      </w:r>
      <w:r w:rsidRPr="003C6BFD">
        <w:rPr>
          <w:color w:val="000000"/>
          <w:sz w:val="24"/>
        </w:rPr>
        <w:t>月</w:t>
      </w:r>
      <w:r w:rsidRPr="003C6BFD">
        <w:rPr>
          <w:color w:val="000000"/>
          <w:sz w:val="24"/>
        </w:rPr>
        <w:t>7</w:t>
      </w:r>
      <w:r w:rsidRPr="003C6BFD">
        <w:rPr>
          <w:color w:val="000000"/>
          <w:sz w:val="24"/>
        </w:rPr>
        <w:t>日（基金合同生效日）至</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46233E">
        <w:rPr>
          <w:rFonts w:hint="eastAsia"/>
          <w:color w:val="000000"/>
          <w:sz w:val="24"/>
        </w:rPr>
        <w:t>止</w:t>
      </w:r>
      <w:r w:rsidR="0046233E">
        <w:rPr>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20184</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交银施罗德裕兴纯债债券型证券投资基金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9F49F3" w:rsidRPr="008B2C7A" w:rsidTr="009F49F3">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9F49F3" w:rsidRPr="008B2C7A" w:rsidTr="009F49F3">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9F49F3" w:rsidRPr="008B2C7A" w:rsidTr="009F49F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4,153,460.00</w:t>
            </w:r>
          </w:p>
        </w:tc>
      </w:tr>
      <w:tr w:rsidR="009F49F3" w:rsidRPr="008B2C7A" w:rsidTr="009F49F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567,851,400.00</w:t>
            </w:r>
          </w:p>
        </w:tc>
      </w:tr>
      <w:tr w:rsidR="009F49F3" w:rsidRPr="008B2C7A" w:rsidTr="009F49F3">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567,851,400.00</w:t>
            </w:r>
          </w:p>
        </w:tc>
      </w:tr>
      <w:tr w:rsidR="009F49F3" w:rsidRPr="008B2C7A" w:rsidTr="009F49F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20,266,345.90</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592,271,205.90</w:t>
            </w:r>
          </w:p>
        </w:tc>
      </w:tr>
      <w:tr w:rsidR="009F49F3" w:rsidRPr="008B2C7A" w:rsidTr="009F49F3">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F49F3" w:rsidRPr="008B2C7A" w:rsidTr="009F49F3">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150,662.54</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50,220.86</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0.62</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5,181.91</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120,000.00</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326,065.93</w:t>
            </w:r>
          </w:p>
        </w:tc>
      </w:tr>
      <w:tr w:rsidR="009F49F3" w:rsidRPr="008B2C7A" w:rsidTr="009F49F3">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599,311,411.47</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-7,366,271.50</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591,945,139.97</w:t>
            </w:r>
          </w:p>
        </w:tc>
      </w:tr>
      <w:tr w:rsidR="009F49F3" w:rsidRPr="008B2C7A" w:rsidTr="009F49F3">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592,271,205.90</w:t>
            </w:r>
          </w:p>
        </w:tc>
      </w:tr>
    </w:tbl>
    <w:p w:rsidR="00F52644" w:rsidRDefault="009F49F3">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0.988</w:t>
      </w:r>
      <w:r>
        <w:rPr>
          <w:kern w:val="0"/>
          <w:sz w:val="24"/>
        </w:rPr>
        <w:t>元，</w:t>
      </w:r>
      <w:r>
        <w:rPr>
          <w:kern w:val="0"/>
          <w:sz w:val="24"/>
        </w:rPr>
        <w:t>C</w:t>
      </w:r>
      <w:r>
        <w:rPr>
          <w:kern w:val="0"/>
          <w:sz w:val="24"/>
        </w:rPr>
        <w:t>类基金份额净值</w:t>
      </w:r>
      <w:r>
        <w:rPr>
          <w:kern w:val="0"/>
          <w:sz w:val="24"/>
        </w:rPr>
        <w:t>0.983</w:t>
      </w:r>
      <w:r>
        <w:rPr>
          <w:kern w:val="0"/>
          <w:sz w:val="24"/>
        </w:rPr>
        <w:t>元，基金份额总额</w:t>
      </w:r>
      <w:r>
        <w:rPr>
          <w:kern w:val="0"/>
          <w:sz w:val="24"/>
        </w:rPr>
        <w:t>599,311,411.47</w:t>
      </w:r>
      <w:r>
        <w:rPr>
          <w:kern w:val="0"/>
          <w:sz w:val="24"/>
        </w:rPr>
        <w:t>份，其中</w:t>
      </w:r>
      <w:r>
        <w:rPr>
          <w:kern w:val="0"/>
          <w:sz w:val="24"/>
        </w:rPr>
        <w:t>A</w:t>
      </w:r>
      <w:r>
        <w:rPr>
          <w:kern w:val="0"/>
          <w:sz w:val="24"/>
        </w:rPr>
        <w:t>类基金份额</w:t>
      </w:r>
      <w:r>
        <w:rPr>
          <w:kern w:val="0"/>
          <w:sz w:val="24"/>
        </w:rPr>
        <w:t>599,309,651.25</w:t>
      </w:r>
      <w:r>
        <w:rPr>
          <w:kern w:val="0"/>
          <w:sz w:val="24"/>
        </w:rPr>
        <w:t>份，</w:t>
      </w:r>
      <w:r>
        <w:rPr>
          <w:kern w:val="0"/>
          <w:sz w:val="24"/>
        </w:rPr>
        <w:t>C</w:t>
      </w:r>
      <w:r>
        <w:rPr>
          <w:kern w:val="0"/>
          <w:sz w:val="24"/>
        </w:rPr>
        <w:t>类基金份额</w:t>
      </w:r>
      <w:r>
        <w:rPr>
          <w:kern w:val="0"/>
          <w:sz w:val="24"/>
        </w:rPr>
        <w:t>1,760.22</w:t>
      </w:r>
      <w:r>
        <w:rPr>
          <w:kern w:val="0"/>
          <w:sz w:val="24"/>
        </w:rPr>
        <w:t>份。</w:t>
      </w:r>
    </w:p>
    <w:p w:rsidR="001A59F9" w:rsidRDefault="009F49F3" w:rsidP="00E25C2A">
      <w:pPr>
        <w:tabs>
          <w:tab w:val="left" w:pos="426"/>
        </w:tabs>
        <w:spacing w:before="29" w:line="288" w:lineRule="auto"/>
        <w:jc w:val="left"/>
        <w:rPr>
          <w:kern w:val="0"/>
          <w:sz w:val="24"/>
        </w:rPr>
      </w:pPr>
      <w:r>
        <w:rPr>
          <w:rFonts w:hint="eastAsia"/>
          <w:kern w:val="0"/>
          <w:sz w:val="24"/>
        </w:rPr>
        <w:t xml:space="preserve">    </w:t>
      </w:r>
      <w:r w:rsidR="001A59F9" w:rsidRPr="00E25C2A">
        <w:rPr>
          <w:kern w:val="0"/>
          <w:sz w:val="24"/>
        </w:rPr>
        <w:t>2</w:t>
      </w:r>
      <w:r w:rsidR="001A59F9" w:rsidRPr="00E25C2A">
        <w:rPr>
          <w:kern w:val="0"/>
          <w:sz w:val="24"/>
        </w:rPr>
        <w:t>、本财务报表的实际编制期间为</w:t>
      </w:r>
      <w:r w:rsidR="001A59F9" w:rsidRPr="00E25C2A">
        <w:rPr>
          <w:kern w:val="0"/>
          <w:sz w:val="24"/>
        </w:rPr>
        <w:t>2016</w:t>
      </w:r>
      <w:r w:rsidR="001A59F9" w:rsidRPr="00E25C2A">
        <w:rPr>
          <w:kern w:val="0"/>
          <w:sz w:val="24"/>
        </w:rPr>
        <w:t>年</w:t>
      </w:r>
      <w:r w:rsidR="001A59F9" w:rsidRPr="00E25C2A">
        <w:rPr>
          <w:kern w:val="0"/>
          <w:sz w:val="24"/>
        </w:rPr>
        <w:t>9</w:t>
      </w:r>
      <w:r w:rsidR="001A59F9" w:rsidRPr="00E25C2A">
        <w:rPr>
          <w:kern w:val="0"/>
          <w:sz w:val="24"/>
        </w:rPr>
        <w:t>月</w:t>
      </w:r>
      <w:r w:rsidR="001A59F9" w:rsidRPr="00E25C2A">
        <w:rPr>
          <w:kern w:val="0"/>
          <w:sz w:val="24"/>
        </w:rPr>
        <w:t>7</w:t>
      </w:r>
      <w:r w:rsidR="001A59F9" w:rsidRPr="00E25C2A">
        <w:rPr>
          <w:kern w:val="0"/>
          <w:sz w:val="24"/>
        </w:rPr>
        <w:t>日</w:t>
      </w:r>
      <w:r w:rsidR="001A59F9" w:rsidRPr="00E25C2A">
        <w:rPr>
          <w:kern w:val="0"/>
          <w:sz w:val="24"/>
        </w:rPr>
        <w:t>(</w:t>
      </w:r>
      <w:r w:rsidR="001A59F9" w:rsidRPr="00E25C2A">
        <w:rPr>
          <w:kern w:val="0"/>
          <w:sz w:val="24"/>
        </w:rPr>
        <w:t>基金合同生效日</w:t>
      </w:r>
      <w:r w:rsidR="001A59F9" w:rsidRPr="00E25C2A">
        <w:rPr>
          <w:kern w:val="0"/>
          <w:sz w:val="24"/>
        </w:rPr>
        <w:t>)</w:t>
      </w:r>
      <w:r w:rsidR="001A59F9" w:rsidRPr="00E25C2A">
        <w:rPr>
          <w:kern w:val="0"/>
          <w:sz w:val="24"/>
        </w:rPr>
        <w:t>至</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9F49F3">
        <w:rPr>
          <w:rFonts w:hint="eastAsia"/>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lastRenderedPageBreak/>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交银施罗德裕兴纯债债券型证券投资基金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9</w:t>
      </w:r>
      <w:r w:rsidR="00F64FAD" w:rsidRPr="00D73BCD">
        <w:rPr>
          <w:color w:val="000000"/>
          <w:sz w:val="24"/>
        </w:rPr>
        <w:t>月</w:t>
      </w:r>
      <w:r w:rsidR="00F64FAD" w:rsidRPr="00D73BCD">
        <w:rPr>
          <w:color w:val="000000"/>
          <w:sz w:val="24"/>
        </w:rPr>
        <w:t>7</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9F49F3" w:rsidRPr="008B2C7A" w:rsidTr="009F49F3">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9</w:t>
            </w:r>
            <w:r w:rsidRPr="00D73BCD">
              <w:rPr>
                <w:rFonts w:ascii="Times New Roman" w:hAnsi="Times New Roman"/>
                <w:b/>
                <w:color w:val="000000"/>
              </w:rPr>
              <w:t>月</w:t>
            </w:r>
            <w:r w:rsidRPr="00D73BCD">
              <w:rPr>
                <w:rFonts w:ascii="Times New Roman" w:hAnsi="Times New Roman"/>
                <w:b/>
                <w:color w:val="000000"/>
              </w:rPr>
              <w:t>7</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F49F3" w:rsidRPr="008B2C7A" w:rsidTr="009F49F3">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-7,456,895.84</w:t>
            </w:r>
          </w:p>
        </w:tc>
      </w:tr>
      <w:tr w:rsidR="009F49F3" w:rsidRPr="008B2C7A" w:rsidTr="009F49F3">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6,842,571.32</w:t>
            </w:r>
          </w:p>
        </w:tc>
      </w:tr>
      <w:tr w:rsidR="009F49F3" w:rsidRPr="008B2C7A" w:rsidTr="009F49F3">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547,203.56</w:t>
            </w:r>
          </w:p>
        </w:tc>
      </w:tr>
      <w:tr w:rsidR="009F49F3" w:rsidRPr="008B2C7A" w:rsidTr="009F49F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6,049,152.70</w:t>
            </w:r>
          </w:p>
        </w:tc>
      </w:tr>
      <w:tr w:rsidR="009F49F3" w:rsidRPr="008B2C7A" w:rsidTr="009F49F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246,215.06</w:t>
            </w:r>
          </w:p>
        </w:tc>
      </w:tr>
      <w:tr w:rsidR="009F49F3" w:rsidRPr="008B2C7A" w:rsidTr="009F49F3">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-14,299,467.63</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0.47</w:t>
            </w:r>
          </w:p>
        </w:tc>
      </w:tr>
      <w:tr w:rsidR="009F49F3" w:rsidRPr="008B2C7A" w:rsidTr="009F49F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707,643.54</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430,508.60</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143,502.85</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3.70</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3,397.50</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7,365.89</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7,365.89</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122,865.00</w:t>
            </w:r>
          </w:p>
        </w:tc>
      </w:tr>
      <w:tr w:rsidR="009F49F3" w:rsidRPr="008B2C7A" w:rsidTr="009F49F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lastRenderedPageBreak/>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-8,164,539.38</w:t>
            </w:r>
          </w:p>
        </w:tc>
      </w:tr>
      <w:tr w:rsidR="009F49F3" w:rsidRPr="008B2C7A" w:rsidTr="009F49F3">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49F3" w:rsidRPr="008B2C7A" w:rsidTr="009F49F3">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-8,164,539.38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交银施罗德裕兴纯债债券型证券投资基金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9</w:t>
      </w:r>
      <w:r w:rsidR="00F64FAD" w:rsidRPr="00D73BCD">
        <w:rPr>
          <w:color w:val="000000"/>
          <w:sz w:val="24"/>
        </w:rPr>
        <w:t>月</w:t>
      </w:r>
      <w:r w:rsidR="00F64FAD" w:rsidRPr="00D73BCD">
        <w:rPr>
          <w:color w:val="000000"/>
          <w:sz w:val="24"/>
        </w:rPr>
        <w:t>7</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9</w:t>
            </w:r>
            <w:r w:rsidRPr="009005D8">
              <w:rPr>
                <w:rFonts w:ascii="Times New Roman" w:hAnsi="Times New Roman"/>
                <w:b/>
                <w:color w:val="000000"/>
                <w:kern w:val="2"/>
              </w:rPr>
              <w:t>月</w:t>
            </w:r>
            <w:r w:rsidRPr="009005D8">
              <w:rPr>
                <w:rFonts w:ascii="Times New Roman" w:hAnsi="Times New Roman"/>
                <w:b/>
                <w:color w:val="000000"/>
                <w:kern w:val="2"/>
              </w:rPr>
              <w:t>7</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200,097,420.84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200,097,420.84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-8,164,539.38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-8,164,539.38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399,213,990.63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798,267.88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400,012,258.51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399,240,086.36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798,441.81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400,038,528.17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-26,095.73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-173.93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-26,269.66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599,311,411.47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-7,366,271.50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591,945,139.97</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lastRenderedPageBreak/>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7D1BF6" w:rsidRDefault="007D1BF6" w:rsidP="007D1BF6">
      <w:pPr>
        <w:spacing w:before="29" w:line="288" w:lineRule="auto"/>
        <w:ind w:firstLineChars="200" w:firstLine="480"/>
        <w:rPr>
          <w:kern w:val="0"/>
          <w:sz w:val="24"/>
        </w:rPr>
      </w:pPr>
      <w:r>
        <w:rPr>
          <w:kern w:val="0"/>
          <w:sz w:val="24"/>
        </w:rPr>
        <w:t>交银施罗德裕兴纯债债券型证券投资基金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496</w:t>
      </w:r>
      <w:r>
        <w:rPr>
          <w:kern w:val="0"/>
          <w:sz w:val="24"/>
        </w:rPr>
        <w:t>号《关于准予交银施罗德裕兴纯债债券型证券投资基金注册的批复》核准，由交银施罗德基金管理有限公司依照《中华人民共和国证券投资基金法》和《交银</w:t>
      </w:r>
      <w:r>
        <w:rPr>
          <w:rFonts w:hint="eastAsia"/>
          <w:kern w:val="0"/>
          <w:sz w:val="24"/>
        </w:rPr>
        <w:t>施罗德</w:t>
      </w:r>
      <w:r>
        <w:rPr>
          <w:kern w:val="0"/>
          <w:sz w:val="24"/>
        </w:rPr>
        <w:t>裕兴纯债债券型证券投资基金基金合同》负责公开募集。本基金为契约型开放式，存续期限不定，首次设立募集不包括认购资金利息共募集人民币</w:t>
      </w:r>
      <w:r>
        <w:rPr>
          <w:kern w:val="0"/>
          <w:sz w:val="24"/>
        </w:rPr>
        <w:t>200,061,410.40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1183</w:t>
      </w:r>
      <w:r>
        <w:rPr>
          <w:kern w:val="0"/>
          <w:sz w:val="24"/>
        </w:rPr>
        <w:t>号验资报告予以验证。经向中国证监会备案，《交银</w:t>
      </w:r>
      <w:r>
        <w:rPr>
          <w:rFonts w:hint="eastAsia"/>
          <w:kern w:val="0"/>
          <w:sz w:val="24"/>
        </w:rPr>
        <w:t>施罗德</w:t>
      </w:r>
      <w:r>
        <w:rPr>
          <w:kern w:val="0"/>
          <w:sz w:val="24"/>
        </w:rPr>
        <w:t>裕兴纯债债券型证券投资基金基金合同》于</w:t>
      </w:r>
      <w:r>
        <w:rPr>
          <w:kern w:val="0"/>
          <w:sz w:val="24"/>
        </w:rPr>
        <w:t>2016</w:t>
      </w:r>
      <w:r>
        <w:rPr>
          <w:kern w:val="0"/>
          <w:sz w:val="24"/>
        </w:rPr>
        <w:t>年</w:t>
      </w:r>
      <w:r>
        <w:rPr>
          <w:kern w:val="0"/>
          <w:sz w:val="24"/>
        </w:rPr>
        <w:t>9</w:t>
      </w:r>
      <w:r>
        <w:rPr>
          <w:kern w:val="0"/>
          <w:sz w:val="24"/>
        </w:rPr>
        <w:t>月</w:t>
      </w:r>
      <w:r>
        <w:rPr>
          <w:kern w:val="0"/>
          <w:sz w:val="24"/>
        </w:rPr>
        <w:t>7</w:t>
      </w:r>
      <w:r>
        <w:rPr>
          <w:kern w:val="0"/>
          <w:sz w:val="24"/>
        </w:rPr>
        <w:t>日正式生效，基金合同生效日的基金份额总额为</w:t>
      </w:r>
      <w:r>
        <w:rPr>
          <w:kern w:val="0"/>
          <w:sz w:val="24"/>
        </w:rPr>
        <w:t>200,097,420.84</w:t>
      </w:r>
      <w:r>
        <w:rPr>
          <w:kern w:val="0"/>
          <w:sz w:val="24"/>
        </w:rPr>
        <w:t>份基金份额，其中认购资金利息折合</w:t>
      </w:r>
      <w:r>
        <w:rPr>
          <w:kern w:val="0"/>
          <w:sz w:val="24"/>
        </w:rPr>
        <w:t>36,010.44</w:t>
      </w:r>
      <w:r>
        <w:rPr>
          <w:kern w:val="0"/>
          <w:sz w:val="24"/>
        </w:rPr>
        <w:t>份基金份额。本基金的基金管理人为交银施罗德基金管理有限公司，基金托管人为兴业银行股份有限公司。</w:t>
      </w:r>
    </w:p>
    <w:p w:rsidR="007D1BF6" w:rsidRDefault="007D1BF6" w:rsidP="007D1BF6">
      <w:pPr>
        <w:spacing w:before="29" w:line="288" w:lineRule="auto"/>
        <w:ind w:firstLineChars="200" w:firstLine="480"/>
        <w:rPr>
          <w:kern w:val="0"/>
          <w:sz w:val="24"/>
        </w:rPr>
      </w:pPr>
      <w:r>
        <w:rPr>
          <w:kern w:val="0"/>
          <w:sz w:val="24"/>
        </w:rPr>
        <w:t>根据《交银</w:t>
      </w:r>
      <w:r>
        <w:rPr>
          <w:rFonts w:hint="eastAsia"/>
          <w:kern w:val="0"/>
          <w:sz w:val="24"/>
        </w:rPr>
        <w:t>施罗德</w:t>
      </w:r>
      <w:r>
        <w:rPr>
          <w:kern w:val="0"/>
          <w:sz w:val="24"/>
        </w:rPr>
        <w:t>裕兴纯债债券型证券投资基金基金合同》和《交银施罗德裕兴纯债债券型证券投资基金招募说明书》，本基金根据认购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7D1BF6" w:rsidRDefault="007D1BF6" w:rsidP="007D1BF6">
      <w:pPr>
        <w:spacing w:before="29" w:line="288" w:lineRule="auto"/>
        <w:ind w:firstLineChars="200" w:firstLine="480"/>
        <w:rPr>
          <w:kern w:val="0"/>
          <w:sz w:val="24"/>
        </w:rPr>
      </w:pPr>
      <w:r>
        <w:rPr>
          <w:kern w:val="0"/>
          <w:sz w:val="24"/>
        </w:rPr>
        <w:t>根据《中华人民共和国证券投资基金法》和《交银</w:t>
      </w:r>
      <w:r>
        <w:rPr>
          <w:rFonts w:hint="eastAsia"/>
          <w:kern w:val="0"/>
          <w:sz w:val="24"/>
        </w:rPr>
        <w:t>施罗德</w:t>
      </w:r>
      <w:r>
        <w:rPr>
          <w:kern w:val="0"/>
          <w:sz w:val="24"/>
        </w:rPr>
        <w:t>裕兴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。本基金的业绩比较基准为中债综合全价指数。</w:t>
      </w:r>
    </w:p>
    <w:p w:rsidR="007D1BF6" w:rsidRPr="004A3D9A" w:rsidRDefault="007D1BF6" w:rsidP="007D1BF6">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2</w:t>
      </w:r>
      <w:r>
        <w:rPr>
          <w:rFonts w:hint="eastAsia"/>
          <w:kern w:val="0"/>
          <w:sz w:val="24"/>
        </w:rPr>
        <w:t>4</w:t>
      </w:r>
      <w:r w:rsidRPr="004A3D9A">
        <w:rPr>
          <w:kern w:val="0"/>
          <w:sz w:val="24"/>
        </w:rPr>
        <w:t>日批准报出。</w:t>
      </w:r>
    </w:p>
    <w:p w:rsidR="001A59F9" w:rsidRPr="007D1BF6"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w:t>
      </w:r>
      <w:r w:rsidRPr="00592B92">
        <w:rPr>
          <w:color w:val="000000"/>
          <w:sz w:val="24"/>
        </w:rPr>
        <w:lastRenderedPageBreak/>
        <w:t>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颁布的《证券投资基金会计核算业务指引》、《交银施罗德裕兴纯债债券型证券投资基金基金合同》和在财务报表附注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w:t>
      </w:r>
      <w:r w:rsidRPr="00592B92">
        <w:rPr>
          <w:color w:val="000000"/>
          <w:sz w:val="24"/>
        </w:rPr>
        <w:t>9</w:t>
      </w:r>
      <w:r w:rsidRPr="00592B92">
        <w:rPr>
          <w:color w:val="000000"/>
          <w:sz w:val="24"/>
        </w:rPr>
        <w:t>月</w:t>
      </w:r>
      <w:r w:rsidRPr="00592B92">
        <w:rPr>
          <w:color w:val="000000"/>
          <w:sz w:val="24"/>
        </w:rPr>
        <w:t>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w:t>
      </w:r>
      <w:r w:rsidRPr="00592B92">
        <w:rPr>
          <w:color w:val="000000"/>
          <w:sz w:val="24"/>
        </w:rPr>
        <w:t>9</w:t>
      </w:r>
      <w:r w:rsidRPr="00592B92">
        <w:rPr>
          <w:color w:val="000000"/>
          <w:sz w:val="24"/>
        </w:rPr>
        <w:t>月</w:t>
      </w:r>
      <w:r w:rsidRPr="00592B92">
        <w:rPr>
          <w:color w:val="000000"/>
          <w:sz w:val="24"/>
        </w:rPr>
        <w:t>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2016</w:t>
      </w:r>
      <w:r w:rsidRPr="00592B92">
        <w:rPr>
          <w:color w:val="000000"/>
          <w:sz w:val="24"/>
        </w:rPr>
        <w:t>年</w:t>
      </w:r>
      <w:r w:rsidRPr="00592B92">
        <w:rPr>
          <w:color w:val="000000"/>
          <w:sz w:val="24"/>
        </w:rPr>
        <w:t>9</w:t>
      </w:r>
      <w:r w:rsidRPr="00592B92">
        <w:rPr>
          <w:color w:val="000000"/>
          <w:sz w:val="24"/>
        </w:rPr>
        <w:t>月</w:t>
      </w:r>
      <w:r w:rsidRPr="00592B92">
        <w:rPr>
          <w:color w:val="000000"/>
          <w:sz w:val="24"/>
        </w:rPr>
        <w:t>7</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F52644" w:rsidRDefault="009F49F3">
      <w:pPr>
        <w:spacing w:before="29" w:line="288" w:lineRule="auto"/>
        <w:ind w:firstLineChars="200" w:firstLine="480"/>
        <w:rPr>
          <w:color w:val="000000"/>
          <w:sz w:val="24"/>
        </w:rPr>
      </w:pPr>
      <w:r>
        <w:rPr>
          <w:color w:val="000000"/>
          <w:sz w:val="24"/>
        </w:rPr>
        <w:t>(1)</w:t>
      </w:r>
      <w:r>
        <w:rPr>
          <w:color w:val="000000"/>
          <w:sz w:val="24"/>
        </w:rPr>
        <w:t>金融资产的分类</w:t>
      </w:r>
    </w:p>
    <w:p w:rsidR="00F52644" w:rsidRDefault="009F49F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52644" w:rsidRDefault="009F49F3">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52644" w:rsidRDefault="009F49F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52644" w:rsidRDefault="009F49F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76649F">
        <w:rPr>
          <w:color w:val="000000"/>
          <w:sz w:val="24"/>
        </w:rPr>
        <w:lastRenderedPageBreak/>
        <w:t>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F52644" w:rsidRDefault="009F49F3">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52644" w:rsidRDefault="009F49F3">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F52644" w:rsidRDefault="009F49F3">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52644" w:rsidRDefault="009F49F3">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(1)</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F52644" w:rsidRDefault="009F49F3">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F52644" w:rsidRDefault="009F49F3">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F52644" w:rsidRDefault="009F49F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52644" w:rsidRDefault="009F49F3">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F52644" w:rsidRDefault="009F49F3">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52644" w:rsidRDefault="009F49F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F52644" w:rsidRDefault="009F49F3">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F52644" w:rsidRDefault="009F49F3">
      <w:pPr>
        <w:spacing w:before="29" w:line="288" w:lineRule="auto"/>
        <w:ind w:firstLineChars="200" w:firstLine="480"/>
        <w:rPr>
          <w:color w:val="000000"/>
          <w:sz w:val="24"/>
        </w:rPr>
      </w:pPr>
      <w:r>
        <w:rPr>
          <w:color w:val="00000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F52644" w:rsidRDefault="009F49F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F52644" w:rsidRDefault="009F49F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F52644" w:rsidRDefault="009F49F3">
      <w:pPr>
        <w:spacing w:before="29" w:line="288" w:lineRule="auto"/>
        <w:ind w:firstLineChars="200" w:firstLine="480"/>
        <w:rPr>
          <w:color w:val="000000"/>
          <w:sz w:val="24"/>
        </w:rPr>
      </w:pPr>
      <w:r>
        <w:rPr>
          <w:color w:val="000000"/>
          <w:sz w:val="24"/>
        </w:rPr>
        <w:t>(1)</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76649F" w:rsidRDefault="001A59F9" w:rsidP="0076649F">
      <w:pPr>
        <w:spacing w:before="29" w:line="288" w:lineRule="auto"/>
        <w:ind w:firstLineChars="200" w:firstLine="480"/>
        <w:rPr>
          <w:color w:val="000000"/>
          <w:sz w:val="24"/>
        </w:rPr>
      </w:pPr>
      <w:r w:rsidRPr="0076649F">
        <w:rPr>
          <w:color w:val="000000"/>
          <w:sz w:val="24"/>
        </w:rPr>
        <w:t>(2)</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可转换债券、资产支持证券和中小企业私募债券除外</w:t>
      </w:r>
      <w:r w:rsidRPr="0076649F">
        <w:rPr>
          <w:color w:val="000000"/>
          <w:sz w:val="24"/>
        </w:rPr>
        <w:t>)</w:t>
      </w:r>
      <w:r w:rsidRPr="0076649F">
        <w:rPr>
          <w:color w:val="000000"/>
          <w:sz w:val="24"/>
        </w:rPr>
        <w:t>，按照中证指数有限公司根据《中国证券投资基金业协会估值核算工作小组关于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季度固定收益品种的估值处理标准》所独立提供的债券估值结果确定公允价值。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F52644" w:rsidRDefault="009F49F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52644" w:rsidRDefault="009F49F3">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p>
    <w:p w:rsidR="00F52644" w:rsidRDefault="009F49F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F52644">
        <w:tc>
          <w:tcPr>
            <w:tcW w:w="5219" w:type="dxa"/>
            <w:vAlign w:val="center"/>
          </w:tcPr>
          <w:p w:rsidR="00F52644" w:rsidRDefault="009F49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52644" w:rsidRDefault="009F49F3">
            <w:pPr>
              <w:jc w:val="center"/>
            </w:pPr>
            <w:r>
              <w:rPr>
                <w:color w:val="000000"/>
                <w:sz w:val="24"/>
              </w:rPr>
              <w:t>基金管理人、基金销售机构</w:t>
            </w:r>
          </w:p>
        </w:tc>
      </w:tr>
      <w:tr w:rsidR="00F52644">
        <w:tc>
          <w:tcPr>
            <w:tcW w:w="5219" w:type="dxa"/>
            <w:vAlign w:val="center"/>
          </w:tcPr>
          <w:p w:rsidR="00F52644" w:rsidRDefault="009F49F3">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F52644" w:rsidRDefault="009F49F3">
            <w:pPr>
              <w:jc w:val="center"/>
            </w:pPr>
            <w:r>
              <w:rPr>
                <w:color w:val="000000"/>
                <w:sz w:val="24"/>
              </w:rPr>
              <w:t>基金托管人</w:t>
            </w:r>
          </w:p>
        </w:tc>
      </w:tr>
      <w:tr w:rsidR="00F52644">
        <w:tc>
          <w:tcPr>
            <w:tcW w:w="5219" w:type="dxa"/>
            <w:vAlign w:val="center"/>
          </w:tcPr>
          <w:p w:rsidR="00F52644" w:rsidRDefault="009F49F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52644" w:rsidRDefault="009F49F3">
            <w:pPr>
              <w:jc w:val="center"/>
            </w:pPr>
            <w:r>
              <w:rPr>
                <w:color w:val="000000"/>
                <w:sz w:val="24"/>
              </w:rPr>
              <w:t>基金管理人的股东、基金销售机构</w:t>
            </w:r>
          </w:p>
        </w:tc>
      </w:tr>
      <w:tr w:rsidR="00F52644">
        <w:tc>
          <w:tcPr>
            <w:tcW w:w="5219" w:type="dxa"/>
            <w:vAlign w:val="center"/>
          </w:tcPr>
          <w:p w:rsidR="00F52644" w:rsidRDefault="009F49F3">
            <w:pPr>
              <w:jc w:val="left"/>
            </w:pPr>
            <w:r>
              <w:rPr>
                <w:color w:val="000000"/>
                <w:sz w:val="24"/>
              </w:rPr>
              <w:t>施罗德投资管理有限公司</w:t>
            </w:r>
          </w:p>
        </w:tc>
        <w:tc>
          <w:tcPr>
            <w:tcW w:w="3779" w:type="dxa"/>
            <w:vAlign w:val="center"/>
          </w:tcPr>
          <w:p w:rsidR="00F52644" w:rsidRDefault="009F49F3">
            <w:pPr>
              <w:jc w:val="center"/>
            </w:pPr>
            <w:r>
              <w:rPr>
                <w:color w:val="000000"/>
                <w:sz w:val="24"/>
              </w:rPr>
              <w:t>基金管理人的股东</w:t>
            </w:r>
          </w:p>
        </w:tc>
      </w:tr>
      <w:tr w:rsidR="00F52644">
        <w:tc>
          <w:tcPr>
            <w:tcW w:w="5219" w:type="dxa"/>
            <w:vAlign w:val="center"/>
          </w:tcPr>
          <w:p w:rsidR="00F52644" w:rsidRDefault="009F49F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F52644" w:rsidRDefault="009F49F3">
            <w:pPr>
              <w:jc w:val="center"/>
            </w:pPr>
            <w:r>
              <w:rPr>
                <w:color w:val="000000"/>
                <w:sz w:val="24"/>
              </w:rPr>
              <w:t>基金管理人的股东</w:t>
            </w:r>
          </w:p>
        </w:tc>
      </w:tr>
      <w:tr w:rsidR="00F52644">
        <w:tc>
          <w:tcPr>
            <w:tcW w:w="5219" w:type="dxa"/>
            <w:vAlign w:val="center"/>
          </w:tcPr>
          <w:p w:rsidR="00F52644" w:rsidRDefault="009F49F3">
            <w:pPr>
              <w:jc w:val="left"/>
            </w:pPr>
            <w:r>
              <w:rPr>
                <w:color w:val="000000"/>
                <w:sz w:val="24"/>
              </w:rPr>
              <w:t>交银施罗德资产管理有限公司</w:t>
            </w:r>
          </w:p>
        </w:tc>
        <w:tc>
          <w:tcPr>
            <w:tcW w:w="3779" w:type="dxa"/>
            <w:vAlign w:val="center"/>
          </w:tcPr>
          <w:p w:rsidR="00F52644" w:rsidRDefault="009F49F3">
            <w:pPr>
              <w:jc w:val="center"/>
            </w:pPr>
            <w:r>
              <w:rPr>
                <w:color w:val="000000"/>
                <w:sz w:val="24"/>
              </w:rPr>
              <w:t>基金管理人的子公司</w:t>
            </w:r>
          </w:p>
        </w:tc>
      </w:tr>
      <w:tr w:rsidR="00F52644">
        <w:tc>
          <w:tcPr>
            <w:tcW w:w="5219" w:type="dxa"/>
            <w:vAlign w:val="center"/>
          </w:tcPr>
          <w:p w:rsidR="00F52644" w:rsidRDefault="009F49F3">
            <w:pPr>
              <w:jc w:val="left"/>
            </w:pPr>
            <w:r>
              <w:rPr>
                <w:color w:val="000000"/>
                <w:sz w:val="24"/>
              </w:rPr>
              <w:t>上海直源投资管理有限公司</w:t>
            </w:r>
          </w:p>
        </w:tc>
        <w:tc>
          <w:tcPr>
            <w:tcW w:w="3779" w:type="dxa"/>
            <w:vAlign w:val="center"/>
          </w:tcPr>
          <w:p w:rsidR="00F52644" w:rsidRDefault="009F49F3">
            <w:pPr>
              <w:jc w:val="center"/>
            </w:pPr>
            <w:r>
              <w:rPr>
                <w:color w:val="000000"/>
                <w:sz w:val="24"/>
              </w:rPr>
              <w:t>受基金管理人控制的公司</w:t>
            </w:r>
          </w:p>
        </w:tc>
      </w:tr>
      <w:tr w:rsidR="00F52644">
        <w:tc>
          <w:tcPr>
            <w:tcW w:w="5219" w:type="dxa"/>
            <w:vAlign w:val="center"/>
          </w:tcPr>
          <w:p w:rsidR="00F52644" w:rsidRDefault="009F49F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F52644" w:rsidRDefault="009F49F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F49F3" w:rsidRPr="008B2C7A" w:rsidTr="009F49F3">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7</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9F49F3" w:rsidRPr="008B2C7A" w:rsidTr="009F49F3">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430,508.60</w:t>
            </w:r>
          </w:p>
        </w:tc>
      </w:tr>
      <w:tr w:rsidR="009F49F3" w:rsidRPr="008B2C7A" w:rsidTr="009F49F3">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26.04</w:t>
            </w:r>
          </w:p>
        </w:tc>
      </w:tr>
    </w:tbl>
    <w:p w:rsidR="00F52644" w:rsidRDefault="009F49F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F49F3" w:rsidRPr="008B2C7A" w:rsidTr="009F49F3">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9</w:t>
            </w:r>
            <w:r w:rsidRPr="00CD0071">
              <w:rPr>
                <w:bCs/>
                <w:color w:val="000000"/>
                <w:sz w:val="24"/>
              </w:rPr>
              <w:t>月</w:t>
            </w:r>
            <w:r w:rsidRPr="00CD0071">
              <w:rPr>
                <w:bCs/>
                <w:color w:val="000000"/>
                <w:sz w:val="24"/>
              </w:rPr>
              <w:t>7</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9F49F3" w:rsidRPr="008B2C7A" w:rsidTr="009F49F3">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143,502.85</w:t>
            </w:r>
          </w:p>
        </w:tc>
      </w:tr>
    </w:tbl>
    <w:p w:rsidR="00F52644" w:rsidRDefault="009F49F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2016</w:t>
            </w:r>
            <w:r w:rsidRPr="00EF55B7">
              <w:rPr>
                <w:color w:val="000000"/>
                <w:sz w:val="24"/>
              </w:rPr>
              <w:t>年</w:t>
            </w:r>
            <w:r w:rsidRPr="00EF55B7">
              <w:rPr>
                <w:color w:val="000000"/>
                <w:sz w:val="24"/>
              </w:rPr>
              <w:t>9</w:t>
            </w:r>
            <w:r w:rsidRPr="00EF55B7">
              <w:rPr>
                <w:color w:val="000000"/>
                <w:sz w:val="24"/>
              </w:rPr>
              <w:t>月</w:t>
            </w:r>
            <w:r w:rsidRPr="00EF55B7">
              <w:rPr>
                <w:color w:val="000000"/>
                <w:sz w:val="24"/>
              </w:rPr>
              <w:t>7</w:t>
            </w:r>
            <w:r w:rsidRPr="00EF55B7">
              <w:rPr>
                <w:color w:val="000000"/>
                <w:sz w:val="24"/>
              </w:rPr>
              <w:t>日（基金合同生效日）至</w:t>
            </w:r>
            <w:r w:rsidRPr="00EF55B7">
              <w:rPr>
                <w:color w:val="000000"/>
                <w:sz w:val="24"/>
              </w:rPr>
              <w:t>2016</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交银裕兴纯债债券</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交银裕兴纯债债券</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F52644">
        <w:tc>
          <w:tcPr>
            <w:tcW w:w="2045" w:type="dxa"/>
            <w:vAlign w:val="center"/>
          </w:tcPr>
          <w:p w:rsidR="00F52644" w:rsidRDefault="009F49F3">
            <w:pPr>
              <w:jc w:val="left"/>
            </w:pPr>
            <w:r>
              <w:rPr>
                <w:sz w:val="24"/>
              </w:rPr>
              <w:t>交银施罗德基金公司</w:t>
            </w:r>
          </w:p>
        </w:tc>
        <w:tc>
          <w:tcPr>
            <w:tcW w:w="2455" w:type="dxa"/>
            <w:vAlign w:val="center"/>
          </w:tcPr>
          <w:p w:rsidR="00F52644" w:rsidRDefault="009F49F3">
            <w:pPr>
              <w:jc w:val="right"/>
            </w:pPr>
            <w:r>
              <w:rPr>
                <w:sz w:val="24"/>
              </w:rPr>
              <w:t>-</w:t>
            </w:r>
          </w:p>
        </w:tc>
        <w:tc>
          <w:tcPr>
            <w:tcW w:w="2609" w:type="dxa"/>
            <w:vAlign w:val="center"/>
          </w:tcPr>
          <w:p w:rsidR="00F52644" w:rsidRDefault="009F49F3">
            <w:pPr>
              <w:jc w:val="right"/>
            </w:pPr>
            <w:r>
              <w:rPr>
                <w:sz w:val="24"/>
              </w:rPr>
              <w:t>0.75</w:t>
            </w:r>
          </w:p>
        </w:tc>
        <w:tc>
          <w:tcPr>
            <w:tcW w:w="1889" w:type="dxa"/>
            <w:vAlign w:val="center"/>
          </w:tcPr>
          <w:p w:rsidR="00F52644" w:rsidRDefault="009F49F3">
            <w:pPr>
              <w:jc w:val="right"/>
            </w:pPr>
            <w:r>
              <w:rPr>
                <w:sz w:val="24"/>
              </w:rPr>
              <w:t>0.75</w:t>
            </w:r>
          </w:p>
        </w:tc>
      </w:tr>
      <w:tr w:rsidR="00F52644">
        <w:tc>
          <w:tcPr>
            <w:tcW w:w="2045" w:type="dxa"/>
            <w:vAlign w:val="center"/>
          </w:tcPr>
          <w:p w:rsidR="00F52644" w:rsidRDefault="009F49F3">
            <w:pPr>
              <w:jc w:val="left"/>
            </w:pPr>
            <w:r>
              <w:rPr>
                <w:sz w:val="24"/>
              </w:rPr>
              <w:t>交通银行</w:t>
            </w:r>
          </w:p>
        </w:tc>
        <w:tc>
          <w:tcPr>
            <w:tcW w:w="2455" w:type="dxa"/>
            <w:vAlign w:val="center"/>
          </w:tcPr>
          <w:p w:rsidR="00F52644" w:rsidRDefault="009F49F3">
            <w:pPr>
              <w:jc w:val="right"/>
            </w:pPr>
            <w:r>
              <w:rPr>
                <w:sz w:val="24"/>
              </w:rPr>
              <w:t>-</w:t>
            </w:r>
          </w:p>
        </w:tc>
        <w:tc>
          <w:tcPr>
            <w:tcW w:w="2609" w:type="dxa"/>
            <w:vAlign w:val="center"/>
          </w:tcPr>
          <w:p w:rsidR="00F52644" w:rsidRDefault="009F49F3">
            <w:pPr>
              <w:jc w:val="right"/>
            </w:pPr>
            <w:r>
              <w:rPr>
                <w:sz w:val="24"/>
              </w:rPr>
              <w:t>2.92</w:t>
            </w:r>
          </w:p>
        </w:tc>
        <w:tc>
          <w:tcPr>
            <w:tcW w:w="1889" w:type="dxa"/>
            <w:vAlign w:val="center"/>
          </w:tcPr>
          <w:p w:rsidR="00F52644" w:rsidRDefault="009F49F3">
            <w:pPr>
              <w:jc w:val="right"/>
            </w:pPr>
            <w:r>
              <w:rPr>
                <w:sz w:val="24"/>
              </w:rPr>
              <w:t>2.92</w:t>
            </w:r>
          </w:p>
        </w:tc>
      </w:tr>
      <w:tr w:rsidR="00F52644">
        <w:tc>
          <w:tcPr>
            <w:tcW w:w="2045" w:type="dxa"/>
            <w:vAlign w:val="center"/>
          </w:tcPr>
          <w:p w:rsidR="00F52644" w:rsidRDefault="009F49F3">
            <w:pPr>
              <w:jc w:val="left"/>
            </w:pPr>
            <w:r>
              <w:rPr>
                <w:sz w:val="24"/>
              </w:rPr>
              <w:t>兴业银行</w:t>
            </w:r>
          </w:p>
        </w:tc>
        <w:tc>
          <w:tcPr>
            <w:tcW w:w="2455" w:type="dxa"/>
            <w:vAlign w:val="center"/>
          </w:tcPr>
          <w:p w:rsidR="00F52644" w:rsidRDefault="009F49F3">
            <w:pPr>
              <w:jc w:val="right"/>
            </w:pPr>
            <w:r>
              <w:rPr>
                <w:sz w:val="24"/>
              </w:rPr>
              <w:t>-</w:t>
            </w:r>
          </w:p>
        </w:tc>
        <w:tc>
          <w:tcPr>
            <w:tcW w:w="2609" w:type="dxa"/>
            <w:vAlign w:val="center"/>
          </w:tcPr>
          <w:p w:rsidR="00F52644" w:rsidRDefault="009F49F3">
            <w:pPr>
              <w:jc w:val="right"/>
            </w:pPr>
            <w:r>
              <w:rPr>
                <w:sz w:val="24"/>
              </w:rPr>
              <w:t>-</w:t>
            </w:r>
          </w:p>
        </w:tc>
        <w:tc>
          <w:tcPr>
            <w:tcW w:w="1889" w:type="dxa"/>
            <w:vAlign w:val="center"/>
          </w:tcPr>
          <w:p w:rsidR="00F52644" w:rsidRDefault="009F49F3">
            <w:pPr>
              <w:jc w:val="right"/>
            </w:pPr>
            <w:r>
              <w:rPr>
                <w:sz w:val="24"/>
              </w:rPr>
              <w:t>-</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B403EB">
            <w:pPr>
              <w:spacing w:before="29" w:line="288" w:lineRule="auto"/>
              <w:jc w:val="right"/>
              <w:rPr>
                <w:color w:val="000000"/>
                <w:kern w:val="0"/>
                <w:sz w:val="24"/>
              </w:rPr>
            </w:pPr>
            <w:r w:rsidRPr="00C2276D">
              <w:rPr>
                <w:color w:val="000000"/>
                <w:kern w:val="0"/>
                <w:sz w:val="24"/>
              </w:rPr>
              <w:t>-</w:t>
            </w:r>
          </w:p>
        </w:tc>
        <w:tc>
          <w:tcPr>
            <w:tcW w:w="2694" w:type="dxa"/>
            <w:vAlign w:val="center"/>
          </w:tcPr>
          <w:p w:rsidR="0007161E" w:rsidRPr="00C2276D" w:rsidRDefault="0007161E" w:rsidP="00B403EB">
            <w:pPr>
              <w:spacing w:before="29" w:line="288" w:lineRule="auto"/>
              <w:jc w:val="right"/>
              <w:rPr>
                <w:color w:val="000000"/>
                <w:kern w:val="0"/>
                <w:sz w:val="24"/>
              </w:rPr>
            </w:pPr>
            <w:r w:rsidRPr="00C2276D">
              <w:rPr>
                <w:color w:val="000000"/>
                <w:kern w:val="0"/>
                <w:sz w:val="24"/>
              </w:rPr>
              <w:t>3.67</w:t>
            </w:r>
          </w:p>
        </w:tc>
        <w:tc>
          <w:tcPr>
            <w:tcW w:w="1948" w:type="dxa"/>
            <w:vAlign w:val="center"/>
          </w:tcPr>
          <w:p w:rsidR="0007161E" w:rsidRPr="00C2276D" w:rsidRDefault="0007161E" w:rsidP="00B403EB">
            <w:pPr>
              <w:spacing w:before="29" w:line="288" w:lineRule="auto"/>
              <w:jc w:val="right"/>
              <w:rPr>
                <w:color w:val="000000"/>
                <w:kern w:val="0"/>
                <w:sz w:val="24"/>
              </w:rPr>
            </w:pPr>
            <w:r w:rsidRPr="00C2276D">
              <w:rPr>
                <w:color w:val="000000"/>
                <w:kern w:val="0"/>
                <w:sz w:val="24"/>
              </w:rPr>
              <w:t>3.67</w:t>
            </w:r>
          </w:p>
        </w:tc>
      </w:tr>
    </w:tbl>
    <w:p w:rsidR="00F52644" w:rsidRDefault="009F49F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lastRenderedPageBreak/>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本基金本报告期内未发生基金管理人运用固有资金投资本基金的情况。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B403EB" w:rsidRPr="00E25C2A" w:rsidRDefault="00B403E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9</w:t>
            </w:r>
            <w:r w:rsidRPr="0013672A">
              <w:rPr>
                <w:szCs w:val="21"/>
              </w:rPr>
              <w:t>月</w:t>
            </w:r>
            <w:r w:rsidRPr="0013672A">
              <w:rPr>
                <w:szCs w:val="21"/>
              </w:rPr>
              <w:t>7</w:t>
            </w:r>
            <w:r w:rsidRPr="0013672A">
              <w:rPr>
                <w:szCs w:val="21"/>
              </w:rPr>
              <w:t>日（基金合同生效日）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F52644">
        <w:tc>
          <w:tcPr>
            <w:tcW w:w="2268" w:type="dxa"/>
            <w:vAlign w:val="center"/>
          </w:tcPr>
          <w:p w:rsidR="00F52644" w:rsidRDefault="009F49F3">
            <w:pPr>
              <w:jc w:val="left"/>
            </w:pPr>
            <w:r>
              <w:rPr>
                <w:szCs w:val="21"/>
              </w:rPr>
              <w:t>兴业银行</w:t>
            </w:r>
          </w:p>
        </w:tc>
        <w:tc>
          <w:tcPr>
            <w:tcW w:w="3365" w:type="dxa"/>
            <w:vAlign w:val="center"/>
          </w:tcPr>
          <w:p w:rsidR="00F52644" w:rsidRDefault="009F49F3">
            <w:pPr>
              <w:jc w:val="right"/>
            </w:pPr>
            <w:r>
              <w:rPr>
                <w:szCs w:val="21"/>
              </w:rPr>
              <w:t>4,153,460.00</w:t>
            </w:r>
          </w:p>
        </w:tc>
        <w:tc>
          <w:tcPr>
            <w:tcW w:w="3365" w:type="dxa"/>
            <w:vAlign w:val="center"/>
          </w:tcPr>
          <w:p w:rsidR="00F52644" w:rsidRDefault="009F49F3">
            <w:pPr>
              <w:jc w:val="right"/>
            </w:pPr>
            <w:r>
              <w:rPr>
                <w:szCs w:val="21"/>
              </w:rPr>
              <w:t>91,915.64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B403EB" w:rsidRPr="00E25C2A" w:rsidRDefault="00B403E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F52644" w:rsidRDefault="009F49F3">
      <w:pPr>
        <w:spacing w:before="29" w:line="288" w:lineRule="auto"/>
        <w:ind w:firstLineChars="200" w:firstLine="480"/>
        <w:rPr>
          <w:color w:val="000000"/>
          <w:sz w:val="24"/>
        </w:rPr>
      </w:pPr>
      <w:r>
        <w:rPr>
          <w:color w:val="000000"/>
          <w:sz w:val="24"/>
        </w:rPr>
        <w:t>(1)</w:t>
      </w:r>
      <w:r>
        <w:rPr>
          <w:color w:val="000000"/>
          <w:sz w:val="24"/>
        </w:rPr>
        <w:t>公允价值</w:t>
      </w:r>
    </w:p>
    <w:p w:rsidR="00F52644" w:rsidRDefault="009F49F3">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52644" w:rsidRDefault="009F49F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52644" w:rsidRDefault="009F49F3">
      <w:pPr>
        <w:spacing w:before="29" w:line="288" w:lineRule="auto"/>
        <w:ind w:firstLineChars="200" w:firstLine="480"/>
        <w:rPr>
          <w:color w:val="000000"/>
          <w:sz w:val="24"/>
        </w:rPr>
      </w:pPr>
      <w:r>
        <w:rPr>
          <w:color w:val="000000"/>
          <w:sz w:val="24"/>
        </w:rPr>
        <w:t>第一层次：相同资产或负债在活跃市场上未经调整的报价。</w:t>
      </w:r>
    </w:p>
    <w:p w:rsidR="00F52644" w:rsidRDefault="009F49F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52644" w:rsidRDefault="009F49F3">
      <w:pPr>
        <w:spacing w:before="29" w:line="288" w:lineRule="auto"/>
        <w:ind w:firstLineChars="200" w:firstLine="480"/>
        <w:rPr>
          <w:color w:val="000000"/>
          <w:sz w:val="24"/>
        </w:rPr>
      </w:pPr>
      <w:r>
        <w:rPr>
          <w:color w:val="000000"/>
          <w:sz w:val="24"/>
        </w:rPr>
        <w:t>第三层次：相关资产或负债的不可观察输入值。</w:t>
      </w:r>
    </w:p>
    <w:p w:rsidR="00F52644" w:rsidRDefault="009F49F3">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52644" w:rsidRDefault="009F49F3">
      <w:pPr>
        <w:spacing w:before="29" w:line="288" w:lineRule="auto"/>
        <w:ind w:firstLineChars="200" w:firstLine="480"/>
        <w:rPr>
          <w:color w:val="000000"/>
          <w:sz w:val="24"/>
        </w:rPr>
      </w:pPr>
      <w:r>
        <w:rPr>
          <w:color w:val="000000"/>
          <w:sz w:val="24"/>
        </w:rPr>
        <w:t>(i)</w:t>
      </w:r>
      <w:r>
        <w:rPr>
          <w:color w:val="000000"/>
          <w:sz w:val="24"/>
        </w:rPr>
        <w:t>各层次金融工具公允价值</w:t>
      </w:r>
    </w:p>
    <w:p w:rsidR="00F52644" w:rsidRDefault="009F49F3">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567,851,400.00</w:t>
      </w:r>
      <w:r>
        <w:rPr>
          <w:color w:val="000000"/>
          <w:sz w:val="24"/>
        </w:rPr>
        <w:t>元，无属于第一次以及第三层次的余额。</w:t>
      </w:r>
    </w:p>
    <w:p w:rsidR="00F52644" w:rsidRDefault="009F49F3">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52644" w:rsidRDefault="009F49F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52644" w:rsidRDefault="009F49F3">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52644" w:rsidRDefault="009F49F3">
      <w:pPr>
        <w:spacing w:before="29" w:line="288" w:lineRule="auto"/>
        <w:ind w:firstLineChars="200" w:firstLine="480"/>
        <w:rPr>
          <w:color w:val="000000"/>
          <w:sz w:val="24"/>
        </w:rPr>
      </w:pPr>
      <w:r>
        <w:rPr>
          <w:color w:val="000000"/>
          <w:sz w:val="24"/>
        </w:rPr>
        <w:t>无。</w:t>
      </w:r>
    </w:p>
    <w:p w:rsidR="00F52644" w:rsidRDefault="009F49F3">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52644" w:rsidRDefault="009F49F3">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F52644" w:rsidRDefault="009F49F3">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52644" w:rsidRDefault="009F49F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lastRenderedPageBreak/>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567,851,400.00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567,851,400.00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4,153,460.00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20,266,345.90</w:t>
            </w:r>
          </w:p>
        </w:tc>
        <w:tc>
          <w:tcPr>
            <w:tcW w:w="1980" w:type="dxa"/>
            <w:vAlign w:val="center"/>
          </w:tcPr>
          <w:p w:rsidR="001E6CEE" w:rsidRPr="000008D1" w:rsidRDefault="001E6CEE" w:rsidP="00026C9C">
            <w:pPr>
              <w:spacing w:line="360" w:lineRule="auto"/>
              <w:jc w:val="right"/>
              <w:rPr>
                <w:sz w:val="24"/>
              </w:rPr>
            </w:pPr>
            <w:r w:rsidRPr="000008D1">
              <w:rPr>
                <w:sz w:val="24"/>
              </w:rPr>
              <w:t>3.42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592,271,205.90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B403EB" w:rsidRDefault="00B403EB"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B403EB" w:rsidRDefault="00B403EB" w:rsidP="00E25C2A">
      <w:pPr>
        <w:tabs>
          <w:tab w:val="left" w:pos="426"/>
        </w:tabs>
        <w:spacing w:before="29" w:line="288" w:lineRule="auto"/>
        <w:jc w:val="left"/>
        <w:rPr>
          <w:kern w:val="0"/>
          <w:sz w:val="24"/>
        </w:rPr>
      </w:pPr>
    </w:p>
    <w:p w:rsidR="005163E9" w:rsidRPr="005163E9" w:rsidRDefault="005163E9" w:rsidP="005163E9">
      <w:pPr>
        <w:pStyle w:val="20"/>
        <w:spacing w:before="29" w:after="0" w:line="288" w:lineRule="auto"/>
        <w:rPr>
          <w:rFonts w:ascii="Times New Roman" w:hAnsi="Times New Roman"/>
          <w:kern w:val="0"/>
          <w:szCs w:val="24"/>
        </w:rPr>
      </w:pPr>
      <w:bookmarkStart w:id="68" w:name="_Toc361324882"/>
      <w:r w:rsidRPr="005163E9">
        <w:rPr>
          <w:rFonts w:ascii="Times New Roman" w:hAnsi="Times New Roman"/>
          <w:kern w:val="0"/>
          <w:szCs w:val="24"/>
        </w:rPr>
        <w:t>8.4</w:t>
      </w:r>
      <w:bookmarkStart w:id="69" w:name="_Toc234814103"/>
      <w:bookmarkEnd w:id="68"/>
      <w:r w:rsidRPr="005163E9">
        <w:rPr>
          <w:rFonts w:ascii="Times New Roman" w:hAnsi="Times New Roman"/>
          <w:kern w:val="0"/>
          <w:szCs w:val="24"/>
        </w:rPr>
        <w:t xml:space="preserve"> </w:t>
      </w:r>
      <w:bookmarkEnd w:id="69"/>
      <w:r w:rsidRPr="005163E9">
        <w:rPr>
          <w:rFonts w:ascii="Times New Roman" w:hAnsi="Times New Roman" w:hint="eastAsia"/>
          <w:kern w:val="0"/>
          <w:szCs w:val="24"/>
        </w:rPr>
        <w:t>报告期内股票投资组合的重大变动</w:t>
      </w:r>
    </w:p>
    <w:p w:rsidR="005163E9" w:rsidRPr="005163E9" w:rsidRDefault="005163E9" w:rsidP="005163E9">
      <w:pPr>
        <w:tabs>
          <w:tab w:val="left" w:pos="426"/>
        </w:tabs>
        <w:spacing w:before="29" w:line="288" w:lineRule="auto"/>
        <w:jc w:val="left"/>
        <w:rPr>
          <w:kern w:val="0"/>
          <w:sz w:val="24"/>
        </w:rPr>
      </w:pPr>
      <w:r w:rsidRPr="005163E9">
        <w:rPr>
          <w:kern w:val="0"/>
          <w:sz w:val="24"/>
        </w:rPr>
        <w:t>本基金本报告期内未持有股票。</w:t>
      </w:r>
    </w:p>
    <w:p w:rsidR="005163E9" w:rsidRPr="005163E9" w:rsidRDefault="005163E9"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w:t>
      </w:r>
      <w:r w:rsidR="005163E9">
        <w:rPr>
          <w:rFonts w:ascii="Times New Roman" w:hAnsi="Times New Roman"/>
          <w:kern w:val="0"/>
          <w:szCs w:val="24"/>
        </w:rPr>
        <w:t>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40,072,000.00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40,072,000.00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527,779,400.00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89.16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567,851,400.00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95.93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w:t>
      </w:r>
      <w:bookmarkStart w:id="73" w:name="_Toc234814105"/>
      <w:r w:rsidR="005163E9">
        <w:rPr>
          <w:rFonts w:ascii="Times New Roman" w:hAnsi="Times New Roman"/>
          <w:kern w:val="0"/>
          <w:szCs w:val="24"/>
        </w:rPr>
        <w:t>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F52644">
        <w:tc>
          <w:tcPr>
            <w:tcW w:w="1320" w:type="dxa"/>
            <w:vAlign w:val="center"/>
          </w:tcPr>
          <w:p w:rsidR="00F52644" w:rsidRDefault="009F49F3">
            <w:pPr>
              <w:jc w:val="center"/>
            </w:pPr>
            <w:r>
              <w:rPr>
                <w:color w:val="000000"/>
                <w:sz w:val="24"/>
              </w:rPr>
              <w:t>1</w:t>
            </w:r>
          </w:p>
        </w:tc>
        <w:tc>
          <w:tcPr>
            <w:tcW w:w="1382" w:type="dxa"/>
            <w:vAlign w:val="center"/>
          </w:tcPr>
          <w:p w:rsidR="00F52644" w:rsidRDefault="009F49F3">
            <w:pPr>
              <w:jc w:val="center"/>
            </w:pPr>
            <w:r>
              <w:rPr>
                <w:color w:val="000000"/>
                <w:sz w:val="24"/>
              </w:rPr>
              <w:t>1480191</w:t>
            </w:r>
          </w:p>
        </w:tc>
        <w:tc>
          <w:tcPr>
            <w:tcW w:w="1353" w:type="dxa"/>
            <w:vAlign w:val="center"/>
          </w:tcPr>
          <w:p w:rsidR="00F52644" w:rsidRDefault="009F49F3">
            <w:pPr>
              <w:jc w:val="center"/>
            </w:pPr>
            <w:r>
              <w:rPr>
                <w:color w:val="000000"/>
                <w:sz w:val="24"/>
              </w:rPr>
              <w:t>14</w:t>
            </w:r>
            <w:r>
              <w:rPr>
                <w:color w:val="000000"/>
                <w:sz w:val="24"/>
              </w:rPr>
              <w:t>宁经开债</w:t>
            </w:r>
          </w:p>
        </w:tc>
        <w:tc>
          <w:tcPr>
            <w:tcW w:w="1505" w:type="dxa"/>
            <w:vAlign w:val="center"/>
          </w:tcPr>
          <w:p w:rsidR="00F52644" w:rsidRDefault="009F49F3">
            <w:pPr>
              <w:jc w:val="right"/>
            </w:pPr>
            <w:r>
              <w:rPr>
                <w:color w:val="000000"/>
                <w:sz w:val="24"/>
              </w:rPr>
              <w:t>500,000</w:t>
            </w:r>
          </w:p>
        </w:tc>
        <w:tc>
          <w:tcPr>
            <w:tcW w:w="1737" w:type="dxa"/>
            <w:vAlign w:val="center"/>
          </w:tcPr>
          <w:p w:rsidR="00F52644" w:rsidRDefault="009F49F3">
            <w:pPr>
              <w:jc w:val="right"/>
            </w:pPr>
            <w:r>
              <w:rPr>
                <w:color w:val="000000"/>
                <w:sz w:val="24"/>
              </w:rPr>
              <w:t>54,035,000.00</w:t>
            </w:r>
          </w:p>
        </w:tc>
        <w:tc>
          <w:tcPr>
            <w:tcW w:w="1701" w:type="dxa"/>
            <w:vAlign w:val="center"/>
          </w:tcPr>
          <w:p w:rsidR="00F52644" w:rsidRDefault="009F49F3">
            <w:pPr>
              <w:jc w:val="right"/>
            </w:pPr>
            <w:r>
              <w:rPr>
                <w:color w:val="000000"/>
                <w:sz w:val="24"/>
              </w:rPr>
              <w:t>9.13</w:t>
            </w:r>
          </w:p>
        </w:tc>
      </w:tr>
      <w:tr w:rsidR="00F52644">
        <w:tc>
          <w:tcPr>
            <w:tcW w:w="1320" w:type="dxa"/>
            <w:vAlign w:val="center"/>
          </w:tcPr>
          <w:p w:rsidR="00F52644" w:rsidRDefault="009F49F3">
            <w:pPr>
              <w:jc w:val="center"/>
            </w:pPr>
            <w:r>
              <w:rPr>
                <w:color w:val="000000"/>
                <w:sz w:val="24"/>
              </w:rPr>
              <w:t>2</w:t>
            </w:r>
          </w:p>
        </w:tc>
        <w:tc>
          <w:tcPr>
            <w:tcW w:w="1382" w:type="dxa"/>
            <w:vAlign w:val="center"/>
          </w:tcPr>
          <w:p w:rsidR="00F52644" w:rsidRDefault="009F49F3">
            <w:pPr>
              <w:jc w:val="center"/>
            </w:pPr>
            <w:r>
              <w:rPr>
                <w:color w:val="000000"/>
                <w:sz w:val="24"/>
              </w:rPr>
              <w:t>1480236</w:t>
            </w:r>
          </w:p>
        </w:tc>
        <w:tc>
          <w:tcPr>
            <w:tcW w:w="1353" w:type="dxa"/>
            <w:vAlign w:val="center"/>
          </w:tcPr>
          <w:p w:rsidR="00F52644" w:rsidRDefault="009F49F3">
            <w:pPr>
              <w:jc w:val="center"/>
            </w:pPr>
            <w:r>
              <w:rPr>
                <w:color w:val="000000"/>
                <w:sz w:val="24"/>
              </w:rPr>
              <w:t>14</w:t>
            </w:r>
            <w:r>
              <w:rPr>
                <w:color w:val="000000"/>
                <w:sz w:val="24"/>
              </w:rPr>
              <w:t>内江投资债</w:t>
            </w:r>
          </w:p>
        </w:tc>
        <w:tc>
          <w:tcPr>
            <w:tcW w:w="1505" w:type="dxa"/>
            <w:vAlign w:val="center"/>
          </w:tcPr>
          <w:p w:rsidR="00F52644" w:rsidRDefault="009F49F3">
            <w:pPr>
              <w:jc w:val="right"/>
            </w:pPr>
            <w:r>
              <w:rPr>
                <w:color w:val="000000"/>
                <w:sz w:val="24"/>
              </w:rPr>
              <w:t>500,000</w:t>
            </w:r>
          </w:p>
        </w:tc>
        <w:tc>
          <w:tcPr>
            <w:tcW w:w="1737" w:type="dxa"/>
            <w:vAlign w:val="center"/>
          </w:tcPr>
          <w:p w:rsidR="00F52644" w:rsidRDefault="009F49F3">
            <w:pPr>
              <w:jc w:val="right"/>
            </w:pPr>
            <w:r>
              <w:rPr>
                <w:color w:val="000000"/>
                <w:sz w:val="24"/>
              </w:rPr>
              <w:t>53,925,000.00</w:t>
            </w:r>
          </w:p>
        </w:tc>
        <w:tc>
          <w:tcPr>
            <w:tcW w:w="1701" w:type="dxa"/>
            <w:vAlign w:val="center"/>
          </w:tcPr>
          <w:p w:rsidR="00F52644" w:rsidRDefault="009F49F3">
            <w:pPr>
              <w:jc w:val="right"/>
            </w:pPr>
            <w:r>
              <w:rPr>
                <w:color w:val="000000"/>
                <w:sz w:val="24"/>
              </w:rPr>
              <w:t>9.11</w:t>
            </w:r>
          </w:p>
        </w:tc>
      </w:tr>
      <w:tr w:rsidR="00F52644">
        <w:tc>
          <w:tcPr>
            <w:tcW w:w="1320" w:type="dxa"/>
            <w:vAlign w:val="center"/>
          </w:tcPr>
          <w:p w:rsidR="00F52644" w:rsidRDefault="009F49F3">
            <w:pPr>
              <w:jc w:val="center"/>
            </w:pPr>
            <w:r>
              <w:rPr>
                <w:color w:val="000000"/>
                <w:sz w:val="24"/>
              </w:rPr>
              <w:t>3</w:t>
            </w:r>
          </w:p>
        </w:tc>
        <w:tc>
          <w:tcPr>
            <w:tcW w:w="1382" w:type="dxa"/>
            <w:vAlign w:val="center"/>
          </w:tcPr>
          <w:p w:rsidR="00F52644" w:rsidRDefault="009F49F3">
            <w:pPr>
              <w:jc w:val="center"/>
            </w:pPr>
            <w:r>
              <w:rPr>
                <w:color w:val="000000"/>
                <w:sz w:val="24"/>
              </w:rPr>
              <w:t>1480265</w:t>
            </w:r>
          </w:p>
        </w:tc>
        <w:tc>
          <w:tcPr>
            <w:tcW w:w="1353" w:type="dxa"/>
            <w:vAlign w:val="center"/>
          </w:tcPr>
          <w:p w:rsidR="00F52644" w:rsidRDefault="009F49F3">
            <w:pPr>
              <w:jc w:val="center"/>
            </w:pPr>
            <w:r>
              <w:rPr>
                <w:color w:val="000000"/>
                <w:sz w:val="24"/>
              </w:rPr>
              <w:t>14</w:t>
            </w:r>
            <w:r>
              <w:rPr>
                <w:color w:val="000000"/>
                <w:sz w:val="24"/>
              </w:rPr>
              <w:t>象山债</w:t>
            </w:r>
          </w:p>
        </w:tc>
        <w:tc>
          <w:tcPr>
            <w:tcW w:w="1505" w:type="dxa"/>
            <w:vAlign w:val="center"/>
          </w:tcPr>
          <w:p w:rsidR="00F52644" w:rsidRDefault="009F49F3">
            <w:pPr>
              <w:jc w:val="right"/>
            </w:pPr>
            <w:r>
              <w:rPr>
                <w:color w:val="000000"/>
                <w:sz w:val="24"/>
              </w:rPr>
              <w:t>500,000</w:t>
            </w:r>
          </w:p>
        </w:tc>
        <w:tc>
          <w:tcPr>
            <w:tcW w:w="1737" w:type="dxa"/>
            <w:vAlign w:val="center"/>
          </w:tcPr>
          <w:p w:rsidR="00F52644" w:rsidRDefault="009F49F3">
            <w:pPr>
              <w:jc w:val="right"/>
            </w:pPr>
            <w:r>
              <w:rPr>
                <w:color w:val="000000"/>
                <w:sz w:val="24"/>
              </w:rPr>
              <w:t>53,715,000.00</w:t>
            </w:r>
          </w:p>
        </w:tc>
        <w:tc>
          <w:tcPr>
            <w:tcW w:w="1701" w:type="dxa"/>
            <w:vAlign w:val="center"/>
          </w:tcPr>
          <w:p w:rsidR="00F52644" w:rsidRDefault="009F49F3">
            <w:pPr>
              <w:jc w:val="right"/>
            </w:pPr>
            <w:r>
              <w:rPr>
                <w:color w:val="000000"/>
                <w:sz w:val="24"/>
              </w:rPr>
              <w:t>9.07</w:t>
            </w:r>
          </w:p>
        </w:tc>
      </w:tr>
      <w:tr w:rsidR="00F52644">
        <w:tc>
          <w:tcPr>
            <w:tcW w:w="1320" w:type="dxa"/>
            <w:vAlign w:val="center"/>
          </w:tcPr>
          <w:p w:rsidR="00F52644" w:rsidRDefault="009F49F3">
            <w:pPr>
              <w:jc w:val="center"/>
            </w:pPr>
            <w:r>
              <w:rPr>
                <w:color w:val="000000"/>
                <w:sz w:val="24"/>
              </w:rPr>
              <w:t>4</w:t>
            </w:r>
          </w:p>
        </w:tc>
        <w:tc>
          <w:tcPr>
            <w:tcW w:w="1382" w:type="dxa"/>
            <w:vAlign w:val="center"/>
          </w:tcPr>
          <w:p w:rsidR="00F52644" w:rsidRDefault="009F49F3">
            <w:pPr>
              <w:jc w:val="center"/>
            </w:pPr>
            <w:r>
              <w:rPr>
                <w:color w:val="000000"/>
                <w:sz w:val="24"/>
              </w:rPr>
              <w:t>1480204</w:t>
            </w:r>
          </w:p>
        </w:tc>
        <w:tc>
          <w:tcPr>
            <w:tcW w:w="1353" w:type="dxa"/>
            <w:vAlign w:val="center"/>
          </w:tcPr>
          <w:p w:rsidR="00F52644" w:rsidRDefault="009F49F3">
            <w:pPr>
              <w:jc w:val="center"/>
            </w:pPr>
            <w:r>
              <w:rPr>
                <w:color w:val="000000"/>
                <w:sz w:val="24"/>
              </w:rPr>
              <w:t>14</w:t>
            </w:r>
            <w:r>
              <w:rPr>
                <w:color w:val="000000"/>
                <w:sz w:val="24"/>
              </w:rPr>
              <w:t>奉化债</w:t>
            </w:r>
          </w:p>
        </w:tc>
        <w:tc>
          <w:tcPr>
            <w:tcW w:w="1505" w:type="dxa"/>
            <w:vAlign w:val="center"/>
          </w:tcPr>
          <w:p w:rsidR="00F52644" w:rsidRDefault="009F49F3">
            <w:pPr>
              <w:jc w:val="right"/>
            </w:pPr>
            <w:r>
              <w:rPr>
                <w:color w:val="000000"/>
                <w:sz w:val="24"/>
              </w:rPr>
              <w:t>500,000</w:t>
            </w:r>
          </w:p>
        </w:tc>
        <w:tc>
          <w:tcPr>
            <w:tcW w:w="1737" w:type="dxa"/>
            <w:vAlign w:val="center"/>
          </w:tcPr>
          <w:p w:rsidR="00F52644" w:rsidRDefault="009F49F3">
            <w:pPr>
              <w:jc w:val="right"/>
            </w:pPr>
            <w:r>
              <w:rPr>
                <w:color w:val="000000"/>
                <w:sz w:val="24"/>
              </w:rPr>
              <w:t>53,490,000.00</w:t>
            </w:r>
          </w:p>
        </w:tc>
        <w:tc>
          <w:tcPr>
            <w:tcW w:w="1701" w:type="dxa"/>
            <w:vAlign w:val="center"/>
          </w:tcPr>
          <w:p w:rsidR="00F52644" w:rsidRDefault="009F49F3">
            <w:pPr>
              <w:jc w:val="right"/>
            </w:pPr>
            <w:r>
              <w:rPr>
                <w:color w:val="000000"/>
                <w:sz w:val="24"/>
              </w:rPr>
              <w:t>9.04</w:t>
            </w:r>
          </w:p>
        </w:tc>
      </w:tr>
      <w:tr w:rsidR="00F52644">
        <w:tc>
          <w:tcPr>
            <w:tcW w:w="1320" w:type="dxa"/>
            <w:vAlign w:val="center"/>
          </w:tcPr>
          <w:p w:rsidR="00F52644" w:rsidRDefault="009F49F3">
            <w:pPr>
              <w:jc w:val="center"/>
            </w:pPr>
            <w:r>
              <w:rPr>
                <w:color w:val="000000"/>
                <w:sz w:val="24"/>
              </w:rPr>
              <w:t>5</w:t>
            </w:r>
          </w:p>
        </w:tc>
        <w:tc>
          <w:tcPr>
            <w:tcW w:w="1382" w:type="dxa"/>
            <w:vAlign w:val="center"/>
          </w:tcPr>
          <w:p w:rsidR="00F52644" w:rsidRDefault="009F49F3">
            <w:pPr>
              <w:jc w:val="center"/>
            </w:pPr>
            <w:r>
              <w:rPr>
                <w:color w:val="000000"/>
                <w:sz w:val="24"/>
              </w:rPr>
              <w:t>1480186</w:t>
            </w:r>
          </w:p>
        </w:tc>
        <w:tc>
          <w:tcPr>
            <w:tcW w:w="1353" w:type="dxa"/>
            <w:vAlign w:val="center"/>
          </w:tcPr>
          <w:p w:rsidR="00F52644" w:rsidRDefault="009F49F3">
            <w:pPr>
              <w:jc w:val="center"/>
            </w:pPr>
            <w:r>
              <w:rPr>
                <w:color w:val="000000"/>
                <w:sz w:val="24"/>
              </w:rPr>
              <w:t>14</w:t>
            </w:r>
            <w:r>
              <w:rPr>
                <w:color w:val="000000"/>
                <w:sz w:val="24"/>
              </w:rPr>
              <w:t>益阳交投债</w:t>
            </w:r>
          </w:p>
        </w:tc>
        <w:tc>
          <w:tcPr>
            <w:tcW w:w="1505" w:type="dxa"/>
            <w:vAlign w:val="center"/>
          </w:tcPr>
          <w:p w:rsidR="00F52644" w:rsidRDefault="009F49F3">
            <w:pPr>
              <w:jc w:val="right"/>
            </w:pPr>
            <w:r>
              <w:rPr>
                <w:color w:val="000000"/>
                <w:sz w:val="24"/>
              </w:rPr>
              <w:t>500,000</w:t>
            </w:r>
          </w:p>
        </w:tc>
        <w:tc>
          <w:tcPr>
            <w:tcW w:w="1737" w:type="dxa"/>
            <w:vAlign w:val="center"/>
          </w:tcPr>
          <w:p w:rsidR="00F52644" w:rsidRDefault="009F49F3">
            <w:pPr>
              <w:jc w:val="right"/>
            </w:pPr>
            <w:r>
              <w:rPr>
                <w:color w:val="000000"/>
                <w:sz w:val="24"/>
              </w:rPr>
              <w:t>53,285,000.00</w:t>
            </w:r>
          </w:p>
        </w:tc>
        <w:tc>
          <w:tcPr>
            <w:tcW w:w="1701" w:type="dxa"/>
            <w:vAlign w:val="center"/>
          </w:tcPr>
          <w:p w:rsidR="00F52644" w:rsidRDefault="009F49F3">
            <w:pPr>
              <w:jc w:val="right"/>
            </w:pPr>
            <w:r>
              <w:rPr>
                <w:color w:val="000000"/>
                <w:sz w:val="24"/>
              </w:rPr>
              <w:t>9.00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w:t>
      </w:r>
      <w:r w:rsidR="005163E9">
        <w:rPr>
          <w:rFonts w:ascii="Times New Roman" w:hAnsi="Times New Roman"/>
          <w:kern w:val="0"/>
          <w:szCs w:val="24"/>
        </w:rPr>
        <w:t>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w:t>
      </w:r>
      <w:r w:rsidR="005163E9">
        <w:rPr>
          <w:rFonts w:ascii="Times New Roman" w:hAnsi="Times New Roman"/>
          <w:kern w:val="0"/>
          <w:szCs w:val="24"/>
        </w:rPr>
        <w:t>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w:t>
      </w:r>
      <w:r w:rsidR="005163E9">
        <w:rPr>
          <w:rFonts w:ascii="Times New Roman" w:hAnsi="Times New Roman"/>
          <w:kern w:val="0"/>
          <w:szCs w:val="24"/>
        </w:rPr>
        <w:t>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w:t>
      </w:r>
      <w:r w:rsidR="005163E9">
        <w:rPr>
          <w:rFonts w:ascii="Times New Roman" w:hAnsi="Times New Roman"/>
          <w:kern w:val="0"/>
          <w:szCs w:val="24"/>
        </w:rPr>
        <w:t>10</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lastRenderedPageBreak/>
        <w:t>8.1</w:t>
      </w:r>
      <w:r w:rsidR="005163E9">
        <w:rPr>
          <w:rFonts w:ascii="Times New Roman" w:hAnsi="Times New Roman"/>
          <w:kern w:val="0"/>
          <w:szCs w:val="24"/>
        </w:rPr>
        <w:t>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8.1</w:t>
      </w:r>
      <w:r w:rsidR="005163E9">
        <w:rPr>
          <w:rFonts w:ascii="Times New Roman" w:hAnsi="Times New Roman"/>
          <w:kern w:val="0"/>
          <w:szCs w:val="24"/>
        </w:rPr>
        <w:t>2</w:t>
      </w:r>
      <w:r w:rsidRPr="00C2179A">
        <w:rPr>
          <w:rFonts w:ascii="Times New Roman" w:hAnsi="Times New Roman"/>
          <w:kern w:val="0"/>
          <w:szCs w:val="24"/>
        </w:rPr>
        <w:t xml:space="preserve">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w:t>
      </w:r>
      <w:r w:rsidR="005163E9">
        <w:rPr>
          <w:b/>
          <w:sz w:val="24"/>
        </w:rPr>
        <w:t>2</w:t>
      </w:r>
      <w:r w:rsidRPr="0072621B">
        <w:rPr>
          <w:b/>
          <w:sz w:val="24"/>
        </w:rPr>
        <w:t>.1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w:t>
      </w:r>
      <w:r w:rsidR="005163E9">
        <w:rPr>
          <w:b/>
          <w:sz w:val="24"/>
        </w:rPr>
        <w:t>2</w:t>
      </w:r>
      <w:r w:rsidRPr="0072621B">
        <w:rPr>
          <w:b/>
          <w:sz w:val="24"/>
        </w:rPr>
        <w:t>.2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w:t>
      </w:r>
      <w:r w:rsidR="005163E9">
        <w:rPr>
          <w:rFonts w:ascii="Times New Roman" w:hAnsi="Times New Roman"/>
          <w:kern w:val="0"/>
          <w:szCs w:val="24"/>
        </w:rPr>
        <w:t>2</w:t>
      </w:r>
      <w:r w:rsidRPr="00C2179A">
        <w:rPr>
          <w:rFonts w:ascii="Times New Roman" w:hAnsi="Times New Roman"/>
          <w:kern w:val="0"/>
          <w:szCs w:val="24"/>
        </w:rPr>
        <w:t>.3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20,266,345.90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20,266,345.90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w:t>
      </w:r>
      <w:r w:rsidR="005163E9">
        <w:rPr>
          <w:rFonts w:ascii="Times New Roman" w:hAnsi="Times New Roman"/>
          <w:kern w:val="0"/>
          <w:szCs w:val="24"/>
        </w:rPr>
        <w:t>2</w:t>
      </w:r>
      <w:r w:rsidRPr="00C2179A">
        <w:rPr>
          <w:rFonts w:ascii="Times New Roman" w:hAnsi="Times New Roman"/>
          <w:kern w:val="0"/>
          <w:szCs w:val="24"/>
        </w:rPr>
        <w:t>.4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B403EB" w:rsidRPr="00C51A5D" w:rsidRDefault="00B403E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w:t>
      </w:r>
      <w:r w:rsidR="005163E9">
        <w:rPr>
          <w:rFonts w:ascii="Times New Roman" w:hAnsi="Times New Roman"/>
          <w:kern w:val="0"/>
          <w:szCs w:val="24"/>
        </w:rPr>
        <w:t>2</w:t>
      </w:r>
      <w:r w:rsidRPr="00C2179A">
        <w:rPr>
          <w:rFonts w:ascii="Times New Roman" w:hAnsi="Times New Roman"/>
          <w:kern w:val="0"/>
          <w:szCs w:val="24"/>
        </w:rPr>
        <w:t>.5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w:t>
      </w:r>
      <w:r w:rsidR="005163E9">
        <w:rPr>
          <w:rFonts w:ascii="Times New Roman" w:hAnsi="Times New Roman"/>
          <w:kern w:val="0"/>
          <w:szCs w:val="24"/>
        </w:rPr>
        <w:t>2</w:t>
      </w:r>
      <w:r w:rsidRPr="00C2179A">
        <w:rPr>
          <w:rFonts w:ascii="Times New Roman" w:hAnsi="Times New Roman"/>
          <w:kern w:val="0"/>
          <w:szCs w:val="24"/>
        </w:rPr>
        <w:t>.6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4D0705">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lastRenderedPageBreak/>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交银裕兴纯债债券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217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2,761,795.63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599,236,597.80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73,053.45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交银裕兴纯债债券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42.93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1,760.22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258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2,322,912.45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599,236,597.80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74,813.67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交银裕兴纯债债券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230.57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交银裕兴纯债债券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360.03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20.45%</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590.60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交银裕兴纯债债券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交银裕兴纯债债券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交银裕兴纯债债券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交银裕兴纯债债券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交银裕兴纯债债券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交银裕兴纯债债券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9</w:t>
            </w:r>
            <w:r w:rsidRPr="009440E4">
              <w:rPr>
                <w:sz w:val="24"/>
              </w:rPr>
              <w:t>月</w:t>
            </w:r>
            <w:r w:rsidRPr="009440E4">
              <w:rPr>
                <w:sz w:val="24"/>
              </w:rPr>
              <w:t>7</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200,094,920.52</w:t>
            </w:r>
          </w:p>
        </w:tc>
        <w:tc>
          <w:tcPr>
            <w:tcW w:w="1615" w:type="pct"/>
            <w:vAlign w:val="center"/>
          </w:tcPr>
          <w:p w:rsidR="00703495" w:rsidRPr="009440E4" w:rsidRDefault="00703495" w:rsidP="009440E4">
            <w:pPr>
              <w:spacing w:before="29" w:line="288" w:lineRule="auto"/>
              <w:jc w:val="center"/>
              <w:rPr>
                <w:sz w:val="24"/>
              </w:rPr>
            </w:pPr>
            <w:r w:rsidRPr="009440E4">
              <w:rPr>
                <w:sz w:val="24"/>
              </w:rPr>
              <w:t>2,500.32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399,217,121.61</w:t>
            </w:r>
          </w:p>
        </w:tc>
        <w:tc>
          <w:tcPr>
            <w:tcW w:w="1615" w:type="pct"/>
            <w:vAlign w:val="bottom"/>
          </w:tcPr>
          <w:p w:rsidR="00703495" w:rsidRPr="009440E4" w:rsidRDefault="00703495" w:rsidP="009440E4">
            <w:pPr>
              <w:spacing w:before="29" w:line="288" w:lineRule="auto"/>
              <w:jc w:val="center"/>
              <w:rPr>
                <w:sz w:val="24"/>
              </w:rPr>
            </w:pPr>
            <w:r w:rsidRPr="009440E4">
              <w:rPr>
                <w:sz w:val="24"/>
              </w:rPr>
              <w:t>22,964.75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基金合同生效日起至报告期期末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2,390.88</w:t>
            </w:r>
          </w:p>
        </w:tc>
        <w:tc>
          <w:tcPr>
            <w:tcW w:w="1615" w:type="pct"/>
            <w:vAlign w:val="bottom"/>
          </w:tcPr>
          <w:p w:rsidR="00703495" w:rsidRPr="009440E4" w:rsidRDefault="00703495" w:rsidP="009440E4">
            <w:pPr>
              <w:spacing w:before="29" w:line="288" w:lineRule="auto"/>
              <w:jc w:val="center"/>
              <w:rPr>
                <w:sz w:val="24"/>
              </w:rPr>
            </w:pPr>
            <w:r w:rsidRPr="009440E4">
              <w:rPr>
                <w:sz w:val="24"/>
              </w:rPr>
              <w:t>23,704.85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基金合同生效日起至报告期期末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599,309,651.25</w:t>
            </w:r>
          </w:p>
        </w:tc>
        <w:tc>
          <w:tcPr>
            <w:tcW w:w="1615" w:type="pct"/>
            <w:vAlign w:val="center"/>
          </w:tcPr>
          <w:p w:rsidR="00703495" w:rsidRPr="009440E4" w:rsidRDefault="00703495" w:rsidP="009440E4">
            <w:pPr>
              <w:spacing w:before="29" w:line="288" w:lineRule="auto"/>
              <w:jc w:val="center"/>
              <w:rPr>
                <w:sz w:val="24"/>
              </w:rPr>
            </w:pPr>
            <w:r w:rsidRPr="009440E4">
              <w:rPr>
                <w:sz w:val="24"/>
              </w:rPr>
              <w:t>1,760.22</w:t>
            </w:r>
          </w:p>
        </w:tc>
      </w:tr>
    </w:tbl>
    <w:p w:rsidR="00F52644" w:rsidRDefault="009F49F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F52644" w:rsidRDefault="009F49F3">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r w:rsidRPr="00FF415B">
        <w:rPr>
          <w:color w:val="000000"/>
          <w:sz w:val="24"/>
        </w:rPr>
        <w:t xml:space="preserve"> </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lastRenderedPageBreak/>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F52644" w:rsidRDefault="009F49F3">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52644" w:rsidRDefault="009F49F3">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F52644" w:rsidRDefault="009F49F3">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F52644">
        <w:tc>
          <w:tcPr>
            <w:tcW w:w="1559" w:type="dxa"/>
            <w:vAlign w:val="center"/>
          </w:tcPr>
          <w:p w:rsidR="00F52644" w:rsidRDefault="009F49F3">
            <w:pPr>
              <w:jc w:val="left"/>
            </w:pPr>
            <w:r>
              <w:rPr>
                <w:color w:val="000000"/>
                <w:szCs w:val="21"/>
              </w:rPr>
              <w:t>长江证券股份有限公司</w:t>
            </w:r>
          </w:p>
        </w:tc>
        <w:tc>
          <w:tcPr>
            <w:tcW w:w="779" w:type="dxa"/>
            <w:vAlign w:val="center"/>
          </w:tcPr>
          <w:p w:rsidR="00F52644" w:rsidRDefault="009F49F3">
            <w:pPr>
              <w:jc w:val="right"/>
            </w:pPr>
            <w:r>
              <w:rPr>
                <w:color w:val="000000"/>
                <w:szCs w:val="21"/>
              </w:rPr>
              <w:t>2</w:t>
            </w:r>
          </w:p>
        </w:tc>
        <w:tc>
          <w:tcPr>
            <w:tcW w:w="1800" w:type="dxa"/>
            <w:vAlign w:val="center"/>
          </w:tcPr>
          <w:p w:rsidR="00F52644" w:rsidRDefault="009F49F3">
            <w:pPr>
              <w:jc w:val="right"/>
            </w:pPr>
            <w:r>
              <w:rPr>
                <w:color w:val="000000"/>
                <w:szCs w:val="21"/>
              </w:rPr>
              <w:t>-</w:t>
            </w:r>
          </w:p>
        </w:tc>
        <w:tc>
          <w:tcPr>
            <w:tcW w:w="1080" w:type="dxa"/>
            <w:vAlign w:val="center"/>
          </w:tcPr>
          <w:p w:rsidR="00F52644" w:rsidRDefault="009F49F3">
            <w:pPr>
              <w:jc w:val="right"/>
            </w:pPr>
            <w:r>
              <w:rPr>
                <w:color w:val="000000"/>
                <w:szCs w:val="21"/>
              </w:rPr>
              <w:t>-</w:t>
            </w:r>
          </w:p>
        </w:tc>
        <w:tc>
          <w:tcPr>
            <w:tcW w:w="1620" w:type="dxa"/>
            <w:vAlign w:val="center"/>
          </w:tcPr>
          <w:p w:rsidR="00F52644" w:rsidRDefault="009F49F3">
            <w:pPr>
              <w:jc w:val="right"/>
            </w:pPr>
            <w:r>
              <w:rPr>
                <w:color w:val="000000"/>
                <w:szCs w:val="21"/>
              </w:rPr>
              <w:t>-</w:t>
            </w:r>
          </w:p>
        </w:tc>
        <w:tc>
          <w:tcPr>
            <w:tcW w:w="1080" w:type="dxa"/>
            <w:vAlign w:val="center"/>
          </w:tcPr>
          <w:p w:rsidR="00F52644" w:rsidRDefault="009F49F3">
            <w:pPr>
              <w:jc w:val="right"/>
            </w:pPr>
            <w:r>
              <w:rPr>
                <w:color w:val="000000"/>
                <w:szCs w:val="21"/>
              </w:rPr>
              <w:t>-</w:t>
            </w:r>
          </w:p>
        </w:tc>
        <w:tc>
          <w:tcPr>
            <w:tcW w:w="1080" w:type="dxa"/>
            <w:vAlign w:val="center"/>
          </w:tcPr>
          <w:p w:rsidR="00F52644" w:rsidRDefault="009F49F3">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F52644">
        <w:tc>
          <w:tcPr>
            <w:tcW w:w="1559" w:type="dxa"/>
            <w:vAlign w:val="center"/>
          </w:tcPr>
          <w:p w:rsidR="00F52644" w:rsidRDefault="009F49F3">
            <w:pPr>
              <w:jc w:val="left"/>
            </w:pPr>
            <w:r>
              <w:rPr>
                <w:szCs w:val="21"/>
              </w:rPr>
              <w:t>长江证券股份有限公司</w:t>
            </w:r>
          </w:p>
        </w:tc>
        <w:tc>
          <w:tcPr>
            <w:tcW w:w="1319" w:type="dxa"/>
            <w:vAlign w:val="center"/>
          </w:tcPr>
          <w:p w:rsidR="00F52644" w:rsidRDefault="009F49F3">
            <w:pPr>
              <w:jc w:val="right"/>
            </w:pPr>
            <w:r>
              <w:rPr>
                <w:szCs w:val="21"/>
              </w:rPr>
              <w:t>-</w:t>
            </w:r>
          </w:p>
        </w:tc>
        <w:tc>
          <w:tcPr>
            <w:tcW w:w="1080" w:type="dxa"/>
            <w:vAlign w:val="center"/>
          </w:tcPr>
          <w:p w:rsidR="00F52644" w:rsidRDefault="009F49F3">
            <w:pPr>
              <w:jc w:val="right"/>
            </w:pPr>
            <w:r>
              <w:rPr>
                <w:szCs w:val="21"/>
              </w:rPr>
              <w:t>-</w:t>
            </w:r>
          </w:p>
        </w:tc>
        <w:tc>
          <w:tcPr>
            <w:tcW w:w="1080" w:type="dxa"/>
            <w:vAlign w:val="center"/>
          </w:tcPr>
          <w:p w:rsidR="00F52644" w:rsidRDefault="009F49F3">
            <w:pPr>
              <w:jc w:val="right"/>
            </w:pPr>
            <w:r>
              <w:rPr>
                <w:szCs w:val="21"/>
              </w:rPr>
              <w:t>391,000,000.00</w:t>
            </w:r>
          </w:p>
        </w:tc>
        <w:tc>
          <w:tcPr>
            <w:tcW w:w="1260" w:type="dxa"/>
            <w:vAlign w:val="center"/>
          </w:tcPr>
          <w:p w:rsidR="00F52644" w:rsidRDefault="009F49F3">
            <w:pPr>
              <w:jc w:val="right"/>
            </w:pPr>
            <w:r>
              <w:rPr>
                <w:szCs w:val="21"/>
              </w:rPr>
              <w:t>100.00%</w:t>
            </w:r>
          </w:p>
        </w:tc>
        <w:tc>
          <w:tcPr>
            <w:tcW w:w="1260" w:type="dxa"/>
            <w:vAlign w:val="center"/>
          </w:tcPr>
          <w:p w:rsidR="00F52644" w:rsidRDefault="009F49F3">
            <w:pPr>
              <w:jc w:val="right"/>
            </w:pPr>
            <w:r>
              <w:rPr>
                <w:szCs w:val="21"/>
              </w:rPr>
              <w:t>-</w:t>
            </w:r>
          </w:p>
        </w:tc>
        <w:tc>
          <w:tcPr>
            <w:tcW w:w="1440" w:type="dxa"/>
            <w:vAlign w:val="center"/>
          </w:tcPr>
          <w:p w:rsidR="00F52644" w:rsidRDefault="009F49F3">
            <w:pPr>
              <w:jc w:val="right"/>
            </w:pPr>
            <w:r>
              <w:rPr>
                <w:szCs w:val="21"/>
              </w:rPr>
              <w:t>-</w:t>
            </w:r>
          </w:p>
        </w:tc>
      </w:tr>
    </w:tbl>
    <w:p w:rsidR="00F52644" w:rsidRDefault="009F49F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F52644" w:rsidRDefault="009F49F3">
      <w:pPr>
        <w:tabs>
          <w:tab w:val="left" w:pos="426"/>
        </w:tabs>
        <w:spacing w:before="29" w:line="288" w:lineRule="auto"/>
        <w:jc w:val="left"/>
        <w:rPr>
          <w:kern w:val="0"/>
          <w:sz w:val="24"/>
        </w:rPr>
      </w:pPr>
      <w:r>
        <w:rPr>
          <w:kern w:val="0"/>
          <w:sz w:val="24"/>
        </w:rPr>
        <w:lastRenderedPageBreak/>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0E" w:rsidRDefault="0093180E">
      <w:r>
        <w:separator/>
      </w:r>
    </w:p>
  </w:endnote>
  <w:endnote w:type="continuationSeparator" w:id="0">
    <w:p w:rsidR="0093180E" w:rsidRDefault="0093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4D0705">
      <w:rPr>
        <w:noProof/>
        <w:kern w:val="0"/>
        <w:szCs w:val="21"/>
      </w:rPr>
      <w:t>2</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4D0705">
      <w:rPr>
        <w:noProof/>
        <w:kern w:val="0"/>
        <w:szCs w:val="21"/>
      </w:rPr>
      <w:t>32</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0E" w:rsidRDefault="0093180E">
      <w:r>
        <w:separator/>
      </w:r>
    </w:p>
  </w:footnote>
  <w:footnote w:type="continuationSeparator" w:id="0">
    <w:p w:rsidR="0093180E" w:rsidRDefault="00931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33E"/>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705"/>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3E9"/>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1A67"/>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BF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80E"/>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9F3"/>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03EB"/>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0C93"/>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2644"/>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 w:type="paragraph" w:customStyle="1" w:styleId="12">
    <w:name w:val="正文1"/>
    <w:link w:val="12"/>
    <w:qFormat/>
    <w:rsid w:val="005163E9"/>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32</Pages>
  <Words>3273</Words>
  <Characters>18660</Characters>
  <Application>Microsoft Office Word</Application>
  <DocSecurity>0</DocSecurity>
  <Lines>155</Lines>
  <Paragraphs>43</Paragraphs>
  <ScaleCrop>false</ScaleCrop>
  <Company/>
  <LinksUpToDate>false</LinksUpToDate>
  <CharactersWithSpaces>21890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630</cp:revision>
  <cp:lastPrinted>2007-07-19T00:46:00Z</cp:lastPrinted>
  <dcterms:created xsi:type="dcterms:W3CDTF">2013-08-19T02:39:00Z</dcterms:created>
  <dcterms:modified xsi:type="dcterms:W3CDTF">2017-03-27T12:55:00Z</dcterms:modified>
</cp:coreProperties>
</file>