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交银施罗德裕通纯债债券型证券投资基金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2016</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兴业银行股份有限公司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兴业银行股份有限公司</w:t>
      </w:r>
      <w:r w:rsidR="00432FE3">
        <w:rPr>
          <w:color w:val="000000"/>
          <w:sz w:val="24"/>
        </w:rPr>
        <w:t>(</w:t>
      </w:r>
      <w:r w:rsidR="00432FE3">
        <w:rPr>
          <w:rFonts w:hint="eastAsia"/>
          <w:color w:val="000000"/>
          <w:sz w:val="24"/>
        </w:rPr>
        <w:t>以下简称“</w:t>
      </w:r>
      <w:r w:rsidR="00432FE3">
        <w:rPr>
          <w:color w:val="000000"/>
          <w:sz w:val="24"/>
        </w:rPr>
        <w:t>兴业银行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交银裕通纯债债券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519762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519762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12</w:t>
            </w:r>
            <w:r w:rsidRPr="00E25C2A">
              <w:rPr>
                <w:sz w:val="24"/>
              </w:rPr>
              <w:t>月</w:t>
            </w:r>
            <w:r w:rsidRPr="00E25C2A">
              <w:rPr>
                <w:sz w:val="24"/>
              </w:rPr>
              <w:t>29</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兴业银行股份有限公司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1,705,247,328.78</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交银裕通纯债债券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交银裕通纯债债券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519762</w:t>
            </w:r>
          </w:p>
        </w:tc>
        <w:tc>
          <w:tcPr>
            <w:tcW w:w="2902" w:type="dxa"/>
            <w:vAlign w:val="center"/>
          </w:tcPr>
          <w:p w:rsidR="009511B7" w:rsidRPr="000E4C40" w:rsidRDefault="009511B7" w:rsidP="00C57BBB">
            <w:pPr>
              <w:spacing w:before="29" w:line="288" w:lineRule="auto"/>
              <w:jc w:val="left"/>
              <w:rPr>
                <w:sz w:val="24"/>
              </w:rPr>
            </w:pPr>
            <w:r w:rsidRPr="000E4C40">
              <w:rPr>
                <w:sz w:val="24"/>
              </w:rPr>
              <w:t>519763</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1,704,392,918.43</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854,410.35</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在严格控制风险的基础上，通过积极主动的投资管理，追求基金资产的长期稳健增值，力争实现超越业绩比较基准的投资回报。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兴业银行股份有限公司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刘峰</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7777@126.com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021-62159217</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F859EC" w:rsidRPr="00A942AC" w:rsidTr="00F859EC">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r w:rsidRPr="00A942AC">
              <w:rPr>
                <w:b/>
                <w:szCs w:val="21"/>
              </w:rPr>
              <w:t>12</w:t>
            </w:r>
            <w:r w:rsidRPr="00A942AC">
              <w:rPr>
                <w:b/>
                <w:szCs w:val="21"/>
              </w:rPr>
              <w:t>月</w:t>
            </w:r>
            <w:r w:rsidRPr="00A942AC">
              <w:rPr>
                <w:b/>
                <w:szCs w:val="21"/>
              </w:rPr>
              <w:t>29</w:t>
            </w:r>
            <w:r w:rsidRPr="00A942AC">
              <w:rPr>
                <w:b/>
                <w:szCs w:val="21"/>
              </w:rPr>
              <w:t>日（基金合同生效日）至</w:t>
            </w:r>
            <w:r w:rsidRPr="00A942AC">
              <w:rPr>
                <w:b/>
                <w:szCs w:val="21"/>
              </w:rPr>
              <w:t>2015</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F859EC" w:rsidRPr="00A942AC" w:rsidTr="00F859EC">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C</w:t>
            </w:r>
          </w:p>
        </w:tc>
      </w:tr>
      <w:tr w:rsidR="00F859EC" w:rsidRPr="00A942AC" w:rsidTr="00F859EC">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44,341,631.55</w:t>
            </w:r>
          </w:p>
        </w:tc>
        <w:tc>
          <w:tcPr>
            <w:tcW w:w="688" w:type="pct"/>
            <w:vAlign w:val="center"/>
          </w:tcPr>
          <w:p w:rsidR="00B44DBC" w:rsidRPr="00A942AC" w:rsidRDefault="00B44DBC" w:rsidP="00674CBD">
            <w:pPr>
              <w:spacing w:before="29" w:line="288" w:lineRule="auto"/>
              <w:jc w:val="right"/>
              <w:rPr>
                <w:szCs w:val="21"/>
              </w:rPr>
            </w:pPr>
            <w:r w:rsidRPr="00A942AC">
              <w:rPr>
                <w:szCs w:val="21"/>
              </w:rPr>
              <w:t>25,521.82</w:t>
            </w:r>
          </w:p>
        </w:tc>
        <w:tc>
          <w:tcPr>
            <w:tcW w:w="687" w:type="pct"/>
            <w:vAlign w:val="center"/>
          </w:tcPr>
          <w:p w:rsidR="00B44DBC" w:rsidRPr="00A942AC" w:rsidRDefault="00B44DBC" w:rsidP="00674CBD">
            <w:pPr>
              <w:spacing w:before="29" w:line="288" w:lineRule="auto"/>
              <w:jc w:val="right"/>
              <w:rPr>
                <w:szCs w:val="21"/>
              </w:rPr>
            </w:pPr>
            <w:r w:rsidRPr="00A942AC">
              <w:rPr>
                <w:szCs w:val="21"/>
              </w:rPr>
              <w:t>36,634.40</w:t>
            </w:r>
          </w:p>
        </w:tc>
        <w:tc>
          <w:tcPr>
            <w:tcW w:w="688" w:type="pct"/>
            <w:vAlign w:val="center"/>
          </w:tcPr>
          <w:p w:rsidR="00B44DBC" w:rsidRPr="00A942AC" w:rsidRDefault="00B44DBC" w:rsidP="00674CBD">
            <w:pPr>
              <w:spacing w:before="29" w:line="288" w:lineRule="auto"/>
              <w:jc w:val="right"/>
              <w:rPr>
                <w:szCs w:val="21"/>
              </w:rPr>
            </w:pPr>
            <w:r w:rsidRPr="00A942AC">
              <w:rPr>
                <w:szCs w:val="21"/>
              </w:rPr>
              <w:t>200.11</w:t>
            </w:r>
          </w:p>
        </w:tc>
      </w:tr>
      <w:tr w:rsidR="00F859EC" w:rsidRPr="00A942AC" w:rsidTr="00F859EC">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-10,731,577.56</w:t>
            </w:r>
          </w:p>
        </w:tc>
        <w:tc>
          <w:tcPr>
            <w:tcW w:w="688" w:type="pct"/>
            <w:vAlign w:val="center"/>
          </w:tcPr>
          <w:p w:rsidR="00B44DBC" w:rsidRPr="00A942AC" w:rsidRDefault="00B44DBC" w:rsidP="00674CBD">
            <w:pPr>
              <w:spacing w:before="29" w:line="288" w:lineRule="auto"/>
              <w:jc w:val="right"/>
              <w:rPr>
                <w:szCs w:val="21"/>
              </w:rPr>
            </w:pPr>
            <w:r w:rsidRPr="00A942AC">
              <w:rPr>
                <w:szCs w:val="21"/>
              </w:rPr>
              <w:t>-3,504.37</w:t>
            </w:r>
          </w:p>
        </w:tc>
        <w:tc>
          <w:tcPr>
            <w:tcW w:w="687" w:type="pct"/>
            <w:vAlign w:val="center"/>
          </w:tcPr>
          <w:p w:rsidR="00B44DBC" w:rsidRPr="00A942AC" w:rsidRDefault="00B44DBC" w:rsidP="00674CBD">
            <w:pPr>
              <w:spacing w:before="29" w:line="288" w:lineRule="auto"/>
              <w:jc w:val="right"/>
              <w:rPr>
                <w:szCs w:val="21"/>
              </w:rPr>
            </w:pPr>
            <w:r w:rsidRPr="00A942AC">
              <w:rPr>
                <w:szCs w:val="21"/>
              </w:rPr>
              <w:t>36,634.40</w:t>
            </w:r>
          </w:p>
        </w:tc>
        <w:tc>
          <w:tcPr>
            <w:tcW w:w="688" w:type="pct"/>
            <w:vAlign w:val="center"/>
          </w:tcPr>
          <w:p w:rsidR="00B44DBC" w:rsidRPr="00A942AC" w:rsidRDefault="00B44DBC" w:rsidP="00674CBD">
            <w:pPr>
              <w:spacing w:before="29" w:line="288" w:lineRule="auto"/>
              <w:jc w:val="right"/>
              <w:rPr>
                <w:szCs w:val="21"/>
              </w:rPr>
            </w:pPr>
            <w:r w:rsidRPr="00A942AC">
              <w:rPr>
                <w:szCs w:val="21"/>
              </w:rPr>
              <w:t>200.11</w:t>
            </w:r>
          </w:p>
        </w:tc>
      </w:tr>
      <w:tr w:rsidR="00F859EC" w:rsidRPr="00A942AC" w:rsidTr="00F859EC">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-0.0069</w:t>
            </w:r>
          </w:p>
        </w:tc>
        <w:tc>
          <w:tcPr>
            <w:tcW w:w="688" w:type="pct"/>
            <w:vAlign w:val="center"/>
          </w:tcPr>
          <w:p w:rsidR="008C42FD" w:rsidRPr="00E52F9F" w:rsidRDefault="008C42FD" w:rsidP="00AF7CB5">
            <w:pPr>
              <w:spacing w:before="29" w:line="288" w:lineRule="auto"/>
              <w:jc w:val="right"/>
              <w:rPr>
                <w:szCs w:val="21"/>
              </w:rPr>
            </w:pPr>
            <w:r w:rsidRPr="00E52F9F">
              <w:rPr>
                <w:szCs w:val="21"/>
              </w:rPr>
              <w:t>-0.0033</w:t>
            </w:r>
          </w:p>
        </w:tc>
        <w:tc>
          <w:tcPr>
            <w:tcW w:w="687" w:type="pct"/>
            <w:vAlign w:val="center"/>
          </w:tcPr>
          <w:p w:rsidR="008C42FD" w:rsidRPr="00E52F9F" w:rsidRDefault="008C42FD" w:rsidP="00AF7CB5">
            <w:pPr>
              <w:spacing w:before="29" w:line="288" w:lineRule="auto"/>
              <w:jc w:val="right"/>
              <w:rPr>
                <w:szCs w:val="21"/>
              </w:rPr>
            </w:pPr>
            <w:r w:rsidRPr="00E52F9F">
              <w:rPr>
                <w:szCs w:val="21"/>
              </w:rPr>
              <w:t>0.0002</w:t>
            </w:r>
          </w:p>
        </w:tc>
        <w:tc>
          <w:tcPr>
            <w:tcW w:w="688" w:type="pct"/>
            <w:vAlign w:val="center"/>
          </w:tcPr>
          <w:p w:rsidR="008C42FD" w:rsidRPr="00E52F9F" w:rsidRDefault="008C42FD" w:rsidP="00AF7CB5">
            <w:pPr>
              <w:spacing w:before="29" w:line="288" w:lineRule="auto"/>
              <w:jc w:val="right"/>
              <w:rPr>
                <w:szCs w:val="21"/>
              </w:rPr>
            </w:pPr>
            <w:r w:rsidRPr="00E52F9F">
              <w:rPr>
                <w:szCs w:val="21"/>
              </w:rPr>
              <w:t>0.0001</w:t>
            </w:r>
          </w:p>
        </w:tc>
      </w:tr>
      <w:tr w:rsidR="00F859EC" w:rsidRPr="00A942AC" w:rsidTr="00F859EC">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-0.30%</w:t>
            </w:r>
          </w:p>
        </w:tc>
        <w:tc>
          <w:tcPr>
            <w:tcW w:w="688" w:type="pct"/>
            <w:vAlign w:val="center"/>
          </w:tcPr>
          <w:p w:rsidR="00A62AD8" w:rsidRPr="00A942AC" w:rsidRDefault="00A62AD8" w:rsidP="00674CBD">
            <w:pPr>
              <w:spacing w:before="29" w:line="288" w:lineRule="auto"/>
              <w:jc w:val="right"/>
              <w:rPr>
                <w:szCs w:val="21"/>
              </w:rPr>
            </w:pPr>
            <w:r w:rsidRPr="00A942AC">
              <w:rPr>
                <w:szCs w:val="21"/>
              </w:rPr>
              <w:t>-0.70%</w:t>
            </w:r>
          </w:p>
        </w:tc>
        <w:tc>
          <w:tcPr>
            <w:tcW w:w="687" w:type="pct"/>
            <w:vAlign w:val="center"/>
          </w:tcPr>
          <w:p w:rsidR="00A62AD8" w:rsidRPr="00A942AC" w:rsidRDefault="00A62AD8" w:rsidP="00674CBD">
            <w:pPr>
              <w:spacing w:before="29" w:line="288" w:lineRule="auto"/>
              <w:jc w:val="right"/>
              <w:rPr>
                <w:szCs w:val="21"/>
              </w:rPr>
            </w:pPr>
            <w:r w:rsidRPr="00A942AC">
              <w:rPr>
                <w:szCs w:val="21"/>
              </w:rPr>
              <w:t>0.00%</w:t>
            </w:r>
          </w:p>
        </w:tc>
        <w:tc>
          <w:tcPr>
            <w:tcW w:w="688" w:type="pct"/>
            <w:vAlign w:val="center"/>
          </w:tcPr>
          <w:p w:rsidR="00A62AD8" w:rsidRPr="00A942AC" w:rsidRDefault="00A62AD8" w:rsidP="00674CBD">
            <w:pPr>
              <w:spacing w:before="29" w:line="288" w:lineRule="auto"/>
              <w:jc w:val="right"/>
              <w:rPr>
                <w:szCs w:val="21"/>
              </w:rPr>
            </w:pPr>
            <w:r w:rsidRPr="00A942AC">
              <w:rPr>
                <w:szCs w:val="21"/>
              </w:rPr>
              <w:t>0.00%</w:t>
            </w:r>
          </w:p>
        </w:tc>
      </w:tr>
      <w:tr w:rsidR="00F859EC" w:rsidRPr="00A942AC" w:rsidTr="00F859EC">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F859EC" w:rsidRPr="00A942AC" w:rsidTr="00F859EC">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C</w:t>
            </w:r>
          </w:p>
        </w:tc>
      </w:tr>
      <w:tr w:rsidR="00F859EC" w:rsidRPr="00A942AC" w:rsidTr="00F859EC">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-0.003</w:t>
            </w:r>
          </w:p>
        </w:tc>
        <w:tc>
          <w:tcPr>
            <w:tcW w:w="687" w:type="pct"/>
            <w:vAlign w:val="center"/>
          </w:tcPr>
          <w:p w:rsidR="00B44DBC" w:rsidRPr="00A942AC" w:rsidRDefault="00B44DBC" w:rsidP="00674CBD">
            <w:pPr>
              <w:spacing w:before="29" w:line="288" w:lineRule="auto"/>
              <w:jc w:val="right"/>
              <w:rPr>
                <w:szCs w:val="21"/>
              </w:rPr>
            </w:pPr>
            <w:r w:rsidRPr="00A942AC">
              <w:rPr>
                <w:szCs w:val="21"/>
              </w:rPr>
              <w:t>-0.007</w:t>
            </w:r>
          </w:p>
        </w:tc>
        <w:tc>
          <w:tcPr>
            <w:tcW w:w="687" w:type="pct"/>
            <w:vAlign w:val="center"/>
          </w:tcPr>
          <w:p w:rsidR="00B44DBC" w:rsidRPr="00A942AC" w:rsidRDefault="00B44DBC" w:rsidP="00674CBD">
            <w:pPr>
              <w:spacing w:before="29" w:line="288" w:lineRule="auto"/>
              <w:jc w:val="right"/>
              <w:rPr>
                <w:szCs w:val="21"/>
              </w:rPr>
            </w:pPr>
            <w:r w:rsidRPr="00A942AC">
              <w:rPr>
                <w:szCs w:val="21"/>
              </w:rPr>
              <w:t>0.000</w:t>
            </w:r>
          </w:p>
        </w:tc>
        <w:tc>
          <w:tcPr>
            <w:tcW w:w="687" w:type="pct"/>
            <w:vAlign w:val="center"/>
          </w:tcPr>
          <w:p w:rsidR="00B44DBC" w:rsidRPr="00A942AC" w:rsidRDefault="00B44DBC" w:rsidP="00674CBD">
            <w:pPr>
              <w:spacing w:before="29" w:line="288" w:lineRule="auto"/>
              <w:jc w:val="right"/>
              <w:rPr>
                <w:szCs w:val="21"/>
              </w:rPr>
            </w:pPr>
            <w:r w:rsidRPr="00A942AC">
              <w:rPr>
                <w:szCs w:val="21"/>
              </w:rPr>
              <w:t>0.000</w:t>
            </w:r>
          </w:p>
        </w:tc>
      </w:tr>
      <w:tr w:rsidR="00F859EC" w:rsidRPr="00A942AC" w:rsidTr="00F859EC">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1,700,027,273.69</w:t>
            </w:r>
          </w:p>
        </w:tc>
        <w:tc>
          <w:tcPr>
            <w:tcW w:w="687" w:type="pct"/>
            <w:vAlign w:val="center"/>
          </w:tcPr>
          <w:p w:rsidR="00B44DBC" w:rsidRPr="00A942AC" w:rsidRDefault="00B44DBC" w:rsidP="00674CBD">
            <w:pPr>
              <w:spacing w:before="29" w:line="288" w:lineRule="auto"/>
              <w:jc w:val="right"/>
              <w:rPr>
                <w:szCs w:val="21"/>
              </w:rPr>
            </w:pPr>
            <w:r w:rsidRPr="00A942AC">
              <w:rPr>
                <w:szCs w:val="21"/>
              </w:rPr>
              <w:t>848,642.18</w:t>
            </w:r>
          </w:p>
        </w:tc>
        <w:tc>
          <w:tcPr>
            <w:tcW w:w="687" w:type="pct"/>
            <w:vAlign w:val="center"/>
          </w:tcPr>
          <w:p w:rsidR="00B44DBC" w:rsidRPr="00A942AC" w:rsidRDefault="00B44DBC" w:rsidP="00674CBD">
            <w:pPr>
              <w:spacing w:before="29" w:line="288" w:lineRule="auto"/>
              <w:jc w:val="right"/>
              <w:rPr>
                <w:szCs w:val="21"/>
              </w:rPr>
            </w:pPr>
            <w:r w:rsidRPr="00A942AC">
              <w:rPr>
                <w:szCs w:val="21"/>
              </w:rPr>
              <w:t>219,930,809.78</w:t>
            </w:r>
          </w:p>
        </w:tc>
        <w:tc>
          <w:tcPr>
            <w:tcW w:w="687" w:type="pct"/>
            <w:vAlign w:val="center"/>
          </w:tcPr>
          <w:p w:rsidR="00B44DBC" w:rsidRPr="00A942AC" w:rsidRDefault="00B44DBC" w:rsidP="00674CBD">
            <w:pPr>
              <w:spacing w:before="29" w:line="288" w:lineRule="auto"/>
              <w:jc w:val="right"/>
              <w:rPr>
                <w:szCs w:val="21"/>
              </w:rPr>
            </w:pPr>
            <w:r w:rsidRPr="00A942AC">
              <w:rPr>
                <w:szCs w:val="21"/>
              </w:rPr>
              <w:t>1,383,362.09</w:t>
            </w:r>
          </w:p>
        </w:tc>
      </w:tr>
      <w:tr w:rsidR="00F859EC" w:rsidRPr="00A942AC" w:rsidTr="00F859EC">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0.997</w:t>
            </w:r>
          </w:p>
        </w:tc>
        <w:tc>
          <w:tcPr>
            <w:tcW w:w="687" w:type="pct"/>
            <w:vAlign w:val="center"/>
          </w:tcPr>
          <w:p w:rsidR="00B44DBC" w:rsidRPr="00A942AC" w:rsidRDefault="00B44DBC" w:rsidP="00674CBD">
            <w:pPr>
              <w:spacing w:before="29" w:line="288" w:lineRule="auto"/>
              <w:jc w:val="right"/>
              <w:rPr>
                <w:szCs w:val="21"/>
              </w:rPr>
            </w:pPr>
            <w:r w:rsidRPr="00A942AC">
              <w:rPr>
                <w:szCs w:val="21"/>
              </w:rPr>
              <w:t>0.993</w:t>
            </w:r>
          </w:p>
        </w:tc>
        <w:tc>
          <w:tcPr>
            <w:tcW w:w="687" w:type="pct"/>
            <w:vAlign w:val="center"/>
          </w:tcPr>
          <w:p w:rsidR="00B44DBC" w:rsidRPr="00A942AC" w:rsidRDefault="00B44DBC" w:rsidP="00674CBD">
            <w:pPr>
              <w:spacing w:before="29" w:line="288" w:lineRule="auto"/>
              <w:jc w:val="right"/>
              <w:rPr>
                <w:szCs w:val="21"/>
              </w:rPr>
            </w:pPr>
            <w:r w:rsidRPr="00A942AC">
              <w:rPr>
                <w:szCs w:val="21"/>
              </w:rPr>
              <w:t>1.000</w:t>
            </w:r>
          </w:p>
        </w:tc>
        <w:tc>
          <w:tcPr>
            <w:tcW w:w="687" w:type="pct"/>
            <w:vAlign w:val="center"/>
          </w:tcPr>
          <w:p w:rsidR="00B44DBC" w:rsidRPr="00A942AC" w:rsidRDefault="00B44DBC" w:rsidP="00674CBD">
            <w:pPr>
              <w:spacing w:before="29" w:line="288" w:lineRule="auto"/>
              <w:jc w:val="right"/>
              <w:rPr>
                <w:szCs w:val="21"/>
              </w:rPr>
            </w:pPr>
            <w:r w:rsidRPr="00A942AC">
              <w:rPr>
                <w:szCs w:val="21"/>
              </w:rPr>
              <w:t>1.000</w:t>
            </w:r>
          </w:p>
        </w:tc>
      </w:tr>
    </w:tbl>
    <w:p w:rsidR="000B2609" w:rsidRDefault="001C124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交银裕通纯债债券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B2609">
        <w:tc>
          <w:tcPr>
            <w:tcW w:w="1286" w:type="dxa"/>
            <w:vAlign w:val="center"/>
          </w:tcPr>
          <w:p w:rsidR="000B2609" w:rsidRDefault="001C1241">
            <w:pPr>
              <w:jc w:val="left"/>
            </w:pPr>
            <w:r>
              <w:rPr>
                <w:color w:val="000000"/>
                <w:sz w:val="24"/>
              </w:rPr>
              <w:t>过去三个月</w:t>
            </w:r>
          </w:p>
        </w:tc>
        <w:tc>
          <w:tcPr>
            <w:tcW w:w="1286" w:type="dxa"/>
            <w:vAlign w:val="center"/>
          </w:tcPr>
          <w:p w:rsidR="000B2609" w:rsidRDefault="001C1241">
            <w:pPr>
              <w:jc w:val="center"/>
            </w:pPr>
            <w:r>
              <w:rPr>
                <w:color w:val="000000"/>
                <w:sz w:val="24"/>
              </w:rPr>
              <w:t>-2.35%</w:t>
            </w:r>
          </w:p>
        </w:tc>
        <w:tc>
          <w:tcPr>
            <w:tcW w:w="1286" w:type="dxa"/>
            <w:vAlign w:val="center"/>
          </w:tcPr>
          <w:p w:rsidR="000B2609" w:rsidRDefault="001C1241">
            <w:pPr>
              <w:jc w:val="center"/>
            </w:pPr>
            <w:r>
              <w:rPr>
                <w:color w:val="000000"/>
                <w:sz w:val="24"/>
              </w:rPr>
              <w:t>0.17%</w:t>
            </w:r>
          </w:p>
        </w:tc>
        <w:tc>
          <w:tcPr>
            <w:tcW w:w="1285" w:type="dxa"/>
            <w:vAlign w:val="center"/>
          </w:tcPr>
          <w:p w:rsidR="000B2609" w:rsidRDefault="001C1241">
            <w:pPr>
              <w:jc w:val="center"/>
            </w:pPr>
            <w:r>
              <w:rPr>
                <w:color w:val="000000"/>
                <w:sz w:val="24"/>
              </w:rPr>
              <w:t>-2.31%</w:t>
            </w:r>
          </w:p>
        </w:tc>
        <w:tc>
          <w:tcPr>
            <w:tcW w:w="1285" w:type="dxa"/>
            <w:vAlign w:val="center"/>
          </w:tcPr>
          <w:p w:rsidR="000B2609" w:rsidRDefault="001C1241">
            <w:pPr>
              <w:jc w:val="center"/>
            </w:pPr>
            <w:r>
              <w:rPr>
                <w:color w:val="000000"/>
                <w:sz w:val="24"/>
              </w:rPr>
              <w:t>0.15%</w:t>
            </w:r>
          </w:p>
        </w:tc>
        <w:tc>
          <w:tcPr>
            <w:tcW w:w="1285" w:type="dxa"/>
            <w:vAlign w:val="center"/>
          </w:tcPr>
          <w:p w:rsidR="000B2609" w:rsidRDefault="001C1241">
            <w:pPr>
              <w:jc w:val="center"/>
            </w:pPr>
            <w:r>
              <w:rPr>
                <w:color w:val="000000"/>
                <w:sz w:val="24"/>
              </w:rPr>
              <w:t>-0.04%</w:t>
            </w:r>
          </w:p>
        </w:tc>
        <w:tc>
          <w:tcPr>
            <w:tcW w:w="1285" w:type="dxa"/>
            <w:vAlign w:val="center"/>
          </w:tcPr>
          <w:p w:rsidR="000B2609" w:rsidRDefault="001C1241">
            <w:pPr>
              <w:jc w:val="center"/>
            </w:pPr>
            <w:r>
              <w:rPr>
                <w:color w:val="000000"/>
                <w:sz w:val="24"/>
              </w:rPr>
              <w:t>0.02%</w:t>
            </w:r>
          </w:p>
        </w:tc>
      </w:tr>
      <w:tr w:rsidR="000B2609">
        <w:tc>
          <w:tcPr>
            <w:tcW w:w="1286" w:type="dxa"/>
            <w:vAlign w:val="center"/>
          </w:tcPr>
          <w:p w:rsidR="000B2609" w:rsidRDefault="001C1241">
            <w:pPr>
              <w:jc w:val="left"/>
            </w:pPr>
            <w:r>
              <w:rPr>
                <w:color w:val="000000"/>
                <w:sz w:val="24"/>
              </w:rPr>
              <w:t>过去六个月</w:t>
            </w:r>
          </w:p>
        </w:tc>
        <w:tc>
          <w:tcPr>
            <w:tcW w:w="1286" w:type="dxa"/>
            <w:vAlign w:val="center"/>
          </w:tcPr>
          <w:p w:rsidR="000B2609" w:rsidRDefault="001C1241">
            <w:pPr>
              <w:jc w:val="center"/>
            </w:pPr>
            <w:r>
              <w:rPr>
                <w:color w:val="000000"/>
                <w:sz w:val="24"/>
              </w:rPr>
              <w:t>-1.29%</w:t>
            </w:r>
          </w:p>
        </w:tc>
        <w:tc>
          <w:tcPr>
            <w:tcW w:w="1286" w:type="dxa"/>
            <w:vAlign w:val="center"/>
          </w:tcPr>
          <w:p w:rsidR="000B2609" w:rsidRDefault="001C1241">
            <w:pPr>
              <w:jc w:val="center"/>
            </w:pPr>
            <w:r>
              <w:rPr>
                <w:color w:val="000000"/>
                <w:sz w:val="24"/>
              </w:rPr>
              <w:t>0.12%</w:t>
            </w:r>
          </w:p>
        </w:tc>
        <w:tc>
          <w:tcPr>
            <w:tcW w:w="1285" w:type="dxa"/>
            <w:vAlign w:val="center"/>
          </w:tcPr>
          <w:p w:rsidR="000B2609" w:rsidRDefault="001C1241">
            <w:pPr>
              <w:jc w:val="center"/>
            </w:pPr>
            <w:r>
              <w:rPr>
                <w:color w:val="000000"/>
                <w:sz w:val="24"/>
              </w:rPr>
              <w:t>-1.42%</w:t>
            </w:r>
          </w:p>
        </w:tc>
        <w:tc>
          <w:tcPr>
            <w:tcW w:w="1285" w:type="dxa"/>
            <w:vAlign w:val="center"/>
          </w:tcPr>
          <w:p w:rsidR="000B2609" w:rsidRDefault="001C1241">
            <w:pPr>
              <w:jc w:val="center"/>
            </w:pPr>
            <w:r>
              <w:rPr>
                <w:color w:val="000000"/>
                <w:sz w:val="24"/>
              </w:rPr>
              <w:t>0.11%</w:t>
            </w:r>
          </w:p>
        </w:tc>
        <w:tc>
          <w:tcPr>
            <w:tcW w:w="1285" w:type="dxa"/>
            <w:vAlign w:val="center"/>
          </w:tcPr>
          <w:p w:rsidR="000B2609" w:rsidRDefault="001C1241">
            <w:pPr>
              <w:jc w:val="center"/>
            </w:pPr>
            <w:r>
              <w:rPr>
                <w:color w:val="000000"/>
                <w:sz w:val="24"/>
              </w:rPr>
              <w:t>0.13%</w:t>
            </w:r>
          </w:p>
        </w:tc>
        <w:tc>
          <w:tcPr>
            <w:tcW w:w="1285" w:type="dxa"/>
            <w:vAlign w:val="center"/>
          </w:tcPr>
          <w:p w:rsidR="000B2609" w:rsidRDefault="001C1241">
            <w:pPr>
              <w:jc w:val="center"/>
            </w:pPr>
            <w:r>
              <w:rPr>
                <w:color w:val="000000"/>
                <w:sz w:val="24"/>
              </w:rPr>
              <w:t>0.01%</w:t>
            </w:r>
          </w:p>
        </w:tc>
      </w:tr>
      <w:tr w:rsidR="000B2609">
        <w:tc>
          <w:tcPr>
            <w:tcW w:w="1286" w:type="dxa"/>
            <w:vAlign w:val="center"/>
          </w:tcPr>
          <w:p w:rsidR="000B2609" w:rsidRDefault="001C1241">
            <w:pPr>
              <w:jc w:val="left"/>
            </w:pPr>
            <w:r>
              <w:rPr>
                <w:color w:val="000000"/>
                <w:sz w:val="24"/>
              </w:rPr>
              <w:t>过去一年</w:t>
            </w:r>
          </w:p>
        </w:tc>
        <w:tc>
          <w:tcPr>
            <w:tcW w:w="1286" w:type="dxa"/>
            <w:vAlign w:val="center"/>
          </w:tcPr>
          <w:p w:rsidR="000B2609" w:rsidRDefault="001C1241">
            <w:pPr>
              <w:jc w:val="center"/>
            </w:pPr>
            <w:r>
              <w:rPr>
                <w:color w:val="000000"/>
                <w:sz w:val="24"/>
              </w:rPr>
              <w:t>-0.30%</w:t>
            </w:r>
          </w:p>
        </w:tc>
        <w:tc>
          <w:tcPr>
            <w:tcW w:w="1286" w:type="dxa"/>
            <w:vAlign w:val="center"/>
          </w:tcPr>
          <w:p w:rsidR="000B2609" w:rsidRDefault="001C1241">
            <w:pPr>
              <w:jc w:val="center"/>
            </w:pPr>
            <w:r>
              <w:rPr>
                <w:color w:val="000000"/>
                <w:sz w:val="24"/>
              </w:rPr>
              <w:t>0.10%</w:t>
            </w:r>
          </w:p>
        </w:tc>
        <w:tc>
          <w:tcPr>
            <w:tcW w:w="1285" w:type="dxa"/>
            <w:vAlign w:val="center"/>
          </w:tcPr>
          <w:p w:rsidR="000B2609" w:rsidRDefault="001C1241">
            <w:pPr>
              <w:jc w:val="center"/>
            </w:pPr>
            <w:r>
              <w:rPr>
                <w:color w:val="000000"/>
                <w:sz w:val="24"/>
              </w:rPr>
              <w:t>-1.63%</w:t>
            </w:r>
          </w:p>
        </w:tc>
        <w:tc>
          <w:tcPr>
            <w:tcW w:w="1285" w:type="dxa"/>
            <w:vAlign w:val="center"/>
          </w:tcPr>
          <w:p w:rsidR="000B2609" w:rsidRDefault="001C1241">
            <w:pPr>
              <w:jc w:val="center"/>
            </w:pPr>
            <w:r>
              <w:rPr>
                <w:color w:val="000000"/>
                <w:sz w:val="24"/>
              </w:rPr>
              <w:t>0.09%</w:t>
            </w:r>
          </w:p>
        </w:tc>
        <w:tc>
          <w:tcPr>
            <w:tcW w:w="1285" w:type="dxa"/>
            <w:vAlign w:val="center"/>
          </w:tcPr>
          <w:p w:rsidR="000B2609" w:rsidRDefault="001C1241">
            <w:pPr>
              <w:jc w:val="center"/>
            </w:pPr>
            <w:r>
              <w:rPr>
                <w:color w:val="000000"/>
                <w:sz w:val="24"/>
              </w:rPr>
              <w:t>1.33%</w:t>
            </w:r>
          </w:p>
        </w:tc>
        <w:tc>
          <w:tcPr>
            <w:tcW w:w="1285" w:type="dxa"/>
            <w:vAlign w:val="center"/>
          </w:tcPr>
          <w:p w:rsidR="000B2609" w:rsidRDefault="001C1241">
            <w:pPr>
              <w:jc w:val="center"/>
            </w:pPr>
            <w:r>
              <w:rPr>
                <w:color w:val="000000"/>
                <w:sz w:val="24"/>
              </w:rPr>
              <w:t>0.01%</w:t>
            </w:r>
          </w:p>
        </w:tc>
      </w:tr>
      <w:tr w:rsidR="000B2609">
        <w:tc>
          <w:tcPr>
            <w:tcW w:w="1286" w:type="dxa"/>
            <w:vAlign w:val="center"/>
          </w:tcPr>
          <w:p w:rsidR="000B2609" w:rsidRDefault="001C1241">
            <w:pPr>
              <w:jc w:val="left"/>
            </w:pPr>
            <w:r>
              <w:rPr>
                <w:color w:val="000000"/>
                <w:sz w:val="24"/>
              </w:rPr>
              <w:t>自基金合同生效起至今</w:t>
            </w:r>
          </w:p>
        </w:tc>
        <w:tc>
          <w:tcPr>
            <w:tcW w:w="1286" w:type="dxa"/>
            <w:vAlign w:val="center"/>
          </w:tcPr>
          <w:p w:rsidR="000B2609" w:rsidRDefault="001C1241">
            <w:pPr>
              <w:jc w:val="center"/>
            </w:pPr>
            <w:r>
              <w:rPr>
                <w:color w:val="000000"/>
                <w:sz w:val="24"/>
              </w:rPr>
              <w:t>-0.30%</w:t>
            </w:r>
          </w:p>
        </w:tc>
        <w:tc>
          <w:tcPr>
            <w:tcW w:w="1286" w:type="dxa"/>
            <w:vAlign w:val="center"/>
          </w:tcPr>
          <w:p w:rsidR="000B2609" w:rsidRDefault="001C1241">
            <w:pPr>
              <w:jc w:val="center"/>
            </w:pPr>
            <w:r>
              <w:rPr>
                <w:color w:val="000000"/>
                <w:sz w:val="24"/>
              </w:rPr>
              <w:t>0.10%</w:t>
            </w:r>
          </w:p>
        </w:tc>
        <w:tc>
          <w:tcPr>
            <w:tcW w:w="1285" w:type="dxa"/>
            <w:vAlign w:val="center"/>
          </w:tcPr>
          <w:p w:rsidR="000B2609" w:rsidRDefault="001C1241">
            <w:pPr>
              <w:jc w:val="center"/>
            </w:pPr>
            <w:r>
              <w:rPr>
                <w:color w:val="000000"/>
                <w:sz w:val="24"/>
              </w:rPr>
              <w:t>-1.61%</w:t>
            </w:r>
          </w:p>
        </w:tc>
        <w:tc>
          <w:tcPr>
            <w:tcW w:w="1285" w:type="dxa"/>
            <w:vAlign w:val="center"/>
          </w:tcPr>
          <w:p w:rsidR="000B2609" w:rsidRDefault="001C1241">
            <w:pPr>
              <w:jc w:val="center"/>
            </w:pPr>
            <w:r>
              <w:rPr>
                <w:color w:val="000000"/>
                <w:sz w:val="24"/>
              </w:rPr>
              <w:t>0.09%</w:t>
            </w:r>
          </w:p>
        </w:tc>
        <w:tc>
          <w:tcPr>
            <w:tcW w:w="1285" w:type="dxa"/>
            <w:vAlign w:val="center"/>
          </w:tcPr>
          <w:p w:rsidR="000B2609" w:rsidRDefault="001C1241">
            <w:pPr>
              <w:jc w:val="center"/>
            </w:pPr>
            <w:r>
              <w:rPr>
                <w:color w:val="000000"/>
                <w:sz w:val="24"/>
              </w:rPr>
              <w:t>1.31%</w:t>
            </w:r>
          </w:p>
        </w:tc>
        <w:tc>
          <w:tcPr>
            <w:tcW w:w="1285" w:type="dxa"/>
            <w:vAlign w:val="center"/>
          </w:tcPr>
          <w:p w:rsidR="000B2609" w:rsidRDefault="001C1241">
            <w:pPr>
              <w:jc w:val="center"/>
            </w:pPr>
            <w:r>
              <w:rPr>
                <w:color w:val="000000"/>
                <w:sz w:val="24"/>
              </w:rPr>
              <w:t>0.01%</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r w:rsidR="00FC6BCB">
        <w:rPr>
          <w:rFonts w:hint="eastAsia"/>
          <w:kern w:val="0"/>
          <w:sz w:val="24"/>
        </w:rPr>
        <w:t>。</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交银裕通纯债债券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0B2609">
        <w:tc>
          <w:tcPr>
            <w:tcW w:w="1286" w:type="dxa"/>
            <w:vAlign w:val="center"/>
          </w:tcPr>
          <w:p w:rsidR="000B2609" w:rsidRDefault="001C1241">
            <w:pPr>
              <w:jc w:val="left"/>
            </w:pPr>
            <w:r>
              <w:rPr>
                <w:color w:val="000000"/>
                <w:sz w:val="24"/>
              </w:rPr>
              <w:t>过去三个月</w:t>
            </w:r>
          </w:p>
        </w:tc>
        <w:tc>
          <w:tcPr>
            <w:tcW w:w="1286" w:type="dxa"/>
            <w:vAlign w:val="center"/>
          </w:tcPr>
          <w:p w:rsidR="000B2609" w:rsidRDefault="001C1241">
            <w:pPr>
              <w:jc w:val="center"/>
            </w:pPr>
            <w:r>
              <w:rPr>
                <w:color w:val="000000"/>
                <w:sz w:val="24"/>
              </w:rPr>
              <w:t>-2.46%</w:t>
            </w:r>
          </w:p>
        </w:tc>
        <w:tc>
          <w:tcPr>
            <w:tcW w:w="1286" w:type="dxa"/>
            <w:vAlign w:val="center"/>
          </w:tcPr>
          <w:p w:rsidR="000B2609" w:rsidRDefault="001C1241">
            <w:pPr>
              <w:jc w:val="center"/>
            </w:pPr>
            <w:r>
              <w:rPr>
                <w:color w:val="000000"/>
                <w:sz w:val="24"/>
              </w:rPr>
              <w:t>0.16%</w:t>
            </w:r>
          </w:p>
        </w:tc>
        <w:tc>
          <w:tcPr>
            <w:tcW w:w="1285" w:type="dxa"/>
            <w:vAlign w:val="center"/>
          </w:tcPr>
          <w:p w:rsidR="000B2609" w:rsidRDefault="001C1241">
            <w:pPr>
              <w:jc w:val="center"/>
            </w:pPr>
            <w:r>
              <w:rPr>
                <w:color w:val="000000"/>
                <w:sz w:val="24"/>
              </w:rPr>
              <w:t>-2.31%</w:t>
            </w:r>
          </w:p>
        </w:tc>
        <w:tc>
          <w:tcPr>
            <w:tcW w:w="1285" w:type="dxa"/>
            <w:vAlign w:val="center"/>
          </w:tcPr>
          <w:p w:rsidR="000B2609" w:rsidRDefault="001C1241">
            <w:pPr>
              <w:jc w:val="center"/>
            </w:pPr>
            <w:r>
              <w:rPr>
                <w:color w:val="000000"/>
                <w:sz w:val="24"/>
              </w:rPr>
              <w:t>0.15%</w:t>
            </w:r>
          </w:p>
        </w:tc>
        <w:tc>
          <w:tcPr>
            <w:tcW w:w="1285" w:type="dxa"/>
            <w:vAlign w:val="center"/>
          </w:tcPr>
          <w:p w:rsidR="000B2609" w:rsidRDefault="001C1241">
            <w:pPr>
              <w:jc w:val="center"/>
            </w:pPr>
            <w:r>
              <w:rPr>
                <w:color w:val="000000"/>
                <w:sz w:val="24"/>
              </w:rPr>
              <w:t>-0.15%</w:t>
            </w:r>
          </w:p>
        </w:tc>
        <w:tc>
          <w:tcPr>
            <w:tcW w:w="1285" w:type="dxa"/>
            <w:vAlign w:val="center"/>
          </w:tcPr>
          <w:p w:rsidR="000B2609" w:rsidRDefault="001C1241">
            <w:pPr>
              <w:jc w:val="center"/>
            </w:pPr>
            <w:r>
              <w:rPr>
                <w:color w:val="000000"/>
                <w:sz w:val="24"/>
              </w:rPr>
              <w:t>0.01%</w:t>
            </w:r>
          </w:p>
        </w:tc>
      </w:tr>
      <w:tr w:rsidR="000B2609">
        <w:tc>
          <w:tcPr>
            <w:tcW w:w="1286" w:type="dxa"/>
            <w:vAlign w:val="center"/>
          </w:tcPr>
          <w:p w:rsidR="000B2609" w:rsidRDefault="001C1241">
            <w:pPr>
              <w:jc w:val="left"/>
            </w:pPr>
            <w:r>
              <w:rPr>
                <w:color w:val="000000"/>
                <w:sz w:val="24"/>
              </w:rPr>
              <w:t>过去六个月</w:t>
            </w:r>
          </w:p>
        </w:tc>
        <w:tc>
          <w:tcPr>
            <w:tcW w:w="1286" w:type="dxa"/>
            <w:vAlign w:val="center"/>
          </w:tcPr>
          <w:p w:rsidR="000B2609" w:rsidRDefault="001C1241">
            <w:pPr>
              <w:jc w:val="center"/>
            </w:pPr>
            <w:r>
              <w:rPr>
                <w:color w:val="000000"/>
                <w:sz w:val="24"/>
              </w:rPr>
              <w:t>-1.49%</w:t>
            </w:r>
          </w:p>
        </w:tc>
        <w:tc>
          <w:tcPr>
            <w:tcW w:w="1286" w:type="dxa"/>
            <w:vAlign w:val="center"/>
          </w:tcPr>
          <w:p w:rsidR="000B2609" w:rsidRDefault="001C1241">
            <w:pPr>
              <w:jc w:val="center"/>
            </w:pPr>
            <w:r>
              <w:rPr>
                <w:color w:val="000000"/>
                <w:sz w:val="24"/>
              </w:rPr>
              <w:t>0.12%</w:t>
            </w:r>
          </w:p>
        </w:tc>
        <w:tc>
          <w:tcPr>
            <w:tcW w:w="1285" w:type="dxa"/>
            <w:vAlign w:val="center"/>
          </w:tcPr>
          <w:p w:rsidR="000B2609" w:rsidRDefault="001C1241">
            <w:pPr>
              <w:jc w:val="center"/>
            </w:pPr>
            <w:r>
              <w:rPr>
                <w:color w:val="000000"/>
                <w:sz w:val="24"/>
              </w:rPr>
              <w:t>-1.42%</w:t>
            </w:r>
          </w:p>
        </w:tc>
        <w:tc>
          <w:tcPr>
            <w:tcW w:w="1285" w:type="dxa"/>
            <w:vAlign w:val="center"/>
          </w:tcPr>
          <w:p w:rsidR="000B2609" w:rsidRDefault="001C1241">
            <w:pPr>
              <w:jc w:val="center"/>
            </w:pPr>
            <w:r>
              <w:rPr>
                <w:color w:val="000000"/>
                <w:sz w:val="24"/>
              </w:rPr>
              <w:t>0.11%</w:t>
            </w:r>
          </w:p>
        </w:tc>
        <w:tc>
          <w:tcPr>
            <w:tcW w:w="1285" w:type="dxa"/>
            <w:vAlign w:val="center"/>
          </w:tcPr>
          <w:p w:rsidR="000B2609" w:rsidRDefault="001C1241">
            <w:pPr>
              <w:jc w:val="center"/>
            </w:pPr>
            <w:r>
              <w:rPr>
                <w:color w:val="000000"/>
                <w:sz w:val="24"/>
              </w:rPr>
              <w:t>-0.07%</w:t>
            </w:r>
          </w:p>
        </w:tc>
        <w:tc>
          <w:tcPr>
            <w:tcW w:w="1285" w:type="dxa"/>
            <w:vAlign w:val="center"/>
          </w:tcPr>
          <w:p w:rsidR="000B2609" w:rsidRDefault="001C1241">
            <w:pPr>
              <w:jc w:val="center"/>
            </w:pPr>
            <w:r>
              <w:rPr>
                <w:color w:val="000000"/>
                <w:sz w:val="24"/>
              </w:rPr>
              <w:t>0.01%</w:t>
            </w:r>
          </w:p>
        </w:tc>
      </w:tr>
      <w:tr w:rsidR="000B2609">
        <w:tc>
          <w:tcPr>
            <w:tcW w:w="1286" w:type="dxa"/>
            <w:vAlign w:val="center"/>
          </w:tcPr>
          <w:p w:rsidR="000B2609" w:rsidRDefault="001C1241">
            <w:pPr>
              <w:jc w:val="left"/>
            </w:pPr>
            <w:r>
              <w:rPr>
                <w:color w:val="000000"/>
                <w:sz w:val="24"/>
              </w:rPr>
              <w:t>过去一年</w:t>
            </w:r>
          </w:p>
        </w:tc>
        <w:tc>
          <w:tcPr>
            <w:tcW w:w="1286" w:type="dxa"/>
            <w:vAlign w:val="center"/>
          </w:tcPr>
          <w:p w:rsidR="000B2609" w:rsidRDefault="001C1241">
            <w:pPr>
              <w:jc w:val="center"/>
            </w:pPr>
            <w:r>
              <w:rPr>
                <w:color w:val="000000"/>
                <w:sz w:val="24"/>
              </w:rPr>
              <w:t>-0.70%</w:t>
            </w:r>
          </w:p>
        </w:tc>
        <w:tc>
          <w:tcPr>
            <w:tcW w:w="1286" w:type="dxa"/>
            <w:vAlign w:val="center"/>
          </w:tcPr>
          <w:p w:rsidR="000B2609" w:rsidRDefault="001C1241">
            <w:pPr>
              <w:jc w:val="center"/>
            </w:pPr>
            <w:r>
              <w:rPr>
                <w:color w:val="000000"/>
                <w:sz w:val="24"/>
              </w:rPr>
              <w:t>0.10%</w:t>
            </w:r>
          </w:p>
        </w:tc>
        <w:tc>
          <w:tcPr>
            <w:tcW w:w="1285" w:type="dxa"/>
            <w:vAlign w:val="center"/>
          </w:tcPr>
          <w:p w:rsidR="000B2609" w:rsidRDefault="001C1241">
            <w:pPr>
              <w:jc w:val="center"/>
            </w:pPr>
            <w:r>
              <w:rPr>
                <w:color w:val="000000"/>
                <w:sz w:val="24"/>
              </w:rPr>
              <w:t>-1.63%</w:t>
            </w:r>
          </w:p>
        </w:tc>
        <w:tc>
          <w:tcPr>
            <w:tcW w:w="1285" w:type="dxa"/>
            <w:vAlign w:val="center"/>
          </w:tcPr>
          <w:p w:rsidR="000B2609" w:rsidRDefault="001C1241">
            <w:pPr>
              <w:jc w:val="center"/>
            </w:pPr>
            <w:r>
              <w:rPr>
                <w:color w:val="000000"/>
                <w:sz w:val="24"/>
              </w:rPr>
              <w:t>0.09%</w:t>
            </w:r>
          </w:p>
        </w:tc>
        <w:tc>
          <w:tcPr>
            <w:tcW w:w="1285" w:type="dxa"/>
            <w:vAlign w:val="center"/>
          </w:tcPr>
          <w:p w:rsidR="000B2609" w:rsidRDefault="001C1241">
            <w:pPr>
              <w:jc w:val="center"/>
            </w:pPr>
            <w:r>
              <w:rPr>
                <w:color w:val="000000"/>
                <w:sz w:val="24"/>
              </w:rPr>
              <w:t>0.93%</w:t>
            </w:r>
          </w:p>
        </w:tc>
        <w:tc>
          <w:tcPr>
            <w:tcW w:w="1285" w:type="dxa"/>
            <w:vAlign w:val="center"/>
          </w:tcPr>
          <w:p w:rsidR="000B2609" w:rsidRDefault="001C1241">
            <w:pPr>
              <w:jc w:val="center"/>
            </w:pPr>
            <w:r>
              <w:rPr>
                <w:color w:val="000000"/>
                <w:sz w:val="24"/>
              </w:rPr>
              <w:t>0.01%</w:t>
            </w:r>
          </w:p>
        </w:tc>
      </w:tr>
      <w:tr w:rsidR="000B2609">
        <w:tc>
          <w:tcPr>
            <w:tcW w:w="1286" w:type="dxa"/>
            <w:vAlign w:val="center"/>
          </w:tcPr>
          <w:p w:rsidR="000B2609" w:rsidRDefault="001C1241">
            <w:pPr>
              <w:jc w:val="left"/>
            </w:pPr>
            <w:r>
              <w:rPr>
                <w:color w:val="000000"/>
                <w:sz w:val="24"/>
              </w:rPr>
              <w:t>自基金合同生效起至今</w:t>
            </w:r>
          </w:p>
        </w:tc>
        <w:tc>
          <w:tcPr>
            <w:tcW w:w="1286" w:type="dxa"/>
            <w:vAlign w:val="center"/>
          </w:tcPr>
          <w:p w:rsidR="000B2609" w:rsidRDefault="001C1241">
            <w:pPr>
              <w:jc w:val="center"/>
            </w:pPr>
            <w:r>
              <w:rPr>
                <w:color w:val="000000"/>
                <w:sz w:val="24"/>
              </w:rPr>
              <w:t>-0.70%</w:t>
            </w:r>
          </w:p>
        </w:tc>
        <w:tc>
          <w:tcPr>
            <w:tcW w:w="1286" w:type="dxa"/>
            <w:vAlign w:val="center"/>
          </w:tcPr>
          <w:p w:rsidR="000B2609" w:rsidRDefault="001C1241">
            <w:pPr>
              <w:jc w:val="center"/>
            </w:pPr>
            <w:r>
              <w:rPr>
                <w:color w:val="000000"/>
                <w:sz w:val="24"/>
              </w:rPr>
              <w:t>0.10%</w:t>
            </w:r>
          </w:p>
        </w:tc>
        <w:tc>
          <w:tcPr>
            <w:tcW w:w="1285" w:type="dxa"/>
            <w:vAlign w:val="center"/>
          </w:tcPr>
          <w:p w:rsidR="000B2609" w:rsidRDefault="001C1241">
            <w:pPr>
              <w:jc w:val="center"/>
            </w:pPr>
            <w:r>
              <w:rPr>
                <w:color w:val="000000"/>
                <w:sz w:val="24"/>
              </w:rPr>
              <w:t>-1.61%</w:t>
            </w:r>
          </w:p>
        </w:tc>
        <w:tc>
          <w:tcPr>
            <w:tcW w:w="1285" w:type="dxa"/>
            <w:vAlign w:val="center"/>
          </w:tcPr>
          <w:p w:rsidR="000B2609" w:rsidRDefault="001C1241">
            <w:pPr>
              <w:jc w:val="center"/>
            </w:pPr>
            <w:r>
              <w:rPr>
                <w:color w:val="000000"/>
                <w:sz w:val="24"/>
              </w:rPr>
              <w:t>0.09%</w:t>
            </w:r>
          </w:p>
        </w:tc>
        <w:tc>
          <w:tcPr>
            <w:tcW w:w="1285" w:type="dxa"/>
            <w:vAlign w:val="center"/>
          </w:tcPr>
          <w:p w:rsidR="000B2609" w:rsidRDefault="001C1241">
            <w:pPr>
              <w:jc w:val="center"/>
            </w:pPr>
            <w:r>
              <w:rPr>
                <w:color w:val="000000"/>
                <w:sz w:val="24"/>
              </w:rPr>
              <w:t>0.91%</w:t>
            </w:r>
          </w:p>
        </w:tc>
        <w:tc>
          <w:tcPr>
            <w:tcW w:w="1285" w:type="dxa"/>
            <w:vAlign w:val="center"/>
          </w:tcPr>
          <w:p w:rsidR="000B2609" w:rsidRDefault="001C1241">
            <w:pPr>
              <w:jc w:val="center"/>
            </w:pPr>
            <w:r>
              <w:rPr>
                <w:color w:val="000000"/>
                <w:sz w:val="24"/>
              </w:rPr>
              <w:t>0.01%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r w:rsidR="00FC6BCB">
        <w:rPr>
          <w:rFonts w:hint="eastAsia"/>
          <w:kern w:val="0"/>
          <w:sz w:val="24"/>
        </w:rPr>
        <w:t>。</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交银裕通纯债债券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2015</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日，截至报告期期末，本基金已完成建仓但报告期期末距建仓结束未满一年。本基金建仓期为自基金合同生效日起的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交银裕通纯债债券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2015</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日，截至报告期期末，本基金已完成建仓但报告期期末距建仓结束未满一年。本基金建仓期为自基金合同生效日起的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交银裕通纯债债券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交银裕通纯债债券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交银裕通纯债债券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B2609">
        <w:tc>
          <w:tcPr>
            <w:tcW w:w="1276" w:type="dxa"/>
            <w:vAlign w:val="center"/>
          </w:tcPr>
          <w:p w:rsidR="000B2609" w:rsidRDefault="001C1241">
            <w:pPr>
              <w:jc w:val="center"/>
            </w:pPr>
            <w:r>
              <w:rPr>
                <w:color w:val="000000"/>
                <w:sz w:val="24"/>
              </w:rPr>
              <w:t>2016</w:t>
            </w:r>
            <w:r>
              <w:rPr>
                <w:color w:val="000000"/>
                <w:sz w:val="24"/>
              </w:rPr>
              <w:t>年</w:t>
            </w:r>
          </w:p>
        </w:tc>
        <w:tc>
          <w:tcPr>
            <w:tcW w:w="1701" w:type="dxa"/>
            <w:vAlign w:val="center"/>
          </w:tcPr>
          <w:p w:rsidR="000B2609" w:rsidRDefault="001C1241">
            <w:pPr>
              <w:jc w:val="right"/>
            </w:pPr>
            <w:r>
              <w:rPr>
                <w:color w:val="000000"/>
                <w:sz w:val="24"/>
              </w:rPr>
              <w:t>-</w:t>
            </w:r>
          </w:p>
        </w:tc>
        <w:tc>
          <w:tcPr>
            <w:tcW w:w="1701" w:type="dxa"/>
            <w:vAlign w:val="center"/>
          </w:tcPr>
          <w:p w:rsidR="000B2609" w:rsidRDefault="001C1241">
            <w:pPr>
              <w:jc w:val="right"/>
            </w:pPr>
            <w:r>
              <w:rPr>
                <w:color w:val="000000"/>
                <w:sz w:val="24"/>
              </w:rPr>
              <w:t>-</w:t>
            </w:r>
          </w:p>
        </w:tc>
        <w:tc>
          <w:tcPr>
            <w:tcW w:w="1701" w:type="dxa"/>
            <w:vAlign w:val="center"/>
          </w:tcPr>
          <w:p w:rsidR="000B2609" w:rsidRDefault="001C1241">
            <w:pPr>
              <w:jc w:val="right"/>
            </w:pPr>
            <w:r>
              <w:rPr>
                <w:color w:val="000000"/>
                <w:sz w:val="24"/>
              </w:rPr>
              <w:t>-</w:t>
            </w:r>
          </w:p>
        </w:tc>
        <w:tc>
          <w:tcPr>
            <w:tcW w:w="1559" w:type="dxa"/>
            <w:vAlign w:val="center"/>
          </w:tcPr>
          <w:p w:rsidR="000B2609" w:rsidRDefault="001C1241">
            <w:pPr>
              <w:jc w:val="right"/>
            </w:pPr>
            <w:r>
              <w:rPr>
                <w:color w:val="000000"/>
                <w:sz w:val="24"/>
              </w:rPr>
              <w:t>-</w:t>
            </w:r>
          </w:p>
        </w:tc>
        <w:tc>
          <w:tcPr>
            <w:tcW w:w="1060" w:type="dxa"/>
            <w:vAlign w:val="center"/>
          </w:tcPr>
          <w:p w:rsidR="000B2609" w:rsidRDefault="001C1241">
            <w:pPr>
              <w:jc w:val="left"/>
            </w:pPr>
            <w:r>
              <w:rPr>
                <w:color w:val="000000"/>
                <w:sz w:val="24"/>
              </w:rPr>
              <w:t>-</w:t>
            </w:r>
          </w:p>
        </w:tc>
      </w:tr>
      <w:tr w:rsidR="000B2609">
        <w:tc>
          <w:tcPr>
            <w:tcW w:w="1276" w:type="dxa"/>
            <w:vAlign w:val="center"/>
          </w:tcPr>
          <w:p w:rsidR="000B2609" w:rsidRDefault="001C1241">
            <w:pPr>
              <w:jc w:val="center"/>
            </w:pPr>
            <w:r>
              <w:rPr>
                <w:color w:val="000000"/>
                <w:sz w:val="24"/>
              </w:rPr>
              <w:t>2015</w:t>
            </w:r>
            <w:r>
              <w:rPr>
                <w:color w:val="000000"/>
                <w:sz w:val="24"/>
              </w:rPr>
              <w:t>年</w:t>
            </w:r>
          </w:p>
        </w:tc>
        <w:tc>
          <w:tcPr>
            <w:tcW w:w="1701" w:type="dxa"/>
            <w:vAlign w:val="center"/>
          </w:tcPr>
          <w:p w:rsidR="000B2609" w:rsidRDefault="001C1241">
            <w:pPr>
              <w:jc w:val="right"/>
            </w:pPr>
            <w:r>
              <w:rPr>
                <w:color w:val="000000"/>
                <w:sz w:val="24"/>
              </w:rPr>
              <w:t>-</w:t>
            </w:r>
          </w:p>
        </w:tc>
        <w:tc>
          <w:tcPr>
            <w:tcW w:w="1701" w:type="dxa"/>
            <w:vAlign w:val="center"/>
          </w:tcPr>
          <w:p w:rsidR="000B2609" w:rsidRDefault="001C1241">
            <w:pPr>
              <w:jc w:val="right"/>
            </w:pPr>
            <w:r>
              <w:rPr>
                <w:color w:val="000000"/>
                <w:sz w:val="24"/>
              </w:rPr>
              <w:t>-</w:t>
            </w:r>
          </w:p>
        </w:tc>
        <w:tc>
          <w:tcPr>
            <w:tcW w:w="1701" w:type="dxa"/>
            <w:vAlign w:val="center"/>
          </w:tcPr>
          <w:p w:rsidR="000B2609" w:rsidRDefault="001C1241">
            <w:pPr>
              <w:jc w:val="right"/>
            </w:pPr>
            <w:r>
              <w:rPr>
                <w:color w:val="000000"/>
                <w:sz w:val="24"/>
              </w:rPr>
              <w:t>-</w:t>
            </w:r>
          </w:p>
        </w:tc>
        <w:tc>
          <w:tcPr>
            <w:tcW w:w="1559" w:type="dxa"/>
            <w:vAlign w:val="center"/>
          </w:tcPr>
          <w:p w:rsidR="000B2609" w:rsidRDefault="001C1241">
            <w:pPr>
              <w:jc w:val="right"/>
            </w:pPr>
            <w:r>
              <w:rPr>
                <w:color w:val="000000"/>
                <w:sz w:val="24"/>
              </w:rPr>
              <w:t>-</w:t>
            </w:r>
          </w:p>
        </w:tc>
        <w:tc>
          <w:tcPr>
            <w:tcW w:w="1060" w:type="dxa"/>
            <w:vAlign w:val="center"/>
          </w:tcPr>
          <w:p w:rsidR="000B2609" w:rsidRDefault="001C1241">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交银裕通纯债债券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B2609">
        <w:tc>
          <w:tcPr>
            <w:tcW w:w="1276" w:type="dxa"/>
            <w:vAlign w:val="center"/>
          </w:tcPr>
          <w:p w:rsidR="000B2609" w:rsidRDefault="001C1241">
            <w:pPr>
              <w:jc w:val="center"/>
            </w:pPr>
            <w:r>
              <w:rPr>
                <w:color w:val="000000"/>
                <w:sz w:val="24"/>
              </w:rPr>
              <w:t>2016</w:t>
            </w:r>
            <w:r>
              <w:rPr>
                <w:color w:val="000000"/>
                <w:sz w:val="24"/>
              </w:rPr>
              <w:t>年</w:t>
            </w:r>
          </w:p>
        </w:tc>
        <w:tc>
          <w:tcPr>
            <w:tcW w:w="1701" w:type="dxa"/>
            <w:vAlign w:val="center"/>
          </w:tcPr>
          <w:p w:rsidR="000B2609" w:rsidRDefault="001C1241">
            <w:pPr>
              <w:jc w:val="right"/>
            </w:pPr>
            <w:r>
              <w:rPr>
                <w:color w:val="000000"/>
                <w:sz w:val="24"/>
              </w:rPr>
              <w:t>-</w:t>
            </w:r>
          </w:p>
        </w:tc>
        <w:tc>
          <w:tcPr>
            <w:tcW w:w="1701" w:type="dxa"/>
            <w:vAlign w:val="center"/>
          </w:tcPr>
          <w:p w:rsidR="000B2609" w:rsidRDefault="001C1241">
            <w:pPr>
              <w:jc w:val="right"/>
            </w:pPr>
            <w:r>
              <w:rPr>
                <w:color w:val="000000"/>
                <w:sz w:val="24"/>
              </w:rPr>
              <w:t>-</w:t>
            </w:r>
          </w:p>
        </w:tc>
        <w:tc>
          <w:tcPr>
            <w:tcW w:w="1701" w:type="dxa"/>
            <w:vAlign w:val="center"/>
          </w:tcPr>
          <w:p w:rsidR="000B2609" w:rsidRDefault="001C1241">
            <w:pPr>
              <w:jc w:val="right"/>
            </w:pPr>
            <w:r>
              <w:rPr>
                <w:color w:val="000000"/>
                <w:sz w:val="24"/>
              </w:rPr>
              <w:t>-</w:t>
            </w:r>
          </w:p>
        </w:tc>
        <w:tc>
          <w:tcPr>
            <w:tcW w:w="1559" w:type="dxa"/>
            <w:vAlign w:val="center"/>
          </w:tcPr>
          <w:p w:rsidR="000B2609" w:rsidRDefault="001C1241">
            <w:pPr>
              <w:jc w:val="right"/>
            </w:pPr>
            <w:r>
              <w:rPr>
                <w:color w:val="000000"/>
                <w:sz w:val="24"/>
              </w:rPr>
              <w:t>-</w:t>
            </w:r>
          </w:p>
        </w:tc>
        <w:tc>
          <w:tcPr>
            <w:tcW w:w="1060" w:type="dxa"/>
            <w:vAlign w:val="center"/>
          </w:tcPr>
          <w:p w:rsidR="000B2609" w:rsidRDefault="001C1241">
            <w:pPr>
              <w:jc w:val="left"/>
            </w:pPr>
            <w:r>
              <w:rPr>
                <w:color w:val="000000"/>
                <w:sz w:val="24"/>
              </w:rPr>
              <w:t>-</w:t>
            </w:r>
          </w:p>
        </w:tc>
      </w:tr>
      <w:tr w:rsidR="000B2609">
        <w:tc>
          <w:tcPr>
            <w:tcW w:w="1276" w:type="dxa"/>
            <w:vAlign w:val="center"/>
          </w:tcPr>
          <w:p w:rsidR="000B2609" w:rsidRDefault="001C1241">
            <w:pPr>
              <w:jc w:val="center"/>
            </w:pPr>
            <w:r>
              <w:rPr>
                <w:color w:val="000000"/>
                <w:sz w:val="24"/>
              </w:rPr>
              <w:t>2015</w:t>
            </w:r>
            <w:r>
              <w:rPr>
                <w:color w:val="000000"/>
                <w:sz w:val="24"/>
              </w:rPr>
              <w:t>年</w:t>
            </w:r>
          </w:p>
        </w:tc>
        <w:tc>
          <w:tcPr>
            <w:tcW w:w="1701" w:type="dxa"/>
            <w:vAlign w:val="center"/>
          </w:tcPr>
          <w:p w:rsidR="000B2609" w:rsidRDefault="001C1241">
            <w:pPr>
              <w:jc w:val="right"/>
            </w:pPr>
            <w:r>
              <w:rPr>
                <w:color w:val="000000"/>
                <w:sz w:val="24"/>
              </w:rPr>
              <w:t>-</w:t>
            </w:r>
          </w:p>
        </w:tc>
        <w:tc>
          <w:tcPr>
            <w:tcW w:w="1701" w:type="dxa"/>
            <w:vAlign w:val="center"/>
          </w:tcPr>
          <w:p w:rsidR="000B2609" w:rsidRDefault="001C1241">
            <w:pPr>
              <w:jc w:val="right"/>
            </w:pPr>
            <w:r>
              <w:rPr>
                <w:color w:val="000000"/>
                <w:sz w:val="24"/>
              </w:rPr>
              <w:t>-</w:t>
            </w:r>
          </w:p>
        </w:tc>
        <w:tc>
          <w:tcPr>
            <w:tcW w:w="1701" w:type="dxa"/>
            <w:vAlign w:val="center"/>
          </w:tcPr>
          <w:p w:rsidR="000B2609" w:rsidRDefault="001C1241">
            <w:pPr>
              <w:jc w:val="right"/>
            </w:pPr>
            <w:r>
              <w:rPr>
                <w:color w:val="000000"/>
                <w:sz w:val="24"/>
              </w:rPr>
              <w:t>-</w:t>
            </w:r>
          </w:p>
        </w:tc>
        <w:tc>
          <w:tcPr>
            <w:tcW w:w="1559" w:type="dxa"/>
            <w:vAlign w:val="center"/>
          </w:tcPr>
          <w:p w:rsidR="000B2609" w:rsidRDefault="001C1241">
            <w:pPr>
              <w:jc w:val="right"/>
            </w:pPr>
            <w:r>
              <w:rPr>
                <w:color w:val="000000"/>
                <w:sz w:val="24"/>
              </w:rPr>
              <w:t>-</w:t>
            </w:r>
          </w:p>
        </w:tc>
        <w:tc>
          <w:tcPr>
            <w:tcW w:w="1060" w:type="dxa"/>
            <w:vAlign w:val="center"/>
          </w:tcPr>
          <w:p w:rsidR="000B2609" w:rsidRDefault="001C1241">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B2609" w:rsidRDefault="001C124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B2609">
        <w:tc>
          <w:tcPr>
            <w:tcW w:w="1499" w:type="dxa"/>
            <w:vAlign w:val="center"/>
          </w:tcPr>
          <w:p w:rsidR="000B2609" w:rsidRDefault="001C1241">
            <w:pPr>
              <w:jc w:val="center"/>
            </w:pPr>
            <w:r>
              <w:rPr>
                <w:color w:val="000000"/>
                <w:sz w:val="24"/>
              </w:rPr>
              <w:t>黄莹洁</w:t>
            </w:r>
          </w:p>
        </w:tc>
        <w:tc>
          <w:tcPr>
            <w:tcW w:w="1499" w:type="dxa"/>
            <w:vAlign w:val="center"/>
          </w:tcPr>
          <w:p w:rsidR="000B2609" w:rsidRDefault="001C1241">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天债券、交银现金宝货币、交银丰享收益债券、交银丰泽收益债券、交银裕通纯债债券、交银活期通货币、交银天利宝货币、交银裕隆纯债债券、交银天鑫宝货币、交银天益宝货币的基金经理</w:t>
            </w:r>
          </w:p>
        </w:tc>
        <w:tc>
          <w:tcPr>
            <w:tcW w:w="1255" w:type="dxa"/>
            <w:vAlign w:val="center"/>
          </w:tcPr>
          <w:p w:rsidR="000B2609" w:rsidRDefault="001C1241">
            <w:pPr>
              <w:jc w:val="center"/>
            </w:pPr>
            <w:r>
              <w:rPr>
                <w:color w:val="000000"/>
                <w:sz w:val="24"/>
              </w:rPr>
              <w:t>2015-12-29</w:t>
            </w:r>
          </w:p>
        </w:tc>
        <w:tc>
          <w:tcPr>
            <w:tcW w:w="1276" w:type="dxa"/>
            <w:vAlign w:val="center"/>
          </w:tcPr>
          <w:p w:rsidR="000B2609" w:rsidRDefault="001C1241">
            <w:pPr>
              <w:jc w:val="center"/>
            </w:pPr>
            <w:r>
              <w:rPr>
                <w:color w:val="000000"/>
                <w:sz w:val="24"/>
              </w:rPr>
              <w:t>-</w:t>
            </w:r>
          </w:p>
        </w:tc>
        <w:tc>
          <w:tcPr>
            <w:tcW w:w="992" w:type="dxa"/>
            <w:vAlign w:val="center"/>
          </w:tcPr>
          <w:p w:rsidR="000B2609" w:rsidRDefault="001C1241">
            <w:pPr>
              <w:jc w:val="center"/>
            </w:pPr>
            <w:r>
              <w:rPr>
                <w:color w:val="000000"/>
                <w:sz w:val="24"/>
              </w:rPr>
              <w:t>8</w:t>
            </w:r>
            <w:r>
              <w:rPr>
                <w:color w:val="000000"/>
                <w:sz w:val="24"/>
              </w:rPr>
              <w:t>年</w:t>
            </w:r>
          </w:p>
        </w:tc>
        <w:tc>
          <w:tcPr>
            <w:tcW w:w="2477" w:type="dxa"/>
            <w:vAlign w:val="center"/>
          </w:tcPr>
          <w:p w:rsidR="000B2609" w:rsidRDefault="001C124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0B2609">
        <w:tc>
          <w:tcPr>
            <w:tcW w:w="1499" w:type="dxa"/>
            <w:vAlign w:val="center"/>
          </w:tcPr>
          <w:p w:rsidR="000B2609" w:rsidRDefault="001C1241">
            <w:pPr>
              <w:jc w:val="center"/>
            </w:pPr>
            <w:r>
              <w:rPr>
                <w:color w:val="000000"/>
                <w:sz w:val="24"/>
              </w:rPr>
              <w:t>章妍</w:t>
            </w:r>
          </w:p>
        </w:tc>
        <w:tc>
          <w:tcPr>
            <w:tcW w:w="1499" w:type="dxa"/>
            <w:vAlign w:val="center"/>
          </w:tcPr>
          <w:p w:rsidR="000B2609" w:rsidRDefault="001C1241">
            <w:pPr>
              <w:jc w:val="center"/>
            </w:pPr>
            <w:r>
              <w:rPr>
                <w:color w:val="000000"/>
                <w:sz w:val="24"/>
              </w:rPr>
              <w:t>交银荣祥保本混合、交银增强收益债券、交银裕通纯债债券、交银裕兴纯债债券、交银裕盈纯债债券、交银裕利纯债债券的基金经理</w:t>
            </w:r>
          </w:p>
        </w:tc>
        <w:tc>
          <w:tcPr>
            <w:tcW w:w="1255" w:type="dxa"/>
            <w:vAlign w:val="center"/>
          </w:tcPr>
          <w:p w:rsidR="000B2609" w:rsidRDefault="001C1241">
            <w:pPr>
              <w:jc w:val="center"/>
            </w:pPr>
            <w:r>
              <w:rPr>
                <w:color w:val="000000"/>
                <w:sz w:val="24"/>
              </w:rPr>
              <w:t>2016-01-09</w:t>
            </w:r>
          </w:p>
        </w:tc>
        <w:tc>
          <w:tcPr>
            <w:tcW w:w="1276" w:type="dxa"/>
            <w:vAlign w:val="center"/>
          </w:tcPr>
          <w:p w:rsidR="000B2609" w:rsidRDefault="001C1241">
            <w:pPr>
              <w:jc w:val="center"/>
            </w:pPr>
            <w:r>
              <w:rPr>
                <w:color w:val="000000"/>
                <w:sz w:val="24"/>
              </w:rPr>
              <w:t>-</w:t>
            </w:r>
          </w:p>
        </w:tc>
        <w:tc>
          <w:tcPr>
            <w:tcW w:w="992" w:type="dxa"/>
            <w:vAlign w:val="center"/>
          </w:tcPr>
          <w:p w:rsidR="000B2609" w:rsidRDefault="001C1241">
            <w:pPr>
              <w:jc w:val="center"/>
            </w:pPr>
            <w:r>
              <w:rPr>
                <w:color w:val="000000"/>
                <w:sz w:val="24"/>
              </w:rPr>
              <w:t>1</w:t>
            </w:r>
            <w:r>
              <w:rPr>
                <w:color w:val="000000"/>
                <w:sz w:val="24"/>
              </w:rPr>
              <w:t>年</w:t>
            </w:r>
          </w:p>
        </w:tc>
        <w:tc>
          <w:tcPr>
            <w:tcW w:w="2477" w:type="dxa"/>
            <w:vAlign w:val="center"/>
          </w:tcPr>
          <w:p w:rsidR="000B2609" w:rsidRDefault="001C1241">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sidR="00F350C8">
              <w:rPr>
                <w:rFonts w:hint="eastAsia"/>
                <w:color w:val="000000"/>
                <w:sz w:val="24"/>
              </w:rPr>
              <w:t>自</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0B2609" w:rsidRDefault="001C124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B2609" w:rsidRDefault="001C124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0B2609" w:rsidRDefault="001C124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B2609" w:rsidRDefault="001C124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B2609" w:rsidRDefault="001C124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B2609" w:rsidRDefault="001C124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B2609" w:rsidRDefault="001C124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B2609" w:rsidRDefault="001C124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B2609" w:rsidRDefault="001C1241">
      <w:pPr>
        <w:spacing w:before="29" w:line="288" w:lineRule="auto"/>
        <w:ind w:firstLineChars="200" w:firstLine="480"/>
        <w:rPr>
          <w:color w:val="000000"/>
          <w:sz w:val="24"/>
        </w:rPr>
      </w:pPr>
      <w:r>
        <w:rPr>
          <w:color w:val="000000"/>
          <w:sz w:val="24"/>
        </w:rPr>
        <w:t>2016</w:t>
      </w:r>
      <w:r>
        <w:rPr>
          <w:color w:val="000000"/>
          <w:sz w:val="24"/>
        </w:rPr>
        <w:t>年前三季度债券市场收益率震荡下行，但四季度受金融去杠杆、央行收紧流动性、美国加息等多重利空因素影响，债券市场呈现大幅调整格局，收益率上行至</w:t>
      </w:r>
      <w:r>
        <w:rPr>
          <w:color w:val="000000"/>
          <w:sz w:val="24"/>
        </w:rPr>
        <w:t>2015</w:t>
      </w:r>
      <w:r>
        <w:rPr>
          <w:color w:val="000000"/>
          <w:sz w:val="24"/>
        </w:rPr>
        <w:t>年三季度之前的水平。全年来看债券市场有一定程度的下跌。</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报告期内，本基金以高流动性资产为底仓，维持了较低的久期和杠杆，降低收益率大幅上行对组合的影响。</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日，交银裕通纯债债券</w:t>
      </w:r>
      <w:r w:rsidRPr="001358D2">
        <w:rPr>
          <w:color w:val="000000"/>
          <w:sz w:val="24"/>
        </w:rPr>
        <w:t>A</w:t>
      </w:r>
      <w:r w:rsidRPr="001358D2">
        <w:rPr>
          <w:color w:val="000000"/>
          <w:sz w:val="24"/>
        </w:rPr>
        <w:t>份额净值为</w:t>
      </w:r>
      <w:r w:rsidRPr="001358D2">
        <w:rPr>
          <w:color w:val="000000"/>
          <w:sz w:val="24"/>
        </w:rPr>
        <w:t>0.997</w:t>
      </w:r>
      <w:r w:rsidRPr="001358D2">
        <w:rPr>
          <w:color w:val="000000"/>
          <w:sz w:val="24"/>
        </w:rPr>
        <w:t>元，本报告期份额净值增长率为</w:t>
      </w:r>
      <w:r w:rsidRPr="001358D2">
        <w:rPr>
          <w:color w:val="000000"/>
          <w:sz w:val="24"/>
        </w:rPr>
        <w:t>-0.30%</w:t>
      </w:r>
      <w:r w:rsidRPr="001358D2">
        <w:rPr>
          <w:color w:val="000000"/>
          <w:sz w:val="24"/>
        </w:rPr>
        <w:t>，同期业绩比较基准增长率为</w:t>
      </w:r>
      <w:r w:rsidRPr="001358D2">
        <w:rPr>
          <w:color w:val="000000"/>
          <w:sz w:val="24"/>
        </w:rPr>
        <w:t>-1.63%</w:t>
      </w:r>
      <w:r w:rsidRPr="001358D2">
        <w:rPr>
          <w:color w:val="000000"/>
          <w:sz w:val="24"/>
        </w:rPr>
        <w:t>；交银裕通纯债债券</w:t>
      </w:r>
      <w:r w:rsidRPr="001358D2">
        <w:rPr>
          <w:color w:val="000000"/>
          <w:sz w:val="24"/>
        </w:rPr>
        <w:t>C</w:t>
      </w:r>
      <w:r w:rsidRPr="001358D2">
        <w:rPr>
          <w:color w:val="000000"/>
          <w:sz w:val="24"/>
        </w:rPr>
        <w:t>份额净值为</w:t>
      </w:r>
      <w:r w:rsidRPr="001358D2">
        <w:rPr>
          <w:color w:val="000000"/>
          <w:sz w:val="24"/>
        </w:rPr>
        <w:t>0.993</w:t>
      </w:r>
      <w:r w:rsidRPr="001358D2">
        <w:rPr>
          <w:color w:val="000000"/>
          <w:sz w:val="24"/>
        </w:rPr>
        <w:t>元，本报告期份额净值增长率为</w:t>
      </w:r>
      <w:r w:rsidRPr="001358D2">
        <w:rPr>
          <w:color w:val="000000"/>
          <w:sz w:val="24"/>
        </w:rPr>
        <w:t>-0.70%</w:t>
      </w:r>
      <w:r w:rsidRPr="001358D2">
        <w:rPr>
          <w:color w:val="000000"/>
          <w:sz w:val="24"/>
        </w:rPr>
        <w:t>，同期业绩比较基准增长率为</w:t>
      </w:r>
      <w:r w:rsidRPr="001358D2">
        <w:rPr>
          <w:color w:val="000000"/>
          <w:sz w:val="24"/>
        </w:rPr>
        <w:t>-1.63%</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0B2609" w:rsidRDefault="001C1241">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年，短期看，近期经济结构依然不稳，传统动力无法完全换挡至新兴产业，地产调控升级，</w:t>
      </w:r>
      <w:r>
        <w:rPr>
          <w:color w:val="000000"/>
          <w:sz w:val="24"/>
        </w:rPr>
        <w:t>2017</w:t>
      </w:r>
      <w:r>
        <w:rPr>
          <w:color w:val="000000"/>
          <w:sz w:val="24"/>
        </w:rPr>
        <w:t>年经济动能依然落脚于基建投资。</w:t>
      </w:r>
      <w:r>
        <w:rPr>
          <w:color w:val="000000"/>
          <w:sz w:val="24"/>
        </w:rPr>
        <w:t>2017</w:t>
      </w:r>
      <w:r>
        <w:rPr>
          <w:color w:val="000000"/>
          <w:sz w:val="24"/>
        </w:rPr>
        <w:t>年中国经济依然面临下行压力，近期政治局会议关键词为供给侧、稳增长、资产泡沫。二产对</w:t>
      </w:r>
      <w:r>
        <w:rPr>
          <w:color w:val="000000"/>
          <w:sz w:val="24"/>
        </w:rPr>
        <w:t>GDP</w:t>
      </w:r>
      <w:r>
        <w:rPr>
          <w:color w:val="000000"/>
          <w:sz w:val="24"/>
        </w:rPr>
        <w:t>的拉动在近些年逐步回落，尽管三产对</w:t>
      </w:r>
      <w:r>
        <w:rPr>
          <w:color w:val="000000"/>
          <w:sz w:val="24"/>
        </w:rPr>
        <w:t>GDP</w:t>
      </w:r>
      <w:r>
        <w:rPr>
          <w:color w:val="000000"/>
          <w:sz w:val="24"/>
        </w:rPr>
        <w:t>贡献逐年上升，但三产的结构并不稳定，今年主要增量拉力地产和汽车预计很难继续成为明年经济引擎。预计</w:t>
      </w:r>
      <w:r>
        <w:rPr>
          <w:color w:val="000000"/>
          <w:sz w:val="24"/>
        </w:rPr>
        <w:t>2017</w:t>
      </w:r>
      <w:r>
        <w:rPr>
          <w:color w:val="000000"/>
          <w:sz w:val="24"/>
        </w:rPr>
        <w:t>年经济增长依然需要依托基建投资，货币政策中性下，财政政策或将更为积极，在预算内财政支出空间受限的情况下，明年</w:t>
      </w:r>
      <w:r>
        <w:rPr>
          <w:color w:val="000000"/>
          <w:sz w:val="24"/>
        </w:rPr>
        <w:t>PPP</w:t>
      </w:r>
      <w:r>
        <w:rPr>
          <w:color w:val="000000"/>
          <w:sz w:val="24"/>
        </w:rPr>
        <w:t>和置换债等货币化工具有望继续成为稳定增长的主要融资手段。</w:t>
      </w:r>
    </w:p>
    <w:p w:rsidR="000B2609" w:rsidRDefault="001C1241">
      <w:pPr>
        <w:spacing w:before="29" w:line="288" w:lineRule="auto"/>
        <w:ind w:firstLineChars="200" w:firstLine="480"/>
        <w:rPr>
          <w:color w:val="000000"/>
          <w:sz w:val="24"/>
        </w:rPr>
      </w:pPr>
      <w:r>
        <w:rPr>
          <w:color w:val="000000"/>
          <w:sz w:val="24"/>
        </w:rPr>
        <w:t>中期看，中国经济潜在增速存在下行压力：人口红利的拐点已过，储蓄率存在下行压力。资本产出比持续提升，资本积累将速度放缓。随着经济的发展，发展中国家的学习效应将逐步降低，技术对于增长的促进效应开始面临局限。基于人口、资本及技术外溢效应变化，中国经济潜在增速持续保持高位的压力较大。</w:t>
      </w:r>
    </w:p>
    <w:p w:rsidR="000B2609" w:rsidRDefault="001C1241">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年，中国经济依然面临下行压力，无法长期承受过高的利率。年末债券收益率大幅走高，提升了明年的收益空间，但也要关注债市的几个风险因素：</w:t>
      </w:r>
      <w:r>
        <w:rPr>
          <w:color w:val="000000"/>
          <w:sz w:val="24"/>
        </w:rPr>
        <w:t>1</w:t>
      </w:r>
      <w:r>
        <w:rPr>
          <w:color w:val="000000"/>
          <w:sz w:val="24"/>
        </w:rPr>
        <w:t>）上游涨价传导至中下游，</w:t>
      </w:r>
      <w:r>
        <w:rPr>
          <w:color w:val="000000"/>
          <w:sz w:val="24"/>
        </w:rPr>
        <w:t>CPI</w:t>
      </w:r>
      <w:r>
        <w:rPr>
          <w:color w:val="000000"/>
          <w:sz w:val="24"/>
        </w:rPr>
        <w:t>中枢较</w:t>
      </w:r>
      <w:r>
        <w:rPr>
          <w:color w:val="000000"/>
          <w:sz w:val="24"/>
        </w:rPr>
        <w:t>2016</w:t>
      </w:r>
      <w:r>
        <w:rPr>
          <w:color w:val="000000"/>
          <w:sz w:val="24"/>
        </w:rPr>
        <w:t>年明显抬升。不过目前迹象还不明显。</w:t>
      </w:r>
      <w:r>
        <w:rPr>
          <w:color w:val="000000"/>
          <w:sz w:val="24"/>
        </w:rPr>
        <w:t>2</w:t>
      </w:r>
      <w:r>
        <w:rPr>
          <w:color w:val="000000"/>
          <w:sz w:val="24"/>
        </w:rPr>
        <w:t>）外汇压力及金融去杠杆政策带来的市场预期紊乱，导致资金面紧张可能是明年债市应关注的主要风险。</w:t>
      </w:r>
      <w:r>
        <w:rPr>
          <w:color w:val="000000"/>
          <w:sz w:val="24"/>
        </w:rPr>
        <w:t>3</w:t>
      </w:r>
      <w:r>
        <w:rPr>
          <w:color w:val="000000"/>
          <w:sz w:val="24"/>
        </w:rPr>
        <w:t>）美国基建刺激的全球示范效应，带来全球债市阶段见顶，恐慌情绪及外汇压力打压国内债市。</w:t>
      </w:r>
    </w:p>
    <w:p w:rsidR="00D54B59" w:rsidRPr="001358D2" w:rsidRDefault="00D54B59" w:rsidP="001358D2">
      <w:pPr>
        <w:spacing w:before="29" w:line="288" w:lineRule="auto"/>
        <w:ind w:firstLineChars="200" w:firstLine="480"/>
        <w:rPr>
          <w:color w:val="000000"/>
          <w:sz w:val="24"/>
        </w:rPr>
      </w:pPr>
      <w:r w:rsidRPr="001358D2">
        <w:rPr>
          <w:color w:val="000000"/>
          <w:sz w:val="24"/>
        </w:rPr>
        <w:t>本基金将保持一定流动性，尽力控制久期和杠杆，在震荡中对组合进行及时仓位调整。</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0B2609" w:rsidRDefault="001C1241">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B2609" w:rsidRDefault="001C1241">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本托管人认真复核了本年度报告中的财务指标、净值表现、收益分配情况、财务会计报告、投资组合报告等内容，认为其真实、准确和完整，不存在虚假记载、误导性陈述或者重大遗漏。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交银施罗德裕通纯债债券型证券投资基金</w:t>
      </w:r>
      <w:r w:rsidR="003D077B" w:rsidRPr="000C1A53">
        <w:rPr>
          <w:color w:val="000000"/>
          <w:sz w:val="24"/>
        </w:rPr>
        <w:t xml:space="preserve">2016 </w:t>
      </w:r>
      <w:r w:rsidR="003D077B" w:rsidRPr="000C1A53">
        <w:rPr>
          <w:color w:val="000000"/>
          <w:sz w:val="24"/>
        </w:rPr>
        <w:t>年</w:t>
      </w:r>
      <w:r w:rsidR="003D077B" w:rsidRPr="000C1A53">
        <w:rPr>
          <w:color w:val="000000"/>
          <w:sz w:val="24"/>
        </w:rPr>
        <w:t xml:space="preserve">12 </w:t>
      </w:r>
      <w:r w:rsidR="003D077B" w:rsidRPr="000C1A53">
        <w:rPr>
          <w:color w:val="000000"/>
          <w:sz w:val="24"/>
        </w:rPr>
        <w:t>月</w:t>
      </w:r>
      <w:r w:rsidR="003D077B" w:rsidRPr="000C1A53">
        <w:rPr>
          <w:color w:val="000000"/>
          <w:sz w:val="24"/>
        </w:rPr>
        <w:t xml:space="preserve">31 </w:t>
      </w:r>
      <w:r w:rsidR="003D077B" w:rsidRPr="000C1A53">
        <w:rPr>
          <w:color w:val="000000"/>
          <w:sz w:val="24"/>
        </w:rPr>
        <w:t>日和</w:t>
      </w:r>
      <w:r w:rsidR="003D077B" w:rsidRPr="000C1A53">
        <w:rPr>
          <w:color w:val="000000"/>
          <w:sz w:val="24"/>
        </w:rPr>
        <w:t xml:space="preserve">2015 </w:t>
      </w:r>
      <w:r w:rsidR="003D077B" w:rsidRPr="000C1A53">
        <w:rPr>
          <w:color w:val="000000"/>
          <w:sz w:val="24"/>
        </w:rPr>
        <w:t>年</w:t>
      </w:r>
      <w:r w:rsidR="003D077B" w:rsidRPr="000C1A53">
        <w:rPr>
          <w:color w:val="000000"/>
          <w:sz w:val="24"/>
        </w:rPr>
        <w:t xml:space="preserve">12 </w:t>
      </w:r>
      <w:r w:rsidR="003D077B" w:rsidRPr="000C1A53">
        <w:rPr>
          <w:color w:val="000000"/>
          <w:sz w:val="24"/>
        </w:rPr>
        <w:t>月</w:t>
      </w:r>
      <w:r w:rsidR="003D077B" w:rsidRPr="000C1A53">
        <w:rPr>
          <w:color w:val="000000"/>
          <w:sz w:val="24"/>
        </w:rPr>
        <w:t xml:space="preserve">31 </w:t>
      </w:r>
      <w:r w:rsidR="003D077B" w:rsidRPr="000C1A53">
        <w:rPr>
          <w:color w:val="000000"/>
          <w:sz w:val="24"/>
        </w:rPr>
        <w:t>日的资产负债表、</w:t>
      </w:r>
      <w:r w:rsidR="003D077B" w:rsidRPr="000C1A53">
        <w:rPr>
          <w:color w:val="000000"/>
          <w:sz w:val="24"/>
        </w:rPr>
        <w:t xml:space="preserve">2016 </w:t>
      </w:r>
      <w:r w:rsidR="003D077B" w:rsidRPr="000C1A53">
        <w:rPr>
          <w:color w:val="000000"/>
          <w:sz w:val="24"/>
        </w:rPr>
        <w:t>年度和</w:t>
      </w:r>
      <w:r w:rsidR="003D077B" w:rsidRPr="000C1A53">
        <w:rPr>
          <w:color w:val="000000"/>
          <w:sz w:val="24"/>
        </w:rPr>
        <w:t xml:space="preserve">2015 </w:t>
      </w:r>
      <w:r w:rsidR="003D077B" w:rsidRPr="000C1A53">
        <w:rPr>
          <w:color w:val="000000"/>
          <w:sz w:val="24"/>
        </w:rPr>
        <w:t>年</w:t>
      </w:r>
      <w:r w:rsidR="003D077B" w:rsidRPr="000C1A53">
        <w:rPr>
          <w:color w:val="000000"/>
          <w:sz w:val="24"/>
        </w:rPr>
        <w:t xml:space="preserve">12 </w:t>
      </w:r>
      <w:r w:rsidR="003D077B" w:rsidRPr="000C1A53">
        <w:rPr>
          <w:color w:val="000000"/>
          <w:sz w:val="24"/>
        </w:rPr>
        <w:t>月</w:t>
      </w:r>
      <w:r w:rsidR="003D077B" w:rsidRPr="000C1A53">
        <w:rPr>
          <w:color w:val="000000"/>
          <w:sz w:val="24"/>
        </w:rPr>
        <w:t xml:space="preserve">29 </w:t>
      </w:r>
      <w:r w:rsidR="003D077B" w:rsidRPr="000C1A53">
        <w:rPr>
          <w:color w:val="000000"/>
          <w:sz w:val="24"/>
        </w:rPr>
        <w:t>日</w:t>
      </w:r>
      <w:r w:rsidR="003D077B" w:rsidRPr="000C1A53">
        <w:rPr>
          <w:color w:val="000000"/>
          <w:sz w:val="24"/>
        </w:rPr>
        <w:t>(</w:t>
      </w:r>
      <w:r w:rsidR="003D077B" w:rsidRPr="000C1A53">
        <w:rPr>
          <w:color w:val="000000"/>
          <w:sz w:val="24"/>
        </w:rPr>
        <w:t>基金合同生效日</w:t>
      </w:r>
      <w:r w:rsidR="003D077B" w:rsidRPr="000C1A53">
        <w:rPr>
          <w:color w:val="000000"/>
          <w:sz w:val="24"/>
        </w:rPr>
        <w:t>)</w:t>
      </w:r>
      <w:r w:rsidR="003D077B" w:rsidRPr="000C1A53">
        <w:rPr>
          <w:color w:val="000000"/>
          <w:sz w:val="24"/>
        </w:rPr>
        <w:t>至</w:t>
      </w:r>
      <w:r w:rsidR="003D077B" w:rsidRPr="000C1A53">
        <w:rPr>
          <w:color w:val="000000"/>
          <w:sz w:val="24"/>
        </w:rPr>
        <w:t xml:space="preserve">2015 </w:t>
      </w:r>
      <w:r w:rsidR="003D077B" w:rsidRPr="000C1A53">
        <w:rPr>
          <w:color w:val="000000"/>
          <w:sz w:val="24"/>
        </w:rPr>
        <w:t>年</w:t>
      </w:r>
      <w:r w:rsidR="003D077B" w:rsidRPr="000C1A53">
        <w:rPr>
          <w:color w:val="000000"/>
          <w:sz w:val="24"/>
        </w:rPr>
        <w:t>12</w:t>
      </w:r>
      <w:r w:rsidR="003D077B" w:rsidRPr="000C1A53">
        <w:rPr>
          <w:color w:val="000000"/>
          <w:sz w:val="24"/>
        </w:rPr>
        <w:t>月</w:t>
      </w:r>
      <w:r w:rsidR="003D077B" w:rsidRPr="000C1A53">
        <w:rPr>
          <w:color w:val="000000"/>
          <w:sz w:val="24"/>
        </w:rPr>
        <w:t xml:space="preserve">31 </w:t>
      </w:r>
      <w:r w:rsidR="003D077B" w:rsidRPr="000C1A53">
        <w:rPr>
          <w:color w:val="000000"/>
          <w:sz w:val="24"/>
        </w:rPr>
        <w:t>日止期间的利润表和所有者权益</w:t>
      </w:r>
      <w:r w:rsidR="003D077B" w:rsidRPr="000C1A53">
        <w:rPr>
          <w:color w:val="000000"/>
          <w:sz w:val="24"/>
        </w:rPr>
        <w:t>(</w:t>
      </w:r>
      <w:r w:rsidR="003D077B" w:rsidRPr="000C1A53">
        <w:rPr>
          <w:color w:val="000000"/>
          <w:sz w:val="24"/>
        </w:rPr>
        <w:t>基金净值</w:t>
      </w:r>
      <w:r w:rsidR="003D077B" w:rsidRPr="000C1A53">
        <w:rPr>
          <w:color w:val="000000"/>
          <w:sz w:val="24"/>
        </w:rPr>
        <w:t>)</w:t>
      </w:r>
      <w:r w:rsidR="003D077B" w:rsidRPr="000C1A53">
        <w:rPr>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20160 </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交银施罗德裕通纯债债券型证券投资基金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5,414,819.99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206,262,537.11</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454,584.60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1,737,164,624.00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1,737,164,624.00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15,000,000.00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25,003,839.44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44,021.76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14,800.25</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1,768,037,868.03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221,321,359.12</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66,000,000.00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648,117.62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5,456.56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144,026.15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1,212.57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287.69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14,202.12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25,318.58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487.80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67,161,952.16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7,187.25</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1,705,247,328.78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221,277,337.36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-4,371,412.91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36,834.51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1,700,875,915.87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221,314,171.87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1,768,037,868.03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221,321,359.12</w:t>
            </w:r>
          </w:p>
        </w:tc>
      </w:tr>
    </w:tbl>
    <w:p w:rsidR="000B2609" w:rsidRDefault="00CF5F2C">
      <w:pPr>
        <w:tabs>
          <w:tab w:val="left" w:pos="426"/>
        </w:tabs>
        <w:spacing w:before="29" w:line="288" w:lineRule="auto"/>
        <w:jc w:val="left"/>
        <w:rPr>
          <w:kern w:val="0"/>
          <w:sz w:val="24"/>
        </w:rPr>
      </w:pPr>
      <w:r>
        <w:rPr>
          <w:rFonts w:hint="eastAsia"/>
          <w:kern w:val="0"/>
          <w:sz w:val="24"/>
        </w:rPr>
        <w:t>注：</w:t>
      </w:r>
      <w:r w:rsidR="001C1241">
        <w:rPr>
          <w:kern w:val="0"/>
          <w:sz w:val="24"/>
        </w:rPr>
        <w:t>1</w:t>
      </w:r>
      <w:r w:rsidR="001C1241">
        <w:rPr>
          <w:kern w:val="0"/>
          <w:sz w:val="24"/>
        </w:rPr>
        <w:t>、报告截止日</w:t>
      </w:r>
      <w:r w:rsidR="001C1241">
        <w:rPr>
          <w:kern w:val="0"/>
          <w:sz w:val="24"/>
        </w:rPr>
        <w:t>2016</w:t>
      </w:r>
      <w:r w:rsidR="001C1241">
        <w:rPr>
          <w:kern w:val="0"/>
          <w:sz w:val="24"/>
        </w:rPr>
        <w:t>年</w:t>
      </w:r>
      <w:r w:rsidR="001C1241">
        <w:rPr>
          <w:kern w:val="0"/>
          <w:sz w:val="24"/>
        </w:rPr>
        <w:t>12</w:t>
      </w:r>
      <w:r w:rsidR="001C1241">
        <w:rPr>
          <w:kern w:val="0"/>
          <w:sz w:val="24"/>
        </w:rPr>
        <w:t>月</w:t>
      </w:r>
      <w:r w:rsidR="001C1241">
        <w:rPr>
          <w:kern w:val="0"/>
          <w:sz w:val="24"/>
        </w:rPr>
        <w:t>31</w:t>
      </w:r>
      <w:r w:rsidR="001C1241">
        <w:rPr>
          <w:kern w:val="0"/>
          <w:sz w:val="24"/>
        </w:rPr>
        <w:t>日，</w:t>
      </w:r>
      <w:r w:rsidR="001C1241">
        <w:rPr>
          <w:kern w:val="0"/>
          <w:sz w:val="24"/>
        </w:rPr>
        <w:t>A</w:t>
      </w:r>
      <w:r w:rsidR="001C1241">
        <w:rPr>
          <w:kern w:val="0"/>
          <w:sz w:val="24"/>
        </w:rPr>
        <w:t>类基金份额净值</w:t>
      </w:r>
      <w:r w:rsidR="001C1241">
        <w:rPr>
          <w:kern w:val="0"/>
          <w:sz w:val="24"/>
        </w:rPr>
        <w:t>0.997</w:t>
      </w:r>
      <w:r w:rsidR="001C1241">
        <w:rPr>
          <w:kern w:val="0"/>
          <w:sz w:val="24"/>
        </w:rPr>
        <w:t>元，</w:t>
      </w:r>
      <w:r w:rsidR="001C1241">
        <w:rPr>
          <w:kern w:val="0"/>
          <w:sz w:val="24"/>
        </w:rPr>
        <w:t>C</w:t>
      </w:r>
      <w:r w:rsidR="001C1241">
        <w:rPr>
          <w:kern w:val="0"/>
          <w:sz w:val="24"/>
        </w:rPr>
        <w:t>类基金份额净值</w:t>
      </w:r>
      <w:r w:rsidR="001C1241">
        <w:rPr>
          <w:kern w:val="0"/>
          <w:sz w:val="24"/>
        </w:rPr>
        <w:t>0.993</w:t>
      </w:r>
      <w:r w:rsidR="001C1241">
        <w:rPr>
          <w:kern w:val="0"/>
          <w:sz w:val="24"/>
        </w:rPr>
        <w:t>元，基金份额总额</w:t>
      </w:r>
      <w:r w:rsidR="001C1241">
        <w:rPr>
          <w:kern w:val="0"/>
          <w:sz w:val="24"/>
        </w:rPr>
        <w:t>1,705,247,328.78</w:t>
      </w:r>
      <w:r w:rsidR="001C1241">
        <w:rPr>
          <w:kern w:val="0"/>
          <w:sz w:val="24"/>
        </w:rPr>
        <w:t>份，其中</w:t>
      </w:r>
      <w:r w:rsidR="001C1241">
        <w:rPr>
          <w:kern w:val="0"/>
          <w:sz w:val="24"/>
        </w:rPr>
        <w:t>A</w:t>
      </w:r>
      <w:r w:rsidR="001C1241">
        <w:rPr>
          <w:kern w:val="0"/>
          <w:sz w:val="24"/>
        </w:rPr>
        <w:t>类基金份额</w:t>
      </w:r>
      <w:r w:rsidR="001C1241">
        <w:rPr>
          <w:kern w:val="0"/>
          <w:sz w:val="24"/>
        </w:rPr>
        <w:t>1,704,392,918.43</w:t>
      </w:r>
      <w:r w:rsidR="001C1241">
        <w:rPr>
          <w:kern w:val="0"/>
          <w:sz w:val="24"/>
        </w:rPr>
        <w:t>份，</w:t>
      </w:r>
      <w:r w:rsidR="001C1241">
        <w:rPr>
          <w:kern w:val="0"/>
          <w:sz w:val="24"/>
        </w:rPr>
        <w:t>C</w:t>
      </w:r>
      <w:r w:rsidR="001C1241">
        <w:rPr>
          <w:kern w:val="0"/>
          <w:sz w:val="24"/>
        </w:rPr>
        <w:t>类基金份额</w:t>
      </w:r>
      <w:r w:rsidR="001C1241">
        <w:rPr>
          <w:kern w:val="0"/>
          <w:sz w:val="24"/>
        </w:rPr>
        <w:t>854,410.35</w:t>
      </w:r>
      <w:r w:rsidR="001C1241">
        <w:rPr>
          <w:kern w:val="0"/>
          <w:sz w:val="24"/>
        </w:rPr>
        <w:t>份。</w:t>
      </w:r>
    </w:p>
    <w:p w:rsidR="001A59F9" w:rsidRDefault="001A59F9" w:rsidP="00CF5F2C">
      <w:pPr>
        <w:tabs>
          <w:tab w:val="left" w:pos="426"/>
        </w:tabs>
        <w:spacing w:before="29" w:line="288" w:lineRule="auto"/>
        <w:ind w:firstLineChars="200" w:firstLine="480"/>
        <w:jc w:val="left"/>
        <w:rPr>
          <w:kern w:val="0"/>
          <w:sz w:val="24"/>
        </w:rPr>
      </w:pPr>
      <w:r w:rsidRPr="00E25C2A">
        <w:rPr>
          <w:kern w:val="0"/>
          <w:sz w:val="24"/>
        </w:rPr>
        <w:t>2</w:t>
      </w:r>
      <w:r w:rsidRPr="00E25C2A">
        <w:rPr>
          <w:kern w:val="0"/>
          <w:sz w:val="24"/>
        </w:rPr>
        <w:t>、本财务报表的实际编制期间为</w:t>
      </w:r>
      <w:r w:rsidRPr="00E25C2A">
        <w:rPr>
          <w:kern w:val="0"/>
          <w:sz w:val="24"/>
        </w:rPr>
        <w:t>2016</w:t>
      </w:r>
      <w:r w:rsidRPr="00E25C2A">
        <w:rPr>
          <w:kern w:val="0"/>
          <w:sz w:val="24"/>
        </w:rPr>
        <w:t>年度和</w:t>
      </w:r>
      <w:r w:rsidRPr="00E25C2A">
        <w:rPr>
          <w:kern w:val="0"/>
          <w:sz w:val="24"/>
        </w:rPr>
        <w:t>2015</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2015</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CF5F2C">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交银施罗德裕通纯债债券型证券投资基金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29</w:t>
            </w:r>
            <w:r w:rsidRPr="00D73BCD">
              <w:rPr>
                <w:rFonts w:ascii="Times New Roman" w:hAnsi="Times New Roman"/>
                <w:b/>
                <w:color w:val="000000"/>
              </w:rPr>
              <w:t>日（基金合同生效日）至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777,200.73</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44,021.76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52,178,064.71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44,021.76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704,129.12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42,984.26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50,849,482.71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624,452.88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1,037.50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3,699,030.31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3,699,030.31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-55,102,235.30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2,341.01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11,512,282.66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7,187.25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7,034,224.20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5,456.56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1,563,160.89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1,212.57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4,315.21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30.32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37,496.60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2,492,101.81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2,492,101.81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380,983.95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487.80</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-10,735,081.93</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36,834.51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-10,735,081.93</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36,834.51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交银施罗德裕通纯债债券型证券投资基金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221,277,337.36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36,834.51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221,314,171.87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-10,735,081.93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-10,735,081.93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1,483,969,991.42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6,326,834.51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1,490,296,825.93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1,494,097,078.57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6,461,148.70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1,500,558,227.27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-10,127,087.15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-134,314.19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-10,261,401.34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1,705,247,328.78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-4,371,412.91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1,700,875,915.87</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29</w:t>
            </w:r>
            <w:r w:rsidRPr="009005D8">
              <w:rPr>
                <w:rFonts w:ascii="Times New Roman" w:hAnsi="Times New Roman"/>
                <w:b/>
                <w:color w:val="000000"/>
                <w:kern w:val="2"/>
              </w:rPr>
              <w:t>日（基金合同生效日）至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221,277,337.36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221,277,337.36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36,834.51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36,834.51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221,277,337.36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36,834.51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221,314,171.87</w:t>
            </w:r>
          </w:p>
        </w:tc>
      </w:tr>
    </w:tbl>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DA6B14" w:rsidRDefault="00DA6B14" w:rsidP="00DA6B14">
      <w:pPr>
        <w:spacing w:before="29" w:line="288" w:lineRule="auto"/>
        <w:ind w:firstLineChars="200" w:firstLine="480"/>
        <w:rPr>
          <w:kern w:val="0"/>
          <w:sz w:val="24"/>
        </w:rPr>
      </w:pPr>
      <w:r>
        <w:rPr>
          <w:kern w:val="0"/>
          <w:sz w:val="24"/>
        </w:rPr>
        <w:t>交银施罗德裕通纯债债券型证券投资基金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w:t>
      </w:r>
      <w:r>
        <w:rPr>
          <w:rFonts w:hint="eastAsia"/>
          <w:kern w:val="0"/>
          <w:sz w:val="24"/>
        </w:rPr>
        <w:t>施罗德</w:t>
      </w:r>
      <w:r>
        <w:rPr>
          <w:kern w:val="0"/>
          <w:sz w:val="24"/>
        </w:rPr>
        <w:t>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1435</w:t>
      </w:r>
      <w:r>
        <w:rPr>
          <w:kern w:val="0"/>
          <w:sz w:val="24"/>
        </w:rPr>
        <w:t>号验资报告予以验证。经向中国证监会备案，《交银</w:t>
      </w:r>
      <w:r>
        <w:rPr>
          <w:rFonts w:hint="eastAsia"/>
          <w:kern w:val="0"/>
          <w:sz w:val="24"/>
        </w:rPr>
        <w:t>施罗德</w:t>
      </w:r>
      <w:r>
        <w:rPr>
          <w:kern w:val="0"/>
          <w:sz w:val="24"/>
        </w:rPr>
        <w:t>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rsidR="00DA6B14" w:rsidRDefault="00DA6B14" w:rsidP="00DA6B14">
      <w:pPr>
        <w:spacing w:before="29" w:line="288" w:lineRule="auto"/>
        <w:ind w:firstLineChars="200" w:firstLine="480"/>
        <w:rPr>
          <w:kern w:val="0"/>
          <w:sz w:val="24"/>
        </w:rPr>
      </w:pPr>
      <w:r>
        <w:rPr>
          <w:kern w:val="0"/>
          <w:sz w:val="24"/>
        </w:rPr>
        <w:t>根据《交银</w:t>
      </w:r>
      <w:r>
        <w:rPr>
          <w:rFonts w:hint="eastAsia"/>
          <w:kern w:val="0"/>
          <w:sz w:val="24"/>
        </w:rPr>
        <w:t>施罗德</w:t>
      </w:r>
      <w:r>
        <w:rPr>
          <w:kern w:val="0"/>
          <w:sz w:val="24"/>
        </w:rPr>
        <w:t>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申购费用、赎回时不收取赎回费用，且从本类别基金资产中计提销售服务费的，称为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DA6B14" w:rsidRDefault="00DA6B14" w:rsidP="00DA6B14">
      <w:pPr>
        <w:spacing w:before="29" w:line="288" w:lineRule="auto"/>
        <w:ind w:firstLineChars="200" w:firstLine="480"/>
        <w:rPr>
          <w:kern w:val="0"/>
          <w:sz w:val="24"/>
        </w:rPr>
      </w:pPr>
      <w:r>
        <w:rPr>
          <w:kern w:val="0"/>
          <w:sz w:val="24"/>
        </w:rPr>
        <w:t>根据《中华人民共和国证券投资基金法》和《交银</w:t>
      </w:r>
      <w:r>
        <w:rPr>
          <w:rFonts w:hint="eastAsia"/>
          <w:kern w:val="0"/>
          <w:sz w:val="24"/>
        </w:rPr>
        <w:t>施罗德</w:t>
      </w:r>
      <w:r>
        <w:rPr>
          <w:kern w:val="0"/>
          <w:sz w:val="24"/>
        </w:rPr>
        <w:t>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。本基金的投资组合比例为：债券资产的比例不低于基金资产的</w:t>
      </w:r>
      <w:r>
        <w:rPr>
          <w:kern w:val="0"/>
          <w:sz w:val="24"/>
        </w:rPr>
        <w:t>80%</w:t>
      </w:r>
      <w:r>
        <w:rPr>
          <w:kern w:val="0"/>
          <w:sz w:val="24"/>
        </w:rPr>
        <w:t>，现金或到期日在一年以为的政府债券的投资比例合计不低于基金资产净值的</w:t>
      </w:r>
      <w:r>
        <w:rPr>
          <w:kern w:val="0"/>
          <w:sz w:val="24"/>
        </w:rPr>
        <w:t>5%</w:t>
      </w:r>
      <w:r>
        <w:rPr>
          <w:kern w:val="0"/>
          <w:sz w:val="24"/>
        </w:rPr>
        <w:t>。本基金的业绩比较基准为中债综合全价指数。</w:t>
      </w:r>
    </w:p>
    <w:p w:rsidR="001A59F9" w:rsidRDefault="00DA6B14" w:rsidP="00DA6B14">
      <w:pPr>
        <w:tabs>
          <w:tab w:val="left" w:pos="2265"/>
        </w:tabs>
        <w:spacing w:line="360"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2</w:t>
      </w:r>
      <w:r>
        <w:rPr>
          <w:rFonts w:hint="eastAsia"/>
          <w:kern w:val="0"/>
          <w:sz w:val="24"/>
        </w:rPr>
        <w:t>4</w:t>
      </w:r>
      <w:r w:rsidRPr="004A3D9A">
        <w:rPr>
          <w:kern w:val="0"/>
          <w:sz w:val="24"/>
        </w:rPr>
        <w:t>日批准报出。</w:t>
      </w:r>
    </w:p>
    <w:p w:rsidR="00DA6B14" w:rsidRPr="008B2C7A" w:rsidRDefault="00DA6B14" w:rsidP="00DA6B14">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颁布的《证券投资基金会计核算业务指引》、《交银施罗德裕通纯债债券型证券投资基金基金合同》和在财务报表附注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年度和</w:t>
      </w:r>
      <w:r w:rsidRPr="00592B92">
        <w:rPr>
          <w:color w:val="000000"/>
          <w:sz w:val="24"/>
        </w:rPr>
        <w:t>2015</w:t>
      </w:r>
      <w:r w:rsidRPr="00592B92">
        <w:rPr>
          <w:color w:val="000000"/>
          <w:sz w:val="24"/>
        </w:rPr>
        <w:t>年</w:t>
      </w:r>
      <w:r w:rsidRPr="00592B92">
        <w:rPr>
          <w:color w:val="000000"/>
          <w:sz w:val="24"/>
        </w:rPr>
        <w:t>12</w:t>
      </w:r>
      <w:r w:rsidRPr="00592B92">
        <w:rPr>
          <w:color w:val="000000"/>
          <w:sz w:val="24"/>
        </w:rPr>
        <w:t>月</w:t>
      </w:r>
      <w:r w:rsidRPr="00592B92">
        <w:rPr>
          <w:color w:val="000000"/>
          <w:sz w:val="24"/>
        </w:rPr>
        <w:t>29</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2015</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日及</w:t>
      </w:r>
      <w:r w:rsidRPr="00592B92">
        <w:rPr>
          <w:color w:val="000000"/>
          <w:sz w:val="24"/>
        </w:rPr>
        <w:t>2015</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年度和</w:t>
      </w:r>
      <w:r w:rsidRPr="00592B92">
        <w:rPr>
          <w:color w:val="000000"/>
          <w:sz w:val="24"/>
        </w:rPr>
        <w:t>2015</w:t>
      </w:r>
      <w:r w:rsidRPr="00592B92">
        <w:rPr>
          <w:color w:val="000000"/>
          <w:sz w:val="24"/>
        </w:rPr>
        <w:t>年</w:t>
      </w:r>
      <w:r w:rsidRPr="00592B92">
        <w:rPr>
          <w:color w:val="000000"/>
          <w:sz w:val="24"/>
        </w:rPr>
        <w:t>12</w:t>
      </w:r>
      <w:r w:rsidRPr="00592B92">
        <w:rPr>
          <w:color w:val="000000"/>
          <w:sz w:val="24"/>
        </w:rPr>
        <w:t>月</w:t>
      </w:r>
      <w:r w:rsidRPr="00592B92">
        <w:rPr>
          <w:color w:val="000000"/>
          <w:sz w:val="24"/>
        </w:rPr>
        <w:t>29</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2015</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日止。本财务报表的实际编制期间为</w:t>
      </w:r>
      <w:r w:rsidRPr="00592B92">
        <w:rPr>
          <w:color w:val="000000"/>
          <w:sz w:val="24"/>
        </w:rPr>
        <w:t>2016</w:t>
      </w:r>
      <w:r w:rsidRPr="00592B92">
        <w:rPr>
          <w:color w:val="000000"/>
          <w:sz w:val="24"/>
        </w:rPr>
        <w:t>年度</w:t>
      </w:r>
      <w:r w:rsidRPr="00592B92">
        <w:rPr>
          <w:color w:val="000000"/>
          <w:sz w:val="24"/>
        </w:rPr>
        <w:t xml:space="preserve"> </w:t>
      </w:r>
      <w:r w:rsidRPr="00592B92">
        <w:rPr>
          <w:color w:val="000000"/>
          <w:sz w:val="24"/>
        </w:rPr>
        <w:t>和</w:t>
      </w:r>
      <w:r w:rsidRPr="00592B92">
        <w:rPr>
          <w:color w:val="000000"/>
          <w:sz w:val="24"/>
        </w:rPr>
        <w:t>2015</w:t>
      </w:r>
      <w:r w:rsidRPr="00592B92">
        <w:rPr>
          <w:color w:val="000000"/>
          <w:sz w:val="24"/>
        </w:rPr>
        <w:t>年</w:t>
      </w:r>
      <w:r w:rsidRPr="00592B92">
        <w:rPr>
          <w:color w:val="000000"/>
          <w:sz w:val="24"/>
        </w:rPr>
        <w:t>12</w:t>
      </w:r>
      <w:r w:rsidRPr="00592B92">
        <w:rPr>
          <w:color w:val="000000"/>
          <w:sz w:val="24"/>
        </w:rPr>
        <w:t>月</w:t>
      </w:r>
      <w:r w:rsidRPr="00592B92">
        <w:rPr>
          <w:color w:val="000000"/>
          <w:sz w:val="24"/>
        </w:rPr>
        <w:t>29</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2015</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日止期间。</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0B2609" w:rsidRDefault="001C1241">
      <w:pPr>
        <w:spacing w:before="29" w:line="288" w:lineRule="auto"/>
        <w:ind w:firstLineChars="200" w:firstLine="480"/>
        <w:rPr>
          <w:color w:val="000000"/>
          <w:sz w:val="24"/>
        </w:rPr>
      </w:pPr>
      <w:r>
        <w:rPr>
          <w:color w:val="000000"/>
          <w:sz w:val="24"/>
        </w:rPr>
        <w:t>(1)</w:t>
      </w:r>
      <w:r>
        <w:rPr>
          <w:color w:val="000000"/>
          <w:sz w:val="24"/>
        </w:rPr>
        <w:t>金融资产的分类</w:t>
      </w:r>
    </w:p>
    <w:p w:rsidR="000B2609" w:rsidRDefault="001C1241" w:rsidP="001C124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B2609" w:rsidRDefault="001C1241" w:rsidP="001C1241">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B2609" w:rsidRDefault="001C1241" w:rsidP="001C124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B2609" w:rsidRDefault="001C1241">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0B2609" w:rsidRDefault="001C1241" w:rsidP="001C1241">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B2609" w:rsidRDefault="001C1241" w:rsidP="001C1241">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0B2609" w:rsidRDefault="001C1241" w:rsidP="001C1241">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B2609" w:rsidRDefault="001C1241" w:rsidP="001C1241">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B2609" w:rsidRDefault="001C1241" w:rsidP="001C1241">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0B2609" w:rsidRDefault="001C1241" w:rsidP="001C1241">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0B2609" w:rsidRDefault="001C1241" w:rsidP="001C1241">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B2609" w:rsidRDefault="001C1241" w:rsidP="001C1241">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0B2609" w:rsidRDefault="001C1241" w:rsidP="001C1241">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B2609" w:rsidRDefault="001C1241" w:rsidP="001C124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0B2609" w:rsidRDefault="001C1241" w:rsidP="001C1241">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0B2609" w:rsidRDefault="001C1241" w:rsidP="001C1241">
      <w:pPr>
        <w:spacing w:before="29" w:line="288" w:lineRule="auto"/>
        <w:ind w:firstLineChars="200" w:firstLine="480"/>
        <w:rPr>
          <w:color w:val="000000"/>
          <w:sz w:val="24"/>
        </w:rPr>
      </w:pPr>
      <w:r>
        <w:rPr>
          <w:color w:val="00000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0B2609" w:rsidRDefault="001C1241" w:rsidP="001C124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本基金目前以一个单一的经营分部运作，不需要进行分部报告的披露。</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0B2609" w:rsidRDefault="001C124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0B2609" w:rsidRDefault="001C1241">
      <w:pPr>
        <w:spacing w:before="29" w:line="288" w:lineRule="auto"/>
        <w:ind w:firstLineChars="200" w:firstLine="480"/>
        <w:rPr>
          <w:color w:val="000000"/>
          <w:sz w:val="24"/>
        </w:rPr>
      </w:pPr>
      <w:r>
        <w:rPr>
          <w:color w:val="000000"/>
          <w:sz w:val="24"/>
        </w:rPr>
        <w:t>(1)</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基金行业股票估值指数的通知》提供的现金流量折现法等估值技术进行估值。</w:t>
      </w:r>
    </w:p>
    <w:p w:rsidR="000B2609" w:rsidRDefault="001C1241">
      <w:pPr>
        <w:spacing w:before="29" w:line="288" w:lineRule="auto"/>
        <w:ind w:firstLineChars="200" w:firstLine="480"/>
        <w:rPr>
          <w:color w:val="000000"/>
          <w:sz w:val="24"/>
        </w:rPr>
      </w:pPr>
      <w:r>
        <w:rPr>
          <w:color w:val="000000"/>
          <w:sz w:val="24"/>
        </w:rPr>
        <w:t>(2)</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可转换债券、资产支持证券和中小企业私募债券除外</w:t>
      </w:r>
      <w:r w:rsidRPr="0076649F">
        <w:rPr>
          <w:color w:val="000000"/>
          <w:sz w:val="24"/>
        </w:rPr>
        <w:t>)</w:t>
      </w:r>
      <w:r w:rsidRPr="0076649F">
        <w:rPr>
          <w:color w:val="000000"/>
          <w:sz w:val="24"/>
        </w:rPr>
        <w:t>，按照中证指数有限公司根据《中国证券投资基金业协会估值核算工作小组关于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季度固定收益品种的估值处理标准》所独立提供的债券估值结果确定公允价值。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0B2609" w:rsidRDefault="001C1241" w:rsidP="001C124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B2609" w:rsidRDefault="001C1241" w:rsidP="001C124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日起，金融业由缴纳营业税改为缴纳增值税。对证券投资基金管理人运用基金买卖债券的转让收入免征增值税，对国债、地方政府债以及金融同业往来利息收入亦免征增值税。</w:t>
      </w:r>
    </w:p>
    <w:p w:rsidR="000B2609" w:rsidRDefault="001C1241" w:rsidP="001C124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B2609">
        <w:tc>
          <w:tcPr>
            <w:tcW w:w="5219" w:type="dxa"/>
            <w:vAlign w:val="center"/>
          </w:tcPr>
          <w:p w:rsidR="000B2609" w:rsidRDefault="001C124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B2609" w:rsidRDefault="001C1241">
            <w:pPr>
              <w:jc w:val="center"/>
            </w:pPr>
            <w:r>
              <w:rPr>
                <w:color w:val="000000"/>
                <w:sz w:val="24"/>
              </w:rPr>
              <w:t>基金管理人、基金销售机构</w:t>
            </w:r>
          </w:p>
        </w:tc>
      </w:tr>
      <w:tr w:rsidR="000B2609">
        <w:tc>
          <w:tcPr>
            <w:tcW w:w="5219" w:type="dxa"/>
            <w:vAlign w:val="center"/>
          </w:tcPr>
          <w:p w:rsidR="000B2609" w:rsidRDefault="001C1241">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0B2609" w:rsidRDefault="001C1241">
            <w:pPr>
              <w:jc w:val="center"/>
            </w:pPr>
            <w:r>
              <w:rPr>
                <w:color w:val="000000"/>
                <w:sz w:val="24"/>
              </w:rPr>
              <w:t>基金托管人</w:t>
            </w:r>
          </w:p>
        </w:tc>
      </w:tr>
      <w:tr w:rsidR="000B2609">
        <w:tc>
          <w:tcPr>
            <w:tcW w:w="5219" w:type="dxa"/>
            <w:vAlign w:val="center"/>
          </w:tcPr>
          <w:p w:rsidR="000B2609" w:rsidRDefault="001C124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B2609" w:rsidRDefault="001C1241">
            <w:pPr>
              <w:jc w:val="center"/>
            </w:pPr>
            <w:r>
              <w:rPr>
                <w:color w:val="000000"/>
                <w:sz w:val="24"/>
              </w:rPr>
              <w:t>基金管理人的股东、基金销售机构</w:t>
            </w:r>
          </w:p>
        </w:tc>
      </w:tr>
      <w:tr w:rsidR="000B2609">
        <w:tc>
          <w:tcPr>
            <w:tcW w:w="5219" w:type="dxa"/>
            <w:vAlign w:val="center"/>
          </w:tcPr>
          <w:p w:rsidR="000B2609" w:rsidRDefault="001C1241">
            <w:pPr>
              <w:jc w:val="left"/>
            </w:pPr>
            <w:r>
              <w:rPr>
                <w:color w:val="000000"/>
                <w:sz w:val="24"/>
              </w:rPr>
              <w:t>施罗德投资管理有限公司</w:t>
            </w:r>
          </w:p>
        </w:tc>
        <w:tc>
          <w:tcPr>
            <w:tcW w:w="3779" w:type="dxa"/>
            <w:vAlign w:val="center"/>
          </w:tcPr>
          <w:p w:rsidR="000B2609" w:rsidRDefault="001C1241">
            <w:pPr>
              <w:jc w:val="center"/>
            </w:pPr>
            <w:r>
              <w:rPr>
                <w:color w:val="000000"/>
                <w:sz w:val="24"/>
              </w:rPr>
              <w:t>基金管理人的股东</w:t>
            </w:r>
          </w:p>
        </w:tc>
      </w:tr>
      <w:tr w:rsidR="000B2609">
        <w:tc>
          <w:tcPr>
            <w:tcW w:w="5219" w:type="dxa"/>
            <w:vAlign w:val="center"/>
          </w:tcPr>
          <w:p w:rsidR="000B2609" w:rsidRDefault="001C124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B2609" w:rsidRDefault="001C1241">
            <w:pPr>
              <w:jc w:val="center"/>
            </w:pPr>
            <w:r>
              <w:rPr>
                <w:color w:val="000000"/>
                <w:sz w:val="24"/>
              </w:rPr>
              <w:t>基金管理人的股东</w:t>
            </w:r>
          </w:p>
        </w:tc>
      </w:tr>
      <w:tr w:rsidR="000B2609">
        <w:tc>
          <w:tcPr>
            <w:tcW w:w="5219" w:type="dxa"/>
            <w:vAlign w:val="center"/>
          </w:tcPr>
          <w:p w:rsidR="000B2609" w:rsidRDefault="001C1241">
            <w:pPr>
              <w:jc w:val="left"/>
            </w:pPr>
            <w:r>
              <w:rPr>
                <w:color w:val="000000"/>
                <w:sz w:val="24"/>
              </w:rPr>
              <w:t>交银施罗德资产管理有限公司</w:t>
            </w:r>
          </w:p>
        </w:tc>
        <w:tc>
          <w:tcPr>
            <w:tcW w:w="3779" w:type="dxa"/>
            <w:vAlign w:val="center"/>
          </w:tcPr>
          <w:p w:rsidR="000B2609" w:rsidRDefault="001C1241">
            <w:pPr>
              <w:jc w:val="center"/>
            </w:pPr>
            <w:r>
              <w:rPr>
                <w:color w:val="000000"/>
                <w:sz w:val="24"/>
              </w:rPr>
              <w:t>基金管理人的子公司</w:t>
            </w:r>
          </w:p>
        </w:tc>
      </w:tr>
      <w:tr w:rsidR="000B2609">
        <w:tc>
          <w:tcPr>
            <w:tcW w:w="5219" w:type="dxa"/>
            <w:vAlign w:val="center"/>
          </w:tcPr>
          <w:p w:rsidR="000B2609" w:rsidRDefault="001C1241">
            <w:pPr>
              <w:jc w:val="left"/>
            </w:pPr>
            <w:r>
              <w:rPr>
                <w:color w:val="000000"/>
                <w:sz w:val="24"/>
              </w:rPr>
              <w:t>上海直源投资管理有限公司</w:t>
            </w:r>
          </w:p>
        </w:tc>
        <w:tc>
          <w:tcPr>
            <w:tcW w:w="3779" w:type="dxa"/>
            <w:vAlign w:val="center"/>
          </w:tcPr>
          <w:p w:rsidR="000B2609" w:rsidRDefault="001C1241">
            <w:pPr>
              <w:jc w:val="center"/>
            </w:pPr>
            <w:r>
              <w:rPr>
                <w:color w:val="000000"/>
                <w:sz w:val="24"/>
              </w:rPr>
              <w:t>受基金管理人控制的公司</w:t>
            </w:r>
          </w:p>
        </w:tc>
      </w:tr>
      <w:tr w:rsidR="000B2609">
        <w:tc>
          <w:tcPr>
            <w:tcW w:w="5219" w:type="dxa"/>
            <w:vAlign w:val="center"/>
          </w:tcPr>
          <w:p w:rsidR="000B2609" w:rsidRDefault="001C124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B2609" w:rsidRDefault="001C1241">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29</w:t>
            </w:r>
            <w:r w:rsidRPr="00CD0071">
              <w:rPr>
                <w:bCs/>
                <w:color w:val="000000"/>
                <w:sz w:val="24"/>
              </w:rPr>
              <w:t>日（基金合同生效日）至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7,034,224.20</w:t>
            </w:r>
          </w:p>
        </w:tc>
        <w:tc>
          <w:tcPr>
            <w:tcW w:w="2657" w:type="dxa"/>
            <w:vAlign w:val="center"/>
          </w:tcPr>
          <w:p w:rsidR="001A59F9" w:rsidRPr="00817316" w:rsidRDefault="001A59F9" w:rsidP="00817316">
            <w:pPr>
              <w:spacing w:before="29" w:line="288" w:lineRule="auto"/>
              <w:jc w:val="right"/>
              <w:rPr>
                <w:sz w:val="24"/>
              </w:rPr>
            </w:pPr>
            <w:r w:rsidRPr="00817316">
              <w:rPr>
                <w:sz w:val="24"/>
              </w:rPr>
              <w:t>5,456.56</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30,204.50</w:t>
            </w:r>
          </w:p>
        </w:tc>
        <w:tc>
          <w:tcPr>
            <w:tcW w:w="2657" w:type="dxa"/>
            <w:vAlign w:val="center"/>
          </w:tcPr>
          <w:p w:rsidR="001A59F9" w:rsidRPr="00817316" w:rsidRDefault="001A59F9" w:rsidP="00817316">
            <w:pPr>
              <w:spacing w:before="29" w:line="288" w:lineRule="auto"/>
              <w:jc w:val="right"/>
              <w:rPr>
                <w:sz w:val="24"/>
              </w:rPr>
            </w:pPr>
            <w:r w:rsidRPr="00817316">
              <w:rPr>
                <w:sz w:val="24"/>
              </w:rPr>
              <w:t>201.04</w:t>
            </w:r>
          </w:p>
        </w:tc>
      </w:tr>
    </w:tbl>
    <w:p w:rsidR="000B2609" w:rsidRDefault="001C124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0.45%</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×0.45%÷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29</w:t>
            </w:r>
            <w:r w:rsidRPr="00CD0071">
              <w:rPr>
                <w:bCs/>
                <w:color w:val="000000"/>
                <w:sz w:val="24"/>
              </w:rPr>
              <w:t>日（基金合同生效日）至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1,563,160.89</w:t>
            </w:r>
          </w:p>
        </w:tc>
        <w:tc>
          <w:tcPr>
            <w:tcW w:w="2657" w:type="dxa"/>
            <w:vAlign w:val="center"/>
          </w:tcPr>
          <w:p w:rsidR="001A59F9" w:rsidRPr="00817316" w:rsidRDefault="001A59F9" w:rsidP="00817316">
            <w:pPr>
              <w:spacing w:before="29" w:line="288" w:lineRule="auto"/>
              <w:jc w:val="right"/>
              <w:rPr>
                <w:sz w:val="24"/>
              </w:rPr>
            </w:pPr>
            <w:r w:rsidRPr="00817316">
              <w:rPr>
                <w:sz w:val="24"/>
              </w:rPr>
              <w:t>1,212.57</w:t>
            </w:r>
          </w:p>
        </w:tc>
      </w:tr>
    </w:tbl>
    <w:p w:rsidR="000B2609" w:rsidRDefault="001C124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B2609">
        <w:tc>
          <w:tcPr>
            <w:tcW w:w="2045" w:type="dxa"/>
            <w:vAlign w:val="center"/>
          </w:tcPr>
          <w:p w:rsidR="000B2609" w:rsidRDefault="001C1241">
            <w:pPr>
              <w:jc w:val="left"/>
            </w:pPr>
            <w:r>
              <w:rPr>
                <w:sz w:val="24"/>
              </w:rPr>
              <w:t>兴业银行</w:t>
            </w:r>
          </w:p>
        </w:tc>
        <w:tc>
          <w:tcPr>
            <w:tcW w:w="2455" w:type="dxa"/>
            <w:vAlign w:val="center"/>
          </w:tcPr>
          <w:p w:rsidR="000B2609" w:rsidRDefault="001C1241">
            <w:pPr>
              <w:jc w:val="right"/>
            </w:pPr>
            <w:r>
              <w:rPr>
                <w:sz w:val="24"/>
              </w:rPr>
              <w:t>-</w:t>
            </w:r>
          </w:p>
        </w:tc>
        <w:tc>
          <w:tcPr>
            <w:tcW w:w="2609" w:type="dxa"/>
            <w:vAlign w:val="center"/>
          </w:tcPr>
          <w:p w:rsidR="000B2609" w:rsidRDefault="001C1241">
            <w:pPr>
              <w:jc w:val="right"/>
            </w:pPr>
            <w:r>
              <w:rPr>
                <w:sz w:val="24"/>
              </w:rPr>
              <w:t>-</w:t>
            </w:r>
          </w:p>
        </w:tc>
        <w:tc>
          <w:tcPr>
            <w:tcW w:w="1889" w:type="dxa"/>
            <w:vAlign w:val="center"/>
          </w:tcPr>
          <w:p w:rsidR="000B2609" w:rsidRDefault="001C1241">
            <w:pPr>
              <w:jc w:val="right"/>
            </w:pPr>
            <w:r>
              <w:rPr>
                <w:sz w:val="24"/>
              </w:rPr>
              <w:t>-</w:t>
            </w:r>
          </w:p>
        </w:tc>
      </w:tr>
      <w:tr w:rsidR="000B2609">
        <w:tc>
          <w:tcPr>
            <w:tcW w:w="2045" w:type="dxa"/>
            <w:vAlign w:val="center"/>
          </w:tcPr>
          <w:p w:rsidR="000B2609" w:rsidRDefault="001C1241">
            <w:pPr>
              <w:jc w:val="left"/>
            </w:pPr>
            <w:r>
              <w:rPr>
                <w:sz w:val="24"/>
              </w:rPr>
              <w:t>交通银行</w:t>
            </w:r>
          </w:p>
        </w:tc>
        <w:tc>
          <w:tcPr>
            <w:tcW w:w="2455" w:type="dxa"/>
            <w:vAlign w:val="center"/>
          </w:tcPr>
          <w:p w:rsidR="000B2609" w:rsidRDefault="001C1241">
            <w:pPr>
              <w:jc w:val="right"/>
            </w:pPr>
            <w:r>
              <w:rPr>
                <w:sz w:val="24"/>
              </w:rPr>
              <w:t>-</w:t>
            </w:r>
          </w:p>
        </w:tc>
        <w:tc>
          <w:tcPr>
            <w:tcW w:w="2609" w:type="dxa"/>
            <w:vAlign w:val="center"/>
          </w:tcPr>
          <w:p w:rsidR="000B2609" w:rsidRDefault="001C1241">
            <w:pPr>
              <w:jc w:val="right"/>
            </w:pPr>
            <w:r>
              <w:rPr>
                <w:sz w:val="24"/>
              </w:rPr>
              <w:t>2,937.24</w:t>
            </w:r>
          </w:p>
        </w:tc>
        <w:tc>
          <w:tcPr>
            <w:tcW w:w="1889" w:type="dxa"/>
            <w:vAlign w:val="center"/>
          </w:tcPr>
          <w:p w:rsidR="000B2609" w:rsidRDefault="001C1241">
            <w:pPr>
              <w:jc w:val="right"/>
            </w:pPr>
            <w:r>
              <w:rPr>
                <w:sz w:val="24"/>
              </w:rPr>
              <w:t>2,937.24</w:t>
            </w:r>
          </w:p>
        </w:tc>
      </w:tr>
      <w:tr w:rsidR="000B2609">
        <w:tc>
          <w:tcPr>
            <w:tcW w:w="2045" w:type="dxa"/>
            <w:vAlign w:val="center"/>
          </w:tcPr>
          <w:p w:rsidR="000B2609" w:rsidRDefault="001C1241">
            <w:pPr>
              <w:jc w:val="left"/>
            </w:pPr>
            <w:r>
              <w:rPr>
                <w:sz w:val="24"/>
              </w:rPr>
              <w:t>交银施罗德基金公司</w:t>
            </w:r>
          </w:p>
        </w:tc>
        <w:tc>
          <w:tcPr>
            <w:tcW w:w="2455" w:type="dxa"/>
            <w:vAlign w:val="center"/>
          </w:tcPr>
          <w:p w:rsidR="000B2609" w:rsidRDefault="001C1241">
            <w:pPr>
              <w:jc w:val="right"/>
            </w:pPr>
            <w:r>
              <w:rPr>
                <w:sz w:val="24"/>
              </w:rPr>
              <w:t>-</w:t>
            </w:r>
          </w:p>
        </w:tc>
        <w:tc>
          <w:tcPr>
            <w:tcW w:w="2609" w:type="dxa"/>
            <w:vAlign w:val="center"/>
          </w:tcPr>
          <w:p w:rsidR="000B2609" w:rsidRDefault="001C1241">
            <w:pPr>
              <w:jc w:val="right"/>
            </w:pPr>
            <w:r>
              <w:rPr>
                <w:sz w:val="24"/>
              </w:rPr>
              <w:t>1,377.97</w:t>
            </w:r>
          </w:p>
        </w:tc>
        <w:tc>
          <w:tcPr>
            <w:tcW w:w="1889" w:type="dxa"/>
            <w:vAlign w:val="center"/>
          </w:tcPr>
          <w:p w:rsidR="000B2609" w:rsidRDefault="001C1241">
            <w:pPr>
              <w:jc w:val="right"/>
            </w:pPr>
            <w:r>
              <w:rPr>
                <w:sz w:val="24"/>
              </w:rPr>
              <w:t>1,377.97</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4,315.21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4,315.21</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29</w:t>
            </w:r>
            <w:r w:rsidRPr="00251201">
              <w:rPr>
                <w:color w:val="000000"/>
                <w:sz w:val="24"/>
              </w:rPr>
              <w:t>日（基金合同生效日）至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B2609">
        <w:tc>
          <w:tcPr>
            <w:tcW w:w="2045" w:type="dxa"/>
            <w:vAlign w:val="center"/>
          </w:tcPr>
          <w:p w:rsidR="000B2609" w:rsidRDefault="001C1241">
            <w:pPr>
              <w:jc w:val="left"/>
            </w:pPr>
            <w:r>
              <w:rPr>
                <w:sz w:val="24"/>
              </w:rPr>
              <w:t>兴业银行</w:t>
            </w:r>
          </w:p>
        </w:tc>
        <w:tc>
          <w:tcPr>
            <w:tcW w:w="2455" w:type="dxa"/>
            <w:vAlign w:val="center"/>
          </w:tcPr>
          <w:p w:rsidR="000B2609" w:rsidRDefault="001C1241">
            <w:pPr>
              <w:jc w:val="right"/>
            </w:pPr>
            <w:r>
              <w:rPr>
                <w:sz w:val="24"/>
              </w:rPr>
              <w:t>-</w:t>
            </w:r>
          </w:p>
        </w:tc>
        <w:tc>
          <w:tcPr>
            <w:tcW w:w="2609" w:type="dxa"/>
            <w:vAlign w:val="center"/>
          </w:tcPr>
          <w:p w:rsidR="000B2609" w:rsidRDefault="001C1241">
            <w:pPr>
              <w:jc w:val="right"/>
            </w:pPr>
            <w:r>
              <w:rPr>
                <w:sz w:val="24"/>
              </w:rPr>
              <w:t>-</w:t>
            </w:r>
          </w:p>
        </w:tc>
        <w:tc>
          <w:tcPr>
            <w:tcW w:w="1889" w:type="dxa"/>
            <w:vAlign w:val="center"/>
          </w:tcPr>
          <w:p w:rsidR="000B2609" w:rsidRDefault="001C1241">
            <w:pPr>
              <w:jc w:val="right"/>
            </w:pPr>
            <w:r>
              <w:rPr>
                <w:sz w:val="24"/>
              </w:rPr>
              <w:t>-</w:t>
            </w:r>
          </w:p>
        </w:tc>
      </w:tr>
      <w:tr w:rsidR="000B2609">
        <w:tc>
          <w:tcPr>
            <w:tcW w:w="2045" w:type="dxa"/>
            <w:vAlign w:val="center"/>
          </w:tcPr>
          <w:p w:rsidR="000B2609" w:rsidRDefault="001C1241">
            <w:pPr>
              <w:jc w:val="left"/>
            </w:pPr>
            <w:r>
              <w:rPr>
                <w:sz w:val="24"/>
              </w:rPr>
              <w:t>交通银行</w:t>
            </w:r>
          </w:p>
        </w:tc>
        <w:tc>
          <w:tcPr>
            <w:tcW w:w="2455" w:type="dxa"/>
            <w:vAlign w:val="center"/>
          </w:tcPr>
          <w:p w:rsidR="000B2609" w:rsidRDefault="001C1241">
            <w:pPr>
              <w:jc w:val="right"/>
            </w:pPr>
            <w:r>
              <w:rPr>
                <w:sz w:val="24"/>
              </w:rPr>
              <w:t>-</w:t>
            </w:r>
          </w:p>
        </w:tc>
        <w:tc>
          <w:tcPr>
            <w:tcW w:w="2609" w:type="dxa"/>
            <w:vAlign w:val="center"/>
          </w:tcPr>
          <w:p w:rsidR="000B2609" w:rsidRDefault="001C1241">
            <w:pPr>
              <w:jc w:val="right"/>
            </w:pPr>
            <w:r>
              <w:rPr>
                <w:sz w:val="24"/>
              </w:rPr>
              <w:t>22.22</w:t>
            </w:r>
          </w:p>
        </w:tc>
        <w:tc>
          <w:tcPr>
            <w:tcW w:w="1889" w:type="dxa"/>
            <w:vAlign w:val="center"/>
          </w:tcPr>
          <w:p w:rsidR="000B2609" w:rsidRDefault="001C1241">
            <w:pPr>
              <w:jc w:val="right"/>
            </w:pPr>
            <w:r>
              <w:rPr>
                <w:sz w:val="24"/>
              </w:rPr>
              <w:t>22.22</w:t>
            </w:r>
          </w:p>
        </w:tc>
      </w:tr>
      <w:tr w:rsidR="000B2609">
        <w:tc>
          <w:tcPr>
            <w:tcW w:w="2045" w:type="dxa"/>
            <w:vAlign w:val="center"/>
          </w:tcPr>
          <w:p w:rsidR="000B2609" w:rsidRDefault="001C1241">
            <w:pPr>
              <w:jc w:val="left"/>
            </w:pPr>
            <w:r>
              <w:rPr>
                <w:sz w:val="24"/>
              </w:rPr>
              <w:t>交银施罗德基金公司</w:t>
            </w:r>
          </w:p>
        </w:tc>
        <w:tc>
          <w:tcPr>
            <w:tcW w:w="2455" w:type="dxa"/>
            <w:vAlign w:val="center"/>
          </w:tcPr>
          <w:p w:rsidR="000B2609" w:rsidRDefault="001C1241">
            <w:pPr>
              <w:jc w:val="right"/>
            </w:pPr>
            <w:r>
              <w:rPr>
                <w:sz w:val="24"/>
              </w:rPr>
              <w:t>-</w:t>
            </w:r>
          </w:p>
        </w:tc>
        <w:tc>
          <w:tcPr>
            <w:tcW w:w="2609" w:type="dxa"/>
            <w:vAlign w:val="center"/>
          </w:tcPr>
          <w:p w:rsidR="000B2609" w:rsidRDefault="001C1241">
            <w:pPr>
              <w:jc w:val="right"/>
            </w:pPr>
            <w:r>
              <w:rPr>
                <w:sz w:val="24"/>
              </w:rPr>
              <w:t>8.10</w:t>
            </w:r>
          </w:p>
        </w:tc>
        <w:tc>
          <w:tcPr>
            <w:tcW w:w="1889" w:type="dxa"/>
            <w:vAlign w:val="center"/>
          </w:tcPr>
          <w:p w:rsidR="000B2609" w:rsidRDefault="001C1241">
            <w:pPr>
              <w:jc w:val="right"/>
            </w:pPr>
            <w:r>
              <w:rPr>
                <w:sz w:val="24"/>
              </w:rPr>
              <w:t>8.10</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30.32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30.32</w:t>
            </w:r>
          </w:p>
        </w:tc>
      </w:tr>
    </w:tbl>
    <w:p w:rsidR="000B2609" w:rsidRDefault="001C124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0B2609">
        <w:tc>
          <w:tcPr>
            <w:tcW w:w="1355" w:type="dxa"/>
            <w:vAlign w:val="center"/>
          </w:tcPr>
          <w:p w:rsidR="000B2609" w:rsidRDefault="001C1241">
            <w:pPr>
              <w:jc w:val="left"/>
            </w:pPr>
            <w:r>
              <w:rPr>
                <w:bCs/>
                <w:color w:val="000000"/>
                <w:sz w:val="24"/>
              </w:rPr>
              <w:t>兴业银行</w:t>
            </w:r>
          </w:p>
        </w:tc>
        <w:tc>
          <w:tcPr>
            <w:tcW w:w="1729" w:type="dxa"/>
            <w:vAlign w:val="center"/>
          </w:tcPr>
          <w:p w:rsidR="000B2609" w:rsidRDefault="001C1241">
            <w:pPr>
              <w:jc w:val="right"/>
            </w:pPr>
            <w:r>
              <w:rPr>
                <w:bCs/>
                <w:color w:val="000000"/>
                <w:sz w:val="24"/>
              </w:rPr>
              <w:t>21,305,440.87</w:t>
            </w:r>
          </w:p>
        </w:tc>
        <w:tc>
          <w:tcPr>
            <w:tcW w:w="1203" w:type="dxa"/>
            <w:vAlign w:val="center"/>
          </w:tcPr>
          <w:p w:rsidR="000B2609" w:rsidRDefault="001C1241">
            <w:pPr>
              <w:jc w:val="right"/>
            </w:pPr>
            <w:r>
              <w:rPr>
                <w:bCs/>
                <w:color w:val="000000"/>
                <w:sz w:val="24"/>
              </w:rPr>
              <w:t>-</w:t>
            </w:r>
          </w:p>
        </w:tc>
        <w:tc>
          <w:tcPr>
            <w:tcW w:w="1203" w:type="dxa"/>
            <w:vAlign w:val="center"/>
          </w:tcPr>
          <w:p w:rsidR="000B2609" w:rsidRDefault="001C1241">
            <w:pPr>
              <w:jc w:val="right"/>
            </w:pPr>
            <w:r>
              <w:rPr>
                <w:bCs/>
                <w:color w:val="000000"/>
                <w:sz w:val="24"/>
              </w:rPr>
              <w:t>-</w:t>
            </w:r>
          </w:p>
        </w:tc>
        <w:tc>
          <w:tcPr>
            <w:tcW w:w="1033" w:type="dxa"/>
            <w:vAlign w:val="center"/>
          </w:tcPr>
          <w:p w:rsidR="000B2609" w:rsidRDefault="001C1241">
            <w:pPr>
              <w:jc w:val="right"/>
            </w:pPr>
            <w:r>
              <w:rPr>
                <w:bCs/>
                <w:color w:val="000000"/>
                <w:sz w:val="24"/>
              </w:rPr>
              <w:t>-</w:t>
            </w:r>
          </w:p>
        </w:tc>
        <w:tc>
          <w:tcPr>
            <w:tcW w:w="1440" w:type="dxa"/>
            <w:vAlign w:val="center"/>
          </w:tcPr>
          <w:p w:rsidR="000B2609" w:rsidRDefault="001C1241">
            <w:pPr>
              <w:jc w:val="right"/>
            </w:pPr>
            <w:r>
              <w:rPr>
                <w:bCs/>
                <w:color w:val="000000"/>
                <w:sz w:val="24"/>
              </w:rPr>
              <w:t>-</w:t>
            </w:r>
          </w:p>
        </w:tc>
        <w:tc>
          <w:tcPr>
            <w:tcW w:w="1035" w:type="dxa"/>
            <w:vAlign w:val="center"/>
          </w:tcPr>
          <w:p w:rsidR="000B2609" w:rsidRDefault="001C1241">
            <w:pPr>
              <w:jc w:val="right"/>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2015</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29</w:t>
            </w:r>
            <w:r w:rsidRPr="007F4FA9">
              <w:rPr>
                <w:bCs/>
                <w:color w:val="000000"/>
                <w:sz w:val="24"/>
              </w:rPr>
              <w:t>日（基金合同生效日）至</w:t>
            </w:r>
            <w:r w:rsidRPr="007F4FA9">
              <w:rPr>
                <w:bCs/>
                <w:color w:val="000000"/>
                <w:sz w:val="24"/>
              </w:rPr>
              <w:t>2015</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0B2609">
        <w:tc>
          <w:tcPr>
            <w:tcW w:w="1355" w:type="dxa"/>
            <w:vAlign w:val="center"/>
          </w:tcPr>
          <w:p w:rsidR="000B2609" w:rsidRDefault="001C1241">
            <w:pPr>
              <w:jc w:val="center"/>
            </w:pPr>
            <w:r>
              <w:rPr>
                <w:bCs/>
                <w:color w:val="000000"/>
                <w:sz w:val="24"/>
              </w:rPr>
              <w:t>-</w:t>
            </w:r>
          </w:p>
        </w:tc>
        <w:tc>
          <w:tcPr>
            <w:tcW w:w="1729" w:type="dxa"/>
            <w:vAlign w:val="center"/>
          </w:tcPr>
          <w:p w:rsidR="000B2609" w:rsidRDefault="001C1241">
            <w:pPr>
              <w:jc w:val="center"/>
            </w:pPr>
            <w:r>
              <w:rPr>
                <w:bCs/>
                <w:color w:val="000000"/>
                <w:sz w:val="24"/>
              </w:rPr>
              <w:t>-</w:t>
            </w:r>
          </w:p>
        </w:tc>
        <w:tc>
          <w:tcPr>
            <w:tcW w:w="1203" w:type="dxa"/>
            <w:vAlign w:val="center"/>
          </w:tcPr>
          <w:p w:rsidR="000B2609" w:rsidRDefault="001C1241">
            <w:pPr>
              <w:jc w:val="center"/>
            </w:pPr>
            <w:r>
              <w:rPr>
                <w:bCs/>
                <w:color w:val="000000"/>
                <w:sz w:val="24"/>
              </w:rPr>
              <w:t>-</w:t>
            </w:r>
          </w:p>
        </w:tc>
        <w:tc>
          <w:tcPr>
            <w:tcW w:w="1203" w:type="dxa"/>
            <w:vAlign w:val="center"/>
          </w:tcPr>
          <w:p w:rsidR="000B2609" w:rsidRDefault="001C1241">
            <w:pPr>
              <w:jc w:val="center"/>
            </w:pPr>
            <w:r>
              <w:rPr>
                <w:bCs/>
                <w:color w:val="000000"/>
                <w:sz w:val="24"/>
              </w:rPr>
              <w:t>-</w:t>
            </w:r>
          </w:p>
        </w:tc>
        <w:tc>
          <w:tcPr>
            <w:tcW w:w="1033" w:type="dxa"/>
            <w:vAlign w:val="center"/>
          </w:tcPr>
          <w:p w:rsidR="000B2609" w:rsidRDefault="001C1241">
            <w:pPr>
              <w:jc w:val="center"/>
            </w:pPr>
            <w:r>
              <w:rPr>
                <w:bCs/>
                <w:color w:val="000000"/>
                <w:sz w:val="24"/>
              </w:rPr>
              <w:t>-</w:t>
            </w:r>
          </w:p>
        </w:tc>
        <w:tc>
          <w:tcPr>
            <w:tcW w:w="1440" w:type="dxa"/>
            <w:vAlign w:val="center"/>
          </w:tcPr>
          <w:p w:rsidR="000B2609" w:rsidRDefault="001C1241">
            <w:pPr>
              <w:jc w:val="center"/>
            </w:pPr>
            <w:r>
              <w:rPr>
                <w:bCs/>
                <w:color w:val="000000"/>
                <w:sz w:val="24"/>
              </w:rPr>
              <w:t>-</w:t>
            </w:r>
          </w:p>
        </w:tc>
        <w:tc>
          <w:tcPr>
            <w:tcW w:w="1035" w:type="dxa"/>
            <w:vAlign w:val="center"/>
          </w:tcPr>
          <w:p w:rsidR="000B2609" w:rsidRDefault="001C1241">
            <w:pPr>
              <w:jc w:val="center"/>
            </w:pPr>
            <w:r>
              <w:rPr>
                <w:bCs/>
                <w:color w:val="000000"/>
                <w:sz w:val="24"/>
              </w:rPr>
              <w:t>-</w:t>
            </w:r>
          </w:p>
        </w:tc>
      </w:tr>
    </w:tbl>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B533FB" w:rsidRDefault="001A59F9" w:rsidP="00C2179A">
      <w:pPr>
        <w:pStyle w:val="20"/>
        <w:spacing w:before="29" w:after="0" w:line="288" w:lineRule="auto"/>
        <w:rPr>
          <w:rFonts w:ascii="Times New Roman" w:hAnsi="Times New Roman"/>
          <w:kern w:val="0"/>
          <w:szCs w:val="24"/>
        </w:rPr>
      </w:pPr>
      <w:r w:rsidRPr="00B533FB">
        <w:rPr>
          <w:rFonts w:ascii="Times New Roman" w:hAnsi="Times New Roman"/>
          <w:kern w:val="0"/>
          <w:szCs w:val="24"/>
        </w:rPr>
        <w:t>7.4.8.4.2</w:t>
      </w:r>
      <w:r w:rsidR="002637E8" w:rsidRPr="00B533FB">
        <w:rPr>
          <w:rFonts w:ascii="Times New Roman" w:hAnsi="Times New Roman"/>
          <w:kern w:val="0"/>
          <w:szCs w:val="24"/>
        </w:rPr>
        <w:t xml:space="preserve"> </w:t>
      </w:r>
      <w:r w:rsidRPr="00B533FB">
        <w:rPr>
          <w:rFonts w:ascii="Times New Roman" w:hAnsi="Times New Roman" w:hint="eastAsia"/>
          <w:kern w:val="0"/>
          <w:szCs w:val="24"/>
        </w:rPr>
        <w:t>报告期末除基金管理人之外的其他关联方投资本基金的情况</w:t>
      </w:r>
    </w:p>
    <w:p w:rsidR="00A63161" w:rsidRPr="00B533FB" w:rsidRDefault="00A63161" w:rsidP="00564CEA">
      <w:pPr>
        <w:autoSpaceDE w:val="0"/>
        <w:autoSpaceDN w:val="0"/>
        <w:adjustRightInd w:val="0"/>
        <w:spacing w:before="29" w:line="288" w:lineRule="auto"/>
        <w:ind w:left="15"/>
        <w:jc w:val="right"/>
        <w:rPr>
          <w:color w:val="000000"/>
          <w:kern w:val="0"/>
          <w:sz w:val="24"/>
        </w:rPr>
      </w:pPr>
      <w:r w:rsidRPr="00B533FB">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15260C" w:rsidTr="00463BF2">
        <w:tc>
          <w:tcPr>
            <w:tcW w:w="1799" w:type="dxa"/>
            <w:vMerge w:val="restart"/>
            <w:vAlign w:val="center"/>
          </w:tcPr>
          <w:p w:rsidR="00F8216D" w:rsidRPr="00B533FB" w:rsidRDefault="00F8216D" w:rsidP="00275EC0">
            <w:pPr>
              <w:widowControl/>
              <w:autoSpaceDE w:val="0"/>
              <w:autoSpaceDN w:val="0"/>
              <w:spacing w:before="29" w:line="288" w:lineRule="auto"/>
              <w:ind w:rightChars="-51" w:right="-107"/>
              <w:jc w:val="center"/>
              <w:textAlignment w:val="bottom"/>
              <w:rPr>
                <w:sz w:val="24"/>
              </w:rPr>
            </w:pPr>
            <w:r w:rsidRPr="00B533FB">
              <w:rPr>
                <w:rFonts w:hint="eastAsia"/>
                <w:sz w:val="24"/>
              </w:rPr>
              <w:t>关联方名称</w:t>
            </w:r>
          </w:p>
        </w:tc>
        <w:tc>
          <w:tcPr>
            <w:tcW w:w="3419" w:type="dxa"/>
            <w:gridSpan w:val="2"/>
            <w:vAlign w:val="center"/>
          </w:tcPr>
          <w:p w:rsidR="007461B5" w:rsidRPr="00B533FB" w:rsidRDefault="00F8216D" w:rsidP="00275EC0">
            <w:pPr>
              <w:widowControl/>
              <w:autoSpaceDE w:val="0"/>
              <w:autoSpaceDN w:val="0"/>
              <w:spacing w:before="29" w:line="288" w:lineRule="auto"/>
              <w:ind w:rightChars="-51" w:right="-107"/>
              <w:jc w:val="center"/>
              <w:textAlignment w:val="bottom"/>
              <w:rPr>
                <w:sz w:val="24"/>
              </w:rPr>
            </w:pPr>
            <w:r w:rsidRPr="00B533FB">
              <w:rPr>
                <w:rFonts w:hint="eastAsia"/>
                <w:sz w:val="24"/>
              </w:rPr>
              <w:t>本期末</w:t>
            </w:r>
          </w:p>
          <w:p w:rsidR="00F8216D" w:rsidRPr="00B533FB" w:rsidRDefault="00F8216D" w:rsidP="00275EC0">
            <w:pPr>
              <w:widowControl/>
              <w:autoSpaceDE w:val="0"/>
              <w:autoSpaceDN w:val="0"/>
              <w:spacing w:before="29" w:line="288" w:lineRule="auto"/>
              <w:ind w:rightChars="-51" w:right="-107"/>
              <w:jc w:val="center"/>
              <w:textAlignment w:val="bottom"/>
              <w:rPr>
                <w:sz w:val="24"/>
              </w:rPr>
            </w:pPr>
            <w:r w:rsidRPr="00B533FB">
              <w:rPr>
                <w:sz w:val="24"/>
              </w:rPr>
              <w:t>2016</w:t>
            </w:r>
            <w:r w:rsidRPr="00B533FB">
              <w:rPr>
                <w:rFonts w:hint="eastAsia"/>
                <w:sz w:val="24"/>
              </w:rPr>
              <w:t>年</w:t>
            </w:r>
            <w:r w:rsidRPr="00B533FB">
              <w:rPr>
                <w:sz w:val="24"/>
              </w:rPr>
              <w:t>12</w:t>
            </w:r>
            <w:r w:rsidRPr="00B533FB">
              <w:rPr>
                <w:rFonts w:hint="eastAsia"/>
                <w:sz w:val="24"/>
              </w:rPr>
              <w:t>月</w:t>
            </w:r>
            <w:r w:rsidRPr="00B533FB">
              <w:rPr>
                <w:sz w:val="24"/>
              </w:rPr>
              <w:t>31</w:t>
            </w:r>
            <w:r w:rsidRPr="00B533FB">
              <w:rPr>
                <w:rFonts w:hint="eastAsia"/>
                <w:sz w:val="24"/>
              </w:rPr>
              <w:t>日</w:t>
            </w:r>
          </w:p>
        </w:tc>
        <w:tc>
          <w:tcPr>
            <w:tcW w:w="3780" w:type="dxa"/>
            <w:gridSpan w:val="2"/>
            <w:vAlign w:val="center"/>
          </w:tcPr>
          <w:p w:rsidR="007461B5" w:rsidRPr="00B533FB" w:rsidRDefault="00F8216D" w:rsidP="00275EC0">
            <w:pPr>
              <w:widowControl/>
              <w:autoSpaceDE w:val="0"/>
              <w:autoSpaceDN w:val="0"/>
              <w:spacing w:before="29" w:line="288" w:lineRule="auto"/>
              <w:ind w:rightChars="-51" w:right="-107"/>
              <w:jc w:val="center"/>
              <w:textAlignment w:val="bottom"/>
              <w:rPr>
                <w:sz w:val="24"/>
              </w:rPr>
            </w:pPr>
            <w:r w:rsidRPr="00B533FB">
              <w:rPr>
                <w:rFonts w:hint="eastAsia"/>
                <w:sz w:val="24"/>
              </w:rPr>
              <w:t>上年度末</w:t>
            </w:r>
          </w:p>
          <w:p w:rsidR="00F8216D" w:rsidRPr="00B533FB" w:rsidRDefault="00955CB7" w:rsidP="00275EC0">
            <w:pPr>
              <w:widowControl/>
              <w:autoSpaceDE w:val="0"/>
              <w:autoSpaceDN w:val="0"/>
              <w:spacing w:before="29" w:line="288" w:lineRule="auto"/>
              <w:ind w:rightChars="-51" w:right="-107"/>
              <w:jc w:val="center"/>
              <w:textAlignment w:val="bottom"/>
              <w:rPr>
                <w:sz w:val="24"/>
              </w:rPr>
            </w:pPr>
            <w:r w:rsidRPr="00B533FB">
              <w:rPr>
                <w:sz w:val="24"/>
              </w:rPr>
              <w:t>2015</w:t>
            </w:r>
            <w:r w:rsidRPr="00B533FB">
              <w:rPr>
                <w:rFonts w:hint="eastAsia"/>
                <w:sz w:val="24"/>
              </w:rPr>
              <w:t>年</w:t>
            </w:r>
            <w:r w:rsidRPr="00B533FB">
              <w:rPr>
                <w:sz w:val="24"/>
              </w:rPr>
              <w:t>12</w:t>
            </w:r>
            <w:r w:rsidRPr="00B533FB">
              <w:rPr>
                <w:rFonts w:hint="eastAsia"/>
                <w:sz w:val="24"/>
              </w:rPr>
              <w:t>月</w:t>
            </w:r>
            <w:r w:rsidRPr="00B533FB">
              <w:rPr>
                <w:sz w:val="24"/>
              </w:rPr>
              <w:t>31</w:t>
            </w:r>
            <w:r w:rsidRPr="00B533FB">
              <w:rPr>
                <w:rFonts w:hint="eastAsia"/>
                <w:sz w:val="24"/>
              </w:rPr>
              <w:t>日</w:t>
            </w:r>
          </w:p>
        </w:tc>
      </w:tr>
      <w:tr w:rsidR="00F8216D" w:rsidRPr="0015260C" w:rsidTr="00463BF2">
        <w:tc>
          <w:tcPr>
            <w:tcW w:w="1799" w:type="dxa"/>
            <w:vMerge/>
            <w:vAlign w:val="center"/>
          </w:tcPr>
          <w:p w:rsidR="00F8216D" w:rsidRPr="00B533FB" w:rsidRDefault="00F8216D" w:rsidP="00275EC0">
            <w:pPr>
              <w:widowControl/>
              <w:autoSpaceDE w:val="0"/>
              <w:autoSpaceDN w:val="0"/>
              <w:spacing w:before="29" w:line="288" w:lineRule="auto"/>
              <w:ind w:rightChars="-51" w:right="-107"/>
              <w:jc w:val="center"/>
              <w:textAlignment w:val="bottom"/>
              <w:rPr>
                <w:sz w:val="24"/>
              </w:rPr>
            </w:pPr>
          </w:p>
        </w:tc>
        <w:tc>
          <w:tcPr>
            <w:tcW w:w="1979" w:type="dxa"/>
            <w:vAlign w:val="center"/>
          </w:tcPr>
          <w:p w:rsidR="00F8216D" w:rsidRPr="00B533FB" w:rsidRDefault="00F8216D" w:rsidP="00275EC0">
            <w:pPr>
              <w:autoSpaceDE w:val="0"/>
              <w:autoSpaceDN w:val="0"/>
              <w:spacing w:before="29" w:line="288" w:lineRule="auto"/>
              <w:ind w:rightChars="-51" w:right="-107"/>
              <w:jc w:val="center"/>
              <w:textAlignment w:val="bottom"/>
              <w:rPr>
                <w:sz w:val="24"/>
              </w:rPr>
            </w:pPr>
            <w:r w:rsidRPr="00B533FB">
              <w:rPr>
                <w:rFonts w:hint="eastAsia"/>
                <w:sz w:val="24"/>
              </w:rPr>
              <w:t>持有的基金份额</w:t>
            </w:r>
            <w:r w:rsidR="007461B5" w:rsidRPr="00B533FB">
              <w:rPr>
                <w:rFonts w:hint="eastAsia"/>
                <w:sz w:val="24"/>
              </w:rPr>
              <w:t>（</w:t>
            </w:r>
            <w:r w:rsidR="007461B5" w:rsidRPr="00B533FB">
              <w:rPr>
                <w:sz w:val="24"/>
              </w:rPr>
              <w:t>A</w:t>
            </w:r>
            <w:r w:rsidR="007461B5" w:rsidRPr="00B533FB">
              <w:rPr>
                <w:rFonts w:hint="eastAsia"/>
                <w:sz w:val="24"/>
              </w:rPr>
              <w:t>类）</w:t>
            </w:r>
          </w:p>
        </w:tc>
        <w:tc>
          <w:tcPr>
            <w:tcW w:w="1440" w:type="dxa"/>
            <w:vAlign w:val="center"/>
          </w:tcPr>
          <w:p w:rsidR="00F8216D" w:rsidRPr="00B533FB" w:rsidRDefault="00F8216D" w:rsidP="00275EC0">
            <w:pPr>
              <w:autoSpaceDE w:val="0"/>
              <w:autoSpaceDN w:val="0"/>
              <w:spacing w:before="29" w:line="288" w:lineRule="auto"/>
              <w:ind w:rightChars="-51" w:right="-107"/>
              <w:jc w:val="center"/>
              <w:textAlignment w:val="bottom"/>
              <w:rPr>
                <w:sz w:val="24"/>
              </w:rPr>
            </w:pPr>
            <w:r w:rsidRPr="00B533FB">
              <w:rPr>
                <w:rFonts w:hint="eastAsia"/>
                <w:sz w:val="24"/>
              </w:rPr>
              <w:t>持有的基金份额占基金总份额的比例</w:t>
            </w:r>
          </w:p>
        </w:tc>
        <w:tc>
          <w:tcPr>
            <w:tcW w:w="2160" w:type="dxa"/>
            <w:vAlign w:val="center"/>
          </w:tcPr>
          <w:p w:rsidR="00F8216D" w:rsidRPr="00B533FB" w:rsidRDefault="00F8216D" w:rsidP="00275EC0">
            <w:pPr>
              <w:autoSpaceDE w:val="0"/>
              <w:autoSpaceDN w:val="0"/>
              <w:spacing w:before="29" w:line="288" w:lineRule="auto"/>
              <w:ind w:rightChars="-51" w:right="-107"/>
              <w:jc w:val="center"/>
              <w:textAlignment w:val="bottom"/>
              <w:rPr>
                <w:sz w:val="24"/>
              </w:rPr>
            </w:pPr>
            <w:r w:rsidRPr="00B533FB">
              <w:rPr>
                <w:rFonts w:hint="eastAsia"/>
                <w:sz w:val="24"/>
              </w:rPr>
              <w:t>持有的基金份额</w:t>
            </w:r>
          </w:p>
          <w:p w:rsidR="007461B5" w:rsidRPr="00B533FB" w:rsidRDefault="007461B5" w:rsidP="00275EC0">
            <w:pPr>
              <w:autoSpaceDE w:val="0"/>
              <w:autoSpaceDN w:val="0"/>
              <w:spacing w:before="29" w:line="288" w:lineRule="auto"/>
              <w:ind w:rightChars="-51" w:right="-107"/>
              <w:jc w:val="center"/>
              <w:textAlignment w:val="bottom"/>
              <w:rPr>
                <w:sz w:val="24"/>
              </w:rPr>
            </w:pPr>
            <w:r w:rsidRPr="00B533FB">
              <w:rPr>
                <w:rFonts w:hint="eastAsia"/>
                <w:sz w:val="24"/>
              </w:rPr>
              <w:t>（</w:t>
            </w:r>
            <w:r w:rsidRPr="00B533FB">
              <w:rPr>
                <w:sz w:val="24"/>
              </w:rPr>
              <w:t>A</w:t>
            </w:r>
            <w:r w:rsidRPr="00B533FB">
              <w:rPr>
                <w:rFonts w:hint="eastAsia"/>
                <w:sz w:val="24"/>
              </w:rPr>
              <w:t>类）</w:t>
            </w:r>
          </w:p>
        </w:tc>
        <w:tc>
          <w:tcPr>
            <w:tcW w:w="1620" w:type="dxa"/>
            <w:vAlign w:val="center"/>
          </w:tcPr>
          <w:p w:rsidR="00F8216D" w:rsidRPr="00B533FB" w:rsidRDefault="00F8216D" w:rsidP="00275EC0">
            <w:pPr>
              <w:autoSpaceDE w:val="0"/>
              <w:autoSpaceDN w:val="0"/>
              <w:spacing w:before="29" w:line="288" w:lineRule="auto"/>
              <w:ind w:rightChars="-51" w:right="-107"/>
              <w:jc w:val="center"/>
              <w:textAlignment w:val="bottom"/>
              <w:rPr>
                <w:sz w:val="24"/>
              </w:rPr>
            </w:pPr>
            <w:r w:rsidRPr="00B533FB">
              <w:rPr>
                <w:rFonts w:hint="eastAsia"/>
                <w:sz w:val="24"/>
              </w:rPr>
              <w:t>持有的基金份额占基金总份额的比例</w:t>
            </w:r>
          </w:p>
        </w:tc>
      </w:tr>
      <w:tr w:rsidR="000B2609" w:rsidRPr="00D65B54">
        <w:tc>
          <w:tcPr>
            <w:tcW w:w="1799" w:type="dxa"/>
            <w:vAlign w:val="center"/>
          </w:tcPr>
          <w:p w:rsidR="000B2609" w:rsidRPr="00B533FB" w:rsidRDefault="001C1241">
            <w:pPr>
              <w:jc w:val="left"/>
            </w:pPr>
            <w:r w:rsidRPr="00B533FB">
              <w:rPr>
                <w:rFonts w:hint="eastAsia"/>
                <w:sz w:val="24"/>
              </w:rPr>
              <w:t>交通银行</w:t>
            </w:r>
          </w:p>
        </w:tc>
        <w:tc>
          <w:tcPr>
            <w:tcW w:w="1979" w:type="dxa"/>
            <w:vAlign w:val="center"/>
          </w:tcPr>
          <w:p w:rsidR="000B2609" w:rsidRPr="00B533FB" w:rsidRDefault="001C1241">
            <w:pPr>
              <w:jc w:val="right"/>
            </w:pPr>
            <w:r w:rsidRPr="00B533FB">
              <w:rPr>
                <w:sz w:val="24"/>
              </w:rPr>
              <w:t>1,693,550,141.68</w:t>
            </w:r>
          </w:p>
        </w:tc>
        <w:tc>
          <w:tcPr>
            <w:tcW w:w="1440" w:type="dxa"/>
            <w:vAlign w:val="center"/>
          </w:tcPr>
          <w:p w:rsidR="000B2609" w:rsidRPr="00B533FB" w:rsidRDefault="001C1241">
            <w:pPr>
              <w:jc w:val="right"/>
            </w:pPr>
            <w:r w:rsidRPr="00B533FB">
              <w:rPr>
                <w:sz w:val="24"/>
              </w:rPr>
              <w:t>99.31%</w:t>
            </w:r>
          </w:p>
        </w:tc>
        <w:tc>
          <w:tcPr>
            <w:tcW w:w="2160" w:type="dxa"/>
            <w:vAlign w:val="center"/>
          </w:tcPr>
          <w:p w:rsidR="000B2609" w:rsidRPr="00B533FB" w:rsidRDefault="001C1241">
            <w:pPr>
              <w:jc w:val="right"/>
            </w:pPr>
            <w:r w:rsidRPr="00B533FB">
              <w:rPr>
                <w:sz w:val="24"/>
              </w:rPr>
              <w:t>200,008,000.00</w:t>
            </w:r>
          </w:p>
        </w:tc>
        <w:tc>
          <w:tcPr>
            <w:tcW w:w="1620" w:type="dxa"/>
            <w:vAlign w:val="center"/>
          </w:tcPr>
          <w:p w:rsidR="000B2609" w:rsidRPr="00B533FB" w:rsidRDefault="001C1241">
            <w:pPr>
              <w:jc w:val="right"/>
            </w:pPr>
            <w:r w:rsidRPr="00B533FB">
              <w:rPr>
                <w:sz w:val="24"/>
              </w:rPr>
              <w:t>90.39%</w:t>
            </w:r>
          </w:p>
        </w:tc>
      </w:tr>
    </w:tbl>
    <w:p w:rsidR="001C1241" w:rsidRPr="00463BF2" w:rsidRDefault="00463BF2" w:rsidP="00E25C2A">
      <w:pPr>
        <w:tabs>
          <w:tab w:val="left" w:pos="426"/>
        </w:tabs>
        <w:spacing w:before="29" w:line="288" w:lineRule="auto"/>
        <w:jc w:val="left"/>
        <w:rPr>
          <w:kern w:val="0"/>
          <w:sz w:val="24"/>
        </w:rPr>
      </w:pPr>
      <w:r w:rsidRPr="00463BF2">
        <w:rPr>
          <w:rFonts w:hint="eastAsia"/>
          <w:kern w:val="0"/>
          <w:sz w:val="24"/>
        </w:rPr>
        <w:t>注：关联方</w:t>
      </w:r>
      <w:r w:rsidR="00D30010" w:rsidRPr="00D30010">
        <w:rPr>
          <w:rFonts w:hint="eastAsia"/>
          <w:kern w:val="0"/>
          <w:sz w:val="24"/>
        </w:rPr>
        <w:t>投资本基金适用的申购</w:t>
      </w:r>
      <w:r w:rsidR="00D30010" w:rsidRPr="00D30010">
        <w:rPr>
          <w:rFonts w:hint="eastAsia"/>
          <w:kern w:val="0"/>
          <w:sz w:val="24"/>
        </w:rPr>
        <w:t>/</w:t>
      </w:r>
      <w:r w:rsidR="00D30010" w:rsidRPr="00D30010">
        <w:rPr>
          <w:rFonts w:hint="eastAsia"/>
          <w:kern w:val="0"/>
          <w:sz w:val="24"/>
        </w:rPr>
        <w:t>赎回费率按照本基金招募说明书的规定执行</w:t>
      </w:r>
      <w:bookmarkStart w:id="60" w:name="_GoBack"/>
      <w:bookmarkEnd w:id="60"/>
      <w:r w:rsidRPr="00463BF2">
        <w:rPr>
          <w:rFonts w:hint="eastAsia"/>
          <w:kern w:val="0"/>
          <w:sz w:val="24"/>
        </w:rPr>
        <w:t>。</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F859EC">
        <w:tc>
          <w:tcPr>
            <w:tcW w:w="2266"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12</w:t>
            </w:r>
            <w:r w:rsidRPr="0013672A">
              <w:rPr>
                <w:szCs w:val="21"/>
              </w:rPr>
              <w:t>月</w:t>
            </w:r>
            <w:r w:rsidRPr="0013672A">
              <w:rPr>
                <w:szCs w:val="21"/>
              </w:rPr>
              <w:t>29</w:t>
            </w:r>
            <w:r w:rsidRPr="0013672A">
              <w:rPr>
                <w:szCs w:val="21"/>
              </w:rPr>
              <w:t>日（基金合同生效日）至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F859EC">
        <w:tc>
          <w:tcPr>
            <w:tcW w:w="2266"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B2609">
        <w:tc>
          <w:tcPr>
            <w:tcW w:w="2266" w:type="dxa"/>
            <w:vAlign w:val="center"/>
          </w:tcPr>
          <w:p w:rsidR="000B2609" w:rsidRDefault="001C1241" w:rsidP="00F859EC">
            <w:pPr>
              <w:jc w:val="left"/>
            </w:pPr>
            <w:r>
              <w:rPr>
                <w:szCs w:val="21"/>
              </w:rPr>
              <w:t>兴业银行</w:t>
            </w:r>
            <w:r w:rsidR="00F859EC">
              <w:rPr>
                <w:rFonts w:hint="eastAsia"/>
                <w:szCs w:val="21"/>
              </w:rPr>
              <w:t>-</w:t>
            </w:r>
            <w:r w:rsidR="00F859EC">
              <w:rPr>
                <w:rFonts w:hint="eastAsia"/>
                <w:szCs w:val="21"/>
              </w:rPr>
              <w:t>活期存款</w:t>
            </w:r>
          </w:p>
        </w:tc>
        <w:tc>
          <w:tcPr>
            <w:tcW w:w="1683" w:type="dxa"/>
            <w:vAlign w:val="center"/>
          </w:tcPr>
          <w:p w:rsidR="000B2609" w:rsidRDefault="001C1241">
            <w:pPr>
              <w:jc w:val="right"/>
            </w:pPr>
            <w:r>
              <w:rPr>
                <w:szCs w:val="21"/>
              </w:rPr>
              <w:t>5,414,819.99</w:t>
            </w:r>
          </w:p>
        </w:tc>
        <w:tc>
          <w:tcPr>
            <w:tcW w:w="1683" w:type="dxa"/>
            <w:vAlign w:val="center"/>
          </w:tcPr>
          <w:p w:rsidR="000B2609" w:rsidRDefault="001C1241">
            <w:pPr>
              <w:jc w:val="right"/>
            </w:pPr>
            <w:r>
              <w:rPr>
                <w:szCs w:val="21"/>
              </w:rPr>
              <w:t>214,373.63</w:t>
            </w:r>
          </w:p>
        </w:tc>
        <w:tc>
          <w:tcPr>
            <w:tcW w:w="1683" w:type="dxa"/>
            <w:vAlign w:val="center"/>
          </w:tcPr>
          <w:p w:rsidR="000B2609" w:rsidRDefault="001C1241">
            <w:pPr>
              <w:jc w:val="right"/>
            </w:pPr>
            <w:r>
              <w:rPr>
                <w:szCs w:val="21"/>
              </w:rPr>
              <w:t>16,262,537.11</w:t>
            </w:r>
          </w:p>
        </w:tc>
        <w:tc>
          <w:tcPr>
            <w:tcW w:w="1683" w:type="dxa"/>
            <w:vAlign w:val="center"/>
          </w:tcPr>
          <w:p w:rsidR="000B2609" w:rsidRDefault="001C1241">
            <w:pPr>
              <w:jc w:val="right"/>
            </w:pPr>
            <w:r>
              <w:rPr>
                <w:szCs w:val="21"/>
              </w:rPr>
              <w:t>12,095.36</w:t>
            </w:r>
          </w:p>
        </w:tc>
      </w:tr>
      <w:tr w:rsidR="00F859EC" w:rsidTr="00D417E5">
        <w:tc>
          <w:tcPr>
            <w:tcW w:w="2266" w:type="dxa"/>
          </w:tcPr>
          <w:p w:rsidR="00F859EC" w:rsidRPr="00C02FD0" w:rsidRDefault="00F859EC" w:rsidP="00F859EC">
            <w:r w:rsidRPr="00C02FD0">
              <w:rPr>
                <w:rFonts w:hint="eastAsia"/>
              </w:rPr>
              <w:t>兴业银行</w:t>
            </w:r>
            <w:r w:rsidRPr="00C02FD0">
              <w:rPr>
                <w:rFonts w:hint="eastAsia"/>
              </w:rPr>
              <w:t>-</w:t>
            </w:r>
            <w:r w:rsidRPr="00C02FD0">
              <w:rPr>
                <w:rFonts w:hint="eastAsia"/>
              </w:rPr>
              <w:t>协议存款</w:t>
            </w:r>
          </w:p>
        </w:tc>
        <w:tc>
          <w:tcPr>
            <w:tcW w:w="1683" w:type="dxa"/>
          </w:tcPr>
          <w:p w:rsidR="00F859EC" w:rsidRPr="00C02FD0" w:rsidRDefault="00F859EC" w:rsidP="00F859EC">
            <w:pPr>
              <w:jc w:val="right"/>
            </w:pPr>
            <w:r w:rsidRPr="00C02FD0">
              <w:rPr>
                <w:rFonts w:hint="eastAsia"/>
              </w:rPr>
              <w:t>-</w:t>
            </w:r>
          </w:p>
        </w:tc>
        <w:tc>
          <w:tcPr>
            <w:tcW w:w="1683" w:type="dxa"/>
          </w:tcPr>
          <w:p w:rsidR="00F859EC" w:rsidRPr="00C02FD0" w:rsidRDefault="00F859EC" w:rsidP="00F859EC">
            <w:pPr>
              <w:jc w:val="right"/>
            </w:pPr>
            <w:r w:rsidRPr="00C02FD0">
              <w:rPr>
                <w:rFonts w:hint="eastAsia"/>
              </w:rPr>
              <w:t>90,222.23</w:t>
            </w:r>
          </w:p>
        </w:tc>
        <w:tc>
          <w:tcPr>
            <w:tcW w:w="1683" w:type="dxa"/>
          </w:tcPr>
          <w:p w:rsidR="00F859EC" w:rsidRPr="00C02FD0" w:rsidRDefault="00F859EC" w:rsidP="00F859EC">
            <w:pPr>
              <w:jc w:val="right"/>
            </w:pPr>
            <w:r w:rsidRPr="00C02FD0">
              <w:rPr>
                <w:rFonts w:hint="eastAsia"/>
              </w:rPr>
              <w:t>40,000,000.00</w:t>
            </w:r>
          </w:p>
        </w:tc>
        <w:tc>
          <w:tcPr>
            <w:tcW w:w="1683" w:type="dxa"/>
          </w:tcPr>
          <w:p w:rsidR="00F859EC" w:rsidRDefault="00F859EC" w:rsidP="00F859EC">
            <w:pPr>
              <w:jc w:val="right"/>
            </w:pPr>
            <w:r w:rsidRPr="00C02FD0">
              <w:rPr>
                <w:rFonts w:hint="eastAsia"/>
              </w:rPr>
              <w:t>6,444.44</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w:t>
      </w:r>
      <w:r w:rsidR="00F859EC">
        <w:rPr>
          <w:rFonts w:hint="eastAsia"/>
          <w:kern w:val="0"/>
          <w:sz w:val="24"/>
        </w:rPr>
        <w:t>活期</w:t>
      </w:r>
      <w:r w:rsidRPr="00E25C2A">
        <w:rPr>
          <w:kern w:val="0"/>
          <w:sz w:val="24"/>
        </w:rPr>
        <w:t>存款</w:t>
      </w:r>
      <w:r w:rsidR="00F859EC">
        <w:rPr>
          <w:rFonts w:hint="eastAsia"/>
          <w:kern w:val="0"/>
          <w:sz w:val="24"/>
        </w:rPr>
        <w:t>和</w:t>
      </w:r>
      <w:r w:rsidR="00F859EC">
        <w:rPr>
          <w:kern w:val="0"/>
          <w:sz w:val="24"/>
        </w:rPr>
        <w:t>协议存款均</w:t>
      </w:r>
      <w:r w:rsidRPr="00E25C2A">
        <w:rPr>
          <w:kern w:val="0"/>
          <w:sz w:val="24"/>
        </w:rPr>
        <w:t>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D65B54" w:rsidRPr="00E25C2A" w:rsidRDefault="00D65B5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Default="001A59F9" w:rsidP="00AA721C">
      <w:pPr>
        <w:spacing w:before="29" w:line="288" w:lineRule="auto"/>
        <w:ind w:firstLineChars="200" w:firstLine="480"/>
        <w:rPr>
          <w:color w:val="000000"/>
          <w:sz w:val="24"/>
        </w:rPr>
      </w:pPr>
      <w:r w:rsidRPr="00AA721C">
        <w:rPr>
          <w:color w:val="000000"/>
          <w:sz w:val="24"/>
        </w:rPr>
        <w:t>本基金本报告期末无从事银行间市场债券正回购交易形成的卖出回购证券款余额。</w:t>
      </w:r>
    </w:p>
    <w:p w:rsidR="00CA0AAB" w:rsidRPr="00AA721C" w:rsidRDefault="00CA0AAB" w:rsidP="00AA721C">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2016</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66,000,000.00</w:t>
      </w:r>
      <w:r w:rsidRPr="00D92A8E">
        <w:rPr>
          <w:color w:val="000000"/>
          <w:sz w:val="24"/>
        </w:rPr>
        <w:t>元，于</w:t>
      </w:r>
      <w:r w:rsidRPr="00D92A8E">
        <w:rPr>
          <w:color w:val="000000"/>
          <w:sz w:val="24"/>
        </w:rPr>
        <w:t>2017</w:t>
      </w:r>
      <w:r w:rsidRPr="00D92A8E">
        <w:rPr>
          <w:color w:val="000000"/>
          <w:sz w:val="24"/>
        </w:rPr>
        <w:t>年</w:t>
      </w:r>
      <w:r w:rsidRPr="00D92A8E">
        <w:rPr>
          <w:color w:val="000000"/>
          <w:sz w:val="24"/>
        </w:rPr>
        <w:t>1</w:t>
      </w:r>
      <w:r w:rsidRPr="00D92A8E">
        <w:rPr>
          <w:color w:val="000000"/>
          <w:sz w:val="24"/>
        </w:rPr>
        <w:t>月</w:t>
      </w:r>
      <w:r w:rsidRPr="00D92A8E">
        <w:rPr>
          <w:color w:val="000000"/>
          <w:sz w:val="24"/>
        </w:rPr>
        <w:t>3</w:t>
      </w:r>
      <w:r w:rsidRPr="00D92A8E">
        <w:rPr>
          <w:color w:val="000000"/>
          <w:sz w:val="24"/>
        </w:rPr>
        <w:t>日先后到期。该类交易要求本基金转入质押库的债券，按证券交易所规定的比例折算为标准券后，不低于债券回购交易的余额。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D65B54" w:rsidRPr="004E5D83" w:rsidRDefault="00D65B54" w:rsidP="00D65B54">
      <w:pPr>
        <w:outlineLvl w:val="3"/>
        <w:rPr>
          <w:rFonts w:ascii="Arial" w:hAnsi="Arial" w:cs="Arial"/>
          <w:sz w:val="24"/>
        </w:rPr>
      </w:pPr>
      <w:r w:rsidRPr="004E5D83">
        <w:rPr>
          <w:rFonts w:ascii="Arial" w:hAnsi="Arial" w:cs="Arial" w:hint="eastAsia"/>
          <w:sz w:val="24"/>
        </w:rPr>
        <w:t>(1)</w:t>
      </w:r>
      <w:r w:rsidRPr="004E5D83">
        <w:rPr>
          <w:rFonts w:ascii="Arial" w:hAnsi="Arial" w:cs="Arial" w:hint="eastAsia"/>
          <w:sz w:val="24"/>
        </w:rPr>
        <w:tab/>
      </w:r>
      <w:r w:rsidRPr="004E5D83">
        <w:rPr>
          <w:rFonts w:ascii="Arial" w:hAnsi="Arial" w:cs="Arial"/>
          <w:sz w:val="24"/>
        </w:rPr>
        <w:t>公允价值</w:t>
      </w:r>
    </w:p>
    <w:p w:rsidR="00D65B54" w:rsidRPr="004E5D83" w:rsidRDefault="00D65B54" w:rsidP="00D65B54">
      <w:pPr>
        <w:widowControl/>
        <w:numPr>
          <w:ilvl w:val="0"/>
          <w:numId w:val="17"/>
        </w:numPr>
        <w:ind w:hanging="720"/>
        <w:jc w:val="left"/>
        <w:outlineLvl w:val="3"/>
        <w:rPr>
          <w:rFonts w:ascii="Arial" w:hAnsi="Arial" w:cs="Arial"/>
          <w:sz w:val="24"/>
        </w:rPr>
      </w:pPr>
      <w:r w:rsidRPr="004E5D83">
        <w:rPr>
          <w:rFonts w:ascii="Arial" w:hAnsi="Arial" w:cs="Arial"/>
          <w:sz w:val="24"/>
        </w:rPr>
        <w:t>金融工具公允价值计量的方法</w:t>
      </w:r>
    </w:p>
    <w:p w:rsidR="00D65B54" w:rsidRPr="004E5D83" w:rsidRDefault="00D65B54" w:rsidP="00D65B54">
      <w:pPr>
        <w:autoSpaceDE w:val="0"/>
        <w:autoSpaceDN w:val="0"/>
        <w:adjustRightInd w:val="0"/>
        <w:rPr>
          <w:rFonts w:ascii="Arial" w:hAnsi="Arial" w:cs="Arial"/>
          <w:bCs/>
          <w:sz w:val="24"/>
        </w:rPr>
      </w:pPr>
      <w:r w:rsidRPr="004E5D83">
        <w:rPr>
          <w:rFonts w:ascii="Arial" w:hAnsi="Arial" w:cs="Arial" w:hint="eastAsia"/>
          <w:bCs/>
          <w:sz w:val="24"/>
        </w:rPr>
        <w:t>公允价值计量结果所属的层次，由对公允价值计量整体而言具有重要意义的输入值所属的最低层次决定</w:t>
      </w:r>
      <w:r w:rsidRPr="004E5D83">
        <w:rPr>
          <w:rFonts w:ascii="Arial" w:hAnsi="Arial" w:cs="Arial"/>
          <w:bCs/>
          <w:sz w:val="24"/>
        </w:rPr>
        <w:t>：</w:t>
      </w:r>
    </w:p>
    <w:p w:rsidR="00D65B54" w:rsidRPr="004E5D83" w:rsidRDefault="00D65B54" w:rsidP="00D65B54">
      <w:pPr>
        <w:autoSpaceDE w:val="0"/>
        <w:autoSpaceDN w:val="0"/>
        <w:adjustRightInd w:val="0"/>
        <w:rPr>
          <w:rFonts w:ascii="Arial" w:hAnsi="Arial" w:cs="Arial"/>
          <w:bCs/>
          <w:sz w:val="24"/>
        </w:rPr>
      </w:pPr>
    </w:p>
    <w:p w:rsidR="00D65B54" w:rsidRPr="004E5D83" w:rsidRDefault="00D65B54" w:rsidP="00D65B54">
      <w:pPr>
        <w:autoSpaceDE w:val="0"/>
        <w:autoSpaceDN w:val="0"/>
        <w:adjustRightInd w:val="0"/>
        <w:rPr>
          <w:rFonts w:ascii="Arial" w:hAnsi="Arial" w:cs="Arial"/>
          <w:bCs/>
          <w:sz w:val="24"/>
        </w:rPr>
      </w:pPr>
      <w:r w:rsidRPr="004E5D83">
        <w:rPr>
          <w:rFonts w:ascii="Arial" w:hAnsi="Arial" w:cs="Arial"/>
          <w:bCs/>
          <w:sz w:val="24"/>
        </w:rPr>
        <w:t>第一层</w:t>
      </w:r>
      <w:r w:rsidRPr="004E5D83">
        <w:rPr>
          <w:rFonts w:ascii="Arial" w:hAnsi="Arial" w:cs="Arial" w:hint="eastAsia"/>
          <w:bCs/>
          <w:sz w:val="24"/>
        </w:rPr>
        <w:t>次</w:t>
      </w:r>
      <w:r w:rsidRPr="004E5D83">
        <w:rPr>
          <w:rFonts w:ascii="Arial" w:hAnsi="Arial" w:cs="Arial"/>
          <w:bCs/>
          <w:sz w:val="24"/>
        </w:rPr>
        <w:t>：相同资产或负债在活跃市场上未经调整的报价。</w:t>
      </w:r>
    </w:p>
    <w:p w:rsidR="00D65B54" w:rsidRPr="004E5D83" w:rsidRDefault="00D65B54" w:rsidP="00D65B54">
      <w:pPr>
        <w:autoSpaceDE w:val="0"/>
        <w:autoSpaceDN w:val="0"/>
        <w:adjustRightInd w:val="0"/>
        <w:rPr>
          <w:rFonts w:ascii="Arial" w:hAnsi="Arial" w:cs="Arial"/>
          <w:bCs/>
          <w:sz w:val="24"/>
        </w:rPr>
      </w:pPr>
      <w:r w:rsidRPr="004E5D83">
        <w:rPr>
          <w:rFonts w:ascii="Arial" w:hAnsi="Arial" w:cs="Arial"/>
          <w:bCs/>
          <w:sz w:val="24"/>
        </w:rPr>
        <w:t>第二层</w:t>
      </w:r>
      <w:r w:rsidRPr="004E5D83">
        <w:rPr>
          <w:rFonts w:ascii="Arial" w:hAnsi="Arial" w:cs="Arial" w:hint="eastAsia"/>
          <w:bCs/>
          <w:sz w:val="24"/>
        </w:rPr>
        <w:t>次</w:t>
      </w:r>
      <w:r w:rsidRPr="004E5D83">
        <w:rPr>
          <w:rFonts w:ascii="Arial" w:hAnsi="Arial" w:cs="Arial"/>
          <w:bCs/>
          <w:sz w:val="24"/>
        </w:rPr>
        <w:t>：</w:t>
      </w:r>
      <w:r w:rsidRPr="004E5D83">
        <w:rPr>
          <w:rFonts w:ascii="宋体" w:hAnsi="Tms Rmn" w:cs="宋体" w:hint="eastAsia"/>
          <w:sz w:val="24"/>
        </w:rPr>
        <w:t>除第一层次输入值外相关资产或负债直接或间接可观察的输入值。</w:t>
      </w:r>
    </w:p>
    <w:p w:rsidR="00D65B54" w:rsidRPr="004E5D83" w:rsidRDefault="00D65B54" w:rsidP="00D65B54">
      <w:pPr>
        <w:autoSpaceDE w:val="0"/>
        <w:autoSpaceDN w:val="0"/>
        <w:adjustRightInd w:val="0"/>
        <w:rPr>
          <w:rFonts w:ascii="Arial" w:hAnsi="Arial" w:cs="Arial"/>
          <w:bCs/>
          <w:sz w:val="24"/>
        </w:rPr>
      </w:pPr>
      <w:r w:rsidRPr="004E5D83">
        <w:rPr>
          <w:rFonts w:ascii="Arial" w:hAnsi="Arial" w:cs="Arial"/>
          <w:bCs/>
          <w:sz w:val="24"/>
        </w:rPr>
        <w:t>第三层</w:t>
      </w:r>
      <w:r w:rsidRPr="004E5D83">
        <w:rPr>
          <w:rFonts w:ascii="Arial" w:hAnsi="Arial" w:cs="Arial" w:hint="eastAsia"/>
          <w:bCs/>
          <w:sz w:val="24"/>
        </w:rPr>
        <w:t>次</w:t>
      </w:r>
      <w:r w:rsidRPr="004E5D83">
        <w:rPr>
          <w:rFonts w:ascii="Arial" w:hAnsi="Arial" w:cs="Arial"/>
          <w:bCs/>
          <w:sz w:val="24"/>
        </w:rPr>
        <w:t>：</w:t>
      </w:r>
      <w:r w:rsidRPr="004E5D83">
        <w:rPr>
          <w:rFonts w:ascii="宋体" w:hAnsi="Tms Rmn" w:cs="宋体" w:hint="eastAsia"/>
          <w:sz w:val="24"/>
        </w:rPr>
        <w:t>相关资产或负债的不可观察输入值</w:t>
      </w:r>
      <w:r w:rsidRPr="004E5D83">
        <w:rPr>
          <w:rFonts w:ascii="Arial" w:hAnsi="Arial" w:hint="eastAsia"/>
          <w:sz w:val="24"/>
        </w:rPr>
        <w:t>。</w:t>
      </w:r>
    </w:p>
    <w:p w:rsidR="00D65B54" w:rsidRPr="004E5D83" w:rsidRDefault="00D65B54" w:rsidP="00D65B54">
      <w:pPr>
        <w:spacing w:after="200" w:line="276" w:lineRule="auto"/>
        <w:rPr>
          <w:rFonts w:ascii="Arial" w:hAnsi="Arial" w:cs="Arial"/>
          <w:bCs/>
          <w:sz w:val="24"/>
        </w:rPr>
      </w:pPr>
    </w:p>
    <w:p w:rsidR="00D65B54" w:rsidRPr="004E5D83" w:rsidRDefault="00D65B54" w:rsidP="00D65B54">
      <w:pPr>
        <w:widowControl/>
        <w:numPr>
          <w:ilvl w:val="0"/>
          <w:numId w:val="17"/>
        </w:numPr>
        <w:ind w:hanging="720"/>
        <w:jc w:val="left"/>
        <w:outlineLvl w:val="3"/>
        <w:rPr>
          <w:rFonts w:ascii="Arial" w:hAnsi="Arial" w:cs="Arial"/>
          <w:sz w:val="24"/>
        </w:rPr>
      </w:pPr>
      <w:r w:rsidRPr="004E5D83">
        <w:rPr>
          <w:rFonts w:ascii="Arial" w:hAnsi="Arial" w:cs="Arial" w:hint="eastAsia"/>
          <w:sz w:val="24"/>
        </w:rPr>
        <w:t>持续的</w:t>
      </w:r>
      <w:r w:rsidRPr="004E5D83">
        <w:rPr>
          <w:rFonts w:ascii="Arial" w:hAnsi="Arial" w:cs="Arial"/>
          <w:sz w:val="24"/>
        </w:rPr>
        <w:t>以公允价值计量的金融工具</w:t>
      </w:r>
    </w:p>
    <w:p w:rsidR="00D65B54" w:rsidRPr="004E5D83" w:rsidRDefault="00D65B54" w:rsidP="00D65B54">
      <w:pPr>
        <w:widowControl/>
        <w:numPr>
          <w:ilvl w:val="0"/>
          <w:numId w:val="18"/>
        </w:numPr>
        <w:ind w:left="709" w:hanging="709"/>
        <w:jc w:val="left"/>
        <w:outlineLvl w:val="3"/>
        <w:rPr>
          <w:rFonts w:ascii="Arial" w:hAnsi="Arial" w:cs="Arial"/>
          <w:sz w:val="24"/>
        </w:rPr>
      </w:pPr>
      <w:r w:rsidRPr="004E5D83">
        <w:rPr>
          <w:rFonts w:ascii="Arial" w:hAnsi="Arial" w:cs="Arial"/>
          <w:sz w:val="24"/>
        </w:rPr>
        <w:t>各层</w:t>
      </w:r>
      <w:r w:rsidRPr="004E5D83">
        <w:rPr>
          <w:rFonts w:ascii="Arial" w:hAnsi="Arial" w:cs="Arial" w:hint="eastAsia"/>
          <w:sz w:val="24"/>
        </w:rPr>
        <w:t>次</w:t>
      </w:r>
      <w:r w:rsidRPr="004E5D83">
        <w:rPr>
          <w:rFonts w:ascii="Arial" w:hAnsi="Arial" w:cs="Arial"/>
          <w:sz w:val="24"/>
        </w:rPr>
        <w:t>金融工具公允价值</w:t>
      </w:r>
    </w:p>
    <w:p w:rsidR="00D65B54" w:rsidRPr="004E5D83" w:rsidRDefault="00D65B54" w:rsidP="00D65B54">
      <w:pPr>
        <w:autoSpaceDE w:val="0"/>
        <w:autoSpaceDN w:val="0"/>
        <w:adjustRightInd w:val="0"/>
        <w:rPr>
          <w:rFonts w:ascii="Arial" w:hAnsi="Arial" w:cs="Arial"/>
          <w:bCs/>
          <w:sz w:val="24"/>
        </w:rPr>
      </w:pPr>
      <w:r w:rsidRPr="004E5D83">
        <w:rPr>
          <w:rFonts w:ascii="Arial" w:hAnsi="Arial" w:cs="Arial"/>
          <w:bCs/>
          <w:sz w:val="24"/>
        </w:rPr>
        <w:t>于</w:t>
      </w:r>
      <w:r w:rsidRPr="004E5D83">
        <w:rPr>
          <w:rFonts w:ascii="Arial" w:hAnsi="Arial" w:cs="Arial" w:hint="eastAsia"/>
          <w:bCs/>
          <w:sz w:val="24"/>
        </w:rPr>
        <w:t>201</w:t>
      </w:r>
      <w:r w:rsidRPr="004E5D83">
        <w:rPr>
          <w:rFonts w:ascii="Arial" w:hAnsi="Arial" w:cs="Arial"/>
          <w:bCs/>
          <w:sz w:val="24"/>
        </w:rPr>
        <w:t>6</w:t>
      </w:r>
      <w:r w:rsidRPr="004E5D83">
        <w:rPr>
          <w:rFonts w:ascii="Arial" w:hAnsi="Arial" w:cs="Arial"/>
          <w:bCs/>
          <w:sz w:val="24"/>
        </w:rPr>
        <w:t>年</w:t>
      </w:r>
      <w:r w:rsidRPr="004E5D83">
        <w:rPr>
          <w:rFonts w:ascii="Arial" w:hAnsi="Arial" w:cs="Arial"/>
          <w:bCs/>
          <w:sz w:val="24"/>
        </w:rPr>
        <w:t>12</w:t>
      </w:r>
      <w:r w:rsidRPr="004E5D83">
        <w:rPr>
          <w:rFonts w:ascii="Arial" w:hAnsi="Arial" w:cs="Arial"/>
          <w:bCs/>
          <w:sz w:val="24"/>
        </w:rPr>
        <w:t>月</w:t>
      </w:r>
      <w:r w:rsidRPr="004E5D83">
        <w:rPr>
          <w:rFonts w:ascii="Arial" w:hAnsi="Arial" w:cs="Arial"/>
          <w:bCs/>
          <w:sz w:val="24"/>
        </w:rPr>
        <w:t>31</w:t>
      </w:r>
      <w:r w:rsidRPr="004E5D83">
        <w:rPr>
          <w:rFonts w:ascii="Arial" w:hAnsi="Arial" w:cs="Arial"/>
          <w:bCs/>
          <w:sz w:val="24"/>
        </w:rPr>
        <w:t>日，本基金持有的</w:t>
      </w:r>
      <w:r w:rsidRPr="004E5D83">
        <w:rPr>
          <w:rFonts w:ascii="Arial" w:hAnsi="Arial" w:cs="Arial"/>
          <w:sz w:val="24"/>
        </w:rPr>
        <w:t>以公允价值计量且其变动计入当期损益的金融资产</w:t>
      </w:r>
      <w:r w:rsidRPr="004E5D83">
        <w:rPr>
          <w:rFonts w:ascii="Arial" w:hAnsi="Arial" w:cs="Arial"/>
          <w:bCs/>
          <w:sz w:val="24"/>
        </w:rPr>
        <w:t>中属于第二层</w:t>
      </w:r>
      <w:r w:rsidRPr="004E5D83">
        <w:rPr>
          <w:rFonts w:ascii="Arial" w:hAnsi="Arial" w:cs="Arial" w:hint="eastAsia"/>
          <w:bCs/>
          <w:sz w:val="24"/>
        </w:rPr>
        <w:t>次</w:t>
      </w:r>
      <w:r w:rsidRPr="004E5D83">
        <w:rPr>
          <w:rFonts w:ascii="Arial" w:hAnsi="Arial" w:cs="Arial"/>
          <w:bCs/>
          <w:sz w:val="24"/>
        </w:rPr>
        <w:t>的余额为</w:t>
      </w:r>
      <w:r w:rsidRPr="004E5D83">
        <w:rPr>
          <w:rFonts w:ascii="Arial" w:hAnsi="Arial" w:cs="Arial"/>
          <w:bCs/>
          <w:sz w:val="24"/>
        </w:rPr>
        <w:t>1,716,204,624.00</w:t>
      </w:r>
      <w:r w:rsidRPr="004E5D83">
        <w:rPr>
          <w:rFonts w:ascii="Arial" w:hAnsi="Arial" w:cs="Arial"/>
          <w:bCs/>
          <w:sz w:val="24"/>
        </w:rPr>
        <w:t>元，</w:t>
      </w:r>
      <w:r w:rsidRPr="004E5D83">
        <w:rPr>
          <w:rFonts w:ascii="Arial" w:hAnsi="Arial" w:cs="Arial" w:hint="eastAsia"/>
          <w:bCs/>
          <w:sz w:val="24"/>
        </w:rPr>
        <w:t>属于</w:t>
      </w:r>
      <w:r w:rsidRPr="004E5D83">
        <w:rPr>
          <w:rFonts w:ascii="Arial" w:hAnsi="Arial" w:cs="Arial"/>
          <w:bCs/>
          <w:sz w:val="24"/>
        </w:rPr>
        <w:t>第三层次的余额为</w:t>
      </w:r>
      <w:r w:rsidRPr="004E5D83">
        <w:rPr>
          <w:rFonts w:ascii="Arial" w:hAnsi="Arial" w:cs="Arial"/>
          <w:bCs/>
          <w:sz w:val="24"/>
        </w:rPr>
        <w:t>20,960,000.00</w:t>
      </w:r>
      <w:r w:rsidRPr="004E5D83">
        <w:rPr>
          <w:rFonts w:ascii="Arial" w:hAnsi="Arial" w:cs="Arial" w:hint="eastAsia"/>
          <w:bCs/>
          <w:sz w:val="24"/>
        </w:rPr>
        <w:t>元，</w:t>
      </w:r>
      <w:r w:rsidRPr="004E5D83">
        <w:rPr>
          <w:rFonts w:ascii="Arial" w:hAnsi="Arial" w:cs="Arial"/>
          <w:bCs/>
          <w:sz w:val="24"/>
        </w:rPr>
        <w:t>无属于</w:t>
      </w:r>
      <w:r w:rsidRPr="004E5D83">
        <w:rPr>
          <w:rFonts w:ascii="Arial" w:hAnsi="Arial" w:cs="Arial" w:hint="eastAsia"/>
          <w:bCs/>
          <w:sz w:val="24"/>
        </w:rPr>
        <w:t>第一层次</w:t>
      </w:r>
      <w:r w:rsidRPr="004E5D83">
        <w:rPr>
          <w:rFonts w:ascii="Arial" w:hAnsi="Arial" w:cs="Arial"/>
          <w:bCs/>
          <w:sz w:val="24"/>
        </w:rPr>
        <w:t>的余额</w:t>
      </w:r>
      <w:r w:rsidRPr="004E5D83">
        <w:rPr>
          <w:rFonts w:ascii="Arial" w:hAnsi="Arial" w:cs="Arial"/>
          <w:bCs/>
          <w:sz w:val="24"/>
        </w:rPr>
        <w:t>(</w:t>
      </w:r>
      <w:r w:rsidRPr="004E5D83">
        <w:rPr>
          <w:rFonts w:ascii="Arial" w:hAnsi="Arial" w:cs="Arial" w:hint="eastAsia"/>
          <w:bCs/>
          <w:sz w:val="24"/>
        </w:rPr>
        <w:t>201</w:t>
      </w:r>
      <w:r w:rsidRPr="004E5D83">
        <w:rPr>
          <w:rFonts w:ascii="Arial" w:hAnsi="Arial" w:cs="Arial"/>
          <w:bCs/>
          <w:sz w:val="24"/>
        </w:rPr>
        <w:t>5</w:t>
      </w:r>
      <w:r w:rsidRPr="004E5D83">
        <w:rPr>
          <w:rFonts w:ascii="Arial" w:hAnsi="Arial" w:cs="Arial" w:hint="eastAsia"/>
          <w:bCs/>
          <w:sz w:val="24"/>
        </w:rPr>
        <w:t>年</w:t>
      </w:r>
      <w:r w:rsidRPr="004E5D83">
        <w:rPr>
          <w:rFonts w:ascii="Arial" w:hAnsi="Arial" w:cs="Arial" w:hint="eastAsia"/>
          <w:bCs/>
          <w:sz w:val="24"/>
        </w:rPr>
        <w:t>12</w:t>
      </w:r>
      <w:r w:rsidRPr="004E5D83">
        <w:rPr>
          <w:rFonts w:ascii="Arial" w:hAnsi="Arial" w:cs="Arial" w:hint="eastAsia"/>
          <w:bCs/>
          <w:sz w:val="24"/>
        </w:rPr>
        <w:t>月</w:t>
      </w:r>
      <w:r w:rsidRPr="004E5D83">
        <w:rPr>
          <w:rFonts w:ascii="Arial" w:hAnsi="Arial" w:cs="Arial" w:hint="eastAsia"/>
          <w:bCs/>
          <w:sz w:val="24"/>
        </w:rPr>
        <w:t>31</w:t>
      </w:r>
      <w:r w:rsidRPr="004E5D83">
        <w:rPr>
          <w:rFonts w:ascii="Arial" w:hAnsi="Arial" w:cs="Arial" w:hint="eastAsia"/>
          <w:bCs/>
          <w:sz w:val="24"/>
        </w:rPr>
        <w:t>日</w:t>
      </w:r>
      <w:r w:rsidRPr="004E5D83">
        <w:rPr>
          <w:rFonts w:ascii="Arial" w:hAnsi="Arial" w:cs="Arial"/>
          <w:bCs/>
          <w:sz w:val="24"/>
        </w:rPr>
        <w:t>：</w:t>
      </w:r>
      <w:r w:rsidRPr="004E5D83">
        <w:rPr>
          <w:rFonts w:ascii="Arial" w:hAnsi="Arial" w:cs="Arial" w:hint="eastAsia"/>
          <w:bCs/>
          <w:sz w:val="24"/>
        </w:rPr>
        <w:t>无第一层次、</w:t>
      </w:r>
      <w:r w:rsidRPr="004E5D83">
        <w:rPr>
          <w:rFonts w:ascii="Arial" w:hAnsi="Arial" w:cs="Arial"/>
          <w:bCs/>
          <w:sz w:val="24"/>
        </w:rPr>
        <w:t>第二层次或第三层</w:t>
      </w:r>
      <w:r w:rsidRPr="004E5D83">
        <w:rPr>
          <w:rFonts w:ascii="Arial" w:hAnsi="Arial" w:cs="Arial" w:hint="eastAsia"/>
          <w:bCs/>
          <w:sz w:val="24"/>
        </w:rPr>
        <w:t>次</w:t>
      </w:r>
      <w:r w:rsidRPr="004E5D83">
        <w:rPr>
          <w:rFonts w:ascii="Arial" w:hAnsi="Arial" w:cs="Arial"/>
          <w:bCs/>
          <w:sz w:val="24"/>
        </w:rPr>
        <w:t>)</w:t>
      </w:r>
      <w:r w:rsidRPr="004E5D83">
        <w:rPr>
          <w:rFonts w:ascii="Arial" w:hAnsi="Arial" w:cs="Arial"/>
          <w:bCs/>
          <w:sz w:val="24"/>
        </w:rPr>
        <w:t>。</w:t>
      </w:r>
    </w:p>
    <w:p w:rsidR="00D65B54" w:rsidRPr="004E5D83" w:rsidRDefault="00D65B54" w:rsidP="00D65B54">
      <w:pPr>
        <w:outlineLvl w:val="3"/>
        <w:rPr>
          <w:rFonts w:ascii="Arial" w:hAnsi="Arial" w:cs="Arial"/>
          <w:b/>
          <w:sz w:val="24"/>
        </w:rPr>
      </w:pPr>
    </w:p>
    <w:p w:rsidR="00D65B54" w:rsidRPr="004E5D83" w:rsidRDefault="00D65B54" w:rsidP="00D65B54">
      <w:pPr>
        <w:widowControl/>
        <w:numPr>
          <w:ilvl w:val="0"/>
          <w:numId w:val="18"/>
        </w:numPr>
        <w:ind w:left="709" w:hanging="709"/>
        <w:jc w:val="left"/>
        <w:outlineLvl w:val="3"/>
        <w:rPr>
          <w:rFonts w:ascii="Arial" w:hAnsi="Arial" w:cs="Arial"/>
          <w:sz w:val="24"/>
        </w:rPr>
      </w:pPr>
      <w:r w:rsidRPr="004E5D83">
        <w:rPr>
          <w:rFonts w:ascii="Arial" w:hAnsi="Arial" w:cs="Arial"/>
          <w:sz w:val="24"/>
        </w:rPr>
        <w:t>公允价值所属层</w:t>
      </w:r>
      <w:r w:rsidRPr="004E5D83">
        <w:rPr>
          <w:rFonts w:ascii="Arial" w:hAnsi="Arial" w:cs="Arial" w:hint="eastAsia"/>
          <w:sz w:val="24"/>
        </w:rPr>
        <w:t>次</w:t>
      </w:r>
      <w:r w:rsidRPr="004E5D83">
        <w:rPr>
          <w:rFonts w:ascii="Arial" w:hAnsi="Arial" w:cs="Arial"/>
          <w:sz w:val="24"/>
        </w:rPr>
        <w:t>间的重大变动</w:t>
      </w:r>
    </w:p>
    <w:p w:rsidR="00D65B54" w:rsidRPr="004E5D83" w:rsidRDefault="00D65B54" w:rsidP="00D65B54">
      <w:pPr>
        <w:autoSpaceDE w:val="0"/>
        <w:autoSpaceDN w:val="0"/>
        <w:adjustRightInd w:val="0"/>
        <w:rPr>
          <w:rFonts w:ascii="Arial" w:hAnsi="Arial" w:cs="Arial"/>
          <w:bCs/>
          <w:sz w:val="24"/>
        </w:rPr>
      </w:pPr>
      <w:r w:rsidRPr="004E5D83">
        <w:rPr>
          <w:rFonts w:ascii="Arial" w:hAnsi="Arial" w:cs="Arial"/>
          <w:bCs/>
          <w:sz w:val="24"/>
        </w:rPr>
        <w:t>对于证券交易所上市的债券，若出现重大事项停牌、交易不活跃</w:t>
      </w:r>
      <w:r w:rsidRPr="004E5D83">
        <w:rPr>
          <w:rFonts w:ascii="Arial" w:hAnsi="Arial" w:cs="Arial"/>
          <w:bCs/>
          <w:sz w:val="24"/>
        </w:rPr>
        <w:t>(</w:t>
      </w:r>
      <w:r w:rsidRPr="004E5D83">
        <w:rPr>
          <w:rFonts w:ascii="Arial" w:hAnsi="Arial" w:cs="Arial"/>
          <w:bCs/>
          <w:sz w:val="24"/>
        </w:rPr>
        <w:t>包括涨跌停时的交易不活跃</w:t>
      </w:r>
      <w:r w:rsidRPr="004E5D83">
        <w:rPr>
          <w:rFonts w:ascii="Arial" w:hAnsi="Arial" w:cs="Arial"/>
          <w:bCs/>
          <w:sz w:val="24"/>
        </w:rPr>
        <w:t>)</w:t>
      </w:r>
      <w:r w:rsidRPr="004E5D83">
        <w:rPr>
          <w:rFonts w:ascii="Arial" w:hAnsi="Arial" w:cs="Arial"/>
          <w:bCs/>
          <w:sz w:val="24"/>
        </w:rPr>
        <w:t>、或属于非公开发行等情况，本基金</w:t>
      </w:r>
      <w:r w:rsidRPr="004E5D83">
        <w:rPr>
          <w:rFonts w:ascii="Arial" w:hAnsi="Arial" w:cs="Arial" w:hint="eastAsia"/>
          <w:bCs/>
          <w:sz w:val="24"/>
        </w:rPr>
        <w:t>不会</w:t>
      </w:r>
      <w:r w:rsidRPr="004E5D83">
        <w:rPr>
          <w:rFonts w:ascii="Arial" w:hAnsi="Arial" w:cs="Arial"/>
          <w:bCs/>
          <w:sz w:val="24"/>
        </w:rPr>
        <w:t>于停牌日至交易恢复活跃日期间、交易不活跃期间及限售期间将相关股票和债券的公允价值列入第一层</w:t>
      </w:r>
      <w:r w:rsidRPr="004E5D83">
        <w:rPr>
          <w:rFonts w:ascii="Arial" w:hAnsi="Arial" w:cs="Arial" w:hint="eastAsia"/>
          <w:bCs/>
          <w:sz w:val="24"/>
        </w:rPr>
        <w:t>次</w:t>
      </w:r>
      <w:r w:rsidRPr="004E5D83">
        <w:rPr>
          <w:rFonts w:ascii="Arial" w:hAnsi="Arial" w:cs="Arial"/>
          <w:bCs/>
          <w:sz w:val="24"/>
        </w:rPr>
        <w:t>；并根据估值调整中采用的不可观察输入值对于公允价值的影响程度，确定相关股票和债券公允价值应属第二层</w:t>
      </w:r>
      <w:r w:rsidRPr="004E5D83">
        <w:rPr>
          <w:rFonts w:ascii="Arial" w:hAnsi="Arial" w:cs="Arial" w:hint="eastAsia"/>
          <w:bCs/>
          <w:sz w:val="24"/>
        </w:rPr>
        <w:t>次还是</w:t>
      </w:r>
      <w:r w:rsidRPr="004E5D83">
        <w:rPr>
          <w:rFonts w:ascii="Arial" w:hAnsi="Arial" w:cs="Arial"/>
          <w:bCs/>
          <w:sz w:val="24"/>
        </w:rPr>
        <w:t>第三层</w:t>
      </w:r>
      <w:r w:rsidRPr="004E5D83">
        <w:rPr>
          <w:rFonts w:ascii="Arial" w:hAnsi="Arial" w:cs="Arial" w:hint="eastAsia"/>
          <w:bCs/>
          <w:sz w:val="24"/>
        </w:rPr>
        <w:t>次</w:t>
      </w:r>
      <w:r w:rsidRPr="004E5D83">
        <w:rPr>
          <w:rFonts w:ascii="Arial" w:hAnsi="Arial" w:cs="Arial"/>
          <w:bCs/>
          <w:sz w:val="24"/>
        </w:rPr>
        <w:t>。</w:t>
      </w:r>
    </w:p>
    <w:p w:rsidR="00D65B54" w:rsidRPr="004E5D83" w:rsidRDefault="00D65B54" w:rsidP="00D65B54">
      <w:pPr>
        <w:autoSpaceDE w:val="0"/>
        <w:autoSpaceDN w:val="0"/>
        <w:adjustRightInd w:val="0"/>
        <w:rPr>
          <w:rFonts w:ascii="Arial" w:hAnsi="Arial" w:cs="Arial"/>
          <w:bCs/>
          <w:sz w:val="24"/>
        </w:rPr>
      </w:pPr>
    </w:p>
    <w:p w:rsidR="00D65B54" w:rsidRPr="004E5D83" w:rsidRDefault="00D65B54" w:rsidP="00D65B54">
      <w:pPr>
        <w:widowControl/>
        <w:numPr>
          <w:ilvl w:val="0"/>
          <w:numId w:val="18"/>
        </w:numPr>
        <w:ind w:left="709" w:hanging="709"/>
        <w:jc w:val="left"/>
        <w:outlineLvl w:val="3"/>
        <w:rPr>
          <w:rFonts w:ascii="Arial" w:hAnsi="Arial" w:cs="Arial"/>
          <w:sz w:val="24"/>
        </w:rPr>
      </w:pPr>
      <w:r w:rsidRPr="004E5D83">
        <w:rPr>
          <w:rFonts w:ascii="Arial" w:hAnsi="Arial" w:cs="Arial"/>
          <w:sz w:val="24"/>
        </w:rPr>
        <w:t>第三层</w:t>
      </w:r>
      <w:r w:rsidRPr="004E5D83">
        <w:rPr>
          <w:rFonts w:ascii="Arial" w:hAnsi="Arial" w:cs="Arial" w:hint="eastAsia"/>
          <w:sz w:val="24"/>
        </w:rPr>
        <w:t>次</w:t>
      </w:r>
      <w:r w:rsidRPr="004E5D83">
        <w:rPr>
          <w:rFonts w:ascii="Arial" w:hAnsi="Arial" w:cs="Arial"/>
          <w:sz w:val="24"/>
        </w:rPr>
        <w:t>公允价值</w:t>
      </w:r>
      <w:r w:rsidRPr="004E5D83">
        <w:rPr>
          <w:rFonts w:ascii="Arial" w:hAnsi="Arial" w:cs="Arial" w:hint="eastAsia"/>
          <w:sz w:val="24"/>
        </w:rPr>
        <w:t>余</w:t>
      </w:r>
      <w:r w:rsidRPr="004E5D83">
        <w:rPr>
          <w:rFonts w:ascii="Arial" w:hAnsi="Arial" w:cs="Arial"/>
          <w:sz w:val="24"/>
        </w:rPr>
        <w:t>额和本期变动金额</w:t>
      </w:r>
    </w:p>
    <w:p w:rsidR="00D65B54" w:rsidRDefault="00D65B54" w:rsidP="00D65B54">
      <w:pPr>
        <w:rPr>
          <w:rFonts w:ascii="Arial" w:hAnsi="Arial" w:cs="Arial"/>
          <w:sz w:val="24"/>
        </w:rPr>
      </w:pPr>
      <w:r w:rsidRPr="004E5D83">
        <w:rPr>
          <w:rFonts w:ascii="Arial" w:hAnsi="Arial" w:cs="Arial" w:hint="eastAsia"/>
          <w:sz w:val="24"/>
        </w:rPr>
        <w:t>于本期末，本基金持有公允价值归属于第三层次的金融工具的余额为</w:t>
      </w:r>
      <w:r w:rsidRPr="004E5D83">
        <w:rPr>
          <w:rFonts w:ascii="Arial" w:hAnsi="Arial" w:cs="Arial"/>
          <w:sz w:val="24"/>
        </w:rPr>
        <w:t>20,960,000.00</w:t>
      </w:r>
      <w:r w:rsidRPr="004E5D83">
        <w:rPr>
          <w:rFonts w:ascii="Arial" w:hAnsi="Arial" w:cs="Arial" w:hint="eastAsia"/>
          <w:sz w:val="24"/>
        </w:rPr>
        <w:t>元</w:t>
      </w:r>
      <w:r w:rsidRPr="004E5D83">
        <w:rPr>
          <w:rFonts w:ascii="Arial" w:hAnsi="Arial" w:cs="Arial" w:hint="eastAsia"/>
          <w:sz w:val="24"/>
        </w:rPr>
        <w:t>(201</w:t>
      </w:r>
      <w:r w:rsidRPr="004E5D83">
        <w:rPr>
          <w:rFonts w:ascii="Arial" w:hAnsi="Arial" w:cs="Arial"/>
          <w:sz w:val="24"/>
        </w:rPr>
        <w:t>5</w:t>
      </w:r>
      <w:r w:rsidRPr="004E5D83">
        <w:rPr>
          <w:rFonts w:ascii="Arial" w:hAnsi="Arial" w:cs="Arial" w:hint="eastAsia"/>
          <w:sz w:val="24"/>
        </w:rPr>
        <w:t>年</w:t>
      </w:r>
      <w:r w:rsidRPr="004E5D83">
        <w:rPr>
          <w:rFonts w:ascii="Arial" w:hAnsi="Arial" w:cs="Arial" w:hint="eastAsia"/>
          <w:sz w:val="24"/>
        </w:rPr>
        <w:t>12</w:t>
      </w:r>
      <w:r w:rsidRPr="004E5D83">
        <w:rPr>
          <w:rFonts w:ascii="Arial" w:hAnsi="Arial" w:cs="Arial" w:hint="eastAsia"/>
          <w:sz w:val="24"/>
        </w:rPr>
        <w:t>月</w:t>
      </w:r>
      <w:r w:rsidRPr="004E5D83">
        <w:rPr>
          <w:rFonts w:ascii="Arial" w:hAnsi="Arial" w:cs="Arial" w:hint="eastAsia"/>
          <w:sz w:val="24"/>
        </w:rPr>
        <w:t>31</w:t>
      </w:r>
      <w:r w:rsidRPr="004E5D83">
        <w:rPr>
          <w:rFonts w:ascii="Arial" w:hAnsi="Arial" w:cs="Arial" w:hint="eastAsia"/>
          <w:sz w:val="24"/>
        </w:rPr>
        <w:t>日：无</w:t>
      </w:r>
      <w:r w:rsidRPr="004E5D83">
        <w:rPr>
          <w:rFonts w:ascii="Arial" w:hAnsi="Arial" w:cs="Arial" w:hint="eastAsia"/>
          <w:sz w:val="24"/>
        </w:rPr>
        <w:t>)</w:t>
      </w:r>
      <w:r w:rsidRPr="004E5D83">
        <w:rPr>
          <w:rFonts w:ascii="Arial" w:hAnsi="Arial" w:cs="Arial" w:hint="eastAsia"/>
          <w:sz w:val="24"/>
        </w:rPr>
        <w:t>。本基金本期净转入第三层次的金额为</w:t>
      </w:r>
      <w:r w:rsidRPr="004E5D83">
        <w:rPr>
          <w:rFonts w:ascii="Arial" w:hAnsi="Arial" w:cs="Arial"/>
          <w:sz w:val="24"/>
        </w:rPr>
        <w:t>20,960,000.00</w:t>
      </w:r>
      <w:r w:rsidRPr="004E5D83">
        <w:rPr>
          <w:rFonts w:ascii="Arial" w:hAnsi="Arial" w:cs="Arial" w:hint="eastAsia"/>
          <w:sz w:val="24"/>
        </w:rPr>
        <w:t>元，计入损益的第三层次金融工具公允价值变动为</w:t>
      </w:r>
      <w:r w:rsidRPr="004E5D83">
        <w:rPr>
          <w:rFonts w:ascii="Arial" w:hAnsi="Arial" w:cs="Arial"/>
          <w:sz w:val="24"/>
        </w:rPr>
        <w:t>-29,015,000.00</w:t>
      </w:r>
      <w:r w:rsidRPr="004E5D83">
        <w:rPr>
          <w:rFonts w:ascii="Arial" w:hAnsi="Arial" w:cs="Arial" w:hint="eastAsia"/>
          <w:sz w:val="24"/>
        </w:rPr>
        <w:t>元</w:t>
      </w:r>
      <w:r w:rsidRPr="004E5D83">
        <w:rPr>
          <w:rFonts w:ascii="Arial" w:hAnsi="Arial" w:cs="Arial" w:hint="eastAsia"/>
          <w:sz w:val="24"/>
        </w:rPr>
        <w:t>(2015</w:t>
      </w:r>
      <w:r w:rsidRPr="004E5D83">
        <w:rPr>
          <w:rFonts w:ascii="Arial" w:hAnsi="Arial" w:cs="Arial" w:hint="eastAsia"/>
          <w:sz w:val="24"/>
        </w:rPr>
        <w:t>年</w:t>
      </w:r>
      <w:r w:rsidRPr="004E5D83">
        <w:rPr>
          <w:rFonts w:ascii="Arial" w:hAnsi="Arial" w:cs="Arial" w:hint="eastAsia"/>
          <w:sz w:val="24"/>
        </w:rPr>
        <w:t>12</w:t>
      </w:r>
      <w:r w:rsidRPr="004E5D83">
        <w:rPr>
          <w:rFonts w:ascii="Arial" w:hAnsi="Arial" w:cs="Arial" w:hint="eastAsia"/>
          <w:sz w:val="24"/>
        </w:rPr>
        <w:t>月</w:t>
      </w:r>
      <w:r w:rsidRPr="004E5D83">
        <w:rPr>
          <w:rFonts w:ascii="Arial" w:hAnsi="Arial" w:cs="Arial" w:hint="eastAsia"/>
          <w:sz w:val="24"/>
        </w:rPr>
        <w:t>29</w:t>
      </w:r>
      <w:r w:rsidRPr="004E5D83">
        <w:rPr>
          <w:rFonts w:ascii="Arial" w:hAnsi="Arial" w:cs="Arial" w:hint="eastAsia"/>
          <w:sz w:val="24"/>
        </w:rPr>
        <w:t>日</w:t>
      </w:r>
      <w:r w:rsidRPr="004E5D83">
        <w:rPr>
          <w:rFonts w:ascii="Arial" w:hAnsi="Arial" w:cs="Arial" w:hint="eastAsia"/>
          <w:sz w:val="24"/>
        </w:rPr>
        <w:t>(</w:t>
      </w:r>
      <w:r w:rsidRPr="004E5D83">
        <w:rPr>
          <w:rFonts w:ascii="Arial" w:hAnsi="Arial" w:cs="Arial" w:hint="eastAsia"/>
          <w:sz w:val="24"/>
        </w:rPr>
        <w:t>基金合同生效日</w:t>
      </w:r>
      <w:r w:rsidRPr="004E5D83">
        <w:rPr>
          <w:rFonts w:ascii="Arial" w:hAnsi="Arial" w:cs="Arial" w:hint="eastAsia"/>
          <w:sz w:val="24"/>
        </w:rPr>
        <w:t>)</w:t>
      </w:r>
      <w:r w:rsidRPr="004E5D83">
        <w:rPr>
          <w:rFonts w:ascii="Arial" w:hAnsi="Arial" w:cs="Arial" w:hint="eastAsia"/>
          <w:sz w:val="24"/>
        </w:rPr>
        <w:t>至</w:t>
      </w:r>
      <w:r w:rsidRPr="004E5D83">
        <w:rPr>
          <w:rFonts w:ascii="Arial" w:hAnsi="Arial" w:cs="Arial" w:hint="eastAsia"/>
          <w:sz w:val="24"/>
        </w:rPr>
        <w:t>201</w:t>
      </w:r>
      <w:r w:rsidRPr="004E5D83">
        <w:rPr>
          <w:rFonts w:ascii="Arial" w:hAnsi="Arial" w:cs="Arial"/>
          <w:sz w:val="24"/>
        </w:rPr>
        <w:t>5</w:t>
      </w:r>
      <w:r w:rsidRPr="004E5D83">
        <w:rPr>
          <w:rFonts w:ascii="Arial" w:hAnsi="Arial" w:cs="Arial" w:hint="eastAsia"/>
          <w:sz w:val="24"/>
        </w:rPr>
        <w:t>年</w:t>
      </w:r>
      <w:r w:rsidRPr="004E5D83">
        <w:rPr>
          <w:rFonts w:ascii="Arial" w:hAnsi="Arial" w:cs="Arial" w:hint="eastAsia"/>
          <w:sz w:val="24"/>
        </w:rPr>
        <w:t>12</w:t>
      </w:r>
      <w:r w:rsidRPr="004E5D83">
        <w:rPr>
          <w:rFonts w:ascii="Arial" w:hAnsi="Arial" w:cs="Arial" w:hint="eastAsia"/>
          <w:sz w:val="24"/>
        </w:rPr>
        <w:t>月</w:t>
      </w:r>
      <w:r w:rsidRPr="004E5D83">
        <w:rPr>
          <w:rFonts w:ascii="Arial" w:hAnsi="Arial" w:cs="Arial" w:hint="eastAsia"/>
          <w:sz w:val="24"/>
        </w:rPr>
        <w:t>31</w:t>
      </w:r>
      <w:r w:rsidRPr="004E5D83">
        <w:rPr>
          <w:rFonts w:ascii="Arial" w:hAnsi="Arial" w:cs="Arial" w:hint="eastAsia"/>
          <w:sz w:val="24"/>
        </w:rPr>
        <w:t>日：无</w:t>
      </w:r>
      <w:r w:rsidRPr="004E5D83">
        <w:rPr>
          <w:rFonts w:ascii="Arial" w:hAnsi="Arial" w:cs="Arial" w:hint="eastAsia"/>
          <w:sz w:val="24"/>
        </w:rPr>
        <w:t>)</w:t>
      </w:r>
      <w:r w:rsidRPr="004E5D83">
        <w:rPr>
          <w:rFonts w:ascii="Arial" w:hAnsi="Arial" w:cs="Arial" w:hint="eastAsia"/>
          <w:sz w:val="24"/>
        </w:rPr>
        <w:t>。</w:t>
      </w:r>
    </w:p>
    <w:p w:rsidR="00D65B54" w:rsidRDefault="00D65B54" w:rsidP="00D65B54">
      <w:pPr>
        <w:rPr>
          <w:rFonts w:ascii="Arial" w:hAnsi="Arial" w:cs="Arial"/>
          <w:sz w:val="24"/>
        </w:rPr>
      </w:pPr>
    </w:p>
    <w:p w:rsidR="00D65B54" w:rsidRPr="004E5D83" w:rsidRDefault="00D65B54" w:rsidP="00D65B54">
      <w:pPr>
        <w:rPr>
          <w:rFonts w:ascii="Arial" w:hAnsi="Arial" w:cs="Arial"/>
          <w:bCs/>
          <w:sz w:val="24"/>
        </w:rPr>
      </w:pPr>
      <w:r w:rsidRPr="004E5D83">
        <w:rPr>
          <w:rFonts w:ascii="Arial" w:hAnsi="Arial" w:hint="eastAsia"/>
          <w:sz w:val="24"/>
        </w:rPr>
        <w:t>上述第三层次资产变动如下：</w:t>
      </w:r>
    </w:p>
    <w:p w:rsidR="00D65B54" w:rsidRPr="004E5D83" w:rsidRDefault="00D65B54" w:rsidP="00D65B54">
      <w:pPr>
        <w:pStyle w:val="af8"/>
        <w:autoSpaceDE w:val="0"/>
        <w:autoSpaceDN w:val="0"/>
        <w:adjustRightInd w:val="0"/>
        <w:ind w:left="1080"/>
        <w:rPr>
          <w:rFonts w:ascii="Arial" w:hAnsi="Arial" w:cs="Arial"/>
          <w:bCs/>
          <w:sz w:val="24"/>
          <w:szCs w:val="24"/>
        </w:rPr>
      </w:pPr>
    </w:p>
    <w:tbl>
      <w:tblPr>
        <w:tblW w:w="8394" w:type="dxa"/>
        <w:tblLayout w:type="fixed"/>
        <w:tblCellMar>
          <w:left w:w="57" w:type="dxa"/>
          <w:right w:w="57" w:type="dxa"/>
        </w:tblCellMar>
        <w:tblLook w:val="0000" w:firstRow="0" w:lastRow="0" w:firstColumn="0" w:lastColumn="0" w:noHBand="0" w:noVBand="0"/>
      </w:tblPr>
      <w:tblGrid>
        <w:gridCol w:w="2798"/>
        <w:gridCol w:w="3581"/>
        <w:gridCol w:w="134"/>
        <w:gridCol w:w="150"/>
        <w:gridCol w:w="1731"/>
      </w:tblGrid>
      <w:tr w:rsidR="00D65B54" w:rsidRPr="004E5D83" w:rsidTr="00190A28">
        <w:trPr>
          <w:cantSplit/>
          <w:trHeight w:val="74"/>
        </w:trPr>
        <w:tc>
          <w:tcPr>
            <w:tcW w:w="6379" w:type="dxa"/>
            <w:gridSpan w:val="2"/>
            <w:shd w:val="clear" w:color="auto" w:fill="auto"/>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134"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ind w:left="-156"/>
              <w:rPr>
                <w:rFonts w:ascii="Arial" w:hAnsi="Arial"/>
                <w:sz w:val="22"/>
                <w:szCs w:val="22"/>
              </w:rPr>
            </w:pPr>
          </w:p>
        </w:tc>
        <w:tc>
          <w:tcPr>
            <w:tcW w:w="1881" w:type="dxa"/>
            <w:gridSpan w:val="2"/>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hint="eastAsia"/>
                <w:sz w:val="22"/>
                <w:szCs w:val="22"/>
              </w:rPr>
              <w:t>交易性金融资产</w:t>
            </w:r>
          </w:p>
        </w:tc>
      </w:tr>
      <w:tr w:rsidR="00D65B54" w:rsidRPr="004E5D83" w:rsidTr="00190A28">
        <w:trPr>
          <w:cantSplit/>
          <w:trHeight w:val="67"/>
        </w:trPr>
        <w:tc>
          <w:tcPr>
            <w:tcW w:w="6379" w:type="dxa"/>
            <w:gridSpan w:val="2"/>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173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r>
              <w:rPr>
                <w:rFonts w:ascii="Arial" w:hAnsi="Arial" w:hint="eastAsia"/>
                <w:sz w:val="22"/>
                <w:szCs w:val="22"/>
              </w:rPr>
              <w:t>——</w:t>
            </w:r>
            <w:r w:rsidRPr="004E5D83">
              <w:rPr>
                <w:rFonts w:ascii="Arial" w:hAnsi="Arial" w:hint="eastAsia"/>
                <w:sz w:val="22"/>
                <w:szCs w:val="22"/>
              </w:rPr>
              <w:t>债券投资</w:t>
            </w:r>
          </w:p>
        </w:tc>
      </w:tr>
      <w:tr w:rsidR="00D65B54" w:rsidRPr="004E5D83" w:rsidTr="00190A28">
        <w:trPr>
          <w:cantSplit/>
          <w:trHeight w:val="67"/>
        </w:trPr>
        <w:tc>
          <w:tcPr>
            <w:tcW w:w="6379" w:type="dxa"/>
            <w:gridSpan w:val="2"/>
            <w:shd w:val="clear" w:color="auto" w:fill="auto"/>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173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r>
      <w:tr w:rsidR="00D65B54" w:rsidRPr="004E5D83" w:rsidTr="00190A28">
        <w:trPr>
          <w:cantSplit/>
          <w:trHeight w:val="67"/>
        </w:trPr>
        <w:tc>
          <w:tcPr>
            <w:tcW w:w="2798" w:type="dxa"/>
            <w:shd w:val="clear" w:color="auto" w:fill="auto"/>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cs="Arial"/>
                <w:sz w:val="22"/>
                <w:szCs w:val="22"/>
              </w:rPr>
              <w:t>2016</w:t>
            </w:r>
            <w:r w:rsidRPr="004E5D83">
              <w:rPr>
                <w:rFonts w:ascii="Arial" w:hAnsi="Arial" w:hint="eastAsia"/>
                <w:sz w:val="22"/>
                <w:szCs w:val="22"/>
              </w:rPr>
              <w:t>年</w:t>
            </w:r>
            <w:r w:rsidRPr="004E5D83">
              <w:rPr>
                <w:rFonts w:ascii="Arial" w:hAnsi="Arial"/>
                <w:sz w:val="22"/>
                <w:szCs w:val="22"/>
              </w:rPr>
              <w:t>1</w:t>
            </w:r>
            <w:r w:rsidRPr="004E5D83">
              <w:rPr>
                <w:rFonts w:ascii="Arial" w:hAnsi="Arial" w:hint="eastAsia"/>
                <w:sz w:val="22"/>
                <w:szCs w:val="22"/>
              </w:rPr>
              <w:t>月</w:t>
            </w:r>
            <w:r w:rsidRPr="004E5D83">
              <w:rPr>
                <w:rFonts w:ascii="Arial" w:hAnsi="Arial"/>
                <w:sz w:val="22"/>
                <w:szCs w:val="22"/>
              </w:rPr>
              <w:t>1</w:t>
            </w:r>
            <w:r w:rsidRPr="004E5D83">
              <w:rPr>
                <w:rFonts w:ascii="Arial" w:hAnsi="Arial" w:hint="eastAsia"/>
                <w:sz w:val="22"/>
                <w:szCs w:val="22"/>
              </w:rPr>
              <w:t>日</w:t>
            </w:r>
          </w:p>
        </w:tc>
        <w:tc>
          <w:tcPr>
            <w:tcW w:w="358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w:t>
            </w:r>
          </w:p>
        </w:tc>
      </w:tr>
      <w:tr w:rsidR="00D65B54" w:rsidRPr="004E5D83" w:rsidTr="00190A28">
        <w:trPr>
          <w:cantSplit/>
          <w:trHeight w:val="67"/>
        </w:trPr>
        <w:tc>
          <w:tcPr>
            <w:tcW w:w="2798" w:type="dxa"/>
            <w:shd w:val="clear" w:color="auto" w:fill="FFFFFF"/>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hint="eastAsia"/>
                <w:sz w:val="22"/>
                <w:szCs w:val="22"/>
              </w:rPr>
              <w:t>转入第三层级</w:t>
            </w:r>
          </w:p>
        </w:tc>
        <w:tc>
          <w:tcPr>
            <w:tcW w:w="358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20,960,000.00</w:t>
            </w:r>
          </w:p>
        </w:tc>
      </w:tr>
      <w:tr w:rsidR="00D65B54" w:rsidRPr="004E5D83" w:rsidTr="00190A28">
        <w:trPr>
          <w:cantSplit/>
          <w:trHeight w:val="67"/>
        </w:trPr>
        <w:tc>
          <w:tcPr>
            <w:tcW w:w="2798" w:type="dxa"/>
            <w:shd w:val="clear" w:color="auto" w:fill="FFFFFF"/>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hint="eastAsia"/>
                <w:sz w:val="22"/>
                <w:szCs w:val="22"/>
              </w:rPr>
              <w:t>转出第三层级</w:t>
            </w:r>
          </w:p>
        </w:tc>
        <w:tc>
          <w:tcPr>
            <w:tcW w:w="358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w:t>
            </w:r>
          </w:p>
        </w:tc>
      </w:tr>
      <w:tr w:rsidR="00D65B54" w:rsidRPr="004E5D83" w:rsidTr="00190A28">
        <w:trPr>
          <w:cantSplit/>
          <w:trHeight w:val="67"/>
        </w:trPr>
        <w:tc>
          <w:tcPr>
            <w:tcW w:w="2798" w:type="dxa"/>
            <w:shd w:val="clear" w:color="auto" w:fill="FFFFFF"/>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hint="eastAsia"/>
                <w:sz w:val="22"/>
                <w:szCs w:val="22"/>
              </w:rPr>
              <w:t>计入损益的利得或损失</w:t>
            </w:r>
          </w:p>
        </w:tc>
        <w:tc>
          <w:tcPr>
            <w:tcW w:w="358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bottom w:val="single" w:sz="4" w:space="0" w:color="auto"/>
            </w:tcBorders>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tcBorders>
              <w:bottom w:val="single" w:sz="4" w:space="0" w:color="auto"/>
            </w:tcBorders>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w:t>
            </w:r>
          </w:p>
        </w:tc>
      </w:tr>
      <w:tr w:rsidR="00D65B54" w:rsidRPr="004E5D83" w:rsidTr="00190A28">
        <w:trPr>
          <w:cantSplit/>
          <w:trHeight w:val="67"/>
        </w:trPr>
        <w:tc>
          <w:tcPr>
            <w:tcW w:w="2798" w:type="dxa"/>
            <w:shd w:val="clear" w:color="auto" w:fill="auto"/>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cs="Arial"/>
                <w:sz w:val="22"/>
                <w:szCs w:val="22"/>
              </w:rPr>
              <w:t>2016</w:t>
            </w:r>
            <w:r w:rsidRPr="004E5D83">
              <w:rPr>
                <w:rFonts w:ascii="Arial" w:hAnsi="Arial" w:hint="eastAsia"/>
                <w:sz w:val="22"/>
                <w:szCs w:val="22"/>
              </w:rPr>
              <w:t>年</w:t>
            </w:r>
            <w:r w:rsidRPr="004E5D83">
              <w:rPr>
                <w:rFonts w:ascii="Arial" w:hAnsi="Arial"/>
                <w:sz w:val="22"/>
                <w:szCs w:val="22"/>
              </w:rPr>
              <w:t>12</w:t>
            </w:r>
            <w:r w:rsidRPr="004E5D83">
              <w:rPr>
                <w:rFonts w:ascii="Arial" w:hAnsi="Arial" w:hint="eastAsia"/>
                <w:sz w:val="22"/>
                <w:szCs w:val="22"/>
              </w:rPr>
              <w:t>月</w:t>
            </w:r>
            <w:r w:rsidRPr="004E5D83">
              <w:rPr>
                <w:rFonts w:ascii="Arial" w:hAnsi="Arial"/>
                <w:sz w:val="22"/>
                <w:szCs w:val="22"/>
              </w:rPr>
              <w:t>31</w:t>
            </w:r>
            <w:r w:rsidRPr="004E5D83">
              <w:rPr>
                <w:rFonts w:ascii="Arial" w:hAnsi="Arial" w:hint="eastAsia"/>
                <w:sz w:val="22"/>
                <w:szCs w:val="22"/>
              </w:rPr>
              <w:t>日</w:t>
            </w:r>
          </w:p>
        </w:tc>
        <w:tc>
          <w:tcPr>
            <w:tcW w:w="358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top w:val="single" w:sz="4" w:space="0" w:color="auto"/>
              <w:bottom w:val="single" w:sz="12" w:space="0" w:color="auto"/>
            </w:tcBorders>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tcBorders>
              <w:top w:val="single" w:sz="4" w:space="0" w:color="auto"/>
              <w:bottom w:val="single" w:sz="12" w:space="0" w:color="auto"/>
            </w:tcBorders>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20,960,000.00</w:t>
            </w:r>
          </w:p>
        </w:tc>
      </w:tr>
      <w:tr w:rsidR="00D65B54" w:rsidRPr="004E5D83" w:rsidTr="00190A28">
        <w:trPr>
          <w:cantSplit/>
          <w:trHeight w:val="67"/>
        </w:trPr>
        <w:tc>
          <w:tcPr>
            <w:tcW w:w="2798" w:type="dxa"/>
            <w:shd w:val="clear" w:color="auto" w:fill="auto"/>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358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top w:val="single" w:sz="12" w:space="0" w:color="auto"/>
            </w:tcBorders>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vMerge w:val="restart"/>
            <w:tcBorders>
              <w:top w:val="single" w:sz="12" w:space="0" w:color="auto"/>
            </w:tcBorders>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jc w:val="right"/>
              <w:rPr>
                <w:rFonts w:ascii="Arial" w:hAnsi="Arial"/>
                <w:sz w:val="22"/>
                <w:szCs w:val="22"/>
              </w:rPr>
            </w:pPr>
            <w:r w:rsidRPr="004E5D83">
              <w:rPr>
                <w:rFonts w:ascii="Arial" w:hAnsi="Arial"/>
                <w:sz w:val="22"/>
                <w:szCs w:val="22"/>
              </w:rPr>
              <w:t>-29,015,000.00</w:t>
            </w:r>
          </w:p>
        </w:tc>
      </w:tr>
      <w:tr w:rsidR="00D65B54" w:rsidRPr="004E5D83" w:rsidTr="00190A28">
        <w:trPr>
          <w:cantSplit/>
          <w:trHeight w:val="67"/>
        </w:trPr>
        <w:tc>
          <w:tcPr>
            <w:tcW w:w="2798" w:type="dxa"/>
            <w:shd w:val="clear" w:color="auto" w:fill="auto"/>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cs="Arial"/>
                <w:sz w:val="22"/>
                <w:szCs w:val="22"/>
              </w:rPr>
              <w:t>2016</w:t>
            </w:r>
            <w:r w:rsidRPr="004E5D83">
              <w:rPr>
                <w:rFonts w:ascii="Arial" w:hAnsi="Arial" w:hint="eastAsia"/>
                <w:sz w:val="22"/>
                <w:szCs w:val="22"/>
              </w:rPr>
              <w:t>年</w:t>
            </w:r>
            <w:r w:rsidRPr="004E5D83">
              <w:rPr>
                <w:rFonts w:ascii="Arial" w:hAnsi="Arial"/>
                <w:sz w:val="22"/>
                <w:szCs w:val="22"/>
              </w:rPr>
              <w:t>12</w:t>
            </w:r>
            <w:r w:rsidRPr="004E5D83">
              <w:rPr>
                <w:rFonts w:ascii="Arial" w:hAnsi="Arial" w:hint="eastAsia"/>
                <w:sz w:val="22"/>
                <w:szCs w:val="22"/>
              </w:rPr>
              <w:t>月</w:t>
            </w:r>
            <w:r w:rsidRPr="004E5D83">
              <w:rPr>
                <w:rFonts w:ascii="Arial" w:hAnsi="Arial"/>
                <w:sz w:val="22"/>
                <w:szCs w:val="22"/>
              </w:rPr>
              <w:t>31</w:t>
            </w:r>
            <w:r w:rsidRPr="004E5D83">
              <w:rPr>
                <w:rFonts w:ascii="Arial" w:hAnsi="Arial" w:hint="eastAsia"/>
                <w:sz w:val="22"/>
                <w:szCs w:val="22"/>
              </w:rPr>
              <w:t>日扔持有的资产计入</w:t>
            </w:r>
            <w:r w:rsidRPr="004E5D83">
              <w:rPr>
                <w:rFonts w:ascii="Arial" w:hAnsi="Arial" w:cs="Arial"/>
                <w:sz w:val="22"/>
                <w:szCs w:val="22"/>
              </w:rPr>
              <w:t>2016</w:t>
            </w:r>
            <w:r w:rsidRPr="004E5D83">
              <w:rPr>
                <w:rFonts w:ascii="Arial" w:hAnsi="Arial" w:hint="eastAsia"/>
                <w:sz w:val="22"/>
                <w:szCs w:val="22"/>
              </w:rPr>
              <w:t>年度损益的未实现利得或损失的变动</w:t>
            </w:r>
          </w:p>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r w:rsidRPr="004E5D83">
              <w:rPr>
                <w:rFonts w:ascii="Arial" w:hAnsi="Arial" w:hint="eastAsia"/>
                <w:sz w:val="22"/>
                <w:szCs w:val="22"/>
              </w:rPr>
              <w:t>——公允价值变动损益</w:t>
            </w:r>
          </w:p>
        </w:tc>
        <w:tc>
          <w:tcPr>
            <w:tcW w:w="3581" w:type="dxa"/>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bottom w:val="single" w:sz="12" w:space="0" w:color="auto"/>
            </w:tcBorders>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c>
          <w:tcPr>
            <w:tcW w:w="1731" w:type="dxa"/>
            <w:vMerge/>
            <w:tcBorders>
              <w:bottom w:val="single" w:sz="12" w:space="0" w:color="auto"/>
            </w:tcBorders>
            <w:shd w:val="clear" w:color="auto" w:fill="auto"/>
            <w:vAlign w:val="bottom"/>
          </w:tcPr>
          <w:p w:rsidR="00D65B54" w:rsidRPr="004E5D83" w:rsidRDefault="00D65B54" w:rsidP="00190A28">
            <w:pPr>
              <w:tabs>
                <w:tab w:val="right" w:pos="2160"/>
                <w:tab w:val="right" w:pos="3060"/>
                <w:tab w:val="right" w:pos="4320"/>
                <w:tab w:val="right" w:pos="5670"/>
                <w:tab w:val="right" w:pos="6570"/>
                <w:tab w:val="right" w:pos="7805"/>
              </w:tabs>
              <w:rPr>
                <w:rFonts w:ascii="Arial" w:hAnsi="Arial"/>
                <w:sz w:val="22"/>
                <w:szCs w:val="22"/>
              </w:rPr>
            </w:pPr>
          </w:p>
        </w:tc>
      </w:tr>
    </w:tbl>
    <w:p w:rsidR="00D65B54" w:rsidRPr="004E5D83" w:rsidRDefault="00D65B54" w:rsidP="00D65B54">
      <w:pPr>
        <w:autoSpaceDE w:val="0"/>
        <w:autoSpaceDN w:val="0"/>
        <w:adjustRightInd w:val="0"/>
        <w:ind w:left="360"/>
        <w:rPr>
          <w:rFonts w:ascii="Arial" w:hAnsi="Arial" w:cs="Arial"/>
          <w:bCs/>
          <w:sz w:val="22"/>
          <w:szCs w:val="22"/>
        </w:rPr>
      </w:pPr>
    </w:p>
    <w:p w:rsidR="00D65B54" w:rsidRPr="004E5D83" w:rsidRDefault="00D65B54" w:rsidP="00D65B54">
      <w:pPr>
        <w:autoSpaceDE w:val="0"/>
        <w:autoSpaceDN w:val="0"/>
        <w:adjustRightInd w:val="0"/>
        <w:rPr>
          <w:rFonts w:ascii="Arial" w:hAnsi="Arial"/>
          <w:sz w:val="24"/>
        </w:rPr>
      </w:pPr>
      <w:r w:rsidRPr="004E5D83">
        <w:rPr>
          <w:rFonts w:ascii="Arial" w:hAnsi="Arial" w:hint="eastAsia"/>
          <w:sz w:val="24"/>
        </w:rPr>
        <w:t>计入损益的利得或损失分别计入利润表中的公允价值变动损益等项目。</w:t>
      </w:r>
    </w:p>
    <w:p w:rsidR="00D65B54" w:rsidRPr="004E5D83" w:rsidRDefault="00D65B54" w:rsidP="00D65B54">
      <w:pPr>
        <w:autoSpaceDE w:val="0"/>
        <w:autoSpaceDN w:val="0"/>
        <w:adjustRightInd w:val="0"/>
        <w:rPr>
          <w:rFonts w:ascii="Arial" w:hAnsi="Arial"/>
          <w:sz w:val="24"/>
        </w:rPr>
      </w:pPr>
    </w:p>
    <w:p w:rsidR="00D65B54" w:rsidRPr="004E5D83" w:rsidRDefault="00D65B54" w:rsidP="00D65B54">
      <w:pPr>
        <w:autoSpaceDE w:val="0"/>
        <w:autoSpaceDN w:val="0"/>
        <w:adjustRightInd w:val="0"/>
        <w:rPr>
          <w:rFonts w:ascii="Arial" w:hAnsi="Arial"/>
          <w:sz w:val="24"/>
        </w:rPr>
      </w:pPr>
      <w:r w:rsidRPr="004E5D83">
        <w:rPr>
          <w:rFonts w:ascii="Arial" w:hAnsi="Arial" w:hint="eastAsia"/>
          <w:sz w:val="24"/>
        </w:rPr>
        <w:t>由于相关债券投资的信用风险是不可观察输入值，故分类为第三层级。如果相关债券的预计信用损失率变动，将导致公允价值的负相关变动。</w:t>
      </w:r>
    </w:p>
    <w:p w:rsidR="00D65B54" w:rsidRPr="004E5D83" w:rsidRDefault="00D65B54" w:rsidP="00D65B54">
      <w:pPr>
        <w:autoSpaceDE w:val="0"/>
        <w:autoSpaceDN w:val="0"/>
        <w:adjustRightInd w:val="0"/>
        <w:rPr>
          <w:rFonts w:ascii="Arial" w:hAnsi="Arial"/>
          <w:sz w:val="24"/>
        </w:rPr>
      </w:pPr>
    </w:p>
    <w:p w:rsidR="00D65B54" w:rsidRPr="004E5D83" w:rsidRDefault="00D65B54" w:rsidP="00D65B54">
      <w:pPr>
        <w:widowControl/>
        <w:numPr>
          <w:ilvl w:val="0"/>
          <w:numId w:val="17"/>
        </w:numPr>
        <w:ind w:hanging="720"/>
        <w:jc w:val="left"/>
        <w:outlineLvl w:val="3"/>
        <w:rPr>
          <w:rFonts w:ascii="Arial" w:hAnsi="Arial" w:cs="Arial"/>
          <w:sz w:val="24"/>
        </w:rPr>
      </w:pPr>
      <w:r w:rsidRPr="004E5D83">
        <w:rPr>
          <w:rFonts w:ascii="Arial" w:hAnsi="Arial" w:cs="Arial" w:hint="eastAsia"/>
          <w:sz w:val="24"/>
        </w:rPr>
        <w:t>非持续的</w:t>
      </w:r>
      <w:r w:rsidRPr="004E5D83">
        <w:rPr>
          <w:rFonts w:ascii="Arial" w:hAnsi="Arial" w:cs="Arial"/>
          <w:sz w:val="24"/>
        </w:rPr>
        <w:t>以公允价值计量的金融工具</w:t>
      </w:r>
    </w:p>
    <w:p w:rsidR="00D65B54" w:rsidRPr="004E5D83" w:rsidRDefault="00D65B54" w:rsidP="00D65B54">
      <w:pPr>
        <w:outlineLvl w:val="3"/>
        <w:rPr>
          <w:rFonts w:ascii="Arial" w:hAnsi="Arial" w:cs="Arial"/>
          <w:sz w:val="24"/>
        </w:rPr>
      </w:pPr>
      <w:r w:rsidRPr="004E5D83">
        <w:rPr>
          <w:rFonts w:ascii="Arial" w:hAnsi="Arial" w:cs="Arial" w:hint="eastAsia"/>
          <w:sz w:val="24"/>
        </w:rPr>
        <w:t>于</w:t>
      </w:r>
      <w:r w:rsidRPr="004E5D83">
        <w:rPr>
          <w:rFonts w:ascii="Arial" w:hAnsi="Arial" w:cs="Arial" w:hint="eastAsia"/>
          <w:sz w:val="24"/>
        </w:rPr>
        <w:t>201</w:t>
      </w:r>
      <w:r w:rsidRPr="004E5D83">
        <w:rPr>
          <w:rFonts w:ascii="Arial" w:hAnsi="Arial" w:cs="Arial"/>
          <w:sz w:val="24"/>
        </w:rPr>
        <w:t>6</w:t>
      </w:r>
      <w:r w:rsidRPr="004E5D83">
        <w:rPr>
          <w:rFonts w:ascii="Arial" w:hAnsi="Arial" w:cs="Arial" w:hint="eastAsia"/>
          <w:sz w:val="24"/>
        </w:rPr>
        <w:t>年</w:t>
      </w:r>
      <w:r w:rsidRPr="004E5D83">
        <w:rPr>
          <w:rFonts w:ascii="Arial" w:hAnsi="Arial" w:cs="Arial" w:hint="eastAsia"/>
          <w:sz w:val="24"/>
        </w:rPr>
        <w:t>12</w:t>
      </w:r>
      <w:r w:rsidRPr="004E5D83">
        <w:rPr>
          <w:rFonts w:ascii="Arial" w:hAnsi="Arial" w:cs="Arial" w:hint="eastAsia"/>
          <w:sz w:val="24"/>
        </w:rPr>
        <w:t>月</w:t>
      </w:r>
      <w:r w:rsidRPr="004E5D83">
        <w:rPr>
          <w:rFonts w:ascii="Arial" w:hAnsi="Arial" w:cs="Arial" w:hint="eastAsia"/>
          <w:sz w:val="24"/>
        </w:rPr>
        <w:t>31</w:t>
      </w:r>
      <w:r w:rsidRPr="004E5D83">
        <w:rPr>
          <w:rFonts w:ascii="Arial" w:hAnsi="Arial" w:cs="Arial" w:hint="eastAsia"/>
          <w:sz w:val="24"/>
        </w:rPr>
        <w:t>日，本基金未持有非持续的以公允价值计量的金融资产</w:t>
      </w:r>
      <w:r w:rsidRPr="004E5D83">
        <w:rPr>
          <w:rFonts w:ascii="Arial" w:hAnsi="Arial" w:cs="Arial" w:hint="eastAsia"/>
          <w:sz w:val="24"/>
        </w:rPr>
        <w:t>(</w:t>
      </w:r>
      <w:r w:rsidRPr="004E5D83">
        <w:rPr>
          <w:rFonts w:ascii="Arial" w:hAnsi="Arial" w:cs="Arial" w:hint="eastAsia"/>
          <w:bCs/>
          <w:sz w:val="24"/>
        </w:rPr>
        <w:t>201</w:t>
      </w:r>
      <w:r w:rsidRPr="004E5D83">
        <w:rPr>
          <w:rFonts w:ascii="Arial" w:hAnsi="Arial" w:cs="Arial"/>
          <w:bCs/>
          <w:sz w:val="24"/>
        </w:rPr>
        <w:t>5</w:t>
      </w:r>
      <w:r w:rsidRPr="004E5D83">
        <w:rPr>
          <w:rFonts w:ascii="Arial" w:hAnsi="Arial" w:cs="Arial" w:hint="eastAsia"/>
          <w:bCs/>
          <w:sz w:val="24"/>
        </w:rPr>
        <w:t>年</w:t>
      </w:r>
      <w:r w:rsidRPr="004E5D83">
        <w:rPr>
          <w:rFonts w:ascii="Arial" w:hAnsi="Arial" w:cs="Arial" w:hint="eastAsia"/>
          <w:bCs/>
          <w:sz w:val="24"/>
        </w:rPr>
        <w:t>12</w:t>
      </w:r>
      <w:r w:rsidRPr="004E5D83">
        <w:rPr>
          <w:rFonts w:ascii="Arial" w:hAnsi="Arial" w:cs="Arial" w:hint="eastAsia"/>
          <w:bCs/>
          <w:sz w:val="24"/>
        </w:rPr>
        <w:t>月</w:t>
      </w:r>
      <w:r w:rsidRPr="004E5D83">
        <w:rPr>
          <w:rFonts w:ascii="Arial" w:hAnsi="Arial" w:cs="Arial" w:hint="eastAsia"/>
          <w:bCs/>
          <w:sz w:val="24"/>
        </w:rPr>
        <w:t>31</w:t>
      </w:r>
      <w:r w:rsidRPr="004E5D83">
        <w:rPr>
          <w:rFonts w:ascii="Arial" w:hAnsi="Arial" w:cs="Arial" w:hint="eastAsia"/>
          <w:bCs/>
          <w:sz w:val="24"/>
        </w:rPr>
        <w:t>日</w:t>
      </w:r>
      <w:r w:rsidRPr="004E5D83">
        <w:rPr>
          <w:rFonts w:ascii="Arial" w:hAnsi="Arial" w:cs="Arial" w:hint="eastAsia"/>
          <w:sz w:val="24"/>
        </w:rPr>
        <w:t>：同</w:t>
      </w:r>
      <w:r w:rsidRPr="004E5D83">
        <w:rPr>
          <w:rFonts w:ascii="Arial" w:hAnsi="Arial" w:cs="Arial" w:hint="eastAsia"/>
          <w:sz w:val="24"/>
        </w:rPr>
        <w:t>)</w:t>
      </w:r>
      <w:r w:rsidRPr="004E5D83">
        <w:rPr>
          <w:rFonts w:ascii="Arial" w:hAnsi="Arial" w:cs="Arial" w:hint="eastAsia"/>
          <w:sz w:val="24"/>
        </w:rPr>
        <w:t>。</w:t>
      </w:r>
    </w:p>
    <w:p w:rsidR="00D65B54" w:rsidRPr="004E5D83" w:rsidRDefault="00D65B54" w:rsidP="00D65B54">
      <w:pPr>
        <w:autoSpaceDE w:val="0"/>
        <w:autoSpaceDN w:val="0"/>
        <w:adjustRightInd w:val="0"/>
        <w:rPr>
          <w:rFonts w:ascii="Arial" w:hAnsi="Arial" w:cs="Arial"/>
          <w:sz w:val="24"/>
        </w:rPr>
      </w:pPr>
    </w:p>
    <w:p w:rsidR="00D65B54" w:rsidRPr="004E5D83" w:rsidRDefault="00D65B54" w:rsidP="00D65B54">
      <w:pPr>
        <w:widowControl/>
        <w:numPr>
          <w:ilvl w:val="0"/>
          <w:numId w:val="17"/>
        </w:numPr>
        <w:ind w:hanging="720"/>
        <w:jc w:val="left"/>
        <w:outlineLvl w:val="3"/>
        <w:rPr>
          <w:rFonts w:ascii="Arial" w:hAnsi="Arial" w:cs="Arial"/>
          <w:sz w:val="24"/>
        </w:rPr>
      </w:pPr>
      <w:r w:rsidRPr="004E5D83">
        <w:rPr>
          <w:rFonts w:ascii="Arial" w:hAnsi="Arial" w:cs="Arial"/>
          <w:sz w:val="24"/>
        </w:rPr>
        <w:t>不以公允价值计量的金融工具</w:t>
      </w:r>
    </w:p>
    <w:p w:rsidR="00D65B54" w:rsidRPr="004E5D83" w:rsidRDefault="00D65B54" w:rsidP="00D65B54">
      <w:pPr>
        <w:autoSpaceDE w:val="0"/>
        <w:autoSpaceDN w:val="0"/>
        <w:adjustRightInd w:val="0"/>
        <w:rPr>
          <w:rFonts w:ascii="Arial" w:hAnsi="Arial" w:cs="Arial"/>
          <w:bCs/>
          <w:sz w:val="24"/>
        </w:rPr>
      </w:pPr>
      <w:r w:rsidRPr="004E5D83">
        <w:rPr>
          <w:rFonts w:ascii="Arial" w:hAnsi="Arial" w:cs="Arial"/>
          <w:bCs/>
          <w:sz w:val="24"/>
        </w:rPr>
        <w:t>不以公允价值计量的金融资产和负债主要包括应收款项和其他金融负债，其账面价值与公允价值相差很小。</w:t>
      </w:r>
    </w:p>
    <w:p w:rsidR="00D65B54" w:rsidRPr="004E5D83" w:rsidRDefault="00D65B54" w:rsidP="00D65B54">
      <w:pPr>
        <w:autoSpaceDE w:val="0"/>
        <w:autoSpaceDN w:val="0"/>
        <w:adjustRightInd w:val="0"/>
        <w:rPr>
          <w:rFonts w:ascii="Arial" w:hAnsi="Arial" w:cs="Arial"/>
          <w:bCs/>
          <w:sz w:val="24"/>
        </w:rPr>
      </w:pPr>
    </w:p>
    <w:p w:rsidR="00D65B54" w:rsidRPr="004E5D83" w:rsidRDefault="00D65B54" w:rsidP="00D65B54">
      <w:pPr>
        <w:outlineLvl w:val="3"/>
        <w:rPr>
          <w:rFonts w:ascii="Arial" w:hAnsi="Arial" w:cs="Arial"/>
          <w:sz w:val="24"/>
        </w:rPr>
      </w:pPr>
      <w:r w:rsidRPr="004E5D83">
        <w:rPr>
          <w:rFonts w:ascii="Arial" w:hAnsi="Arial" w:cs="Arial"/>
          <w:sz w:val="24"/>
        </w:rPr>
        <w:t>(2)</w:t>
      </w:r>
      <w:r w:rsidRPr="004E5D83">
        <w:rPr>
          <w:rFonts w:ascii="Arial" w:hAnsi="Arial" w:cs="Arial"/>
          <w:sz w:val="24"/>
        </w:rPr>
        <w:tab/>
      </w:r>
      <w:r w:rsidRPr="004E5D83">
        <w:rPr>
          <w:rFonts w:ascii="Arial" w:hAnsi="Arial" w:cs="Arial"/>
          <w:sz w:val="24"/>
        </w:rPr>
        <w:t>除公允价值外，截至资产负债表日本基金无需要说明的其他重要事项。</w:t>
      </w:r>
    </w:p>
    <w:p w:rsidR="00CE79A5" w:rsidRPr="00D65B54" w:rsidRDefault="00BA2757" w:rsidP="00D92A8E">
      <w:pPr>
        <w:spacing w:before="29" w:line="288" w:lineRule="auto"/>
        <w:ind w:firstLineChars="200" w:firstLine="480"/>
        <w:rPr>
          <w:color w:val="000000"/>
          <w:sz w:val="24"/>
        </w:rPr>
      </w:pPr>
      <w:r w:rsidDel="00D65B54">
        <w:rPr>
          <w:color w:val="000000"/>
          <w:sz w:val="24"/>
        </w:rPr>
        <w:t xml:space="preserve"> </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1,737,164,624.00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98.25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1,737,164,624.00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98.25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5,869,404.59</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0.33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25,003,839.44</w:t>
            </w:r>
          </w:p>
        </w:tc>
        <w:tc>
          <w:tcPr>
            <w:tcW w:w="1980" w:type="dxa"/>
            <w:vAlign w:val="center"/>
          </w:tcPr>
          <w:p w:rsidR="001E6CEE" w:rsidRPr="000008D1" w:rsidRDefault="001E6CEE" w:rsidP="00026C9C">
            <w:pPr>
              <w:spacing w:line="360" w:lineRule="auto"/>
              <w:jc w:val="right"/>
              <w:rPr>
                <w:sz w:val="24"/>
              </w:rPr>
            </w:pPr>
            <w:r w:rsidRPr="000008D1">
              <w:rPr>
                <w:sz w:val="24"/>
              </w:rPr>
              <w:t>1.41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1,768,037,868.03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CA0AAB" w:rsidRDefault="00CA0AAB" w:rsidP="00E25C2A">
      <w:pPr>
        <w:tabs>
          <w:tab w:val="left" w:pos="426"/>
        </w:tabs>
        <w:spacing w:before="29" w:line="288" w:lineRule="auto"/>
        <w:jc w:val="left"/>
        <w:rPr>
          <w:kern w:val="0"/>
          <w:sz w:val="24"/>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CA0AAB" w:rsidRDefault="00CA0AAB"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CA0AAB" w:rsidRPr="00C51A5D" w:rsidRDefault="00CA0AAB"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326,364,000.00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19.19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326,364,000.00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19.19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250,119,624.00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14.71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380,259,000.00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22.36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482,154,000.00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28.35</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298,268,000.00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17.54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1,737,164,624.00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102.13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B2609">
        <w:tc>
          <w:tcPr>
            <w:tcW w:w="1320" w:type="dxa"/>
            <w:vAlign w:val="center"/>
          </w:tcPr>
          <w:p w:rsidR="000B2609" w:rsidRDefault="001C1241">
            <w:pPr>
              <w:jc w:val="center"/>
            </w:pPr>
            <w:r>
              <w:rPr>
                <w:color w:val="000000"/>
                <w:sz w:val="24"/>
              </w:rPr>
              <w:t>1</w:t>
            </w:r>
          </w:p>
        </w:tc>
        <w:tc>
          <w:tcPr>
            <w:tcW w:w="1382" w:type="dxa"/>
            <w:vAlign w:val="center"/>
          </w:tcPr>
          <w:p w:rsidR="000B2609" w:rsidRDefault="001C1241">
            <w:pPr>
              <w:jc w:val="center"/>
            </w:pPr>
            <w:r>
              <w:rPr>
                <w:color w:val="000000"/>
                <w:sz w:val="24"/>
              </w:rPr>
              <w:t>1628001</w:t>
            </w:r>
          </w:p>
        </w:tc>
        <w:tc>
          <w:tcPr>
            <w:tcW w:w="1353" w:type="dxa"/>
            <w:vAlign w:val="center"/>
          </w:tcPr>
          <w:p w:rsidR="000B2609" w:rsidRDefault="001C1241">
            <w:pPr>
              <w:jc w:val="center"/>
            </w:pPr>
            <w:r>
              <w:rPr>
                <w:color w:val="000000"/>
                <w:sz w:val="24"/>
              </w:rPr>
              <w:t>16</w:t>
            </w:r>
            <w:r>
              <w:rPr>
                <w:color w:val="000000"/>
                <w:sz w:val="24"/>
              </w:rPr>
              <w:t>浦发绿色金融债</w:t>
            </w:r>
            <w:r>
              <w:rPr>
                <w:color w:val="000000"/>
                <w:sz w:val="24"/>
              </w:rPr>
              <w:t>01</w:t>
            </w:r>
          </w:p>
        </w:tc>
        <w:tc>
          <w:tcPr>
            <w:tcW w:w="1505" w:type="dxa"/>
            <w:vAlign w:val="center"/>
          </w:tcPr>
          <w:p w:rsidR="000B2609" w:rsidRDefault="001C1241">
            <w:pPr>
              <w:jc w:val="right"/>
            </w:pPr>
            <w:r>
              <w:rPr>
                <w:color w:val="000000"/>
                <w:sz w:val="24"/>
              </w:rPr>
              <w:t>1,500,000</w:t>
            </w:r>
          </w:p>
        </w:tc>
        <w:tc>
          <w:tcPr>
            <w:tcW w:w="1737" w:type="dxa"/>
            <w:vAlign w:val="center"/>
          </w:tcPr>
          <w:p w:rsidR="000B2609" w:rsidRDefault="001C1241">
            <w:pPr>
              <w:jc w:val="right"/>
            </w:pPr>
            <w:r>
              <w:rPr>
                <w:color w:val="000000"/>
                <w:sz w:val="24"/>
              </w:rPr>
              <w:t>147,735,000.00</w:t>
            </w:r>
          </w:p>
        </w:tc>
        <w:tc>
          <w:tcPr>
            <w:tcW w:w="1701" w:type="dxa"/>
            <w:vAlign w:val="center"/>
          </w:tcPr>
          <w:p w:rsidR="000B2609" w:rsidRDefault="001C1241">
            <w:pPr>
              <w:jc w:val="right"/>
            </w:pPr>
            <w:r>
              <w:rPr>
                <w:color w:val="000000"/>
                <w:sz w:val="24"/>
              </w:rPr>
              <w:t>8.69</w:t>
            </w:r>
          </w:p>
        </w:tc>
      </w:tr>
      <w:tr w:rsidR="000B2609">
        <w:tc>
          <w:tcPr>
            <w:tcW w:w="1320" w:type="dxa"/>
            <w:vAlign w:val="center"/>
          </w:tcPr>
          <w:p w:rsidR="000B2609" w:rsidRDefault="001C1241">
            <w:pPr>
              <w:jc w:val="center"/>
            </w:pPr>
            <w:r>
              <w:rPr>
                <w:color w:val="000000"/>
                <w:sz w:val="24"/>
              </w:rPr>
              <w:t>2</w:t>
            </w:r>
          </w:p>
        </w:tc>
        <w:tc>
          <w:tcPr>
            <w:tcW w:w="1382" w:type="dxa"/>
            <w:vAlign w:val="center"/>
          </w:tcPr>
          <w:p w:rsidR="000B2609" w:rsidRDefault="001C1241">
            <w:pPr>
              <w:jc w:val="center"/>
            </w:pPr>
            <w:r>
              <w:rPr>
                <w:color w:val="000000"/>
                <w:sz w:val="24"/>
              </w:rPr>
              <w:t>150218</w:t>
            </w:r>
          </w:p>
        </w:tc>
        <w:tc>
          <w:tcPr>
            <w:tcW w:w="1353" w:type="dxa"/>
            <w:vAlign w:val="center"/>
          </w:tcPr>
          <w:p w:rsidR="000B2609" w:rsidRDefault="001C1241">
            <w:pPr>
              <w:jc w:val="center"/>
            </w:pPr>
            <w:r>
              <w:rPr>
                <w:color w:val="000000"/>
                <w:sz w:val="24"/>
              </w:rPr>
              <w:t>15</w:t>
            </w:r>
            <w:r>
              <w:rPr>
                <w:color w:val="000000"/>
                <w:sz w:val="24"/>
              </w:rPr>
              <w:t>国开</w:t>
            </w:r>
            <w:r>
              <w:rPr>
                <w:color w:val="000000"/>
                <w:sz w:val="24"/>
              </w:rPr>
              <w:t>18</w:t>
            </w:r>
          </w:p>
        </w:tc>
        <w:tc>
          <w:tcPr>
            <w:tcW w:w="1505" w:type="dxa"/>
            <w:vAlign w:val="center"/>
          </w:tcPr>
          <w:p w:rsidR="000B2609" w:rsidRDefault="001C1241">
            <w:pPr>
              <w:jc w:val="right"/>
            </w:pPr>
            <w:r>
              <w:rPr>
                <w:color w:val="000000"/>
                <w:sz w:val="24"/>
              </w:rPr>
              <w:t>1,200,000</w:t>
            </w:r>
          </w:p>
        </w:tc>
        <w:tc>
          <w:tcPr>
            <w:tcW w:w="1737" w:type="dxa"/>
            <w:vAlign w:val="center"/>
          </w:tcPr>
          <w:p w:rsidR="000B2609" w:rsidRDefault="001C1241">
            <w:pPr>
              <w:jc w:val="right"/>
            </w:pPr>
            <w:r>
              <w:rPr>
                <w:color w:val="000000"/>
                <w:sz w:val="24"/>
              </w:rPr>
              <w:t>119,196,000.00</w:t>
            </w:r>
          </w:p>
        </w:tc>
        <w:tc>
          <w:tcPr>
            <w:tcW w:w="1701" w:type="dxa"/>
            <w:vAlign w:val="center"/>
          </w:tcPr>
          <w:p w:rsidR="000B2609" w:rsidRDefault="001C1241">
            <w:pPr>
              <w:jc w:val="right"/>
            </w:pPr>
            <w:r>
              <w:rPr>
                <w:color w:val="000000"/>
                <w:sz w:val="24"/>
              </w:rPr>
              <w:t>7.01</w:t>
            </w:r>
          </w:p>
        </w:tc>
      </w:tr>
      <w:tr w:rsidR="000B2609">
        <w:tc>
          <w:tcPr>
            <w:tcW w:w="1320" w:type="dxa"/>
            <w:vAlign w:val="center"/>
          </w:tcPr>
          <w:p w:rsidR="000B2609" w:rsidRDefault="001C1241">
            <w:pPr>
              <w:jc w:val="center"/>
            </w:pPr>
            <w:r>
              <w:rPr>
                <w:color w:val="000000"/>
                <w:sz w:val="24"/>
              </w:rPr>
              <w:t>3</w:t>
            </w:r>
          </w:p>
        </w:tc>
        <w:tc>
          <w:tcPr>
            <w:tcW w:w="1382" w:type="dxa"/>
            <w:vAlign w:val="center"/>
          </w:tcPr>
          <w:p w:rsidR="000B2609" w:rsidRDefault="001C1241">
            <w:pPr>
              <w:jc w:val="center"/>
            </w:pPr>
            <w:r>
              <w:rPr>
                <w:color w:val="000000"/>
                <w:sz w:val="24"/>
              </w:rPr>
              <w:t>101556062</w:t>
            </w:r>
          </w:p>
        </w:tc>
        <w:tc>
          <w:tcPr>
            <w:tcW w:w="1353" w:type="dxa"/>
            <w:vAlign w:val="center"/>
          </w:tcPr>
          <w:p w:rsidR="000B2609" w:rsidRDefault="001C1241">
            <w:pPr>
              <w:jc w:val="center"/>
            </w:pPr>
            <w:r>
              <w:rPr>
                <w:color w:val="000000"/>
                <w:sz w:val="24"/>
              </w:rPr>
              <w:t>15</w:t>
            </w:r>
            <w:r>
              <w:rPr>
                <w:color w:val="000000"/>
                <w:sz w:val="24"/>
              </w:rPr>
              <w:t>吉林高速</w:t>
            </w:r>
            <w:r>
              <w:rPr>
                <w:color w:val="000000"/>
                <w:sz w:val="24"/>
              </w:rPr>
              <w:t>MTN001</w:t>
            </w:r>
          </w:p>
        </w:tc>
        <w:tc>
          <w:tcPr>
            <w:tcW w:w="1505" w:type="dxa"/>
            <w:vAlign w:val="center"/>
          </w:tcPr>
          <w:p w:rsidR="000B2609" w:rsidRDefault="001C1241">
            <w:pPr>
              <w:jc w:val="right"/>
            </w:pPr>
            <w:r>
              <w:rPr>
                <w:color w:val="000000"/>
                <w:sz w:val="24"/>
              </w:rPr>
              <w:t>1,000,000</w:t>
            </w:r>
          </w:p>
        </w:tc>
        <w:tc>
          <w:tcPr>
            <w:tcW w:w="1737" w:type="dxa"/>
            <w:vAlign w:val="center"/>
          </w:tcPr>
          <w:p w:rsidR="000B2609" w:rsidRDefault="001C1241">
            <w:pPr>
              <w:jc w:val="right"/>
            </w:pPr>
            <w:r>
              <w:rPr>
                <w:color w:val="000000"/>
                <w:sz w:val="24"/>
              </w:rPr>
              <w:t>96,780,000.00</w:t>
            </w:r>
          </w:p>
        </w:tc>
        <w:tc>
          <w:tcPr>
            <w:tcW w:w="1701" w:type="dxa"/>
            <w:vAlign w:val="center"/>
          </w:tcPr>
          <w:p w:rsidR="000B2609" w:rsidRDefault="001C1241">
            <w:pPr>
              <w:jc w:val="right"/>
            </w:pPr>
            <w:r>
              <w:rPr>
                <w:color w:val="000000"/>
                <w:sz w:val="24"/>
              </w:rPr>
              <w:t>5.69</w:t>
            </w:r>
          </w:p>
        </w:tc>
      </w:tr>
      <w:tr w:rsidR="000B2609">
        <w:tc>
          <w:tcPr>
            <w:tcW w:w="1320" w:type="dxa"/>
            <w:vAlign w:val="center"/>
          </w:tcPr>
          <w:p w:rsidR="000B2609" w:rsidRDefault="001C1241">
            <w:pPr>
              <w:jc w:val="center"/>
            </w:pPr>
            <w:r>
              <w:rPr>
                <w:color w:val="000000"/>
                <w:sz w:val="24"/>
              </w:rPr>
              <w:t>4</w:t>
            </w:r>
          </w:p>
        </w:tc>
        <w:tc>
          <w:tcPr>
            <w:tcW w:w="1382" w:type="dxa"/>
            <w:vAlign w:val="center"/>
          </w:tcPr>
          <w:p w:rsidR="000B2609" w:rsidRDefault="001C1241">
            <w:pPr>
              <w:jc w:val="center"/>
            </w:pPr>
            <w:r>
              <w:rPr>
                <w:color w:val="000000"/>
                <w:sz w:val="24"/>
              </w:rPr>
              <w:t>111609374</w:t>
            </w:r>
          </w:p>
        </w:tc>
        <w:tc>
          <w:tcPr>
            <w:tcW w:w="1353" w:type="dxa"/>
            <w:vAlign w:val="center"/>
          </w:tcPr>
          <w:p w:rsidR="000B2609" w:rsidRDefault="001C1241">
            <w:pPr>
              <w:jc w:val="center"/>
            </w:pPr>
            <w:r>
              <w:rPr>
                <w:color w:val="000000"/>
                <w:sz w:val="24"/>
              </w:rPr>
              <w:t>16</w:t>
            </w:r>
            <w:r>
              <w:rPr>
                <w:color w:val="000000"/>
                <w:sz w:val="24"/>
              </w:rPr>
              <w:t>浦发</w:t>
            </w:r>
            <w:r>
              <w:rPr>
                <w:color w:val="000000"/>
                <w:sz w:val="24"/>
              </w:rPr>
              <w:t>CD374</w:t>
            </w:r>
          </w:p>
        </w:tc>
        <w:tc>
          <w:tcPr>
            <w:tcW w:w="1505" w:type="dxa"/>
            <w:vAlign w:val="center"/>
          </w:tcPr>
          <w:p w:rsidR="000B2609" w:rsidRDefault="001C1241">
            <w:pPr>
              <w:jc w:val="right"/>
            </w:pPr>
            <w:r>
              <w:rPr>
                <w:color w:val="000000"/>
                <w:sz w:val="24"/>
              </w:rPr>
              <w:t>1,000,000</w:t>
            </w:r>
          </w:p>
        </w:tc>
        <w:tc>
          <w:tcPr>
            <w:tcW w:w="1737" w:type="dxa"/>
            <w:vAlign w:val="center"/>
          </w:tcPr>
          <w:p w:rsidR="000B2609" w:rsidRDefault="001C1241">
            <w:pPr>
              <w:jc w:val="right"/>
            </w:pPr>
            <w:r>
              <w:rPr>
                <w:color w:val="000000"/>
                <w:sz w:val="24"/>
              </w:rPr>
              <w:t>96,330,000.00</w:t>
            </w:r>
          </w:p>
        </w:tc>
        <w:tc>
          <w:tcPr>
            <w:tcW w:w="1701" w:type="dxa"/>
            <w:vAlign w:val="center"/>
          </w:tcPr>
          <w:p w:rsidR="000B2609" w:rsidRDefault="001C1241">
            <w:pPr>
              <w:jc w:val="right"/>
            </w:pPr>
            <w:r>
              <w:rPr>
                <w:color w:val="000000"/>
                <w:sz w:val="24"/>
              </w:rPr>
              <w:t>5.66</w:t>
            </w:r>
          </w:p>
        </w:tc>
      </w:tr>
      <w:tr w:rsidR="000B2609">
        <w:tc>
          <w:tcPr>
            <w:tcW w:w="1320" w:type="dxa"/>
            <w:vAlign w:val="center"/>
          </w:tcPr>
          <w:p w:rsidR="000B2609" w:rsidRDefault="001C1241">
            <w:pPr>
              <w:jc w:val="center"/>
            </w:pPr>
            <w:r>
              <w:rPr>
                <w:color w:val="000000"/>
                <w:sz w:val="24"/>
              </w:rPr>
              <w:t>5</w:t>
            </w:r>
          </w:p>
        </w:tc>
        <w:tc>
          <w:tcPr>
            <w:tcW w:w="1382" w:type="dxa"/>
            <w:vAlign w:val="center"/>
          </w:tcPr>
          <w:p w:rsidR="000B2609" w:rsidRDefault="001C1241">
            <w:pPr>
              <w:jc w:val="center"/>
            </w:pPr>
            <w:r>
              <w:rPr>
                <w:color w:val="000000"/>
                <w:sz w:val="24"/>
              </w:rPr>
              <w:t>111616253</w:t>
            </w:r>
          </w:p>
        </w:tc>
        <w:tc>
          <w:tcPr>
            <w:tcW w:w="1353" w:type="dxa"/>
            <w:vAlign w:val="center"/>
          </w:tcPr>
          <w:p w:rsidR="000B2609" w:rsidRDefault="001C1241">
            <w:pPr>
              <w:jc w:val="center"/>
            </w:pPr>
            <w:r>
              <w:rPr>
                <w:color w:val="000000"/>
                <w:sz w:val="24"/>
              </w:rPr>
              <w:t>16</w:t>
            </w:r>
            <w:r>
              <w:rPr>
                <w:color w:val="000000"/>
                <w:sz w:val="24"/>
              </w:rPr>
              <w:t>上海银行</w:t>
            </w:r>
            <w:r>
              <w:rPr>
                <w:color w:val="000000"/>
                <w:sz w:val="24"/>
              </w:rPr>
              <w:t>CD253</w:t>
            </w:r>
          </w:p>
        </w:tc>
        <w:tc>
          <w:tcPr>
            <w:tcW w:w="1505" w:type="dxa"/>
            <w:vAlign w:val="center"/>
          </w:tcPr>
          <w:p w:rsidR="000B2609" w:rsidRDefault="001C1241">
            <w:pPr>
              <w:jc w:val="right"/>
            </w:pPr>
            <w:r>
              <w:rPr>
                <w:color w:val="000000"/>
                <w:sz w:val="24"/>
              </w:rPr>
              <w:t>1,000,000</w:t>
            </w:r>
          </w:p>
        </w:tc>
        <w:tc>
          <w:tcPr>
            <w:tcW w:w="1737" w:type="dxa"/>
            <w:vAlign w:val="center"/>
          </w:tcPr>
          <w:p w:rsidR="000B2609" w:rsidRDefault="001C1241">
            <w:pPr>
              <w:jc w:val="right"/>
            </w:pPr>
            <w:r>
              <w:rPr>
                <w:color w:val="000000"/>
                <w:sz w:val="24"/>
              </w:rPr>
              <w:t>96,240,000.00</w:t>
            </w:r>
          </w:p>
        </w:tc>
        <w:tc>
          <w:tcPr>
            <w:tcW w:w="1701" w:type="dxa"/>
            <w:vAlign w:val="center"/>
          </w:tcPr>
          <w:p w:rsidR="000B2609" w:rsidRDefault="001C1241">
            <w:pPr>
              <w:jc w:val="right"/>
            </w:pPr>
            <w:r>
              <w:rPr>
                <w:color w:val="000000"/>
                <w:sz w:val="24"/>
              </w:rPr>
              <w:t>5.66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25,003,839.44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25,003,839.44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CA0AAB" w:rsidRPr="00C51A5D" w:rsidRDefault="00CA0AAB"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CA0AAB">
      <w:pPr>
        <w:spacing w:before="29" w:line="288" w:lineRule="auto"/>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交银裕通纯债债券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96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17,754,092.90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1,693,550,141.68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99.36%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10,842,776.75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0.64%</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交银裕通纯债债券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128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6,675.08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854,410.35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224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7,612,711.29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1,693,550,141.68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99.31%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11,697,187.10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0.69%</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149,271.03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17,166.57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166,437.60</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0.01%</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交银裕通纯债债券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交银裕通纯债债券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交银裕通纯债债券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交银裕通纯债债券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交银裕通纯债债券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交银裕通纯债债券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12</w:t>
            </w:r>
            <w:r w:rsidRPr="009440E4">
              <w:rPr>
                <w:sz w:val="24"/>
              </w:rPr>
              <w:t>月</w:t>
            </w:r>
            <w:r w:rsidRPr="009440E4">
              <w:rPr>
                <w:sz w:val="24"/>
              </w:rPr>
              <w:t>29</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219,894,175.38</w:t>
            </w:r>
          </w:p>
        </w:tc>
        <w:tc>
          <w:tcPr>
            <w:tcW w:w="1615" w:type="pct"/>
            <w:vAlign w:val="center"/>
          </w:tcPr>
          <w:p w:rsidR="00703495" w:rsidRPr="009440E4" w:rsidRDefault="00703495" w:rsidP="009440E4">
            <w:pPr>
              <w:spacing w:before="29" w:line="288" w:lineRule="auto"/>
              <w:jc w:val="center"/>
              <w:rPr>
                <w:sz w:val="24"/>
              </w:rPr>
            </w:pPr>
            <w:r w:rsidRPr="009440E4">
              <w:rPr>
                <w:sz w:val="24"/>
              </w:rPr>
              <w:t>1,383,161.98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219,894,175.38</w:t>
            </w:r>
          </w:p>
        </w:tc>
        <w:tc>
          <w:tcPr>
            <w:tcW w:w="1615" w:type="pct"/>
            <w:vAlign w:val="bottom"/>
          </w:tcPr>
          <w:p w:rsidR="00703495" w:rsidRPr="009440E4" w:rsidRDefault="00703495" w:rsidP="009440E4">
            <w:pPr>
              <w:spacing w:before="29" w:line="288" w:lineRule="auto"/>
              <w:jc w:val="center"/>
              <w:rPr>
                <w:sz w:val="24"/>
              </w:rPr>
            </w:pPr>
            <w:r w:rsidRPr="009440E4">
              <w:rPr>
                <w:sz w:val="24"/>
              </w:rPr>
              <w:t>1,383,161.98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1,493,734,353.65</w:t>
            </w:r>
          </w:p>
        </w:tc>
        <w:tc>
          <w:tcPr>
            <w:tcW w:w="1615" w:type="pct"/>
            <w:vAlign w:val="bottom"/>
          </w:tcPr>
          <w:p w:rsidR="00703495" w:rsidRPr="009440E4" w:rsidRDefault="00703495" w:rsidP="009440E4">
            <w:pPr>
              <w:spacing w:before="29" w:line="288" w:lineRule="auto"/>
              <w:jc w:val="center"/>
              <w:rPr>
                <w:sz w:val="24"/>
              </w:rPr>
            </w:pPr>
            <w:r w:rsidRPr="009440E4">
              <w:rPr>
                <w:sz w:val="24"/>
              </w:rPr>
              <w:t>362,724.92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9,235,610.60</w:t>
            </w:r>
          </w:p>
        </w:tc>
        <w:tc>
          <w:tcPr>
            <w:tcW w:w="1615" w:type="pct"/>
            <w:vAlign w:val="bottom"/>
          </w:tcPr>
          <w:p w:rsidR="00703495" w:rsidRPr="009440E4" w:rsidRDefault="00703495" w:rsidP="009440E4">
            <w:pPr>
              <w:spacing w:before="29" w:line="288" w:lineRule="auto"/>
              <w:jc w:val="center"/>
              <w:rPr>
                <w:sz w:val="24"/>
              </w:rPr>
            </w:pPr>
            <w:r w:rsidRPr="009440E4">
              <w:rPr>
                <w:sz w:val="24"/>
              </w:rPr>
              <w:t>891,476.55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1,704,392,918.43</w:t>
            </w:r>
          </w:p>
        </w:tc>
        <w:tc>
          <w:tcPr>
            <w:tcW w:w="1615" w:type="pct"/>
            <w:vAlign w:val="center"/>
          </w:tcPr>
          <w:p w:rsidR="00703495" w:rsidRPr="009440E4" w:rsidRDefault="00703495" w:rsidP="009440E4">
            <w:pPr>
              <w:spacing w:before="29" w:line="288" w:lineRule="auto"/>
              <w:jc w:val="center"/>
              <w:rPr>
                <w:sz w:val="24"/>
              </w:rPr>
            </w:pPr>
            <w:r w:rsidRPr="009440E4">
              <w:rPr>
                <w:sz w:val="24"/>
              </w:rPr>
              <w:t>854,410.35</w:t>
            </w:r>
          </w:p>
        </w:tc>
      </w:tr>
    </w:tbl>
    <w:p w:rsidR="000B2609" w:rsidRDefault="001C124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0B2609" w:rsidRDefault="001C1241">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89,512.20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0B2609" w:rsidRDefault="001C1241">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0B2609" w:rsidRDefault="001C1241">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0B2609" w:rsidRDefault="001C1241">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B2609">
        <w:tc>
          <w:tcPr>
            <w:tcW w:w="1559" w:type="dxa"/>
            <w:vAlign w:val="center"/>
          </w:tcPr>
          <w:p w:rsidR="000B2609" w:rsidRDefault="001C1241">
            <w:pPr>
              <w:jc w:val="left"/>
            </w:pPr>
            <w:r>
              <w:rPr>
                <w:color w:val="000000"/>
                <w:szCs w:val="21"/>
              </w:rPr>
              <w:t>长江证券股份有限公司</w:t>
            </w:r>
          </w:p>
        </w:tc>
        <w:tc>
          <w:tcPr>
            <w:tcW w:w="779" w:type="dxa"/>
            <w:vAlign w:val="center"/>
          </w:tcPr>
          <w:p w:rsidR="000B2609" w:rsidRDefault="001C1241">
            <w:pPr>
              <w:jc w:val="right"/>
            </w:pPr>
            <w:r>
              <w:rPr>
                <w:color w:val="000000"/>
                <w:szCs w:val="21"/>
              </w:rPr>
              <w:t>2</w:t>
            </w:r>
          </w:p>
        </w:tc>
        <w:tc>
          <w:tcPr>
            <w:tcW w:w="1800" w:type="dxa"/>
            <w:vAlign w:val="center"/>
          </w:tcPr>
          <w:p w:rsidR="000B2609" w:rsidRDefault="001C1241">
            <w:pPr>
              <w:jc w:val="right"/>
            </w:pPr>
            <w:r>
              <w:rPr>
                <w:color w:val="000000"/>
                <w:szCs w:val="21"/>
              </w:rPr>
              <w:t>-</w:t>
            </w:r>
          </w:p>
        </w:tc>
        <w:tc>
          <w:tcPr>
            <w:tcW w:w="1080" w:type="dxa"/>
            <w:vAlign w:val="center"/>
          </w:tcPr>
          <w:p w:rsidR="000B2609" w:rsidRDefault="001C1241">
            <w:pPr>
              <w:jc w:val="right"/>
            </w:pPr>
            <w:r>
              <w:rPr>
                <w:color w:val="000000"/>
                <w:szCs w:val="21"/>
              </w:rPr>
              <w:t>-</w:t>
            </w:r>
          </w:p>
        </w:tc>
        <w:tc>
          <w:tcPr>
            <w:tcW w:w="1620" w:type="dxa"/>
            <w:vAlign w:val="center"/>
          </w:tcPr>
          <w:p w:rsidR="000B2609" w:rsidRDefault="001C1241">
            <w:pPr>
              <w:jc w:val="right"/>
            </w:pPr>
            <w:r>
              <w:rPr>
                <w:color w:val="000000"/>
                <w:szCs w:val="21"/>
              </w:rPr>
              <w:t>-</w:t>
            </w:r>
          </w:p>
        </w:tc>
        <w:tc>
          <w:tcPr>
            <w:tcW w:w="1080" w:type="dxa"/>
            <w:vAlign w:val="center"/>
          </w:tcPr>
          <w:p w:rsidR="000B2609" w:rsidRDefault="001C1241">
            <w:pPr>
              <w:jc w:val="right"/>
            </w:pPr>
            <w:r>
              <w:rPr>
                <w:color w:val="000000"/>
                <w:szCs w:val="21"/>
              </w:rPr>
              <w:t>-</w:t>
            </w:r>
          </w:p>
        </w:tc>
        <w:tc>
          <w:tcPr>
            <w:tcW w:w="1080" w:type="dxa"/>
            <w:vAlign w:val="center"/>
          </w:tcPr>
          <w:p w:rsidR="000B2609" w:rsidRDefault="001C1241">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0B2609">
        <w:tc>
          <w:tcPr>
            <w:tcW w:w="1559" w:type="dxa"/>
            <w:vAlign w:val="center"/>
          </w:tcPr>
          <w:p w:rsidR="000B2609" w:rsidRDefault="001C1241">
            <w:pPr>
              <w:jc w:val="left"/>
            </w:pPr>
            <w:r>
              <w:rPr>
                <w:szCs w:val="21"/>
              </w:rPr>
              <w:t>长江证券股份有限公司</w:t>
            </w:r>
          </w:p>
        </w:tc>
        <w:tc>
          <w:tcPr>
            <w:tcW w:w="1319" w:type="dxa"/>
            <w:vAlign w:val="center"/>
          </w:tcPr>
          <w:p w:rsidR="000B2609" w:rsidRDefault="001C1241">
            <w:pPr>
              <w:jc w:val="right"/>
            </w:pPr>
            <w:r>
              <w:rPr>
                <w:szCs w:val="21"/>
              </w:rPr>
              <w:t>94,680,275.47</w:t>
            </w:r>
          </w:p>
        </w:tc>
        <w:tc>
          <w:tcPr>
            <w:tcW w:w="1080" w:type="dxa"/>
            <w:vAlign w:val="center"/>
          </w:tcPr>
          <w:p w:rsidR="000B2609" w:rsidRDefault="001C1241">
            <w:pPr>
              <w:jc w:val="right"/>
            </w:pPr>
            <w:r>
              <w:rPr>
                <w:szCs w:val="21"/>
              </w:rPr>
              <w:t>100.00%</w:t>
            </w:r>
          </w:p>
        </w:tc>
        <w:tc>
          <w:tcPr>
            <w:tcW w:w="1080" w:type="dxa"/>
            <w:vAlign w:val="center"/>
          </w:tcPr>
          <w:p w:rsidR="000B2609" w:rsidRDefault="001C1241">
            <w:pPr>
              <w:jc w:val="right"/>
            </w:pPr>
            <w:r>
              <w:rPr>
                <w:szCs w:val="21"/>
              </w:rPr>
              <w:t>4,392,400,000.00</w:t>
            </w:r>
          </w:p>
        </w:tc>
        <w:tc>
          <w:tcPr>
            <w:tcW w:w="1260" w:type="dxa"/>
            <w:vAlign w:val="center"/>
          </w:tcPr>
          <w:p w:rsidR="000B2609" w:rsidRDefault="001C1241">
            <w:pPr>
              <w:jc w:val="right"/>
            </w:pPr>
            <w:r>
              <w:rPr>
                <w:szCs w:val="21"/>
              </w:rPr>
              <w:t>100.00%</w:t>
            </w:r>
          </w:p>
        </w:tc>
        <w:tc>
          <w:tcPr>
            <w:tcW w:w="1260" w:type="dxa"/>
            <w:vAlign w:val="center"/>
          </w:tcPr>
          <w:p w:rsidR="000B2609" w:rsidRDefault="001C1241">
            <w:pPr>
              <w:jc w:val="right"/>
            </w:pPr>
            <w:r>
              <w:rPr>
                <w:szCs w:val="21"/>
              </w:rPr>
              <w:t>-</w:t>
            </w:r>
          </w:p>
        </w:tc>
        <w:tc>
          <w:tcPr>
            <w:tcW w:w="1440" w:type="dxa"/>
            <w:vAlign w:val="center"/>
          </w:tcPr>
          <w:p w:rsidR="000B2609" w:rsidRDefault="001C1241">
            <w:pPr>
              <w:jc w:val="right"/>
            </w:pPr>
            <w:r>
              <w:rPr>
                <w:szCs w:val="21"/>
              </w:rPr>
              <w:t>-</w:t>
            </w:r>
          </w:p>
        </w:tc>
      </w:tr>
    </w:tbl>
    <w:p w:rsidR="000B2609" w:rsidRDefault="001C124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B2609" w:rsidRDefault="001C1241">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45" w:rsidRDefault="00A03F45">
      <w:r>
        <w:separator/>
      </w:r>
    </w:p>
  </w:endnote>
  <w:endnote w:type="continuationSeparator" w:id="0">
    <w:p w:rsidR="00A03F45" w:rsidRDefault="00A0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D30010">
      <w:rPr>
        <w:noProof/>
        <w:kern w:val="0"/>
        <w:szCs w:val="21"/>
      </w:rPr>
      <w:t>26</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D30010">
      <w:rPr>
        <w:noProof/>
        <w:kern w:val="0"/>
        <w:szCs w:val="21"/>
      </w:rPr>
      <w:t>35</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45" w:rsidRDefault="00A03F45">
      <w:r>
        <w:separator/>
      </w:r>
    </w:p>
  </w:footnote>
  <w:footnote w:type="continuationSeparator" w:id="0">
    <w:p w:rsidR="00A03F45" w:rsidRDefault="00A03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6E728CA4">
      <w:start w:val="1"/>
      <w:numFmt w:val="lowerLetter"/>
      <w:lvlText w:val="(%1)"/>
      <w:lvlJc w:val="left"/>
      <w:pPr>
        <w:ind w:left="720" w:hanging="360"/>
      </w:pPr>
    </w:lvl>
    <w:lvl w:ilvl="1" w:tplc="F20A073C">
      <w:start w:val="1"/>
      <w:numFmt w:val="lowerLetter"/>
      <w:lvlText w:val="%2."/>
      <w:lvlJc w:val="left"/>
      <w:pPr>
        <w:ind w:left="1440" w:hanging="360"/>
      </w:pPr>
    </w:lvl>
    <w:lvl w:ilvl="2" w:tplc="CAE2FB16">
      <w:start w:val="1"/>
      <w:numFmt w:val="lowerRoman"/>
      <w:lvlText w:val="%3."/>
      <w:lvlJc w:val="right"/>
      <w:pPr>
        <w:ind w:left="2160" w:hanging="180"/>
      </w:pPr>
    </w:lvl>
    <w:lvl w:ilvl="3" w:tplc="201411BA">
      <w:start w:val="1"/>
      <w:numFmt w:val="decimal"/>
      <w:lvlText w:val="%4."/>
      <w:lvlJc w:val="left"/>
      <w:pPr>
        <w:ind w:left="2880" w:hanging="360"/>
      </w:pPr>
    </w:lvl>
    <w:lvl w:ilvl="4" w:tplc="909AC5C4">
      <w:start w:val="1"/>
      <w:numFmt w:val="lowerLetter"/>
      <w:lvlText w:val="%5."/>
      <w:lvlJc w:val="left"/>
      <w:pPr>
        <w:ind w:left="3600" w:hanging="360"/>
      </w:pPr>
    </w:lvl>
    <w:lvl w:ilvl="5" w:tplc="8270A1EC">
      <w:start w:val="1"/>
      <w:numFmt w:val="lowerRoman"/>
      <w:lvlText w:val="%6."/>
      <w:lvlJc w:val="right"/>
      <w:pPr>
        <w:ind w:left="4320" w:hanging="180"/>
      </w:pPr>
    </w:lvl>
    <w:lvl w:ilvl="6" w:tplc="474EF7E6">
      <w:start w:val="1"/>
      <w:numFmt w:val="decimal"/>
      <w:lvlText w:val="%7."/>
      <w:lvlJc w:val="left"/>
      <w:pPr>
        <w:ind w:left="5040" w:hanging="360"/>
      </w:pPr>
    </w:lvl>
    <w:lvl w:ilvl="7" w:tplc="C9929D16">
      <w:start w:val="1"/>
      <w:numFmt w:val="lowerLetter"/>
      <w:lvlText w:val="%8."/>
      <w:lvlJc w:val="left"/>
      <w:pPr>
        <w:ind w:left="5760" w:hanging="360"/>
      </w:pPr>
    </w:lvl>
    <w:lvl w:ilvl="8" w:tplc="F3DE1E0E">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CEAC4DD8">
      <w:start w:val="1"/>
      <w:numFmt w:val="lowerRoman"/>
      <w:lvlText w:val="(%1)"/>
      <w:lvlJc w:val="left"/>
      <w:pPr>
        <w:ind w:left="1080" w:hanging="720"/>
      </w:pPr>
    </w:lvl>
    <w:lvl w:ilvl="1" w:tplc="CC7C4A72">
      <w:start w:val="1"/>
      <w:numFmt w:val="lowerLetter"/>
      <w:lvlText w:val="%2."/>
      <w:lvlJc w:val="left"/>
      <w:pPr>
        <w:ind w:left="1440" w:hanging="360"/>
      </w:pPr>
    </w:lvl>
    <w:lvl w:ilvl="2" w:tplc="88B633B0">
      <w:start w:val="1"/>
      <w:numFmt w:val="lowerRoman"/>
      <w:lvlText w:val="%3."/>
      <w:lvlJc w:val="right"/>
      <w:pPr>
        <w:ind w:left="2160" w:hanging="180"/>
      </w:pPr>
    </w:lvl>
    <w:lvl w:ilvl="3" w:tplc="32A8D442">
      <w:start w:val="1"/>
      <w:numFmt w:val="decimal"/>
      <w:lvlText w:val="%4."/>
      <w:lvlJc w:val="left"/>
      <w:pPr>
        <w:ind w:left="2880" w:hanging="360"/>
      </w:pPr>
    </w:lvl>
    <w:lvl w:ilvl="4" w:tplc="65B6736A">
      <w:start w:val="1"/>
      <w:numFmt w:val="lowerLetter"/>
      <w:lvlText w:val="%5."/>
      <w:lvlJc w:val="left"/>
      <w:pPr>
        <w:ind w:left="3600" w:hanging="360"/>
      </w:pPr>
    </w:lvl>
    <w:lvl w:ilvl="5" w:tplc="23548EDC">
      <w:start w:val="1"/>
      <w:numFmt w:val="lowerRoman"/>
      <w:lvlText w:val="%6."/>
      <w:lvlJc w:val="right"/>
      <w:pPr>
        <w:ind w:left="4320" w:hanging="180"/>
      </w:pPr>
    </w:lvl>
    <w:lvl w:ilvl="6" w:tplc="F8602BF0">
      <w:start w:val="1"/>
      <w:numFmt w:val="decimal"/>
      <w:lvlText w:val="%7."/>
      <w:lvlJc w:val="left"/>
      <w:pPr>
        <w:ind w:left="5040" w:hanging="360"/>
      </w:pPr>
    </w:lvl>
    <w:lvl w:ilvl="7" w:tplc="1556C63A">
      <w:start w:val="1"/>
      <w:numFmt w:val="lowerLetter"/>
      <w:lvlText w:val="%8."/>
      <w:lvlJc w:val="left"/>
      <w:pPr>
        <w:ind w:left="5760" w:hanging="360"/>
      </w:pPr>
    </w:lvl>
    <w:lvl w:ilvl="8" w:tplc="11BA4D2A">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609"/>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1876"/>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60C"/>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88A"/>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1241"/>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63C"/>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77B"/>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BF2"/>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1B5"/>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787"/>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3F45"/>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3FB"/>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757"/>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4BE6"/>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0AAB"/>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5F2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010"/>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B54"/>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14"/>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0C8"/>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9EC"/>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BCB"/>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41420512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35</Pages>
  <Words>3785</Words>
  <Characters>21577</Characters>
  <Application>Microsoft Office Word</Application>
  <DocSecurity>0</DocSecurity>
  <Lines>179</Lines>
  <Paragraphs>50</Paragraphs>
  <ScaleCrop>false</ScaleCrop>
  <Company/>
  <LinksUpToDate>false</LinksUpToDate>
  <CharactersWithSpaces>25312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641</cp:revision>
  <cp:lastPrinted>2007-07-19T00:46:00Z</cp:lastPrinted>
  <dcterms:created xsi:type="dcterms:W3CDTF">2013-08-19T02:39:00Z</dcterms:created>
  <dcterms:modified xsi:type="dcterms:W3CDTF">2017-03-28T10:08:00Z</dcterms:modified>
</cp:coreProperties>
</file>