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C51C77"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22D37" w:rsidRDefault="001A59F9" w:rsidP="00A66C69">
      <w:pPr>
        <w:spacing w:before="29" w:line="288" w:lineRule="auto"/>
        <w:jc w:val="center"/>
        <w:rPr>
          <w:b/>
          <w:sz w:val="36"/>
          <w:szCs w:val="36"/>
        </w:rPr>
      </w:pPr>
      <w:bookmarkStart w:id="0" w:name="_Toc361324840"/>
      <w:r w:rsidRPr="00922D37">
        <w:rPr>
          <w:b/>
          <w:sz w:val="36"/>
          <w:szCs w:val="36"/>
        </w:rPr>
        <w:t>交</w:t>
      </w:r>
      <w:proofErr w:type="gramStart"/>
      <w:r w:rsidRPr="00922D37">
        <w:rPr>
          <w:b/>
          <w:sz w:val="36"/>
          <w:szCs w:val="36"/>
        </w:rPr>
        <w:t>银施罗德成长</w:t>
      </w:r>
      <w:proofErr w:type="gramEnd"/>
      <w:r w:rsidRPr="00922D37">
        <w:rPr>
          <w:b/>
          <w:sz w:val="36"/>
          <w:szCs w:val="36"/>
        </w:rPr>
        <w:t>30</w:t>
      </w:r>
      <w:r w:rsidRPr="00922D37">
        <w:rPr>
          <w:b/>
          <w:sz w:val="36"/>
          <w:szCs w:val="36"/>
        </w:rPr>
        <w:t>混合型证券投资基金</w:t>
      </w:r>
      <w:bookmarkEnd w:id="0"/>
    </w:p>
    <w:p w:rsidR="001A59F9" w:rsidRPr="00922D37" w:rsidRDefault="001A59F9" w:rsidP="00A66C69">
      <w:pPr>
        <w:spacing w:before="29" w:line="288" w:lineRule="auto"/>
        <w:jc w:val="center"/>
        <w:rPr>
          <w:b/>
          <w:sz w:val="36"/>
          <w:szCs w:val="36"/>
        </w:rPr>
      </w:pPr>
      <w:bookmarkStart w:id="1" w:name="_Toc361324841"/>
      <w:r w:rsidRPr="00922D37">
        <w:rPr>
          <w:b/>
          <w:sz w:val="36"/>
          <w:szCs w:val="36"/>
        </w:rPr>
        <w:t>2016</w:t>
      </w:r>
      <w:r w:rsidRPr="00922D37">
        <w:rPr>
          <w:b/>
          <w:sz w:val="36"/>
          <w:szCs w:val="36"/>
        </w:rPr>
        <w:t>年年度报告</w:t>
      </w:r>
      <w:bookmarkEnd w:id="1"/>
      <w:r w:rsidR="005961DD" w:rsidRPr="00922D37">
        <w:rPr>
          <w:rFonts w:hint="eastAsia"/>
          <w:b/>
          <w:sz w:val="36"/>
          <w:szCs w:val="36"/>
        </w:rPr>
        <w:t>摘要</w:t>
      </w:r>
    </w:p>
    <w:p w:rsidR="001A59F9" w:rsidRPr="00922D37" w:rsidRDefault="00F64FAD" w:rsidP="00A66C69">
      <w:pPr>
        <w:spacing w:before="29" w:line="288" w:lineRule="auto"/>
        <w:jc w:val="center"/>
        <w:rPr>
          <w:b/>
          <w:sz w:val="36"/>
          <w:szCs w:val="36"/>
        </w:rPr>
      </w:pPr>
      <w:r w:rsidRPr="00922D37">
        <w:rPr>
          <w:b/>
          <w:sz w:val="36"/>
          <w:szCs w:val="36"/>
        </w:rPr>
        <w:t>2016</w:t>
      </w:r>
      <w:r w:rsidRPr="00922D37">
        <w:rPr>
          <w:b/>
          <w:sz w:val="36"/>
          <w:szCs w:val="36"/>
        </w:rPr>
        <w:t>年</w:t>
      </w:r>
      <w:r w:rsidRPr="00922D37">
        <w:rPr>
          <w:b/>
          <w:sz w:val="36"/>
          <w:szCs w:val="36"/>
        </w:rPr>
        <w:t>12</w:t>
      </w:r>
      <w:r w:rsidRPr="00922D37">
        <w:rPr>
          <w:b/>
          <w:sz w:val="36"/>
          <w:szCs w:val="36"/>
        </w:rPr>
        <w:t>月</w:t>
      </w:r>
      <w:r w:rsidRPr="00922D37">
        <w:rPr>
          <w:b/>
          <w:sz w:val="36"/>
          <w:szCs w:val="36"/>
        </w:rPr>
        <w:t>31</w:t>
      </w:r>
      <w:r w:rsidRPr="00922D37">
        <w:rPr>
          <w:b/>
          <w:sz w:val="36"/>
          <w:szCs w:val="36"/>
        </w:rPr>
        <w:t>日</w:t>
      </w:r>
    </w:p>
    <w:p w:rsidR="001A59F9" w:rsidRPr="00C51C77" w:rsidRDefault="001A59F9" w:rsidP="00922D37">
      <w:pPr>
        <w:spacing w:before="29" w:line="288"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C51C77" w:rsidRDefault="001A59F9" w:rsidP="00026C9C">
      <w:pPr>
        <w:spacing w:line="360" w:lineRule="auto"/>
        <w:jc w:val="center"/>
        <w:rPr>
          <w:rFonts w:asciiTheme="minorEastAsia" w:eastAsiaTheme="minorEastAsia" w:hAnsiTheme="minorEastAsia"/>
          <w:b/>
          <w:color w:val="000000"/>
          <w:szCs w:val="21"/>
        </w:rPr>
      </w:pPr>
    </w:p>
    <w:p w:rsidR="001A59F9" w:rsidRPr="00922D37" w:rsidRDefault="001A59F9" w:rsidP="00922D37">
      <w:pPr>
        <w:spacing w:before="29" w:line="288" w:lineRule="auto"/>
        <w:ind w:firstLineChars="900" w:firstLine="2168"/>
        <w:rPr>
          <w:b/>
          <w:color w:val="000000"/>
          <w:sz w:val="24"/>
        </w:rPr>
      </w:pPr>
      <w:r w:rsidRPr="00922D37">
        <w:rPr>
          <w:rFonts w:hint="eastAsia"/>
          <w:b/>
          <w:color w:val="000000"/>
          <w:sz w:val="24"/>
        </w:rPr>
        <w:t>基金管理人：</w:t>
      </w:r>
      <w:r w:rsidRPr="00922D37">
        <w:rPr>
          <w:b/>
          <w:color w:val="000000"/>
          <w:sz w:val="24"/>
        </w:rPr>
        <w:t>交银施罗德基金管理有限公司</w:t>
      </w:r>
    </w:p>
    <w:p w:rsidR="001A59F9" w:rsidRPr="00922D37" w:rsidRDefault="001A59F9" w:rsidP="00922D37">
      <w:pPr>
        <w:spacing w:before="29" w:line="288" w:lineRule="auto"/>
        <w:ind w:firstLineChars="900" w:firstLine="2168"/>
        <w:rPr>
          <w:b/>
          <w:color w:val="000000"/>
          <w:sz w:val="24"/>
        </w:rPr>
      </w:pPr>
      <w:r w:rsidRPr="00922D37">
        <w:rPr>
          <w:rFonts w:hint="eastAsia"/>
          <w:b/>
          <w:color w:val="000000"/>
          <w:sz w:val="24"/>
        </w:rPr>
        <w:t>基金托管人：</w:t>
      </w:r>
      <w:r w:rsidRPr="00922D37">
        <w:rPr>
          <w:b/>
          <w:color w:val="000000"/>
          <w:sz w:val="24"/>
        </w:rPr>
        <w:t>中国建设银行股份有限公司</w:t>
      </w:r>
    </w:p>
    <w:p w:rsidR="001A59F9" w:rsidRPr="00922D37" w:rsidRDefault="001A59F9" w:rsidP="00922D37">
      <w:pPr>
        <w:spacing w:before="29" w:line="288" w:lineRule="auto"/>
        <w:ind w:firstLineChars="900" w:firstLine="2168"/>
        <w:rPr>
          <w:b/>
          <w:color w:val="000000"/>
          <w:sz w:val="24"/>
        </w:rPr>
        <w:sectPr w:rsidR="001A59F9" w:rsidRPr="00922D37">
          <w:headerReference w:type="default" r:id="rId7"/>
          <w:pgSz w:w="11926" w:h="15840"/>
          <w:pgMar w:top="1418" w:right="1418" w:bottom="851" w:left="1418" w:header="851" w:footer="992" w:gutter="0"/>
          <w:cols w:space="720"/>
        </w:sectPr>
      </w:pPr>
      <w:r w:rsidRPr="00922D37">
        <w:rPr>
          <w:rFonts w:hint="eastAsia"/>
          <w:b/>
          <w:color w:val="000000"/>
          <w:sz w:val="24"/>
        </w:rPr>
        <w:t>报告送出日期：</w:t>
      </w:r>
      <w:r w:rsidRPr="00922D37">
        <w:rPr>
          <w:b/>
          <w:color w:val="000000"/>
          <w:sz w:val="24"/>
        </w:rPr>
        <w:t>二〇一七年三月二十九日</w:t>
      </w:r>
    </w:p>
    <w:p w:rsidR="001A59F9" w:rsidRDefault="001A59F9" w:rsidP="00181618">
      <w:pPr>
        <w:pStyle w:val="1"/>
        <w:keepNext/>
        <w:keepLines/>
        <w:widowControl w:val="0"/>
        <w:spacing w:beforeLines="100" w:before="312" w:afterLines="100" w:after="312" w:line="288" w:lineRule="auto"/>
        <w:jc w:val="center"/>
        <w:rPr>
          <w:b/>
          <w:bCs/>
          <w:szCs w:val="24"/>
          <w:lang w:val="en-US"/>
        </w:rPr>
      </w:pPr>
      <w:bookmarkStart w:id="2" w:name="_Toc225498243"/>
      <w:bookmarkStart w:id="3" w:name="_Toc361324842"/>
      <w:r w:rsidRPr="00FF0E34">
        <w:rPr>
          <w:rFonts w:hint="eastAsia"/>
          <w:b/>
          <w:bCs/>
          <w:szCs w:val="24"/>
          <w:lang w:val="en-US"/>
        </w:rPr>
        <w:lastRenderedPageBreak/>
        <w:t>§</w:t>
      </w:r>
      <w:r w:rsidRPr="00FF0E34">
        <w:rPr>
          <w:b/>
          <w:bCs/>
          <w:szCs w:val="24"/>
          <w:lang w:val="en-US"/>
        </w:rPr>
        <w:t xml:space="preserve">1  </w:t>
      </w:r>
      <w:r w:rsidRPr="00FF0E34">
        <w:rPr>
          <w:rFonts w:hint="eastAsia"/>
          <w:b/>
          <w:bCs/>
          <w:szCs w:val="24"/>
          <w:lang w:val="en-US"/>
        </w:rPr>
        <w:t>重要提示</w:t>
      </w:r>
      <w:bookmarkEnd w:id="2"/>
      <w:bookmarkEnd w:id="3"/>
    </w:p>
    <w:p w:rsidR="002546CC" w:rsidRPr="002546CC" w:rsidRDefault="002546CC" w:rsidP="002546CC"/>
    <w:p w:rsidR="000C58C9" w:rsidRPr="00FF0E34" w:rsidRDefault="001A59F9" w:rsidP="00FF0E34">
      <w:pPr>
        <w:pStyle w:val="20"/>
        <w:spacing w:before="29" w:after="0" w:line="288" w:lineRule="auto"/>
        <w:rPr>
          <w:rFonts w:ascii="Times New Roman" w:hAnsi="Times New Roman"/>
          <w:kern w:val="0"/>
          <w:szCs w:val="24"/>
        </w:rPr>
      </w:pPr>
      <w:bookmarkStart w:id="4" w:name="_Toc361324843"/>
      <w:r w:rsidRPr="00FF0E34">
        <w:rPr>
          <w:rFonts w:ascii="Times New Roman" w:hAnsi="Times New Roman"/>
          <w:kern w:val="0"/>
          <w:szCs w:val="24"/>
        </w:rPr>
        <w:t xml:space="preserve">1.1 </w:t>
      </w:r>
      <w:r w:rsidRPr="00FF0E34">
        <w:rPr>
          <w:rFonts w:ascii="Times New Roman" w:hAnsi="Times New Roman" w:hint="eastAsia"/>
          <w:kern w:val="0"/>
          <w:szCs w:val="24"/>
        </w:rPr>
        <w:t>重要提示</w:t>
      </w:r>
      <w:bookmarkEnd w:id="4"/>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基金托管人</w:t>
      </w:r>
      <w:r w:rsidRPr="00FF0E34">
        <w:rPr>
          <w:color w:val="000000"/>
          <w:sz w:val="24"/>
        </w:rPr>
        <w:t>中国建设银行股份有限公司</w:t>
      </w:r>
      <w:r w:rsidR="00D91873">
        <w:rPr>
          <w:color w:val="000000"/>
          <w:sz w:val="24"/>
        </w:rPr>
        <w:t>(</w:t>
      </w:r>
      <w:r w:rsidR="00D91873">
        <w:rPr>
          <w:rFonts w:hint="eastAsia"/>
          <w:color w:val="000000"/>
          <w:sz w:val="24"/>
        </w:rPr>
        <w:t>以下简称“</w:t>
      </w:r>
      <w:r w:rsidR="00D91873">
        <w:rPr>
          <w:color w:val="000000"/>
          <w:sz w:val="24"/>
        </w:rPr>
        <w:t>中国建设银行</w:t>
      </w:r>
      <w:r w:rsidR="00D91873">
        <w:rPr>
          <w:rFonts w:hint="eastAsia"/>
          <w:color w:val="000000"/>
          <w:sz w:val="24"/>
        </w:rPr>
        <w:t>”</w:t>
      </w:r>
      <w:r w:rsidR="00D91873">
        <w:rPr>
          <w:color w:val="000000"/>
          <w:sz w:val="24"/>
        </w:rPr>
        <w:t>)</w:t>
      </w:r>
      <w:r w:rsidRPr="00FF0E34">
        <w:rPr>
          <w:rFonts w:hint="eastAsia"/>
          <w:color w:val="000000"/>
          <w:sz w:val="24"/>
        </w:rPr>
        <w:t>根据本基金合同规定，于</w:t>
      </w:r>
      <w:r w:rsidRPr="00FF0E34">
        <w:rPr>
          <w:color w:val="000000"/>
          <w:sz w:val="24"/>
        </w:rPr>
        <w:t>2017</w:t>
      </w:r>
      <w:r w:rsidRPr="00FF0E34">
        <w:rPr>
          <w:color w:val="000000"/>
          <w:sz w:val="24"/>
        </w:rPr>
        <w:t>年</w:t>
      </w:r>
      <w:r w:rsidRPr="00FF0E34">
        <w:rPr>
          <w:color w:val="000000"/>
          <w:sz w:val="24"/>
        </w:rPr>
        <w:t>3</w:t>
      </w:r>
      <w:r w:rsidRPr="00FF0E34">
        <w:rPr>
          <w:color w:val="000000"/>
          <w:sz w:val="24"/>
        </w:rPr>
        <w:t>月</w:t>
      </w:r>
      <w:r w:rsidRPr="00FF0E34">
        <w:rPr>
          <w:color w:val="000000"/>
          <w:sz w:val="24"/>
        </w:rPr>
        <w:t>28</w:t>
      </w:r>
      <w:r w:rsidRPr="00FF0E34">
        <w:rPr>
          <w:color w:val="000000"/>
          <w:sz w:val="24"/>
        </w:rPr>
        <w:t>日</w:t>
      </w:r>
      <w:r w:rsidRPr="00FF0E34">
        <w:rPr>
          <w:rFonts w:hint="eastAsia"/>
          <w:color w:val="000000"/>
          <w:sz w:val="24"/>
        </w:rPr>
        <w:t>复核了本报告中的财务指标、净值表现、利润分配情况、财务会计报告、投资组合报告等内容，保证复核内容不存在虚假记载、误导性陈述或者重大遗漏。</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基金管理人承诺以诚实信用、勤勉尽责的原则管理和运用基金资产，但不保证基金一定盈利。</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基金的过往业绩并不代表其未来表现。投资有风险，投资者在</w:t>
      </w:r>
      <w:proofErr w:type="gramStart"/>
      <w:r w:rsidR="009414BB" w:rsidRPr="00FF0E34">
        <w:rPr>
          <w:rFonts w:hint="eastAsia"/>
          <w:color w:val="000000"/>
          <w:sz w:val="24"/>
        </w:rPr>
        <w:t>作</w:t>
      </w:r>
      <w:r w:rsidRPr="00FF0E34">
        <w:rPr>
          <w:rFonts w:hint="eastAsia"/>
          <w:color w:val="000000"/>
          <w:sz w:val="24"/>
        </w:rPr>
        <w:t>出</w:t>
      </w:r>
      <w:proofErr w:type="gramEnd"/>
      <w:r w:rsidRPr="00FF0E34">
        <w:rPr>
          <w:rFonts w:hint="eastAsia"/>
          <w:color w:val="000000"/>
          <w:sz w:val="24"/>
        </w:rPr>
        <w:t>投资决策前应仔细阅读本基金的招募说明书及其更新。</w:t>
      </w:r>
    </w:p>
    <w:p w:rsidR="000C58C9" w:rsidRPr="00FF0E34" w:rsidRDefault="000C58C9" w:rsidP="00FF0E34">
      <w:pPr>
        <w:spacing w:before="29" w:line="288" w:lineRule="auto"/>
        <w:ind w:firstLineChars="200" w:firstLine="480"/>
        <w:rPr>
          <w:color w:val="000000"/>
          <w:sz w:val="24"/>
        </w:rPr>
      </w:pPr>
      <w:r w:rsidRPr="00FF0E34">
        <w:rPr>
          <w:rFonts w:hint="eastAsia"/>
          <w:color w:val="000000"/>
          <w:sz w:val="24"/>
        </w:rPr>
        <w:t>本年度报告摘要摘自年度报告正文，投资者欲了解详细内容，应阅读年度报告正文。</w:t>
      </w:r>
    </w:p>
    <w:p w:rsidR="00DA70F5" w:rsidRPr="00FF0E34" w:rsidRDefault="00DA70F5" w:rsidP="00FF0E34">
      <w:pPr>
        <w:spacing w:before="29" w:line="288" w:lineRule="auto"/>
        <w:ind w:firstLineChars="200" w:firstLine="480"/>
        <w:rPr>
          <w:color w:val="000000"/>
          <w:sz w:val="24"/>
        </w:rPr>
      </w:pPr>
      <w:r w:rsidRPr="00FF0E34">
        <w:rPr>
          <w:rFonts w:hint="eastAsia"/>
          <w:color w:val="000000"/>
          <w:sz w:val="24"/>
        </w:rPr>
        <w:t>本报告期自</w:t>
      </w:r>
      <w:r w:rsidRPr="00FF0E34">
        <w:rPr>
          <w:color w:val="000000"/>
          <w:sz w:val="24"/>
        </w:rPr>
        <w:t>2016</w:t>
      </w:r>
      <w:r w:rsidRPr="00FF0E34">
        <w:rPr>
          <w:color w:val="000000"/>
          <w:sz w:val="24"/>
        </w:rPr>
        <w:t>年</w:t>
      </w:r>
      <w:r w:rsidRPr="00FF0E34">
        <w:rPr>
          <w:color w:val="000000"/>
          <w:sz w:val="24"/>
        </w:rPr>
        <w:t>1</w:t>
      </w:r>
      <w:r w:rsidRPr="00FF0E34">
        <w:rPr>
          <w:color w:val="000000"/>
          <w:sz w:val="24"/>
        </w:rPr>
        <w:t>月</w:t>
      </w:r>
      <w:r w:rsidRPr="00FF0E34">
        <w:rPr>
          <w:color w:val="000000"/>
          <w:sz w:val="24"/>
        </w:rPr>
        <w:t>1</w:t>
      </w:r>
      <w:r w:rsidRPr="00FF0E34">
        <w:rPr>
          <w:color w:val="000000"/>
          <w:sz w:val="24"/>
        </w:rPr>
        <w:t>日</w:t>
      </w:r>
      <w:r w:rsidRPr="00FF0E34">
        <w:rPr>
          <w:rFonts w:hint="eastAsia"/>
          <w:color w:val="000000"/>
          <w:sz w:val="24"/>
        </w:rPr>
        <w:t>起至</w:t>
      </w:r>
      <w:r w:rsidRPr="00FF0E34">
        <w:rPr>
          <w:color w:val="000000"/>
          <w:sz w:val="24"/>
        </w:rPr>
        <w:t>12</w:t>
      </w:r>
      <w:r w:rsidRPr="00FF0E34">
        <w:rPr>
          <w:color w:val="000000"/>
          <w:sz w:val="24"/>
        </w:rPr>
        <w:t>月</w:t>
      </w:r>
      <w:r w:rsidRPr="00FF0E34">
        <w:rPr>
          <w:color w:val="000000"/>
          <w:sz w:val="24"/>
        </w:rPr>
        <w:t>31</w:t>
      </w:r>
      <w:r w:rsidRPr="00FF0E34">
        <w:rPr>
          <w:color w:val="000000"/>
          <w:sz w:val="24"/>
        </w:rPr>
        <w:t>日</w:t>
      </w:r>
      <w:r w:rsidRPr="00FF0E34">
        <w:rPr>
          <w:rFonts w:hint="eastAsia"/>
          <w:color w:val="000000"/>
          <w:sz w:val="24"/>
        </w:rPr>
        <w:t>止。</w:t>
      </w:r>
    </w:p>
    <w:p w:rsidR="00D35947" w:rsidRPr="00C51C77" w:rsidRDefault="001A59F9" w:rsidP="00D35947">
      <w:pPr>
        <w:spacing w:line="360" w:lineRule="auto"/>
        <w:rPr>
          <w:rFonts w:asciiTheme="minorEastAsia" w:eastAsiaTheme="minorEastAsia" w:hAnsiTheme="minorEastAsia"/>
          <w:b/>
          <w:color w:val="000000"/>
          <w:kern w:val="0"/>
          <w:szCs w:val="21"/>
        </w:rPr>
      </w:pPr>
      <w:r w:rsidRPr="00C51C77">
        <w:rPr>
          <w:rFonts w:asciiTheme="minorEastAsia" w:eastAsiaTheme="minorEastAsia" w:hAnsiTheme="minorEastAsia"/>
          <w:szCs w:val="21"/>
        </w:rPr>
        <w:br w:type="page"/>
      </w:r>
    </w:p>
    <w:p w:rsidR="001A59F9" w:rsidRDefault="001A59F9" w:rsidP="00181618">
      <w:pPr>
        <w:pStyle w:val="1"/>
        <w:keepNext/>
        <w:keepLines/>
        <w:widowControl w:val="0"/>
        <w:spacing w:beforeLines="100" w:before="312" w:afterLines="100" w:after="312" w:line="288" w:lineRule="auto"/>
        <w:jc w:val="center"/>
        <w:rPr>
          <w:b/>
          <w:bCs/>
          <w:szCs w:val="24"/>
          <w:lang w:val="en-US"/>
        </w:rPr>
      </w:pPr>
      <w:bookmarkStart w:id="5" w:name="_Toc225498244"/>
      <w:bookmarkStart w:id="6" w:name="_Toc361324844"/>
      <w:r w:rsidRPr="00176E90">
        <w:rPr>
          <w:rFonts w:hint="eastAsia"/>
          <w:b/>
          <w:bCs/>
          <w:szCs w:val="24"/>
          <w:lang w:val="en-US"/>
        </w:rPr>
        <w:lastRenderedPageBreak/>
        <w:t>§</w:t>
      </w:r>
      <w:r w:rsidRPr="00176E90">
        <w:rPr>
          <w:b/>
          <w:bCs/>
          <w:szCs w:val="24"/>
          <w:lang w:val="en-US"/>
        </w:rPr>
        <w:t xml:space="preserve">2  </w:t>
      </w:r>
      <w:r w:rsidRPr="00176E90">
        <w:rPr>
          <w:rFonts w:hint="eastAsia"/>
          <w:b/>
          <w:bCs/>
          <w:szCs w:val="24"/>
          <w:lang w:val="en-US"/>
        </w:rPr>
        <w:t>基金简介</w:t>
      </w:r>
      <w:bookmarkEnd w:id="5"/>
      <w:bookmarkEnd w:id="6"/>
    </w:p>
    <w:p w:rsidR="002546CC" w:rsidRPr="002546CC" w:rsidRDefault="002546CC" w:rsidP="002546CC"/>
    <w:p w:rsidR="001A59F9" w:rsidRPr="00701155" w:rsidRDefault="0040762F" w:rsidP="00701155">
      <w:pPr>
        <w:pStyle w:val="20"/>
        <w:spacing w:before="29" w:after="0" w:line="288" w:lineRule="auto"/>
        <w:rPr>
          <w:rFonts w:ascii="Times New Roman" w:hAnsi="Times New Roman"/>
          <w:kern w:val="0"/>
          <w:szCs w:val="24"/>
        </w:rPr>
      </w:pPr>
      <w:bookmarkStart w:id="7" w:name="_Toc361324845"/>
      <w:r w:rsidRPr="00701155">
        <w:rPr>
          <w:rFonts w:ascii="Times New Roman" w:hAnsi="Times New Roman"/>
          <w:kern w:val="0"/>
          <w:szCs w:val="24"/>
        </w:rPr>
        <w:t>2.1</w:t>
      </w:r>
      <w:r w:rsidR="00CE28F0" w:rsidRPr="00701155">
        <w:rPr>
          <w:rFonts w:ascii="Times New Roman" w:hAnsi="Times New Roman" w:hint="eastAsia"/>
          <w:kern w:val="0"/>
          <w:szCs w:val="24"/>
        </w:rPr>
        <w:t xml:space="preserve"> </w:t>
      </w:r>
      <w:r w:rsidR="001A59F9" w:rsidRPr="00701155">
        <w:rPr>
          <w:rFonts w:ascii="Times New Roman" w:hAnsi="Times New Roman" w:hint="eastAsia"/>
          <w:kern w:val="0"/>
          <w:szCs w:val="24"/>
        </w:rPr>
        <w:t>基金基本情况</w:t>
      </w:r>
      <w:bookmarkEnd w:id="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2880"/>
        <w:gridCol w:w="2999"/>
      </w:tblGrid>
      <w:tr w:rsidR="001A59F9" w:rsidRPr="00C51C77" w:rsidTr="00961313">
        <w:tc>
          <w:tcPr>
            <w:tcW w:w="3119" w:type="dxa"/>
            <w:vAlign w:val="center"/>
          </w:tcPr>
          <w:p w:rsidR="001A59F9" w:rsidRPr="00475872" w:rsidRDefault="001A59F9" w:rsidP="00475872">
            <w:pPr>
              <w:spacing w:before="29" w:line="288" w:lineRule="auto"/>
              <w:rPr>
                <w:sz w:val="24"/>
              </w:rPr>
            </w:pPr>
            <w:r w:rsidRPr="00475872">
              <w:rPr>
                <w:rFonts w:hint="eastAsia"/>
                <w:sz w:val="24"/>
              </w:rPr>
              <w:t>基金简称</w:t>
            </w:r>
          </w:p>
        </w:tc>
        <w:tc>
          <w:tcPr>
            <w:tcW w:w="5879" w:type="dxa"/>
            <w:gridSpan w:val="2"/>
            <w:vAlign w:val="center"/>
          </w:tcPr>
          <w:p w:rsidR="001A59F9" w:rsidRPr="00AF05D4" w:rsidRDefault="001A59F9" w:rsidP="00AF05D4">
            <w:pPr>
              <w:spacing w:before="29" w:line="288" w:lineRule="auto"/>
              <w:jc w:val="center"/>
              <w:rPr>
                <w:sz w:val="24"/>
              </w:rPr>
            </w:pPr>
            <w:r w:rsidRPr="00AF05D4">
              <w:rPr>
                <w:sz w:val="24"/>
              </w:rPr>
              <w:t>交</w:t>
            </w:r>
            <w:proofErr w:type="gramStart"/>
            <w:r w:rsidRPr="00AF05D4">
              <w:rPr>
                <w:sz w:val="24"/>
              </w:rPr>
              <w:t>银成长</w:t>
            </w:r>
            <w:proofErr w:type="gramEnd"/>
            <w:r w:rsidRPr="00AF05D4">
              <w:rPr>
                <w:sz w:val="24"/>
              </w:rPr>
              <w:t>30</w:t>
            </w:r>
            <w:r w:rsidRPr="00AF05D4">
              <w:rPr>
                <w:sz w:val="24"/>
              </w:rPr>
              <w:t>混合</w:t>
            </w:r>
          </w:p>
        </w:tc>
      </w:tr>
      <w:tr w:rsidR="001A59F9" w:rsidRPr="00C51C77" w:rsidTr="00961313">
        <w:tc>
          <w:tcPr>
            <w:tcW w:w="3119" w:type="dxa"/>
            <w:vAlign w:val="center"/>
          </w:tcPr>
          <w:p w:rsidR="001A59F9" w:rsidRPr="00475872" w:rsidRDefault="001A59F9" w:rsidP="00475872">
            <w:pPr>
              <w:spacing w:before="29" w:line="288" w:lineRule="auto"/>
              <w:rPr>
                <w:sz w:val="24"/>
              </w:rPr>
            </w:pPr>
            <w:r w:rsidRPr="00475872">
              <w:rPr>
                <w:rFonts w:hint="eastAsia"/>
                <w:sz w:val="24"/>
              </w:rPr>
              <w:t>基金主代码</w:t>
            </w:r>
          </w:p>
        </w:tc>
        <w:tc>
          <w:tcPr>
            <w:tcW w:w="5879" w:type="dxa"/>
            <w:gridSpan w:val="2"/>
            <w:vAlign w:val="center"/>
          </w:tcPr>
          <w:p w:rsidR="001A59F9" w:rsidRPr="00AF05D4" w:rsidRDefault="001A59F9" w:rsidP="00AF05D4">
            <w:pPr>
              <w:spacing w:before="29" w:line="288" w:lineRule="auto"/>
              <w:jc w:val="center"/>
              <w:rPr>
                <w:sz w:val="24"/>
              </w:rPr>
            </w:pPr>
            <w:r w:rsidRPr="00AF05D4">
              <w:rPr>
                <w:sz w:val="24"/>
              </w:rPr>
              <w:t>519727</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交易代码</w:t>
            </w:r>
          </w:p>
        </w:tc>
        <w:tc>
          <w:tcPr>
            <w:tcW w:w="2880" w:type="dxa"/>
            <w:vAlign w:val="center"/>
          </w:tcPr>
          <w:p w:rsidR="0040762F" w:rsidRPr="00AF05D4" w:rsidRDefault="0040762F" w:rsidP="00AF05D4">
            <w:pPr>
              <w:spacing w:before="29" w:line="288" w:lineRule="auto"/>
              <w:jc w:val="center"/>
              <w:rPr>
                <w:sz w:val="24"/>
              </w:rPr>
            </w:pPr>
            <w:r w:rsidRPr="00AF05D4">
              <w:rPr>
                <w:rFonts w:hint="eastAsia"/>
                <w:sz w:val="24"/>
              </w:rPr>
              <w:t xml:space="preserve"> 519727(</w:t>
            </w:r>
            <w:r w:rsidRPr="00AF05D4">
              <w:rPr>
                <w:rFonts w:hint="eastAsia"/>
                <w:sz w:val="24"/>
              </w:rPr>
              <w:t>前端</w:t>
            </w:r>
            <w:r w:rsidRPr="00AF05D4">
              <w:rPr>
                <w:rFonts w:hint="eastAsia"/>
                <w:sz w:val="24"/>
              </w:rPr>
              <w:t>)</w:t>
            </w:r>
          </w:p>
        </w:tc>
        <w:tc>
          <w:tcPr>
            <w:tcW w:w="2999" w:type="dxa"/>
            <w:vAlign w:val="center"/>
          </w:tcPr>
          <w:p w:rsidR="0040762F" w:rsidRPr="00AF05D4" w:rsidRDefault="0040762F" w:rsidP="00AF05D4">
            <w:pPr>
              <w:spacing w:before="29" w:line="288" w:lineRule="auto"/>
              <w:jc w:val="center"/>
              <w:rPr>
                <w:sz w:val="24"/>
              </w:rPr>
            </w:pPr>
            <w:r w:rsidRPr="00AF05D4">
              <w:rPr>
                <w:rFonts w:hint="eastAsia"/>
                <w:sz w:val="24"/>
              </w:rPr>
              <w:t xml:space="preserve"> 519728(</w:t>
            </w:r>
            <w:r w:rsidRPr="00AF05D4">
              <w:rPr>
                <w:rFonts w:hint="eastAsia"/>
                <w:sz w:val="24"/>
              </w:rPr>
              <w:t>后端</w:t>
            </w:r>
            <w:r w:rsidRPr="00AF05D4">
              <w:rPr>
                <w:rFonts w:hint="eastAsia"/>
                <w:sz w:val="24"/>
              </w:rPr>
              <w:t>)</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基金运作方式</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契约型开放式</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基金合同生效日</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2013</w:t>
            </w:r>
            <w:r w:rsidRPr="00AF05D4">
              <w:rPr>
                <w:sz w:val="24"/>
              </w:rPr>
              <w:t>年</w:t>
            </w:r>
            <w:r w:rsidRPr="00AF05D4">
              <w:rPr>
                <w:sz w:val="24"/>
              </w:rPr>
              <w:t>6</w:t>
            </w:r>
            <w:r w:rsidRPr="00AF05D4">
              <w:rPr>
                <w:sz w:val="24"/>
              </w:rPr>
              <w:t>月</w:t>
            </w:r>
            <w:r w:rsidRPr="00AF05D4">
              <w:rPr>
                <w:sz w:val="24"/>
              </w:rPr>
              <w:t>5</w:t>
            </w:r>
            <w:r w:rsidRPr="00AF05D4">
              <w:rPr>
                <w:sz w:val="24"/>
              </w:rPr>
              <w:t>日</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基金管理人</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交银施罗德基金管理有限公司</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基金托管人</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中国建设银行股份有限公司</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报告期末基金份额总额</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135,594,467.04</w:t>
            </w:r>
            <w:r w:rsidRPr="00AF05D4">
              <w:rPr>
                <w:rFonts w:hint="eastAsia"/>
                <w:sz w:val="24"/>
              </w:rPr>
              <w:t>份</w:t>
            </w:r>
          </w:p>
        </w:tc>
      </w:tr>
      <w:tr w:rsidR="0040762F" w:rsidRPr="00C51C77" w:rsidTr="00961313">
        <w:tc>
          <w:tcPr>
            <w:tcW w:w="3119" w:type="dxa"/>
            <w:vAlign w:val="center"/>
          </w:tcPr>
          <w:p w:rsidR="0040762F" w:rsidRPr="00475872" w:rsidRDefault="0040762F" w:rsidP="00475872">
            <w:pPr>
              <w:spacing w:before="29" w:line="288" w:lineRule="auto"/>
              <w:rPr>
                <w:sz w:val="24"/>
              </w:rPr>
            </w:pPr>
            <w:r w:rsidRPr="00475872">
              <w:rPr>
                <w:rFonts w:hint="eastAsia"/>
                <w:sz w:val="24"/>
              </w:rPr>
              <w:t>基金合同存续期</w:t>
            </w:r>
          </w:p>
        </w:tc>
        <w:tc>
          <w:tcPr>
            <w:tcW w:w="5879" w:type="dxa"/>
            <w:gridSpan w:val="2"/>
            <w:vAlign w:val="center"/>
          </w:tcPr>
          <w:p w:rsidR="0040762F" w:rsidRPr="00AF05D4" w:rsidRDefault="0040762F" w:rsidP="00AF05D4">
            <w:pPr>
              <w:spacing w:before="29" w:line="288" w:lineRule="auto"/>
              <w:jc w:val="center"/>
              <w:rPr>
                <w:sz w:val="24"/>
              </w:rPr>
            </w:pPr>
            <w:r w:rsidRPr="00AF05D4">
              <w:rPr>
                <w:sz w:val="24"/>
              </w:rPr>
              <w:t>不定期</w:t>
            </w:r>
          </w:p>
        </w:tc>
      </w:tr>
    </w:tbl>
    <w:p w:rsidR="00FF7B7E" w:rsidRPr="00F017B1" w:rsidRDefault="00FF7B7E" w:rsidP="00F017B1">
      <w:pPr>
        <w:spacing w:before="29" w:line="288" w:lineRule="auto"/>
        <w:jc w:val="left"/>
        <w:rPr>
          <w:kern w:val="0"/>
          <w:sz w:val="24"/>
        </w:rPr>
      </w:pPr>
    </w:p>
    <w:p w:rsidR="001A59F9" w:rsidRPr="00701155" w:rsidRDefault="001A59F9" w:rsidP="00701155">
      <w:pPr>
        <w:pStyle w:val="20"/>
        <w:spacing w:before="29" w:after="0" w:line="288" w:lineRule="auto"/>
        <w:rPr>
          <w:rFonts w:ascii="Times New Roman" w:hAnsi="Times New Roman"/>
          <w:kern w:val="0"/>
          <w:szCs w:val="24"/>
        </w:rPr>
      </w:pPr>
      <w:bookmarkStart w:id="8" w:name="_Toc361324846"/>
      <w:r w:rsidRPr="00701155">
        <w:rPr>
          <w:rFonts w:ascii="Times New Roman" w:hAnsi="Times New Roman"/>
          <w:kern w:val="0"/>
          <w:szCs w:val="24"/>
        </w:rPr>
        <w:t xml:space="preserve">2.2 </w:t>
      </w:r>
      <w:r w:rsidRPr="00701155">
        <w:rPr>
          <w:rFonts w:ascii="Times New Roman" w:hAnsi="Times New Roman" w:hint="eastAsia"/>
          <w:kern w:val="0"/>
          <w:szCs w:val="24"/>
        </w:rPr>
        <w:t>基金产品说明</w:t>
      </w:r>
      <w:bookmarkEnd w:id="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000"/>
        <w:gridCol w:w="5998"/>
      </w:tblGrid>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投资目标</w:t>
            </w:r>
          </w:p>
        </w:tc>
        <w:tc>
          <w:tcPr>
            <w:tcW w:w="5998" w:type="dxa"/>
            <w:vAlign w:val="center"/>
          </w:tcPr>
          <w:p w:rsidR="001A59F9" w:rsidRPr="00A57672" w:rsidRDefault="001A59F9" w:rsidP="00A57672">
            <w:pPr>
              <w:spacing w:before="29" w:line="288" w:lineRule="auto"/>
              <w:rPr>
                <w:sz w:val="24"/>
              </w:rPr>
            </w:pPr>
            <w:r w:rsidRPr="00A57672">
              <w:rPr>
                <w:sz w:val="24"/>
              </w:rPr>
              <w:t>本基金属于成长型混合型基金，主要通过投资于不超过</w:t>
            </w:r>
            <w:r w:rsidRPr="00A57672">
              <w:rPr>
                <w:sz w:val="24"/>
              </w:rPr>
              <w:t>30</w:t>
            </w:r>
            <w:r w:rsidRPr="00A57672">
              <w:rPr>
                <w:sz w:val="24"/>
              </w:rPr>
              <w:t>只精选的成长</w:t>
            </w:r>
            <w:proofErr w:type="gramStart"/>
            <w:r w:rsidRPr="00A57672">
              <w:rPr>
                <w:sz w:val="24"/>
              </w:rPr>
              <w:t>型上市</w:t>
            </w:r>
            <w:proofErr w:type="gramEnd"/>
            <w:r w:rsidRPr="00A57672">
              <w:rPr>
                <w:sz w:val="24"/>
              </w:rPr>
              <w:t>公司股票，在适度控制风险并保持基金资产良好流动性的前提下，为基金份额持有人谋求长期、稳定的资本增值。</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投资策略</w:t>
            </w:r>
          </w:p>
        </w:tc>
        <w:tc>
          <w:tcPr>
            <w:tcW w:w="5998" w:type="dxa"/>
            <w:vAlign w:val="center"/>
          </w:tcPr>
          <w:p w:rsidR="001A59F9" w:rsidRPr="00A57672" w:rsidRDefault="001A59F9" w:rsidP="00A57672">
            <w:pPr>
              <w:spacing w:before="29" w:line="288" w:lineRule="auto"/>
              <w:rPr>
                <w:sz w:val="24"/>
              </w:rPr>
            </w:pPr>
            <w:r w:rsidRPr="00A57672">
              <w:rPr>
                <w:sz w:val="24"/>
              </w:rPr>
              <w:t>本基金充分发挥基金管理人的研究优势，将严谨、规范化的选股方法与积极主动的投资风格相结合，在分析和判断宏观经济运行和行业景气变化以及上市公司成长潜力的基础上，精选业务聚焦型、在所属行业内数一数二的成长</w:t>
            </w:r>
            <w:proofErr w:type="gramStart"/>
            <w:r w:rsidRPr="00A57672">
              <w:rPr>
                <w:sz w:val="24"/>
              </w:rPr>
              <w:t>型上市</w:t>
            </w:r>
            <w:proofErr w:type="gramEnd"/>
            <w:r w:rsidRPr="00A57672">
              <w:rPr>
                <w:sz w:val="24"/>
              </w:rPr>
              <w:t>公司股票，并通过持有不超过</w:t>
            </w:r>
            <w:r w:rsidRPr="00A57672">
              <w:rPr>
                <w:sz w:val="24"/>
              </w:rPr>
              <w:t>30</w:t>
            </w:r>
            <w:r w:rsidRPr="00A57672">
              <w:rPr>
                <w:sz w:val="24"/>
              </w:rPr>
              <w:t>只股票的集中持股策略，为基金资产谋求长期稳健增值。</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业绩比较基准</w:t>
            </w:r>
          </w:p>
        </w:tc>
        <w:tc>
          <w:tcPr>
            <w:tcW w:w="5998" w:type="dxa"/>
            <w:vAlign w:val="center"/>
          </w:tcPr>
          <w:p w:rsidR="001A59F9" w:rsidRPr="00A57672" w:rsidRDefault="001A59F9" w:rsidP="00A57672">
            <w:pPr>
              <w:spacing w:before="29" w:line="288" w:lineRule="auto"/>
              <w:rPr>
                <w:sz w:val="24"/>
              </w:rPr>
            </w:pPr>
            <w:r w:rsidRPr="00A57672">
              <w:rPr>
                <w:sz w:val="24"/>
              </w:rPr>
              <w:t>75%×</w:t>
            </w:r>
            <w:r w:rsidRPr="00A57672">
              <w:rPr>
                <w:sz w:val="24"/>
              </w:rPr>
              <w:t>富时中国</w:t>
            </w:r>
            <w:r w:rsidRPr="00A57672">
              <w:rPr>
                <w:sz w:val="24"/>
              </w:rPr>
              <w:t>A600</w:t>
            </w:r>
            <w:r w:rsidRPr="00A57672">
              <w:rPr>
                <w:sz w:val="24"/>
              </w:rPr>
              <w:t>成长指数收益率</w:t>
            </w:r>
            <w:r w:rsidRPr="00A57672">
              <w:rPr>
                <w:sz w:val="24"/>
              </w:rPr>
              <w:t>+25%×</w:t>
            </w:r>
            <w:r w:rsidRPr="00A57672">
              <w:rPr>
                <w:sz w:val="24"/>
              </w:rPr>
              <w:t>中证综合债券指数收益率</w:t>
            </w:r>
          </w:p>
        </w:tc>
      </w:tr>
      <w:tr w:rsidR="001A59F9" w:rsidRPr="00C51C77" w:rsidTr="00961313">
        <w:tc>
          <w:tcPr>
            <w:tcW w:w="3000" w:type="dxa"/>
            <w:vAlign w:val="center"/>
          </w:tcPr>
          <w:p w:rsidR="001A59F9" w:rsidRPr="00475872" w:rsidRDefault="001A59F9" w:rsidP="00475872">
            <w:pPr>
              <w:spacing w:before="29" w:line="288" w:lineRule="auto"/>
              <w:rPr>
                <w:sz w:val="24"/>
              </w:rPr>
            </w:pPr>
            <w:r w:rsidRPr="00475872">
              <w:rPr>
                <w:rFonts w:hint="eastAsia"/>
                <w:sz w:val="24"/>
              </w:rPr>
              <w:t>风险收益特征</w:t>
            </w:r>
          </w:p>
        </w:tc>
        <w:tc>
          <w:tcPr>
            <w:tcW w:w="5998" w:type="dxa"/>
            <w:vAlign w:val="center"/>
          </w:tcPr>
          <w:p w:rsidR="001A59F9" w:rsidRPr="00A57672" w:rsidRDefault="001A59F9" w:rsidP="00A57672">
            <w:pPr>
              <w:spacing w:before="29" w:line="288" w:lineRule="auto"/>
              <w:rPr>
                <w:sz w:val="24"/>
              </w:rPr>
            </w:pPr>
            <w:r w:rsidRPr="00A57672">
              <w:rPr>
                <w:sz w:val="24"/>
              </w:rPr>
              <w:t>本基金是一只混合型基金，</w:t>
            </w:r>
            <w:proofErr w:type="gramStart"/>
            <w:r w:rsidRPr="00A57672">
              <w:rPr>
                <w:sz w:val="24"/>
              </w:rPr>
              <w:t>以成长</w:t>
            </w:r>
            <w:proofErr w:type="gramEnd"/>
            <w:r w:rsidRPr="00A57672">
              <w:rPr>
                <w:sz w:val="24"/>
              </w:rPr>
              <w:t>型股票为主要投资对象，其风险和预期收益高于债券型基金和货币市场基金，低于股票型基金。属于承担较高风险、预期收益较高的证券投资基金品种。</w:t>
            </w:r>
          </w:p>
        </w:tc>
      </w:tr>
    </w:tbl>
    <w:p w:rsidR="000F6F95" w:rsidRPr="001A20CE" w:rsidRDefault="000F6F95" w:rsidP="001A20CE">
      <w:pPr>
        <w:tabs>
          <w:tab w:val="left" w:pos="426"/>
        </w:tabs>
        <w:spacing w:before="29" w:line="288" w:lineRule="auto"/>
        <w:jc w:val="left"/>
        <w:rPr>
          <w:kern w:val="0"/>
          <w:sz w:val="24"/>
        </w:rPr>
      </w:pPr>
    </w:p>
    <w:p w:rsidR="001A59F9" w:rsidRPr="00701155" w:rsidRDefault="001A59F9" w:rsidP="00701155">
      <w:pPr>
        <w:pStyle w:val="20"/>
        <w:spacing w:before="29" w:after="0" w:line="288" w:lineRule="auto"/>
        <w:rPr>
          <w:rFonts w:ascii="Times New Roman" w:hAnsi="Times New Roman"/>
          <w:kern w:val="0"/>
          <w:szCs w:val="24"/>
        </w:rPr>
      </w:pPr>
      <w:bookmarkStart w:id="9" w:name="_Toc225498247"/>
      <w:bookmarkStart w:id="10" w:name="_Toc361324847"/>
      <w:r w:rsidRPr="00701155">
        <w:rPr>
          <w:rFonts w:ascii="Times New Roman" w:hAnsi="Times New Roman"/>
          <w:kern w:val="0"/>
          <w:szCs w:val="24"/>
        </w:rPr>
        <w:t xml:space="preserve">2.3 </w:t>
      </w:r>
      <w:r w:rsidRPr="00701155">
        <w:rPr>
          <w:rFonts w:ascii="Times New Roman" w:hAnsi="Times New Roman" w:hint="eastAsia"/>
          <w:kern w:val="0"/>
          <w:szCs w:val="24"/>
        </w:rPr>
        <w:t>基金管理人和基金托管人</w:t>
      </w:r>
      <w:bookmarkEnd w:id="9"/>
      <w:bookmarkEnd w:id="1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276"/>
        <w:gridCol w:w="3118"/>
        <w:gridCol w:w="3328"/>
      </w:tblGrid>
      <w:tr w:rsidR="001A59F9" w:rsidRPr="00C51C77" w:rsidTr="00961313">
        <w:tc>
          <w:tcPr>
            <w:tcW w:w="2552" w:type="dxa"/>
            <w:gridSpan w:val="2"/>
            <w:vAlign w:val="center"/>
          </w:tcPr>
          <w:p w:rsidR="001A59F9" w:rsidRPr="00475872" w:rsidRDefault="001A59F9" w:rsidP="00475872">
            <w:pPr>
              <w:spacing w:before="29" w:line="288" w:lineRule="auto"/>
              <w:jc w:val="center"/>
              <w:rPr>
                <w:sz w:val="24"/>
              </w:rPr>
            </w:pPr>
            <w:r w:rsidRPr="00475872">
              <w:rPr>
                <w:rFonts w:hint="eastAsia"/>
                <w:sz w:val="24"/>
              </w:rPr>
              <w:t>项目</w:t>
            </w:r>
          </w:p>
        </w:tc>
        <w:tc>
          <w:tcPr>
            <w:tcW w:w="3118" w:type="dxa"/>
            <w:vAlign w:val="center"/>
          </w:tcPr>
          <w:p w:rsidR="001A59F9" w:rsidRPr="00475872" w:rsidRDefault="001A59F9" w:rsidP="00475872">
            <w:pPr>
              <w:spacing w:line="288" w:lineRule="auto"/>
              <w:jc w:val="center"/>
              <w:rPr>
                <w:sz w:val="24"/>
              </w:rPr>
            </w:pPr>
            <w:r w:rsidRPr="00475872">
              <w:rPr>
                <w:rFonts w:hint="eastAsia"/>
                <w:sz w:val="24"/>
              </w:rPr>
              <w:t>基金管理人</w:t>
            </w:r>
          </w:p>
        </w:tc>
        <w:tc>
          <w:tcPr>
            <w:tcW w:w="3328" w:type="dxa"/>
            <w:vAlign w:val="center"/>
          </w:tcPr>
          <w:p w:rsidR="001A59F9" w:rsidRPr="00475872" w:rsidRDefault="001A59F9" w:rsidP="00475872">
            <w:pPr>
              <w:spacing w:line="288" w:lineRule="auto"/>
              <w:jc w:val="center"/>
              <w:rPr>
                <w:sz w:val="24"/>
              </w:rPr>
            </w:pPr>
            <w:r w:rsidRPr="00475872">
              <w:rPr>
                <w:rFonts w:hint="eastAsia"/>
                <w:sz w:val="24"/>
              </w:rPr>
              <w:t>基金托管人</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名称</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交银施罗德基金管理有限公司</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中国建设银行股份有限公司</w:t>
            </w:r>
          </w:p>
        </w:tc>
      </w:tr>
      <w:tr w:rsidR="001A59F9" w:rsidRPr="00C51C77" w:rsidTr="00961313">
        <w:tc>
          <w:tcPr>
            <w:tcW w:w="1276" w:type="dxa"/>
            <w:vMerge w:val="restart"/>
            <w:vAlign w:val="center"/>
          </w:tcPr>
          <w:p w:rsidR="001A59F9" w:rsidRPr="00475872" w:rsidRDefault="001A59F9" w:rsidP="00475872">
            <w:pPr>
              <w:spacing w:before="29" w:line="288" w:lineRule="auto"/>
              <w:rPr>
                <w:sz w:val="24"/>
              </w:rPr>
            </w:pPr>
            <w:r w:rsidRPr="00475872">
              <w:rPr>
                <w:rFonts w:hint="eastAsia"/>
                <w:sz w:val="24"/>
              </w:rPr>
              <w:lastRenderedPageBreak/>
              <w:t>信息披露负责人</w:t>
            </w:r>
          </w:p>
        </w:tc>
        <w:tc>
          <w:tcPr>
            <w:tcW w:w="1276" w:type="dxa"/>
            <w:vAlign w:val="center"/>
          </w:tcPr>
          <w:p w:rsidR="001A59F9" w:rsidRPr="00475872" w:rsidRDefault="001A59F9" w:rsidP="00475872">
            <w:pPr>
              <w:spacing w:line="288" w:lineRule="auto"/>
              <w:jc w:val="center"/>
              <w:rPr>
                <w:sz w:val="24"/>
              </w:rPr>
            </w:pPr>
            <w:r w:rsidRPr="00475872">
              <w:rPr>
                <w:rFonts w:hint="eastAsia"/>
                <w:sz w:val="24"/>
              </w:rPr>
              <w:t>姓名</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孙艳</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田青</w:t>
            </w:r>
          </w:p>
        </w:tc>
      </w:tr>
      <w:tr w:rsidR="001A59F9" w:rsidRPr="00C51C77" w:rsidTr="00961313">
        <w:tc>
          <w:tcPr>
            <w:tcW w:w="1276" w:type="dxa"/>
            <w:vMerge/>
            <w:vAlign w:val="center"/>
          </w:tcPr>
          <w:p w:rsidR="001A59F9" w:rsidRPr="00475872" w:rsidRDefault="001A59F9" w:rsidP="00475872">
            <w:pPr>
              <w:spacing w:before="29" w:line="288" w:lineRule="auto"/>
              <w:rPr>
                <w:sz w:val="24"/>
              </w:rPr>
            </w:pPr>
          </w:p>
        </w:tc>
        <w:tc>
          <w:tcPr>
            <w:tcW w:w="1276" w:type="dxa"/>
            <w:vAlign w:val="center"/>
          </w:tcPr>
          <w:p w:rsidR="001A59F9" w:rsidRPr="00475872" w:rsidRDefault="001A59F9" w:rsidP="00475872">
            <w:pPr>
              <w:autoSpaceDE w:val="0"/>
              <w:autoSpaceDN w:val="0"/>
              <w:adjustRightInd w:val="0"/>
              <w:spacing w:before="29" w:line="288" w:lineRule="auto"/>
              <w:ind w:left="15"/>
              <w:rPr>
                <w:sz w:val="24"/>
              </w:rPr>
            </w:pPr>
            <w:r w:rsidRPr="00475872">
              <w:rPr>
                <w:rFonts w:hint="eastAsia"/>
                <w:sz w:val="24"/>
              </w:rPr>
              <w:t>联系电话</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w:t>
            </w:r>
            <w:r w:rsidRPr="00A57672">
              <w:rPr>
                <w:color w:val="000000"/>
                <w:kern w:val="0"/>
                <w:sz w:val="24"/>
              </w:rPr>
              <w:t>021</w:t>
            </w:r>
            <w:r w:rsidRPr="00A57672">
              <w:rPr>
                <w:color w:val="000000"/>
                <w:kern w:val="0"/>
                <w:sz w:val="24"/>
              </w:rPr>
              <w:t>）</w:t>
            </w:r>
            <w:r w:rsidRPr="00A57672">
              <w:rPr>
                <w:color w:val="000000"/>
                <w:kern w:val="0"/>
                <w:sz w:val="24"/>
              </w:rPr>
              <w:t>61055050</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010-67595096</w:t>
            </w:r>
          </w:p>
        </w:tc>
      </w:tr>
      <w:tr w:rsidR="001A59F9" w:rsidRPr="00C51C77" w:rsidTr="00961313">
        <w:tc>
          <w:tcPr>
            <w:tcW w:w="1276" w:type="dxa"/>
            <w:vMerge/>
            <w:vAlign w:val="center"/>
          </w:tcPr>
          <w:p w:rsidR="001A59F9" w:rsidRPr="00475872" w:rsidRDefault="001A59F9" w:rsidP="00475872">
            <w:pPr>
              <w:spacing w:before="29" w:line="288" w:lineRule="auto"/>
              <w:rPr>
                <w:sz w:val="24"/>
              </w:rPr>
            </w:pPr>
          </w:p>
        </w:tc>
        <w:tc>
          <w:tcPr>
            <w:tcW w:w="1276" w:type="dxa"/>
            <w:vAlign w:val="center"/>
          </w:tcPr>
          <w:p w:rsidR="001A59F9" w:rsidRPr="00475872" w:rsidRDefault="001A59F9" w:rsidP="00475872">
            <w:pPr>
              <w:autoSpaceDE w:val="0"/>
              <w:autoSpaceDN w:val="0"/>
              <w:adjustRightInd w:val="0"/>
              <w:spacing w:before="29" w:line="288" w:lineRule="auto"/>
              <w:ind w:left="15"/>
              <w:rPr>
                <w:sz w:val="24"/>
              </w:rPr>
            </w:pPr>
            <w:r w:rsidRPr="00475872">
              <w:rPr>
                <w:rFonts w:hint="eastAsia"/>
                <w:sz w:val="24"/>
              </w:rPr>
              <w:t>电子邮箱</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xxpl@jysld.com,disclosure@jysld.com</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tianqing1.zh@ccb.com</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客户服务电话</w:t>
            </w:r>
          </w:p>
        </w:tc>
        <w:tc>
          <w:tcPr>
            <w:tcW w:w="311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400-700-5000</w:t>
            </w:r>
            <w:r w:rsidRPr="00A57672">
              <w:rPr>
                <w:color w:val="000000"/>
                <w:kern w:val="0"/>
                <w:sz w:val="24"/>
              </w:rPr>
              <w:t>，</w:t>
            </w:r>
            <w:r w:rsidRPr="00A57672">
              <w:rPr>
                <w:color w:val="000000"/>
                <w:kern w:val="0"/>
                <w:sz w:val="24"/>
              </w:rPr>
              <w:t>021-61055000</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010-67595096</w:t>
            </w:r>
          </w:p>
        </w:tc>
      </w:tr>
      <w:tr w:rsidR="001A59F9" w:rsidRPr="00C51C77" w:rsidTr="00961313">
        <w:tc>
          <w:tcPr>
            <w:tcW w:w="2552" w:type="dxa"/>
            <w:gridSpan w:val="2"/>
            <w:vAlign w:val="center"/>
          </w:tcPr>
          <w:p w:rsidR="001A59F9" w:rsidRPr="00475872" w:rsidRDefault="001A59F9" w:rsidP="00475872">
            <w:pPr>
              <w:spacing w:before="29" w:line="288" w:lineRule="auto"/>
              <w:rPr>
                <w:sz w:val="24"/>
              </w:rPr>
            </w:pPr>
            <w:r w:rsidRPr="00475872">
              <w:rPr>
                <w:rFonts w:hint="eastAsia"/>
                <w:sz w:val="24"/>
              </w:rPr>
              <w:t>传真</w:t>
            </w:r>
          </w:p>
        </w:tc>
        <w:tc>
          <w:tcPr>
            <w:tcW w:w="3118" w:type="dxa"/>
            <w:vAlign w:val="center"/>
          </w:tcPr>
          <w:p w:rsidR="001A59F9" w:rsidRPr="00A57672" w:rsidRDefault="001A59F9" w:rsidP="00574418">
            <w:pPr>
              <w:autoSpaceDE w:val="0"/>
              <w:autoSpaceDN w:val="0"/>
              <w:adjustRightInd w:val="0"/>
              <w:spacing w:before="29" w:line="288" w:lineRule="auto"/>
              <w:ind w:left="15"/>
              <w:jc w:val="center"/>
              <w:rPr>
                <w:color w:val="000000"/>
                <w:kern w:val="0"/>
                <w:sz w:val="24"/>
              </w:rPr>
            </w:pPr>
            <w:r w:rsidRPr="00A57672">
              <w:rPr>
                <w:color w:val="000000"/>
                <w:kern w:val="0"/>
                <w:sz w:val="24"/>
              </w:rPr>
              <w:t>（</w:t>
            </w:r>
            <w:r w:rsidRPr="00A57672">
              <w:rPr>
                <w:color w:val="000000"/>
                <w:kern w:val="0"/>
                <w:sz w:val="24"/>
              </w:rPr>
              <w:t>021</w:t>
            </w:r>
            <w:r w:rsidRPr="00A57672">
              <w:rPr>
                <w:color w:val="000000"/>
                <w:kern w:val="0"/>
                <w:sz w:val="24"/>
              </w:rPr>
              <w:t>）</w:t>
            </w:r>
            <w:r w:rsidRPr="00A57672">
              <w:rPr>
                <w:color w:val="000000"/>
                <w:kern w:val="0"/>
                <w:sz w:val="24"/>
              </w:rPr>
              <w:t>610550</w:t>
            </w:r>
            <w:r w:rsidR="00574418">
              <w:rPr>
                <w:color w:val="000000"/>
                <w:kern w:val="0"/>
                <w:sz w:val="24"/>
              </w:rPr>
              <w:t>5</w:t>
            </w:r>
            <w:r w:rsidRPr="00A57672">
              <w:rPr>
                <w:color w:val="000000"/>
                <w:kern w:val="0"/>
                <w:sz w:val="24"/>
              </w:rPr>
              <w:t>4</w:t>
            </w:r>
          </w:p>
        </w:tc>
        <w:tc>
          <w:tcPr>
            <w:tcW w:w="3328" w:type="dxa"/>
            <w:vAlign w:val="center"/>
          </w:tcPr>
          <w:p w:rsidR="001A59F9" w:rsidRPr="00A57672" w:rsidRDefault="001A59F9" w:rsidP="00A57672">
            <w:pPr>
              <w:autoSpaceDE w:val="0"/>
              <w:autoSpaceDN w:val="0"/>
              <w:adjustRightInd w:val="0"/>
              <w:spacing w:before="29" w:line="288" w:lineRule="auto"/>
              <w:ind w:left="15"/>
              <w:jc w:val="center"/>
              <w:rPr>
                <w:color w:val="000000"/>
                <w:kern w:val="0"/>
                <w:sz w:val="24"/>
              </w:rPr>
            </w:pPr>
            <w:r w:rsidRPr="00A57672">
              <w:rPr>
                <w:color w:val="000000"/>
                <w:kern w:val="0"/>
                <w:sz w:val="24"/>
              </w:rPr>
              <w:t>010-66275853</w:t>
            </w:r>
          </w:p>
        </w:tc>
      </w:tr>
    </w:tbl>
    <w:p w:rsidR="001A59F9" w:rsidRPr="00C51C77" w:rsidRDefault="001A59F9" w:rsidP="00026C9C">
      <w:pPr>
        <w:tabs>
          <w:tab w:val="left" w:pos="1740"/>
        </w:tabs>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11" w:name="_Toc225498248"/>
      <w:bookmarkStart w:id="12" w:name="_Toc361324848"/>
      <w:r w:rsidRPr="00701155">
        <w:rPr>
          <w:rFonts w:ascii="Times New Roman" w:hAnsi="Times New Roman"/>
          <w:kern w:val="0"/>
          <w:szCs w:val="24"/>
        </w:rPr>
        <w:t xml:space="preserve">2.4 </w:t>
      </w:r>
      <w:r w:rsidRPr="00701155">
        <w:rPr>
          <w:rFonts w:ascii="Times New Roman" w:hAnsi="Times New Roman" w:hint="eastAsia"/>
          <w:kern w:val="0"/>
          <w:szCs w:val="24"/>
        </w:rPr>
        <w:t>信息披露方式</w:t>
      </w:r>
      <w:bookmarkEnd w:id="11"/>
      <w:bookmarkEnd w:id="12"/>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1A59F9" w:rsidRPr="00C51C77" w:rsidTr="00E75ED1">
        <w:tc>
          <w:tcPr>
            <w:tcW w:w="3459" w:type="dxa"/>
            <w:vAlign w:val="center"/>
          </w:tcPr>
          <w:p w:rsidR="001A59F9" w:rsidRPr="009A3C12" w:rsidRDefault="00963D03" w:rsidP="009A3C12">
            <w:pPr>
              <w:autoSpaceDE w:val="0"/>
              <w:autoSpaceDN w:val="0"/>
              <w:adjustRightInd w:val="0"/>
              <w:spacing w:before="29" w:line="288" w:lineRule="auto"/>
              <w:ind w:left="15"/>
              <w:jc w:val="left"/>
              <w:rPr>
                <w:kern w:val="0"/>
                <w:sz w:val="24"/>
              </w:rPr>
            </w:pPr>
            <w:r w:rsidRPr="009A3C12">
              <w:rPr>
                <w:rFonts w:hint="eastAsia"/>
                <w:kern w:val="0"/>
                <w:sz w:val="24"/>
              </w:rPr>
              <w:t>登载基金年度报告</w:t>
            </w:r>
            <w:r w:rsidR="00AB0828">
              <w:rPr>
                <w:rFonts w:hint="eastAsia"/>
                <w:color w:val="000000"/>
                <w:sz w:val="24"/>
              </w:rPr>
              <w:t>正文</w:t>
            </w:r>
            <w:r w:rsidR="001A59F9" w:rsidRPr="009A3C12">
              <w:rPr>
                <w:rFonts w:hint="eastAsia"/>
                <w:kern w:val="0"/>
                <w:sz w:val="24"/>
              </w:rPr>
              <w:t>的管理人互联网网址</w:t>
            </w:r>
          </w:p>
        </w:tc>
        <w:tc>
          <w:tcPr>
            <w:tcW w:w="3459" w:type="dxa"/>
            <w:vAlign w:val="center"/>
          </w:tcPr>
          <w:p w:rsidR="001A59F9" w:rsidRPr="00A57672" w:rsidRDefault="001A59F9" w:rsidP="00A57672">
            <w:pPr>
              <w:tabs>
                <w:tab w:val="left" w:pos="1740"/>
              </w:tabs>
              <w:spacing w:before="29" w:line="288" w:lineRule="auto"/>
              <w:rPr>
                <w:color w:val="000000"/>
                <w:sz w:val="24"/>
              </w:rPr>
            </w:pPr>
            <w:r w:rsidRPr="00A57672">
              <w:rPr>
                <w:color w:val="000000"/>
                <w:sz w:val="24"/>
              </w:rPr>
              <w:t>www.fund001.com</w:t>
            </w:r>
            <w:r w:rsidRPr="00A57672">
              <w:rPr>
                <w:color w:val="000000"/>
                <w:sz w:val="24"/>
              </w:rPr>
              <w:t>，</w:t>
            </w:r>
            <w:r w:rsidRPr="00A57672">
              <w:rPr>
                <w:color w:val="000000"/>
                <w:sz w:val="24"/>
              </w:rPr>
              <w:t>www.bocomschroder.com</w:t>
            </w:r>
          </w:p>
        </w:tc>
      </w:tr>
      <w:tr w:rsidR="001A59F9" w:rsidRPr="00C51C77" w:rsidTr="00E75ED1">
        <w:tc>
          <w:tcPr>
            <w:tcW w:w="3459" w:type="dxa"/>
            <w:vAlign w:val="center"/>
          </w:tcPr>
          <w:p w:rsidR="001A59F9" w:rsidRPr="009A3C12" w:rsidRDefault="001A59F9" w:rsidP="009A3C12">
            <w:pPr>
              <w:autoSpaceDE w:val="0"/>
              <w:autoSpaceDN w:val="0"/>
              <w:adjustRightInd w:val="0"/>
              <w:spacing w:before="29" w:line="288" w:lineRule="auto"/>
              <w:ind w:left="15"/>
              <w:jc w:val="left"/>
              <w:rPr>
                <w:kern w:val="0"/>
                <w:sz w:val="24"/>
              </w:rPr>
            </w:pPr>
            <w:r w:rsidRPr="009A3C12">
              <w:rPr>
                <w:rFonts w:hint="eastAsia"/>
                <w:kern w:val="0"/>
                <w:sz w:val="24"/>
              </w:rPr>
              <w:t>基金年度报告备置地点</w:t>
            </w:r>
          </w:p>
        </w:tc>
        <w:tc>
          <w:tcPr>
            <w:tcW w:w="3459" w:type="dxa"/>
            <w:vAlign w:val="center"/>
          </w:tcPr>
          <w:p w:rsidR="001A59F9" w:rsidRPr="00A57672" w:rsidRDefault="001A59F9" w:rsidP="00A57672">
            <w:pPr>
              <w:tabs>
                <w:tab w:val="left" w:pos="1740"/>
              </w:tabs>
              <w:spacing w:before="29" w:line="288" w:lineRule="auto"/>
              <w:rPr>
                <w:color w:val="000000"/>
                <w:sz w:val="24"/>
              </w:rPr>
            </w:pPr>
            <w:r w:rsidRPr="00A57672">
              <w:rPr>
                <w:color w:val="000000"/>
                <w:sz w:val="24"/>
              </w:rPr>
              <w:t>基金管理人的办公场所</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Default="001A59F9" w:rsidP="00181618">
      <w:pPr>
        <w:pStyle w:val="1"/>
        <w:keepNext/>
        <w:keepLines/>
        <w:widowControl w:val="0"/>
        <w:spacing w:beforeLines="100" w:before="312" w:afterLines="100" w:after="312" w:line="288" w:lineRule="auto"/>
        <w:jc w:val="center"/>
        <w:rPr>
          <w:b/>
          <w:bCs/>
          <w:szCs w:val="24"/>
          <w:lang w:val="en-US"/>
        </w:rPr>
      </w:pPr>
      <w:bookmarkStart w:id="13" w:name="_Toc225498250"/>
      <w:bookmarkStart w:id="14" w:name="_Toc361324850"/>
      <w:bookmarkStart w:id="15" w:name="_Toc194312019"/>
      <w:bookmarkStart w:id="16" w:name="_Toc193947512"/>
      <w:r w:rsidRPr="0021360C">
        <w:rPr>
          <w:rFonts w:hint="eastAsia"/>
          <w:b/>
          <w:bCs/>
          <w:szCs w:val="24"/>
          <w:lang w:val="en-US"/>
        </w:rPr>
        <w:t>§</w:t>
      </w:r>
      <w:r w:rsidRPr="0021360C">
        <w:rPr>
          <w:b/>
          <w:bCs/>
          <w:szCs w:val="24"/>
          <w:lang w:val="en-US"/>
        </w:rPr>
        <w:t xml:space="preserve">3 </w:t>
      </w:r>
      <w:r w:rsidR="009153A3" w:rsidRPr="0021360C">
        <w:rPr>
          <w:rFonts w:hint="eastAsia"/>
          <w:b/>
          <w:bCs/>
          <w:szCs w:val="24"/>
          <w:lang w:val="en-US"/>
        </w:rPr>
        <w:t xml:space="preserve"> </w:t>
      </w:r>
      <w:r w:rsidRPr="0021360C">
        <w:rPr>
          <w:rFonts w:hint="eastAsia"/>
          <w:b/>
          <w:bCs/>
          <w:szCs w:val="24"/>
          <w:lang w:val="en-US"/>
        </w:rPr>
        <w:t>主要财务指标、基金净值表现</w:t>
      </w:r>
      <w:bookmarkEnd w:id="13"/>
      <w:r w:rsidRPr="0021360C">
        <w:rPr>
          <w:rFonts w:hint="eastAsia"/>
          <w:b/>
          <w:bCs/>
          <w:szCs w:val="24"/>
          <w:lang w:val="en-US"/>
        </w:rPr>
        <w:t>及利润分配情况</w:t>
      </w:r>
      <w:bookmarkEnd w:id="14"/>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17" w:name="_Toc286996129"/>
      <w:bookmarkStart w:id="18" w:name="_Toc361324851"/>
      <w:r w:rsidRPr="00701155">
        <w:rPr>
          <w:rFonts w:ascii="Times New Roman" w:hAnsi="Times New Roman"/>
          <w:kern w:val="0"/>
          <w:szCs w:val="24"/>
        </w:rPr>
        <w:t xml:space="preserve">3.1 </w:t>
      </w:r>
      <w:r w:rsidRPr="00701155">
        <w:rPr>
          <w:rFonts w:ascii="Times New Roman" w:hAnsi="Times New Roman" w:hint="eastAsia"/>
          <w:kern w:val="0"/>
          <w:szCs w:val="24"/>
        </w:rPr>
        <w:t>主要会计数据和财务指标</w:t>
      </w:r>
      <w:bookmarkEnd w:id="17"/>
      <w:bookmarkEnd w:id="18"/>
    </w:p>
    <w:p w:rsidR="001A59F9" w:rsidRPr="00A6320B" w:rsidRDefault="001A59F9" w:rsidP="00A6320B">
      <w:pPr>
        <w:autoSpaceDE w:val="0"/>
        <w:autoSpaceDN w:val="0"/>
        <w:adjustRightInd w:val="0"/>
        <w:spacing w:before="29" w:line="288" w:lineRule="auto"/>
        <w:ind w:left="15"/>
        <w:jc w:val="right"/>
        <w:rPr>
          <w:color w:val="000000"/>
          <w:kern w:val="0"/>
          <w:sz w:val="24"/>
        </w:rPr>
      </w:pPr>
      <w:r w:rsidRPr="00A6320B">
        <w:rPr>
          <w:rFonts w:hint="eastAsia"/>
          <w:color w:val="000000"/>
          <w:kern w:val="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50"/>
        <w:gridCol w:w="2286"/>
        <w:gridCol w:w="2268"/>
        <w:gridCol w:w="2194"/>
      </w:tblGrid>
      <w:tr w:rsidR="00501A91" w:rsidRPr="00931B45" w:rsidTr="00A6320B">
        <w:trPr>
          <w:trHeight w:val="487"/>
        </w:trPr>
        <w:tc>
          <w:tcPr>
            <w:tcW w:w="2250" w:type="dxa"/>
            <w:vAlign w:val="center"/>
          </w:tcPr>
          <w:bookmarkEnd w:id="15"/>
          <w:bookmarkEnd w:id="16"/>
          <w:p w:rsidR="00501A91" w:rsidRPr="00931B45" w:rsidRDefault="00501A91" w:rsidP="00D415F5">
            <w:pPr>
              <w:spacing w:before="29" w:line="288" w:lineRule="auto"/>
              <w:rPr>
                <w:b/>
                <w:szCs w:val="21"/>
              </w:rPr>
            </w:pPr>
            <w:r w:rsidRPr="00931B45">
              <w:rPr>
                <w:b/>
                <w:szCs w:val="21"/>
              </w:rPr>
              <w:t xml:space="preserve">3.1.1 </w:t>
            </w:r>
            <w:r w:rsidRPr="00931B45">
              <w:rPr>
                <w:rFonts w:hint="eastAsia"/>
                <w:b/>
                <w:szCs w:val="21"/>
              </w:rPr>
              <w:t>期间数据和指标</w:t>
            </w:r>
          </w:p>
        </w:tc>
        <w:tc>
          <w:tcPr>
            <w:tcW w:w="2286" w:type="dxa"/>
            <w:vAlign w:val="center"/>
          </w:tcPr>
          <w:p w:rsidR="00501A91" w:rsidRPr="00931B45" w:rsidRDefault="00501A91" w:rsidP="00D415F5">
            <w:pPr>
              <w:spacing w:before="29" w:line="288" w:lineRule="auto"/>
              <w:jc w:val="center"/>
              <w:rPr>
                <w:b/>
                <w:szCs w:val="21"/>
              </w:rPr>
            </w:pPr>
            <w:r w:rsidRPr="00931B45">
              <w:rPr>
                <w:b/>
                <w:szCs w:val="21"/>
              </w:rPr>
              <w:t>2016</w:t>
            </w:r>
            <w:r w:rsidRPr="00931B45">
              <w:rPr>
                <w:b/>
                <w:szCs w:val="21"/>
              </w:rPr>
              <w:t>年</w:t>
            </w:r>
          </w:p>
        </w:tc>
        <w:tc>
          <w:tcPr>
            <w:tcW w:w="2268" w:type="dxa"/>
            <w:vAlign w:val="center"/>
          </w:tcPr>
          <w:p w:rsidR="00501A91" w:rsidRPr="00931B45" w:rsidRDefault="00501A91" w:rsidP="00D415F5">
            <w:pPr>
              <w:spacing w:before="29" w:line="288" w:lineRule="auto"/>
              <w:jc w:val="center"/>
              <w:rPr>
                <w:b/>
                <w:szCs w:val="21"/>
              </w:rPr>
            </w:pPr>
            <w:r w:rsidRPr="00931B45">
              <w:rPr>
                <w:b/>
                <w:szCs w:val="21"/>
              </w:rPr>
              <w:t>2015</w:t>
            </w:r>
            <w:r w:rsidRPr="00931B45">
              <w:rPr>
                <w:b/>
                <w:szCs w:val="21"/>
              </w:rPr>
              <w:t>年</w:t>
            </w:r>
          </w:p>
        </w:tc>
        <w:tc>
          <w:tcPr>
            <w:tcW w:w="2194" w:type="dxa"/>
            <w:vAlign w:val="center"/>
          </w:tcPr>
          <w:p w:rsidR="00501A91" w:rsidRPr="00931B45" w:rsidRDefault="00501A91" w:rsidP="00D415F5">
            <w:pPr>
              <w:spacing w:before="29" w:line="288" w:lineRule="auto"/>
              <w:jc w:val="center"/>
              <w:rPr>
                <w:b/>
                <w:szCs w:val="21"/>
              </w:rPr>
            </w:pPr>
            <w:r w:rsidRPr="00931B45">
              <w:rPr>
                <w:b/>
                <w:szCs w:val="21"/>
              </w:rPr>
              <w:t>2014</w:t>
            </w:r>
            <w:r w:rsidRPr="00931B45">
              <w:rPr>
                <w:b/>
                <w:szCs w:val="21"/>
              </w:rPr>
              <w:t>年</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本期已实现收益</w:t>
            </w:r>
          </w:p>
        </w:tc>
        <w:tc>
          <w:tcPr>
            <w:tcW w:w="2286" w:type="dxa"/>
            <w:vAlign w:val="center"/>
          </w:tcPr>
          <w:p w:rsidR="00501A91" w:rsidRPr="00931B45" w:rsidRDefault="00501A91" w:rsidP="00D415F5">
            <w:pPr>
              <w:spacing w:before="29" w:line="288" w:lineRule="auto"/>
              <w:jc w:val="right"/>
              <w:rPr>
                <w:szCs w:val="21"/>
              </w:rPr>
            </w:pPr>
            <w:r w:rsidRPr="00931B45">
              <w:rPr>
                <w:szCs w:val="21"/>
              </w:rPr>
              <w:t>-5,196,336.30</w:t>
            </w:r>
          </w:p>
        </w:tc>
        <w:tc>
          <w:tcPr>
            <w:tcW w:w="2268" w:type="dxa"/>
            <w:vAlign w:val="center"/>
          </w:tcPr>
          <w:p w:rsidR="00501A91" w:rsidRPr="00931B45" w:rsidRDefault="00501A91" w:rsidP="00D415F5">
            <w:pPr>
              <w:spacing w:before="29" w:line="288" w:lineRule="auto"/>
              <w:jc w:val="right"/>
              <w:rPr>
                <w:szCs w:val="21"/>
              </w:rPr>
            </w:pPr>
            <w:r w:rsidRPr="00931B45">
              <w:rPr>
                <w:szCs w:val="21"/>
              </w:rPr>
              <w:t>73,256,819.50</w:t>
            </w:r>
          </w:p>
        </w:tc>
        <w:tc>
          <w:tcPr>
            <w:tcW w:w="2194" w:type="dxa"/>
            <w:vAlign w:val="center"/>
          </w:tcPr>
          <w:p w:rsidR="00501A91" w:rsidRPr="00931B45" w:rsidRDefault="00501A91" w:rsidP="00D415F5">
            <w:pPr>
              <w:spacing w:before="29" w:line="288" w:lineRule="auto"/>
              <w:jc w:val="right"/>
              <w:rPr>
                <w:szCs w:val="21"/>
              </w:rPr>
            </w:pPr>
            <w:r w:rsidRPr="00931B45">
              <w:rPr>
                <w:szCs w:val="21"/>
              </w:rPr>
              <w:t>89,174,295.42</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本期利润</w:t>
            </w:r>
          </w:p>
        </w:tc>
        <w:tc>
          <w:tcPr>
            <w:tcW w:w="2286" w:type="dxa"/>
            <w:vAlign w:val="center"/>
          </w:tcPr>
          <w:p w:rsidR="00501A91" w:rsidRPr="00931B45" w:rsidRDefault="00501A91" w:rsidP="00D415F5">
            <w:pPr>
              <w:spacing w:before="29" w:line="288" w:lineRule="auto"/>
              <w:jc w:val="right"/>
              <w:rPr>
                <w:szCs w:val="21"/>
              </w:rPr>
            </w:pPr>
            <w:r w:rsidRPr="00931B45">
              <w:rPr>
                <w:szCs w:val="21"/>
              </w:rPr>
              <w:t>-17,497,331.20</w:t>
            </w:r>
          </w:p>
        </w:tc>
        <w:tc>
          <w:tcPr>
            <w:tcW w:w="2268" w:type="dxa"/>
            <w:vAlign w:val="center"/>
          </w:tcPr>
          <w:p w:rsidR="00501A91" w:rsidRPr="00931B45" w:rsidRDefault="00501A91" w:rsidP="00D415F5">
            <w:pPr>
              <w:spacing w:before="29" w:line="288" w:lineRule="auto"/>
              <w:jc w:val="right"/>
              <w:rPr>
                <w:szCs w:val="21"/>
              </w:rPr>
            </w:pPr>
            <w:r w:rsidRPr="00931B45">
              <w:rPr>
                <w:szCs w:val="21"/>
              </w:rPr>
              <w:t>66,535,518.58</w:t>
            </w:r>
          </w:p>
        </w:tc>
        <w:tc>
          <w:tcPr>
            <w:tcW w:w="2194" w:type="dxa"/>
            <w:vAlign w:val="center"/>
          </w:tcPr>
          <w:p w:rsidR="00501A91" w:rsidRPr="00931B45" w:rsidRDefault="00501A91" w:rsidP="00D415F5">
            <w:pPr>
              <w:spacing w:before="29" w:line="288" w:lineRule="auto"/>
              <w:jc w:val="right"/>
              <w:rPr>
                <w:szCs w:val="21"/>
              </w:rPr>
            </w:pPr>
            <w:r w:rsidRPr="00931B45">
              <w:rPr>
                <w:szCs w:val="21"/>
              </w:rPr>
              <w:t>79,283,497.02</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加权平均基金份额本期利润</w:t>
            </w:r>
          </w:p>
        </w:tc>
        <w:tc>
          <w:tcPr>
            <w:tcW w:w="2286" w:type="dxa"/>
            <w:vAlign w:val="center"/>
          </w:tcPr>
          <w:p w:rsidR="00501A91" w:rsidRPr="00931B45" w:rsidRDefault="00501A91" w:rsidP="00D415F5">
            <w:pPr>
              <w:spacing w:before="29" w:line="288" w:lineRule="auto"/>
              <w:jc w:val="right"/>
              <w:rPr>
                <w:szCs w:val="21"/>
              </w:rPr>
            </w:pPr>
            <w:r w:rsidRPr="00931B45">
              <w:rPr>
                <w:szCs w:val="21"/>
              </w:rPr>
              <w:t>-0.2254</w:t>
            </w:r>
          </w:p>
        </w:tc>
        <w:tc>
          <w:tcPr>
            <w:tcW w:w="2268" w:type="dxa"/>
            <w:vAlign w:val="center"/>
          </w:tcPr>
          <w:p w:rsidR="00501A91" w:rsidRPr="00931B45" w:rsidRDefault="00501A91" w:rsidP="00D415F5">
            <w:pPr>
              <w:spacing w:before="29" w:line="288" w:lineRule="auto"/>
              <w:jc w:val="right"/>
              <w:rPr>
                <w:szCs w:val="21"/>
              </w:rPr>
            </w:pPr>
            <w:r w:rsidRPr="00931B45">
              <w:rPr>
                <w:szCs w:val="21"/>
              </w:rPr>
              <w:t>0.6929</w:t>
            </w:r>
          </w:p>
        </w:tc>
        <w:tc>
          <w:tcPr>
            <w:tcW w:w="2194" w:type="dxa"/>
            <w:vAlign w:val="center"/>
          </w:tcPr>
          <w:p w:rsidR="00501A91" w:rsidRPr="00931B45" w:rsidRDefault="00501A91" w:rsidP="00D415F5">
            <w:pPr>
              <w:spacing w:before="29" w:line="288" w:lineRule="auto"/>
              <w:jc w:val="right"/>
              <w:rPr>
                <w:szCs w:val="21"/>
              </w:rPr>
            </w:pPr>
            <w:r w:rsidRPr="00931B45">
              <w:rPr>
                <w:szCs w:val="21"/>
              </w:rPr>
              <w:t>0.0989</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本期基金份额净值增长率</w:t>
            </w:r>
          </w:p>
        </w:tc>
        <w:tc>
          <w:tcPr>
            <w:tcW w:w="2286" w:type="dxa"/>
            <w:vAlign w:val="center"/>
          </w:tcPr>
          <w:p w:rsidR="00501A91" w:rsidRPr="00931B45" w:rsidRDefault="00501A91" w:rsidP="00D415F5">
            <w:pPr>
              <w:spacing w:before="29" w:line="288" w:lineRule="auto"/>
              <w:jc w:val="right"/>
              <w:rPr>
                <w:szCs w:val="21"/>
              </w:rPr>
            </w:pPr>
            <w:r w:rsidRPr="00931B45">
              <w:rPr>
                <w:szCs w:val="21"/>
              </w:rPr>
              <w:t>-9.13%</w:t>
            </w:r>
          </w:p>
        </w:tc>
        <w:tc>
          <w:tcPr>
            <w:tcW w:w="2268" w:type="dxa"/>
            <w:vAlign w:val="center"/>
          </w:tcPr>
          <w:p w:rsidR="00501A91" w:rsidRPr="00931B45" w:rsidRDefault="00501A91" w:rsidP="00D415F5">
            <w:pPr>
              <w:spacing w:before="29" w:line="288" w:lineRule="auto"/>
              <w:jc w:val="right"/>
              <w:rPr>
                <w:szCs w:val="21"/>
              </w:rPr>
            </w:pPr>
            <w:r w:rsidRPr="00931B45">
              <w:rPr>
                <w:szCs w:val="21"/>
              </w:rPr>
              <w:t>46.80%</w:t>
            </w:r>
          </w:p>
        </w:tc>
        <w:tc>
          <w:tcPr>
            <w:tcW w:w="2194" w:type="dxa"/>
            <w:vAlign w:val="center"/>
          </w:tcPr>
          <w:p w:rsidR="00501A91" w:rsidRPr="00931B45" w:rsidRDefault="00501A91" w:rsidP="00D415F5">
            <w:pPr>
              <w:spacing w:before="29" w:line="288" w:lineRule="auto"/>
              <w:jc w:val="right"/>
              <w:rPr>
                <w:szCs w:val="21"/>
              </w:rPr>
            </w:pPr>
            <w:r w:rsidRPr="00931B45">
              <w:rPr>
                <w:szCs w:val="21"/>
              </w:rPr>
              <w:t>11.75%</w:t>
            </w:r>
          </w:p>
        </w:tc>
      </w:tr>
      <w:tr w:rsidR="00501A91" w:rsidRPr="00931B45" w:rsidTr="00A6320B">
        <w:tc>
          <w:tcPr>
            <w:tcW w:w="2250" w:type="dxa"/>
            <w:vAlign w:val="center"/>
          </w:tcPr>
          <w:p w:rsidR="00501A91" w:rsidRPr="00931B45" w:rsidRDefault="00501A91" w:rsidP="0050264A">
            <w:pPr>
              <w:spacing w:before="29" w:line="288" w:lineRule="auto"/>
              <w:rPr>
                <w:b/>
                <w:szCs w:val="21"/>
              </w:rPr>
            </w:pPr>
            <w:r w:rsidRPr="00931B45">
              <w:rPr>
                <w:b/>
                <w:szCs w:val="21"/>
              </w:rPr>
              <w:t xml:space="preserve">3.1.2 </w:t>
            </w:r>
            <w:r w:rsidRPr="00931B45">
              <w:rPr>
                <w:rFonts w:hint="eastAsia"/>
                <w:b/>
                <w:szCs w:val="21"/>
              </w:rPr>
              <w:t>期末数据和指标</w:t>
            </w:r>
          </w:p>
        </w:tc>
        <w:tc>
          <w:tcPr>
            <w:tcW w:w="2286" w:type="dxa"/>
            <w:vAlign w:val="center"/>
          </w:tcPr>
          <w:p w:rsidR="00501A91" w:rsidRPr="00931B45" w:rsidRDefault="00501A91" w:rsidP="0050264A">
            <w:pPr>
              <w:spacing w:before="29" w:line="288" w:lineRule="auto"/>
              <w:jc w:val="center"/>
              <w:rPr>
                <w:b/>
                <w:szCs w:val="21"/>
              </w:rPr>
            </w:pPr>
            <w:r w:rsidRPr="00931B45">
              <w:rPr>
                <w:b/>
                <w:szCs w:val="21"/>
              </w:rPr>
              <w:t>2016</w:t>
            </w:r>
            <w:r w:rsidRPr="00931B45">
              <w:rPr>
                <w:rFonts w:hint="eastAsia"/>
                <w:b/>
                <w:szCs w:val="21"/>
              </w:rPr>
              <w:t>年末</w:t>
            </w:r>
          </w:p>
        </w:tc>
        <w:tc>
          <w:tcPr>
            <w:tcW w:w="2268" w:type="dxa"/>
            <w:vAlign w:val="center"/>
          </w:tcPr>
          <w:p w:rsidR="00501A91" w:rsidRPr="00931B45" w:rsidRDefault="00501A91" w:rsidP="0050264A">
            <w:pPr>
              <w:spacing w:before="29" w:line="288" w:lineRule="auto"/>
              <w:jc w:val="center"/>
              <w:rPr>
                <w:b/>
                <w:szCs w:val="21"/>
              </w:rPr>
            </w:pPr>
            <w:r w:rsidRPr="00931B45">
              <w:rPr>
                <w:b/>
                <w:szCs w:val="21"/>
              </w:rPr>
              <w:t>2015</w:t>
            </w:r>
            <w:r w:rsidRPr="00931B45">
              <w:rPr>
                <w:rFonts w:hint="eastAsia"/>
                <w:b/>
                <w:szCs w:val="21"/>
              </w:rPr>
              <w:t>年末</w:t>
            </w:r>
          </w:p>
        </w:tc>
        <w:tc>
          <w:tcPr>
            <w:tcW w:w="2194" w:type="dxa"/>
            <w:vAlign w:val="center"/>
          </w:tcPr>
          <w:p w:rsidR="00501A91" w:rsidRPr="00931B45" w:rsidRDefault="00501A91" w:rsidP="0050264A">
            <w:pPr>
              <w:spacing w:before="29" w:line="288" w:lineRule="auto"/>
              <w:jc w:val="center"/>
              <w:rPr>
                <w:b/>
                <w:szCs w:val="21"/>
              </w:rPr>
            </w:pPr>
            <w:r w:rsidRPr="00931B45">
              <w:rPr>
                <w:b/>
                <w:szCs w:val="21"/>
              </w:rPr>
              <w:t>2014</w:t>
            </w:r>
            <w:r w:rsidRPr="00931B45">
              <w:rPr>
                <w:rFonts w:hint="eastAsia"/>
                <w:b/>
                <w:szCs w:val="21"/>
              </w:rPr>
              <w:t>年末</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期末可供分配基金份额利润</w:t>
            </w:r>
          </w:p>
        </w:tc>
        <w:tc>
          <w:tcPr>
            <w:tcW w:w="2286" w:type="dxa"/>
            <w:vAlign w:val="center"/>
          </w:tcPr>
          <w:p w:rsidR="00501A91" w:rsidRPr="00931B45" w:rsidRDefault="00501A91" w:rsidP="00D415F5">
            <w:pPr>
              <w:spacing w:before="29" w:line="288" w:lineRule="auto"/>
              <w:jc w:val="right"/>
              <w:rPr>
                <w:szCs w:val="21"/>
              </w:rPr>
            </w:pPr>
            <w:r w:rsidRPr="00931B45">
              <w:rPr>
                <w:szCs w:val="21"/>
              </w:rPr>
              <w:t>0.066</w:t>
            </w:r>
          </w:p>
        </w:tc>
        <w:tc>
          <w:tcPr>
            <w:tcW w:w="2268" w:type="dxa"/>
            <w:vAlign w:val="center"/>
          </w:tcPr>
          <w:p w:rsidR="00501A91" w:rsidRPr="00931B45" w:rsidRDefault="00501A91" w:rsidP="00D415F5">
            <w:pPr>
              <w:spacing w:before="29" w:line="288" w:lineRule="auto"/>
              <w:jc w:val="right"/>
              <w:rPr>
                <w:szCs w:val="21"/>
              </w:rPr>
            </w:pPr>
            <w:r w:rsidRPr="00931B45">
              <w:rPr>
                <w:szCs w:val="21"/>
              </w:rPr>
              <w:t>0.675</w:t>
            </w:r>
          </w:p>
        </w:tc>
        <w:tc>
          <w:tcPr>
            <w:tcW w:w="2194" w:type="dxa"/>
            <w:vAlign w:val="center"/>
          </w:tcPr>
          <w:p w:rsidR="00501A91" w:rsidRPr="00931B45" w:rsidRDefault="00501A91" w:rsidP="00D415F5">
            <w:pPr>
              <w:spacing w:before="29" w:line="288" w:lineRule="auto"/>
              <w:jc w:val="right"/>
              <w:rPr>
                <w:szCs w:val="21"/>
              </w:rPr>
            </w:pPr>
            <w:r w:rsidRPr="00931B45">
              <w:rPr>
                <w:szCs w:val="21"/>
              </w:rPr>
              <w:t>0.104</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期末基金资产净值</w:t>
            </w:r>
          </w:p>
        </w:tc>
        <w:tc>
          <w:tcPr>
            <w:tcW w:w="2286" w:type="dxa"/>
            <w:vAlign w:val="center"/>
          </w:tcPr>
          <w:p w:rsidR="00501A91" w:rsidRPr="00931B45" w:rsidRDefault="00501A91" w:rsidP="00D415F5">
            <w:pPr>
              <w:spacing w:before="29" w:line="288" w:lineRule="auto"/>
              <w:jc w:val="right"/>
              <w:rPr>
                <w:szCs w:val="21"/>
              </w:rPr>
            </w:pPr>
            <w:r w:rsidRPr="00931B45">
              <w:rPr>
                <w:szCs w:val="21"/>
              </w:rPr>
              <w:t>144,571,460.39</w:t>
            </w:r>
          </w:p>
        </w:tc>
        <w:tc>
          <w:tcPr>
            <w:tcW w:w="2268" w:type="dxa"/>
            <w:vAlign w:val="center"/>
          </w:tcPr>
          <w:p w:rsidR="00501A91" w:rsidRPr="00931B45" w:rsidRDefault="00501A91" w:rsidP="00D415F5">
            <w:pPr>
              <w:spacing w:before="29" w:line="288" w:lineRule="auto"/>
              <w:jc w:val="right"/>
              <w:rPr>
                <w:szCs w:val="21"/>
              </w:rPr>
            </w:pPr>
            <w:r w:rsidRPr="00931B45">
              <w:rPr>
                <w:szCs w:val="21"/>
              </w:rPr>
              <w:t>124,096,981.23</w:t>
            </w:r>
          </w:p>
        </w:tc>
        <w:tc>
          <w:tcPr>
            <w:tcW w:w="2194" w:type="dxa"/>
            <w:vAlign w:val="center"/>
          </w:tcPr>
          <w:p w:rsidR="00501A91" w:rsidRPr="00931B45" w:rsidRDefault="00501A91" w:rsidP="00D415F5">
            <w:pPr>
              <w:spacing w:before="29" w:line="288" w:lineRule="auto"/>
              <w:jc w:val="right"/>
              <w:rPr>
                <w:szCs w:val="21"/>
              </w:rPr>
            </w:pPr>
            <w:r w:rsidRPr="00931B45">
              <w:rPr>
                <w:szCs w:val="21"/>
              </w:rPr>
              <w:t>218,335,034.41</w:t>
            </w:r>
          </w:p>
        </w:tc>
      </w:tr>
      <w:tr w:rsidR="00501A91" w:rsidRPr="00931B45" w:rsidTr="00A6320B">
        <w:tc>
          <w:tcPr>
            <w:tcW w:w="2250" w:type="dxa"/>
            <w:vAlign w:val="center"/>
          </w:tcPr>
          <w:p w:rsidR="00501A91" w:rsidRPr="00931B45" w:rsidRDefault="00501A91" w:rsidP="0050264A">
            <w:pPr>
              <w:spacing w:before="29" w:line="288" w:lineRule="auto"/>
              <w:rPr>
                <w:szCs w:val="21"/>
              </w:rPr>
            </w:pPr>
            <w:r w:rsidRPr="00931B45">
              <w:rPr>
                <w:rFonts w:hint="eastAsia"/>
                <w:szCs w:val="21"/>
              </w:rPr>
              <w:t>期末基金份额净值</w:t>
            </w:r>
          </w:p>
        </w:tc>
        <w:tc>
          <w:tcPr>
            <w:tcW w:w="2286" w:type="dxa"/>
            <w:vAlign w:val="center"/>
          </w:tcPr>
          <w:p w:rsidR="00501A91" w:rsidRPr="00931B45" w:rsidRDefault="00501A91" w:rsidP="00D415F5">
            <w:pPr>
              <w:spacing w:before="29" w:line="288" w:lineRule="auto"/>
              <w:jc w:val="right"/>
              <w:rPr>
                <w:szCs w:val="21"/>
              </w:rPr>
            </w:pPr>
            <w:r w:rsidRPr="00931B45">
              <w:rPr>
                <w:szCs w:val="21"/>
              </w:rPr>
              <w:t>1.066</w:t>
            </w:r>
          </w:p>
        </w:tc>
        <w:tc>
          <w:tcPr>
            <w:tcW w:w="2268" w:type="dxa"/>
            <w:vAlign w:val="center"/>
          </w:tcPr>
          <w:p w:rsidR="00501A91" w:rsidRPr="00931B45" w:rsidRDefault="00501A91" w:rsidP="00D415F5">
            <w:pPr>
              <w:spacing w:before="29" w:line="288" w:lineRule="auto"/>
              <w:jc w:val="right"/>
              <w:rPr>
                <w:szCs w:val="21"/>
              </w:rPr>
            </w:pPr>
            <w:r w:rsidRPr="00931B45">
              <w:rPr>
                <w:szCs w:val="21"/>
              </w:rPr>
              <w:t>1.675</w:t>
            </w:r>
          </w:p>
        </w:tc>
        <w:tc>
          <w:tcPr>
            <w:tcW w:w="2194" w:type="dxa"/>
            <w:vAlign w:val="center"/>
          </w:tcPr>
          <w:p w:rsidR="00501A91" w:rsidRPr="00931B45" w:rsidRDefault="00501A91" w:rsidP="00D415F5">
            <w:pPr>
              <w:spacing w:before="29" w:line="288" w:lineRule="auto"/>
              <w:jc w:val="right"/>
              <w:rPr>
                <w:szCs w:val="21"/>
              </w:rPr>
            </w:pPr>
            <w:r w:rsidRPr="00931B45">
              <w:rPr>
                <w:szCs w:val="21"/>
              </w:rPr>
              <w:t>1.141</w:t>
            </w:r>
          </w:p>
        </w:tc>
      </w:tr>
    </w:tbl>
    <w:p w:rsidR="004A4B7D" w:rsidRDefault="00B235F4">
      <w:pPr>
        <w:tabs>
          <w:tab w:val="left" w:pos="426"/>
        </w:tabs>
        <w:spacing w:before="29" w:line="288" w:lineRule="auto"/>
        <w:jc w:val="left"/>
        <w:rPr>
          <w:kern w:val="0"/>
          <w:sz w:val="24"/>
        </w:rPr>
      </w:pPr>
      <w:r>
        <w:rPr>
          <w:kern w:val="0"/>
          <w:sz w:val="24"/>
        </w:rPr>
        <w:t>注：</w:t>
      </w:r>
      <w:r>
        <w:rPr>
          <w:kern w:val="0"/>
          <w:sz w:val="24"/>
        </w:rPr>
        <w:t>1</w:t>
      </w:r>
      <w:r>
        <w:rPr>
          <w:kern w:val="0"/>
          <w:sz w:val="24"/>
        </w:rPr>
        <w:t>、本基金业绩指标不包括持有人认购或交易基金的各项费用，计入费用后实际收益水平要低于所列数字。</w:t>
      </w:r>
      <w:r>
        <w:rPr>
          <w:kern w:val="0"/>
          <w:sz w:val="24"/>
        </w:rPr>
        <w:t xml:space="preserve"> </w:t>
      </w:r>
    </w:p>
    <w:p w:rsidR="001A59F9" w:rsidRPr="0060235D" w:rsidRDefault="001A59F9" w:rsidP="0060235D">
      <w:pPr>
        <w:tabs>
          <w:tab w:val="left" w:pos="426"/>
        </w:tabs>
        <w:spacing w:before="29" w:line="288" w:lineRule="auto"/>
        <w:jc w:val="left"/>
        <w:rPr>
          <w:kern w:val="0"/>
          <w:sz w:val="24"/>
        </w:rPr>
      </w:pPr>
      <w:r w:rsidRPr="0060235D">
        <w:rPr>
          <w:kern w:val="0"/>
          <w:sz w:val="24"/>
        </w:rPr>
        <w:t xml:space="preserve">    2</w:t>
      </w:r>
      <w:r w:rsidRPr="0060235D">
        <w:rPr>
          <w:kern w:val="0"/>
          <w:sz w:val="24"/>
        </w:rPr>
        <w:t>、本期已实现收益指基金本期利息收入、投资收益、其他收入（不含公允价值变动收益）扣除相关费用后的余额，本期利润为本期已实现收益加上本期公允价值变动收益。</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19" w:name="_Toc225498252"/>
      <w:bookmarkStart w:id="20" w:name="_Toc361324852"/>
      <w:r w:rsidRPr="00701155">
        <w:rPr>
          <w:rFonts w:ascii="Times New Roman" w:hAnsi="Times New Roman"/>
          <w:kern w:val="0"/>
          <w:szCs w:val="24"/>
        </w:rPr>
        <w:t xml:space="preserve">3.2 </w:t>
      </w:r>
      <w:r w:rsidRPr="00701155">
        <w:rPr>
          <w:rFonts w:ascii="Times New Roman" w:hAnsi="Times New Roman" w:hint="eastAsia"/>
          <w:kern w:val="0"/>
          <w:szCs w:val="24"/>
        </w:rPr>
        <w:t>基金净值表现</w:t>
      </w:r>
      <w:bookmarkEnd w:id="19"/>
      <w:bookmarkEnd w:id="20"/>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 xml:space="preserve">3.2.1 </w:t>
      </w:r>
      <w:r w:rsidRPr="00701155">
        <w:rPr>
          <w:rFonts w:ascii="Times New Roman" w:hAnsi="Times New Roman" w:hint="eastAsia"/>
          <w:kern w:val="0"/>
          <w:szCs w:val="24"/>
        </w:rPr>
        <w:t>基金份额净值增长率及其与同期业绩比较基准收益率的比较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C51C77" w:rsidTr="00FC45CB">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阶段</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份额净值增长率①</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份额净值增长率标准差②</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业绩比较基准收益率③</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业绩比较基准收益率标准差④</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①－③</w:t>
            </w:r>
          </w:p>
        </w:tc>
        <w:tc>
          <w:tcPr>
            <w:tcW w:w="3459" w:type="dxa"/>
            <w:vAlign w:val="center"/>
          </w:tcPr>
          <w:p w:rsidR="001A59F9" w:rsidRPr="002310FE" w:rsidRDefault="001A59F9" w:rsidP="002310FE">
            <w:pPr>
              <w:spacing w:before="29" w:line="288" w:lineRule="auto"/>
              <w:jc w:val="center"/>
              <w:rPr>
                <w:color w:val="000000"/>
                <w:sz w:val="24"/>
              </w:rPr>
            </w:pPr>
            <w:r w:rsidRPr="002310FE">
              <w:rPr>
                <w:rFonts w:hint="eastAsia"/>
                <w:color w:val="000000"/>
                <w:sz w:val="24"/>
              </w:rPr>
              <w:t>②－④</w:t>
            </w:r>
          </w:p>
        </w:tc>
      </w:tr>
      <w:tr w:rsidR="004A4B7D">
        <w:tc>
          <w:tcPr>
            <w:tcW w:w="1286" w:type="dxa"/>
            <w:vAlign w:val="center"/>
          </w:tcPr>
          <w:p w:rsidR="004A4B7D" w:rsidRDefault="00B235F4">
            <w:pPr>
              <w:jc w:val="left"/>
            </w:pPr>
            <w:r>
              <w:rPr>
                <w:color w:val="000000"/>
                <w:sz w:val="24"/>
              </w:rPr>
              <w:t>过去三个月</w:t>
            </w:r>
          </w:p>
        </w:tc>
        <w:tc>
          <w:tcPr>
            <w:tcW w:w="1286" w:type="dxa"/>
            <w:vAlign w:val="center"/>
          </w:tcPr>
          <w:p w:rsidR="004A4B7D" w:rsidRDefault="00B235F4">
            <w:pPr>
              <w:jc w:val="center"/>
            </w:pPr>
            <w:r>
              <w:rPr>
                <w:color w:val="000000"/>
                <w:sz w:val="24"/>
              </w:rPr>
              <w:t>3.97%</w:t>
            </w:r>
          </w:p>
        </w:tc>
        <w:tc>
          <w:tcPr>
            <w:tcW w:w="1286" w:type="dxa"/>
            <w:vAlign w:val="center"/>
          </w:tcPr>
          <w:p w:rsidR="004A4B7D" w:rsidRDefault="00B235F4">
            <w:pPr>
              <w:jc w:val="center"/>
            </w:pPr>
            <w:r>
              <w:rPr>
                <w:color w:val="000000"/>
                <w:sz w:val="24"/>
              </w:rPr>
              <w:t>0.99%</w:t>
            </w:r>
          </w:p>
        </w:tc>
        <w:tc>
          <w:tcPr>
            <w:tcW w:w="1285" w:type="dxa"/>
            <w:vAlign w:val="center"/>
          </w:tcPr>
          <w:p w:rsidR="004A4B7D" w:rsidRDefault="00B235F4">
            <w:pPr>
              <w:jc w:val="center"/>
            </w:pPr>
            <w:r>
              <w:rPr>
                <w:color w:val="000000"/>
                <w:sz w:val="24"/>
              </w:rPr>
              <w:t>-1.96%</w:t>
            </w:r>
          </w:p>
        </w:tc>
        <w:tc>
          <w:tcPr>
            <w:tcW w:w="1285" w:type="dxa"/>
            <w:vAlign w:val="center"/>
          </w:tcPr>
          <w:p w:rsidR="004A4B7D" w:rsidRDefault="00B235F4">
            <w:pPr>
              <w:jc w:val="center"/>
            </w:pPr>
            <w:r>
              <w:rPr>
                <w:color w:val="000000"/>
                <w:sz w:val="24"/>
              </w:rPr>
              <w:t>0.55%</w:t>
            </w:r>
          </w:p>
        </w:tc>
        <w:tc>
          <w:tcPr>
            <w:tcW w:w="1285" w:type="dxa"/>
            <w:vAlign w:val="center"/>
          </w:tcPr>
          <w:p w:rsidR="004A4B7D" w:rsidRDefault="00B235F4">
            <w:pPr>
              <w:jc w:val="center"/>
            </w:pPr>
            <w:r>
              <w:rPr>
                <w:color w:val="000000"/>
                <w:sz w:val="24"/>
              </w:rPr>
              <w:t>5.93%</w:t>
            </w:r>
          </w:p>
        </w:tc>
        <w:tc>
          <w:tcPr>
            <w:tcW w:w="1285" w:type="dxa"/>
            <w:vAlign w:val="center"/>
          </w:tcPr>
          <w:p w:rsidR="004A4B7D" w:rsidRDefault="00B235F4">
            <w:pPr>
              <w:jc w:val="center"/>
            </w:pPr>
            <w:r>
              <w:rPr>
                <w:color w:val="000000"/>
                <w:sz w:val="24"/>
              </w:rPr>
              <w:t>0.44%</w:t>
            </w:r>
          </w:p>
        </w:tc>
      </w:tr>
      <w:tr w:rsidR="004A4B7D">
        <w:tc>
          <w:tcPr>
            <w:tcW w:w="1286" w:type="dxa"/>
            <w:vAlign w:val="center"/>
          </w:tcPr>
          <w:p w:rsidR="004A4B7D" w:rsidRDefault="00B235F4">
            <w:pPr>
              <w:jc w:val="left"/>
            </w:pPr>
            <w:r>
              <w:rPr>
                <w:color w:val="000000"/>
                <w:sz w:val="24"/>
              </w:rPr>
              <w:t>过去六个月</w:t>
            </w:r>
          </w:p>
        </w:tc>
        <w:tc>
          <w:tcPr>
            <w:tcW w:w="1286" w:type="dxa"/>
            <w:vAlign w:val="center"/>
          </w:tcPr>
          <w:p w:rsidR="004A4B7D" w:rsidRDefault="00B235F4">
            <w:pPr>
              <w:jc w:val="center"/>
            </w:pPr>
            <w:r>
              <w:rPr>
                <w:color w:val="000000"/>
                <w:sz w:val="24"/>
              </w:rPr>
              <w:t>12.34%</w:t>
            </w:r>
          </w:p>
        </w:tc>
        <w:tc>
          <w:tcPr>
            <w:tcW w:w="1286" w:type="dxa"/>
            <w:vAlign w:val="center"/>
          </w:tcPr>
          <w:p w:rsidR="004A4B7D" w:rsidRDefault="00B235F4">
            <w:pPr>
              <w:jc w:val="center"/>
            </w:pPr>
            <w:r>
              <w:rPr>
                <w:color w:val="000000"/>
                <w:sz w:val="24"/>
              </w:rPr>
              <w:t>0.93%</w:t>
            </w:r>
          </w:p>
        </w:tc>
        <w:tc>
          <w:tcPr>
            <w:tcW w:w="1285" w:type="dxa"/>
            <w:vAlign w:val="center"/>
          </w:tcPr>
          <w:p w:rsidR="004A4B7D" w:rsidRDefault="00B235F4">
            <w:pPr>
              <w:jc w:val="center"/>
            </w:pPr>
            <w:r>
              <w:rPr>
                <w:color w:val="000000"/>
                <w:sz w:val="24"/>
              </w:rPr>
              <w:t>-0.45%</w:t>
            </w:r>
          </w:p>
        </w:tc>
        <w:tc>
          <w:tcPr>
            <w:tcW w:w="1285" w:type="dxa"/>
            <w:vAlign w:val="center"/>
          </w:tcPr>
          <w:p w:rsidR="004A4B7D" w:rsidRDefault="00B235F4">
            <w:pPr>
              <w:jc w:val="center"/>
            </w:pPr>
            <w:r>
              <w:rPr>
                <w:color w:val="000000"/>
                <w:sz w:val="24"/>
              </w:rPr>
              <w:t>0.62%</w:t>
            </w:r>
          </w:p>
        </w:tc>
        <w:tc>
          <w:tcPr>
            <w:tcW w:w="1285" w:type="dxa"/>
            <w:vAlign w:val="center"/>
          </w:tcPr>
          <w:p w:rsidR="004A4B7D" w:rsidRDefault="00B235F4">
            <w:pPr>
              <w:jc w:val="center"/>
            </w:pPr>
            <w:r>
              <w:rPr>
                <w:color w:val="000000"/>
                <w:sz w:val="24"/>
              </w:rPr>
              <w:t>12.79%</w:t>
            </w:r>
          </w:p>
        </w:tc>
        <w:tc>
          <w:tcPr>
            <w:tcW w:w="1285" w:type="dxa"/>
            <w:vAlign w:val="center"/>
          </w:tcPr>
          <w:p w:rsidR="004A4B7D" w:rsidRDefault="00B235F4">
            <w:pPr>
              <w:jc w:val="center"/>
            </w:pPr>
            <w:r>
              <w:rPr>
                <w:color w:val="000000"/>
                <w:sz w:val="24"/>
              </w:rPr>
              <w:t>0.31%</w:t>
            </w:r>
          </w:p>
        </w:tc>
      </w:tr>
      <w:tr w:rsidR="004A4B7D">
        <w:tc>
          <w:tcPr>
            <w:tcW w:w="1286" w:type="dxa"/>
            <w:vAlign w:val="center"/>
          </w:tcPr>
          <w:p w:rsidR="004A4B7D" w:rsidRDefault="00B235F4">
            <w:pPr>
              <w:jc w:val="left"/>
            </w:pPr>
            <w:r>
              <w:rPr>
                <w:color w:val="000000"/>
                <w:sz w:val="24"/>
              </w:rPr>
              <w:t>过去一年</w:t>
            </w:r>
          </w:p>
        </w:tc>
        <w:tc>
          <w:tcPr>
            <w:tcW w:w="1286" w:type="dxa"/>
            <w:vAlign w:val="center"/>
          </w:tcPr>
          <w:p w:rsidR="004A4B7D" w:rsidRDefault="00B235F4">
            <w:pPr>
              <w:jc w:val="center"/>
            </w:pPr>
            <w:r>
              <w:rPr>
                <w:color w:val="000000"/>
                <w:sz w:val="24"/>
              </w:rPr>
              <w:t>-9.13%</w:t>
            </w:r>
          </w:p>
        </w:tc>
        <w:tc>
          <w:tcPr>
            <w:tcW w:w="1286" w:type="dxa"/>
            <w:vAlign w:val="center"/>
          </w:tcPr>
          <w:p w:rsidR="004A4B7D" w:rsidRDefault="00B235F4">
            <w:pPr>
              <w:jc w:val="center"/>
            </w:pPr>
            <w:r>
              <w:rPr>
                <w:color w:val="000000"/>
                <w:sz w:val="24"/>
              </w:rPr>
              <w:t>1.66%</w:t>
            </w:r>
          </w:p>
        </w:tc>
        <w:tc>
          <w:tcPr>
            <w:tcW w:w="1285" w:type="dxa"/>
            <w:vAlign w:val="center"/>
          </w:tcPr>
          <w:p w:rsidR="004A4B7D" w:rsidRDefault="00B235F4">
            <w:pPr>
              <w:jc w:val="center"/>
            </w:pPr>
            <w:r>
              <w:rPr>
                <w:color w:val="000000"/>
                <w:sz w:val="24"/>
              </w:rPr>
              <w:t>-14.95%</w:t>
            </w:r>
          </w:p>
        </w:tc>
        <w:tc>
          <w:tcPr>
            <w:tcW w:w="1285" w:type="dxa"/>
            <w:vAlign w:val="center"/>
          </w:tcPr>
          <w:p w:rsidR="004A4B7D" w:rsidRDefault="00B235F4">
            <w:pPr>
              <w:jc w:val="center"/>
            </w:pPr>
            <w:r>
              <w:rPr>
                <w:color w:val="000000"/>
                <w:sz w:val="24"/>
              </w:rPr>
              <w:t>1.27%</w:t>
            </w:r>
          </w:p>
        </w:tc>
        <w:tc>
          <w:tcPr>
            <w:tcW w:w="1285" w:type="dxa"/>
            <w:vAlign w:val="center"/>
          </w:tcPr>
          <w:p w:rsidR="004A4B7D" w:rsidRDefault="00B235F4">
            <w:pPr>
              <w:jc w:val="center"/>
            </w:pPr>
            <w:r>
              <w:rPr>
                <w:color w:val="000000"/>
                <w:sz w:val="24"/>
              </w:rPr>
              <w:t>5.82%</w:t>
            </w:r>
          </w:p>
        </w:tc>
        <w:tc>
          <w:tcPr>
            <w:tcW w:w="1285" w:type="dxa"/>
            <w:vAlign w:val="center"/>
          </w:tcPr>
          <w:p w:rsidR="004A4B7D" w:rsidRDefault="00B235F4">
            <w:pPr>
              <w:jc w:val="center"/>
            </w:pPr>
            <w:r>
              <w:rPr>
                <w:color w:val="000000"/>
                <w:sz w:val="24"/>
              </w:rPr>
              <w:t>0.39%</w:t>
            </w:r>
          </w:p>
        </w:tc>
      </w:tr>
      <w:tr w:rsidR="004A4B7D">
        <w:tc>
          <w:tcPr>
            <w:tcW w:w="1286" w:type="dxa"/>
            <w:vAlign w:val="center"/>
          </w:tcPr>
          <w:p w:rsidR="004A4B7D" w:rsidRDefault="00B235F4">
            <w:pPr>
              <w:jc w:val="left"/>
            </w:pPr>
            <w:r>
              <w:rPr>
                <w:color w:val="000000"/>
                <w:sz w:val="24"/>
              </w:rPr>
              <w:t>过去三年</w:t>
            </w:r>
          </w:p>
        </w:tc>
        <w:tc>
          <w:tcPr>
            <w:tcW w:w="1286" w:type="dxa"/>
            <w:vAlign w:val="center"/>
          </w:tcPr>
          <w:p w:rsidR="004A4B7D" w:rsidRDefault="00B235F4">
            <w:pPr>
              <w:jc w:val="center"/>
            </w:pPr>
            <w:r>
              <w:rPr>
                <w:color w:val="000000"/>
                <w:sz w:val="24"/>
              </w:rPr>
              <w:t>49.08%</w:t>
            </w:r>
          </w:p>
        </w:tc>
        <w:tc>
          <w:tcPr>
            <w:tcW w:w="1286" w:type="dxa"/>
            <w:vAlign w:val="center"/>
          </w:tcPr>
          <w:p w:rsidR="004A4B7D" w:rsidRDefault="00B235F4">
            <w:pPr>
              <w:jc w:val="center"/>
            </w:pPr>
            <w:r>
              <w:rPr>
                <w:color w:val="000000"/>
                <w:sz w:val="24"/>
              </w:rPr>
              <w:t>1.95%</w:t>
            </w:r>
          </w:p>
        </w:tc>
        <w:tc>
          <w:tcPr>
            <w:tcW w:w="1285" w:type="dxa"/>
            <w:vAlign w:val="center"/>
          </w:tcPr>
          <w:p w:rsidR="004A4B7D" w:rsidRDefault="00B235F4">
            <w:pPr>
              <w:jc w:val="center"/>
            </w:pPr>
            <w:r>
              <w:rPr>
                <w:color w:val="000000"/>
                <w:sz w:val="24"/>
              </w:rPr>
              <w:t>19.69%</w:t>
            </w:r>
          </w:p>
        </w:tc>
        <w:tc>
          <w:tcPr>
            <w:tcW w:w="1285" w:type="dxa"/>
            <w:vAlign w:val="center"/>
          </w:tcPr>
          <w:p w:rsidR="004A4B7D" w:rsidRDefault="00B235F4">
            <w:pPr>
              <w:jc w:val="center"/>
            </w:pPr>
            <w:r>
              <w:rPr>
                <w:color w:val="000000"/>
                <w:sz w:val="24"/>
              </w:rPr>
              <w:t>1.44%</w:t>
            </w:r>
          </w:p>
        </w:tc>
        <w:tc>
          <w:tcPr>
            <w:tcW w:w="1285" w:type="dxa"/>
            <w:vAlign w:val="center"/>
          </w:tcPr>
          <w:p w:rsidR="004A4B7D" w:rsidRDefault="00B235F4">
            <w:pPr>
              <w:jc w:val="center"/>
            </w:pPr>
            <w:r>
              <w:rPr>
                <w:color w:val="000000"/>
                <w:sz w:val="24"/>
              </w:rPr>
              <w:t>29.39%</w:t>
            </w:r>
          </w:p>
        </w:tc>
        <w:tc>
          <w:tcPr>
            <w:tcW w:w="1285" w:type="dxa"/>
            <w:vAlign w:val="center"/>
          </w:tcPr>
          <w:p w:rsidR="004A4B7D" w:rsidRDefault="00B235F4">
            <w:pPr>
              <w:jc w:val="center"/>
            </w:pPr>
            <w:r>
              <w:rPr>
                <w:color w:val="000000"/>
                <w:sz w:val="24"/>
              </w:rPr>
              <w:t>0.51%</w:t>
            </w:r>
          </w:p>
        </w:tc>
      </w:tr>
      <w:tr w:rsidR="004A4B7D">
        <w:tc>
          <w:tcPr>
            <w:tcW w:w="1286" w:type="dxa"/>
            <w:vAlign w:val="center"/>
          </w:tcPr>
          <w:p w:rsidR="004A4B7D" w:rsidRDefault="00B235F4">
            <w:pPr>
              <w:jc w:val="left"/>
            </w:pPr>
            <w:r>
              <w:rPr>
                <w:color w:val="000000"/>
                <w:sz w:val="24"/>
              </w:rPr>
              <w:t>自基金合同生效起至今</w:t>
            </w:r>
          </w:p>
        </w:tc>
        <w:tc>
          <w:tcPr>
            <w:tcW w:w="1286" w:type="dxa"/>
            <w:vAlign w:val="center"/>
          </w:tcPr>
          <w:p w:rsidR="004A4B7D" w:rsidRDefault="00B235F4">
            <w:pPr>
              <w:jc w:val="center"/>
            </w:pPr>
            <w:r>
              <w:rPr>
                <w:color w:val="000000"/>
                <w:sz w:val="24"/>
              </w:rPr>
              <w:t>52.21%</w:t>
            </w:r>
          </w:p>
        </w:tc>
        <w:tc>
          <w:tcPr>
            <w:tcW w:w="1286" w:type="dxa"/>
            <w:vAlign w:val="center"/>
          </w:tcPr>
          <w:p w:rsidR="004A4B7D" w:rsidRDefault="00B235F4">
            <w:pPr>
              <w:jc w:val="center"/>
            </w:pPr>
            <w:r>
              <w:rPr>
                <w:color w:val="000000"/>
                <w:sz w:val="24"/>
              </w:rPr>
              <w:t>1.79%</w:t>
            </w:r>
          </w:p>
        </w:tc>
        <w:tc>
          <w:tcPr>
            <w:tcW w:w="1285" w:type="dxa"/>
            <w:vAlign w:val="center"/>
          </w:tcPr>
          <w:p w:rsidR="004A4B7D" w:rsidRDefault="00B235F4">
            <w:pPr>
              <w:jc w:val="center"/>
            </w:pPr>
            <w:r>
              <w:rPr>
                <w:color w:val="000000"/>
                <w:sz w:val="24"/>
              </w:rPr>
              <w:t>14.08%</w:t>
            </w:r>
          </w:p>
        </w:tc>
        <w:tc>
          <w:tcPr>
            <w:tcW w:w="1285" w:type="dxa"/>
            <w:vAlign w:val="center"/>
          </w:tcPr>
          <w:p w:rsidR="004A4B7D" w:rsidRDefault="00B235F4">
            <w:pPr>
              <w:jc w:val="center"/>
            </w:pPr>
            <w:r>
              <w:rPr>
                <w:color w:val="000000"/>
                <w:sz w:val="24"/>
              </w:rPr>
              <w:t>1.38%</w:t>
            </w:r>
          </w:p>
        </w:tc>
        <w:tc>
          <w:tcPr>
            <w:tcW w:w="1285" w:type="dxa"/>
            <w:vAlign w:val="center"/>
          </w:tcPr>
          <w:p w:rsidR="004A4B7D" w:rsidRDefault="00B235F4">
            <w:pPr>
              <w:jc w:val="center"/>
            </w:pPr>
            <w:r>
              <w:rPr>
                <w:color w:val="000000"/>
                <w:sz w:val="24"/>
              </w:rPr>
              <w:t>38.13%</w:t>
            </w:r>
          </w:p>
        </w:tc>
        <w:tc>
          <w:tcPr>
            <w:tcW w:w="1285" w:type="dxa"/>
            <w:vAlign w:val="center"/>
          </w:tcPr>
          <w:p w:rsidR="004A4B7D" w:rsidRDefault="00B235F4">
            <w:pPr>
              <w:jc w:val="center"/>
            </w:pPr>
            <w:r>
              <w:rPr>
                <w:color w:val="000000"/>
                <w:sz w:val="24"/>
              </w:rPr>
              <w:t>0.41%</w:t>
            </w:r>
          </w:p>
        </w:tc>
      </w:tr>
    </w:tbl>
    <w:p w:rsidR="004A4B7D" w:rsidRDefault="00B235F4">
      <w:pPr>
        <w:tabs>
          <w:tab w:val="left" w:pos="426"/>
        </w:tabs>
        <w:spacing w:before="29" w:line="288" w:lineRule="auto"/>
        <w:jc w:val="left"/>
        <w:rPr>
          <w:rFonts w:asciiTheme="minorEastAsia" w:eastAsiaTheme="minorEastAsia" w:hAnsiTheme="minorEastAsia"/>
          <w:szCs w:val="21"/>
        </w:rPr>
      </w:pPr>
      <w:r>
        <w:rPr>
          <w:kern w:val="0"/>
          <w:sz w:val="24"/>
        </w:rPr>
        <w:t>注：</w:t>
      </w:r>
      <w:r>
        <w:rPr>
          <w:kern w:val="0"/>
          <w:sz w:val="24"/>
        </w:rPr>
        <w:t>1</w:t>
      </w:r>
      <w:r>
        <w:rPr>
          <w:kern w:val="0"/>
          <w:sz w:val="24"/>
        </w:rPr>
        <w:t>、本基金业绩比较基准自</w:t>
      </w:r>
      <w:r>
        <w:rPr>
          <w:kern w:val="0"/>
          <w:sz w:val="24"/>
        </w:rPr>
        <w:t>2015</w:t>
      </w:r>
      <w:r>
        <w:rPr>
          <w:kern w:val="0"/>
          <w:sz w:val="24"/>
        </w:rPr>
        <w:t>年</w:t>
      </w:r>
      <w:r>
        <w:rPr>
          <w:kern w:val="0"/>
          <w:sz w:val="24"/>
        </w:rPr>
        <w:t>10</w:t>
      </w:r>
      <w:r>
        <w:rPr>
          <w:kern w:val="0"/>
          <w:sz w:val="24"/>
        </w:rPr>
        <w:t>月</w:t>
      </w:r>
      <w:r>
        <w:rPr>
          <w:kern w:val="0"/>
          <w:sz w:val="24"/>
        </w:rPr>
        <w:t>1</w:t>
      </w:r>
      <w:r>
        <w:rPr>
          <w:kern w:val="0"/>
          <w:sz w:val="24"/>
        </w:rPr>
        <w:t>日起，由</w:t>
      </w:r>
      <w:r>
        <w:rPr>
          <w:kern w:val="0"/>
          <w:sz w:val="24"/>
        </w:rPr>
        <w:t>“75%×</w:t>
      </w:r>
      <w:r>
        <w:rPr>
          <w:kern w:val="0"/>
          <w:sz w:val="24"/>
        </w:rPr>
        <w:t>富时中国</w:t>
      </w:r>
      <w:r>
        <w:rPr>
          <w:kern w:val="0"/>
          <w:sz w:val="24"/>
        </w:rPr>
        <w:t>A600</w:t>
      </w:r>
      <w:r>
        <w:rPr>
          <w:kern w:val="0"/>
          <w:sz w:val="24"/>
        </w:rPr>
        <w:t>成长指数收益率</w:t>
      </w:r>
      <w:r>
        <w:rPr>
          <w:kern w:val="0"/>
          <w:sz w:val="24"/>
        </w:rPr>
        <w:t>+25%×</w:t>
      </w:r>
      <w:r>
        <w:rPr>
          <w:kern w:val="0"/>
          <w:sz w:val="24"/>
        </w:rPr>
        <w:t>中信标普全债指数收益率</w:t>
      </w:r>
      <w:r>
        <w:rPr>
          <w:kern w:val="0"/>
          <w:sz w:val="24"/>
        </w:rPr>
        <w:t>”</w:t>
      </w:r>
      <w:r>
        <w:rPr>
          <w:kern w:val="0"/>
          <w:sz w:val="24"/>
        </w:rPr>
        <w:t>变更为</w:t>
      </w:r>
      <w:r>
        <w:rPr>
          <w:kern w:val="0"/>
          <w:sz w:val="24"/>
        </w:rPr>
        <w:t>“75%×</w:t>
      </w:r>
      <w:r>
        <w:rPr>
          <w:kern w:val="0"/>
          <w:sz w:val="24"/>
        </w:rPr>
        <w:t>富时中国</w:t>
      </w:r>
      <w:r>
        <w:rPr>
          <w:kern w:val="0"/>
          <w:sz w:val="24"/>
        </w:rPr>
        <w:t>A600</w:t>
      </w:r>
      <w:r>
        <w:rPr>
          <w:kern w:val="0"/>
          <w:sz w:val="24"/>
        </w:rPr>
        <w:t>成长指数收益率</w:t>
      </w:r>
      <w:r>
        <w:rPr>
          <w:kern w:val="0"/>
          <w:sz w:val="24"/>
        </w:rPr>
        <w:t>+25%×</w:t>
      </w:r>
      <w:r>
        <w:rPr>
          <w:kern w:val="0"/>
          <w:sz w:val="24"/>
        </w:rPr>
        <w:t>中证综合债券指数收益率</w:t>
      </w:r>
      <w:r>
        <w:rPr>
          <w:kern w:val="0"/>
          <w:sz w:val="24"/>
        </w:rPr>
        <w:t>”</w:t>
      </w:r>
      <w:r>
        <w:rPr>
          <w:kern w:val="0"/>
          <w:sz w:val="24"/>
        </w:rPr>
        <w:t>，</w:t>
      </w:r>
      <w:r>
        <w:rPr>
          <w:kern w:val="0"/>
          <w:sz w:val="24"/>
        </w:rPr>
        <w:t>3.2.2</w:t>
      </w:r>
      <w:r>
        <w:rPr>
          <w:kern w:val="0"/>
          <w:sz w:val="24"/>
        </w:rPr>
        <w:t>和</w:t>
      </w:r>
      <w:r>
        <w:rPr>
          <w:kern w:val="0"/>
          <w:sz w:val="24"/>
        </w:rPr>
        <w:t>3.2.3</w:t>
      </w:r>
      <w:r>
        <w:rPr>
          <w:kern w:val="0"/>
          <w:sz w:val="24"/>
        </w:rPr>
        <w:t>同。详情见本基金管理人于</w:t>
      </w:r>
      <w:r>
        <w:rPr>
          <w:kern w:val="0"/>
          <w:sz w:val="24"/>
        </w:rPr>
        <w:t>2015</w:t>
      </w:r>
      <w:r>
        <w:rPr>
          <w:kern w:val="0"/>
          <w:sz w:val="24"/>
        </w:rPr>
        <w:t>年</w:t>
      </w:r>
      <w:r>
        <w:rPr>
          <w:kern w:val="0"/>
          <w:sz w:val="24"/>
        </w:rPr>
        <w:t>9</w:t>
      </w:r>
      <w:r>
        <w:rPr>
          <w:kern w:val="0"/>
          <w:sz w:val="24"/>
        </w:rPr>
        <w:t>月</w:t>
      </w:r>
      <w:r>
        <w:rPr>
          <w:kern w:val="0"/>
          <w:sz w:val="24"/>
        </w:rPr>
        <w:t>28</w:t>
      </w:r>
      <w:r>
        <w:rPr>
          <w:kern w:val="0"/>
          <w:sz w:val="24"/>
        </w:rPr>
        <w:t>日发布的《交银施罗德基金管理有限公司关于旗下部分基金业绩比较基准变更并修改基金合同相关内容的公告》。</w:t>
      </w:r>
    </w:p>
    <w:p w:rsidR="001A59F9" w:rsidRPr="00C51C77" w:rsidRDefault="001A59F9" w:rsidP="00BE4367">
      <w:pPr>
        <w:tabs>
          <w:tab w:val="left" w:pos="426"/>
        </w:tabs>
        <w:spacing w:before="29" w:line="288" w:lineRule="auto"/>
        <w:ind w:firstLineChars="200" w:firstLine="480"/>
        <w:jc w:val="left"/>
        <w:rPr>
          <w:rFonts w:asciiTheme="minorEastAsia" w:eastAsiaTheme="minorEastAsia" w:hAnsiTheme="minorEastAsia"/>
          <w:szCs w:val="21"/>
        </w:rPr>
      </w:pPr>
      <w:r w:rsidRPr="00FC45CB">
        <w:rPr>
          <w:kern w:val="0"/>
          <w:sz w:val="24"/>
        </w:rPr>
        <w:t>2</w:t>
      </w:r>
      <w:r w:rsidRPr="00FC45CB">
        <w:rPr>
          <w:kern w:val="0"/>
          <w:sz w:val="24"/>
        </w:rPr>
        <w:t>、本基金的业绩比较基准每日进行再平衡过程。</w:t>
      </w:r>
      <w:r w:rsidR="00610A19">
        <w:rPr>
          <w:rFonts w:hint="eastAsia"/>
          <w:kern w:val="0"/>
          <w:sz w:val="24"/>
        </w:rPr>
        <w:br/>
      </w:r>
    </w:p>
    <w:p w:rsidR="00852116" w:rsidRPr="00701155" w:rsidRDefault="00852116" w:rsidP="00701155">
      <w:pPr>
        <w:pStyle w:val="20"/>
        <w:spacing w:before="29" w:after="0" w:line="288" w:lineRule="auto"/>
        <w:rPr>
          <w:rFonts w:ascii="Times New Roman" w:hAnsi="Times New Roman"/>
          <w:kern w:val="0"/>
          <w:szCs w:val="24"/>
        </w:rPr>
      </w:pPr>
      <w:r w:rsidRPr="00701155">
        <w:rPr>
          <w:rFonts w:ascii="Times New Roman" w:hAnsi="Times New Roman" w:hint="eastAsia"/>
          <w:kern w:val="0"/>
          <w:szCs w:val="24"/>
        </w:rPr>
        <w:lastRenderedPageBreak/>
        <w:t xml:space="preserve">3.2.2 </w:t>
      </w:r>
      <w:r w:rsidR="006B6275" w:rsidRPr="00F91246">
        <w:rPr>
          <w:rFonts w:ascii="Times New Roman" w:hAnsi="Times New Roman"/>
          <w:kern w:val="0"/>
          <w:szCs w:val="24"/>
        </w:rPr>
        <w:t>自基金合同生效以来</w:t>
      </w:r>
      <w:r w:rsidRPr="00701155">
        <w:rPr>
          <w:rFonts w:ascii="Times New Roman" w:hAnsi="Times New Roman"/>
          <w:kern w:val="0"/>
          <w:szCs w:val="24"/>
        </w:rPr>
        <w:t>基金份额累计净值增长率变动及其与同期业绩比较基准收益率变动的比较</w:t>
      </w:r>
      <w:r w:rsidRPr="00701155">
        <w:rPr>
          <w:rFonts w:ascii="Times New Roman" w:hAnsi="Times New Roman"/>
          <w:kern w:val="0"/>
          <w:szCs w:val="24"/>
        </w:rPr>
        <w:t xml:space="preserve"> </w:t>
      </w:r>
    </w:p>
    <w:p w:rsidR="001A59F9" w:rsidRPr="00C51C77" w:rsidRDefault="00A72EF3" w:rsidP="00026C9C">
      <w:pPr>
        <w:spacing w:line="360" w:lineRule="auto"/>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extent cx="5759450" cy="3372734"/>
            <wp:effectExtent l="0" t="0" r="0" b="0"/>
            <wp:docPr id="3" name="图片 3"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650E05" w:rsidRDefault="001A59F9" w:rsidP="00650E05">
      <w:pPr>
        <w:tabs>
          <w:tab w:val="left" w:pos="426"/>
        </w:tabs>
        <w:spacing w:before="29" w:line="288" w:lineRule="auto"/>
        <w:jc w:val="left"/>
        <w:rPr>
          <w:kern w:val="0"/>
          <w:sz w:val="24"/>
        </w:rPr>
      </w:pPr>
      <w:r w:rsidRPr="00650E05">
        <w:rPr>
          <w:kern w:val="0"/>
          <w:sz w:val="24"/>
        </w:rPr>
        <w:t>注：本基金建仓期为自基金合同生效日起的</w:t>
      </w:r>
      <w:r w:rsidRPr="00650E05">
        <w:rPr>
          <w:kern w:val="0"/>
          <w:sz w:val="24"/>
        </w:rPr>
        <w:t>6</w:t>
      </w:r>
      <w:r w:rsidRPr="00650E05">
        <w:rPr>
          <w:kern w:val="0"/>
          <w:sz w:val="24"/>
        </w:rPr>
        <w:t>个月。截至建仓期结束，本基金各项资产配置比例符合基金合同及招募说明书有关投资比例的约定。</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 xml:space="preserve">3.2.3 </w:t>
      </w:r>
      <w:r w:rsidR="00A225D8" w:rsidRPr="00701155">
        <w:rPr>
          <w:rFonts w:ascii="Times New Roman" w:hAnsi="Times New Roman" w:hint="eastAsia"/>
          <w:kern w:val="0"/>
          <w:szCs w:val="24"/>
        </w:rPr>
        <w:t>自基金合同生效以来</w:t>
      </w:r>
      <w:r w:rsidRPr="00701155">
        <w:rPr>
          <w:rFonts w:ascii="Times New Roman" w:hAnsi="Times New Roman" w:hint="eastAsia"/>
          <w:kern w:val="0"/>
          <w:szCs w:val="24"/>
        </w:rPr>
        <w:t>基金每年净值增长率及其与同期业绩比较基准收益率的比较</w:t>
      </w:r>
    </w:p>
    <w:p w:rsidR="00A0223F" w:rsidRPr="00C51C77" w:rsidRDefault="00A72EF3" w:rsidP="00A225D8">
      <w:pPr>
        <w:spacing w:line="360" w:lineRule="auto"/>
        <w:jc w:val="center"/>
        <w:rPr>
          <w:rFonts w:ascii="宋体" w:hAnsi="宋体"/>
          <w:b/>
          <w:bCs/>
          <w:color w:val="000000"/>
          <w:szCs w:val="21"/>
          <w:vertAlign w:val="superscript"/>
        </w:rPr>
      </w:pPr>
      <w:r>
        <w:rPr>
          <w:rFonts w:ascii="宋体" w:hAnsi="宋体"/>
          <w:b/>
          <w:bCs/>
          <w:noProof/>
          <w:color w:val="000000"/>
          <w:szCs w:val="21"/>
          <w:vertAlign w:val="superscript"/>
        </w:rPr>
        <w:drawing>
          <wp:inline distT="0" distB="0" distL="0" distR="0">
            <wp:extent cx="5759450" cy="3372734"/>
            <wp:effectExtent l="0" t="0" r="0" b="0"/>
            <wp:docPr id="4" name="图片 4"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柱状图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B05374" w:rsidRDefault="001A59F9" w:rsidP="00B05374">
      <w:pPr>
        <w:tabs>
          <w:tab w:val="left" w:pos="426"/>
        </w:tabs>
        <w:spacing w:before="29" w:line="288" w:lineRule="auto"/>
        <w:jc w:val="left"/>
        <w:rPr>
          <w:kern w:val="0"/>
          <w:sz w:val="24"/>
        </w:rPr>
      </w:pPr>
      <w:r w:rsidRPr="00B05374">
        <w:rPr>
          <w:kern w:val="0"/>
          <w:sz w:val="24"/>
        </w:rPr>
        <w:t>注：图示日期为</w:t>
      </w:r>
      <w:r w:rsidRPr="00B05374">
        <w:rPr>
          <w:kern w:val="0"/>
          <w:sz w:val="24"/>
        </w:rPr>
        <w:t>2013</w:t>
      </w:r>
      <w:r w:rsidRPr="00B05374">
        <w:rPr>
          <w:kern w:val="0"/>
          <w:sz w:val="24"/>
        </w:rPr>
        <w:t>年</w:t>
      </w:r>
      <w:r w:rsidRPr="00B05374">
        <w:rPr>
          <w:kern w:val="0"/>
          <w:sz w:val="24"/>
        </w:rPr>
        <w:t>6</w:t>
      </w:r>
      <w:r w:rsidRPr="00B05374">
        <w:rPr>
          <w:kern w:val="0"/>
          <w:sz w:val="24"/>
        </w:rPr>
        <w:t>月</w:t>
      </w:r>
      <w:r w:rsidRPr="00B05374">
        <w:rPr>
          <w:kern w:val="0"/>
          <w:sz w:val="24"/>
        </w:rPr>
        <w:t>5</w:t>
      </w:r>
      <w:r w:rsidRPr="00B05374">
        <w:rPr>
          <w:kern w:val="0"/>
          <w:sz w:val="24"/>
        </w:rPr>
        <w:t>日至</w:t>
      </w:r>
      <w:r w:rsidRPr="00B05374">
        <w:rPr>
          <w:kern w:val="0"/>
          <w:sz w:val="24"/>
        </w:rPr>
        <w:t>2016</w:t>
      </w:r>
      <w:r w:rsidRPr="00B05374">
        <w:rPr>
          <w:kern w:val="0"/>
          <w:sz w:val="24"/>
        </w:rPr>
        <w:t>年</w:t>
      </w:r>
      <w:r w:rsidRPr="00B05374">
        <w:rPr>
          <w:kern w:val="0"/>
          <w:sz w:val="24"/>
        </w:rPr>
        <w:t>12</w:t>
      </w:r>
      <w:r w:rsidRPr="00B05374">
        <w:rPr>
          <w:kern w:val="0"/>
          <w:sz w:val="24"/>
        </w:rPr>
        <w:t>月</w:t>
      </w:r>
      <w:r w:rsidRPr="00B05374">
        <w:rPr>
          <w:kern w:val="0"/>
          <w:sz w:val="24"/>
        </w:rPr>
        <w:t>31</w:t>
      </w:r>
      <w:r w:rsidRPr="00B05374">
        <w:rPr>
          <w:kern w:val="0"/>
          <w:sz w:val="24"/>
        </w:rPr>
        <w:t>日。基金合同生效当年的净值增长</w:t>
      </w:r>
      <w:r w:rsidRPr="00B05374">
        <w:rPr>
          <w:kern w:val="0"/>
          <w:sz w:val="24"/>
        </w:rPr>
        <w:lastRenderedPageBreak/>
        <w:t>率按照当年实际存续期计算。</w:t>
      </w:r>
    </w:p>
    <w:p w:rsidR="002E63B8" w:rsidRPr="00C51C77" w:rsidRDefault="002E63B8" w:rsidP="00026C9C">
      <w:pPr>
        <w:spacing w:line="360" w:lineRule="auto"/>
        <w:ind w:firstLine="420"/>
        <w:jc w:val="left"/>
        <w:rPr>
          <w:rFonts w:asciiTheme="minorEastAsia" w:eastAsiaTheme="minorEastAsia" w:hAnsiTheme="minorEastAsia"/>
          <w:color w:val="000000"/>
          <w:szCs w:val="21"/>
        </w:rPr>
      </w:pPr>
    </w:p>
    <w:p w:rsidR="00E63239" w:rsidRPr="00701155" w:rsidRDefault="00E63239" w:rsidP="00701155">
      <w:pPr>
        <w:pStyle w:val="20"/>
        <w:spacing w:before="29" w:after="0" w:line="288" w:lineRule="auto"/>
        <w:rPr>
          <w:rFonts w:ascii="Times New Roman" w:hAnsi="Times New Roman"/>
          <w:kern w:val="0"/>
          <w:szCs w:val="24"/>
        </w:rPr>
      </w:pPr>
      <w:bookmarkStart w:id="21" w:name="_Toc249760033"/>
      <w:bookmarkStart w:id="22" w:name="_Toc361324853"/>
      <w:r w:rsidRPr="00701155">
        <w:rPr>
          <w:rFonts w:ascii="Times New Roman" w:hAnsi="Times New Roman"/>
          <w:kern w:val="0"/>
          <w:szCs w:val="24"/>
        </w:rPr>
        <w:t>3.3</w:t>
      </w:r>
      <w:r w:rsidRPr="00701155">
        <w:rPr>
          <w:rFonts w:ascii="Times New Roman" w:hAnsi="Times New Roman" w:hint="eastAsia"/>
          <w:kern w:val="0"/>
          <w:szCs w:val="24"/>
        </w:rPr>
        <w:t xml:space="preserve"> </w:t>
      </w:r>
      <w:r w:rsidRPr="00701155">
        <w:rPr>
          <w:rFonts w:ascii="Times New Roman" w:hAnsi="Times New Roman" w:hint="eastAsia"/>
          <w:kern w:val="0"/>
          <w:szCs w:val="24"/>
        </w:rPr>
        <w:t>过去三年基金的利润分配情况</w:t>
      </w:r>
      <w:bookmarkEnd w:id="21"/>
      <w:bookmarkEnd w:id="22"/>
    </w:p>
    <w:p w:rsidR="00E63239" w:rsidRPr="005531B6" w:rsidRDefault="00E63239" w:rsidP="005531B6">
      <w:pPr>
        <w:pStyle w:val="a0"/>
        <w:spacing w:line="360" w:lineRule="auto"/>
        <w:ind w:firstLine="480"/>
        <w:jc w:val="right"/>
        <w:rPr>
          <w:color w:val="000000"/>
          <w:kern w:val="0"/>
          <w:sz w:val="24"/>
        </w:rPr>
      </w:pPr>
      <w:r w:rsidRPr="005531B6">
        <w:rPr>
          <w:rFonts w:hint="eastAsia"/>
          <w:color w:val="000000"/>
          <w:kern w:val="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336"/>
        <w:gridCol w:w="1663"/>
        <w:gridCol w:w="1739"/>
        <w:gridCol w:w="1701"/>
        <w:gridCol w:w="1060"/>
      </w:tblGrid>
      <w:tr w:rsidR="00E63239" w:rsidRPr="00C51C77" w:rsidTr="00294271">
        <w:tc>
          <w:tcPr>
            <w:tcW w:w="1499" w:type="dxa"/>
            <w:vAlign w:val="center"/>
          </w:tcPr>
          <w:p w:rsidR="00E63239" w:rsidRPr="005531B6" w:rsidRDefault="00E63239" w:rsidP="00630017">
            <w:pPr>
              <w:spacing w:before="29" w:line="288" w:lineRule="auto"/>
              <w:jc w:val="center"/>
              <w:rPr>
                <w:sz w:val="24"/>
              </w:rPr>
            </w:pPr>
            <w:r w:rsidRPr="005531B6">
              <w:rPr>
                <w:rFonts w:hint="eastAsia"/>
                <w:sz w:val="24"/>
              </w:rPr>
              <w:t>年度</w:t>
            </w:r>
          </w:p>
        </w:tc>
        <w:tc>
          <w:tcPr>
            <w:tcW w:w="1336" w:type="dxa"/>
            <w:vAlign w:val="center"/>
          </w:tcPr>
          <w:p w:rsidR="00E63239" w:rsidRPr="005531B6" w:rsidRDefault="00E63239" w:rsidP="00630017">
            <w:pPr>
              <w:spacing w:before="29" w:line="288" w:lineRule="auto"/>
              <w:jc w:val="center"/>
              <w:rPr>
                <w:sz w:val="24"/>
              </w:rPr>
            </w:pPr>
            <w:r w:rsidRPr="005531B6">
              <w:rPr>
                <w:rFonts w:hint="eastAsia"/>
                <w:sz w:val="24"/>
              </w:rPr>
              <w:t>每</w:t>
            </w:r>
            <w:r w:rsidRPr="005531B6">
              <w:rPr>
                <w:sz w:val="24"/>
              </w:rPr>
              <w:t>10</w:t>
            </w:r>
            <w:r w:rsidRPr="005531B6">
              <w:rPr>
                <w:rFonts w:hint="eastAsia"/>
                <w:sz w:val="24"/>
              </w:rPr>
              <w:t>份基金份额分红数</w:t>
            </w:r>
          </w:p>
        </w:tc>
        <w:tc>
          <w:tcPr>
            <w:tcW w:w="1663" w:type="dxa"/>
            <w:vAlign w:val="center"/>
          </w:tcPr>
          <w:p w:rsidR="00E63239" w:rsidRPr="005531B6" w:rsidRDefault="00E63239" w:rsidP="00630017">
            <w:pPr>
              <w:spacing w:before="29" w:line="288" w:lineRule="auto"/>
              <w:jc w:val="center"/>
              <w:rPr>
                <w:sz w:val="24"/>
              </w:rPr>
            </w:pPr>
            <w:r w:rsidRPr="005531B6">
              <w:rPr>
                <w:rFonts w:hint="eastAsia"/>
                <w:sz w:val="24"/>
              </w:rPr>
              <w:t>现金形式发放总额</w:t>
            </w:r>
          </w:p>
        </w:tc>
        <w:tc>
          <w:tcPr>
            <w:tcW w:w="1739" w:type="dxa"/>
            <w:vAlign w:val="center"/>
          </w:tcPr>
          <w:p w:rsidR="00E63239" w:rsidRPr="005531B6" w:rsidRDefault="00E63239" w:rsidP="00630017">
            <w:pPr>
              <w:spacing w:before="29" w:line="288" w:lineRule="auto"/>
              <w:jc w:val="center"/>
              <w:rPr>
                <w:sz w:val="24"/>
              </w:rPr>
            </w:pPr>
            <w:r w:rsidRPr="005531B6">
              <w:rPr>
                <w:rFonts w:hint="eastAsia"/>
                <w:sz w:val="24"/>
              </w:rPr>
              <w:t>再投资形式发放总额</w:t>
            </w:r>
          </w:p>
        </w:tc>
        <w:tc>
          <w:tcPr>
            <w:tcW w:w="1701" w:type="dxa"/>
            <w:vAlign w:val="center"/>
          </w:tcPr>
          <w:p w:rsidR="00E63239" w:rsidRPr="005531B6" w:rsidRDefault="00E63239" w:rsidP="00630017">
            <w:pPr>
              <w:spacing w:before="29" w:line="288" w:lineRule="auto"/>
              <w:jc w:val="center"/>
              <w:rPr>
                <w:sz w:val="24"/>
              </w:rPr>
            </w:pPr>
            <w:r w:rsidRPr="005531B6">
              <w:rPr>
                <w:rFonts w:hint="eastAsia"/>
                <w:sz w:val="24"/>
              </w:rPr>
              <w:t>年度利润分配合计</w:t>
            </w:r>
          </w:p>
        </w:tc>
        <w:tc>
          <w:tcPr>
            <w:tcW w:w="1060" w:type="dxa"/>
            <w:vAlign w:val="center"/>
          </w:tcPr>
          <w:p w:rsidR="00E63239" w:rsidRPr="005531B6" w:rsidRDefault="00E63239" w:rsidP="00630017">
            <w:pPr>
              <w:spacing w:before="29" w:line="288" w:lineRule="auto"/>
              <w:jc w:val="center"/>
              <w:rPr>
                <w:sz w:val="24"/>
              </w:rPr>
            </w:pPr>
            <w:r w:rsidRPr="005531B6">
              <w:rPr>
                <w:rFonts w:hint="eastAsia"/>
                <w:sz w:val="24"/>
              </w:rPr>
              <w:t>备注</w:t>
            </w:r>
          </w:p>
        </w:tc>
      </w:tr>
      <w:tr w:rsidR="004A4B7D">
        <w:tc>
          <w:tcPr>
            <w:tcW w:w="1499" w:type="dxa"/>
            <w:vAlign w:val="center"/>
          </w:tcPr>
          <w:p w:rsidR="004A4B7D" w:rsidRDefault="00B235F4">
            <w:pPr>
              <w:jc w:val="center"/>
            </w:pPr>
            <w:r>
              <w:rPr>
                <w:color w:val="000000"/>
                <w:sz w:val="24"/>
              </w:rPr>
              <w:t>2016</w:t>
            </w:r>
            <w:r>
              <w:rPr>
                <w:color w:val="000000"/>
                <w:sz w:val="24"/>
              </w:rPr>
              <w:t>年</w:t>
            </w:r>
          </w:p>
        </w:tc>
        <w:tc>
          <w:tcPr>
            <w:tcW w:w="1336" w:type="dxa"/>
            <w:vAlign w:val="center"/>
          </w:tcPr>
          <w:p w:rsidR="004A4B7D" w:rsidRDefault="00B235F4">
            <w:pPr>
              <w:jc w:val="right"/>
            </w:pPr>
            <w:r>
              <w:rPr>
                <w:color w:val="000000"/>
                <w:sz w:val="24"/>
              </w:rPr>
              <w:t>4.600</w:t>
            </w:r>
          </w:p>
        </w:tc>
        <w:tc>
          <w:tcPr>
            <w:tcW w:w="1663" w:type="dxa"/>
            <w:vAlign w:val="center"/>
          </w:tcPr>
          <w:p w:rsidR="004A4B7D" w:rsidRDefault="00B235F4">
            <w:pPr>
              <w:jc w:val="right"/>
            </w:pPr>
            <w:r>
              <w:rPr>
                <w:color w:val="000000"/>
                <w:sz w:val="24"/>
              </w:rPr>
              <w:t>53,515,138.76</w:t>
            </w:r>
          </w:p>
        </w:tc>
        <w:tc>
          <w:tcPr>
            <w:tcW w:w="1739" w:type="dxa"/>
            <w:vAlign w:val="center"/>
          </w:tcPr>
          <w:p w:rsidR="004A4B7D" w:rsidRDefault="00B235F4">
            <w:pPr>
              <w:jc w:val="right"/>
            </w:pPr>
            <w:r>
              <w:rPr>
                <w:color w:val="000000"/>
                <w:sz w:val="24"/>
              </w:rPr>
              <w:t>9,270,953.47</w:t>
            </w:r>
          </w:p>
        </w:tc>
        <w:tc>
          <w:tcPr>
            <w:tcW w:w="1701" w:type="dxa"/>
            <w:vAlign w:val="center"/>
          </w:tcPr>
          <w:p w:rsidR="004A4B7D" w:rsidRDefault="00B235F4">
            <w:pPr>
              <w:jc w:val="right"/>
            </w:pPr>
            <w:r>
              <w:rPr>
                <w:color w:val="000000"/>
                <w:sz w:val="24"/>
              </w:rPr>
              <w:t>62,786,092.23</w:t>
            </w:r>
          </w:p>
        </w:tc>
        <w:tc>
          <w:tcPr>
            <w:tcW w:w="1060" w:type="dxa"/>
            <w:vAlign w:val="center"/>
          </w:tcPr>
          <w:p w:rsidR="004A4B7D" w:rsidRDefault="00B235F4">
            <w:pPr>
              <w:jc w:val="left"/>
            </w:pPr>
            <w:r>
              <w:rPr>
                <w:color w:val="000000"/>
                <w:sz w:val="24"/>
              </w:rPr>
              <w:t>-</w:t>
            </w:r>
          </w:p>
        </w:tc>
      </w:tr>
      <w:tr w:rsidR="004A4B7D">
        <w:tc>
          <w:tcPr>
            <w:tcW w:w="1499" w:type="dxa"/>
            <w:vAlign w:val="center"/>
          </w:tcPr>
          <w:p w:rsidR="004A4B7D" w:rsidRDefault="00B235F4">
            <w:pPr>
              <w:jc w:val="center"/>
            </w:pPr>
            <w:r>
              <w:rPr>
                <w:color w:val="000000"/>
                <w:sz w:val="24"/>
              </w:rPr>
              <w:t>2015</w:t>
            </w:r>
            <w:r>
              <w:rPr>
                <w:color w:val="000000"/>
                <w:sz w:val="24"/>
              </w:rPr>
              <w:t>年</w:t>
            </w:r>
          </w:p>
        </w:tc>
        <w:tc>
          <w:tcPr>
            <w:tcW w:w="1336" w:type="dxa"/>
            <w:vAlign w:val="center"/>
          </w:tcPr>
          <w:p w:rsidR="004A4B7D" w:rsidRDefault="00B235F4">
            <w:pPr>
              <w:jc w:val="right"/>
            </w:pPr>
            <w:r>
              <w:rPr>
                <w:color w:val="000000"/>
                <w:sz w:val="24"/>
              </w:rPr>
              <w:t>-</w:t>
            </w:r>
          </w:p>
        </w:tc>
        <w:tc>
          <w:tcPr>
            <w:tcW w:w="1663" w:type="dxa"/>
            <w:vAlign w:val="center"/>
          </w:tcPr>
          <w:p w:rsidR="004A4B7D" w:rsidRDefault="00B235F4">
            <w:pPr>
              <w:jc w:val="right"/>
            </w:pPr>
            <w:r>
              <w:rPr>
                <w:color w:val="000000"/>
                <w:sz w:val="24"/>
              </w:rPr>
              <w:t>-</w:t>
            </w:r>
          </w:p>
        </w:tc>
        <w:tc>
          <w:tcPr>
            <w:tcW w:w="1739" w:type="dxa"/>
            <w:vAlign w:val="center"/>
          </w:tcPr>
          <w:p w:rsidR="004A4B7D" w:rsidRDefault="00B235F4">
            <w:pPr>
              <w:jc w:val="right"/>
            </w:pPr>
            <w:r>
              <w:rPr>
                <w:color w:val="000000"/>
                <w:sz w:val="24"/>
              </w:rPr>
              <w:t>-</w:t>
            </w:r>
          </w:p>
        </w:tc>
        <w:tc>
          <w:tcPr>
            <w:tcW w:w="1701" w:type="dxa"/>
            <w:vAlign w:val="center"/>
          </w:tcPr>
          <w:p w:rsidR="004A4B7D" w:rsidRDefault="00B235F4">
            <w:pPr>
              <w:jc w:val="right"/>
            </w:pPr>
            <w:r>
              <w:rPr>
                <w:color w:val="000000"/>
                <w:sz w:val="24"/>
              </w:rPr>
              <w:t>-</w:t>
            </w:r>
          </w:p>
        </w:tc>
        <w:tc>
          <w:tcPr>
            <w:tcW w:w="1060" w:type="dxa"/>
            <w:vAlign w:val="center"/>
          </w:tcPr>
          <w:p w:rsidR="004A4B7D" w:rsidRDefault="00B235F4">
            <w:pPr>
              <w:jc w:val="left"/>
            </w:pPr>
            <w:r>
              <w:rPr>
                <w:color w:val="000000"/>
                <w:sz w:val="24"/>
              </w:rPr>
              <w:t>-</w:t>
            </w:r>
          </w:p>
        </w:tc>
      </w:tr>
      <w:tr w:rsidR="004A4B7D">
        <w:tc>
          <w:tcPr>
            <w:tcW w:w="1499" w:type="dxa"/>
            <w:vAlign w:val="center"/>
          </w:tcPr>
          <w:p w:rsidR="004A4B7D" w:rsidRDefault="00B235F4">
            <w:pPr>
              <w:jc w:val="center"/>
            </w:pPr>
            <w:r>
              <w:rPr>
                <w:color w:val="000000"/>
                <w:sz w:val="24"/>
              </w:rPr>
              <w:t>2014</w:t>
            </w:r>
            <w:r>
              <w:rPr>
                <w:color w:val="000000"/>
                <w:sz w:val="24"/>
              </w:rPr>
              <w:t>年</w:t>
            </w:r>
          </w:p>
        </w:tc>
        <w:tc>
          <w:tcPr>
            <w:tcW w:w="1336" w:type="dxa"/>
            <w:vAlign w:val="center"/>
          </w:tcPr>
          <w:p w:rsidR="004A4B7D" w:rsidRDefault="00B235F4">
            <w:pPr>
              <w:jc w:val="right"/>
            </w:pPr>
            <w:r>
              <w:rPr>
                <w:color w:val="000000"/>
                <w:sz w:val="24"/>
              </w:rPr>
              <w:t>-</w:t>
            </w:r>
          </w:p>
        </w:tc>
        <w:tc>
          <w:tcPr>
            <w:tcW w:w="1663" w:type="dxa"/>
            <w:vAlign w:val="center"/>
          </w:tcPr>
          <w:p w:rsidR="004A4B7D" w:rsidRDefault="00B235F4">
            <w:pPr>
              <w:jc w:val="right"/>
            </w:pPr>
            <w:r>
              <w:rPr>
                <w:color w:val="000000"/>
                <w:sz w:val="24"/>
              </w:rPr>
              <w:t>-</w:t>
            </w:r>
          </w:p>
        </w:tc>
        <w:tc>
          <w:tcPr>
            <w:tcW w:w="1739" w:type="dxa"/>
            <w:vAlign w:val="center"/>
          </w:tcPr>
          <w:p w:rsidR="004A4B7D" w:rsidRDefault="00B235F4">
            <w:pPr>
              <w:jc w:val="right"/>
            </w:pPr>
            <w:r>
              <w:rPr>
                <w:color w:val="000000"/>
                <w:sz w:val="24"/>
              </w:rPr>
              <w:t>-</w:t>
            </w:r>
          </w:p>
        </w:tc>
        <w:tc>
          <w:tcPr>
            <w:tcW w:w="1701" w:type="dxa"/>
            <w:vAlign w:val="center"/>
          </w:tcPr>
          <w:p w:rsidR="004A4B7D" w:rsidRDefault="00B235F4">
            <w:pPr>
              <w:jc w:val="right"/>
            </w:pPr>
            <w:r>
              <w:rPr>
                <w:color w:val="000000"/>
                <w:sz w:val="24"/>
              </w:rPr>
              <w:t>-</w:t>
            </w:r>
          </w:p>
        </w:tc>
        <w:tc>
          <w:tcPr>
            <w:tcW w:w="1060" w:type="dxa"/>
            <w:vAlign w:val="center"/>
          </w:tcPr>
          <w:p w:rsidR="004A4B7D" w:rsidRDefault="00B235F4">
            <w:pPr>
              <w:jc w:val="left"/>
            </w:pPr>
            <w:r>
              <w:rPr>
                <w:color w:val="000000"/>
                <w:sz w:val="24"/>
              </w:rPr>
              <w:t>-</w:t>
            </w:r>
          </w:p>
        </w:tc>
      </w:tr>
      <w:tr w:rsidR="00E63239" w:rsidRPr="00C51C77" w:rsidTr="00294271">
        <w:tc>
          <w:tcPr>
            <w:tcW w:w="1499" w:type="dxa"/>
            <w:vAlign w:val="center"/>
          </w:tcPr>
          <w:p w:rsidR="00E63239" w:rsidRPr="00C6200C" w:rsidRDefault="00E63239" w:rsidP="003F79D5">
            <w:pPr>
              <w:spacing w:before="29" w:line="288" w:lineRule="auto"/>
              <w:jc w:val="center"/>
              <w:rPr>
                <w:color w:val="000000"/>
                <w:sz w:val="24"/>
              </w:rPr>
            </w:pPr>
            <w:r w:rsidRPr="00C6200C">
              <w:rPr>
                <w:rFonts w:hint="eastAsia"/>
                <w:color w:val="000000"/>
                <w:sz w:val="24"/>
              </w:rPr>
              <w:t>合计</w:t>
            </w:r>
          </w:p>
        </w:tc>
        <w:tc>
          <w:tcPr>
            <w:tcW w:w="1336" w:type="dxa"/>
            <w:vAlign w:val="center"/>
          </w:tcPr>
          <w:p w:rsidR="00E63239" w:rsidRPr="00C6200C" w:rsidRDefault="00E63239" w:rsidP="00294271">
            <w:pPr>
              <w:spacing w:before="29" w:line="288" w:lineRule="auto"/>
              <w:jc w:val="right"/>
              <w:rPr>
                <w:color w:val="000000"/>
                <w:sz w:val="24"/>
              </w:rPr>
            </w:pPr>
            <w:r w:rsidRPr="00C6200C">
              <w:rPr>
                <w:color w:val="000000"/>
                <w:sz w:val="24"/>
              </w:rPr>
              <w:t>4.600</w:t>
            </w:r>
          </w:p>
        </w:tc>
        <w:tc>
          <w:tcPr>
            <w:tcW w:w="1663" w:type="dxa"/>
            <w:vAlign w:val="center"/>
          </w:tcPr>
          <w:p w:rsidR="00E63239" w:rsidRPr="00C6200C" w:rsidRDefault="00E63239" w:rsidP="00294271">
            <w:pPr>
              <w:spacing w:before="29" w:line="288" w:lineRule="auto"/>
              <w:jc w:val="right"/>
              <w:rPr>
                <w:color w:val="000000"/>
                <w:sz w:val="24"/>
              </w:rPr>
            </w:pPr>
            <w:r w:rsidRPr="00C6200C">
              <w:rPr>
                <w:color w:val="000000"/>
                <w:sz w:val="24"/>
              </w:rPr>
              <w:t>53,515,138.76</w:t>
            </w:r>
          </w:p>
        </w:tc>
        <w:tc>
          <w:tcPr>
            <w:tcW w:w="1739" w:type="dxa"/>
            <w:vAlign w:val="center"/>
          </w:tcPr>
          <w:p w:rsidR="00E63239" w:rsidRPr="00C6200C" w:rsidRDefault="00E63239" w:rsidP="00294271">
            <w:pPr>
              <w:spacing w:before="29" w:line="288" w:lineRule="auto"/>
              <w:jc w:val="right"/>
              <w:rPr>
                <w:color w:val="000000"/>
                <w:sz w:val="24"/>
              </w:rPr>
            </w:pPr>
            <w:r w:rsidRPr="00C6200C">
              <w:rPr>
                <w:color w:val="000000"/>
                <w:sz w:val="24"/>
              </w:rPr>
              <w:t>9,270,953.47</w:t>
            </w:r>
          </w:p>
        </w:tc>
        <w:tc>
          <w:tcPr>
            <w:tcW w:w="1701" w:type="dxa"/>
            <w:vAlign w:val="center"/>
          </w:tcPr>
          <w:p w:rsidR="00E63239" w:rsidRPr="00C6200C" w:rsidRDefault="00E63239" w:rsidP="00294271">
            <w:pPr>
              <w:spacing w:before="29" w:line="288" w:lineRule="auto"/>
              <w:jc w:val="right"/>
              <w:rPr>
                <w:color w:val="000000"/>
                <w:sz w:val="24"/>
              </w:rPr>
            </w:pPr>
            <w:r w:rsidRPr="00C6200C">
              <w:rPr>
                <w:color w:val="000000"/>
                <w:sz w:val="24"/>
              </w:rPr>
              <w:t>62,786,092.23</w:t>
            </w:r>
          </w:p>
        </w:tc>
        <w:tc>
          <w:tcPr>
            <w:tcW w:w="1060" w:type="dxa"/>
            <w:vAlign w:val="center"/>
          </w:tcPr>
          <w:p w:rsidR="00E63239" w:rsidRPr="00C6200C" w:rsidRDefault="00E63239" w:rsidP="00294271">
            <w:pPr>
              <w:spacing w:before="29" w:line="288" w:lineRule="auto"/>
              <w:jc w:val="right"/>
              <w:rPr>
                <w:color w:val="000000"/>
                <w:sz w:val="24"/>
              </w:rPr>
            </w:pPr>
            <w:r w:rsidRPr="00C6200C">
              <w:rPr>
                <w:color w:val="000000"/>
                <w:sz w:val="24"/>
              </w:rPr>
              <w:t>-</w:t>
            </w:r>
          </w:p>
        </w:tc>
      </w:tr>
    </w:tbl>
    <w:p w:rsidR="00ED0CB9" w:rsidRPr="00C6200C" w:rsidRDefault="00ED0CB9" w:rsidP="00C6200C">
      <w:pPr>
        <w:tabs>
          <w:tab w:val="left" w:pos="426"/>
        </w:tabs>
        <w:spacing w:before="29" w:line="288" w:lineRule="auto"/>
        <w:jc w:val="left"/>
        <w:rPr>
          <w:kern w:val="0"/>
          <w:sz w:val="24"/>
        </w:rPr>
      </w:pPr>
    </w:p>
    <w:p w:rsidR="001A59F9" w:rsidRDefault="001A59F9" w:rsidP="00181618">
      <w:pPr>
        <w:pStyle w:val="1"/>
        <w:keepNext/>
        <w:keepLines/>
        <w:widowControl w:val="0"/>
        <w:spacing w:beforeLines="100" w:before="312" w:afterLines="100" w:after="312" w:line="288" w:lineRule="auto"/>
        <w:jc w:val="center"/>
        <w:rPr>
          <w:b/>
          <w:bCs/>
          <w:szCs w:val="24"/>
          <w:lang w:val="en-US"/>
        </w:rPr>
      </w:pPr>
      <w:bookmarkStart w:id="23" w:name="_Toc225498254"/>
      <w:bookmarkStart w:id="24" w:name="_Toc361324854"/>
      <w:r w:rsidRPr="00053438">
        <w:rPr>
          <w:rFonts w:hint="eastAsia"/>
          <w:b/>
          <w:bCs/>
          <w:szCs w:val="24"/>
          <w:lang w:val="en-US"/>
        </w:rPr>
        <w:t>§</w:t>
      </w:r>
      <w:r w:rsidRPr="00053438">
        <w:rPr>
          <w:b/>
          <w:bCs/>
          <w:szCs w:val="24"/>
          <w:lang w:val="en-US"/>
        </w:rPr>
        <w:t xml:space="preserve">4  </w:t>
      </w:r>
      <w:r w:rsidRPr="00053438">
        <w:rPr>
          <w:rFonts w:hint="eastAsia"/>
          <w:b/>
          <w:bCs/>
          <w:szCs w:val="24"/>
          <w:lang w:val="en-US"/>
        </w:rPr>
        <w:t>管理人报告</w:t>
      </w:r>
      <w:bookmarkEnd w:id="23"/>
      <w:bookmarkEnd w:id="24"/>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25" w:name="_Toc361324855"/>
      <w:r w:rsidRPr="00701155">
        <w:rPr>
          <w:rFonts w:ascii="Times New Roman" w:hAnsi="Times New Roman"/>
          <w:kern w:val="0"/>
          <w:szCs w:val="24"/>
        </w:rPr>
        <w:t xml:space="preserve">4.1 </w:t>
      </w:r>
      <w:r w:rsidRPr="00701155">
        <w:rPr>
          <w:rFonts w:ascii="Times New Roman" w:hAnsi="Times New Roman" w:hint="eastAsia"/>
          <w:kern w:val="0"/>
          <w:szCs w:val="24"/>
        </w:rPr>
        <w:t>基金管理人及基金经理情况</w:t>
      </w:r>
      <w:bookmarkEnd w:id="25"/>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4.1.1</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基金管理人及其管理基金的经验</w:t>
      </w:r>
    </w:p>
    <w:p w:rsidR="004A4B7D" w:rsidRDefault="00B235F4">
      <w:pPr>
        <w:spacing w:before="29" w:line="288" w:lineRule="auto"/>
        <w:ind w:firstLineChars="200" w:firstLine="480"/>
        <w:rPr>
          <w:color w:val="000000"/>
          <w:sz w:val="24"/>
        </w:rPr>
      </w:pPr>
      <w:r>
        <w:rPr>
          <w:color w:val="000000"/>
          <w:sz w:val="24"/>
        </w:rPr>
        <w:t>交银施罗德基金管理有限公司是经中国证监会证</w:t>
      </w:r>
      <w:proofErr w:type="gramStart"/>
      <w:r>
        <w:rPr>
          <w:color w:val="000000"/>
          <w:sz w:val="24"/>
        </w:rPr>
        <w:t>监基金字</w:t>
      </w:r>
      <w:proofErr w:type="gramEnd"/>
      <w:r>
        <w:rPr>
          <w:color w:val="000000"/>
          <w:sz w:val="24"/>
        </w:rPr>
        <w:t>[2005]128</w:t>
      </w:r>
      <w:r>
        <w:rPr>
          <w:color w:val="000000"/>
          <w:sz w:val="24"/>
        </w:rPr>
        <w:t>号文批准，由交通银行股份有限公司、施罗德投资管理有限公司、中国国际海运集装箱（集团）股份有限公司共同发起设立。公司成立于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rsidR="001A59F9" w:rsidRPr="0013437B" w:rsidRDefault="001A59F9" w:rsidP="0013437B">
      <w:pPr>
        <w:spacing w:before="29" w:line="288" w:lineRule="auto"/>
        <w:ind w:firstLineChars="200" w:firstLine="480"/>
        <w:rPr>
          <w:color w:val="000000"/>
          <w:sz w:val="24"/>
        </w:rPr>
      </w:pPr>
      <w:r w:rsidRPr="0013437B">
        <w:rPr>
          <w:color w:val="000000"/>
          <w:sz w:val="24"/>
        </w:rPr>
        <w:t>截至报告期末，公司管理了包括货币型、债券型、保本混合型、普通混合型和股票型在内的</w:t>
      </w:r>
      <w:r w:rsidRPr="0013437B">
        <w:rPr>
          <w:color w:val="000000"/>
          <w:sz w:val="24"/>
        </w:rPr>
        <w:t>69</w:t>
      </w:r>
      <w:r w:rsidRPr="0013437B">
        <w:rPr>
          <w:color w:val="000000"/>
          <w:sz w:val="24"/>
        </w:rPr>
        <w:t>只基金，其中股票型涵盖普通指数型、交易型开放式（</w:t>
      </w:r>
      <w:r w:rsidRPr="0013437B">
        <w:rPr>
          <w:color w:val="000000"/>
          <w:sz w:val="24"/>
        </w:rPr>
        <w:t>ETF</w:t>
      </w:r>
      <w:r w:rsidRPr="0013437B">
        <w:rPr>
          <w:color w:val="000000"/>
          <w:sz w:val="24"/>
        </w:rPr>
        <w:t>）、</w:t>
      </w:r>
      <w:r w:rsidRPr="0013437B">
        <w:rPr>
          <w:color w:val="000000"/>
          <w:sz w:val="24"/>
        </w:rPr>
        <w:t>QDII</w:t>
      </w:r>
      <w:r w:rsidRPr="0013437B">
        <w:rPr>
          <w:color w:val="000000"/>
          <w:sz w:val="24"/>
        </w:rPr>
        <w:t>等不同类型基金。</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4.1.2</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基金经理（或基金经理小组）及基金经理助理的简介</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
        <w:gridCol w:w="1499"/>
        <w:gridCol w:w="1500"/>
        <w:gridCol w:w="1500"/>
        <w:gridCol w:w="1090"/>
        <w:gridCol w:w="1910"/>
      </w:tblGrid>
      <w:tr w:rsidR="001A59F9" w:rsidRPr="00C51C77" w:rsidTr="001622C3">
        <w:tc>
          <w:tcPr>
            <w:tcW w:w="1499"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姓名</w:t>
            </w:r>
          </w:p>
        </w:tc>
        <w:tc>
          <w:tcPr>
            <w:tcW w:w="1499"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职务</w:t>
            </w:r>
          </w:p>
        </w:tc>
        <w:tc>
          <w:tcPr>
            <w:tcW w:w="3000" w:type="dxa"/>
            <w:gridSpan w:val="2"/>
            <w:vAlign w:val="center"/>
          </w:tcPr>
          <w:p w:rsidR="001A59F9" w:rsidRPr="00792D48" w:rsidRDefault="001A59F9" w:rsidP="00792D48">
            <w:pPr>
              <w:spacing w:before="29" w:line="288" w:lineRule="auto"/>
              <w:jc w:val="center"/>
              <w:rPr>
                <w:color w:val="000000"/>
                <w:sz w:val="24"/>
              </w:rPr>
            </w:pPr>
            <w:proofErr w:type="gramStart"/>
            <w:r w:rsidRPr="00792D48">
              <w:rPr>
                <w:rFonts w:hint="eastAsia"/>
                <w:color w:val="000000"/>
                <w:sz w:val="24"/>
              </w:rPr>
              <w:t>任本基金</w:t>
            </w:r>
            <w:proofErr w:type="gramEnd"/>
            <w:r w:rsidRPr="00792D48">
              <w:rPr>
                <w:rFonts w:hint="eastAsia"/>
                <w:color w:val="000000"/>
                <w:sz w:val="24"/>
              </w:rPr>
              <w:t>的基金经理</w:t>
            </w:r>
            <w:r w:rsidR="00F07263" w:rsidRPr="00792D48">
              <w:rPr>
                <w:rFonts w:hint="eastAsia"/>
                <w:color w:val="000000"/>
                <w:sz w:val="24"/>
              </w:rPr>
              <w:t>（助理）</w:t>
            </w:r>
            <w:r w:rsidRPr="00792D48">
              <w:rPr>
                <w:rFonts w:hint="eastAsia"/>
                <w:color w:val="000000"/>
                <w:sz w:val="24"/>
              </w:rPr>
              <w:t>期限</w:t>
            </w:r>
          </w:p>
        </w:tc>
        <w:tc>
          <w:tcPr>
            <w:tcW w:w="1090"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证券从业年限</w:t>
            </w:r>
          </w:p>
        </w:tc>
        <w:tc>
          <w:tcPr>
            <w:tcW w:w="1910" w:type="dxa"/>
            <w:vMerge w:val="restart"/>
            <w:vAlign w:val="center"/>
          </w:tcPr>
          <w:p w:rsidR="001A59F9" w:rsidRPr="00792D48" w:rsidRDefault="001A59F9" w:rsidP="00792D48">
            <w:pPr>
              <w:spacing w:before="29" w:line="288" w:lineRule="auto"/>
              <w:jc w:val="center"/>
              <w:rPr>
                <w:color w:val="000000"/>
                <w:sz w:val="24"/>
              </w:rPr>
            </w:pPr>
            <w:r w:rsidRPr="00792D48">
              <w:rPr>
                <w:rFonts w:hint="eastAsia"/>
                <w:color w:val="000000"/>
                <w:sz w:val="24"/>
              </w:rPr>
              <w:t>说明</w:t>
            </w:r>
          </w:p>
        </w:tc>
      </w:tr>
      <w:tr w:rsidR="001A59F9" w:rsidRPr="00C51C77" w:rsidTr="001622C3">
        <w:tc>
          <w:tcPr>
            <w:tcW w:w="1499"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c>
          <w:tcPr>
            <w:tcW w:w="1499" w:type="dxa"/>
            <w:vMerge/>
            <w:vAlign w:val="center"/>
          </w:tcPr>
          <w:p w:rsidR="001A59F9" w:rsidRPr="001622C3" w:rsidRDefault="001A59F9" w:rsidP="001622C3">
            <w:pPr>
              <w:spacing w:before="29" w:line="288" w:lineRule="auto"/>
              <w:jc w:val="center"/>
              <w:rPr>
                <w:color w:val="000000"/>
                <w:sz w:val="24"/>
              </w:rPr>
            </w:pPr>
          </w:p>
        </w:tc>
        <w:tc>
          <w:tcPr>
            <w:tcW w:w="1500" w:type="dxa"/>
            <w:vAlign w:val="center"/>
          </w:tcPr>
          <w:p w:rsidR="001A59F9" w:rsidRPr="001622C3" w:rsidRDefault="001A59F9" w:rsidP="001622C3">
            <w:pPr>
              <w:spacing w:before="29" w:line="288" w:lineRule="auto"/>
              <w:jc w:val="center"/>
              <w:rPr>
                <w:color w:val="000000"/>
                <w:sz w:val="24"/>
              </w:rPr>
            </w:pPr>
            <w:r w:rsidRPr="001622C3">
              <w:rPr>
                <w:rFonts w:hint="eastAsia"/>
                <w:color w:val="000000"/>
                <w:sz w:val="24"/>
              </w:rPr>
              <w:t>任职日期</w:t>
            </w:r>
          </w:p>
        </w:tc>
        <w:tc>
          <w:tcPr>
            <w:tcW w:w="1500" w:type="dxa"/>
            <w:vAlign w:val="center"/>
          </w:tcPr>
          <w:p w:rsidR="001A59F9" w:rsidRPr="001622C3" w:rsidRDefault="001A59F9" w:rsidP="001622C3">
            <w:pPr>
              <w:spacing w:before="29" w:line="288" w:lineRule="auto"/>
              <w:jc w:val="center"/>
              <w:rPr>
                <w:color w:val="000000"/>
                <w:sz w:val="24"/>
              </w:rPr>
            </w:pPr>
            <w:r w:rsidRPr="001622C3">
              <w:rPr>
                <w:rFonts w:hint="eastAsia"/>
                <w:color w:val="000000"/>
                <w:sz w:val="24"/>
              </w:rPr>
              <w:t>离任日期</w:t>
            </w:r>
          </w:p>
        </w:tc>
        <w:tc>
          <w:tcPr>
            <w:tcW w:w="1090"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c>
          <w:tcPr>
            <w:tcW w:w="1910" w:type="dxa"/>
            <w:vMerge/>
            <w:vAlign w:val="center"/>
          </w:tcPr>
          <w:p w:rsidR="001A59F9" w:rsidRPr="00C51C77" w:rsidRDefault="001A59F9" w:rsidP="00026C9C">
            <w:pPr>
              <w:widowControl/>
              <w:spacing w:line="360" w:lineRule="auto"/>
              <w:jc w:val="left"/>
              <w:rPr>
                <w:rFonts w:asciiTheme="minorEastAsia" w:eastAsiaTheme="minorEastAsia" w:hAnsiTheme="minorEastAsia"/>
                <w:color w:val="000000"/>
                <w:szCs w:val="21"/>
              </w:rPr>
            </w:pPr>
          </w:p>
        </w:tc>
      </w:tr>
      <w:tr w:rsidR="004A4B7D">
        <w:tc>
          <w:tcPr>
            <w:tcW w:w="1499" w:type="dxa"/>
            <w:vAlign w:val="center"/>
          </w:tcPr>
          <w:p w:rsidR="004A4B7D" w:rsidRDefault="00B235F4">
            <w:pPr>
              <w:jc w:val="center"/>
            </w:pPr>
            <w:r>
              <w:rPr>
                <w:color w:val="000000"/>
                <w:sz w:val="24"/>
              </w:rPr>
              <w:t>王少成</w:t>
            </w:r>
          </w:p>
        </w:tc>
        <w:tc>
          <w:tcPr>
            <w:tcW w:w="1499" w:type="dxa"/>
            <w:vAlign w:val="center"/>
          </w:tcPr>
          <w:p w:rsidR="004A4B7D" w:rsidRDefault="00B235F4">
            <w:pPr>
              <w:jc w:val="center"/>
            </w:pPr>
            <w:r>
              <w:rPr>
                <w:color w:val="000000"/>
                <w:sz w:val="24"/>
              </w:rPr>
              <w:t>交</w:t>
            </w:r>
            <w:proofErr w:type="gramStart"/>
            <w:r>
              <w:rPr>
                <w:color w:val="000000"/>
                <w:sz w:val="24"/>
              </w:rPr>
              <w:t>银成长</w:t>
            </w:r>
            <w:proofErr w:type="gramEnd"/>
            <w:r>
              <w:rPr>
                <w:color w:val="000000"/>
                <w:sz w:val="24"/>
              </w:rPr>
              <w:t>混合、交银策略回报灵活配置混合、交</w:t>
            </w:r>
            <w:proofErr w:type="gramStart"/>
            <w:r>
              <w:rPr>
                <w:color w:val="000000"/>
                <w:sz w:val="24"/>
              </w:rPr>
              <w:t>银成长</w:t>
            </w:r>
            <w:proofErr w:type="gramEnd"/>
            <w:r>
              <w:rPr>
                <w:color w:val="000000"/>
                <w:sz w:val="24"/>
              </w:rPr>
              <w:t>30</w:t>
            </w:r>
            <w:r>
              <w:rPr>
                <w:color w:val="000000"/>
                <w:sz w:val="24"/>
              </w:rPr>
              <w:t>混合、</w:t>
            </w:r>
            <w:proofErr w:type="gramStart"/>
            <w:r>
              <w:rPr>
                <w:color w:val="000000"/>
                <w:sz w:val="24"/>
              </w:rPr>
              <w:t>交银</w:t>
            </w:r>
            <w:r>
              <w:rPr>
                <w:color w:val="000000"/>
                <w:sz w:val="24"/>
              </w:rPr>
              <w:lastRenderedPageBreak/>
              <w:t>荣和</w:t>
            </w:r>
            <w:proofErr w:type="gramEnd"/>
            <w:r>
              <w:rPr>
                <w:color w:val="000000"/>
                <w:sz w:val="24"/>
              </w:rPr>
              <w:t>保本混合的基金经理，公司权益投资总监</w:t>
            </w:r>
          </w:p>
        </w:tc>
        <w:tc>
          <w:tcPr>
            <w:tcW w:w="1500" w:type="dxa"/>
            <w:vAlign w:val="center"/>
          </w:tcPr>
          <w:p w:rsidR="004A4B7D" w:rsidRDefault="00B235F4">
            <w:pPr>
              <w:jc w:val="center"/>
            </w:pPr>
            <w:r>
              <w:rPr>
                <w:color w:val="000000"/>
                <w:sz w:val="24"/>
              </w:rPr>
              <w:lastRenderedPageBreak/>
              <w:t>2013-07-02</w:t>
            </w:r>
          </w:p>
        </w:tc>
        <w:tc>
          <w:tcPr>
            <w:tcW w:w="1500" w:type="dxa"/>
            <w:vAlign w:val="center"/>
          </w:tcPr>
          <w:p w:rsidR="004A4B7D" w:rsidRDefault="00B235F4">
            <w:pPr>
              <w:jc w:val="center"/>
            </w:pPr>
            <w:r>
              <w:rPr>
                <w:color w:val="000000"/>
                <w:sz w:val="24"/>
              </w:rPr>
              <w:t>-</w:t>
            </w:r>
          </w:p>
        </w:tc>
        <w:tc>
          <w:tcPr>
            <w:tcW w:w="1090" w:type="dxa"/>
            <w:vAlign w:val="center"/>
          </w:tcPr>
          <w:p w:rsidR="004A4B7D" w:rsidRDefault="00B235F4">
            <w:pPr>
              <w:jc w:val="center"/>
            </w:pPr>
            <w:r>
              <w:rPr>
                <w:color w:val="000000"/>
                <w:sz w:val="24"/>
              </w:rPr>
              <w:t>12</w:t>
            </w:r>
            <w:r>
              <w:rPr>
                <w:color w:val="000000"/>
                <w:sz w:val="24"/>
              </w:rPr>
              <w:t>年</w:t>
            </w:r>
          </w:p>
        </w:tc>
        <w:tc>
          <w:tcPr>
            <w:tcW w:w="1910" w:type="dxa"/>
            <w:vAlign w:val="center"/>
          </w:tcPr>
          <w:p w:rsidR="004A4B7D" w:rsidRDefault="00B235F4">
            <w:r>
              <w:rPr>
                <w:color w:val="000000"/>
                <w:sz w:val="24"/>
              </w:rPr>
              <w:t>王少成先生，复旦大学硕士学历。历任上海融昌资产管理公司研究员，中原证券投资经理，信</w:t>
            </w:r>
            <w:proofErr w:type="gramStart"/>
            <w:r>
              <w:rPr>
                <w:color w:val="000000"/>
                <w:sz w:val="24"/>
              </w:rPr>
              <w:lastRenderedPageBreak/>
              <w:t>诚基金</w:t>
            </w:r>
            <w:proofErr w:type="gramEnd"/>
            <w:r>
              <w:rPr>
                <w:color w:val="000000"/>
                <w:sz w:val="24"/>
              </w:rPr>
              <w:t>管理有限公司研究总监助理，东吴基金管理有限公司投资经理、基金经理、投资部副总经理。其中</w:t>
            </w:r>
            <w:r>
              <w:rPr>
                <w:color w:val="000000"/>
                <w:sz w:val="24"/>
              </w:rPr>
              <w:t>2010</w:t>
            </w:r>
            <w:r>
              <w:rPr>
                <w:color w:val="000000"/>
                <w:sz w:val="24"/>
              </w:rPr>
              <w:t>年</w:t>
            </w:r>
            <w:r>
              <w:rPr>
                <w:color w:val="000000"/>
                <w:sz w:val="24"/>
              </w:rPr>
              <w:t>9</w:t>
            </w:r>
            <w:r>
              <w:rPr>
                <w:color w:val="000000"/>
                <w:sz w:val="24"/>
              </w:rPr>
              <w:t>月至</w:t>
            </w:r>
            <w:r>
              <w:rPr>
                <w:color w:val="000000"/>
                <w:sz w:val="24"/>
              </w:rPr>
              <w:t>2012</w:t>
            </w:r>
            <w:r>
              <w:rPr>
                <w:color w:val="000000"/>
                <w:sz w:val="24"/>
              </w:rPr>
              <w:t>年</w:t>
            </w:r>
            <w:r>
              <w:rPr>
                <w:color w:val="000000"/>
                <w:sz w:val="24"/>
              </w:rPr>
              <w:t>10</w:t>
            </w:r>
            <w:r>
              <w:rPr>
                <w:color w:val="000000"/>
                <w:sz w:val="24"/>
              </w:rPr>
              <w:t>月担任东吴新创业股票型证券投资</w:t>
            </w:r>
            <w:proofErr w:type="gramStart"/>
            <w:r>
              <w:rPr>
                <w:color w:val="000000"/>
                <w:sz w:val="24"/>
              </w:rPr>
              <w:t>基金基金</w:t>
            </w:r>
            <w:proofErr w:type="gramEnd"/>
            <w:r>
              <w:rPr>
                <w:color w:val="000000"/>
                <w:sz w:val="24"/>
              </w:rPr>
              <w:t>经理，</w:t>
            </w:r>
            <w:r>
              <w:rPr>
                <w:color w:val="000000"/>
                <w:sz w:val="24"/>
              </w:rPr>
              <w:t>2011</w:t>
            </w:r>
            <w:r>
              <w:rPr>
                <w:color w:val="000000"/>
                <w:sz w:val="24"/>
              </w:rPr>
              <w:t>年</w:t>
            </w:r>
            <w:r>
              <w:rPr>
                <w:color w:val="000000"/>
                <w:sz w:val="24"/>
              </w:rPr>
              <w:t>2</w:t>
            </w:r>
            <w:r>
              <w:rPr>
                <w:color w:val="000000"/>
                <w:sz w:val="24"/>
              </w:rPr>
              <w:t>月至</w:t>
            </w:r>
            <w:r>
              <w:rPr>
                <w:color w:val="000000"/>
                <w:sz w:val="24"/>
              </w:rPr>
              <w:t>2012</w:t>
            </w:r>
            <w:r>
              <w:rPr>
                <w:color w:val="000000"/>
                <w:sz w:val="24"/>
              </w:rPr>
              <w:t>年</w:t>
            </w:r>
            <w:r>
              <w:rPr>
                <w:color w:val="000000"/>
                <w:sz w:val="24"/>
              </w:rPr>
              <w:t>11</w:t>
            </w:r>
            <w:r>
              <w:rPr>
                <w:color w:val="000000"/>
                <w:sz w:val="24"/>
              </w:rPr>
              <w:t>月担任东吴中证新兴产业指数证券投资</w:t>
            </w:r>
            <w:proofErr w:type="gramStart"/>
            <w:r>
              <w:rPr>
                <w:color w:val="000000"/>
                <w:sz w:val="24"/>
              </w:rPr>
              <w:t>基金基金</w:t>
            </w:r>
            <w:proofErr w:type="gramEnd"/>
            <w:r>
              <w:rPr>
                <w:color w:val="000000"/>
                <w:sz w:val="24"/>
              </w:rPr>
              <w:t>经理，</w:t>
            </w:r>
            <w:r>
              <w:rPr>
                <w:color w:val="000000"/>
                <w:sz w:val="24"/>
              </w:rPr>
              <w:t>2011</w:t>
            </w:r>
            <w:r>
              <w:rPr>
                <w:color w:val="000000"/>
                <w:sz w:val="24"/>
              </w:rPr>
              <w:t>年</w:t>
            </w:r>
            <w:r>
              <w:rPr>
                <w:color w:val="000000"/>
                <w:sz w:val="24"/>
              </w:rPr>
              <w:t>5</w:t>
            </w:r>
            <w:r>
              <w:rPr>
                <w:color w:val="000000"/>
                <w:sz w:val="24"/>
              </w:rPr>
              <w:t>月至</w:t>
            </w:r>
            <w:r>
              <w:rPr>
                <w:color w:val="000000"/>
                <w:sz w:val="24"/>
              </w:rPr>
              <w:t>2012</w:t>
            </w:r>
            <w:r>
              <w:rPr>
                <w:color w:val="000000"/>
                <w:sz w:val="24"/>
              </w:rPr>
              <w:t>年</w:t>
            </w:r>
            <w:r>
              <w:rPr>
                <w:color w:val="000000"/>
                <w:sz w:val="24"/>
              </w:rPr>
              <w:t>11</w:t>
            </w:r>
            <w:r>
              <w:rPr>
                <w:color w:val="000000"/>
                <w:sz w:val="24"/>
              </w:rPr>
              <w:t>月担任东吴价值成长双动力股票型证券投资</w:t>
            </w:r>
            <w:proofErr w:type="gramStart"/>
            <w:r>
              <w:rPr>
                <w:color w:val="000000"/>
                <w:sz w:val="24"/>
              </w:rPr>
              <w:t>基金基金</w:t>
            </w:r>
            <w:proofErr w:type="gramEnd"/>
            <w:r>
              <w:rPr>
                <w:color w:val="000000"/>
                <w:sz w:val="24"/>
              </w:rPr>
              <w:t>经理。</w:t>
            </w:r>
            <w:r>
              <w:rPr>
                <w:color w:val="000000"/>
                <w:sz w:val="24"/>
              </w:rPr>
              <w:t>2012</w:t>
            </w:r>
            <w:r>
              <w:rPr>
                <w:color w:val="000000"/>
                <w:sz w:val="24"/>
              </w:rPr>
              <w:t>年加入交银施罗德基金管理有限公司，历任公司权益部副总经理。</w:t>
            </w:r>
            <w:r>
              <w:rPr>
                <w:color w:val="000000"/>
                <w:sz w:val="24"/>
              </w:rPr>
              <w:t>2013</w:t>
            </w:r>
            <w:r>
              <w:rPr>
                <w:color w:val="000000"/>
                <w:sz w:val="24"/>
              </w:rPr>
              <w:t>年</w:t>
            </w:r>
            <w:r>
              <w:rPr>
                <w:color w:val="000000"/>
                <w:sz w:val="24"/>
              </w:rPr>
              <w:t>3</w:t>
            </w:r>
            <w:r>
              <w:rPr>
                <w:color w:val="000000"/>
                <w:sz w:val="24"/>
              </w:rPr>
              <w:t>月</w:t>
            </w:r>
            <w:r>
              <w:rPr>
                <w:color w:val="000000"/>
                <w:sz w:val="24"/>
              </w:rPr>
              <w:t>21</w:t>
            </w:r>
            <w:r>
              <w:rPr>
                <w:color w:val="000000"/>
                <w:sz w:val="24"/>
              </w:rPr>
              <w:t>日至</w:t>
            </w:r>
            <w:r>
              <w:rPr>
                <w:color w:val="000000"/>
                <w:sz w:val="24"/>
              </w:rPr>
              <w:t>2015</w:t>
            </w:r>
            <w:r>
              <w:rPr>
                <w:color w:val="000000"/>
                <w:sz w:val="24"/>
              </w:rPr>
              <w:t>年</w:t>
            </w:r>
            <w:r>
              <w:rPr>
                <w:color w:val="000000"/>
                <w:sz w:val="24"/>
              </w:rPr>
              <w:t>8</w:t>
            </w:r>
            <w:r>
              <w:rPr>
                <w:color w:val="000000"/>
                <w:sz w:val="24"/>
              </w:rPr>
              <w:t>月</w:t>
            </w:r>
            <w:r>
              <w:rPr>
                <w:color w:val="000000"/>
                <w:sz w:val="24"/>
              </w:rPr>
              <w:t>14</w:t>
            </w:r>
            <w:r>
              <w:rPr>
                <w:color w:val="000000"/>
                <w:sz w:val="24"/>
              </w:rPr>
              <w:t>日担任交银施罗德先进制造混合型证券投资基金（原交银施罗德先进制造股票证券投资基金）基金经理，</w:t>
            </w:r>
            <w:r>
              <w:rPr>
                <w:color w:val="000000"/>
                <w:sz w:val="24"/>
              </w:rPr>
              <w:t>2013</w:t>
            </w:r>
            <w:r>
              <w:rPr>
                <w:color w:val="000000"/>
                <w:sz w:val="24"/>
              </w:rPr>
              <w:t>年</w:t>
            </w:r>
            <w:r>
              <w:rPr>
                <w:color w:val="000000"/>
                <w:sz w:val="24"/>
              </w:rPr>
              <w:t>5</w:t>
            </w:r>
            <w:r>
              <w:rPr>
                <w:color w:val="000000"/>
                <w:sz w:val="24"/>
              </w:rPr>
              <w:t>月</w:t>
            </w:r>
            <w:r>
              <w:rPr>
                <w:color w:val="000000"/>
                <w:sz w:val="24"/>
              </w:rPr>
              <w:t>29</w:t>
            </w:r>
            <w:r>
              <w:rPr>
                <w:color w:val="000000"/>
                <w:sz w:val="24"/>
              </w:rPr>
              <w:t>日至</w:t>
            </w:r>
            <w:r>
              <w:rPr>
                <w:color w:val="000000"/>
                <w:sz w:val="24"/>
              </w:rPr>
              <w:t>2015</w:t>
            </w:r>
            <w:r>
              <w:rPr>
                <w:color w:val="000000"/>
                <w:sz w:val="24"/>
              </w:rPr>
              <w:t>年</w:t>
            </w:r>
            <w:r>
              <w:rPr>
                <w:color w:val="000000"/>
                <w:sz w:val="24"/>
              </w:rPr>
              <w:t>8</w:t>
            </w:r>
            <w:r>
              <w:rPr>
                <w:color w:val="000000"/>
                <w:sz w:val="24"/>
              </w:rPr>
              <w:t>月</w:t>
            </w:r>
            <w:r>
              <w:rPr>
                <w:color w:val="000000"/>
                <w:sz w:val="24"/>
              </w:rPr>
              <w:t>14</w:t>
            </w:r>
            <w:r>
              <w:rPr>
                <w:color w:val="000000"/>
                <w:sz w:val="24"/>
              </w:rPr>
              <w:t>日担任交银施罗德先锋混合型证券投资基金（原交银施罗德先锋股票证券投资基金）基金经理。</w:t>
            </w:r>
          </w:p>
        </w:tc>
      </w:tr>
    </w:tbl>
    <w:p w:rsidR="004A4B7D" w:rsidRDefault="00B235F4">
      <w:pPr>
        <w:tabs>
          <w:tab w:val="left" w:pos="426"/>
        </w:tabs>
        <w:spacing w:before="29" w:line="288" w:lineRule="auto"/>
        <w:jc w:val="left"/>
        <w:rPr>
          <w:kern w:val="0"/>
          <w:sz w:val="24"/>
        </w:rPr>
      </w:pPr>
      <w:r>
        <w:rPr>
          <w:kern w:val="0"/>
          <w:sz w:val="24"/>
        </w:rPr>
        <w:lastRenderedPageBreak/>
        <w:t>注：</w:t>
      </w:r>
      <w:r>
        <w:rPr>
          <w:kern w:val="0"/>
          <w:sz w:val="24"/>
        </w:rPr>
        <w:t>1</w:t>
      </w:r>
      <w:r>
        <w:rPr>
          <w:kern w:val="0"/>
          <w:sz w:val="24"/>
        </w:rPr>
        <w:t>、本表所列基金经理（助理）任职日期和离职日期均以基金合同生效日或公司</w:t>
      </w:r>
      <w:proofErr w:type="gramStart"/>
      <w:r>
        <w:rPr>
          <w:kern w:val="0"/>
          <w:sz w:val="24"/>
        </w:rPr>
        <w:t>作</w:t>
      </w:r>
      <w:r>
        <w:rPr>
          <w:kern w:val="0"/>
          <w:sz w:val="24"/>
        </w:rPr>
        <w:lastRenderedPageBreak/>
        <w:t>出</w:t>
      </w:r>
      <w:proofErr w:type="gramEnd"/>
      <w:r>
        <w:rPr>
          <w:kern w:val="0"/>
          <w:sz w:val="24"/>
        </w:rPr>
        <w:t>决定并公告</w:t>
      </w:r>
      <w:r>
        <w:rPr>
          <w:kern w:val="0"/>
          <w:sz w:val="24"/>
        </w:rPr>
        <w:t>(</w:t>
      </w:r>
      <w:r>
        <w:rPr>
          <w:kern w:val="0"/>
          <w:sz w:val="24"/>
        </w:rPr>
        <w:t>如适用</w:t>
      </w:r>
      <w:r>
        <w:rPr>
          <w:kern w:val="0"/>
          <w:sz w:val="24"/>
        </w:rPr>
        <w:t>)</w:t>
      </w:r>
      <w:r>
        <w:rPr>
          <w:kern w:val="0"/>
          <w:sz w:val="24"/>
        </w:rPr>
        <w:t>之日为准；</w:t>
      </w:r>
    </w:p>
    <w:p w:rsidR="004A4B7D" w:rsidRDefault="00B235F4">
      <w:pPr>
        <w:tabs>
          <w:tab w:val="left" w:pos="426"/>
        </w:tabs>
        <w:spacing w:before="29" w:line="288" w:lineRule="auto"/>
        <w:jc w:val="left"/>
        <w:rPr>
          <w:kern w:val="0"/>
          <w:sz w:val="24"/>
        </w:rPr>
      </w:pPr>
      <w:r>
        <w:rPr>
          <w:kern w:val="0"/>
          <w:sz w:val="24"/>
        </w:rPr>
        <w:t>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r>
        <w:rPr>
          <w:kern w:val="0"/>
          <w:sz w:val="24"/>
        </w:rPr>
        <w:t xml:space="preserve"> </w:t>
      </w:r>
    </w:p>
    <w:p w:rsidR="001A59F9" w:rsidRPr="00C016E9" w:rsidRDefault="001A59F9" w:rsidP="00C016E9">
      <w:pPr>
        <w:tabs>
          <w:tab w:val="left" w:pos="426"/>
        </w:tabs>
        <w:spacing w:before="29" w:line="288" w:lineRule="auto"/>
        <w:jc w:val="left"/>
        <w:rPr>
          <w:kern w:val="0"/>
          <w:sz w:val="24"/>
        </w:rPr>
      </w:pPr>
      <w:r w:rsidRPr="00C016E9">
        <w:rPr>
          <w:kern w:val="0"/>
          <w:sz w:val="24"/>
        </w:rPr>
        <w:t>3</w:t>
      </w:r>
      <w:r w:rsidRPr="00C016E9">
        <w:rPr>
          <w:kern w:val="0"/>
          <w:sz w:val="24"/>
        </w:rPr>
        <w:t>、基金经理（或基金经理小组）期后变动（如有）敬请关注基金管理人发布的相关公告。</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26" w:name="_Toc225498256"/>
      <w:bookmarkStart w:id="27" w:name="_Toc361324856"/>
      <w:r w:rsidRPr="00701155">
        <w:rPr>
          <w:rFonts w:ascii="Times New Roman" w:hAnsi="Times New Roman"/>
          <w:kern w:val="0"/>
          <w:szCs w:val="24"/>
        </w:rPr>
        <w:t xml:space="preserve">4.2 </w:t>
      </w:r>
      <w:r w:rsidRPr="00701155">
        <w:rPr>
          <w:rFonts w:ascii="Times New Roman" w:hAnsi="Times New Roman" w:hint="eastAsia"/>
          <w:kern w:val="0"/>
          <w:szCs w:val="24"/>
        </w:rPr>
        <w:t>管理人对报告期内本基金运作遵规守信情况的说明</w:t>
      </w:r>
      <w:bookmarkEnd w:id="26"/>
      <w:bookmarkEnd w:id="27"/>
    </w:p>
    <w:p w:rsidR="004A4B7D" w:rsidRDefault="00B235F4">
      <w:pPr>
        <w:spacing w:before="29" w:line="288" w:lineRule="auto"/>
        <w:ind w:firstLineChars="200" w:firstLine="480"/>
        <w:rPr>
          <w:color w:val="000000"/>
          <w:sz w:val="24"/>
        </w:rPr>
      </w:pPr>
      <w:r>
        <w:rPr>
          <w:color w:val="000000"/>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rsidR="001A59F9" w:rsidRPr="0013437B" w:rsidRDefault="001A59F9" w:rsidP="0013437B">
      <w:pPr>
        <w:spacing w:before="29" w:line="288" w:lineRule="auto"/>
        <w:ind w:firstLineChars="200" w:firstLine="480"/>
        <w:rPr>
          <w:color w:val="000000"/>
          <w:sz w:val="24"/>
        </w:rPr>
      </w:pPr>
      <w:r w:rsidRPr="0013437B">
        <w:rPr>
          <w:color w:val="000000"/>
          <w:sz w:val="24"/>
        </w:rPr>
        <w:t>本报告期内，本基金整体运作合</w:t>
      </w:r>
      <w:proofErr w:type="gramStart"/>
      <w:r w:rsidRPr="0013437B">
        <w:rPr>
          <w:color w:val="000000"/>
          <w:sz w:val="24"/>
        </w:rPr>
        <w:t>规</w:t>
      </w:r>
      <w:proofErr w:type="gramEnd"/>
      <w:r w:rsidRPr="0013437B">
        <w:rPr>
          <w:color w:val="000000"/>
          <w:sz w:val="24"/>
        </w:rPr>
        <w:t>合法，无不当内幕交易和关联交易，基金投资范围、投资比例及投资组合符合有关法律法规及基金合同的约定，未发生损害基金持有人利益的行为。</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28" w:name="_Toc225498257"/>
      <w:bookmarkStart w:id="29" w:name="_Toc361324857"/>
      <w:r w:rsidRPr="00701155">
        <w:rPr>
          <w:rFonts w:ascii="Times New Roman" w:hAnsi="Times New Roman"/>
          <w:kern w:val="0"/>
          <w:szCs w:val="24"/>
        </w:rPr>
        <w:t xml:space="preserve">4.3 </w:t>
      </w:r>
      <w:r w:rsidRPr="00701155">
        <w:rPr>
          <w:rFonts w:ascii="Times New Roman" w:hAnsi="Times New Roman" w:hint="eastAsia"/>
          <w:kern w:val="0"/>
          <w:szCs w:val="24"/>
        </w:rPr>
        <w:t>管理人对报告期内公平交易情况的专项说明</w:t>
      </w:r>
      <w:bookmarkEnd w:id="28"/>
      <w:bookmarkEnd w:id="29"/>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4.3.1</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公平交易制度和控制方法</w:t>
      </w:r>
    </w:p>
    <w:p w:rsidR="004A4B7D" w:rsidRDefault="00B235F4">
      <w:pPr>
        <w:spacing w:before="29" w:line="288" w:lineRule="auto"/>
        <w:ind w:firstLineChars="200" w:firstLine="480"/>
        <w:rPr>
          <w:color w:val="000000"/>
          <w:sz w:val="24"/>
        </w:rPr>
      </w:pPr>
      <w:r>
        <w:rPr>
          <w:color w:val="000000"/>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rsidR="004A4B7D" w:rsidRDefault="00B235F4">
      <w:pPr>
        <w:spacing w:before="29" w:line="288" w:lineRule="auto"/>
        <w:ind w:firstLineChars="200" w:firstLine="480"/>
        <w:rPr>
          <w:color w:val="000000"/>
          <w:sz w:val="24"/>
        </w:rPr>
      </w:pPr>
      <w:r>
        <w:rPr>
          <w:color w:val="000000"/>
          <w:sz w:val="24"/>
        </w:rPr>
        <w:t>（</w:t>
      </w:r>
      <w:r>
        <w:rPr>
          <w:color w:val="000000"/>
          <w:sz w:val="24"/>
        </w:rPr>
        <w:t>1</w:t>
      </w:r>
      <w:r>
        <w:rPr>
          <w:color w:val="000000"/>
          <w:sz w:val="24"/>
        </w:rPr>
        <w:t>）公司建立资源共享的投资研究信息平台，所有研究成果对所有投资组合公平开放，确保各投资组合在获得研究支持和实施投资决策方面享有公平的机会。</w:t>
      </w:r>
    </w:p>
    <w:p w:rsidR="004A4B7D" w:rsidRDefault="00B235F4">
      <w:pPr>
        <w:spacing w:before="29" w:line="288" w:lineRule="auto"/>
        <w:ind w:firstLineChars="200" w:firstLine="480"/>
        <w:rPr>
          <w:color w:val="000000"/>
          <w:sz w:val="24"/>
        </w:rPr>
      </w:pPr>
      <w:r>
        <w:rPr>
          <w:color w:val="000000"/>
          <w:sz w:val="24"/>
        </w:rPr>
        <w:t>（</w:t>
      </w:r>
      <w:r>
        <w:rPr>
          <w:color w:val="000000"/>
          <w:sz w:val="24"/>
        </w:rPr>
        <w:t>2</w:t>
      </w:r>
      <w:r>
        <w:rPr>
          <w:color w:val="000000"/>
          <w:sz w:val="24"/>
        </w:rPr>
        <w:t>）公司将投资管理职能和交易执行职能相隔离，实行集中交易制度，建立了合理且可操作的公平交易分配机制，确保各投资组合享有公平的交易执行机会。对于交易所公开竞价交易，遵循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4A4B7D" w:rsidRDefault="00B235F4">
      <w:pPr>
        <w:spacing w:before="29" w:line="288" w:lineRule="auto"/>
        <w:ind w:firstLineChars="200" w:firstLine="480"/>
        <w:rPr>
          <w:color w:val="000000"/>
          <w:sz w:val="24"/>
        </w:rPr>
      </w:pPr>
      <w:r>
        <w:rPr>
          <w:color w:val="000000"/>
          <w:sz w:val="24"/>
        </w:rPr>
        <w:t>（</w:t>
      </w:r>
      <w:r>
        <w:rPr>
          <w:color w:val="000000"/>
          <w:sz w:val="24"/>
        </w:rPr>
        <w:t>3</w:t>
      </w:r>
      <w:r>
        <w:rPr>
          <w:color w:val="000000"/>
          <w:sz w:val="24"/>
        </w:rPr>
        <w:t>）公司建立了清晰的投资授权制度，明确各层级投资决策主体的职责和权限划分，组合投资经理充分发挥专业判断能力</w:t>
      </w:r>
      <w:r>
        <w:rPr>
          <w:color w:val="000000"/>
          <w:sz w:val="24"/>
        </w:rPr>
        <w:t>,</w:t>
      </w:r>
      <w:r>
        <w:rPr>
          <w:color w:val="000000"/>
          <w:sz w:val="24"/>
        </w:rPr>
        <w:t>不受他人干预</w:t>
      </w:r>
      <w:r>
        <w:rPr>
          <w:color w:val="000000"/>
          <w:sz w:val="24"/>
        </w:rPr>
        <w:t>,</w:t>
      </w:r>
      <w:r>
        <w:rPr>
          <w:color w:val="000000"/>
          <w:sz w:val="24"/>
        </w:rPr>
        <w:t>在授权范围内独立行使投资决策权，维护公平的投资管理环境，维护所管理投资组合的合法利益</w:t>
      </w:r>
      <w:r>
        <w:rPr>
          <w:color w:val="000000"/>
          <w:sz w:val="24"/>
        </w:rPr>
        <w:t>,</w:t>
      </w:r>
      <w:r>
        <w:rPr>
          <w:color w:val="000000"/>
          <w:sz w:val="24"/>
        </w:rPr>
        <w:t>保证各投资组合交易决策的客观性和独立性，防范不公平及异常交易的发生。</w:t>
      </w:r>
    </w:p>
    <w:p w:rsidR="004A4B7D" w:rsidRDefault="00B235F4">
      <w:pPr>
        <w:spacing w:before="29" w:line="288" w:lineRule="auto"/>
        <w:ind w:firstLineChars="200" w:firstLine="480"/>
        <w:rPr>
          <w:color w:val="000000"/>
          <w:sz w:val="24"/>
        </w:rPr>
      </w:pPr>
      <w:r>
        <w:rPr>
          <w:color w:val="000000"/>
          <w:sz w:val="24"/>
        </w:rPr>
        <w:t>（</w:t>
      </w:r>
      <w:r>
        <w:rPr>
          <w:color w:val="000000"/>
          <w:sz w:val="24"/>
        </w:rPr>
        <w:t>4</w:t>
      </w:r>
      <w:r>
        <w:rPr>
          <w:color w:val="000000"/>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1A59F9" w:rsidRPr="0013437B" w:rsidRDefault="001A59F9" w:rsidP="0013437B">
      <w:pPr>
        <w:spacing w:before="29" w:line="288" w:lineRule="auto"/>
        <w:ind w:firstLineChars="200" w:firstLine="480"/>
        <w:rPr>
          <w:color w:val="000000"/>
          <w:sz w:val="24"/>
        </w:rPr>
      </w:pPr>
      <w:r w:rsidRPr="0013437B">
        <w:rPr>
          <w:color w:val="000000"/>
          <w:sz w:val="24"/>
        </w:rPr>
        <w:t>（</w:t>
      </w:r>
      <w:r w:rsidRPr="0013437B">
        <w:rPr>
          <w:color w:val="000000"/>
          <w:sz w:val="24"/>
        </w:rPr>
        <w:t>5</w:t>
      </w:r>
      <w:r w:rsidRPr="0013437B">
        <w:rPr>
          <w:color w:val="000000"/>
          <w:sz w:val="24"/>
        </w:rPr>
        <w:t>）公司中央交易室和风险管理部进行日常投资交易行为监控，风险管理部负责对各投资组合公平交易进行事后分析，于每季度和每年度分别对公司管理的不同投资组</w:t>
      </w:r>
      <w:r w:rsidRPr="0013437B">
        <w:rPr>
          <w:color w:val="000000"/>
          <w:sz w:val="24"/>
        </w:rPr>
        <w:lastRenderedPageBreak/>
        <w:t>合的整体收益率差异、分投资类别的收益率差异以及不同时间窗口同向交易的交易价差进行分析，通过分析评估和信息披露来加强对公平交易过程和结果的监督。</w:t>
      </w:r>
    </w:p>
    <w:p w:rsidR="001A59F9" w:rsidRPr="00C51C77" w:rsidRDefault="001A59F9" w:rsidP="00C51C77">
      <w:pPr>
        <w:spacing w:line="360" w:lineRule="auto"/>
        <w:jc w:val="left"/>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4.3.2</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公平交易制度的执行情况</w:t>
      </w:r>
    </w:p>
    <w:p w:rsidR="001A59F9" w:rsidRPr="0013437B" w:rsidRDefault="001A59F9" w:rsidP="0013437B">
      <w:pPr>
        <w:spacing w:before="29" w:line="288" w:lineRule="auto"/>
        <w:ind w:firstLineChars="200" w:firstLine="480"/>
        <w:rPr>
          <w:color w:val="000000"/>
          <w:sz w:val="24"/>
        </w:rPr>
      </w:pPr>
      <w:r w:rsidRPr="0013437B">
        <w:rPr>
          <w:color w:val="000000"/>
          <w:sz w:val="24"/>
        </w:rPr>
        <w:t>本报告期内公司严格执行公平交易制度，公平对待旗下各投资组合。通过投资交易监控、交易数据分析、专项稽核检查等，本基金管理人未发现任何违反公平交易制度的行为。</w:t>
      </w:r>
    </w:p>
    <w:p w:rsidR="001A59F9" w:rsidRPr="00C51C77" w:rsidRDefault="001A59F9" w:rsidP="00C51C77">
      <w:pPr>
        <w:spacing w:line="360" w:lineRule="auto"/>
        <w:jc w:val="left"/>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4.3.3</w:t>
      </w:r>
      <w:r w:rsidR="0067271C" w:rsidRPr="00701155">
        <w:rPr>
          <w:rFonts w:ascii="Times New Roman" w:hAnsi="Times New Roman" w:hint="eastAsia"/>
          <w:kern w:val="0"/>
          <w:szCs w:val="24"/>
        </w:rPr>
        <w:t xml:space="preserve"> </w:t>
      </w:r>
      <w:r w:rsidRPr="00701155">
        <w:rPr>
          <w:rFonts w:ascii="Times New Roman" w:hAnsi="Times New Roman" w:hint="eastAsia"/>
          <w:kern w:val="0"/>
          <w:szCs w:val="24"/>
        </w:rPr>
        <w:t>异常交易行为的专项说明</w:t>
      </w:r>
    </w:p>
    <w:p w:rsidR="001A59F9" w:rsidRPr="0013437B" w:rsidRDefault="001A59F9" w:rsidP="0013437B">
      <w:pPr>
        <w:spacing w:before="29" w:line="288" w:lineRule="auto"/>
        <w:ind w:firstLineChars="200" w:firstLine="480"/>
        <w:rPr>
          <w:color w:val="000000"/>
          <w:sz w:val="24"/>
        </w:rPr>
      </w:pPr>
      <w:r w:rsidRPr="0013437B">
        <w:rPr>
          <w:color w:val="000000"/>
          <w:sz w:val="24"/>
        </w:rPr>
        <w:t>本基金于本报告期内未发现异常交易行为。本报告期内，本公司管理的所有投资组合参与的交易所公开竞价同日反向交易成交较少的单边交易量超过该证券当日总成交量</w:t>
      </w:r>
      <w:r w:rsidRPr="0013437B">
        <w:rPr>
          <w:color w:val="000000"/>
          <w:sz w:val="24"/>
        </w:rPr>
        <w:t>5%</w:t>
      </w:r>
      <w:r w:rsidRPr="0013437B">
        <w:rPr>
          <w:color w:val="000000"/>
          <w:sz w:val="24"/>
        </w:rPr>
        <w:t>的情况有</w:t>
      </w:r>
      <w:r w:rsidRPr="0013437B">
        <w:rPr>
          <w:color w:val="000000"/>
          <w:sz w:val="24"/>
        </w:rPr>
        <w:t>2</w:t>
      </w:r>
      <w:r w:rsidRPr="0013437B">
        <w:rPr>
          <w:color w:val="000000"/>
          <w:sz w:val="24"/>
        </w:rPr>
        <w:t>次，是投资</w:t>
      </w:r>
      <w:proofErr w:type="gramStart"/>
      <w:r w:rsidRPr="0013437B">
        <w:rPr>
          <w:color w:val="000000"/>
          <w:sz w:val="24"/>
        </w:rPr>
        <w:t>组合因</w:t>
      </w:r>
      <w:proofErr w:type="gramEnd"/>
      <w:r w:rsidRPr="0013437B">
        <w:rPr>
          <w:color w:val="000000"/>
          <w:sz w:val="24"/>
        </w:rPr>
        <w:t>投资策略或在合规范围内因被动超标调整需要而发生同日反向交易，未发现不公平交易和利益输送的情况。本基金与本公司管理的其他投资组合在不同时间窗下（如日内、</w:t>
      </w:r>
      <w:r w:rsidRPr="0013437B">
        <w:rPr>
          <w:color w:val="000000"/>
          <w:sz w:val="24"/>
        </w:rPr>
        <w:t>3</w:t>
      </w:r>
      <w:r w:rsidRPr="0013437B">
        <w:rPr>
          <w:color w:val="000000"/>
          <w:sz w:val="24"/>
        </w:rPr>
        <w:t>日内、</w:t>
      </w:r>
      <w:r w:rsidRPr="0013437B">
        <w:rPr>
          <w:color w:val="000000"/>
          <w:sz w:val="24"/>
        </w:rPr>
        <w:t>5</w:t>
      </w:r>
      <w:r w:rsidRPr="0013437B">
        <w:rPr>
          <w:color w:val="000000"/>
          <w:sz w:val="24"/>
        </w:rPr>
        <w:t>日内）同向交易的交易价差未发现异常。</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30" w:name="_Toc225498258"/>
      <w:bookmarkStart w:id="31" w:name="_Toc361324858"/>
      <w:r w:rsidRPr="00701155">
        <w:rPr>
          <w:rFonts w:ascii="Times New Roman" w:hAnsi="Times New Roman"/>
          <w:kern w:val="0"/>
          <w:szCs w:val="24"/>
        </w:rPr>
        <w:t xml:space="preserve">4.4 </w:t>
      </w:r>
      <w:r w:rsidRPr="00701155">
        <w:rPr>
          <w:rFonts w:ascii="Times New Roman" w:hAnsi="Times New Roman" w:hint="eastAsia"/>
          <w:kern w:val="0"/>
          <w:szCs w:val="24"/>
        </w:rPr>
        <w:t>管理人对报告期内基金的投资策略和业绩表现的说明</w:t>
      </w:r>
      <w:bookmarkEnd w:id="30"/>
      <w:bookmarkEnd w:id="31"/>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4.4.1</w:t>
      </w:r>
      <w:r w:rsidRPr="00701155">
        <w:rPr>
          <w:rFonts w:ascii="Times New Roman" w:hAnsi="Times New Roman" w:hint="eastAsia"/>
          <w:kern w:val="0"/>
          <w:szCs w:val="24"/>
        </w:rPr>
        <w:t>报告期内基金投资策略和运作分析</w:t>
      </w:r>
    </w:p>
    <w:p w:rsidR="004A4B7D" w:rsidRDefault="00B235F4">
      <w:pPr>
        <w:spacing w:before="29" w:line="288" w:lineRule="auto"/>
        <w:ind w:firstLineChars="200" w:firstLine="480"/>
        <w:rPr>
          <w:color w:val="000000"/>
          <w:sz w:val="24"/>
        </w:rPr>
      </w:pPr>
      <w:r>
        <w:rPr>
          <w:color w:val="000000"/>
          <w:sz w:val="24"/>
        </w:rPr>
        <w:t>2016</w:t>
      </w:r>
      <w:r>
        <w:rPr>
          <w:color w:val="000000"/>
          <w:sz w:val="24"/>
        </w:rPr>
        <w:t>年全球黑天鹅不断，虽然股市相对平静，但主要国家间的汇率波动明显加大。外部环境的变化驱动国内整体流动性收紧，金融部门去杠杆的压力持续加大。国内宏观经济虽然处于明显再通胀的过程，但并未导致普遍的利润回升并提升企业的再投资意愿。从中长期视野来看，中国宏观经济进入明显的模式切换阶段，这个变化是历史性的而非周期性。传统增长模式遭遇明显的硬约束，且再次启动的成本巨大，而新的增长模式还需要更多的时间去培育。</w:t>
      </w:r>
    </w:p>
    <w:p w:rsidR="001A59F9" w:rsidRPr="0013437B" w:rsidRDefault="001A59F9" w:rsidP="0013437B">
      <w:pPr>
        <w:spacing w:before="29" w:line="288" w:lineRule="auto"/>
        <w:ind w:firstLineChars="200" w:firstLine="480"/>
        <w:rPr>
          <w:color w:val="000000"/>
          <w:sz w:val="24"/>
        </w:rPr>
      </w:pPr>
      <w:r w:rsidRPr="0013437B">
        <w:rPr>
          <w:color w:val="000000"/>
          <w:sz w:val="24"/>
        </w:rPr>
        <w:t>2016</w:t>
      </w:r>
      <w:r w:rsidRPr="0013437B">
        <w:rPr>
          <w:color w:val="000000"/>
          <w:sz w:val="24"/>
        </w:rPr>
        <w:t>年本基金保持中性</w:t>
      </w:r>
      <w:proofErr w:type="gramStart"/>
      <w:r w:rsidRPr="0013437B">
        <w:rPr>
          <w:color w:val="000000"/>
          <w:sz w:val="24"/>
        </w:rPr>
        <w:t>仓位</w:t>
      </w:r>
      <w:proofErr w:type="gramEnd"/>
      <w:r w:rsidRPr="0013437B">
        <w:rPr>
          <w:color w:val="000000"/>
          <w:sz w:val="24"/>
        </w:rPr>
        <w:t>，继续降低创业板小票配置比重，增加蓝筹和通胀受益的行业和个股的配置。实体经济的通胀预期，债市的风险外溢，</w:t>
      </w:r>
      <w:r w:rsidRPr="0013437B">
        <w:rPr>
          <w:color w:val="000000"/>
          <w:sz w:val="24"/>
        </w:rPr>
        <w:t xml:space="preserve"> IPO</w:t>
      </w:r>
      <w:r w:rsidRPr="0013437B">
        <w:rPr>
          <w:color w:val="000000"/>
          <w:sz w:val="24"/>
        </w:rPr>
        <w:t>的加速等因素，使得整体</w:t>
      </w:r>
      <w:r w:rsidRPr="0013437B">
        <w:rPr>
          <w:color w:val="000000"/>
          <w:sz w:val="24"/>
        </w:rPr>
        <w:t>A</w:t>
      </w:r>
      <w:r w:rsidRPr="0013437B">
        <w:rPr>
          <w:color w:val="000000"/>
          <w:sz w:val="24"/>
        </w:rPr>
        <w:t>股市场的流动性并不充裕。实体部门的通胀，金融部门的去杠杆，会引发过剩流动性在两部门的持续再配置。而金融部门内部，</w:t>
      </w:r>
      <w:proofErr w:type="gramStart"/>
      <w:r w:rsidRPr="0013437B">
        <w:rPr>
          <w:color w:val="000000"/>
          <w:sz w:val="24"/>
        </w:rPr>
        <w:t>从债到</w:t>
      </w:r>
      <w:proofErr w:type="gramEnd"/>
      <w:r w:rsidRPr="0013437B">
        <w:rPr>
          <w:color w:val="000000"/>
          <w:sz w:val="24"/>
        </w:rPr>
        <w:t>股的趋势依然还在。所以，过剩流动性对股市的整体影响还需多维度的观察和跟踪。尽管整体市场的估值承压，但热点板块和主题依然不断涌现，我们在快递行业、国企改革，以及通胀预期等行业板块的配置和个股挖掘产生了明显的超额收益。</w:t>
      </w:r>
    </w:p>
    <w:p w:rsidR="001A59F9" w:rsidRPr="00C51C77" w:rsidRDefault="001A59F9" w:rsidP="00C51C77">
      <w:pPr>
        <w:spacing w:line="360" w:lineRule="auto"/>
        <w:ind w:firstLineChars="200" w:firstLine="420"/>
        <w:rPr>
          <w:rFonts w:asciiTheme="minorEastAsia" w:eastAsiaTheme="minorEastAsia" w:hAnsiTheme="minorEastAsia"/>
          <w:kern w:val="0"/>
          <w:szCs w:val="21"/>
        </w:rPr>
      </w:pPr>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4.4.2</w:t>
      </w:r>
      <w:r w:rsidRPr="00701155">
        <w:rPr>
          <w:rFonts w:ascii="Times New Roman" w:hAnsi="Times New Roman" w:hint="eastAsia"/>
          <w:kern w:val="0"/>
          <w:szCs w:val="24"/>
        </w:rPr>
        <w:t>报告期内基金的业绩表现</w:t>
      </w:r>
    </w:p>
    <w:p w:rsidR="001A59F9" w:rsidRPr="0013437B" w:rsidRDefault="001A59F9" w:rsidP="0013437B">
      <w:pPr>
        <w:spacing w:before="29" w:line="288" w:lineRule="auto"/>
        <w:ind w:firstLineChars="200" w:firstLine="480"/>
        <w:rPr>
          <w:color w:val="000000"/>
          <w:sz w:val="24"/>
        </w:rPr>
      </w:pPr>
      <w:r w:rsidRPr="0013437B">
        <w:rPr>
          <w:color w:val="000000"/>
          <w:sz w:val="24"/>
        </w:rPr>
        <w:t>截至</w:t>
      </w:r>
      <w:r w:rsidRPr="0013437B">
        <w:rPr>
          <w:color w:val="000000"/>
          <w:sz w:val="24"/>
        </w:rPr>
        <w:t>2016</w:t>
      </w:r>
      <w:r w:rsidRPr="0013437B">
        <w:rPr>
          <w:color w:val="000000"/>
          <w:sz w:val="24"/>
        </w:rPr>
        <w:t>年</w:t>
      </w:r>
      <w:r w:rsidRPr="0013437B">
        <w:rPr>
          <w:color w:val="000000"/>
          <w:sz w:val="24"/>
        </w:rPr>
        <w:t>12</w:t>
      </w:r>
      <w:r w:rsidRPr="0013437B">
        <w:rPr>
          <w:color w:val="000000"/>
          <w:sz w:val="24"/>
        </w:rPr>
        <w:t>月</w:t>
      </w:r>
      <w:r w:rsidRPr="0013437B">
        <w:rPr>
          <w:color w:val="000000"/>
          <w:sz w:val="24"/>
        </w:rPr>
        <w:t>31</w:t>
      </w:r>
      <w:r w:rsidRPr="0013437B">
        <w:rPr>
          <w:color w:val="000000"/>
          <w:sz w:val="24"/>
        </w:rPr>
        <w:t>日，本基金份额净值为</w:t>
      </w:r>
      <w:r w:rsidRPr="0013437B">
        <w:rPr>
          <w:color w:val="000000"/>
          <w:sz w:val="24"/>
        </w:rPr>
        <w:t>1.066</w:t>
      </w:r>
      <w:r w:rsidRPr="0013437B">
        <w:rPr>
          <w:color w:val="000000"/>
          <w:sz w:val="24"/>
        </w:rPr>
        <w:t>元，本报告期份额净值增长率为</w:t>
      </w:r>
      <w:r w:rsidRPr="0013437B">
        <w:rPr>
          <w:color w:val="000000"/>
          <w:sz w:val="24"/>
        </w:rPr>
        <w:t>-9.13%</w:t>
      </w:r>
      <w:r w:rsidRPr="0013437B">
        <w:rPr>
          <w:color w:val="000000"/>
          <w:sz w:val="24"/>
        </w:rPr>
        <w:t>，同期业绩比较基准增长率为</w:t>
      </w:r>
      <w:r w:rsidRPr="0013437B">
        <w:rPr>
          <w:color w:val="000000"/>
          <w:sz w:val="24"/>
        </w:rPr>
        <w:t>-14.95%</w:t>
      </w:r>
      <w:r w:rsidRPr="0013437B">
        <w:rPr>
          <w:color w:val="000000"/>
          <w:sz w:val="24"/>
        </w:rPr>
        <w:t>。</w:t>
      </w:r>
    </w:p>
    <w:p w:rsidR="001A59F9" w:rsidRPr="00C51C77" w:rsidRDefault="001A59F9" w:rsidP="00C51C77">
      <w:pPr>
        <w:spacing w:line="360" w:lineRule="auto"/>
        <w:ind w:firstLineChars="200" w:firstLine="420"/>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2" w:name="_Toc225498259"/>
      <w:bookmarkStart w:id="33" w:name="_Toc361324859"/>
      <w:r w:rsidRPr="00701155">
        <w:rPr>
          <w:rFonts w:ascii="Times New Roman" w:hAnsi="Times New Roman" w:hint="eastAsia"/>
          <w:kern w:val="0"/>
          <w:szCs w:val="24"/>
        </w:rPr>
        <w:lastRenderedPageBreak/>
        <w:t>4</w:t>
      </w:r>
      <w:r w:rsidR="001A59F9" w:rsidRPr="00701155">
        <w:rPr>
          <w:rFonts w:ascii="Times New Roman" w:hAnsi="Times New Roman"/>
          <w:kern w:val="0"/>
          <w:szCs w:val="24"/>
        </w:rPr>
        <w:t>.</w:t>
      </w:r>
      <w:r w:rsidRPr="00701155">
        <w:rPr>
          <w:rFonts w:ascii="Times New Roman" w:hAnsi="Times New Roman" w:hint="eastAsia"/>
          <w:kern w:val="0"/>
          <w:szCs w:val="24"/>
        </w:rPr>
        <w:t>5</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管理人对宏观经济、证券市场及行业走势的简要展望</w:t>
      </w:r>
      <w:bookmarkEnd w:id="32"/>
      <w:bookmarkEnd w:id="33"/>
    </w:p>
    <w:p w:rsidR="001A59F9" w:rsidRPr="0013437B" w:rsidRDefault="001A59F9" w:rsidP="0013437B">
      <w:pPr>
        <w:spacing w:before="29" w:line="288" w:lineRule="auto"/>
        <w:ind w:firstLineChars="200" w:firstLine="480"/>
        <w:rPr>
          <w:color w:val="000000"/>
          <w:sz w:val="24"/>
        </w:rPr>
      </w:pPr>
      <w:r w:rsidRPr="0013437B">
        <w:rPr>
          <w:color w:val="000000"/>
          <w:sz w:val="24"/>
        </w:rPr>
        <w:t>我们预计</w:t>
      </w:r>
      <w:r w:rsidRPr="0013437B">
        <w:rPr>
          <w:color w:val="000000"/>
          <w:sz w:val="24"/>
        </w:rPr>
        <w:t>2017</w:t>
      </w:r>
      <w:r w:rsidRPr="0013437B">
        <w:rPr>
          <w:color w:val="000000"/>
          <w:sz w:val="24"/>
        </w:rPr>
        <w:t>年在汇率和地产调控的风险阶段性地化解之后，</w:t>
      </w:r>
      <w:r w:rsidRPr="0013437B">
        <w:rPr>
          <w:color w:val="000000"/>
          <w:sz w:val="24"/>
        </w:rPr>
        <w:t>A</w:t>
      </w:r>
      <w:r w:rsidRPr="0013437B">
        <w:rPr>
          <w:color w:val="000000"/>
          <w:sz w:val="24"/>
        </w:rPr>
        <w:t>股市场有望重拾强势，我们对中国经济中长期增长格局依然秉持一份乐观。在未来</w:t>
      </w:r>
      <w:r w:rsidRPr="0013437B">
        <w:rPr>
          <w:color w:val="000000"/>
          <w:sz w:val="24"/>
        </w:rPr>
        <w:t>G2</w:t>
      </w:r>
      <w:r w:rsidRPr="0013437B">
        <w:rPr>
          <w:color w:val="000000"/>
          <w:sz w:val="24"/>
        </w:rPr>
        <w:t>博弈格局下，虽然有众多不确定性和挑战，但中国的资源集中和举国体制在这种情景下似乎更易转化为相对优势。在股票配置上，未来将继续关注通胀受益的板块和个股，聚焦即将风起云涌的国企改革浪潮。</w:t>
      </w:r>
    </w:p>
    <w:p w:rsidR="001A59F9" w:rsidRPr="00C51C77" w:rsidRDefault="001A59F9" w:rsidP="00C51C77">
      <w:pPr>
        <w:autoSpaceDE w:val="0"/>
        <w:autoSpaceDN w:val="0"/>
        <w:adjustRightInd w:val="0"/>
        <w:spacing w:line="360" w:lineRule="auto"/>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4" w:name="_Toc247959457"/>
      <w:bookmarkStart w:id="35" w:name="_Toc225570083"/>
      <w:bookmarkStart w:id="36" w:name="_Toc361324861"/>
      <w:r w:rsidRPr="00701155">
        <w:rPr>
          <w:rFonts w:ascii="Times New Roman" w:hAnsi="Times New Roman" w:hint="eastAsia"/>
          <w:kern w:val="0"/>
          <w:szCs w:val="24"/>
        </w:rPr>
        <w:t>4</w:t>
      </w:r>
      <w:r w:rsidRPr="00701155">
        <w:rPr>
          <w:rFonts w:ascii="Times New Roman" w:hAnsi="Times New Roman"/>
          <w:kern w:val="0"/>
          <w:szCs w:val="24"/>
        </w:rPr>
        <w:t>.</w:t>
      </w:r>
      <w:r w:rsidRPr="00701155">
        <w:rPr>
          <w:rFonts w:ascii="Times New Roman" w:hAnsi="Times New Roman" w:hint="eastAsia"/>
          <w:kern w:val="0"/>
          <w:szCs w:val="24"/>
        </w:rPr>
        <w:t>6</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管理人对报告期内基金估值程序等事项的说明</w:t>
      </w:r>
      <w:bookmarkEnd w:id="34"/>
      <w:bookmarkEnd w:id="35"/>
      <w:bookmarkEnd w:id="36"/>
    </w:p>
    <w:p w:rsidR="004A4B7D" w:rsidRDefault="00B235F4">
      <w:pPr>
        <w:spacing w:before="29" w:line="288" w:lineRule="auto"/>
        <w:ind w:firstLineChars="200" w:firstLine="480"/>
        <w:rPr>
          <w:color w:val="000000"/>
          <w:sz w:val="24"/>
        </w:rPr>
      </w:pPr>
      <w:r>
        <w:rPr>
          <w:color w:val="000000"/>
          <w:sz w:val="24"/>
        </w:rPr>
        <w:t>本基金管理</w:t>
      </w:r>
      <w:proofErr w:type="gramStart"/>
      <w:r>
        <w:rPr>
          <w:color w:val="000000"/>
          <w:sz w:val="24"/>
        </w:rPr>
        <w:t>人制</w:t>
      </w:r>
      <w:proofErr w:type="gramEnd"/>
      <w:r>
        <w:rPr>
          <w:color w:val="000000"/>
          <w:sz w:val="24"/>
        </w:rPr>
        <w:t>定了健全、有效的估值政策和程序，经公司管理层批准后实行，并成立了估值委员会，估值委员会成员由研究部、基金运营部、风险管理部等人员和固定收益人员及基金经理组成。</w:t>
      </w:r>
    </w:p>
    <w:p w:rsidR="004A4B7D" w:rsidRDefault="00B235F4">
      <w:pPr>
        <w:spacing w:before="29" w:line="288" w:lineRule="auto"/>
        <w:ind w:firstLineChars="200" w:firstLine="480"/>
        <w:rPr>
          <w:color w:val="000000"/>
          <w:sz w:val="24"/>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w:t>
      </w:r>
      <w:proofErr w:type="gramStart"/>
      <w:r>
        <w:rPr>
          <w:color w:val="000000"/>
          <w:sz w:val="24"/>
        </w:rPr>
        <w:t>规</w:t>
      </w:r>
      <w:proofErr w:type="gramEnd"/>
      <w:r>
        <w:rPr>
          <w:color w:val="000000"/>
          <w:sz w:val="24"/>
        </w:rPr>
        <w:t>等方面审批，一致同意后，报公司投资总监、总经理审批。</w:t>
      </w:r>
    </w:p>
    <w:p w:rsidR="001A59F9" w:rsidRPr="0013437B" w:rsidRDefault="001A59F9" w:rsidP="0013437B">
      <w:pPr>
        <w:spacing w:before="29" w:line="288" w:lineRule="auto"/>
        <w:ind w:firstLineChars="200" w:firstLine="480"/>
        <w:rPr>
          <w:color w:val="000000"/>
          <w:sz w:val="24"/>
        </w:rPr>
      </w:pPr>
      <w:r w:rsidRPr="0013437B">
        <w:rPr>
          <w:color w:val="00000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A59F9" w:rsidRPr="00C51C77" w:rsidRDefault="001A59F9" w:rsidP="00C51C77">
      <w:pPr>
        <w:autoSpaceDE w:val="0"/>
        <w:autoSpaceDN w:val="0"/>
        <w:adjustRightInd w:val="0"/>
        <w:spacing w:line="360" w:lineRule="auto"/>
        <w:ind w:firstLine="482"/>
        <w:rPr>
          <w:rFonts w:asciiTheme="minorEastAsia" w:eastAsiaTheme="minorEastAsia" w:hAnsiTheme="minorEastAsia"/>
          <w:color w:val="000000"/>
          <w:kern w:val="0"/>
          <w:szCs w:val="21"/>
        </w:rPr>
      </w:pPr>
    </w:p>
    <w:p w:rsidR="001A59F9" w:rsidRPr="00701155" w:rsidRDefault="00055D56" w:rsidP="00701155">
      <w:pPr>
        <w:pStyle w:val="20"/>
        <w:spacing w:before="29" w:after="0" w:line="288" w:lineRule="auto"/>
        <w:rPr>
          <w:rFonts w:ascii="Times New Roman" w:hAnsi="Times New Roman"/>
          <w:kern w:val="0"/>
          <w:szCs w:val="24"/>
        </w:rPr>
      </w:pPr>
      <w:bookmarkStart w:id="37" w:name="_Toc247959458"/>
      <w:bookmarkStart w:id="38" w:name="_Toc225570084"/>
      <w:bookmarkStart w:id="39" w:name="_Toc361324862"/>
      <w:r w:rsidRPr="00701155">
        <w:rPr>
          <w:rFonts w:ascii="Times New Roman" w:hAnsi="Times New Roman" w:hint="eastAsia"/>
          <w:kern w:val="0"/>
          <w:szCs w:val="24"/>
        </w:rPr>
        <w:t>4</w:t>
      </w:r>
      <w:r w:rsidRPr="00701155">
        <w:rPr>
          <w:rFonts w:ascii="Times New Roman" w:hAnsi="Times New Roman"/>
          <w:kern w:val="0"/>
          <w:szCs w:val="24"/>
        </w:rPr>
        <w:t>.</w:t>
      </w:r>
      <w:r w:rsidRPr="00701155">
        <w:rPr>
          <w:rFonts w:ascii="Times New Roman" w:hAnsi="Times New Roman" w:hint="eastAsia"/>
          <w:kern w:val="0"/>
          <w:szCs w:val="24"/>
        </w:rPr>
        <w:t>7</w:t>
      </w:r>
      <w:r w:rsidR="001A59F9" w:rsidRPr="00701155">
        <w:rPr>
          <w:rFonts w:ascii="Times New Roman" w:hAnsi="Times New Roman"/>
          <w:kern w:val="0"/>
          <w:szCs w:val="24"/>
        </w:rPr>
        <w:t xml:space="preserve"> </w:t>
      </w:r>
      <w:r w:rsidR="001A59F9" w:rsidRPr="00701155">
        <w:rPr>
          <w:rFonts w:ascii="Times New Roman" w:hAnsi="Times New Roman" w:hint="eastAsia"/>
          <w:kern w:val="0"/>
          <w:szCs w:val="24"/>
        </w:rPr>
        <w:t>管理人对报告期内基金利润分配情况的说明</w:t>
      </w:r>
      <w:bookmarkEnd w:id="37"/>
      <w:bookmarkEnd w:id="38"/>
      <w:bookmarkEnd w:id="39"/>
    </w:p>
    <w:p w:rsidR="00574418" w:rsidRDefault="00574418" w:rsidP="00574418">
      <w:pPr>
        <w:spacing w:before="29" w:line="288" w:lineRule="auto"/>
        <w:ind w:firstLineChars="200" w:firstLine="480"/>
        <w:rPr>
          <w:kern w:val="0"/>
          <w:sz w:val="24"/>
        </w:rPr>
      </w:pPr>
      <w:r w:rsidRPr="00A50489">
        <w:rPr>
          <w:rFonts w:hint="eastAsia"/>
          <w:kern w:val="0"/>
          <w:sz w:val="24"/>
        </w:rPr>
        <w:t>根据相关法律法规和基金合同的规定，本基金对本年度应分配的可供分配利润进行了收益分配，具体情况参见</w:t>
      </w:r>
      <w:r w:rsidRPr="001A298A">
        <w:rPr>
          <w:rFonts w:hint="eastAsia"/>
          <w:color w:val="000000"/>
          <w:sz w:val="24"/>
        </w:rPr>
        <w:t>年度报告正文</w:t>
      </w:r>
      <w:r w:rsidRPr="00A50489">
        <w:rPr>
          <w:rFonts w:hint="eastAsia"/>
          <w:kern w:val="0"/>
          <w:sz w:val="24"/>
        </w:rPr>
        <w:t>7.4.11</w:t>
      </w:r>
      <w:r w:rsidRPr="00A50489">
        <w:rPr>
          <w:rFonts w:hint="eastAsia"/>
          <w:kern w:val="0"/>
          <w:sz w:val="24"/>
        </w:rPr>
        <w:t>利润分配情况。</w:t>
      </w:r>
    </w:p>
    <w:p w:rsidR="001A59F9" w:rsidRPr="00574418" w:rsidRDefault="001A59F9" w:rsidP="00C51C77">
      <w:pPr>
        <w:autoSpaceDE w:val="0"/>
        <w:autoSpaceDN w:val="0"/>
        <w:adjustRightInd w:val="0"/>
        <w:spacing w:line="360" w:lineRule="auto"/>
        <w:ind w:firstLineChars="200" w:firstLine="420"/>
        <w:rPr>
          <w:rFonts w:asciiTheme="minorEastAsia" w:eastAsiaTheme="minorEastAsia" w:hAnsiTheme="minorEastAsia"/>
          <w:color w:val="000000"/>
          <w:kern w:val="0"/>
          <w:szCs w:val="21"/>
        </w:rPr>
      </w:pPr>
    </w:p>
    <w:p w:rsidR="00C62F35" w:rsidRPr="00BB731C" w:rsidRDefault="00C62F35" w:rsidP="00C62F35">
      <w:pPr>
        <w:spacing w:before="29" w:line="288" w:lineRule="auto"/>
        <w:rPr>
          <w:rFonts w:eastAsiaTheme="minorEastAsia"/>
          <w:b/>
          <w:sz w:val="24"/>
        </w:rPr>
      </w:pPr>
      <w:r w:rsidRPr="00BB731C">
        <w:rPr>
          <w:rFonts w:eastAsiaTheme="minorEastAsia"/>
          <w:b/>
          <w:sz w:val="24"/>
        </w:rPr>
        <w:t>4.8</w:t>
      </w:r>
      <w:r w:rsidRPr="00BB731C">
        <w:rPr>
          <w:rFonts w:eastAsiaTheme="minorEastAsia" w:hint="eastAsia"/>
          <w:b/>
          <w:sz w:val="24"/>
        </w:rPr>
        <w:t xml:space="preserve"> </w:t>
      </w:r>
      <w:r w:rsidRPr="00BB731C">
        <w:rPr>
          <w:rFonts w:eastAsiaTheme="minorEastAsia" w:hint="eastAsia"/>
          <w:b/>
          <w:sz w:val="24"/>
        </w:rPr>
        <w:t>报告期内管理人对本基金持有人数或基金资产净值预警情形的说明</w:t>
      </w:r>
    </w:p>
    <w:p w:rsidR="00C62F35" w:rsidRPr="00BB731C" w:rsidRDefault="00C62F35" w:rsidP="00C62F35">
      <w:pPr>
        <w:spacing w:before="29" w:line="288" w:lineRule="auto"/>
        <w:ind w:firstLineChars="200" w:firstLine="480"/>
        <w:rPr>
          <w:kern w:val="0"/>
          <w:sz w:val="24"/>
        </w:rPr>
      </w:pPr>
      <w:r w:rsidRPr="00BB731C">
        <w:rPr>
          <w:kern w:val="0"/>
          <w:sz w:val="24"/>
        </w:rPr>
        <w:t>本基金本报告期内无需预警说明。</w:t>
      </w:r>
    </w:p>
    <w:p w:rsidR="00C62F35" w:rsidRPr="0013437B" w:rsidRDefault="00C62F35" w:rsidP="0013437B">
      <w:pPr>
        <w:spacing w:before="29" w:line="288" w:lineRule="auto"/>
        <w:ind w:firstLineChars="200" w:firstLine="480"/>
        <w:rPr>
          <w:color w:val="000000"/>
          <w:sz w:val="24"/>
        </w:rPr>
      </w:pPr>
    </w:p>
    <w:p w:rsidR="001A59F9" w:rsidRDefault="001A59F9" w:rsidP="00181618">
      <w:pPr>
        <w:pStyle w:val="1"/>
        <w:keepNext/>
        <w:keepLines/>
        <w:widowControl w:val="0"/>
        <w:spacing w:beforeLines="100" w:before="312" w:afterLines="100" w:after="312" w:line="288" w:lineRule="auto"/>
        <w:jc w:val="center"/>
        <w:rPr>
          <w:b/>
          <w:bCs/>
          <w:szCs w:val="24"/>
          <w:lang w:val="en-US"/>
        </w:rPr>
      </w:pPr>
      <w:bookmarkStart w:id="40" w:name="_Toc225498263"/>
      <w:bookmarkStart w:id="41" w:name="_Toc361324864"/>
      <w:r w:rsidRPr="006D2A81">
        <w:rPr>
          <w:rFonts w:hint="eastAsia"/>
          <w:b/>
          <w:bCs/>
          <w:szCs w:val="24"/>
          <w:lang w:val="en-US"/>
        </w:rPr>
        <w:t>§</w:t>
      </w:r>
      <w:r w:rsidRPr="006D2A81">
        <w:rPr>
          <w:b/>
          <w:bCs/>
          <w:szCs w:val="24"/>
          <w:lang w:val="en-US"/>
        </w:rPr>
        <w:t xml:space="preserve">5  </w:t>
      </w:r>
      <w:r w:rsidRPr="006D2A81">
        <w:rPr>
          <w:rFonts w:hint="eastAsia"/>
          <w:b/>
          <w:bCs/>
          <w:szCs w:val="24"/>
          <w:lang w:val="en-US"/>
        </w:rPr>
        <w:t>托管人报告</w:t>
      </w:r>
      <w:bookmarkEnd w:id="40"/>
      <w:bookmarkEnd w:id="41"/>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42" w:name="_Toc225498264"/>
      <w:bookmarkStart w:id="43" w:name="_Toc361324865"/>
      <w:r w:rsidRPr="00701155">
        <w:rPr>
          <w:rFonts w:ascii="Times New Roman" w:hAnsi="Times New Roman"/>
          <w:kern w:val="0"/>
          <w:szCs w:val="24"/>
        </w:rPr>
        <w:t xml:space="preserve">5.1 </w:t>
      </w:r>
      <w:r w:rsidRPr="00701155">
        <w:rPr>
          <w:rFonts w:ascii="Times New Roman" w:hAnsi="Times New Roman" w:hint="eastAsia"/>
          <w:kern w:val="0"/>
          <w:szCs w:val="24"/>
        </w:rPr>
        <w:t>报告期内本基金托管人遵规守信情况声明</w:t>
      </w:r>
      <w:bookmarkEnd w:id="42"/>
      <w:bookmarkEnd w:id="43"/>
    </w:p>
    <w:p w:rsidR="001A59F9" w:rsidRPr="0013437B" w:rsidRDefault="001A59F9" w:rsidP="0013437B">
      <w:pPr>
        <w:spacing w:before="29" w:line="288" w:lineRule="auto"/>
        <w:ind w:firstLineChars="200" w:firstLine="480"/>
        <w:rPr>
          <w:color w:val="000000"/>
          <w:sz w:val="24"/>
        </w:rPr>
      </w:pPr>
      <w:r w:rsidRPr="0013437B">
        <w:rPr>
          <w:color w:val="000000"/>
          <w:sz w:val="24"/>
        </w:rPr>
        <w:t>本报告期，中国建设银行股份有限公司在本基金的托管过程中，严格遵守了《证券</w:t>
      </w:r>
      <w:r w:rsidRPr="0013437B">
        <w:rPr>
          <w:color w:val="000000"/>
          <w:sz w:val="24"/>
        </w:rPr>
        <w:lastRenderedPageBreak/>
        <w:t>投资基金法》、基金合同、托管协议和其他有关规定，不存在损害基金份额持有人利益的行为，完全尽职尽责地履行了基金托管人应尽的义务。</w:t>
      </w:r>
    </w:p>
    <w:p w:rsidR="001A59F9" w:rsidRPr="00C51C77" w:rsidRDefault="001A59F9" w:rsidP="00016A50">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44" w:name="_Toc225498265"/>
      <w:bookmarkStart w:id="45" w:name="_Toc361324866"/>
      <w:r w:rsidRPr="00701155">
        <w:rPr>
          <w:rFonts w:ascii="Times New Roman" w:hAnsi="Times New Roman"/>
          <w:kern w:val="0"/>
          <w:szCs w:val="24"/>
        </w:rPr>
        <w:t xml:space="preserve">5.2 </w:t>
      </w:r>
      <w:r w:rsidRPr="00701155">
        <w:rPr>
          <w:rFonts w:ascii="Times New Roman" w:hAnsi="Times New Roman" w:hint="eastAsia"/>
          <w:kern w:val="0"/>
          <w:szCs w:val="24"/>
        </w:rPr>
        <w:t>托管人对报告期内本基金投资运作遵规守信、净值计算、利润分配等情况的</w:t>
      </w:r>
      <w:bookmarkEnd w:id="44"/>
      <w:r w:rsidRPr="00701155">
        <w:rPr>
          <w:rFonts w:ascii="Times New Roman" w:hAnsi="Times New Roman" w:hint="eastAsia"/>
          <w:kern w:val="0"/>
          <w:szCs w:val="24"/>
        </w:rPr>
        <w:t>说明</w:t>
      </w:r>
      <w:bookmarkEnd w:id="45"/>
    </w:p>
    <w:p w:rsidR="004A4B7D" w:rsidRDefault="00B235F4">
      <w:pPr>
        <w:spacing w:before="29" w:line="288" w:lineRule="auto"/>
        <w:ind w:firstLineChars="200" w:firstLine="480"/>
        <w:rPr>
          <w:color w:val="000000"/>
          <w:sz w:val="24"/>
        </w:rPr>
      </w:pPr>
      <w:r>
        <w:rPr>
          <w:color w:val="000000"/>
          <w:sz w:val="24"/>
        </w:rPr>
        <w:t>本报告期，本托管人按照国家有关规定、基金合同、托管协议和其他有关规定，对本基金的基金资产净值计算、基金费用开支等方面进行了认真的复核，对本基金的投资运作方面进行了监督，未发现基金管理人有损害基金份额持有人利益的行为。</w:t>
      </w:r>
    </w:p>
    <w:p w:rsidR="001A59F9" w:rsidRPr="0013437B" w:rsidRDefault="001A59F9" w:rsidP="0013437B">
      <w:pPr>
        <w:spacing w:before="29" w:line="288" w:lineRule="auto"/>
        <w:ind w:firstLineChars="200" w:firstLine="480"/>
        <w:rPr>
          <w:color w:val="000000"/>
          <w:sz w:val="24"/>
        </w:rPr>
      </w:pPr>
      <w:r w:rsidRPr="0013437B">
        <w:rPr>
          <w:color w:val="000000"/>
          <w:sz w:val="24"/>
        </w:rPr>
        <w:t>报告期内，本基金实施利润分配的金额：</w:t>
      </w:r>
      <w:r w:rsidRPr="0013437B">
        <w:rPr>
          <w:color w:val="000000"/>
          <w:sz w:val="24"/>
        </w:rPr>
        <w:t>62,786,092.23</w:t>
      </w:r>
      <w:r w:rsidRPr="0013437B">
        <w:rPr>
          <w:color w:val="000000"/>
          <w:sz w:val="24"/>
        </w:rPr>
        <w:t>元。</w:t>
      </w:r>
    </w:p>
    <w:p w:rsidR="001A59F9" w:rsidRPr="00C51C77" w:rsidRDefault="001A59F9" w:rsidP="00016A50">
      <w:pPr>
        <w:spacing w:line="360" w:lineRule="auto"/>
        <w:ind w:firstLineChars="200" w:firstLine="420"/>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46" w:name="_Toc225498266"/>
      <w:bookmarkStart w:id="47" w:name="_Toc361324867"/>
      <w:r w:rsidRPr="00701155">
        <w:rPr>
          <w:rFonts w:ascii="Times New Roman" w:hAnsi="Times New Roman"/>
          <w:kern w:val="0"/>
          <w:szCs w:val="24"/>
        </w:rPr>
        <w:t xml:space="preserve">5.3 </w:t>
      </w:r>
      <w:r w:rsidRPr="00701155">
        <w:rPr>
          <w:rFonts w:ascii="Times New Roman" w:hAnsi="Times New Roman" w:hint="eastAsia"/>
          <w:kern w:val="0"/>
          <w:szCs w:val="24"/>
        </w:rPr>
        <w:t>托管人对本年度报告中财务信息等内容的真实、准确和完整发表意见</w:t>
      </w:r>
      <w:bookmarkEnd w:id="46"/>
      <w:bookmarkEnd w:id="47"/>
    </w:p>
    <w:p w:rsidR="001A59F9" w:rsidRDefault="001A59F9" w:rsidP="0013437B">
      <w:pPr>
        <w:spacing w:before="29" w:line="288" w:lineRule="auto"/>
        <w:ind w:firstLineChars="200" w:firstLine="480"/>
        <w:rPr>
          <w:color w:val="000000"/>
          <w:sz w:val="24"/>
        </w:rPr>
      </w:pPr>
      <w:r w:rsidRPr="0013437B">
        <w:rPr>
          <w:color w:val="000000"/>
          <w:sz w:val="24"/>
        </w:rPr>
        <w:t>本托管人复核审查了本报告中的财务指标、净值表现、利润分配情况、财务会计报告、投资组合报告等内容，保证复核内容不存在虚假记载、误导性陈述或者重大遗漏。</w:t>
      </w:r>
    </w:p>
    <w:p w:rsidR="009E773E" w:rsidRPr="0013437B" w:rsidRDefault="009E773E" w:rsidP="0013437B">
      <w:pPr>
        <w:spacing w:before="29" w:line="288" w:lineRule="auto"/>
        <w:ind w:firstLineChars="200" w:firstLine="480"/>
        <w:rPr>
          <w:color w:val="000000"/>
          <w:sz w:val="24"/>
        </w:rPr>
      </w:pPr>
    </w:p>
    <w:p w:rsidR="001A59F9" w:rsidRDefault="001A59F9" w:rsidP="00181618">
      <w:pPr>
        <w:pStyle w:val="1"/>
        <w:keepNext/>
        <w:keepLines/>
        <w:widowControl w:val="0"/>
        <w:spacing w:beforeLines="100" w:before="312" w:afterLines="100" w:after="312" w:line="288" w:lineRule="auto"/>
        <w:jc w:val="center"/>
        <w:rPr>
          <w:b/>
          <w:bCs/>
          <w:szCs w:val="24"/>
          <w:lang w:val="en-US"/>
        </w:rPr>
      </w:pPr>
      <w:bookmarkStart w:id="48" w:name="_Toc245801814"/>
      <w:bookmarkStart w:id="49" w:name="_Toc247959464"/>
      <w:bookmarkStart w:id="50" w:name="_Toc361324868"/>
      <w:r w:rsidRPr="009E773E">
        <w:rPr>
          <w:rFonts w:hint="eastAsia"/>
          <w:b/>
          <w:bCs/>
          <w:szCs w:val="24"/>
          <w:lang w:val="en-US"/>
        </w:rPr>
        <w:t>§</w:t>
      </w:r>
      <w:r w:rsidRPr="009E773E">
        <w:rPr>
          <w:b/>
          <w:bCs/>
          <w:szCs w:val="24"/>
          <w:lang w:val="en-US"/>
        </w:rPr>
        <w:t xml:space="preserve">6  </w:t>
      </w:r>
      <w:r w:rsidRPr="009E773E">
        <w:rPr>
          <w:rFonts w:hint="eastAsia"/>
          <w:b/>
          <w:bCs/>
          <w:szCs w:val="24"/>
          <w:lang w:val="en-US"/>
        </w:rPr>
        <w:t>审计报告</w:t>
      </w:r>
      <w:bookmarkEnd w:id="48"/>
      <w:bookmarkEnd w:id="49"/>
      <w:bookmarkEnd w:id="50"/>
    </w:p>
    <w:p w:rsidR="002546CC" w:rsidRPr="002546CC" w:rsidRDefault="002546CC" w:rsidP="002546CC"/>
    <w:p w:rsidR="00444105" w:rsidRDefault="00444105" w:rsidP="00444105">
      <w:pPr>
        <w:spacing w:before="29" w:line="288" w:lineRule="auto"/>
        <w:ind w:firstLineChars="200" w:firstLine="480"/>
        <w:rPr>
          <w:color w:val="000000"/>
          <w:sz w:val="24"/>
        </w:rPr>
      </w:pPr>
      <w:r w:rsidRPr="001F3653">
        <w:rPr>
          <w:color w:val="000000"/>
          <w:sz w:val="24"/>
        </w:rPr>
        <w:t>普华永道中天会计师事务所</w:t>
      </w:r>
      <w:r w:rsidRPr="001F3653">
        <w:rPr>
          <w:color w:val="000000"/>
          <w:sz w:val="24"/>
        </w:rPr>
        <w:t>(</w:t>
      </w:r>
      <w:r w:rsidRPr="001F3653">
        <w:rPr>
          <w:color w:val="000000"/>
          <w:sz w:val="24"/>
        </w:rPr>
        <w:t>特殊普通合伙</w:t>
      </w:r>
      <w:r w:rsidRPr="001F3653">
        <w:rPr>
          <w:color w:val="000000"/>
          <w:sz w:val="24"/>
        </w:rPr>
        <w:t>)</w:t>
      </w:r>
      <w:r w:rsidRPr="00A009EE">
        <w:rPr>
          <w:rFonts w:hint="eastAsia"/>
          <w:color w:val="000000"/>
          <w:sz w:val="24"/>
        </w:rPr>
        <w:t>对</w:t>
      </w:r>
      <w:r w:rsidRPr="003C6BFD">
        <w:rPr>
          <w:color w:val="000000"/>
          <w:sz w:val="24"/>
        </w:rPr>
        <w:t>交银施罗德成长</w:t>
      </w:r>
      <w:r w:rsidRPr="003C6BFD">
        <w:rPr>
          <w:color w:val="000000"/>
          <w:sz w:val="24"/>
        </w:rPr>
        <w:t>30</w:t>
      </w:r>
      <w:r w:rsidRPr="003C6BFD">
        <w:rPr>
          <w:color w:val="000000"/>
          <w:sz w:val="24"/>
        </w:rPr>
        <w:t>混合型证券投资基金</w:t>
      </w:r>
      <w:r w:rsidRPr="003C6BFD">
        <w:rPr>
          <w:color w:val="000000"/>
          <w:sz w:val="24"/>
        </w:rPr>
        <w:t>2016</w:t>
      </w:r>
      <w:r w:rsidRPr="003C6BFD">
        <w:rPr>
          <w:color w:val="000000"/>
          <w:sz w:val="24"/>
        </w:rPr>
        <w:t>年</w:t>
      </w:r>
      <w:r w:rsidRPr="003C6BFD">
        <w:rPr>
          <w:color w:val="000000"/>
          <w:sz w:val="24"/>
        </w:rPr>
        <w:t>12</w:t>
      </w:r>
      <w:r w:rsidRPr="003C6BFD">
        <w:rPr>
          <w:color w:val="000000"/>
          <w:sz w:val="24"/>
        </w:rPr>
        <w:t>月</w:t>
      </w:r>
      <w:r w:rsidRPr="003C6BFD">
        <w:rPr>
          <w:color w:val="000000"/>
          <w:sz w:val="24"/>
        </w:rPr>
        <w:t>31</w:t>
      </w:r>
      <w:r w:rsidRPr="003C6BFD">
        <w:rPr>
          <w:color w:val="000000"/>
          <w:sz w:val="24"/>
        </w:rPr>
        <w:t>日</w:t>
      </w:r>
      <w:r w:rsidRPr="00A009EE">
        <w:rPr>
          <w:rFonts w:hint="eastAsia"/>
          <w:color w:val="000000"/>
          <w:sz w:val="24"/>
        </w:rPr>
        <w:t>的资产负债表，</w:t>
      </w:r>
      <w:r w:rsidRPr="003C6BFD">
        <w:rPr>
          <w:color w:val="000000"/>
          <w:sz w:val="24"/>
        </w:rPr>
        <w:t>2016</w:t>
      </w:r>
      <w:r w:rsidRPr="003C6BFD">
        <w:rPr>
          <w:color w:val="000000"/>
          <w:sz w:val="24"/>
        </w:rPr>
        <w:t>年</w:t>
      </w:r>
      <w:r w:rsidR="0020150C">
        <w:rPr>
          <w:rFonts w:hint="eastAsia"/>
          <w:color w:val="000000"/>
          <w:sz w:val="24"/>
        </w:rPr>
        <w:t>度</w:t>
      </w:r>
      <w:r w:rsidRPr="00A009EE">
        <w:rPr>
          <w:rFonts w:hint="eastAsia"/>
          <w:color w:val="000000"/>
          <w:sz w:val="24"/>
        </w:rPr>
        <w:t>的利润表、所有者权益</w:t>
      </w:r>
      <w:r w:rsidRPr="00A009EE">
        <w:rPr>
          <w:rFonts w:hint="eastAsia"/>
          <w:color w:val="000000"/>
          <w:sz w:val="24"/>
        </w:rPr>
        <w:t>(</w:t>
      </w:r>
      <w:r w:rsidRPr="00A009EE">
        <w:rPr>
          <w:rFonts w:hint="eastAsia"/>
          <w:color w:val="000000"/>
          <w:sz w:val="24"/>
        </w:rPr>
        <w:t>基金净值</w:t>
      </w:r>
      <w:r w:rsidRPr="00A009EE">
        <w:rPr>
          <w:rFonts w:hint="eastAsia"/>
          <w:color w:val="000000"/>
          <w:sz w:val="24"/>
        </w:rPr>
        <w:t>)</w:t>
      </w:r>
      <w:r w:rsidRPr="00A009EE">
        <w:rPr>
          <w:rFonts w:hint="eastAsia"/>
          <w:color w:val="000000"/>
          <w:sz w:val="24"/>
        </w:rPr>
        <w:t>变动表以及财务报表附注</w:t>
      </w:r>
      <w:r w:rsidRPr="001F3653">
        <w:rPr>
          <w:rFonts w:hint="eastAsia"/>
          <w:color w:val="000000"/>
          <w:sz w:val="24"/>
        </w:rPr>
        <w:t>出具了标准无保留意见的审计报告</w:t>
      </w:r>
      <w:r w:rsidR="000E4B9B">
        <w:rPr>
          <w:rFonts w:hint="eastAsia"/>
          <w:color w:val="000000"/>
          <w:sz w:val="24"/>
        </w:rPr>
        <w:t>【</w:t>
      </w:r>
      <w:r w:rsidRPr="001F3653">
        <w:rPr>
          <w:color w:val="000000"/>
          <w:sz w:val="24"/>
        </w:rPr>
        <w:t>普华永道中天审字</w:t>
      </w:r>
      <w:r w:rsidRPr="001F3653">
        <w:rPr>
          <w:color w:val="000000"/>
          <w:sz w:val="24"/>
        </w:rPr>
        <w:t>(2017)</w:t>
      </w:r>
      <w:r w:rsidRPr="001F3653">
        <w:rPr>
          <w:color w:val="000000"/>
          <w:sz w:val="24"/>
        </w:rPr>
        <w:t>第</w:t>
      </w:r>
      <w:r w:rsidRPr="001F3653">
        <w:rPr>
          <w:color w:val="000000"/>
          <w:sz w:val="24"/>
        </w:rPr>
        <w:t>20143</w:t>
      </w:r>
      <w:r w:rsidRPr="001F3653">
        <w:rPr>
          <w:color w:val="000000"/>
          <w:sz w:val="24"/>
        </w:rPr>
        <w:t>号</w:t>
      </w:r>
      <w:r w:rsidR="000E4B9B">
        <w:rPr>
          <w:rFonts w:hint="eastAsia"/>
          <w:color w:val="000000"/>
          <w:sz w:val="24"/>
        </w:rPr>
        <w:t>】</w:t>
      </w:r>
      <w:r w:rsidRPr="001F3653">
        <w:rPr>
          <w:rFonts w:hint="eastAsia"/>
          <w:color w:val="000000"/>
          <w:sz w:val="24"/>
        </w:rPr>
        <w:t>。投资者可通过</w:t>
      </w:r>
      <w:r>
        <w:rPr>
          <w:rFonts w:hint="eastAsia"/>
          <w:color w:val="000000"/>
          <w:sz w:val="24"/>
        </w:rPr>
        <w:t>本基金</w:t>
      </w:r>
      <w:r w:rsidRPr="001F3653">
        <w:rPr>
          <w:rFonts w:hint="eastAsia"/>
          <w:color w:val="000000"/>
          <w:sz w:val="24"/>
        </w:rPr>
        <w:t>年度报告正文查看</w:t>
      </w:r>
      <w:r>
        <w:rPr>
          <w:rFonts w:hint="eastAsia"/>
          <w:color w:val="000000"/>
          <w:sz w:val="24"/>
        </w:rPr>
        <w:t>该</w:t>
      </w:r>
      <w:r w:rsidRPr="001F3653">
        <w:rPr>
          <w:rFonts w:hint="eastAsia"/>
          <w:color w:val="000000"/>
          <w:sz w:val="24"/>
        </w:rPr>
        <w:t>审计报告全文。</w:t>
      </w:r>
    </w:p>
    <w:p w:rsidR="0068776C" w:rsidRPr="00444105" w:rsidRDefault="0068776C" w:rsidP="001F3653">
      <w:pPr>
        <w:spacing w:before="29" w:line="288" w:lineRule="auto"/>
        <w:ind w:firstLineChars="200" w:firstLine="480"/>
        <w:rPr>
          <w:color w:val="000000"/>
          <w:sz w:val="24"/>
        </w:rPr>
      </w:pPr>
    </w:p>
    <w:p w:rsidR="001A59F9" w:rsidRDefault="001A59F9" w:rsidP="00181618">
      <w:pPr>
        <w:pStyle w:val="1"/>
        <w:keepNext/>
        <w:keepLines/>
        <w:widowControl w:val="0"/>
        <w:spacing w:beforeLines="100" w:before="312" w:afterLines="100" w:after="312" w:line="288" w:lineRule="auto"/>
        <w:jc w:val="center"/>
        <w:rPr>
          <w:b/>
          <w:bCs/>
          <w:szCs w:val="24"/>
          <w:lang w:val="en-US"/>
        </w:rPr>
      </w:pPr>
      <w:bookmarkStart w:id="51" w:name="_Toc361324872"/>
      <w:r w:rsidRPr="0068776C">
        <w:rPr>
          <w:rFonts w:hint="eastAsia"/>
          <w:b/>
          <w:bCs/>
          <w:szCs w:val="24"/>
          <w:lang w:val="en-US"/>
        </w:rPr>
        <w:t>§</w:t>
      </w:r>
      <w:r w:rsidRPr="0068776C">
        <w:rPr>
          <w:b/>
          <w:bCs/>
          <w:szCs w:val="24"/>
          <w:lang w:val="en-US"/>
        </w:rPr>
        <w:t>7</w:t>
      </w:r>
      <w:r w:rsidR="009153A3" w:rsidRPr="0068776C">
        <w:rPr>
          <w:rFonts w:hint="eastAsia"/>
          <w:b/>
          <w:bCs/>
          <w:szCs w:val="24"/>
          <w:lang w:val="en-US"/>
        </w:rPr>
        <w:t xml:space="preserve">  </w:t>
      </w:r>
      <w:r w:rsidRPr="0068776C">
        <w:rPr>
          <w:rFonts w:hint="eastAsia"/>
          <w:b/>
          <w:bCs/>
          <w:szCs w:val="24"/>
          <w:lang w:val="en-US"/>
        </w:rPr>
        <w:t>年度财务报表</w:t>
      </w:r>
      <w:bookmarkEnd w:id="51"/>
    </w:p>
    <w:p w:rsidR="002546CC" w:rsidRPr="002546CC" w:rsidRDefault="002546CC" w:rsidP="002546CC"/>
    <w:p w:rsidR="001A59F9" w:rsidRPr="00701155" w:rsidRDefault="001A59F9" w:rsidP="00701155">
      <w:pPr>
        <w:pStyle w:val="20"/>
        <w:spacing w:before="29" w:after="0" w:line="288" w:lineRule="auto"/>
        <w:rPr>
          <w:rFonts w:ascii="Times New Roman" w:hAnsi="Times New Roman"/>
          <w:kern w:val="0"/>
          <w:szCs w:val="24"/>
        </w:rPr>
      </w:pPr>
      <w:bookmarkStart w:id="52" w:name="_Toc225498268"/>
      <w:bookmarkStart w:id="53" w:name="_Toc361324873"/>
      <w:r w:rsidRPr="00701155">
        <w:rPr>
          <w:rFonts w:ascii="Times New Roman" w:hAnsi="Times New Roman"/>
          <w:kern w:val="0"/>
          <w:szCs w:val="24"/>
        </w:rPr>
        <w:t xml:space="preserve">7.1 </w:t>
      </w:r>
      <w:r w:rsidRPr="00701155">
        <w:rPr>
          <w:rFonts w:ascii="Times New Roman" w:hAnsi="Times New Roman" w:hint="eastAsia"/>
          <w:kern w:val="0"/>
          <w:szCs w:val="24"/>
        </w:rPr>
        <w:t>资产负债表</w:t>
      </w:r>
      <w:bookmarkEnd w:id="52"/>
      <w:bookmarkEnd w:id="53"/>
    </w:p>
    <w:p w:rsidR="001A59F9" w:rsidRPr="001C5FC7" w:rsidRDefault="001A59F9" w:rsidP="001C5FC7">
      <w:pPr>
        <w:spacing w:before="29" w:line="288" w:lineRule="auto"/>
        <w:rPr>
          <w:color w:val="000000"/>
          <w:sz w:val="24"/>
        </w:rPr>
      </w:pPr>
      <w:r w:rsidRPr="001C5FC7">
        <w:rPr>
          <w:rFonts w:hint="eastAsia"/>
          <w:color w:val="000000"/>
          <w:sz w:val="24"/>
        </w:rPr>
        <w:t>会计主体：</w:t>
      </w:r>
      <w:r w:rsidRPr="001C5FC7">
        <w:rPr>
          <w:color w:val="000000"/>
          <w:sz w:val="24"/>
        </w:rPr>
        <w:t>交银施罗德成长</w:t>
      </w:r>
      <w:r w:rsidRPr="001C5FC7">
        <w:rPr>
          <w:color w:val="000000"/>
          <w:sz w:val="24"/>
        </w:rPr>
        <w:t>30</w:t>
      </w:r>
      <w:r w:rsidRPr="001C5FC7">
        <w:rPr>
          <w:color w:val="000000"/>
          <w:sz w:val="24"/>
        </w:rPr>
        <w:t>混合型证券投资基金</w:t>
      </w:r>
    </w:p>
    <w:p w:rsidR="001A59F9" w:rsidRPr="001C5FC7" w:rsidRDefault="001A59F9" w:rsidP="001C5FC7">
      <w:pPr>
        <w:spacing w:before="29" w:line="288" w:lineRule="auto"/>
        <w:rPr>
          <w:color w:val="000000"/>
          <w:sz w:val="24"/>
        </w:rPr>
      </w:pPr>
      <w:r w:rsidRPr="001C5FC7">
        <w:rPr>
          <w:rFonts w:hint="eastAsia"/>
          <w:color w:val="000000"/>
          <w:sz w:val="24"/>
        </w:rPr>
        <w:t>报告截止日：</w:t>
      </w:r>
      <w:r w:rsidR="00F64FAD" w:rsidRPr="001C5FC7">
        <w:rPr>
          <w:color w:val="000000"/>
          <w:sz w:val="24"/>
        </w:rPr>
        <w:t>2016</w:t>
      </w:r>
      <w:r w:rsidR="00F64FAD" w:rsidRPr="001C5FC7">
        <w:rPr>
          <w:color w:val="000000"/>
          <w:sz w:val="24"/>
        </w:rPr>
        <w:t>年</w:t>
      </w:r>
      <w:r w:rsidR="00F64FAD" w:rsidRPr="001C5FC7">
        <w:rPr>
          <w:color w:val="000000"/>
          <w:sz w:val="24"/>
        </w:rPr>
        <w:t>12</w:t>
      </w:r>
      <w:r w:rsidR="00F64FAD" w:rsidRPr="001C5FC7">
        <w:rPr>
          <w:color w:val="000000"/>
          <w:sz w:val="24"/>
        </w:rPr>
        <w:t>月</w:t>
      </w:r>
      <w:r w:rsidR="00F64FAD" w:rsidRPr="001C5FC7">
        <w:rPr>
          <w:color w:val="000000"/>
          <w:sz w:val="24"/>
        </w:rPr>
        <w:t>31</w:t>
      </w:r>
      <w:r w:rsidR="00F64FAD" w:rsidRPr="001C5FC7">
        <w:rPr>
          <w:color w:val="000000"/>
          <w:sz w:val="24"/>
        </w:rPr>
        <w:t>日</w:t>
      </w:r>
    </w:p>
    <w:p w:rsidR="001A59F9" w:rsidRPr="001C5FC7" w:rsidRDefault="001A59F9" w:rsidP="001C5FC7">
      <w:pPr>
        <w:autoSpaceDE w:val="0"/>
        <w:autoSpaceDN w:val="0"/>
        <w:adjustRightInd w:val="0"/>
        <w:spacing w:before="29" w:line="288" w:lineRule="auto"/>
        <w:ind w:left="15"/>
        <w:jc w:val="right"/>
        <w:rPr>
          <w:color w:val="000000"/>
          <w:kern w:val="0"/>
          <w:sz w:val="24"/>
        </w:rPr>
      </w:pPr>
      <w:r w:rsidRPr="001C5FC7">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993"/>
        <w:gridCol w:w="2409"/>
        <w:gridCol w:w="2194"/>
      </w:tblGrid>
      <w:tr w:rsidR="00241E77" w:rsidRPr="00C51C77" w:rsidTr="00241E77">
        <w:tc>
          <w:tcPr>
            <w:tcW w:w="3402" w:type="dxa"/>
            <w:vAlign w:val="center"/>
          </w:tcPr>
          <w:p w:rsidR="00E959E6" w:rsidRPr="001C5FC7" w:rsidRDefault="00E959E6" w:rsidP="001C5FC7">
            <w:pPr>
              <w:pStyle w:val="af6"/>
              <w:spacing w:before="29" w:beforeAutospacing="0" w:line="288" w:lineRule="auto"/>
              <w:jc w:val="center"/>
              <w:rPr>
                <w:rFonts w:ascii="Times New Roman" w:hAnsi="Times New Roman"/>
                <w:b/>
                <w:color w:val="000000"/>
              </w:rPr>
            </w:pPr>
            <w:r w:rsidRPr="001C5FC7">
              <w:rPr>
                <w:rFonts w:ascii="Times New Roman" w:hAnsi="Times New Roman" w:hint="eastAsia"/>
                <w:b/>
                <w:color w:val="000000"/>
              </w:rPr>
              <w:t>资产</w:t>
            </w:r>
          </w:p>
        </w:tc>
        <w:tc>
          <w:tcPr>
            <w:tcW w:w="993" w:type="dxa"/>
            <w:vAlign w:val="center"/>
          </w:tcPr>
          <w:p w:rsidR="00E959E6" w:rsidRPr="001C5FC7" w:rsidRDefault="00E959E6" w:rsidP="001C5FC7">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2409" w:type="dxa"/>
            <w:vAlign w:val="center"/>
          </w:tcPr>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hint="eastAsia"/>
                <w:b/>
                <w:color w:val="000000"/>
              </w:rPr>
              <w:t>本期末</w:t>
            </w:r>
          </w:p>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b/>
                <w:color w:val="000000"/>
              </w:rPr>
              <w:t>2016</w:t>
            </w:r>
            <w:r w:rsidRPr="001C5FC7">
              <w:rPr>
                <w:rFonts w:ascii="Times New Roman" w:hAnsi="Times New Roman"/>
                <w:b/>
                <w:color w:val="000000"/>
              </w:rPr>
              <w:t>年</w:t>
            </w:r>
            <w:r w:rsidRPr="001C5FC7">
              <w:rPr>
                <w:rFonts w:ascii="Times New Roman" w:hAnsi="Times New Roman"/>
                <w:b/>
                <w:color w:val="000000"/>
              </w:rPr>
              <w:t>12</w:t>
            </w:r>
            <w:r w:rsidRPr="001C5FC7">
              <w:rPr>
                <w:rFonts w:ascii="Times New Roman" w:hAnsi="Times New Roman"/>
                <w:b/>
                <w:color w:val="000000"/>
              </w:rPr>
              <w:t>月</w:t>
            </w:r>
            <w:r w:rsidRPr="001C5FC7">
              <w:rPr>
                <w:rFonts w:ascii="Times New Roman" w:hAnsi="Times New Roman"/>
                <w:b/>
                <w:color w:val="000000"/>
              </w:rPr>
              <w:t>31</w:t>
            </w:r>
            <w:r w:rsidRPr="001C5FC7">
              <w:rPr>
                <w:rFonts w:ascii="Times New Roman" w:hAnsi="Times New Roman"/>
                <w:b/>
                <w:color w:val="000000"/>
              </w:rPr>
              <w:t>日</w:t>
            </w:r>
          </w:p>
        </w:tc>
        <w:tc>
          <w:tcPr>
            <w:tcW w:w="2194" w:type="dxa"/>
            <w:vAlign w:val="center"/>
          </w:tcPr>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hint="eastAsia"/>
                <w:b/>
                <w:color w:val="000000"/>
              </w:rPr>
              <w:t>上年度末</w:t>
            </w:r>
          </w:p>
          <w:p w:rsidR="00E959E6" w:rsidRPr="001C5FC7" w:rsidRDefault="00E959E6" w:rsidP="001C5FC7">
            <w:pPr>
              <w:pStyle w:val="af6"/>
              <w:spacing w:before="29" w:beforeAutospacing="0" w:after="0" w:afterAutospacing="0" w:line="288" w:lineRule="auto"/>
              <w:jc w:val="center"/>
              <w:rPr>
                <w:rFonts w:ascii="Times New Roman" w:hAnsi="Times New Roman"/>
                <w:b/>
                <w:color w:val="000000"/>
              </w:rPr>
            </w:pPr>
            <w:r w:rsidRPr="001C5FC7">
              <w:rPr>
                <w:rFonts w:ascii="Times New Roman" w:hAnsi="Times New Roman"/>
                <w:b/>
                <w:color w:val="000000"/>
              </w:rPr>
              <w:t>2015</w:t>
            </w:r>
            <w:r w:rsidRPr="001C5FC7">
              <w:rPr>
                <w:rFonts w:ascii="Times New Roman" w:hAnsi="Times New Roman"/>
                <w:b/>
                <w:color w:val="000000"/>
              </w:rPr>
              <w:t>年</w:t>
            </w:r>
            <w:r w:rsidRPr="001C5FC7">
              <w:rPr>
                <w:rFonts w:ascii="Times New Roman" w:hAnsi="Times New Roman"/>
                <w:b/>
                <w:color w:val="000000"/>
              </w:rPr>
              <w:t>12</w:t>
            </w:r>
            <w:r w:rsidRPr="001C5FC7">
              <w:rPr>
                <w:rFonts w:ascii="Times New Roman" w:hAnsi="Times New Roman"/>
                <w:b/>
                <w:color w:val="000000"/>
              </w:rPr>
              <w:t>月</w:t>
            </w:r>
            <w:r w:rsidRPr="001C5FC7">
              <w:rPr>
                <w:rFonts w:ascii="Times New Roman" w:hAnsi="Times New Roman"/>
                <w:b/>
                <w:color w:val="000000"/>
              </w:rPr>
              <w:t>31</w:t>
            </w:r>
            <w:r w:rsidRPr="001C5FC7">
              <w:rPr>
                <w:rFonts w:ascii="Times New Roman" w:hAnsi="Times New Roman"/>
                <w:b/>
                <w:color w:val="000000"/>
              </w:rPr>
              <w:t>日</w:t>
            </w:r>
          </w:p>
        </w:tc>
      </w:tr>
      <w:tr w:rsidR="00241E77" w:rsidRPr="00C51C77" w:rsidTr="00241E77">
        <w:tc>
          <w:tcPr>
            <w:tcW w:w="3402" w:type="dxa"/>
            <w:vAlign w:val="center"/>
          </w:tcPr>
          <w:p w:rsidR="00E959E6" w:rsidRPr="00F05828" w:rsidRDefault="00E959E6" w:rsidP="003F4597">
            <w:pPr>
              <w:spacing w:before="29" w:line="288" w:lineRule="auto"/>
              <w:rPr>
                <w:b/>
                <w:color w:val="000000"/>
                <w:sz w:val="24"/>
              </w:rPr>
            </w:pPr>
            <w:r w:rsidRPr="00F05828">
              <w:rPr>
                <w:rFonts w:hint="eastAsia"/>
                <w:b/>
                <w:color w:val="000000"/>
                <w:sz w:val="24"/>
              </w:rPr>
              <w:t>资</w:t>
            </w:r>
            <w:r w:rsidRPr="00F05828">
              <w:rPr>
                <w:rFonts w:hint="eastAsia"/>
                <w:b/>
                <w:color w:val="000000"/>
                <w:sz w:val="24"/>
              </w:rPr>
              <w:t xml:space="preserve"> </w:t>
            </w:r>
            <w:r w:rsidRPr="00F05828">
              <w:rPr>
                <w:rFonts w:hint="eastAsia"/>
                <w:b/>
                <w:color w:val="000000"/>
                <w:sz w:val="24"/>
              </w:rPr>
              <w:t>产：</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p>
        </w:tc>
        <w:tc>
          <w:tcPr>
            <w:tcW w:w="2409" w:type="dxa"/>
            <w:vAlign w:val="center"/>
          </w:tcPr>
          <w:p w:rsidR="00E959E6" w:rsidRPr="001C5FC7" w:rsidRDefault="00E959E6" w:rsidP="001C5FC7">
            <w:pPr>
              <w:spacing w:before="29" w:line="288" w:lineRule="auto"/>
              <w:jc w:val="right"/>
              <w:rPr>
                <w:color w:val="000000"/>
                <w:sz w:val="24"/>
              </w:rPr>
            </w:pPr>
          </w:p>
        </w:tc>
        <w:tc>
          <w:tcPr>
            <w:tcW w:w="2194" w:type="dxa"/>
            <w:vAlign w:val="center"/>
          </w:tcPr>
          <w:p w:rsidR="00E959E6" w:rsidRPr="001C5FC7" w:rsidRDefault="00E959E6" w:rsidP="001C5FC7">
            <w:pPr>
              <w:spacing w:before="29" w:line="288" w:lineRule="auto"/>
              <w:jc w:val="right"/>
              <w:rPr>
                <w:color w:val="000000"/>
                <w:sz w:val="24"/>
              </w:rPr>
            </w:pPr>
          </w:p>
        </w:tc>
      </w:tr>
      <w:tr w:rsidR="00241E77" w:rsidRPr="00C51C77" w:rsidTr="00241E77">
        <w:tc>
          <w:tcPr>
            <w:tcW w:w="3402" w:type="dxa"/>
            <w:vAlign w:val="center"/>
          </w:tcPr>
          <w:p w:rsidR="00E959E6" w:rsidRPr="003F4597" w:rsidRDefault="00E959E6" w:rsidP="003F4597">
            <w:pPr>
              <w:spacing w:before="29" w:line="288" w:lineRule="auto"/>
              <w:rPr>
                <w:color w:val="000000"/>
                <w:sz w:val="24"/>
              </w:rPr>
            </w:pPr>
            <w:r w:rsidRPr="003F4597">
              <w:rPr>
                <w:rFonts w:hint="eastAsia"/>
                <w:color w:val="000000"/>
                <w:sz w:val="24"/>
              </w:rPr>
              <w:t>银行存款</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r>
              <w:t>7.4.7.1</w:t>
            </w:r>
          </w:p>
        </w:tc>
        <w:tc>
          <w:tcPr>
            <w:tcW w:w="2409" w:type="dxa"/>
            <w:vAlign w:val="center"/>
          </w:tcPr>
          <w:p w:rsidR="00E959E6" w:rsidRPr="001C5FC7" w:rsidRDefault="00E959E6" w:rsidP="001C5FC7">
            <w:pPr>
              <w:spacing w:before="29" w:line="288" w:lineRule="auto"/>
              <w:jc w:val="right"/>
              <w:rPr>
                <w:color w:val="000000"/>
                <w:sz w:val="24"/>
              </w:rPr>
            </w:pPr>
            <w:r w:rsidRPr="001C5FC7">
              <w:rPr>
                <w:color w:val="000000"/>
                <w:sz w:val="24"/>
              </w:rPr>
              <w:t>13,860,871.19</w:t>
            </w:r>
          </w:p>
        </w:tc>
        <w:tc>
          <w:tcPr>
            <w:tcW w:w="2194" w:type="dxa"/>
            <w:vAlign w:val="center"/>
          </w:tcPr>
          <w:p w:rsidR="00E959E6" w:rsidRPr="001C5FC7" w:rsidRDefault="00E959E6" w:rsidP="001C5FC7">
            <w:pPr>
              <w:spacing w:before="29" w:line="288" w:lineRule="auto"/>
              <w:jc w:val="right"/>
              <w:rPr>
                <w:color w:val="000000"/>
                <w:sz w:val="24"/>
              </w:rPr>
            </w:pPr>
            <w:r w:rsidRPr="001C5FC7">
              <w:rPr>
                <w:color w:val="000000"/>
                <w:sz w:val="24"/>
              </w:rPr>
              <w:t>29,946,763.00</w:t>
            </w:r>
          </w:p>
        </w:tc>
      </w:tr>
      <w:tr w:rsidR="00241E77" w:rsidRPr="00C51C77" w:rsidTr="00241E77">
        <w:tc>
          <w:tcPr>
            <w:tcW w:w="3402" w:type="dxa"/>
            <w:vAlign w:val="center"/>
          </w:tcPr>
          <w:p w:rsidR="00E959E6" w:rsidRPr="003F4597" w:rsidRDefault="00E959E6" w:rsidP="003F4597">
            <w:pPr>
              <w:spacing w:before="29" w:line="288" w:lineRule="auto"/>
              <w:rPr>
                <w:color w:val="000000"/>
                <w:sz w:val="24"/>
              </w:rPr>
            </w:pPr>
            <w:r w:rsidRPr="003F4597">
              <w:rPr>
                <w:rFonts w:hint="eastAsia"/>
                <w:color w:val="000000"/>
                <w:sz w:val="24"/>
              </w:rPr>
              <w:t>结算备付金</w:t>
            </w:r>
          </w:p>
        </w:tc>
        <w:tc>
          <w:tcPr>
            <w:tcW w:w="993" w:type="dxa"/>
            <w:vAlign w:val="center"/>
          </w:tcPr>
          <w:p w:rsidR="00E959E6" w:rsidRPr="003F4597" w:rsidRDefault="00E959E6" w:rsidP="00072FC7">
            <w:pPr>
              <w:widowControl/>
              <w:autoSpaceDE w:val="0"/>
              <w:autoSpaceDN w:val="0"/>
              <w:ind w:right="-15"/>
              <w:jc w:val="center"/>
              <w:textAlignment w:val="bottom"/>
              <w:rPr>
                <w:color w:val="000000"/>
                <w:sz w:val="24"/>
              </w:rPr>
            </w:pPr>
          </w:p>
        </w:tc>
        <w:tc>
          <w:tcPr>
            <w:tcW w:w="2409" w:type="dxa"/>
            <w:vAlign w:val="center"/>
          </w:tcPr>
          <w:p w:rsidR="00E959E6" w:rsidRPr="001C5FC7" w:rsidRDefault="00E959E6" w:rsidP="001C5FC7">
            <w:pPr>
              <w:spacing w:before="29" w:line="288" w:lineRule="auto"/>
              <w:jc w:val="right"/>
              <w:rPr>
                <w:color w:val="000000"/>
                <w:sz w:val="24"/>
              </w:rPr>
            </w:pPr>
            <w:r w:rsidRPr="001C5FC7">
              <w:rPr>
                <w:color w:val="000000"/>
                <w:sz w:val="24"/>
              </w:rPr>
              <w:t>447,046.48</w:t>
            </w:r>
          </w:p>
        </w:tc>
        <w:tc>
          <w:tcPr>
            <w:tcW w:w="2194" w:type="dxa"/>
            <w:vAlign w:val="center"/>
          </w:tcPr>
          <w:p w:rsidR="00E959E6" w:rsidRPr="001C5FC7" w:rsidRDefault="00E959E6" w:rsidP="001C5FC7">
            <w:pPr>
              <w:spacing w:before="29" w:line="288" w:lineRule="auto"/>
              <w:jc w:val="right"/>
              <w:rPr>
                <w:color w:val="000000"/>
                <w:sz w:val="24"/>
              </w:rPr>
            </w:pPr>
            <w:r w:rsidRPr="001C5FC7">
              <w:rPr>
                <w:color w:val="000000"/>
                <w:sz w:val="24"/>
              </w:rPr>
              <w:t>91,519.06</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存出保证金</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21,732.85</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24,902.77</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lastRenderedPageBreak/>
              <w:t>交易性金融资产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7.4.7.2</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130,654,573.63</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94,995,993.30</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其中：股票投资</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130,654,573.63</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94,995,993.30</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基金投资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债券投资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资产支持证券投资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7C0DDA" w:rsidRDefault="00DA3B22" w:rsidP="007C0DDA">
            <w:pPr>
              <w:pStyle w:val="af6"/>
              <w:spacing w:before="29" w:beforeAutospacing="0" w:line="288" w:lineRule="auto"/>
              <w:ind w:firstLineChars="300" w:firstLine="720"/>
              <w:jc w:val="both"/>
              <w:rPr>
                <w:rFonts w:ascii="Times New Roman" w:hAnsi="Times New Roman"/>
                <w:color w:val="000000"/>
              </w:rPr>
            </w:pPr>
            <w:r w:rsidRPr="007C0DDA">
              <w:rPr>
                <w:rFonts w:ascii="Times New Roman" w:hAnsi="Times New Roman" w:hint="eastAsia"/>
                <w:color w:val="000000"/>
              </w:rPr>
              <w:t>贵金属投资</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rFonts w:hint="eastAsia"/>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rFonts w:hint="eastAsia"/>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衍生金融资产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7.4.7.3</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买入返售金融资产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7.4.7.4</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应收证券清算款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应收利息</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7.4.7.5</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7,560.27</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6,777.41</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应收股利</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应收申购款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323,291.99</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17,063.77</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递延所得税资产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其他资产</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7.4.7.6</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241E77" w:rsidRPr="00C51C77" w:rsidTr="00241E77">
        <w:tc>
          <w:tcPr>
            <w:tcW w:w="3402" w:type="dxa"/>
            <w:vAlign w:val="center"/>
          </w:tcPr>
          <w:p w:rsidR="00DA3B22" w:rsidRPr="00F05828" w:rsidRDefault="00DA3B22" w:rsidP="003F4597">
            <w:pPr>
              <w:spacing w:before="29" w:line="288" w:lineRule="auto"/>
              <w:rPr>
                <w:color w:val="000000"/>
                <w:sz w:val="24"/>
              </w:rPr>
            </w:pPr>
            <w:r w:rsidRPr="00F05828">
              <w:rPr>
                <w:rFonts w:hint="eastAsia"/>
                <w:color w:val="000000"/>
                <w:sz w:val="24"/>
              </w:rPr>
              <w:t>资产总计</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145,315,076.41</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125,083,019.31</w:t>
            </w:r>
          </w:p>
        </w:tc>
      </w:tr>
      <w:tr w:rsidR="00DA3B22" w:rsidRPr="00C51C77" w:rsidTr="00241E77">
        <w:tc>
          <w:tcPr>
            <w:tcW w:w="3402" w:type="dxa"/>
            <w:vAlign w:val="center"/>
          </w:tcPr>
          <w:p w:rsidR="00DA3B22" w:rsidRPr="00B9358B" w:rsidRDefault="00DA3B22" w:rsidP="00B9358B">
            <w:pPr>
              <w:pStyle w:val="af6"/>
              <w:spacing w:before="29" w:beforeAutospacing="0" w:line="288" w:lineRule="auto"/>
              <w:jc w:val="center"/>
              <w:rPr>
                <w:rFonts w:ascii="Times New Roman" w:hAnsi="Times New Roman"/>
                <w:b/>
                <w:color w:val="000000"/>
              </w:rPr>
            </w:pPr>
            <w:r w:rsidRPr="00B9358B">
              <w:rPr>
                <w:rFonts w:ascii="Times New Roman" w:hAnsi="Times New Roman" w:hint="eastAsia"/>
                <w:b/>
                <w:color w:val="000000"/>
              </w:rPr>
              <w:t>负债和所有者权益</w:t>
            </w:r>
          </w:p>
        </w:tc>
        <w:tc>
          <w:tcPr>
            <w:tcW w:w="993" w:type="dxa"/>
            <w:vAlign w:val="center"/>
          </w:tcPr>
          <w:p w:rsidR="00DA3B22" w:rsidRPr="00B9358B" w:rsidRDefault="00BC5CD5" w:rsidP="00B9358B">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2409" w:type="dxa"/>
            <w:vAlign w:val="center"/>
          </w:tcPr>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hint="eastAsia"/>
                <w:b/>
                <w:color w:val="000000"/>
              </w:rPr>
              <w:t>本期末</w:t>
            </w:r>
          </w:p>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b/>
                <w:color w:val="000000"/>
              </w:rPr>
              <w:t>2016</w:t>
            </w:r>
            <w:r w:rsidRPr="00B9358B">
              <w:rPr>
                <w:rFonts w:ascii="Times New Roman" w:hAnsi="Times New Roman"/>
                <w:b/>
                <w:color w:val="000000"/>
              </w:rPr>
              <w:t>年</w:t>
            </w:r>
            <w:r w:rsidRPr="00B9358B">
              <w:rPr>
                <w:rFonts w:ascii="Times New Roman" w:hAnsi="Times New Roman"/>
                <w:b/>
                <w:color w:val="000000"/>
              </w:rPr>
              <w:t>12</w:t>
            </w:r>
            <w:r w:rsidRPr="00B9358B">
              <w:rPr>
                <w:rFonts w:ascii="Times New Roman" w:hAnsi="Times New Roman"/>
                <w:b/>
                <w:color w:val="000000"/>
              </w:rPr>
              <w:t>月</w:t>
            </w:r>
            <w:r w:rsidRPr="00B9358B">
              <w:rPr>
                <w:rFonts w:ascii="Times New Roman" w:hAnsi="Times New Roman"/>
                <w:b/>
                <w:color w:val="000000"/>
              </w:rPr>
              <w:t>31</w:t>
            </w:r>
            <w:r w:rsidRPr="00B9358B">
              <w:rPr>
                <w:rFonts w:ascii="Times New Roman" w:hAnsi="Times New Roman"/>
                <w:b/>
                <w:color w:val="000000"/>
              </w:rPr>
              <w:t>日</w:t>
            </w:r>
          </w:p>
        </w:tc>
        <w:tc>
          <w:tcPr>
            <w:tcW w:w="2194" w:type="dxa"/>
            <w:vAlign w:val="center"/>
          </w:tcPr>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hint="eastAsia"/>
                <w:b/>
                <w:color w:val="000000"/>
              </w:rPr>
              <w:t>上年度末</w:t>
            </w:r>
          </w:p>
          <w:p w:rsidR="00DA3B22" w:rsidRPr="00B9358B" w:rsidRDefault="00DA3B22" w:rsidP="00B9358B">
            <w:pPr>
              <w:pStyle w:val="af6"/>
              <w:spacing w:before="29" w:beforeAutospacing="0" w:after="0" w:afterAutospacing="0" w:line="288" w:lineRule="auto"/>
              <w:jc w:val="center"/>
              <w:rPr>
                <w:rFonts w:ascii="Times New Roman" w:hAnsi="Times New Roman"/>
                <w:b/>
                <w:color w:val="000000"/>
              </w:rPr>
            </w:pPr>
            <w:r w:rsidRPr="00B9358B">
              <w:rPr>
                <w:rFonts w:ascii="Times New Roman" w:hAnsi="Times New Roman"/>
                <w:b/>
                <w:color w:val="000000"/>
              </w:rPr>
              <w:t>2015</w:t>
            </w:r>
            <w:r w:rsidRPr="00B9358B">
              <w:rPr>
                <w:rFonts w:ascii="Times New Roman" w:hAnsi="Times New Roman"/>
                <w:b/>
                <w:color w:val="000000"/>
              </w:rPr>
              <w:t>年</w:t>
            </w:r>
            <w:r w:rsidRPr="00B9358B">
              <w:rPr>
                <w:rFonts w:ascii="Times New Roman" w:hAnsi="Times New Roman"/>
                <w:b/>
                <w:color w:val="000000"/>
              </w:rPr>
              <w:t>12</w:t>
            </w:r>
            <w:r w:rsidRPr="00B9358B">
              <w:rPr>
                <w:rFonts w:ascii="Times New Roman" w:hAnsi="Times New Roman"/>
                <w:b/>
                <w:color w:val="000000"/>
              </w:rPr>
              <w:t>月</w:t>
            </w:r>
            <w:r w:rsidRPr="00B9358B">
              <w:rPr>
                <w:rFonts w:ascii="Times New Roman" w:hAnsi="Times New Roman"/>
                <w:b/>
                <w:color w:val="000000"/>
              </w:rPr>
              <w:t>31</w:t>
            </w:r>
            <w:r w:rsidRPr="00B9358B">
              <w:rPr>
                <w:rFonts w:ascii="Times New Roman" w:hAnsi="Times New Roman"/>
                <w:b/>
                <w:color w:val="000000"/>
              </w:rPr>
              <w:t>日</w:t>
            </w:r>
          </w:p>
        </w:tc>
      </w:tr>
      <w:tr w:rsidR="00DA3B22" w:rsidRPr="00C51C77" w:rsidTr="00241E77">
        <w:tc>
          <w:tcPr>
            <w:tcW w:w="3402" w:type="dxa"/>
            <w:vAlign w:val="center"/>
          </w:tcPr>
          <w:p w:rsidR="00DA3B22" w:rsidRPr="00F05828" w:rsidRDefault="00DA3B22" w:rsidP="003F4597">
            <w:pPr>
              <w:spacing w:before="29" w:line="288" w:lineRule="auto"/>
              <w:rPr>
                <w:b/>
                <w:color w:val="000000"/>
                <w:sz w:val="24"/>
              </w:rPr>
            </w:pPr>
            <w:r w:rsidRPr="00F05828">
              <w:rPr>
                <w:rFonts w:hint="eastAsia"/>
                <w:b/>
                <w:color w:val="000000"/>
                <w:sz w:val="24"/>
              </w:rPr>
              <w:t>负</w:t>
            </w:r>
            <w:r w:rsidRPr="00F05828">
              <w:rPr>
                <w:rFonts w:hint="eastAsia"/>
                <w:b/>
                <w:color w:val="000000"/>
                <w:sz w:val="24"/>
              </w:rPr>
              <w:t xml:space="preserve"> </w:t>
            </w:r>
            <w:r w:rsidRPr="00F05828">
              <w:rPr>
                <w:rFonts w:hint="eastAsia"/>
                <w:b/>
                <w:color w:val="000000"/>
                <w:sz w:val="24"/>
              </w:rPr>
              <w:t>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p>
        </w:tc>
        <w:tc>
          <w:tcPr>
            <w:tcW w:w="2194" w:type="dxa"/>
            <w:vAlign w:val="center"/>
          </w:tcPr>
          <w:p w:rsidR="00DA3B22" w:rsidRPr="001C5FC7" w:rsidRDefault="00DA3B22" w:rsidP="001C5FC7">
            <w:pPr>
              <w:spacing w:before="29" w:line="288" w:lineRule="auto"/>
              <w:jc w:val="right"/>
              <w:rPr>
                <w:color w:val="000000"/>
                <w:sz w:val="24"/>
              </w:rPr>
            </w:pP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短期借款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交易性金融负债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衍生金融负债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7.4.7.3</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卖出回购金融资产款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应付证券清算款</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w:t>
            </w:r>
            <w:proofErr w:type="gramStart"/>
            <w:r w:rsidRPr="003F4597">
              <w:rPr>
                <w:rFonts w:hint="eastAsia"/>
                <w:color w:val="000000"/>
                <w:sz w:val="24"/>
              </w:rPr>
              <w:t>赎回款</w:t>
            </w:r>
            <w:proofErr w:type="gramEnd"/>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209,195.67</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548,153.33</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应付管理人报酬</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246,679.19</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155,995.76</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应付托管费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41,113.17</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25,999.30</w:t>
            </w:r>
          </w:p>
        </w:tc>
      </w:tr>
      <w:tr w:rsidR="00DA3B22" w:rsidRPr="00C51C77" w:rsidTr="00241E77">
        <w:trPr>
          <w:trHeight w:val="903"/>
        </w:trPr>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应付销售服务费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应付交易费用</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7.4.7.7</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156,212.11</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43,021.29</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应交税费</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应付利息</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应付利润</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递延所得税负债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其他负债</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7.4.7.8</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90,415.88</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212,868.40</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lastRenderedPageBreak/>
              <w:t>负债合计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743,616.02</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986,038.08</w:t>
            </w:r>
          </w:p>
        </w:tc>
      </w:tr>
      <w:tr w:rsidR="00DA3B22" w:rsidRPr="00C51C77" w:rsidTr="00241E77">
        <w:tc>
          <w:tcPr>
            <w:tcW w:w="3402" w:type="dxa"/>
            <w:vAlign w:val="center"/>
          </w:tcPr>
          <w:p w:rsidR="00DA3B22" w:rsidRPr="00F07001" w:rsidRDefault="00DA3B22" w:rsidP="003F4597">
            <w:pPr>
              <w:spacing w:before="29" w:line="288" w:lineRule="auto"/>
              <w:rPr>
                <w:b/>
                <w:color w:val="000000"/>
                <w:sz w:val="24"/>
              </w:rPr>
            </w:pPr>
            <w:r w:rsidRPr="00F07001">
              <w:rPr>
                <w:rFonts w:hint="eastAsia"/>
                <w:b/>
                <w:color w:val="000000"/>
                <w:sz w:val="24"/>
              </w:rPr>
              <w:t>所有者权益：</w:t>
            </w:r>
          </w:p>
        </w:tc>
        <w:tc>
          <w:tcPr>
            <w:tcW w:w="993" w:type="dxa"/>
            <w:vAlign w:val="center"/>
          </w:tcPr>
          <w:p w:rsidR="00DA3B22" w:rsidRPr="00072FC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p>
        </w:tc>
        <w:tc>
          <w:tcPr>
            <w:tcW w:w="2194" w:type="dxa"/>
            <w:vAlign w:val="center"/>
          </w:tcPr>
          <w:p w:rsidR="00DA3B22" w:rsidRPr="001C5FC7" w:rsidRDefault="00DA3B22" w:rsidP="001C5FC7">
            <w:pPr>
              <w:spacing w:before="29" w:line="288" w:lineRule="auto"/>
              <w:jc w:val="right"/>
              <w:rPr>
                <w:color w:val="000000"/>
                <w:sz w:val="24"/>
              </w:rPr>
            </w:pP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实收基金</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7.4.7.9</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135,594,467.04</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74,080,477.11</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未分配利润</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r>
              <w:t>7.4.7.10</w:t>
            </w: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8,976,993.35</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50,016,504.12</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所有者权益合计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144,571,460.39</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124,096,981.23</w:t>
            </w:r>
          </w:p>
        </w:tc>
      </w:tr>
      <w:tr w:rsidR="00DA3B22" w:rsidRPr="00C51C77" w:rsidTr="00241E77">
        <w:tc>
          <w:tcPr>
            <w:tcW w:w="3402" w:type="dxa"/>
            <w:vAlign w:val="center"/>
          </w:tcPr>
          <w:p w:rsidR="00DA3B22" w:rsidRPr="003F4597" w:rsidRDefault="00DA3B22" w:rsidP="003F4597">
            <w:pPr>
              <w:spacing w:before="29" w:line="288" w:lineRule="auto"/>
              <w:rPr>
                <w:color w:val="000000"/>
                <w:sz w:val="24"/>
              </w:rPr>
            </w:pPr>
            <w:r w:rsidRPr="003F4597">
              <w:rPr>
                <w:rFonts w:hint="eastAsia"/>
                <w:color w:val="000000"/>
                <w:sz w:val="24"/>
              </w:rPr>
              <w:t>负债和所有者权益总计</w:t>
            </w:r>
          </w:p>
        </w:tc>
        <w:tc>
          <w:tcPr>
            <w:tcW w:w="993" w:type="dxa"/>
            <w:vAlign w:val="center"/>
          </w:tcPr>
          <w:p w:rsidR="00DA3B22" w:rsidRPr="003F4597" w:rsidRDefault="00DA3B22" w:rsidP="00072FC7">
            <w:pPr>
              <w:widowControl/>
              <w:autoSpaceDE w:val="0"/>
              <w:autoSpaceDN w:val="0"/>
              <w:ind w:right="-15"/>
              <w:jc w:val="center"/>
              <w:textAlignment w:val="bottom"/>
              <w:rPr>
                <w:color w:val="000000"/>
                <w:sz w:val="24"/>
              </w:rPr>
            </w:pPr>
          </w:p>
        </w:tc>
        <w:tc>
          <w:tcPr>
            <w:tcW w:w="2409" w:type="dxa"/>
            <w:vAlign w:val="center"/>
          </w:tcPr>
          <w:p w:rsidR="00DA3B22" w:rsidRPr="001C5FC7" w:rsidRDefault="00DA3B22" w:rsidP="001C5FC7">
            <w:pPr>
              <w:spacing w:before="29" w:line="288" w:lineRule="auto"/>
              <w:jc w:val="right"/>
              <w:rPr>
                <w:color w:val="000000"/>
                <w:sz w:val="24"/>
              </w:rPr>
            </w:pPr>
            <w:r w:rsidRPr="001C5FC7">
              <w:rPr>
                <w:color w:val="000000"/>
                <w:sz w:val="24"/>
              </w:rPr>
              <w:t>145,315,076.41</w:t>
            </w:r>
          </w:p>
        </w:tc>
        <w:tc>
          <w:tcPr>
            <w:tcW w:w="2194" w:type="dxa"/>
            <w:vAlign w:val="center"/>
          </w:tcPr>
          <w:p w:rsidR="00DA3B22" w:rsidRPr="001C5FC7" w:rsidRDefault="00DA3B22" w:rsidP="001C5FC7">
            <w:pPr>
              <w:spacing w:before="29" w:line="288" w:lineRule="auto"/>
              <w:jc w:val="right"/>
              <w:rPr>
                <w:color w:val="000000"/>
                <w:sz w:val="24"/>
              </w:rPr>
            </w:pPr>
            <w:r w:rsidRPr="001C5FC7">
              <w:rPr>
                <w:color w:val="000000"/>
                <w:sz w:val="24"/>
              </w:rPr>
              <w:t>125,083,019.31</w:t>
            </w:r>
          </w:p>
        </w:tc>
      </w:tr>
    </w:tbl>
    <w:p w:rsidR="001A59F9" w:rsidRPr="00BE4367" w:rsidRDefault="00AA0214" w:rsidP="00BE4367">
      <w:pPr>
        <w:spacing w:before="29" w:line="288" w:lineRule="auto"/>
        <w:rPr>
          <w:color w:val="000000"/>
          <w:sz w:val="24"/>
        </w:rPr>
      </w:pPr>
      <w:r w:rsidRPr="00BE4367">
        <w:rPr>
          <w:rFonts w:hint="eastAsia"/>
          <w:color w:val="000000"/>
          <w:sz w:val="24"/>
        </w:rPr>
        <w:t>注：</w:t>
      </w:r>
      <w:r w:rsidRPr="00BE4367">
        <w:rPr>
          <w:rFonts w:hint="eastAsia"/>
          <w:color w:val="000000"/>
          <w:sz w:val="24"/>
        </w:rPr>
        <w:t>1</w:t>
      </w:r>
      <w:r w:rsidRPr="00BE4367">
        <w:rPr>
          <w:rFonts w:hint="eastAsia"/>
          <w:color w:val="000000"/>
          <w:sz w:val="24"/>
        </w:rPr>
        <w:t>、</w:t>
      </w:r>
      <w:r w:rsidR="001A59F9" w:rsidRPr="00BE4367">
        <w:rPr>
          <w:color w:val="000000"/>
          <w:sz w:val="24"/>
        </w:rPr>
        <w:t>报告截止日</w:t>
      </w:r>
      <w:r w:rsidR="001A59F9" w:rsidRPr="00BE4367">
        <w:rPr>
          <w:color w:val="000000"/>
          <w:sz w:val="24"/>
        </w:rPr>
        <w:t>2016</w:t>
      </w:r>
      <w:r w:rsidR="001A59F9" w:rsidRPr="00BE4367">
        <w:rPr>
          <w:color w:val="000000"/>
          <w:sz w:val="24"/>
        </w:rPr>
        <w:t>年</w:t>
      </w:r>
      <w:r w:rsidR="001A59F9" w:rsidRPr="00BE4367">
        <w:rPr>
          <w:color w:val="000000"/>
          <w:sz w:val="24"/>
        </w:rPr>
        <w:t>12</w:t>
      </w:r>
      <w:r w:rsidR="001A59F9" w:rsidRPr="00BE4367">
        <w:rPr>
          <w:color w:val="000000"/>
          <w:sz w:val="24"/>
        </w:rPr>
        <w:t>月</w:t>
      </w:r>
      <w:r w:rsidR="001A59F9" w:rsidRPr="00BE4367">
        <w:rPr>
          <w:color w:val="000000"/>
          <w:sz w:val="24"/>
        </w:rPr>
        <w:t>31</w:t>
      </w:r>
      <w:r w:rsidR="001A59F9" w:rsidRPr="00BE4367">
        <w:rPr>
          <w:color w:val="000000"/>
          <w:sz w:val="24"/>
        </w:rPr>
        <w:t>日，基金份额净值</w:t>
      </w:r>
      <w:r w:rsidR="001A59F9" w:rsidRPr="00BE4367">
        <w:rPr>
          <w:color w:val="000000"/>
          <w:sz w:val="24"/>
        </w:rPr>
        <w:t>1.066</w:t>
      </w:r>
      <w:r w:rsidR="001A59F9" w:rsidRPr="00BE4367">
        <w:rPr>
          <w:color w:val="000000"/>
          <w:sz w:val="24"/>
        </w:rPr>
        <w:t>元，基金份额总额</w:t>
      </w:r>
      <w:r w:rsidR="001A59F9" w:rsidRPr="00BE4367">
        <w:rPr>
          <w:color w:val="000000"/>
          <w:sz w:val="24"/>
        </w:rPr>
        <w:t>135,594,467.04</w:t>
      </w:r>
      <w:r w:rsidR="001A59F9" w:rsidRPr="00BE4367">
        <w:rPr>
          <w:color w:val="000000"/>
          <w:sz w:val="24"/>
        </w:rPr>
        <w:t>份。</w:t>
      </w:r>
    </w:p>
    <w:p w:rsidR="00AA0214" w:rsidRPr="00BE4367" w:rsidRDefault="00AA0214" w:rsidP="00BE4367">
      <w:pPr>
        <w:spacing w:before="29" w:line="288" w:lineRule="auto"/>
        <w:ind w:firstLineChars="200" w:firstLine="480"/>
        <w:rPr>
          <w:color w:val="000000"/>
          <w:sz w:val="24"/>
        </w:rPr>
      </w:pPr>
      <w:r w:rsidRPr="00BE4367">
        <w:rPr>
          <w:rFonts w:hint="eastAsia"/>
          <w:color w:val="000000"/>
          <w:sz w:val="24"/>
        </w:rPr>
        <w:t>2</w:t>
      </w:r>
      <w:r w:rsidRPr="00BE4367">
        <w:rPr>
          <w:rFonts w:hint="eastAsia"/>
          <w:color w:val="000000"/>
          <w:sz w:val="24"/>
        </w:rPr>
        <w:t>、本摘要中资产负债表和利润表所列附注号为年度报告正文中对应的附注号，投资者欲了解相应附注的内容，应阅读登载于基金管理人网站的年度报告正文。</w:t>
      </w:r>
    </w:p>
    <w:p w:rsidR="001A59F9" w:rsidRPr="00CB24BA" w:rsidRDefault="001A59F9" w:rsidP="00026C9C">
      <w:pPr>
        <w:spacing w:line="360" w:lineRule="auto"/>
        <w:rPr>
          <w:rFonts w:asciiTheme="minorEastAsia" w:eastAsiaTheme="minorEastAsia" w:hAnsiTheme="minorEastAsia"/>
          <w:color w:val="000000"/>
          <w:kern w:val="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4" w:name="_Toc225498269"/>
      <w:bookmarkStart w:id="55" w:name="_Toc361324874"/>
      <w:r w:rsidRPr="00701155">
        <w:rPr>
          <w:rFonts w:ascii="Times New Roman" w:hAnsi="Times New Roman"/>
          <w:kern w:val="0"/>
          <w:szCs w:val="24"/>
        </w:rPr>
        <w:t xml:space="preserve">7.2 </w:t>
      </w:r>
      <w:r w:rsidRPr="00701155">
        <w:rPr>
          <w:rFonts w:ascii="Times New Roman" w:hAnsi="Times New Roman" w:hint="eastAsia"/>
          <w:kern w:val="0"/>
          <w:szCs w:val="24"/>
        </w:rPr>
        <w:t>利润表</w:t>
      </w:r>
      <w:bookmarkEnd w:id="54"/>
      <w:bookmarkEnd w:id="55"/>
    </w:p>
    <w:p w:rsidR="001A59F9" w:rsidRPr="00DA21E1" w:rsidRDefault="001A59F9" w:rsidP="00DA21E1">
      <w:pPr>
        <w:spacing w:before="29" w:line="288" w:lineRule="auto"/>
        <w:rPr>
          <w:color w:val="000000"/>
          <w:sz w:val="24"/>
        </w:rPr>
      </w:pPr>
      <w:r w:rsidRPr="00DA21E1">
        <w:rPr>
          <w:rFonts w:hint="eastAsia"/>
          <w:color w:val="000000"/>
          <w:sz w:val="24"/>
        </w:rPr>
        <w:t>会计主体：</w:t>
      </w:r>
      <w:r w:rsidRPr="00DA21E1">
        <w:rPr>
          <w:color w:val="000000"/>
          <w:sz w:val="24"/>
        </w:rPr>
        <w:t>交银施罗德成长</w:t>
      </w:r>
      <w:r w:rsidRPr="00DA21E1">
        <w:rPr>
          <w:color w:val="000000"/>
          <w:sz w:val="24"/>
        </w:rPr>
        <w:t>30</w:t>
      </w:r>
      <w:r w:rsidRPr="00DA21E1">
        <w:rPr>
          <w:color w:val="000000"/>
          <w:sz w:val="24"/>
        </w:rPr>
        <w:t>混合型证券投资基金</w:t>
      </w:r>
    </w:p>
    <w:p w:rsidR="001A59F9" w:rsidRPr="00DA21E1" w:rsidRDefault="001A59F9" w:rsidP="00DA21E1">
      <w:pPr>
        <w:spacing w:before="29" w:line="288" w:lineRule="auto"/>
        <w:rPr>
          <w:color w:val="000000"/>
          <w:sz w:val="24"/>
        </w:rPr>
      </w:pPr>
      <w:r w:rsidRPr="00DA21E1">
        <w:rPr>
          <w:rFonts w:hint="eastAsia"/>
          <w:color w:val="000000"/>
          <w:sz w:val="24"/>
        </w:rPr>
        <w:t>本报告期：</w:t>
      </w:r>
      <w:r w:rsidR="00F64FAD" w:rsidRPr="00DA21E1">
        <w:rPr>
          <w:color w:val="000000"/>
          <w:sz w:val="24"/>
        </w:rPr>
        <w:t>2016</w:t>
      </w:r>
      <w:r w:rsidR="00F64FAD" w:rsidRPr="00DA21E1">
        <w:rPr>
          <w:color w:val="000000"/>
          <w:sz w:val="24"/>
        </w:rPr>
        <w:t>年</w:t>
      </w:r>
      <w:r w:rsidR="00F64FAD" w:rsidRPr="00DA21E1">
        <w:rPr>
          <w:color w:val="000000"/>
          <w:sz w:val="24"/>
        </w:rPr>
        <w:t>1</w:t>
      </w:r>
      <w:r w:rsidR="00F64FAD" w:rsidRPr="00DA21E1">
        <w:rPr>
          <w:color w:val="000000"/>
          <w:sz w:val="24"/>
        </w:rPr>
        <w:t>月</w:t>
      </w:r>
      <w:r w:rsidR="00F64FAD" w:rsidRPr="00DA21E1">
        <w:rPr>
          <w:color w:val="000000"/>
          <w:sz w:val="24"/>
        </w:rPr>
        <w:t>1</w:t>
      </w:r>
      <w:r w:rsidR="00F64FAD" w:rsidRPr="00DA21E1">
        <w:rPr>
          <w:color w:val="000000"/>
          <w:sz w:val="24"/>
        </w:rPr>
        <w:t>日</w:t>
      </w:r>
      <w:r w:rsidRPr="00DA21E1">
        <w:rPr>
          <w:rFonts w:hint="eastAsia"/>
          <w:color w:val="000000"/>
          <w:sz w:val="24"/>
        </w:rPr>
        <w:t>至</w:t>
      </w:r>
      <w:r w:rsidR="00F64FAD" w:rsidRPr="00DA21E1">
        <w:rPr>
          <w:color w:val="000000"/>
          <w:sz w:val="24"/>
        </w:rPr>
        <w:t>2016</w:t>
      </w:r>
      <w:r w:rsidR="00F64FAD" w:rsidRPr="00DA21E1">
        <w:rPr>
          <w:color w:val="000000"/>
          <w:sz w:val="24"/>
        </w:rPr>
        <w:t>年</w:t>
      </w:r>
      <w:r w:rsidR="00F64FAD" w:rsidRPr="00DA21E1">
        <w:rPr>
          <w:color w:val="000000"/>
          <w:sz w:val="24"/>
        </w:rPr>
        <w:t>12</w:t>
      </w:r>
      <w:r w:rsidR="00F64FAD" w:rsidRPr="00DA21E1">
        <w:rPr>
          <w:color w:val="000000"/>
          <w:sz w:val="24"/>
        </w:rPr>
        <w:t>月</w:t>
      </w:r>
      <w:r w:rsidR="00F64FAD" w:rsidRPr="00DA21E1">
        <w:rPr>
          <w:color w:val="000000"/>
          <w:sz w:val="24"/>
        </w:rPr>
        <w:t>31</w:t>
      </w:r>
      <w:r w:rsidR="00F64FAD" w:rsidRPr="00DA21E1">
        <w:rPr>
          <w:color w:val="000000"/>
          <w:sz w:val="24"/>
        </w:rPr>
        <w:t>日</w:t>
      </w:r>
    </w:p>
    <w:p w:rsidR="001A59F9" w:rsidRPr="00DA21E1" w:rsidRDefault="001A59F9" w:rsidP="00DA21E1">
      <w:pPr>
        <w:autoSpaceDE w:val="0"/>
        <w:autoSpaceDN w:val="0"/>
        <w:adjustRightInd w:val="0"/>
        <w:spacing w:before="29" w:line="288" w:lineRule="auto"/>
        <w:ind w:left="15"/>
        <w:jc w:val="right"/>
        <w:rPr>
          <w:color w:val="000000"/>
          <w:kern w:val="0"/>
          <w:sz w:val="24"/>
        </w:rPr>
      </w:pPr>
      <w:r w:rsidRPr="00DA21E1">
        <w:rPr>
          <w:rFonts w:hint="eastAsia"/>
          <w:color w:val="000000"/>
          <w:kern w:val="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993"/>
        <w:gridCol w:w="2409"/>
        <w:gridCol w:w="2194"/>
      </w:tblGrid>
      <w:tr w:rsidR="00E8167C" w:rsidRPr="00C51C77" w:rsidTr="007468E6">
        <w:tc>
          <w:tcPr>
            <w:tcW w:w="3402" w:type="dxa"/>
            <w:vAlign w:val="center"/>
          </w:tcPr>
          <w:p w:rsidR="00E8167C" w:rsidRPr="00DA21E1" w:rsidRDefault="00E8167C" w:rsidP="00DA21E1">
            <w:pPr>
              <w:pStyle w:val="af6"/>
              <w:spacing w:before="29" w:beforeAutospacing="0" w:line="288" w:lineRule="auto"/>
              <w:jc w:val="center"/>
              <w:rPr>
                <w:rFonts w:ascii="Times New Roman" w:hAnsi="Times New Roman"/>
                <w:b/>
                <w:color w:val="000000"/>
              </w:rPr>
            </w:pPr>
            <w:r w:rsidRPr="00DA21E1">
              <w:rPr>
                <w:rFonts w:ascii="Times New Roman" w:hAnsi="Times New Roman" w:hint="eastAsia"/>
                <w:b/>
                <w:color w:val="000000"/>
              </w:rPr>
              <w:t>项目</w:t>
            </w:r>
          </w:p>
        </w:tc>
        <w:tc>
          <w:tcPr>
            <w:tcW w:w="993" w:type="dxa"/>
            <w:vAlign w:val="center"/>
          </w:tcPr>
          <w:p w:rsidR="00E8167C" w:rsidRPr="00DA21E1" w:rsidRDefault="00E8167C" w:rsidP="00DA21E1">
            <w:pPr>
              <w:pStyle w:val="af6"/>
              <w:spacing w:before="29" w:beforeAutospacing="0" w:line="288" w:lineRule="auto"/>
              <w:jc w:val="center"/>
              <w:rPr>
                <w:rFonts w:ascii="Times New Roman" w:hAnsi="Times New Roman"/>
                <w:b/>
                <w:color w:val="000000"/>
              </w:rPr>
            </w:pPr>
            <w:r w:rsidRPr="0060695C">
              <w:rPr>
                <w:rFonts w:ascii="Times New Roman" w:hAnsi="Times New Roman"/>
                <w:b/>
                <w:color w:val="000000"/>
              </w:rPr>
              <w:t>附注号</w:t>
            </w:r>
          </w:p>
        </w:tc>
        <w:tc>
          <w:tcPr>
            <w:tcW w:w="2409" w:type="dxa"/>
            <w:vAlign w:val="center"/>
          </w:tcPr>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hint="eastAsia"/>
                <w:b/>
                <w:color w:val="000000"/>
              </w:rPr>
              <w:t>本期</w:t>
            </w:r>
          </w:p>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b/>
                <w:color w:val="000000"/>
              </w:rPr>
              <w:t>2016</w:t>
            </w:r>
            <w:r w:rsidRPr="00DA21E1">
              <w:rPr>
                <w:rFonts w:ascii="Times New Roman" w:hAnsi="Times New Roman"/>
                <w:b/>
                <w:color w:val="000000"/>
              </w:rPr>
              <w:t>年</w:t>
            </w:r>
            <w:r w:rsidRPr="00DA21E1">
              <w:rPr>
                <w:rFonts w:ascii="Times New Roman" w:hAnsi="Times New Roman"/>
                <w:b/>
                <w:color w:val="000000"/>
              </w:rPr>
              <w:t>1</w:t>
            </w:r>
            <w:r w:rsidRPr="00DA21E1">
              <w:rPr>
                <w:rFonts w:ascii="Times New Roman" w:hAnsi="Times New Roman"/>
                <w:b/>
                <w:color w:val="000000"/>
              </w:rPr>
              <w:t>月</w:t>
            </w:r>
            <w:r w:rsidRPr="00DA21E1">
              <w:rPr>
                <w:rFonts w:ascii="Times New Roman" w:hAnsi="Times New Roman"/>
                <w:b/>
                <w:color w:val="000000"/>
              </w:rPr>
              <w:t>1</w:t>
            </w:r>
            <w:r w:rsidRPr="00DA21E1">
              <w:rPr>
                <w:rFonts w:ascii="Times New Roman" w:hAnsi="Times New Roman"/>
                <w:b/>
                <w:color w:val="000000"/>
              </w:rPr>
              <w:t>日</w:t>
            </w:r>
            <w:r w:rsidRPr="00DA21E1">
              <w:rPr>
                <w:rFonts w:ascii="Times New Roman" w:hAnsi="Times New Roman" w:hint="eastAsia"/>
                <w:b/>
                <w:color w:val="000000"/>
              </w:rPr>
              <w:t>至</w:t>
            </w:r>
            <w:r w:rsidRPr="00DA21E1">
              <w:rPr>
                <w:rFonts w:ascii="Times New Roman" w:hAnsi="Times New Roman"/>
                <w:b/>
                <w:color w:val="000000"/>
              </w:rPr>
              <w:t>2016</w:t>
            </w:r>
            <w:r w:rsidRPr="00DA21E1">
              <w:rPr>
                <w:rFonts w:ascii="Times New Roman" w:hAnsi="Times New Roman"/>
                <w:b/>
                <w:color w:val="000000"/>
              </w:rPr>
              <w:t>年</w:t>
            </w:r>
            <w:r w:rsidRPr="00DA21E1">
              <w:rPr>
                <w:rFonts w:ascii="Times New Roman" w:hAnsi="Times New Roman"/>
                <w:b/>
                <w:color w:val="000000"/>
              </w:rPr>
              <w:t>12</w:t>
            </w:r>
            <w:r w:rsidRPr="00DA21E1">
              <w:rPr>
                <w:rFonts w:ascii="Times New Roman" w:hAnsi="Times New Roman"/>
                <w:b/>
                <w:color w:val="000000"/>
              </w:rPr>
              <w:t>月</w:t>
            </w:r>
            <w:r w:rsidRPr="00DA21E1">
              <w:rPr>
                <w:rFonts w:ascii="Times New Roman" w:hAnsi="Times New Roman"/>
                <w:b/>
                <w:color w:val="000000"/>
              </w:rPr>
              <w:t>31</w:t>
            </w:r>
            <w:r w:rsidRPr="00DA21E1">
              <w:rPr>
                <w:rFonts w:ascii="Times New Roman" w:hAnsi="Times New Roman"/>
                <w:b/>
                <w:color w:val="000000"/>
              </w:rPr>
              <w:t>日</w:t>
            </w:r>
          </w:p>
        </w:tc>
        <w:tc>
          <w:tcPr>
            <w:tcW w:w="2194" w:type="dxa"/>
            <w:vAlign w:val="center"/>
          </w:tcPr>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hint="eastAsia"/>
                <w:b/>
                <w:color w:val="000000"/>
              </w:rPr>
              <w:t>上年度可比期间</w:t>
            </w:r>
          </w:p>
          <w:p w:rsidR="00E8167C" w:rsidRPr="00DA21E1" w:rsidRDefault="00E8167C" w:rsidP="00DA21E1">
            <w:pPr>
              <w:pStyle w:val="af6"/>
              <w:spacing w:before="29" w:beforeAutospacing="0" w:after="0" w:afterAutospacing="0" w:line="288" w:lineRule="auto"/>
              <w:jc w:val="center"/>
              <w:rPr>
                <w:rFonts w:ascii="Times New Roman" w:hAnsi="Times New Roman"/>
                <w:b/>
                <w:color w:val="000000"/>
              </w:rPr>
            </w:pPr>
            <w:r w:rsidRPr="00DA21E1">
              <w:rPr>
                <w:rFonts w:ascii="Times New Roman" w:hAnsi="Times New Roman"/>
                <w:b/>
                <w:color w:val="000000"/>
              </w:rPr>
              <w:t>2015</w:t>
            </w:r>
            <w:r w:rsidRPr="00DA21E1">
              <w:rPr>
                <w:rFonts w:ascii="Times New Roman" w:hAnsi="Times New Roman"/>
                <w:b/>
                <w:color w:val="000000"/>
              </w:rPr>
              <w:t>年</w:t>
            </w:r>
            <w:r w:rsidRPr="00DA21E1">
              <w:rPr>
                <w:rFonts w:ascii="Times New Roman" w:hAnsi="Times New Roman"/>
                <w:b/>
                <w:color w:val="000000"/>
              </w:rPr>
              <w:t>1</w:t>
            </w:r>
            <w:r w:rsidRPr="00DA21E1">
              <w:rPr>
                <w:rFonts w:ascii="Times New Roman" w:hAnsi="Times New Roman"/>
                <w:b/>
                <w:color w:val="000000"/>
              </w:rPr>
              <w:t>月</w:t>
            </w:r>
            <w:r w:rsidRPr="00DA21E1">
              <w:rPr>
                <w:rFonts w:ascii="Times New Roman" w:hAnsi="Times New Roman"/>
                <w:b/>
                <w:color w:val="000000"/>
              </w:rPr>
              <w:t>1</w:t>
            </w:r>
            <w:r w:rsidRPr="00DA21E1">
              <w:rPr>
                <w:rFonts w:ascii="Times New Roman" w:hAnsi="Times New Roman"/>
                <w:b/>
                <w:color w:val="000000"/>
              </w:rPr>
              <w:t>日至</w:t>
            </w:r>
            <w:r w:rsidRPr="00DA21E1">
              <w:rPr>
                <w:rFonts w:ascii="Times New Roman" w:hAnsi="Times New Roman"/>
                <w:b/>
                <w:color w:val="000000"/>
              </w:rPr>
              <w:t>2015</w:t>
            </w:r>
            <w:r w:rsidRPr="00DA21E1">
              <w:rPr>
                <w:rFonts w:ascii="Times New Roman" w:hAnsi="Times New Roman"/>
                <w:b/>
                <w:color w:val="000000"/>
              </w:rPr>
              <w:t>年</w:t>
            </w:r>
            <w:r w:rsidRPr="00DA21E1">
              <w:rPr>
                <w:rFonts w:ascii="Times New Roman" w:hAnsi="Times New Roman"/>
                <w:b/>
                <w:color w:val="000000"/>
              </w:rPr>
              <w:t>12</w:t>
            </w:r>
            <w:r w:rsidRPr="00DA21E1">
              <w:rPr>
                <w:rFonts w:ascii="Times New Roman" w:hAnsi="Times New Roman"/>
                <w:b/>
                <w:color w:val="000000"/>
              </w:rPr>
              <w:t>月</w:t>
            </w:r>
            <w:r w:rsidRPr="00DA21E1">
              <w:rPr>
                <w:rFonts w:ascii="Times New Roman" w:hAnsi="Times New Roman"/>
                <w:b/>
                <w:color w:val="000000"/>
              </w:rPr>
              <w:t>31</w:t>
            </w:r>
            <w:r w:rsidRPr="00DA21E1">
              <w:rPr>
                <w:rFonts w:ascii="Times New Roman" w:hAnsi="Times New Roman"/>
                <w:b/>
                <w:color w:val="000000"/>
              </w:rPr>
              <w:t>日</w:t>
            </w:r>
          </w:p>
        </w:tc>
      </w:tr>
      <w:tr w:rsidR="00E8167C" w:rsidRPr="00C51C77" w:rsidTr="007468E6">
        <w:tc>
          <w:tcPr>
            <w:tcW w:w="3402" w:type="dxa"/>
            <w:vAlign w:val="center"/>
          </w:tcPr>
          <w:p w:rsidR="00E8167C" w:rsidRPr="00ED53EF" w:rsidRDefault="00E8167C" w:rsidP="003F4597">
            <w:pPr>
              <w:spacing w:before="29" w:line="288" w:lineRule="auto"/>
              <w:rPr>
                <w:b/>
                <w:color w:val="000000"/>
                <w:sz w:val="24"/>
              </w:rPr>
            </w:pPr>
            <w:r w:rsidRPr="00ED53EF">
              <w:rPr>
                <w:rFonts w:hint="eastAsia"/>
                <w:b/>
                <w:color w:val="000000"/>
                <w:sz w:val="24"/>
              </w:rPr>
              <w:t>一、收入</w:t>
            </w:r>
          </w:p>
        </w:tc>
        <w:tc>
          <w:tcPr>
            <w:tcW w:w="993" w:type="dxa"/>
            <w:vAlign w:val="center"/>
          </w:tcPr>
          <w:p w:rsidR="00E8167C" w:rsidRPr="00072FC7" w:rsidRDefault="00E8167C" w:rsidP="00072FC7">
            <w:pPr>
              <w:widowControl/>
              <w:autoSpaceDE w:val="0"/>
              <w:autoSpaceDN w:val="0"/>
              <w:ind w:right="-15"/>
              <w:jc w:val="center"/>
              <w:textAlignment w:val="bottom"/>
              <w:rPr>
                <w:color w:val="000000"/>
                <w:sz w:val="24"/>
              </w:rPr>
            </w:pPr>
          </w:p>
        </w:tc>
        <w:tc>
          <w:tcPr>
            <w:tcW w:w="2409" w:type="dxa"/>
            <w:vAlign w:val="center"/>
          </w:tcPr>
          <w:p w:rsidR="00E8167C" w:rsidRPr="00ED53EF" w:rsidRDefault="00E8167C" w:rsidP="001C5FC7">
            <w:pPr>
              <w:spacing w:before="29" w:line="288" w:lineRule="auto"/>
              <w:jc w:val="right"/>
              <w:rPr>
                <w:b/>
                <w:color w:val="000000"/>
                <w:sz w:val="24"/>
              </w:rPr>
            </w:pPr>
            <w:r w:rsidRPr="00ED53EF">
              <w:rPr>
                <w:b/>
                <w:color w:val="000000"/>
                <w:sz w:val="24"/>
              </w:rPr>
              <w:t>-15,128,059.10</w:t>
            </w:r>
          </w:p>
        </w:tc>
        <w:tc>
          <w:tcPr>
            <w:tcW w:w="2194" w:type="dxa"/>
            <w:vAlign w:val="center"/>
          </w:tcPr>
          <w:p w:rsidR="00E8167C" w:rsidRPr="00ED53EF" w:rsidRDefault="00E8167C" w:rsidP="001C5FC7">
            <w:pPr>
              <w:spacing w:before="29" w:line="288" w:lineRule="auto"/>
              <w:jc w:val="right"/>
              <w:rPr>
                <w:b/>
                <w:color w:val="000000"/>
                <w:sz w:val="24"/>
              </w:rPr>
            </w:pPr>
            <w:r w:rsidRPr="00ED53EF">
              <w:rPr>
                <w:b/>
                <w:color w:val="000000"/>
                <w:sz w:val="24"/>
              </w:rPr>
              <w:t>70,093,076.07</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color w:val="000000"/>
                <w:sz w:val="24"/>
              </w:rPr>
              <w:t>1.</w:t>
            </w:r>
            <w:r w:rsidRPr="003F4597">
              <w:rPr>
                <w:rFonts w:hint="eastAsia"/>
                <w:color w:val="000000"/>
                <w:sz w:val="24"/>
              </w:rPr>
              <w:t>利息收入</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205,419.40</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171,843.28</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rFonts w:hint="eastAsia"/>
                <w:color w:val="000000"/>
                <w:sz w:val="24"/>
              </w:rPr>
              <w:t>其中：存款利息收入</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r>
              <w:t>7.4.7.11</w:t>
            </w: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205,419.40</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171,843.28</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债券利息收入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资产支持证券利息收入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买入返售金融资产收入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1F4A92" w:rsidRPr="00C51C77" w:rsidTr="007468E6">
        <w:tc>
          <w:tcPr>
            <w:tcW w:w="3402" w:type="dxa"/>
            <w:vAlign w:val="center"/>
          </w:tcPr>
          <w:p w:rsidR="001F4A92" w:rsidRPr="00FA6C3E" w:rsidRDefault="001F4A92" w:rsidP="00FA6C3E">
            <w:pPr>
              <w:spacing w:before="29" w:line="288" w:lineRule="auto"/>
              <w:ind w:firstLineChars="300" w:firstLine="720"/>
              <w:rPr>
                <w:color w:val="000000"/>
                <w:sz w:val="24"/>
              </w:rPr>
            </w:pPr>
            <w:r w:rsidRPr="00FA6C3E">
              <w:rPr>
                <w:rFonts w:hint="eastAsia"/>
                <w:color w:val="000000"/>
                <w:sz w:val="24"/>
              </w:rPr>
              <w:t>其他利息收入</w:t>
            </w:r>
          </w:p>
        </w:tc>
        <w:tc>
          <w:tcPr>
            <w:tcW w:w="993" w:type="dxa"/>
            <w:vAlign w:val="center"/>
          </w:tcPr>
          <w:p w:rsidR="001F4A92" w:rsidRPr="00072FC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color w:val="000000"/>
                <w:sz w:val="24"/>
              </w:rPr>
              <w:t>2.</w:t>
            </w:r>
            <w:r w:rsidRPr="003F4597">
              <w:rPr>
                <w:rFonts w:hint="eastAsia"/>
                <w:color w:val="000000"/>
                <w:sz w:val="24"/>
              </w:rPr>
              <w:t>投资收益（损失以</w:t>
            </w:r>
            <w:r w:rsidR="00ED53EF" w:rsidRPr="0060695C">
              <w:rPr>
                <w:color w:val="000000"/>
                <w:sz w:val="24"/>
              </w:rPr>
              <w:t>“-”</w:t>
            </w:r>
            <w:r w:rsidRPr="003F4597">
              <w:rPr>
                <w:rFonts w:hint="eastAsia"/>
                <w:color w:val="000000"/>
                <w:sz w:val="24"/>
              </w:rPr>
              <w:t>填列）</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-3,102,974.88</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76,442,786.09</w:t>
            </w:r>
          </w:p>
        </w:tc>
      </w:tr>
      <w:tr w:rsidR="001F4A92" w:rsidRPr="00C51C77" w:rsidTr="007468E6">
        <w:tc>
          <w:tcPr>
            <w:tcW w:w="3402" w:type="dxa"/>
            <w:vAlign w:val="center"/>
          </w:tcPr>
          <w:p w:rsidR="001F4A92" w:rsidRPr="003F4597" w:rsidRDefault="001F4A92" w:rsidP="003F4597">
            <w:pPr>
              <w:spacing w:before="29" w:line="288" w:lineRule="auto"/>
              <w:rPr>
                <w:color w:val="000000"/>
                <w:sz w:val="24"/>
              </w:rPr>
            </w:pPr>
            <w:r w:rsidRPr="003F4597">
              <w:rPr>
                <w:rFonts w:hint="eastAsia"/>
                <w:color w:val="000000"/>
                <w:sz w:val="24"/>
              </w:rPr>
              <w:t>其中：股票投资收益</w:t>
            </w:r>
          </w:p>
        </w:tc>
        <w:tc>
          <w:tcPr>
            <w:tcW w:w="993" w:type="dxa"/>
            <w:vAlign w:val="center"/>
          </w:tcPr>
          <w:p w:rsidR="001F4A92" w:rsidRPr="003F4597" w:rsidRDefault="001F4A92" w:rsidP="00072FC7">
            <w:pPr>
              <w:widowControl/>
              <w:autoSpaceDE w:val="0"/>
              <w:autoSpaceDN w:val="0"/>
              <w:ind w:right="-15"/>
              <w:jc w:val="center"/>
              <w:textAlignment w:val="bottom"/>
              <w:rPr>
                <w:color w:val="000000"/>
                <w:sz w:val="24"/>
              </w:rPr>
            </w:pPr>
            <w:r>
              <w:t>7.4.7.12</w:t>
            </w: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-3,390,665.46</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75,766,749.53</w:t>
            </w:r>
          </w:p>
        </w:tc>
      </w:tr>
      <w:tr w:rsidR="001F4A92" w:rsidRPr="00C51C77" w:rsidTr="007468E6">
        <w:tc>
          <w:tcPr>
            <w:tcW w:w="3402" w:type="dxa"/>
            <w:vAlign w:val="center"/>
          </w:tcPr>
          <w:p w:rsidR="001F4A92" w:rsidRPr="001F4A92" w:rsidRDefault="001F4A92" w:rsidP="001F4A92">
            <w:pPr>
              <w:spacing w:before="29" w:line="288" w:lineRule="auto"/>
              <w:ind w:firstLineChars="300" w:firstLine="720"/>
              <w:rPr>
                <w:color w:val="000000"/>
                <w:sz w:val="24"/>
              </w:rPr>
            </w:pPr>
            <w:r w:rsidRPr="001F4A92">
              <w:rPr>
                <w:rFonts w:hint="eastAsia"/>
                <w:color w:val="000000"/>
                <w:sz w:val="24"/>
              </w:rPr>
              <w:t>基金投资收益</w:t>
            </w:r>
          </w:p>
        </w:tc>
        <w:tc>
          <w:tcPr>
            <w:tcW w:w="993" w:type="dxa"/>
            <w:vAlign w:val="center"/>
          </w:tcPr>
          <w:p w:rsidR="001F4A92" w:rsidRPr="001F4A92" w:rsidRDefault="001F4A92" w:rsidP="00072FC7">
            <w:pPr>
              <w:widowControl/>
              <w:autoSpaceDE w:val="0"/>
              <w:autoSpaceDN w:val="0"/>
              <w:ind w:right="-15"/>
              <w:jc w:val="center"/>
              <w:textAlignment w:val="bottom"/>
              <w:rPr>
                <w:color w:val="000000"/>
                <w:sz w:val="24"/>
              </w:rPr>
            </w:pPr>
          </w:p>
        </w:tc>
        <w:tc>
          <w:tcPr>
            <w:tcW w:w="2409"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c>
          <w:tcPr>
            <w:tcW w:w="2194" w:type="dxa"/>
            <w:vAlign w:val="center"/>
          </w:tcPr>
          <w:p w:rsidR="001F4A92" w:rsidRPr="001C5FC7" w:rsidRDefault="001F4A92"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债券投资收益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7.4.7.13</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资产支持证券投资收益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7.4.7.14</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贵金属投资收益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rFonts w:hint="eastAsia"/>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rFonts w:hint="eastAsia"/>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衍生工具收益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7.4.7.15</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1F4A92" w:rsidRDefault="00707FDA" w:rsidP="001F4A92">
            <w:pPr>
              <w:spacing w:before="29" w:line="288" w:lineRule="auto"/>
              <w:ind w:firstLineChars="300" w:firstLine="720"/>
              <w:rPr>
                <w:color w:val="000000"/>
                <w:sz w:val="24"/>
              </w:rPr>
            </w:pPr>
            <w:r w:rsidRPr="001F4A92">
              <w:rPr>
                <w:rFonts w:hint="eastAsia"/>
                <w:color w:val="000000"/>
                <w:sz w:val="24"/>
              </w:rPr>
              <w:t>股利收益</w:t>
            </w:r>
          </w:p>
        </w:tc>
        <w:tc>
          <w:tcPr>
            <w:tcW w:w="993" w:type="dxa"/>
            <w:vAlign w:val="center"/>
          </w:tcPr>
          <w:p w:rsidR="00707FDA" w:rsidRPr="001F4A92" w:rsidRDefault="00707FDA" w:rsidP="00072FC7">
            <w:pPr>
              <w:widowControl/>
              <w:autoSpaceDE w:val="0"/>
              <w:autoSpaceDN w:val="0"/>
              <w:ind w:right="-15"/>
              <w:jc w:val="center"/>
              <w:textAlignment w:val="bottom"/>
              <w:rPr>
                <w:color w:val="000000"/>
                <w:sz w:val="24"/>
              </w:rPr>
            </w:pPr>
            <w:r>
              <w:t>7.4.7.16</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287,690.58</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676,036.56</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3.</w:t>
            </w:r>
            <w:r w:rsidRPr="003F4597">
              <w:rPr>
                <w:rFonts w:hint="eastAsia"/>
                <w:color w:val="000000"/>
                <w:sz w:val="24"/>
              </w:rPr>
              <w:t>公允价值变动收益（损失以</w:t>
            </w:r>
            <w:r w:rsidR="00ED53EF" w:rsidRPr="0060695C">
              <w:rPr>
                <w:color w:val="000000"/>
                <w:sz w:val="24"/>
              </w:rPr>
              <w:lastRenderedPageBreak/>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lastRenderedPageBreak/>
              <w:t>7.4.7.17</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-12,300,994.90</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-6,721,300.92</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lastRenderedPageBreak/>
              <w:t>4.</w:t>
            </w:r>
            <w:r w:rsidRPr="003F4597">
              <w:rPr>
                <w:rFonts w:hint="eastAsia"/>
                <w:color w:val="000000"/>
                <w:sz w:val="24"/>
              </w:rPr>
              <w:t>汇兑收益（损失以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5.</w:t>
            </w:r>
            <w:r w:rsidRPr="003F4597">
              <w:rPr>
                <w:rFonts w:hint="eastAsia"/>
                <w:color w:val="000000"/>
                <w:sz w:val="24"/>
              </w:rPr>
              <w:t>其他收入（损失以</w:t>
            </w:r>
            <w:r w:rsidR="00ED53EF" w:rsidRPr="0060695C">
              <w:rPr>
                <w:color w:val="000000"/>
                <w:sz w:val="24"/>
              </w:rPr>
              <w:t>“-”</w:t>
            </w:r>
            <w:r w:rsidRPr="003F4597">
              <w:rPr>
                <w:rFonts w:hint="eastAsia"/>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7.4.7.18</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70,491.28</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199,747.62</w:t>
            </w:r>
          </w:p>
        </w:tc>
      </w:tr>
      <w:tr w:rsidR="00707FDA" w:rsidRPr="00C51C77" w:rsidTr="007468E6">
        <w:tc>
          <w:tcPr>
            <w:tcW w:w="3402" w:type="dxa"/>
            <w:vAlign w:val="center"/>
          </w:tcPr>
          <w:p w:rsidR="00707FDA" w:rsidRPr="009A4B06" w:rsidRDefault="00707FDA" w:rsidP="003F4597">
            <w:pPr>
              <w:spacing w:before="29" w:line="288" w:lineRule="auto"/>
              <w:rPr>
                <w:b/>
                <w:color w:val="000000"/>
                <w:sz w:val="24"/>
              </w:rPr>
            </w:pPr>
            <w:r w:rsidRPr="009A4B06">
              <w:rPr>
                <w:rFonts w:hint="eastAsia"/>
                <w:b/>
                <w:color w:val="000000"/>
                <w:sz w:val="24"/>
              </w:rPr>
              <w:t>减：二、费用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061E30" w:rsidRDefault="00707FDA" w:rsidP="001C5FC7">
            <w:pPr>
              <w:spacing w:before="29" w:line="288" w:lineRule="auto"/>
              <w:jc w:val="right"/>
              <w:rPr>
                <w:b/>
                <w:color w:val="000000"/>
                <w:sz w:val="24"/>
              </w:rPr>
            </w:pPr>
            <w:r w:rsidRPr="00061E30">
              <w:rPr>
                <w:b/>
                <w:color w:val="000000"/>
                <w:sz w:val="24"/>
              </w:rPr>
              <w:t>2,369,272.10</w:t>
            </w:r>
          </w:p>
        </w:tc>
        <w:tc>
          <w:tcPr>
            <w:tcW w:w="2194" w:type="dxa"/>
            <w:vAlign w:val="center"/>
          </w:tcPr>
          <w:p w:rsidR="00707FDA" w:rsidRPr="00061E30" w:rsidRDefault="00707FDA" w:rsidP="001C5FC7">
            <w:pPr>
              <w:spacing w:before="29" w:line="288" w:lineRule="auto"/>
              <w:jc w:val="right"/>
              <w:rPr>
                <w:b/>
                <w:color w:val="000000"/>
                <w:sz w:val="24"/>
              </w:rPr>
            </w:pPr>
            <w:r w:rsidRPr="00061E30">
              <w:rPr>
                <w:b/>
                <w:color w:val="000000"/>
                <w:sz w:val="24"/>
              </w:rPr>
              <w:t>3,557,557.49</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1</w:t>
            </w:r>
            <w:r w:rsidRPr="003F4597">
              <w:rPr>
                <w:rFonts w:hint="eastAsia"/>
                <w:color w:val="000000"/>
                <w:sz w:val="24"/>
              </w:rPr>
              <w:t>．管理人报酬</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1,615,909.25</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2,217,476.97</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2</w:t>
            </w:r>
            <w:r w:rsidRPr="003F4597">
              <w:rPr>
                <w:rFonts w:hint="eastAsia"/>
                <w:color w:val="000000"/>
                <w:sz w:val="24"/>
              </w:rPr>
              <w:t>．托管费</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269,318.11</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369,579.51</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3</w:t>
            </w:r>
            <w:r w:rsidRPr="003F4597">
              <w:rPr>
                <w:rFonts w:hint="eastAsia"/>
                <w:color w:val="000000"/>
                <w:sz w:val="24"/>
              </w:rPr>
              <w:t>．销售服务费</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4</w:t>
            </w:r>
            <w:r w:rsidRPr="003F4597">
              <w:rPr>
                <w:rFonts w:hint="eastAsia"/>
                <w:color w:val="000000"/>
                <w:sz w:val="24"/>
              </w:rPr>
              <w:t>．交易费用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7.4.7.19</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353,180.50</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719,050.86</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5</w:t>
            </w:r>
            <w:r w:rsidRPr="003F4597">
              <w:rPr>
                <w:rFonts w:hint="eastAsia"/>
                <w:color w:val="000000"/>
                <w:sz w:val="24"/>
              </w:rPr>
              <w:t>．利息支出</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rFonts w:hint="eastAsia"/>
                <w:color w:val="000000"/>
                <w:sz w:val="24"/>
              </w:rPr>
              <w:t>其中：卖出回购金融资产支出</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color w:val="000000"/>
                <w:sz w:val="24"/>
              </w:rPr>
              <w:t>6</w:t>
            </w:r>
            <w:r w:rsidRPr="003F4597">
              <w:rPr>
                <w:rFonts w:hint="eastAsia"/>
                <w:color w:val="000000"/>
                <w:sz w:val="24"/>
              </w:rPr>
              <w:t>．其他费用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r>
              <w:t>7.4.7.20</w:t>
            </w: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130,864.24</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251,450.15</w:t>
            </w:r>
          </w:p>
        </w:tc>
      </w:tr>
      <w:tr w:rsidR="00707FDA" w:rsidRPr="00C51C77" w:rsidTr="007468E6">
        <w:tc>
          <w:tcPr>
            <w:tcW w:w="3402" w:type="dxa"/>
            <w:vAlign w:val="center"/>
          </w:tcPr>
          <w:p w:rsidR="00707FDA" w:rsidRPr="000D2B86" w:rsidRDefault="00707FDA" w:rsidP="003F4597">
            <w:pPr>
              <w:spacing w:before="29" w:line="288" w:lineRule="auto"/>
              <w:rPr>
                <w:b/>
                <w:color w:val="000000"/>
                <w:sz w:val="24"/>
              </w:rPr>
            </w:pPr>
            <w:r w:rsidRPr="000D2B86">
              <w:rPr>
                <w:rFonts w:hint="eastAsia"/>
                <w:b/>
                <w:color w:val="000000"/>
                <w:sz w:val="24"/>
              </w:rPr>
              <w:t>三、利润总额（亏损总额以</w:t>
            </w:r>
            <w:r w:rsidR="009A4B06" w:rsidRPr="000D2B86">
              <w:rPr>
                <w:b/>
                <w:color w:val="000000"/>
                <w:sz w:val="24"/>
              </w:rPr>
              <w:t>“-”</w:t>
            </w:r>
            <w:r w:rsidRPr="000D2B86">
              <w:rPr>
                <w:rFonts w:hint="eastAsia"/>
                <w:b/>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061E30" w:rsidRDefault="00707FDA" w:rsidP="001C5FC7">
            <w:pPr>
              <w:spacing w:before="29" w:line="288" w:lineRule="auto"/>
              <w:jc w:val="right"/>
              <w:rPr>
                <w:b/>
                <w:color w:val="000000"/>
                <w:sz w:val="24"/>
              </w:rPr>
            </w:pPr>
            <w:r w:rsidRPr="00061E30">
              <w:rPr>
                <w:b/>
                <w:color w:val="000000"/>
                <w:sz w:val="24"/>
              </w:rPr>
              <w:t>-17,497,331.20</w:t>
            </w:r>
          </w:p>
        </w:tc>
        <w:tc>
          <w:tcPr>
            <w:tcW w:w="2194" w:type="dxa"/>
            <w:vAlign w:val="center"/>
          </w:tcPr>
          <w:p w:rsidR="00707FDA" w:rsidRPr="00061E30" w:rsidRDefault="00707FDA" w:rsidP="001C5FC7">
            <w:pPr>
              <w:spacing w:before="29" w:line="288" w:lineRule="auto"/>
              <w:jc w:val="right"/>
              <w:rPr>
                <w:b/>
                <w:color w:val="000000"/>
                <w:sz w:val="24"/>
              </w:rPr>
            </w:pPr>
            <w:r w:rsidRPr="00061E30">
              <w:rPr>
                <w:b/>
                <w:color w:val="000000"/>
                <w:sz w:val="24"/>
              </w:rPr>
              <w:t>66,535,518.58</w:t>
            </w:r>
          </w:p>
        </w:tc>
      </w:tr>
      <w:tr w:rsidR="00707FDA" w:rsidRPr="00C51C77" w:rsidTr="007468E6">
        <w:tc>
          <w:tcPr>
            <w:tcW w:w="3402" w:type="dxa"/>
            <w:vAlign w:val="center"/>
          </w:tcPr>
          <w:p w:rsidR="00707FDA" w:rsidRPr="003F4597" w:rsidRDefault="00707FDA" w:rsidP="003F4597">
            <w:pPr>
              <w:spacing w:before="29" w:line="288" w:lineRule="auto"/>
              <w:rPr>
                <w:color w:val="000000"/>
                <w:sz w:val="24"/>
              </w:rPr>
            </w:pPr>
            <w:r w:rsidRPr="003F4597">
              <w:rPr>
                <w:rFonts w:hint="eastAsia"/>
                <w:color w:val="000000"/>
                <w:sz w:val="24"/>
              </w:rPr>
              <w:t>减：所得税费用</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c>
          <w:tcPr>
            <w:tcW w:w="2194" w:type="dxa"/>
            <w:vAlign w:val="center"/>
          </w:tcPr>
          <w:p w:rsidR="00707FDA" w:rsidRPr="001C5FC7" w:rsidRDefault="00707FDA" w:rsidP="001C5FC7">
            <w:pPr>
              <w:spacing w:before="29" w:line="288" w:lineRule="auto"/>
              <w:jc w:val="right"/>
              <w:rPr>
                <w:color w:val="000000"/>
                <w:sz w:val="24"/>
              </w:rPr>
            </w:pPr>
            <w:r w:rsidRPr="001C5FC7">
              <w:rPr>
                <w:color w:val="000000"/>
                <w:sz w:val="24"/>
              </w:rPr>
              <w:t>-</w:t>
            </w:r>
          </w:p>
        </w:tc>
      </w:tr>
      <w:tr w:rsidR="00707FDA" w:rsidRPr="00C51C77" w:rsidTr="007468E6">
        <w:tc>
          <w:tcPr>
            <w:tcW w:w="3402" w:type="dxa"/>
            <w:vAlign w:val="center"/>
          </w:tcPr>
          <w:p w:rsidR="00707FDA" w:rsidRPr="000D2B86" w:rsidRDefault="00707FDA" w:rsidP="003F4597">
            <w:pPr>
              <w:spacing w:before="29" w:line="288" w:lineRule="auto"/>
              <w:rPr>
                <w:b/>
                <w:color w:val="000000"/>
                <w:sz w:val="24"/>
              </w:rPr>
            </w:pPr>
            <w:r w:rsidRPr="000D2B86">
              <w:rPr>
                <w:rFonts w:hint="eastAsia"/>
                <w:b/>
                <w:color w:val="000000"/>
                <w:sz w:val="24"/>
              </w:rPr>
              <w:t>四、净利润（净亏损以</w:t>
            </w:r>
            <w:r w:rsidR="009A4B06" w:rsidRPr="000D2B86">
              <w:rPr>
                <w:b/>
                <w:color w:val="000000"/>
                <w:sz w:val="24"/>
              </w:rPr>
              <w:t>“-”</w:t>
            </w:r>
            <w:r w:rsidRPr="000D2B86">
              <w:rPr>
                <w:rFonts w:hint="eastAsia"/>
                <w:b/>
                <w:color w:val="000000"/>
                <w:sz w:val="24"/>
              </w:rPr>
              <w:t>号填列）</w:t>
            </w:r>
          </w:p>
        </w:tc>
        <w:tc>
          <w:tcPr>
            <w:tcW w:w="993" w:type="dxa"/>
            <w:vAlign w:val="center"/>
          </w:tcPr>
          <w:p w:rsidR="00707FDA" w:rsidRPr="003F4597" w:rsidRDefault="00707FDA" w:rsidP="00072FC7">
            <w:pPr>
              <w:widowControl/>
              <w:autoSpaceDE w:val="0"/>
              <w:autoSpaceDN w:val="0"/>
              <w:ind w:right="-15"/>
              <w:jc w:val="center"/>
              <w:textAlignment w:val="bottom"/>
              <w:rPr>
                <w:color w:val="000000"/>
                <w:sz w:val="24"/>
              </w:rPr>
            </w:pPr>
          </w:p>
        </w:tc>
        <w:tc>
          <w:tcPr>
            <w:tcW w:w="2409" w:type="dxa"/>
            <w:vAlign w:val="center"/>
          </w:tcPr>
          <w:p w:rsidR="00707FDA" w:rsidRPr="00061E30" w:rsidRDefault="00707FDA" w:rsidP="001C5FC7">
            <w:pPr>
              <w:spacing w:before="29" w:line="288" w:lineRule="auto"/>
              <w:jc w:val="right"/>
              <w:rPr>
                <w:b/>
                <w:color w:val="000000"/>
                <w:sz w:val="24"/>
              </w:rPr>
            </w:pPr>
            <w:r w:rsidRPr="00061E30">
              <w:rPr>
                <w:b/>
                <w:color w:val="000000"/>
                <w:sz w:val="24"/>
              </w:rPr>
              <w:t>-17,497,331.20</w:t>
            </w:r>
          </w:p>
        </w:tc>
        <w:tc>
          <w:tcPr>
            <w:tcW w:w="2194" w:type="dxa"/>
            <w:vAlign w:val="center"/>
          </w:tcPr>
          <w:p w:rsidR="00707FDA" w:rsidRPr="00061E30" w:rsidRDefault="00707FDA" w:rsidP="001C5FC7">
            <w:pPr>
              <w:spacing w:before="29" w:line="288" w:lineRule="auto"/>
              <w:jc w:val="right"/>
              <w:rPr>
                <w:b/>
                <w:color w:val="000000"/>
                <w:sz w:val="24"/>
              </w:rPr>
            </w:pPr>
            <w:r w:rsidRPr="00061E30">
              <w:rPr>
                <w:b/>
                <w:color w:val="000000"/>
                <w:sz w:val="24"/>
              </w:rPr>
              <w:t>66,535,518.58</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6" w:name="_Toc225498270"/>
      <w:bookmarkStart w:id="57" w:name="_Toc361324875"/>
      <w:r w:rsidRPr="00701155">
        <w:rPr>
          <w:rFonts w:ascii="Times New Roman" w:hAnsi="Times New Roman"/>
          <w:kern w:val="0"/>
          <w:szCs w:val="24"/>
        </w:rPr>
        <w:t xml:space="preserve">7.3 </w:t>
      </w:r>
      <w:r w:rsidRPr="00701155">
        <w:rPr>
          <w:rFonts w:ascii="Times New Roman" w:hAnsi="Times New Roman" w:hint="eastAsia"/>
          <w:kern w:val="0"/>
          <w:szCs w:val="24"/>
        </w:rPr>
        <w:t>所有者权益（基金净值）变动表</w:t>
      </w:r>
      <w:bookmarkEnd w:id="56"/>
      <w:bookmarkEnd w:id="57"/>
    </w:p>
    <w:p w:rsidR="001A59F9" w:rsidRPr="004C51A0" w:rsidRDefault="001A59F9" w:rsidP="004C51A0">
      <w:pPr>
        <w:spacing w:before="29" w:line="288" w:lineRule="auto"/>
        <w:rPr>
          <w:color w:val="000000"/>
          <w:sz w:val="24"/>
        </w:rPr>
      </w:pPr>
      <w:r w:rsidRPr="004C51A0">
        <w:rPr>
          <w:rFonts w:hint="eastAsia"/>
          <w:color w:val="000000"/>
          <w:sz w:val="24"/>
        </w:rPr>
        <w:t>会计主体：</w:t>
      </w:r>
      <w:r w:rsidRPr="004C51A0">
        <w:rPr>
          <w:color w:val="000000"/>
          <w:sz w:val="24"/>
        </w:rPr>
        <w:t>交银施罗德成长</w:t>
      </w:r>
      <w:r w:rsidRPr="004C51A0">
        <w:rPr>
          <w:color w:val="000000"/>
          <w:sz w:val="24"/>
        </w:rPr>
        <w:t>30</w:t>
      </w:r>
      <w:r w:rsidRPr="004C51A0">
        <w:rPr>
          <w:color w:val="000000"/>
          <w:sz w:val="24"/>
        </w:rPr>
        <w:t>混合型证券投资基金</w:t>
      </w:r>
    </w:p>
    <w:p w:rsidR="001A59F9" w:rsidRPr="004C51A0" w:rsidRDefault="001A59F9" w:rsidP="004C51A0">
      <w:pPr>
        <w:spacing w:before="29" w:line="288" w:lineRule="auto"/>
        <w:rPr>
          <w:color w:val="000000"/>
          <w:sz w:val="24"/>
        </w:rPr>
      </w:pPr>
      <w:r w:rsidRPr="004C51A0">
        <w:rPr>
          <w:rFonts w:hint="eastAsia"/>
          <w:color w:val="000000"/>
          <w:sz w:val="24"/>
        </w:rPr>
        <w:t>本报告期：</w:t>
      </w:r>
      <w:r w:rsidR="00F64FAD" w:rsidRPr="004C51A0">
        <w:rPr>
          <w:color w:val="000000"/>
          <w:sz w:val="24"/>
        </w:rPr>
        <w:t>2016</w:t>
      </w:r>
      <w:r w:rsidR="00F64FAD" w:rsidRPr="004C51A0">
        <w:rPr>
          <w:color w:val="000000"/>
          <w:sz w:val="24"/>
        </w:rPr>
        <w:t>年</w:t>
      </w:r>
      <w:r w:rsidR="00F64FAD" w:rsidRPr="004C51A0">
        <w:rPr>
          <w:color w:val="000000"/>
          <w:sz w:val="24"/>
        </w:rPr>
        <w:t>1</w:t>
      </w:r>
      <w:r w:rsidR="00F64FAD" w:rsidRPr="004C51A0">
        <w:rPr>
          <w:color w:val="000000"/>
          <w:sz w:val="24"/>
        </w:rPr>
        <w:t>月</w:t>
      </w:r>
      <w:r w:rsidR="00F64FAD" w:rsidRPr="004C51A0">
        <w:rPr>
          <w:color w:val="000000"/>
          <w:sz w:val="24"/>
        </w:rPr>
        <w:t>1</w:t>
      </w:r>
      <w:r w:rsidR="00F64FAD" w:rsidRPr="004C51A0">
        <w:rPr>
          <w:color w:val="000000"/>
          <w:sz w:val="24"/>
        </w:rPr>
        <w:t>日</w:t>
      </w:r>
      <w:r w:rsidRPr="004C51A0">
        <w:rPr>
          <w:rFonts w:hint="eastAsia"/>
          <w:color w:val="000000"/>
          <w:sz w:val="24"/>
        </w:rPr>
        <w:t>至</w:t>
      </w:r>
      <w:r w:rsidR="00F64FAD" w:rsidRPr="004C51A0">
        <w:rPr>
          <w:color w:val="000000"/>
          <w:sz w:val="24"/>
        </w:rPr>
        <w:t>2016</w:t>
      </w:r>
      <w:r w:rsidR="00F64FAD" w:rsidRPr="004C51A0">
        <w:rPr>
          <w:color w:val="000000"/>
          <w:sz w:val="24"/>
        </w:rPr>
        <w:t>年</w:t>
      </w:r>
      <w:r w:rsidR="00F64FAD" w:rsidRPr="004C51A0">
        <w:rPr>
          <w:color w:val="000000"/>
          <w:sz w:val="24"/>
        </w:rPr>
        <w:t>12</w:t>
      </w:r>
      <w:r w:rsidR="00F64FAD" w:rsidRPr="004C51A0">
        <w:rPr>
          <w:color w:val="000000"/>
          <w:sz w:val="24"/>
        </w:rPr>
        <w:t>月</w:t>
      </w:r>
      <w:r w:rsidR="00F64FAD" w:rsidRPr="004C51A0">
        <w:rPr>
          <w:color w:val="000000"/>
          <w:sz w:val="24"/>
        </w:rPr>
        <w:t>31</w:t>
      </w:r>
      <w:r w:rsidR="00F64FAD" w:rsidRPr="004C51A0">
        <w:rPr>
          <w:color w:val="000000"/>
          <w:sz w:val="24"/>
        </w:rPr>
        <w:t>日</w:t>
      </w:r>
    </w:p>
    <w:p w:rsidR="001A59F9" w:rsidRPr="00696586" w:rsidRDefault="001A59F9" w:rsidP="00696586">
      <w:pPr>
        <w:autoSpaceDE w:val="0"/>
        <w:autoSpaceDN w:val="0"/>
        <w:adjustRightInd w:val="0"/>
        <w:spacing w:before="29" w:line="288" w:lineRule="auto"/>
        <w:ind w:left="15"/>
        <w:jc w:val="right"/>
        <w:rPr>
          <w:color w:val="000000"/>
          <w:kern w:val="0"/>
          <w:sz w:val="24"/>
        </w:rPr>
      </w:pPr>
      <w:r w:rsidRPr="00696586">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50"/>
        <w:gridCol w:w="2250"/>
        <w:gridCol w:w="2250"/>
        <w:gridCol w:w="2250"/>
      </w:tblGrid>
      <w:tr w:rsidR="001A59F9" w:rsidRPr="00C51C77" w:rsidTr="00705A28">
        <w:tc>
          <w:tcPr>
            <w:tcW w:w="3459" w:type="dxa"/>
            <w:vMerge w:val="restart"/>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项目</w:t>
            </w:r>
          </w:p>
        </w:tc>
        <w:tc>
          <w:tcPr>
            <w:tcW w:w="3459" w:type="dxa"/>
            <w:gridSpan w:val="3"/>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本期</w:t>
            </w:r>
          </w:p>
          <w:p w:rsidR="001A59F9" w:rsidRPr="00D34C2B" w:rsidRDefault="00F64FAD" w:rsidP="00D34C2B">
            <w:pPr>
              <w:pStyle w:val="af6"/>
              <w:spacing w:before="29" w:beforeAutospacing="0" w:after="0" w:afterAutospacing="0" w:line="288" w:lineRule="auto"/>
              <w:jc w:val="center"/>
              <w:rPr>
                <w:rFonts w:ascii="Times New Roman" w:hAnsi="Times New Roman"/>
                <w:b/>
                <w:color w:val="000000"/>
                <w:kern w:val="2"/>
              </w:rPr>
            </w:pPr>
            <w:r w:rsidRPr="00D34C2B">
              <w:rPr>
                <w:rFonts w:ascii="Times New Roman" w:hAnsi="Times New Roman"/>
                <w:b/>
                <w:color w:val="000000"/>
                <w:kern w:val="2"/>
              </w:rPr>
              <w:t>2016</w:t>
            </w:r>
            <w:r w:rsidRPr="00D34C2B">
              <w:rPr>
                <w:rFonts w:ascii="Times New Roman" w:hAnsi="Times New Roman"/>
                <w:b/>
                <w:color w:val="000000"/>
                <w:kern w:val="2"/>
              </w:rPr>
              <w:t>年</w:t>
            </w:r>
            <w:r w:rsidRPr="00D34C2B">
              <w:rPr>
                <w:rFonts w:ascii="Times New Roman" w:hAnsi="Times New Roman"/>
                <w:b/>
                <w:color w:val="000000"/>
                <w:kern w:val="2"/>
              </w:rPr>
              <w:t>1</w:t>
            </w:r>
            <w:r w:rsidRPr="00D34C2B">
              <w:rPr>
                <w:rFonts w:ascii="Times New Roman" w:hAnsi="Times New Roman"/>
                <w:b/>
                <w:color w:val="000000"/>
                <w:kern w:val="2"/>
              </w:rPr>
              <w:t>月</w:t>
            </w:r>
            <w:r w:rsidRPr="00D34C2B">
              <w:rPr>
                <w:rFonts w:ascii="Times New Roman" w:hAnsi="Times New Roman"/>
                <w:b/>
                <w:color w:val="000000"/>
                <w:kern w:val="2"/>
              </w:rPr>
              <w:t>1</w:t>
            </w:r>
            <w:r w:rsidRPr="00D34C2B">
              <w:rPr>
                <w:rFonts w:ascii="Times New Roman" w:hAnsi="Times New Roman"/>
                <w:b/>
                <w:color w:val="000000"/>
                <w:kern w:val="2"/>
              </w:rPr>
              <w:t>日</w:t>
            </w:r>
            <w:r w:rsidR="001A59F9" w:rsidRPr="00D34C2B">
              <w:rPr>
                <w:rFonts w:ascii="Times New Roman" w:hAnsi="Times New Roman" w:hint="eastAsia"/>
                <w:b/>
                <w:color w:val="000000"/>
                <w:kern w:val="2"/>
              </w:rPr>
              <w:t>至</w:t>
            </w:r>
            <w:r w:rsidRPr="00D34C2B">
              <w:rPr>
                <w:rFonts w:ascii="Times New Roman" w:hAnsi="Times New Roman"/>
                <w:b/>
                <w:color w:val="000000"/>
                <w:kern w:val="2"/>
              </w:rPr>
              <w:t>2016</w:t>
            </w:r>
            <w:r w:rsidRPr="00D34C2B">
              <w:rPr>
                <w:rFonts w:ascii="Times New Roman" w:hAnsi="Times New Roman"/>
                <w:b/>
                <w:color w:val="000000"/>
                <w:kern w:val="2"/>
              </w:rPr>
              <w:t>年</w:t>
            </w:r>
            <w:r w:rsidRPr="00D34C2B">
              <w:rPr>
                <w:rFonts w:ascii="Times New Roman" w:hAnsi="Times New Roman"/>
                <w:b/>
                <w:color w:val="000000"/>
                <w:kern w:val="2"/>
              </w:rPr>
              <w:t>12</w:t>
            </w:r>
            <w:r w:rsidRPr="00D34C2B">
              <w:rPr>
                <w:rFonts w:ascii="Times New Roman" w:hAnsi="Times New Roman"/>
                <w:b/>
                <w:color w:val="000000"/>
                <w:kern w:val="2"/>
              </w:rPr>
              <w:t>月</w:t>
            </w:r>
            <w:r w:rsidRPr="00D34C2B">
              <w:rPr>
                <w:rFonts w:ascii="Times New Roman" w:hAnsi="Times New Roman"/>
                <w:b/>
                <w:color w:val="000000"/>
                <w:kern w:val="2"/>
              </w:rPr>
              <w:t>31</w:t>
            </w:r>
            <w:r w:rsidRPr="00D34C2B">
              <w:rPr>
                <w:rFonts w:ascii="Times New Roman" w:hAnsi="Times New Roman"/>
                <w:b/>
                <w:color w:val="000000"/>
                <w:kern w:val="2"/>
              </w:rPr>
              <w:t>日</w:t>
            </w:r>
          </w:p>
        </w:tc>
      </w:tr>
      <w:tr w:rsidR="001A59F9" w:rsidRPr="00C51C77" w:rsidTr="00705A28">
        <w:tc>
          <w:tcPr>
            <w:tcW w:w="3459" w:type="dxa"/>
            <w:vMerge/>
            <w:vAlign w:val="center"/>
          </w:tcPr>
          <w:p w:rsidR="001A59F9" w:rsidRPr="00D34C2B" w:rsidRDefault="001A59F9" w:rsidP="00D34C2B">
            <w:pPr>
              <w:spacing w:before="29" w:line="288" w:lineRule="auto"/>
              <w:jc w:val="center"/>
              <w:rPr>
                <w:b/>
                <w:color w:val="000000"/>
                <w:sz w:val="24"/>
              </w:rPr>
            </w:pP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实收基金</w:t>
            </w: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未分配利润</w:t>
            </w:r>
          </w:p>
        </w:tc>
        <w:tc>
          <w:tcPr>
            <w:tcW w:w="3459" w:type="dxa"/>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所有者权益合计</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一、期初所有者权益（基金净值）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74,080,477.11</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50,016,504.12</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124,096,981.23</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二、本期经营活动产生的基金净值变动数（本期利润）</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-17,497,331.20</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-17,497,331.20</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三、本期基金份额交易产生的基金净值变动数（净值减少以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61,513,989.93</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39,243,912.66</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100,757,902.59</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其中：</w:t>
            </w:r>
            <w:r w:rsidRPr="00D34C2B">
              <w:rPr>
                <w:color w:val="000000"/>
                <w:sz w:val="24"/>
              </w:rPr>
              <w:t>1.</w:t>
            </w:r>
            <w:r w:rsidRPr="00D34C2B">
              <w:rPr>
                <w:rFonts w:hint="eastAsia"/>
                <w:color w:val="000000"/>
                <w:sz w:val="24"/>
              </w:rPr>
              <w:t>基金申购款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119,035,723.33</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63,792,678.76</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182,828,402.09</w:t>
            </w:r>
          </w:p>
        </w:tc>
      </w:tr>
      <w:tr w:rsidR="001A59F9" w:rsidRPr="00C51C77" w:rsidTr="00705A28">
        <w:tc>
          <w:tcPr>
            <w:tcW w:w="3459" w:type="dxa"/>
            <w:vAlign w:val="center"/>
          </w:tcPr>
          <w:p w:rsidR="001A59F9" w:rsidRPr="00D34C2B" w:rsidRDefault="001A59F9" w:rsidP="00540257">
            <w:pPr>
              <w:spacing w:before="29" w:line="288" w:lineRule="auto"/>
              <w:ind w:firstLineChars="250" w:firstLine="600"/>
              <w:rPr>
                <w:color w:val="000000"/>
                <w:sz w:val="24"/>
              </w:rPr>
            </w:pPr>
            <w:r w:rsidRPr="00D34C2B">
              <w:rPr>
                <w:color w:val="000000"/>
                <w:sz w:val="24"/>
              </w:rPr>
              <w:t>2.</w:t>
            </w:r>
            <w:r w:rsidRPr="00D34C2B">
              <w:rPr>
                <w:rFonts w:hint="eastAsia"/>
                <w:color w:val="000000"/>
                <w:sz w:val="24"/>
              </w:rPr>
              <w:t>基金</w:t>
            </w:r>
            <w:proofErr w:type="gramStart"/>
            <w:r w:rsidRPr="00D34C2B">
              <w:rPr>
                <w:rFonts w:hint="eastAsia"/>
                <w:color w:val="000000"/>
                <w:sz w:val="24"/>
              </w:rPr>
              <w:t>赎回款</w:t>
            </w:r>
            <w:proofErr w:type="gramEnd"/>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-57,521,733.40</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-24,548,766.10</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-82,070,499.50</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lastRenderedPageBreak/>
              <w:t>四、本期向基金份额持有人分配利润产生的基金净值变动（净值减少以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-62,786,092.23</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-62,786,092.23</w:t>
            </w:r>
          </w:p>
        </w:tc>
      </w:tr>
      <w:tr w:rsidR="001A59F9" w:rsidRPr="00C51C77" w:rsidTr="00705A28">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五、期末所有者权益（基金净值）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135,594,467.04</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8,976,993.35</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144,571,460.39</w:t>
            </w:r>
          </w:p>
        </w:tc>
      </w:tr>
      <w:tr w:rsidR="001A59F9" w:rsidRPr="00C51C77" w:rsidTr="00C37A8A">
        <w:tc>
          <w:tcPr>
            <w:tcW w:w="3459" w:type="dxa"/>
            <w:vMerge w:val="restart"/>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项目</w:t>
            </w:r>
          </w:p>
        </w:tc>
        <w:tc>
          <w:tcPr>
            <w:tcW w:w="3459" w:type="dxa"/>
            <w:gridSpan w:val="3"/>
            <w:vAlign w:val="center"/>
          </w:tcPr>
          <w:p w:rsidR="001A59F9" w:rsidRPr="00D34C2B" w:rsidRDefault="001A59F9" w:rsidP="00D34C2B">
            <w:pPr>
              <w:spacing w:before="29" w:line="288" w:lineRule="auto"/>
              <w:jc w:val="center"/>
              <w:rPr>
                <w:b/>
                <w:color w:val="000000"/>
                <w:sz w:val="24"/>
              </w:rPr>
            </w:pPr>
            <w:r w:rsidRPr="00D34C2B">
              <w:rPr>
                <w:rFonts w:hint="eastAsia"/>
                <w:b/>
                <w:color w:val="000000"/>
                <w:sz w:val="24"/>
              </w:rPr>
              <w:t>上年度可比期间</w:t>
            </w:r>
          </w:p>
          <w:p w:rsidR="001A59F9" w:rsidRPr="00D34C2B" w:rsidRDefault="007F35DC" w:rsidP="00D34C2B">
            <w:pPr>
              <w:pStyle w:val="af6"/>
              <w:spacing w:before="29" w:beforeAutospacing="0" w:after="0" w:afterAutospacing="0" w:line="288" w:lineRule="auto"/>
              <w:jc w:val="center"/>
              <w:rPr>
                <w:rFonts w:ascii="Times New Roman" w:hAnsi="Times New Roman"/>
                <w:b/>
                <w:color w:val="000000"/>
                <w:kern w:val="2"/>
              </w:rPr>
            </w:pPr>
            <w:r w:rsidRPr="00D34C2B">
              <w:rPr>
                <w:rFonts w:ascii="Times New Roman" w:hAnsi="Times New Roman"/>
                <w:b/>
                <w:color w:val="000000"/>
                <w:kern w:val="2"/>
              </w:rPr>
              <w:t>2015</w:t>
            </w:r>
            <w:r w:rsidRPr="00D34C2B">
              <w:rPr>
                <w:rFonts w:ascii="Times New Roman" w:hAnsi="Times New Roman"/>
                <w:b/>
                <w:color w:val="000000"/>
                <w:kern w:val="2"/>
              </w:rPr>
              <w:t>年</w:t>
            </w:r>
            <w:r w:rsidRPr="00D34C2B">
              <w:rPr>
                <w:rFonts w:ascii="Times New Roman" w:hAnsi="Times New Roman"/>
                <w:b/>
                <w:color w:val="000000"/>
                <w:kern w:val="2"/>
              </w:rPr>
              <w:t>1</w:t>
            </w:r>
            <w:r w:rsidRPr="00D34C2B">
              <w:rPr>
                <w:rFonts w:ascii="Times New Roman" w:hAnsi="Times New Roman"/>
                <w:b/>
                <w:color w:val="000000"/>
                <w:kern w:val="2"/>
              </w:rPr>
              <w:t>月</w:t>
            </w:r>
            <w:r w:rsidRPr="00D34C2B">
              <w:rPr>
                <w:rFonts w:ascii="Times New Roman" w:hAnsi="Times New Roman"/>
                <w:b/>
                <w:color w:val="000000"/>
                <w:kern w:val="2"/>
              </w:rPr>
              <w:t>1</w:t>
            </w:r>
            <w:r w:rsidRPr="00D34C2B">
              <w:rPr>
                <w:rFonts w:ascii="Times New Roman" w:hAnsi="Times New Roman"/>
                <w:b/>
                <w:color w:val="000000"/>
                <w:kern w:val="2"/>
              </w:rPr>
              <w:t>日至</w:t>
            </w:r>
            <w:r w:rsidRPr="00D34C2B">
              <w:rPr>
                <w:rFonts w:ascii="Times New Roman" w:hAnsi="Times New Roman"/>
                <w:b/>
                <w:color w:val="000000"/>
                <w:kern w:val="2"/>
              </w:rPr>
              <w:t>2015</w:t>
            </w:r>
            <w:r w:rsidRPr="00D34C2B">
              <w:rPr>
                <w:rFonts w:ascii="Times New Roman" w:hAnsi="Times New Roman"/>
                <w:b/>
                <w:color w:val="000000"/>
                <w:kern w:val="2"/>
              </w:rPr>
              <w:t>年</w:t>
            </w:r>
            <w:r w:rsidRPr="00D34C2B">
              <w:rPr>
                <w:rFonts w:ascii="Times New Roman" w:hAnsi="Times New Roman"/>
                <w:b/>
                <w:color w:val="000000"/>
                <w:kern w:val="2"/>
              </w:rPr>
              <w:t>12</w:t>
            </w:r>
            <w:r w:rsidRPr="00D34C2B">
              <w:rPr>
                <w:rFonts w:ascii="Times New Roman" w:hAnsi="Times New Roman"/>
                <w:b/>
                <w:color w:val="000000"/>
                <w:kern w:val="2"/>
              </w:rPr>
              <w:t>月</w:t>
            </w:r>
            <w:r w:rsidRPr="00D34C2B">
              <w:rPr>
                <w:rFonts w:ascii="Times New Roman" w:hAnsi="Times New Roman"/>
                <w:b/>
                <w:color w:val="000000"/>
                <w:kern w:val="2"/>
              </w:rPr>
              <w:t>31</w:t>
            </w:r>
            <w:r w:rsidRPr="00D34C2B">
              <w:rPr>
                <w:rFonts w:ascii="Times New Roman" w:hAnsi="Times New Roman"/>
                <w:b/>
                <w:color w:val="000000"/>
                <w:kern w:val="2"/>
              </w:rPr>
              <w:t>日</w:t>
            </w:r>
          </w:p>
        </w:tc>
      </w:tr>
      <w:tr w:rsidR="001A59F9" w:rsidRPr="00C51C77" w:rsidTr="00C37A8A">
        <w:tc>
          <w:tcPr>
            <w:tcW w:w="3459" w:type="dxa"/>
            <w:vMerge/>
            <w:vAlign w:val="center"/>
          </w:tcPr>
          <w:p w:rsidR="001A59F9" w:rsidRPr="00D34C2B" w:rsidRDefault="001A59F9" w:rsidP="00D34C2B">
            <w:pPr>
              <w:spacing w:before="29" w:line="288" w:lineRule="auto"/>
              <w:jc w:val="center"/>
              <w:rPr>
                <w:b/>
                <w:color w:val="000000"/>
                <w:sz w:val="24"/>
              </w:rPr>
            </w:pPr>
          </w:p>
        </w:tc>
        <w:tc>
          <w:tcPr>
            <w:tcW w:w="3459" w:type="dxa"/>
            <w:vAlign w:val="center"/>
          </w:tcPr>
          <w:p w:rsidR="001A59F9" w:rsidRPr="00D34C2B" w:rsidRDefault="001A59F9" w:rsidP="000F6A8A">
            <w:pPr>
              <w:spacing w:before="29" w:line="288" w:lineRule="auto"/>
              <w:jc w:val="center"/>
              <w:rPr>
                <w:b/>
                <w:color w:val="000000"/>
                <w:sz w:val="24"/>
              </w:rPr>
            </w:pPr>
            <w:r w:rsidRPr="00D34C2B">
              <w:rPr>
                <w:rFonts w:hint="eastAsia"/>
                <w:b/>
                <w:color w:val="000000"/>
                <w:sz w:val="24"/>
              </w:rPr>
              <w:t>实收基金</w:t>
            </w:r>
          </w:p>
        </w:tc>
        <w:tc>
          <w:tcPr>
            <w:tcW w:w="3459" w:type="dxa"/>
            <w:vAlign w:val="center"/>
          </w:tcPr>
          <w:p w:rsidR="001A59F9" w:rsidRPr="00D34C2B" w:rsidRDefault="001A59F9" w:rsidP="000F6A8A">
            <w:pPr>
              <w:spacing w:before="29" w:line="288" w:lineRule="auto"/>
              <w:jc w:val="center"/>
              <w:rPr>
                <w:b/>
                <w:color w:val="000000"/>
                <w:sz w:val="24"/>
              </w:rPr>
            </w:pPr>
            <w:r w:rsidRPr="00D34C2B">
              <w:rPr>
                <w:rFonts w:hint="eastAsia"/>
                <w:b/>
                <w:color w:val="000000"/>
                <w:sz w:val="24"/>
              </w:rPr>
              <w:t>未分配利润</w:t>
            </w:r>
          </w:p>
        </w:tc>
        <w:tc>
          <w:tcPr>
            <w:tcW w:w="3459" w:type="dxa"/>
            <w:vAlign w:val="center"/>
          </w:tcPr>
          <w:p w:rsidR="001A59F9" w:rsidRPr="00D34C2B" w:rsidRDefault="001A59F9" w:rsidP="000F6A8A">
            <w:pPr>
              <w:spacing w:before="29" w:line="288" w:lineRule="auto"/>
              <w:jc w:val="center"/>
              <w:rPr>
                <w:b/>
                <w:color w:val="000000"/>
                <w:sz w:val="24"/>
              </w:rPr>
            </w:pPr>
            <w:r w:rsidRPr="00D34C2B">
              <w:rPr>
                <w:rFonts w:hint="eastAsia"/>
                <w:b/>
                <w:color w:val="000000"/>
                <w:sz w:val="24"/>
              </w:rPr>
              <w:t>所有者权益合计</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一、期初所有者权益（基金净值）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191,354,658.73</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26,980,375.68</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218,335,034.41</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二、本期经营活动产生的基金净值变动数（本期利润）</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66,535,518.58</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66,535,518.58</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三、本期基金份额交易产生的基金净值变动数（净值减少以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-117,274,181.62</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-43,499,390.14</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-160,773,571.76</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其中：</w:t>
            </w:r>
            <w:r w:rsidRPr="00D34C2B">
              <w:rPr>
                <w:color w:val="000000"/>
                <w:sz w:val="24"/>
              </w:rPr>
              <w:t>1.</w:t>
            </w:r>
            <w:r w:rsidRPr="00D34C2B">
              <w:rPr>
                <w:rFonts w:hint="eastAsia"/>
                <w:color w:val="000000"/>
                <w:sz w:val="24"/>
              </w:rPr>
              <w:t>基金申购款</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67,350,375.60</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45,008,656.92</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112,359,032.52</w:t>
            </w:r>
          </w:p>
        </w:tc>
      </w:tr>
      <w:tr w:rsidR="001A59F9" w:rsidRPr="00C51C77" w:rsidTr="00C37A8A">
        <w:tc>
          <w:tcPr>
            <w:tcW w:w="3459" w:type="dxa"/>
            <w:vAlign w:val="center"/>
          </w:tcPr>
          <w:p w:rsidR="001A59F9" w:rsidRPr="00D34C2B" w:rsidRDefault="001A59F9" w:rsidP="00540257">
            <w:pPr>
              <w:spacing w:before="29" w:line="288" w:lineRule="auto"/>
              <w:ind w:firstLineChars="250" w:firstLine="600"/>
              <w:rPr>
                <w:color w:val="000000"/>
                <w:sz w:val="24"/>
              </w:rPr>
            </w:pPr>
            <w:r w:rsidRPr="00D34C2B">
              <w:rPr>
                <w:color w:val="000000"/>
                <w:sz w:val="24"/>
              </w:rPr>
              <w:t>2.</w:t>
            </w:r>
            <w:r w:rsidRPr="00D34C2B">
              <w:rPr>
                <w:rFonts w:hint="eastAsia"/>
                <w:color w:val="000000"/>
                <w:sz w:val="24"/>
              </w:rPr>
              <w:t>基金</w:t>
            </w:r>
            <w:proofErr w:type="gramStart"/>
            <w:r w:rsidRPr="00D34C2B">
              <w:rPr>
                <w:rFonts w:hint="eastAsia"/>
                <w:color w:val="000000"/>
                <w:sz w:val="24"/>
              </w:rPr>
              <w:t>赎回款</w:t>
            </w:r>
            <w:proofErr w:type="gramEnd"/>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-184,624,557.22</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-88,508,047.06</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-273,132,604.28</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四、本期向基金份额持有人分配利润产生的基金净值变动（净值减少以</w:t>
            </w:r>
            <w:r w:rsidR="00C37A8A" w:rsidRPr="0060695C">
              <w:rPr>
                <w:color w:val="000000"/>
                <w:sz w:val="24"/>
              </w:rPr>
              <w:t>“-”</w:t>
            </w:r>
            <w:r w:rsidRPr="00D34C2B">
              <w:rPr>
                <w:rFonts w:hint="eastAsia"/>
                <w:color w:val="000000"/>
                <w:sz w:val="24"/>
              </w:rPr>
              <w:t>号填列）</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w:t>
            </w:r>
          </w:p>
        </w:tc>
      </w:tr>
      <w:tr w:rsidR="001A59F9" w:rsidRPr="00C51C77" w:rsidTr="00C37A8A">
        <w:tc>
          <w:tcPr>
            <w:tcW w:w="3459" w:type="dxa"/>
            <w:vAlign w:val="center"/>
          </w:tcPr>
          <w:p w:rsidR="001A59F9" w:rsidRPr="00D34C2B" w:rsidRDefault="001A59F9" w:rsidP="00D34C2B">
            <w:pPr>
              <w:spacing w:before="29" w:line="288" w:lineRule="auto"/>
              <w:rPr>
                <w:color w:val="000000"/>
                <w:sz w:val="24"/>
              </w:rPr>
            </w:pPr>
            <w:r w:rsidRPr="00D34C2B">
              <w:rPr>
                <w:rFonts w:hint="eastAsia"/>
                <w:color w:val="000000"/>
                <w:sz w:val="24"/>
              </w:rPr>
              <w:t>五、期末所有者权益（基金净值）</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74,080,477.11</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50,016,504.12</w:t>
            </w:r>
          </w:p>
        </w:tc>
        <w:tc>
          <w:tcPr>
            <w:tcW w:w="3459" w:type="dxa"/>
            <w:vAlign w:val="center"/>
          </w:tcPr>
          <w:p w:rsidR="001A59F9" w:rsidRPr="001C5FC7" w:rsidRDefault="001A59F9" w:rsidP="001C5FC7">
            <w:pPr>
              <w:spacing w:before="29" w:line="288" w:lineRule="auto"/>
              <w:jc w:val="right"/>
              <w:rPr>
                <w:color w:val="000000"/>
                <w:sz w:val="24"/>
              </w:rPr>
            </w:pPr>
            <w:r w:rsidRPr="001C5FC7">
              <w:rPr>
                <w:color w:val="000000"/>
                <w:sz w:val="24"/>
              </w:rPr>
              <w:t>124,096,981.23</w:t>
            </w:r>
          </w:p>
        </w:tc>
      </w:tr>
    </w:tbl>
    <w:p w:rsidR="001F790F" w:rsidRPr="00AF31CF" w:rsidRDefault="001F790F" w:rsidP="00AF31CF">
      <w:pPr>
        <w:spacing w:before="29" w:line="288" w:lineRule="auto"/>
        <w:rPr>
          <w:sz w:val="24"/>
        </w:rPr>
      </w:pPr>
      <w:r w:rsidRPr="00AF31CF">
        <w:rPr>
          <w:rFonts w:hint="eastAsia"/>
          <w:sz w:val="24"/>
        </w:rPr>
        <w:t>报表附注为财务报表的组成部分。</w:t>
      </w:r>
    </w:p>
    <w:p w:rsidR="001F790F" w:rsidRPr="00AF31CF" w:rsidRDefault="001F790F" w:rsidP="00AF31CF">
      <w:pPr>
        <w:spacing w:before="29" w:line="288" w:lineRule="auto"/>
        <w:rPr>
          <w:sz w:val="24"/>
        </w:rPr>
      </w:pPr>
      <w:r w:rsidRPr="00AF31CF">
        <w:rPr>
          <w:rFonts w:hint="eastAsia"/>
          <w:sz w:val="24"/>
        </w:rPr>
        <w:t>本报告</w:t>
      </w:r>
      <w:r w:rsidR="00B4640F" w:rsidRPr="00AF31CF">
        <w:rPr>
          <w:rFonts w:hint="eastAsia"/>
          <w:sz w:val="24"/>
        </w:rPr>
        <w:t>页码（序号）从</w:t>
      </w:r>
      <w:r w:rsidRPr="00AF31CF">
        <w:rPr>
          <w:rFonts w:hint="eastAsia"/>
          <w:sz w:val="24"/>
        </w:rPr>
        <w:t>7.1</w:t>
      </w:r>
      <w:r w:rsidRPr="00AF31CF">
        <w:rPr>
          <w:rFonts w:hint="eastAsia"/>
          <w:sz w:val="24"/>
        </w:rPr>
        <w:t>至</w:t>
      </w:r>
      <w:r w:rsidRPr="00AF31CF">
        <w:rPr>
          <w:rFonts w:hint="eastAsia"/>
          <w:sz w:val="24"/>
        </w:rPr>
        <w:t>7.4</w:t>
      </w:r>
      <w:r w:rsidRPr="00AF31CF">
        <w:rPr>
          <w:rFonts w:hint="eastAsia"/>
          <w:sz w:val="24"/>
        </w:rPr>
        <w:t>，财务报表由下列负责人签署：</w:t>
      </w:r>
    </w:p>
    <w:p w:rsidR="001F790F" w:rsidRPr="00AF31CF" w:rsidRDefault="00177405" w:rsidP="00AF31CF">
      <w:pPr>
        <w:spacing w:before="29" w:line="288" w:lineRule="auto"/>
        <w:rPr>
          <w:sz w:val="24"/>
        </w:rPr>
      </w:pPr>
      <w:r w:rsidRPr="00AF31CF">
        <w:rPr>
          <w:rFonts w:hint="eastAsia"/>
          <w:sz w:val="24"/>
        </w:rPr>
        <w:t>基金管理人</w:t>
      </w:r>
      <w:r w:rsidR="001F790F" w:rsidRPr="00AF31CF">
        <w:rPr>
          <w:rFonts w:hint="eastAsia"/>
          <w:sz w:val="24"/>
        </w:rPr>
        <w:t>负责人：阮红，主管会计工作负责人：</w:t>
      </w:r>
      <w:proofErr w:type="gramStart"/>
      <w:r w:rsidR="001F790F" w:rsidRPr="00AF31CF">
        <w:rPr>
          <w:rFonts w:hint="eastAsia"/>
          <w:sz w:val="24"/>
        </w:rPr>
        <w:t>夏华龙</w:t>
      </w:r>
      <w:proofErr w:type="gramEnd"/>
      <w:r w:rsidR="001F790F" w:rsidRPr="00AF31CF">
        <w:rPr>
          <w:rFonts w:hint="eastAsia"/>
          <w:sz w:val="24"/>
        </w:rPr>
        <w:t>，会计机构负责人：单江</w:t>
      </w:r>
    </w:p>
    <w:p w:rsidR="001A59F9" w:rsidRPr="00C51C77" w:rsidRDefault="001A59F9" w:rsidP="00C51C77">
      <w:pPr>
        <w:spacing w:line="360" w:lineRule="auto"/>
        <w:ind w:firstLineChars="200" w:firstLine="420"/>
        <w:rPr>
          <w:rFonts w:asciiTheme="minorEastAsia" w:eastAsiaTheme="minorEastAsia" w:hAnsiTheme="minorEastAsia"/>
          <w:color w:val="000000"/>
          <w:szCs w:val="21"/>
        </w:rPr>
      </w:pPr>
    </w:p>
    <w:p w:rsidR="001A59F9" w:rsidRPr="00701155" w:rsidRDefault="001A59F9" w:rsidP="00701155">
      <w:pPr>
        <w:pStyle w:val="20"/>
        <w:spacing w:before="29" w:after="0" w:line="288" w:lineRule="auto"/>
        <w:rPr>
          <w:rFonts w:ascii="Times New Roman" w:hAnsi="Times New Roman"/>
          <w:kern w:val="0"/>
          <w:szCs w:val="24"/>
        </w:rPr>
      </w:pPr>
      <w:bookmarkStart w:id="58" w:name="_Toc225498271"/>
      <w:bookmarkStart w:id="59" w:name="_Toc361324876"/>
      <w:r w:rsidRPr="00701155">
        <w:rPr>
          <w:rFonts w:ascii="Times New Roman" w:hAnsi="Times New Roman"/>
          <w:kern w:val="0"/>
          <w:szCs w:val="24"/>
        </w:rPr>
        <w:t xml:space="preserve">7.4 </w:t>
      </w:r>
      <w:r w:rsidRPr="00701155">
        <w:rPr>
          <w:rFonts w:ascii="Times New Roman" w:hAnsi="Times New Roman" w:hint="eastAsia"/>
          <w:kern w:val="0"/>
          <w:szCs w:val="24"/>
        </w:rPr>
        <w:t>报表附注</w:t>
      </w:r>
      <w:bookmarkEnd w:id="58"/>
      <w:bookmarkEnd w:id="59"/>
    </w:p>
    <w:p w:rsidR="001A59F9" w:rsidRPr="00701155" w:rsidRDefault="001A59F9" w:rsidP="00701155">
      <w:pPr>
        <w:pStyle w:val="20"/>
        <w:spacing w:before="29" w:after="0" w:line="288" w:lineRule="auto"/>
        <w:rPr>
          <w:rFonts w:ascii="Times New Roman" w:hAnsi="Times New Roman"/>
          <w:kern w:val="0"/>
          <w:szCs w:val="24"/>
        </w:rPr>
      </w:pPr>
      <w:r w:rsidRPr="00701155">
        <w:rPr>
          <w:rFonts w:ascii="Times New Roman" w:hAnsi="Times New Roman"/>
          <w:kern w:val="0"/>
          <w:szCs w:val="24"/>
        </w:rPr>
        <w:t>7.4.1</w:t>
      </w:r>
      <w:r w:rsidR="004C2C35" w:rsidRPr="00701155">
        <w:rPr>
          <w:rFonts w:ascii="Times New Roman" w:hAnsi="Times New Roman" w:hint="eastAsia"/>
          <w:kern w:val="0"/>
          <w:szCs w:val="24"/>
        </w:rPr>
        <w:t xml:space="preserve"> </w:t>
      </w:r>
      <w:r w:rsidRPr="00701155">
        <w:rPr>
          <w:rFonts w:ascii="Times New Roman" w:hAnsi="Times New Roman" w:hint="eastAsia"/>
          <w:kern w:val="0"/>
          <w:szCs w:val="24"/>
        </w:rPr>
        <w:t>基金基本情况</w:t>
      </w:r>
    </w:p>
    <w:p w:rsidR="004A4B7D" w:rsidRDefault="00B235F4">
      <w:pPr>
        <w:spacing w:before="29" w:line="288" w:lineRule="auto"/>
        <w:ind w:firstLineChars="200" w:firstLine="480"/>
        <w:rPr>
          <w:color w:val="000000"/>
          <w:sz w:val="24"/>
        </w:rPr>
      </w:pPr>
      <w:r>
        <w:rPr>
          <w:color w:val="000000"/>
          <w:sz w:val="24"/>
        </w:rPr>
        <w:t>交银施罗德成长</w:t>
      </w:r>
      <w:r>
        <w:rPr>
          <w:color w:val="000000"/>
          <w:sz w:val="24"/>
        </w:rPr>
        <w:t>30</w:t>
      </w:r>
      <w:r>
        <w:rPr>
          <w:color w:val="000000"/>
          <w:sz w:val="24"/>
        </w:rPr>
        <w:t>混合型证券投资基金</w:t>
      </w:r>
      <w:r>
        <w:rPr>
          <w:color w:val="000000"/>
          <w:sz w:val="24"/>
        </w:rPr>
        <w:t>(</w:t>
      </w:r>
      <w:r>
        <w:rPr>
          <w:color w:val="000000"/>
          <w:sz w:val="24"/>
        </w:rPr>
        <w:t>原名为交银施罗德成长</w:t>
      </w:r>
      <w:r>
        <w:rPr>
          <w:color w:val="000000"/>
          <w:sz w:val="24"/>
        </w:rPr>
        <w:t>30</w:t>
      </w:r>
      <w:r>
        <w:rPr>
          <w:color w:val="000000"/>
          <w:sz w:val="24"/>
        </w:rPr>
        <w:t>股票型证券投资基金，以下简称</w:t>
      </w:r>
      <w:r>
        <w:rPr>
          <w:color w:val="000000"/>
          <w:sz w:val="24"/>
        </w:rPr>
        <w:t>“</w:t>
      </w:r>
      <w:r>
        <w:rPr>
          <w:color w:val="000000"/>
          <w:sz w:val="24"/>
        </w:rPr>
        <w:t>本基金</w:t>
      </w:r>
      <w:r>
        <w:rPr>
          <w:color w:val="000000"/>
          <w:sz w:val="24"/>
        </w:rPr>
        <w:t>”)</w:t>
      </w:r>
      <w:r>
        <w:rPr>
          <w:color w:val="000000"/>
          <w:sz w:val="24"/>
        </w:rPr>
        <w:t>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w:t>
      </w:r>
      <w:r>
        <w:rPr>
          <w:color w:val="000000"/>
          <w:sz w:val="24"/>
        </w:rPr>
        <w:lastRenderedPageBreak/>
        <w:t>可</w:t>
      </w:r>
      <w:r>
        <w:rPr>
          <w:color w:val="000000"/>
          <w:sz w:val="24"/>
        </w:rPr>
        <w:t>[2013]255</w:t>
      </w:r>
      <w:r>
        <w:rPr>
          <w:color w:val="000000"/>
          <w:sz w:val="24"/>
        </w:rPr>
        <w:t>号《关于核准交银施罗德成长</w:t>
      </w:r>
      <w:r>
        <w:rPr>
          <w:color w:val="000000"/>
          <w:sz w:val="24"/>
        </w:rPr>
        <w:t>30</w:t>
      </w:r>
      <w:r>
        <w:rPr>
          <w:color w:val="000000"/>
          <w:sz w:val="24"/>
        </w:rPr>
        <w:t>股票型证券投资基金募集的批复》核准，由交银施罗德基金管理有限公司依照《中华人民共和国证券投资基金法》和《交银施罗德成长</w:t>
      </w:r>
      <w:r>
        <w:rPr>
          <w:color w:val="000000"/>
          <w:sz w:val="24"/>
        </w:rPr>
        <w:t>30</w:t>
      </w:r>
      <w:r>
        <w:rPr>
          <w:color w:val="000000"/>
          <w:sz w:val="24"/>
        </w:rPr>
        <w:t>股票型证券投资基金基金合同》负责公开募集。本基金为契约型开放式，存续期限不定，首次设立募集不包括认购资金利息共募集人民币</w:t>
      </w:r>
      <w:r>
        <w:rPr>
          <w:color w:val="000000"/>
          <w:sz w:val="24"/>
        </w:rPr>
        <w:t>2,023,994,078.02</w:t>
      </w:r>
      <w:r>
        <w:rPr>
          <w:color w:val="000000"/>
          <w:sz w:val="24"/>
        </w:rPr>
        <w:t>元，业经普华永道中天会计师事务所有限公司普华永道</w:t>
      </w:r>
      <w:proofErr w:type="gramStart"/>
      <w:r>
        <w:rPr>
          <w:color w:val="000000"/>
          <w:sz w:val="24"/>
        </w:rPr>
        <w:t>中天验字</w:t>
      </w:r>
      <w:proofErr w:type="gramEnd"/>
      <w:r>
        <w:rPr>
          <w:color w:val="000000"/>
          <w:sz w:val="24"/>
        </w:rPr>
        <w:t>(2013)</w:t>
      </w:r>
      <w:r>
        <w:rPr>
          <w:color w:val="000000"/>
          <w:sz w:val="24"/>
        </w:rPr>
        <w:t>第</w:t>
      </w:r>
      <w:r>
        <w:rPr>
          <w:color w:val="000000"/>
          <w:sz w:val="24"/>
        </w:rPr>
        <w:t>299</w:t>
      </w:r>
      <w:r>
        <w:rPr>
          <w:color w:val="000000"/>
          <w:sz w:val="24"/>
        </w:rPr>
        <w:t>号验资报告予以验证。经向中国证监会备案，《交银施罗德成长</w:t>
      </w:r>
      <w:r>
        <w:rPr>
          <w:color w:val="000000"/>
          <w:sz w:val="24"/>
        </w:rPr>
        <w:t>30</w:t>
      </w:r>
      <w:r>
        <w:rPr>
          <w:color w:val="000000"/>
          <w:sz w:val="24"/>
        </w:rPr>
        <w:t>股票型证券投资基金基金合同》于</w:t>
      </w:r>
      <w:r>
        <w:rPr>
          <w:color w:val="000000"/>
          <w:sz w:val="24"/>
        </w:rPr>
        <w:t>2013</w:t>
      </w:r>
      <w:r>
        <w:rPr>
          <w:color w:val="000000"/>
          <w:sz w:val="24"/>
        </w:rPr>
        <w:t>年</w:t>
      </w:r>
      <w:r>
        <w:rPr>
          <w:color w:val="000000"/>
          <w:sz w:val="24"/>
        </w:rPr>
        <w:t>6</w:t>
      </w:r>
      <w:r>
        <w:rPr>
          <w:color w:val="000000"/>
          <w:sz w:val="24"/>
        </w:rPr>
        <w:t>月</w:t>
      </w:r>
      <w:r>
        <w:rPr>
          <w:color w:val="000000"/>
          <w:sz w:val="24"/>
        </w:rPr>
        <w:t>5</w:t>
      </w:r>
      <w:r>
        <w:rPr>
          <w:color w:val="000000"/>
          <w:sz w:val="24"/>
        </w:rPr>
        <w:t>日正式生效，基金合同生效日的基金份额总额为</w:t>
      </w:r>
      <w:r>
        <w:rPr>
          <w:color w:val="000000"/>
          <w:sz w:val="24"/>
        </w:rPr>
        <w:t>2,024,955,437.39</w:t>
      </w:r>
      <w:r>
        <w:rPr>
          <w:color w:val="000000"/>
          <w:sz w:val="24"/>
        </w:rPr>
        <w:t>份基金份额，其中认购资金利息折合</w:t>
      </w:r>
      <w:r>
        <w:rPr>
          <w:color w:val="000000"/>
          <w:sz w:val="24"/>
        </w:rPr>
        <w:t>961,359.37</w:t>
      </w:r>
      <w:r>
        <w:rPr>
          <w:color w:val="000000"/>
          <w:sz w:val="24"/>
        </w:rPr>
        <w:t>份基金份额。本基金的基金管理人为交银施罗德基金管理有限公司，基金托管人为中国建设银行股份有限公司。</w:t>
      </w:r>
    </w:p>
    <w:p w:rsidR="004A4B7D" w:rsidRDefault="00B235F4">
      <w:pPr>
        <w:spacing w:before="29" w:line="288" w:lineRule="auto"/>
        <w:ind w:firstLineChars="200" w:firstLine="480"/>
        <w:rPr>
          <w:color w:val="000000"/>
          <w:sz w:val="24"/>
        </w:rPr>
      </w:pPr>
      <w:r>
        <w:rPr>
          <w:color w:val="000000"/>
          <w:sz w:val="24"/>
        </w:rPr>
        <w:t>根据</w:t>
      </w:r>
      <w:r>
        <w:rPr>
          <w:color w:val="000000"/>
          <w:sz w:val="24"/>
        </w:rPr>
        <w:t>2014</w:t>
      </w:r>
      <w:r>
        <w:rPr>
          <w:color w:val="000000"/>
          <w:sz w:val="24"/>
        </w:rPr>
        <w:t>年中国证监会令第</w:t>
      </w:r>
      <w:r>
        <w:rPr>
          <w:color w:val="000000"/>
          <w:sz w:val="24"/>
        </w:rPr>
        <w:t>104</w:t>
      </w:r>
      <w:r>
        <w:rPr>
          <w:color w:val="000000"/>
          <w:sz w:val="24"/>
        </w:rPr>
        <w:t>号《公开募集证券投资基金运作管理办法》及基金管理人于</w:t>
      </w:r>
      <w:r>
        <w:rPr>
          <w:color w:val="000000"/>
          <w:sz w:val="24"/>
        </w:rPr>
        <w:t>2015</w:t>
      </w:r>
      <w:r>
        <w:rPr>
          <w:color w:val="000000"/>
          <w:sz w:val="24"/>
        </w:rPr>
        <w:t>年</w:t>
      </w:r>
      <w:r>
        <w:rPr>
          <w:color w:val="000000"/>
          <w:sz w:val="24"/>
        </w:rPr>
        <w:t>8</w:t>
      </w:r>
      <w:r>
        <w:rPr>
          <w:color w:val="000000"/>
          <w:sz w:val="24"/>
        </w:rPr>
        <w:t>月</w:t>
      </w:r>
      <w:r>
        <w:rPr>
          <w:color w:val="000000"/>
          <w:sz w:val="24"/>
        </w:rPr>
        <w:t>5</w:t>
      </w:r>
      <w:r>
        <w:rPr>
          <w:color w:val="000000"/>
          <w:sz w:val="24"/>
        </w:rPr>
        <w:t>日发布的《交银施罗德基金管理有限公司关于旗下部分基金变更基金类别及修改基金名称并相应修改基金合同和托管协议的公告》，交银施罗德成长</w:t>
      </w:r>
      <w:r>
        <w:rPr>
          <w:color w:val="000000"/>
          <w:sz w:val="24"/>
        </w:rPr>
        <w:t>30</w:t>
      </w:r>
      <w:r>
        <w:rPr>
          <w:color w:val="000000"/>
          <w:sz w:val="24"/>
        </w:rPr>
        <w:t>股票型证券投资基金自</w:t>
      </w:r>
      <w:r>
        <w:rPr>
          <w:color w:val="000000"/>
          <w:sz w:val="24"/>
        </w:rPr>
        <w:t>2015</w:t>
      </w:r>
      <w:r>
        <w:rPr>
          <w:color w:val="000000"/>
          <w:sz w:val="24"/>
        </w:rPr>
        <w:t>年</w:t>
      </w:r>
      <w:r>
        <w:rPr>
          <w:color w:val="000000"/>
          <w:sz w:val="24"/>
        </w:rPr>
        <w:t>8</w:t>
      </w:r>
      <w:r>
        <w:rPr>
          <w:color w:val="000000"/>
          <w:sz w:val="24"/>
        </w:rPr>
        <w:t>月</w:t>
      </w:r>
      <w:r>
        <w:rPr>
          <w:color w:val="000000"/>
          <w:sz w:val="24"/>
        </w:rPr>
        <w:t>8</w:t>
      </w:r>
      <w:r>
        <w:rPr>
          <w:color w:val="000000"/>
          <w:sz w:val="24"/>
        </w:rPr>
        <w:t>日起更名为交银施罗德成长</w:t>
      </w:r>
      <w:r>
        <w:rPr>
          <w:color w:val="000000"/>
          <w:sz w:val="24"/>
        </w:rPr>
        <w:t>30</w:t>
      </w:r>
      <w:r>
        <w:rPr>
          <w:color w:val="000000"/>
          <w:sz w:val="24"/>
        </w:rPr>
        <w:t>混合型证券投资基金。</w:t>
      </w:r>
    </w:p>
    <w:p w:rsidR="004A4B7D" w:rsidRDefault="00B235F4">
      <w:pPr>
        <w:spacing w:before="29" w:line="288" w:lineRule="auto"/>
        <w:ind w:firstLineChars="200" w:firstLine="480"/>
        <w:rPr>
          <w:color w:val="000000"/>
          <w:sz w:val="24"/>
        </w:rPr>
      </w:pPr>
      <w:r>
        <w:rPr>
          <w:color w:val="000000"/>
          <w:sz w:val="24"/>
        </w:rPr>
        <w:t>根据《中华人民共和国证券投资基金法》和《交银施罗德成长</w:t>
      </w:r>
      <w:r>
        <w:rPr>
          <w:color w:val="000000"/>
          <w:sz w:val="24"/>
        </w:rPr>
        <w:t>30</w:t>
      </w:r>
      <w:r>
        <w:rPr>
          <w:color w:val="000000"/>
          <w:sz w:val="24"/>
        </w:rPr>
        <w:t>混合型证券投资基金基金合同》的有关规定，本基金的投资范围为具有良好流动性的金融工具，包括国内依法发行上市的股票</w:t>
      </w:r>
      <w:r>
        <w:rPr>
          <w:color w:val="000000"/>
          <w:sz w:val="24"/>
        </w:rPr>
        <w:t>(</w:t>
      </w:r>
      <w:r>
        <w:rPr>
          <w:color w:val="000000"/>
          <w:sz w:val="24"/>
        </w:rPr>
        <w:t>含中小板、创业板及其他经中国证监会核准上市的股票</w:t>
      </w:r>
      <w:r>
        <w:rPr>
          <w:color w:val="000000"/>
          <w:sz w:val="24"/>
        </w:rPr>
        <w:t>)</w:t>
      </w:r>
      <w:r>
        <w:rPr>
          <w:color w:val="000000"/>
          <w:sz w:val="24"/>
        </w:rPr>
        <w:t>、债券、中期票据、货币市场工具、权证、资产支持证券、股指期货以及法律法规或中国证监会允许基金投资的其他金融工具</w:t>
      </w:r>
      <w:r>
        <w:rPr>
          <w:color w:val="000000"/>
          <w:sz w:val="24"/>
        </w:rPr>
        <w:t>(</w:t>
      </w:r>
      <w:r>
        <w:rPr>
          <w:color w:val="000000"/>
          <w:sz w:val="24"/>
        </w:rPr>
        <w:t>但须符合中国证监会相关规定</w:t>
      </w:r>
      <w:r>
        <w:rPr>
          <w:color w:val="000000"/>
          <w:sz w:val="24"/>
        </w:rPr>
        <w:t>)</w:t>
      </w:r>
      <w:r>
        <w:rPr>
          <w:color w:val="000000"/>
          <w:sz w:val="24"/>
        </w:rPr>
        <w:t>。本基金的投资组合比例为：股票资产占基金资产的</w:t>
      </w:r>
      <w:r>
        <w:rPr>
          <w:color w:val="000000"/>
          <w:sz w:val="24"/>
        </w:rPr>
        <w:t>60%-95%</w:t>
      </w:r>
      <w:r>
        <w:rPr>
          <w:color w:val="000000"/>
          <w:sz w:val="24"/>
        </w:rPr>
        <w:t>，其中投资于经过严格品质筛选、成长质量优良的成长型股票的资产比例不低于股票资产的</w:t>
      </w:r>
      <w:r>
        <w:rPr>
          <w:color w:val="000000"/>
          <w:sz w:val="24"/>
        </w:rPr>
        <w:t>80%</w:t>
      </w:r>
      <w:r>
        <w:rPr>
          <w:color w:val="000000"/>
          <w:sz w:val="24"/>
        </w:rPr>
        <w:t>；其余资产投资于债券、中期票据、货币市场工具、现金、权证、资产支持证券以及法律法规或中国证监会允许基金投资的其他证券品种；基金保留的现金或者投资于到期日在一年以内的政府债券的比例合计不低于基金资产净值的</w:t>
      </w:r>
      <w:r>
        <w:rPr>
          <w:color w:val="000000"/>
          <w:sz w:val="24"/>
        </w:rPr>
        <w:t>5%</w:t>
      </w:r>
      <w:r>
        <w:rPr>
          <w:color w:val="000000"/>
          <w:sz w:val="24"/>
        </w:rPr>
        <w:t>。自基金合同生效日至</w:t>
      </w:r>
      <w:r>
        <w:rPr>
          <w:color w:val="000000"/>
          <w:sz w:val="24"/>
        </w:rPr>
        <w:t>2015</w:t>
      </w:r>
      <w:r>
        <w:rPr>
          <w:color w:val="000000"/>
          <w:sz w:val="24"/>
        </w:rPr>
        <w:t>年</w:t>
      </w:r>
      <w:r>
        <w:rPr>
          <w:color w:val="000000"/>
          <w:sz w:val="24"/>
        </w:rPr>
        <w:t>9</w:t>
      </w:r>
      <w:r>
        <w:rPr>
          <w:color w:val="000000"/>
          <w:sz w:val="24"/>
        </w:rPr>
        <w:t>月</w:t>
      </w:r>
      <w:r>
        <w:rPr>
          <w:color w:val="000000"/>
          <w:sz w:val="24"/>
        </w:rPr>
        <w:t>30</w:t>
      </w:r>
      <w:r>
        <w:rPr>
          <w:color w:val="000000"/>
          <w:sz w:val="24"/>
        </w:rPr>
        <w:t>日，本基金的业绩比较基准为：</w:t>
      </w:r>
      <w:r>
        <w:rPr>
          <w:color w:val="000000"/>
          <w:sz w:val="24"/>
        </w:rPr>
        <w:t>75%×</w:t>
      </w:r>
      <w:r>
        <w:rPr>
          <w:color w:val="000000"/>
          <w:sz w:val="24"/>
        </w:rPr>
        <w:t>富时中国</w:t>
      </w:r>
      <w:r>
        <w:rPr>
          <w:color w:val="000000"/>
          <w:sz w:val="24"/>
        </w:rPr>
        <w:t>A600</w:t>
      </w:r>
      <w:r>
        <w:rPr>
          <w:color w:val="000000"/>
          <w:sz w:val="24"/>
        </w:rPr>
        <w:t>成长指数收益率</w:t>
      </w:r>
      <w:r>
        <w:rPr>
          <w:color w:val="000000"/>
          <w:sz w:val="24"/>
        </w:rPr>
        <w:t>+25%×</w:t>
      </w:r>
      <w:r>
        <w:rPr>
          <w:color w:val="000000"/>
          <w:sz w:val="24"/>
        </w:rPr>
        <w:t>中信标</w:t>
      </w:r>
      <w:proofErr w:type="gramStart"/>
      <w:r>
        <w:rPr>
          <w:color w:val="000000"/>
          <w:sz w:val="24"/>
        </w:rPr>
        <w:t>普全债指数</w:t>
      </w:r>
      <w:proofErr w:type="gramEnd"/>
      <w:r>
        <w:rPr>
          <w:color w:val="000000"/>
          <w:sz w:val="24"/>
        </w:rPr>
        <w:t>收益率。根据本基金的基金管理人于</w:t>
      </w:r>
      <w:r>
        <w:rPr>
          <w:color w:val="000000"/>
          <w:sz w:val="24"/>
        </w:rPr>
        <w:t>2015</w:t>
      </w:r>
      <w:r>
        <w:rPr>
          <w:color w:val="000000"/>
          <w:sz w:val="24"/>
        </w:rPr>
        <w:t>年</w:t>
      </w:r>
      <w:r>
        <w:rPr>
          <w:color w:val="000000"/>
          <w:sz w:val="24"/>
        </w:rPr>
        <w:t>9</w:t>
      </w:r>
      <w:r>
        <w:rPr>
          <w:color w:val="000000"/>
          <w:sz w:val="24"/>
        </w:rPr>
        <w:t>月</w:t>
      </w:r>
      <w:r>
        <w:rPr>
          <w:color w:val="000000"/>
          <w:sz w:val="24"/>
        </w:rPr>
        <w:t>28</w:t>
      </w:r>
      <w:r>
        <w:rPr>
          <w:color w:val="000000"/>
          <w:sz w:val="24"/>
        </w:rPr>
        <w:t>日发布的《交银施罗德基金管理有限公司关于旗下部分基金业绩比较基准变更并修改基金合同相关内容的公告》，自</w:t>
      </w:r>
      <w:r>
        <w:rPr>
          <w:color w:val="000000"/>
          <w:sz w:val="24"/>
        </w:rPr>
        <w:t>2015</w:t>
      </w:r>
      <w:r>
        <w:rPr>
          <w:color w:val="000000"/>
          <w:sz w:val="24"/>
        </w:rPr>
        <w:t>年</w:t>
      </w:r>
      <w:r>
        <w:rPr>
          <w:color w:val="000000"/>
          <w:sz w:val="24"/>
        </w:rPr>
        <w:t>10</w:t>
      </w:r>
      <w:r>
        <w:rPr>
          <w:color w:val="000000"/>
          <w:sz w:val="24"/>
        </w:rPr>
        <w:t>月</w:t>
      </w:r>
      <w:r>
        <w:rPr>
          <w:color w:val="000000"/>
          <w:sz w:val="24"/>
        </w:rPr>
        <w:t>1</w:t>
      </w:r>
      <w:r>
        <w:rPr>
          <w:color w:val="000000"/>
          <w:sz w:val="24"/>
        </w:rPr>
        <w:t>日起，本基金的业绩比较基准变更为：</w:t>
      </w:r>
      <w:r>
        <w:rPr>
          <w:color w:val="000000"/>
          <w:sz w:val="24"/>
        </w:rPr>
        <w:t>75%×</w:t>
      </w:r>
      <w:r>
        <w:rPr>
          <w:color w:val="000000"/>
          <w:sz w:val="24"/>
        </w:rPr>
        <w:t>富时中国</w:t>
      </w:r>
      <w:r>
        <w:rPr>
          <w:color w:val="000000"/>
          <w:sz w:val="24"/>
        </w:rPr>
        <w:t>A600</w:t>
      </w:r>
      <w:r>
        <w:rPr>
          <w:color w:val="000000"/>
          <w:sz w:val="24"/>
        </w:rPr>
        <w:t>成长指数收益率</w:t>
      </w:r>
      <w:r>
        <w:rPr>
          <w:color w:val="000000"/>
          <w:sz w:val="24"/>
        </w:rPr>
        <w:t>+25%×</w:t>
      </w:r>
      <w:r>
        <w:rPr>
          <w:color w:val="000000"/>
          <w:sz w:val="24"/>
        </w:rPr>
        <w:t>中证综合债券指数收益率。</w:t>
      </w:r>
    </w:p>
    <w:p w:rsidR="001A59F9" w:rsidRPr="002F6772" w:rsidRDefault="001A59F9" w:rsidP="002F6772">
      <w:pPr>
        <w:spacing w:before="29" w:line="288" w:lineRule="auto"/>
        <w:ind w:firstLineChars="200" w:firstLine="480"/>
        <w:rPr>
          <w:color w:val="000000"/>
          <w:sz w:val="24"/>
        </w:rPr>
      </w:pPr>
      <w:r w:rsidRPr="002F6772">
        <w:rPr>
          <w:color w:val="000000"/>
          <w:sz w:val="24"/>
        </w:rPr>
        <w:t>本财务报表由本基金的基金管理人交银施罗德基金管理有限公司于</w:t>
      </w:r>
      <w:r w:rsidRPr="002F6772">
        <w:rPr>
          <w:color w:val="000000"/>
          <w:sz w:val="24"/>
        </w:rPr>
        <w:t>2017</w:t>
      </w:r>
      <w:r w:rsidRPr="002F6772">
        <w:rPr>
          <w:color w:val="000000"/>
          <w:sz w:val="24"/>
        </w:rPr>
        <w:t>年</w:t>
      </w:r>
      <w:r w:rsidRPr="002F6772">
        <w:rPr>
          <w:color w:val="000000"/>
          <w:sz w:val="24"/>
        </w:rPr>
        <w:t>3</w:t>
      </w:r>
      <w:r w:rsidRPr="002F6772">
        <w:rPr>
          <w:color w:val="000000"/>
          <w:sz w:val="24"/>
        </w:rPr>
        <w:t>月</w:t>
      </w:r>
      <w:r w:rsidRPr="002F6772">
        <w:rPr>
          <w:color w:val="000000"/>
          <w:sz w:val="24"/>
        </w:rPr>
        <w:t>24</w:t>
      </w:r>
      <w:r w:rsidRPr="002F6772">
        <w:rPr>
          <w:color w:val="000000"/>
          <w:sz w:val="24"/>
        </w:rPr>
        <w:t>日批准报出。</w:t>
      </w:r>
    </w:p>
    <w:p w:rsidR="001A59F9" w:rsidRPr="00C51C77" w:rsidRDefault="001A59F9" w:rsidP="00016A50">
      <w:pPr>
        <w:tabs>
          <w:tab w:val="left" w:pos="2265"/>
        </w:tabs>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7.4.2</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会计报表的编制基础</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本基金的财务报表按照财政部于</w:t>
      </w:r>
      <w:r w:rsidRPr="002F6772">
        <w:rPr>
          <w:color w:val="000000"/>
          <w:sz w:val="24"/>
        </w:rPr>
        <w:t>2006</w:t>
      </w:r>
      <w:r w:rsidRPr="002F6772">
        <w:rPr>
          <w:color w:val="000000"/>
          <w:sz w:val="24"/>
        </w:rPr>
        <w:t>年</w:t>
      </w:r>
      <w:r w:rsidRPr="002F6772">
        <w:rPr>
          <w:color w:val="000000"/>
          <w:sz w:val="24"/>
        </w:rPr>
        <w:t>2</w:t>
      </w:r>
      <w:r w:rsidRPr="002F6772">
        <w:rPr>
          <w:color w:val="000000"/>
          <w:sz w:val="24"/>
        </w:rPr>
        <w:t>月</w:t>
      </w:r>
      <w:r w:rsidRPr="002F6772">
        <w:rPr>
          <w:color w:val="000000"/>
          <w:sz w:val="24"/>
        </w:rPr>
        <w:t>15</w:t>
      </w:r>
      <w:r w:rsidRPr="002F6772">
        <w:rPr>
          <w:color w:val="000000"/>
          <w:sz w:val="24"/>
        </w:rPr>
        <w:t>日及以后期间颁布的《企业会计准则－基本准则》、各项具体会计准则及相关规定</w:t>
      </w:r>
      <w:r w:rsidRPr="002F6772">
        <w:rPr>
          <w:color w:val="000000"/>
          <w:sz w:val="24"/>
        </w:rPr>
        <w:t>(</w:t>
      </w:r>
      <w:r w:rsidRPr="002F6772">
        <w:rPr>
          <w:color w:val="000000"/>
          <w:sz w:val="24"/>
        </w:rPr>
        <w:t>以下合称</w:t>
      </w:r>
      <w:r w:rsidRPr="002F6772">
        <w:rPr>
          <w:color w:val="000000"/>
          <w:sz w:val="24"/>
        </w:rPr>
        <w:t>“</w:t>
      </w:r>
      <w:r w:rsidRPr="002F6772">
        <w:rPr>
          <w:color w:val="000000"/>
          <w:sz w:val="24"/>
        </w:rPr>
        <w:t>企业会计准则</w:t>
      </w:r>
      <w:r w:rsidRPr="002F6772">
        <w:rPr>
          <w:color w:val="000000"/>
          <w:sz w:val="24"/>
        </w:rPr>
        <w:t>”)</w:t>
      </w:r>
      <w:r w:rsidRPr="002F6772">
        <w:rPr>
          <w:color w:val="000000"/>
          <w:sz w:val="24"/>
        </w:rPr>
        <w:t>、中国证监会颁布的《证券投资基金信息披露</w:t>
      </w:r>
      <w:r w:rsidRPr="002F6772">
        <w:rPr>
          <w:color w:val="000000"/>
          <w:sz w:val="24"/>
        </w:rPr>
        <w:t>XBRL</w:t>
      </w:r>
      <w:r w:rsidRPr="002F6772">
        <w:rPr>
          <w:color w:val="000000"/>
          <w:sz w:val="24"/>
        </w:rPr>
        <w:t>模板第</w:t>
      </w:r>
      <w:r w:rsidRPr="002F6772">
        <w:rPr>
          <w:color w:val="000000"/>
          <w:sz w:val="24"/>
        </w:rPr>
        <w:t>3</w:t>
      </w:r>
      <w:r w:rsidRPr="002F6772">
        <w:rPr>
          <w:color w:val="000000"/>
          <w:sz w:val="24"/>
        </w:rPr>
        <w:t>号</w:t>
      </w:r>
      <w:r w:rsidRPr="002F6772">
        <w:rPr>
          <w:color w:val="000000"/>
          <w:sz w:val="24"/>
        </w:rPr>
        <w:t>&lt;</w:t>
      </w:r>
      <w:r w:rsidRPr="002F6772">
        <w:rPr>
          <w:color w:val="000000"/>
          <w:sz w:val="24"/>
        </w:rPr>
        <w:t>年度报告和半年度报告</w:t>
      </w:r>
      <w:r w:rsidRPr="002F6772">
        <w:rPr>
          <w:color w:val="000000"/>
          <w:sz w:val="24"/>
        </w:rPr>
        <w:t>&gt;</w:t>
      </w:r>
      <w:r w:rsidRPr="002F6772">
        <w:rPr>
          <w:color w:val="000000"/>
          <w:sz w:val="24"/>
        </w:rPr>
        <w:t>》、中国证券投资基金业协会</w:t>
      </w:r>
      <w:r w:rsidRPr="002F6772">
        <w:rPr>
          <w:color w:val="000000"/>
          <w:sz w:val="24"/>
        </w:rPr>
        <w:t>(</w:t>
      </w:r>
      <w:r w:rsidRPr="002F6772">
        <w:rPr>
          <w:color w:val="000000"/>
          <w:sz w:val="24"/>
        </w:rPr>
        <w:t>以下简称</w:t>
      </w:r>
      <w:r w:rsidRPr="002F6772">
        <w:rPr>
          <w:color w:val="000000"/>
          <w:sz w:val="24"/>
        </w:rPr>
        <w:t>“</w:t>
      </w:r>
      <w:r w:rsidRPr="002F6772">
        <w:rPr>
          <w:color w:val="000000"/>
          <w:sz w:val="24"/>
        </w:rPr>
        <w:t>中国基金业协会</w:t>
      </w:r>
      <w:r w:rsidRPr="002F6772">
        <w:rPr>
          <w:color w:val="000000"/>
          <w:sz w:val="24"/>
        </w:rPr>
        <w:t>”)</w:t>
      </w:r>
      <w:r w:rsidRPr="002F6772">
        <w:rPr>
          <w:color w:val="000000"/>
          <w:sz w:val="24"/>
        </w:rPr>
        <w:t>颁布的《证券投资基金会计核算业务指</w:t>
      </w:r>
      <w:r w:rsidRPr="002F6772">
        <w:rPr>
          <w:color w:val="000000"/>
          <w:sz w:val="24"/>
        </w:rPr>
        <w:lastRenderedPageBreak/>
        <w:t>引》、《交银施罗德成长</w:t>
      </w:r>
      <w:r w:rsidRPr="002F6772">
        <w:rPr>
          <w:color w:val="000000"/>
          <w:sz w:val="24"/>
        </w:rPr>
        <w:t>30</w:t>
      </w:r>
      <w:r w:rsidRPr="002F6772">
        <w:rPr>
          <w:color w:val="000000"/>
          <w:sz w:val="24"/>
        </w:rPr>
        <w:t>混合型证券投资基金基金合同》和在财务报表附注</w:t>
      </w:r>
      <w:r w:rsidRPr="002F6772">
        <w:rPr>
          <w:color w:val="000000"/>
          <w:sz w:val="24"/>
        </w:rPr>
        <w:t>7.4.4</w:t>
      </w:r>
      <w:r w:rsidRPr="002F6772">
        <w:rPr>
          <w:color w:val="000000"/>
          <w:sz w:val="24"/>
        </w:rPr>
        <w:t>所列示的中国证监会、中国基金业协会发布的有关规定及允许的基金行业实务操作编制。</w:t>
      </w:r>
    </w:p>
    <w:p w:rsidR="001A59F9" w:rsidRPr="00C51C77" w:rsidRDefault="001A59F9" w:rsidP="00016A50">
      <w:pPr>
        <w:spacing w:line="360" w:lineRule="auto"/>
        <w:ind w:firstLineChars="200" w:firstLine="422"/>
        <w:rPr>
          <w:rFonts w:asciiTheme="minorEastAsia" w:eastAsiaTheme="minorEastAsia" w:hAnsiTheme="minorEastAsia"/>
          <w:b/>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7.4.3</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遵循企业会计准则及其他有关规定的声明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w:t>
      </w:r>
      <w:r w:rsidRPr="002F6772">
        <w:rPr>
          <w:color w:val="000000"/>
          <w:sz w:val="24"/>
        </w:rPr>
        <w:t>2016</w:t>
      </w:r>
      <w:r w:rsidRPr="002F6772">
        <w:rPr>
          <w:color w:val="000000"/>
          <w:sz w:val="24"/>
        </w:rPr>
        <w:t>年度财务报表符合企业会计准则的要求，真实、完整地反映了本基金</w:t>
      </w:r>
      <w:r w:rsidRPr="002F6772">
        <w:rPr>
          <w:color w:val="000000"/>
          <w:sz w:val="24"/>
        </w:rPr>
        <w:t>2016</w:t>
      </w:r>
      <w:r w:rsidRPr="002F6772">
        <w:rPr>
          <w:color w:val="000000"/>
          <w:sz w:val="24"/>
        </w:rPr>
        <w:t>年</w:t>
      </w:r>
      <w:r w:rsidRPr="002F6772">
        <w:rPr>
          <w:color w:val="000000"/>
          <w:sz w:val="24"/>
        </w:rPr>
        <w:t>12</w:t>
      </w:r>
      <w:r w:rsidRPr="002F6772">
        <w:rPr>
          <w:color w:val="000000"/>
          <w:sz w:val="24"/>
        </w:rPr>
        <w:t>月</w:t>
      </w:r>
      <w:r w:rsidRPr="002F6772">
        <w:rPr>
          <w:color w:val="000000"/>
          <w:sz w:val="24"/>
        </w:rPr>
        <w:t>31</w:t>
      </w:r>
      <w:r w:rsidRPr="002F6772">
        <w:rPr>
          <w:color w:val="000000"/>
          <w:sz w:val="24"/>
        </w:rPr>
        <w:t>日的财务状况以及</w:t>
      </w:r>
      <w:r w:rsidRPr="002F6772">
        <w:rPr>
          <w:color w:val="000000"/>
          <w:sz w:val="24"/>
        </w:rPr>
        <w:t>2016</w:t>
      </w:r>
      <w:r w:rsidRPr="002F6772">
        <w:rPr>
          <w:color w:val="000000"/>
          <w:sz w:val="24"/>
        </w:rPr>
        <w:t>年度的经营成果和基金净值变动情况等有关信息。</w:t>
      </w:r>
    </w:p>
    <w:p w:rsidR="001A59F9" w:rsidRPr="00C51C77" w:rsidRDefault="001A59F9" w:rsidP="00016A50">
      <w:pPr>
        <w:spacing w:line="360" w:lineRule="auto"/>
        <w:ind w:firstLineChars="200" w:firstLine="422"/>
        <w:rPr>
          <w:rFonts w:asciiTheme="minorEastAsia" w:eastAsiaTheme="minorEastAsia" w:hAnsiTheme="minorEastAsia"/>
          <w:b/>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7.4.4</w:t>
      </w:r>
      <w:r w:rsidR="004C2C35" w:rsidRPr="00245C29">
        <w:rPr>
          <w:rFonts w:ascii="Times New Roman" w:hAnsi="Times New Roman" w:hint="eastAsia"/>
          <w:kern w:val="0"/>
          <w:szCs w:val="24"/>
        </w:rPr>
        <w:t xml:space="preserve"> </w:t>
      </w:r>
      <w:r w:rsidR="0096133D" w:rsidRPr="00245C29">
        <w:rPr>
          <w:rFonts w:ascii="Times New Roman" w:hAnsi="Times New Roman" w:hint="eastAsia"/>
          <w:kern w:val="0"/>
          <w:szCs w:val="24"/>
        </w:rPr>
        <w:t>本报告期所采用的会计政策、会计估计与最近一期年</w:t>
      </w:r>
      <w:proofErr w:type="gramStart"/>
      <w:r w:rsidR="0096133D" w:rsidRPr="00245C29">
        <w:rPr>
          <w:rFonts w:ascii="Times New Roman" w:hAnsi="Times New Roman" w:hint="eastAsia"/>
          <w:kern w:val="0"/>
          <w:szCs w:val="24"/>
        </w:rPr>
        <w:t>度报告</w:t>
      </w:r>
      <w:proofErr w:type="gramEnd"/>
      <w:r w:rsidR="0096133D" w:rsidRPr="00245C29">
        <w:rPr>
          <w:rFonts w:ascii="Times New Roman" w:hAnsi="Times New Roman" w:hint="eastAsia"/>
          <w:kern w:val="0"/>
          <w:szCs w:val="24"/>
        </w:rPr>
        <w:t>相一致的说明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本报告期所采用的会计政策、会计估计与最近一期年</w:t>
      </w:r>
      <w:proofErr w:type="gramStart"/>
      <w:r w:rsidRPr="002F6772">
        <w:rPr>
          <w:color w:val="000000"/>
          <w:sz w:val="24"/>
        </w:rPr>
        <w:t>度报告</w:t>
      </w:r>
      <w:proofErr w:type="gramEnd"/>
      <w:r w:rsidRPr="002F6772">
        <w:rPr>
          <w:color w:val="000000"/>
          <w:sz w:val="24"/>
        </w:rPr>
        <w:t>相一致。</w:t>
      </w:r>
    </w:p>
    <w:p w:rsidR="002F6772" w:rsidRPr="00C51C77" w:rsidRDefault="002F67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7.4.5</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会计政策和会计估计变更以及差错更正的说明</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7.4.5.1 </w:t>
      </w:r>
      <w:r w:rsidRPr="00245C29">
        <w:rPr>
          <w:rFonts w:ascii="Times New Roman" w:hAnsi="Times New Roman" w:hint="eastAsia"/>
          <w:kern w:val="0"/>
          <w:szCs w:val="24"/>
        </w:rPr>
        <w:t>会计政策变更的说明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本基金本报告期未发生会计政策变更。</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C51C77" w:rsidRDefault="001A59F9" w:rsidP="00245C29">
      <w:pPr>
        <w:pStyle w:val="20"/>
        <w:spacing w:before="29" w:after="0" w:line="288" w:lineRule="auto"/>
        <w:rPr>
          <w:rFonts w:asciiTheme="minorEastAsia" w:eastAsiaTheme="minorEastAsia" w:hAnsiTheme="minorEastAsia"/>
          <w:b w:val="0"/>
          <w:color w:val="000000"/>
          <w:kern w:val="0"/>
          <w:szCs w:val="21"/>
        </w:rPr>
      </w:pPr>
      <w:r w:rsidRPr="00245C29">
        <w:rPr>
          <w:rFonts w:ascii="Times New Roman" w:hAnsi="Times New Roman"/>
          <w:kern w:val="0"/>
          <w:szCs w:val="24"/>
        </w:rPr>
        <w:t xml:space="preserve">7.4.5.2 </w:t>
      </w:r>
      <w:r w:rsidRPr="00245C29">
        <w:rPr>
          <w:rFonts w:ascii="Times New Roman" w:hAnsi="Times New Roman" w:hint="eastAsia"/>
          <w:kern w:val="0"/>
          <w:szCs w:val="24"/>
        </w:rPr>
        <w:t>会计估计变更的说明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本基金本报告期未发生会计估计变更。</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 xml:space="preserve">7.4.5.3 </w:t>
      </w:r>
      <w:r w:rsidRPr="00245C29">
        <w:rPr>
          <w:rFonts w:ascii="Times New Roman" w:hAnsi="Times New Roman" w:hint="eastAsia"/>
          <w:kern w:val="0"/>
          <w:szCs w:val="24"/>
        </w:rPr>
        <w:t>差错更正的说明</w:t>
      </w:r>
    </w:p>
    <w:p w:rsidR="001A59F9" w:rsidRPr="002F6772" w:rsidRDefault="001A59F9" w:rsidP="002F6772">
      <w:pPr>
        <w:spacing w:before="29" w:line="288" w:lineRule="auto"/>
        <w:ind w:firstLineChars="200" w:firstLine="480"/>
        <w:rPr>
          <w:color w:val="000000"/>
          <w:sz w:val="24"/>
        </w:rPr>
      </w:pPr>
      <w:r w:rsidRPr="002F6772">
        <w:rPr>
          <w:color w:val="000000"/>
          <w:sz w:val="24"/>
        </w:rPr>
        <w:t>本基金在本报告期间无需说明的会计差错更正。</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7.4.6</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税项</w:t>
      </w:r>
    </w:p>
    <w:p w:rsidR="004A4B7D" w:rsidRDefault="00B235F4">
      <w:pPr>
        <w:spacing w:before="29" w:line="288" w:lineRule="auto"/>
        <w:ind w:firstLineChars="200" w:firstLine="480"/>
        <w:rPr>
          <w:color w:val="000000"/>
          <w:sz w:val="24"/>
        </w:rPr>
      </w:pPr>
      <w:r>
        <w:rPr>
          <w:color w:val="000000"/>
          <w:sz w:val="24"/>
        </w:rPr>
        <w:t>根据财政部、国家税务总局财税</w:t>
      </w:r>
      <w:r>
        <w:rPr>
          <w:color w:val="000000"/>
          <w:sz w:val="24"/>
        </w:rPr>
        <w:t>[2004]78</w:t>
      </w:r>
      <w:r>
        <w:rPr>
          <w:color w:val="000000"/>
          <w:sz w:val="24"/>
        </w:rPr>
        <w:t>号《财政部、国家税务总局关于证券投资基金税收政策的通知》、财税</w:t>
      </w:r>
      <w:r>
        <w:rPr>
          <w:color w:val="000000"/>
          <w:sz w:val="24"/>
        </w:rPr>
        <w:t>[2008]1</w:t>
      </w:r>
      <w:r>
        <w:rPr>
          <w:color w:val="000000"/>
          <w:sz w:val="24"/>
        </w:rPr>
        <w:t>号《关于企业所得税若干优惠政策的通知》、财税</w:t>
      </w:r>
      <w:r>
        <w:rPr>
          <w:color w:val="000000"/>
          <w:sz w:val="24"/>
        </w:rPr>
        <w:t>[2012]85</w:t>
      </w:r>
      <w:r>
        <w:rPr>
          <w:color w:val="000000"/>
          <w:sz w:val="24"/>
        </w:rPr>
        <w:t>号《关于实施上市公司股息红利差别化个人所得税政策有关问题的通知》、财税</w:t>
      </w:r>
      <w:r>
        <w:rPr>
          <w:color w:val="000000"/>
          <w:sz w:val="24"/>
        </w:rPr>
        <w:t>[2015]101</w:t>
      </w:r>
      <w:r>
        <w:rPr>
          <w:color w:val="000000"/>
          <w:sz w:val="24"/>
        </w:rPr>
        <w:t>号《关于上市公司股息红利差别化个人所得税政策有关问题的通知》、财税</w:t>
      </w:r>
      <w:r>
        <w:rPr>
          <w:color w:val="000000"/>
          <w:sz w:val="24"/>
        </w:rPr>
        <w:t>[2016]36</w:t>
      </w:r>
      <w:r>
        <w:rPr>
          <w:color w:val="000000"/>
          <w:sz w:val="24"/>
        </w:rPr>
        <w:t>号《关于全面推开营业税改征增值税试点的通知》、财税</w:t>
      </w:r>
      <w:r>
        <w:rPr>
          <w:color w:val="000000"/>
          <w:sz w:val="24"/>
        </w:rPr>
        <w:t>[2016]46</w:t>
      </w:r>
      <w:r>
        <w:rPr>
          <w:color w:val="000000"/>
          <w:sz w:val="24"/>
        </w:rPr>
        <w:t>号《关于进一步明确全面推开营改增试点金融业有关政策的通知》、财税</w:t>
      </w:r>
      <w:r>
        <w:rPr>
          <w:color w:val="000000"/>
          <w:sz w:val="24"/>
        </w:rPr>
        <w:t>[2016]70</w:t>
      </w:r>
      <w:r>
        <w:rPr>
          <w:color w:val="000000"/>
          <w:sz w:val="24"/>
        </w:rPr>
        <w:t>号《关于金融机构同业往来等增值税政策的补充通知》及其他相关财税法规和实务操作，主要税项列示如下：</w:t>
      </w:r>
    </w:p>
    <w:p w:rsidR="004A4B7D" w:rsidRDefault="00B235F4">
      <w:pPr>
        <w:spacing w:before="29" w:line="288" w:lineRule="auto"/>
        <w:ind w:firstLineChars="200" w:firstLine="480"/>
        <w:rPr>
          <w:color w:val="000000"/>
          <w:sz w:val="24"/>
        </w:rPr>
      </w:pPr>
      <w:r>
        <w:rPr>
          <w:color w:val="000000"/>
          <w:sz w:val="24"/>
        </w:rPr>
        <w:t>(1)</w:t>
      </w:r>
      <w:r>
        <w:rPr>
          <w:color w:val="000000"/>
          <w:sz w:val="24"/>
        </w:rPr>
        <w:t>于</w:t>
      </w:r>
      <w:r>
        <w:rPr>
          <w:color w:val="000000"/>
          <w:sz w:val="24"/>
        </w:rPr>
        <w:t>2016</w:t>
      </w:r>
      <w:r>
        <w:rPr>
          <w:color w:val="000000"/>
          <w:sz w:val="24"/>
        </w:rPr>
        <w:t>年</w:t>
      </w:r>
      <w:r>
        <w:rPr>
          <w:color w:val="000000"/>
          <w:sz w:val="24"/>
        </w:rPr>
        <w:t>5</w:t>
      </w:r>
      <w:r>
        <w:rPr>
          <w:color w:val="000000"/>
          <w:sz w:val="24"/>
        </w:rPr>
        <w:t>月</w:t>
      </w:r>
      <w:r>
        <w:rPr>
          <w:color w:val="000000"/>
          <w:sz w:val="24"/>
        </w:rPr>
        <w:t>1</w:t>
      </w:r>
      <w:r>
        <w:rPr>
          <w:color w:val="000000"/>
          <w:sz w:val="24"/>
        </w:rPr>
        <w:t>日前，以发行基金方式募集资金不属于营业税征收范围，不征收营业税。对证券投资基金管理人运用基金买卖股票、债券的差价收入免征营业税。自</w:t>
      </w:r>
      <w:r>
        <w:rPr>
          <w:color w:val="000000"/>
          <w:sz w:val="24"/>
        </w:rPr>
        <w:t>2016</w:t>
      </w:r>
      <w:r>
        <w:rPr>
          <w:color w:val="000000"/>
          <w:sz w:val="24"/>
        </w:rPr>
        <w:t>年</w:t>
      </w:r>
      <w:r>
        <w:rPr>
          <w:color w:val="000000"/>
          <w:sz w:val="24"/>
        </w:rPr>
        <w:t>5</w:t>
      </w:r>
      <w:r>
        <w:rPr>
          <w:color w:val="000000"/>
          <w:sz w:val="24"/>
        </w:rPr>
        <w:t>月</w:t>
      </w:r>
      <w:r>
        <w:rPr>
          <w:color w:val="000000"/>
          <w:sz w:val="24"/>
        </w:rPr>
        <w:t>1</w:t>
      </w:r>
      <w:r>
        <w:rPr>
          <w:color w:val="000000"/>
          <w:sz w:val="24"/>
        </w:rPr>
        <w:t>日起，金融业由缴纳营业税改为缴纳增值税。对证券投资基金管理人运用基金买卖股票、债券的转让收入免征增值税，对国债、地方政府债以及金融同业往来利息收入亦免征增值税</w:t>
      </w:r>
      <w:r>
        <w:rPr>
          <w:color w:val="000000"/>
          <w:sz w:val="24"/>
        </w:rPr>
        <w:t xml:space="preserve"> </w:t>
      </w:r>
      <w:r>
        <w:rPr>
          <w:color w:val="000000"/>
          <w:sz w:val="24"/>
        </w:rPr>
        <w:t>。</w:t>
      </w:r>
    </w:p>
    <w:p w:rsidR="004A4B7D" w:rsidRDefault="00B235F4">
      <w:pPr>
        <w:spacing w:before="29" w:line="288" w:lineRule="auto"/>
        <w:ind w:firstLineChars="200" w:firstLine="480"/>
        <w:rPr>
          <w:color w:val="000000"/>
          <w:sz w:val="24"/>
        </w:rPr>
      </w:pPr>
      <w:r>
        <w:rPr>
          <w:color w:val="000000"/>
          <w:sz w:val="24"/>
        </w:rPr>
        <w:lastRenderedPageBreak/>
        <w:t>(2)</w:t>
      </w:r>
      <w:r>
        <w:rPr>
          <w:color w:val="000000"/>
          <w:sz w:val="24"/>
        </w:rPr>
        <w:t>对基金从证券市场中取得的收入，包括买卖股票、债券的差价收入，股票的股息、红利收入，债券的利息收入及其他收入，暂不征收企业所得税。</w:t>
      </w:r>
    </w:p>
    <w:p w:rsidR="004A4B7D" w:rsidRDefault="00B235F4">
      <w:pPr>
        <w:spacing w:before="29" w:line="288" w:lineRule="auto"/>
        <w:ind w:firstLineChars="200" w:firstLine="480"/>
        <w:rPr>
          <w:color w:val="000000"/>
          <w:sz w:val="24"/>
        </w:rPr>
      </w:pPr>
      <w:r>
        <w:rPr>
          <w:color w:val="000000"/>
          <w:sz w:val="24"/>
        </w:rPr>
        <w:t>(3)</w:t>
      </w:r>
      <w:r>
        <w:rPr>
          <w:color w:val="000000"/>
          <w:sz w:val="24"/>
        </w:rPr>
        <w:t>对基金取得的企业债券利息收入，应由发行债券的企业在向基金支付利息时代扣代缴</w:t>
      </w:r>
      <w:r>
        <w:rPr>
          <w:color w:val="000000"/>
          <w:sz w:val="24"/>
        </w:rPr>
        <w:t>20%</w:t>
      </w:r>
      <w:r>
        <w:rPr>
          <w:color w:val="000000"/>
          <w:sz w:val="24"/>
        </w:rPr>
        <w:t>的个人所得税。对基金从上市公司取得的股息红利所得，持股期限在</w:t>
      </w:r>
      <w:r>
        <w:rPr>
          <w:color w:val="000000"/>
          <w:sz w:val="24"/>
        </w:rPr>
        <w:t>1</w:t>
      </w:r>
      <w:r>
        <w:rPr>
          <w:color w:val="000000"/>
          <w:sz w:val="24"/>
        </w:rPr>
        <w:t>个月以内</w:t>
      </w:r>
      <w:r>
        <w:rPr>
          <w:color w:val="000000"/>
          <w:sz w:val="24"/>
        </w:rPr>
        <w:t>(</w:t>
      </w:r>
      <w:r>
        <w:rPr>
          <w:color w:val="000000"/>
          <w:sz w:val="24"/>
        </w:rPr>
        <w:t>含</w:t>
      </w:r>
      <w:r>
        <w:rPr>
          <w:color w:val="000000"/>
          <w:sz w:val="24"/>
        </w:rPr>
        <w:t>1</w:t>
      </w:r>
      <w:r>
        <w:rPr>
          <w:color w:val="000000"/>
          <w:sz w:val="24"/>
        </w:rPr>
        <w:t>个月</w:t>
      </w:r>
      <w:r>
        <w:rPr>
          <w:color w:val="000000"/>
          <w:sz w:val="24"/>
        </w:rPr>
        <w:t>)</w:t>
      </w:r>
      <w:r>
        <w:rPr>
          <w:color w:val="000000"/>
          <w:sz w:val="24"/>
        </w:rPr>
        <w:t>的，其股息红利所得全额计入应纳税所得额；持股期限在</w:t>
      </w:r>
      <w:r>
        <w:rPr>
          <w:color w:val="000000"/>
          <w:sz w:val="24"/>
        </w:rPr>
        <w:t>1</w:t>
      </w:r>
      <w:r>
        <w:rPr>
          <w:color w:val="000000"/>
          <w:sz w:val="24"/>
        </w:rPr>
        <w:t>个月以上至</w:t>
      </w:r>
      <w:r>
        <w:rPr>
          <w:color w:val="000000"/>
          <w:sz w:val="24"/>
        </w:rPr>
        <w:t>1</w:t>
      </w:r>
      <w:r>
        <w:rPr>
          <w:color w:val="000000"/>
          <w:sz w:val="24"/>
        </w:rPr>
        <w:t>年</w:t>
      </w:r>
      <w:r>
        <w:rPr>
          <w:color w:val="000000"/>
          <w:sz w:val="24"/>
        </w:rPr>
        <w:t>(</w:t>
      </w:r>
      <w:r>
        <w:rPr>
          <w:color w:val="000000"/>
          <w:sz w:val="24"/>
        </w:rPr>
        <w:t>含</w:t>
      </w:r>
      <w:r>
        <w:rPr>
          <w:color w:val="000000"/>
          <w:sz w:val="24"/>
        </w:rPr>
        <w:t>1</w:t>
      </w:r>
      <w:r>
        <w:rPr>
          <w:color w:val="000000"/>
          <w:sz w:val="24"/>
        </w:rPr>
        <w:t>年</w:t>
      </w:r>
      <w:r>
        <w:rPr>
          <w:color w:val="000000"/>
          <w:sz w:val="24"/>
        </w:rPr>
        <w:t>)</w:t>
      </w:r>
      <w:r>
        <w:rPr>
          <w:color w:val="000000"/>
          <w:sz w:val="24"/>
        </w:rPr>
        <w:t>的，暂减按</w:t>
      </w:r>
      <w:r>
        <w:rPr>
          <w:color w:val="000000"/>
          <w:sz w:val="24"/>
        </w:rPr>
        <w:t>50%</w:t>
      </w:r>
      <w:r>
        <w:rPr>
          <w:color w:val="000000"/>
          <w:sz w:val="24"/>
        </w:rPr>
        <w:t>计入应纳税所得额；持股期限超过</w:t>
      </w:r>
      <w:r>
        <w:rPr>
          <w:color w:val="000000"/>
          <w:sz w:val="24"/>
        </w:rPr>
        <w:t>1</w:t>
      </w:r>
      <w:r>
        <w:rPr>
          <w:color w:val="000000"/>
          <w:sz w:val="24"/>
        </w:rPr>
        <w:t>年的，暂免征收个人所得税。对基金持有的上市公司限售股，解禁后取得的股息、红利收入，按照上述规定计算纳税，持股时间自解禁日起计算；解禁前取得的股息、红利收入继续暂减按</w:t>
      </w:r>
      <w:r>
        <w:rPr>
          <w:color w:val="000000"/>
          <w:sz w:val="24"/>
        </w:rPr>
        <w:t>50%</w:t>
      </w:r>
      <w:r>
        <w:rPr>
          <w:color w:val="000000"/>
          <w:sz w:val="24"/>
        </w:rPr>
        <w:t>计入应纳税所得额。上述所得统一适用</w:t>
      </w:r>
      <w:r>
        <w:rPr>
          <w:color w:val="000000"/>
          <w:sz w:val="24"/>
        </w:rPr>
        <w:t>20%</w:t>
      </w:r>
      <w:r>
        <w:rPr>
          <w:color w:val="000000"/>
          <w:sz w:val="24"/>
        </w:rPr>
        <w:t>的税率计征个人所得税。</w:t>
      </w:r>
    </w:p>
    <w:p w:rsidR="001A59F9" w:rsidRPr="002F6772" w:rsidRDefault="001A59F9" w:rsidP="002F6772">
      <w:pPr>
        <w:spacing w:before="29" w:line="288" w:lineRule="auto"/>
        <w:ind w:firstLineChars="200" w:firstLine="480"/>
        <w:rPr>
          <w:color w:val="000000"/>
          <w:sz w:val="24"/>
        </w:rPr>
      </w:pPr>
      <w:r w:rsidRPr="002F6772">
        <w:rPr>
          <w:color w:val="000000"/>
          <w:sz w:val="24"/>
        </w:rPr>
        <w:t>(4)</w:t>
      </w:r>
      <w:r w:rsidRPr="002F6772">
        <w:rPr>
          <w:color w:val="000000"/>
          <w:sz w:val="24"/>
        </w:rPr>
        <w:t>基金卖出股票按</w:t>
      </w:r>
      <w:r w:rsidRPr="002F6772">
        <w:rPr>
          <w:color w:val="000000"/>
          <w:sz w:val="24"/>
        </w:rPr>
        <w:t>0.1%</w:t>
      </w:r>
      <w:r w:rsidRPr="002F6772">
        <w:rPr>
          <w:color w:val="000000"/>
          <w:sz w:val="24"/>
        </w:rPr>
        <w:t>的税率缴纳股票交易印花税，买入股票不征收股票交易印花税。</w:t>
      </w:r>
    </w:p>
    <w:p w:rsidR="001A59F9" w:rsidRPr="00C51C77" w:rsidRDefault="001A59F9" w:rsidP="00016A50">
      <w:pPr>
        <w:spacing w:line="360" w:lineRule="auto"/>
        <w:ind w:firstLineChars="200" w:firstLine="420"/>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7.4.7</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关联方关系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3780"/>
      </w:tblGrid>
      <w:tr w:rsidR="001A59F9" w:rsidRPr="00C51C77" w:rsidTr="006D141C">
        <w:tc>
          <w:tcPr>
            <w:tcW w:w="5220" w:type="dxa"/>
          </w:tcPr>
          <w:p w:rsidR="001A59F9" w:rsidRPr="004C38F5" w:rsidRDefault="001A59F9" w:rsidP="004C38F5">
            <w:pPr>
              <w:spacing w:before="29" w:line="288" w:lineRule="auto"/>
              <w:jc w:val="center"/>
              <w:rPr>
                <w:color w:val="000000"/>
                <w:sz w:val="24"/>
              </w:rPr>
            </w:pPr>
            <w:r w:rsidRPr="004C38F5">
              <w:rPr>
                <w:rFonts w:hint="eastAsia"/>
                <w:color w:val="000000"/>
                <w:sz w:val="24"/>
              </w:rPr>
              <w:t>关联方名称</w:t>
            </w:r>
          </w:p>
        </w:tc>
        <w:tc>
          <w:tcPr>
            <w:tcW w:w="3780" w:type="dxa"/>
          </w:tcPr>
          <w:p w:rsidR="001A59F9" w:rsidRPr="004C38F5" w:rsidRDefault="001A59F9" w:rsidP="004C38F5">
            <w:pPr>
              <w:spacing w:before="29" w:line="288" w:lineRule="auto"/>
              <w:jc w:val="center"/>
              <w:rPr>
                <w:color w:val="000000"/>
                <w:sz w:val="24"/>
              </w:rPr>
            </w:pPr>
            <w:r w:rsidRPr="004C38F5">
              <w:rPr>
                <w:rFonts w:hint="eastAsia"/>
                <w:color w:val="000000"/>
                <w:sz w:val="24"/>
              </w:rPr>
              <w:t>与本基金的关系</w:t>
            </w:r>
          </w:p>
        </w:tc>
      </w:tr>
      <w:tr w:rsidR="004A4B7D">
        <w:tc>
          <w:tcPr>
            <w:tcW w:w="5220" w:type="dxa"/>
            <w:vAlign w:val="center"/>
          </w:tcPr>
          <w:p w:rsidR="004A4B7D" w:rsidRDefault="00B235F4">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80" w:type="dxa"/>
            <w:vAlign w:val="center"/>
          </w:tcPr>
          <w:p w:rsidR="004A4B7D" w:rsidRDefault="00B235F4">
            <w:pPr>
              <w:jc w:val="center"/>
            </w:pPr>
            <w:r>
              <w:rPr>
                <w:color w:val="000000"/>
                <w:sz w:val="24"/>
              </w:rPr>
              <w:t>基金管理人、基金销售机构</w:t>
            </w:r>
          </w:p>
        </w:tc>
      </w:tr>
      <w:tr w:rsidR="004A4B7D">
        <w:tc>
          <w:tcPr>
            <w:tcW w:w="5220" w:type="dxa"/>
            <w:vAlign w:val="center"/>
          </w:tcPr>
          <w:p w:rsidR="004A4B7D" w:rsidRDefault="00B235F4">
            <w:pPr>
              <w:jc w:val="left"/>
            </w:pPr>
            <w:r>
              <w:rPr>
                <w:color w:val="000000"/>
                <w:sz w:val="24"/>
              </w:rPr>
              <w:t>中国建设银行股份有限公司</w:t>
            </w:r>
            <w:r>
              <w:rPr>
                <w:color w:val="000000"/>
                <w:sz w:val="24"/>
              </w:rPr>
              <w:t>(“</w:t>
            </w:r>
            <w:r>
              <w:rPr>
                <w:color w:val="000000"/>
                <w:sz w:val="24"/>
              </w:rPr>
              <w:t>中国建设银行</w:t>
            </w:r>
            <w:r>
              <w:rPr>
                <w:color w:val="000000"/>
                <w:sz w:val="24"/>
              </w:rPr>
              <w:t>”)</w:t>
            </w:r>
          </w:p>
        </w:tc>
        <w:tc>
          <w:tcPr>
            <w:tcW w:w="3780" w:type="dxa"/>
            <w:vAlign w:val="center"/>
          </w:tcPr>
          <w:p w:rsidR="004A4B7D" w:rsidRDefault="00B235F4">
            <w:pPr>
              <w:jc w:val="center"/>
            </w:pPr>
            <w:r>
              <w:rPr>
                <w:color w:val="000000"/>
                <w:sz w:val="24"/>
              </w:rPr>
              <w:t>基金托管人、基金销售机构</w:t>
            </w:r>
          </w:p>
        </w:tc>
      </w:tr>
      <w:tr w:rsidR="004A4B7D">
        <w:tc>
          <w:tcPr>
            <w:tcW w:w="5220" w:type="dxa"/>
            <w:vAlign w:val="center"/>
          </w:tcPr>
          <w:p w:rsidR="004A4B7D" w:rsidRDefault="00B235F4">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80" w:type="dxa"/>
            <w:vAlign w:val="center"/>
          </w:tcPr>
          <w:p w:rsidR="004A4B7D" w:rsidRDefault="00B235F4">
            <w:pPr>
              <w:jc w:val="center"/>
            </w:pPr>
            <w:r>
              <w:rPr>
                <w:color w:val="000000"/>
                <w:sz w:val="24"/>
              </w:rPr>
              <w:t>基金管理人的股东、基金销售机构</w:t>
            </w:r>
          </w:p>
        </w:tc>
      </w:tr>
      <w:tr w:rsidR="004A4B7D">
        <w:tc>
          <w:tcPr>
            <w:tcW w:w="5220" w:type="dxa"/>
            <w:vAlign w:val="center"/>
          </w:tcPr>
          <w:p w:rsidR="004A4B7D" w:rsidRDefault="00B235F4">
            <w:pPr>
              <w:jc w:val="left"/>
            </w:pPr>
            <w:r>
              <w:rPr>
                <w:color w:val="000000"/>
                <w:sz w:val="24"/>
              </w:rPr>
              <w:t>施罗德投资管理有限公司</w:t>
            </w:r>
          </w:p>
        </w:tc>
        <w:tc>
          <w:tcPr>
            <w:tcW w:w="3780" w:type="dxa"/>
            <w:vAlign w:val="center"/>
          </w:tcPr>
          <w:p w:rsidR="004A4B7D" w:rsidRDefault="00B235F4">
            <w:pPr>
              <w:jc w:val="center"/>
            </w:pPr>
            <w:r>
              <w:rPr>
                <w:color w:val="000000"/>
                <w:sz w:val="24"/>
              </w:rPr>
              <w:t>基金管理人的股东</w:t>
            </w:r>
          </w:p>
        </w:tc>
      </w:tr>
      <w:tr w:rsidR="004A4B7D">
        <w:tc>
          <w:tcPr>
            <w:tcW w:w="5220" w:type="dxa"/>
            <w:vAlign w:val="center"/>
          </w:tcPr>
          <w:p w:rsidR="004A4B7D" w:rsidRDefault="00B235F4">
            <w:pPr>
              <w:jc w:val="left"/>
            </w:pPr>
            <w:r>
              <w:rPr>
                <w:color w:val="000000"/>
                <w:sz w:val="24"/>
              </w:rPr>
              <w:t>中国国际海运集装箱</w:t>
            </w:r>
            <w:r>
              <w:rPr>
                <w:color w:val="000000"/>
                <w:sz w:val="24"/>
              </w:rPr>
              <w:t>(</w:t>
            </w:r>
            <w:r>
              <w:rPr>
                <w:color w:val="000000"/>
                <w:sz w:val="24"/>
              </w:rPr>
              <w:t>集团</w:t>
            </w:r>
            <w:r>
              <w:rPr>
                <w:color w:val="000000"/>
                <w:sz w:val="24"/>
              </w:rPr>
              <w:t>)</w:t>
            </w:r>
            <w:r>
              <w:rPr>
                <w:color w:val="000000"/>
                <w:sz w:val="24"/>
              </w:rPr>
              <w:t>股份有限公司</w:t>
            </w:r>
          </w:p>
        </w:tc>
        <w:tc>
          <w:tcPr>
            <w:tcW w:w="3780" w:type="dxa"/>
            <w:vAlign w:val="center"/>
          </w:tcPr>
          <w:p w:rsidR="004A4B7D" w:rsidRDefault="00B235F4">
            <w:pPr>
              <w:jc w:val="center"/>
            </w:pPr>
            <w:r>
              <w:rPr>
                <w:color w:val="000000"/>
                <w:sz w:val="24"/>
              </w:rPr>
              <w:t>基金管理人的股东</w:t>
            </w:r>
          </w:p>
        </w:tc>
      </w:tr>
      <w:tr w:rsidR="004A4B7D">
        <w:tc>
          <w:tcPr>
            <w:tcW w:w="5220" w:type="dxa"/>
            <w:vAlign w:val="center"/>
          </w:tcPr>
          <w:p w:rsidR="004A4B7D" w:rsidRDefault="00B235F4">
            <w:pPr>
              <w:jc w:val="left"/>
            </w:pPr>
            <w:r>
              <w:rPr>
                <w:color w:val="000000"/>
                <w:sz w:val="24"/>
              </w:rPr>
              <w:t>交银施罗德资产管理有限公司</w:t>
            </w:r>
          </w:p>
        </w:tc>
        <w:tc>
          <w:tcPr>
            <w:tcW w:w="3780" w:type="dxa"/>
            <w:vAlign w:val="center"/>
          </w:tcPr>
          <w:p w:rsidR="004A4B7D" w:rsidRDefault="00B235F4">
            <w:pPr>
              <w:jc w:val="center"/>
            </w:pPr>
            <w:r>
              <w:rPr>
                <w:color w:val="000000"/>
                <w:sz w:val="24"/>
              </w:rPr>
              <w:t>基金管理人的子公司</w:t>
            </w:r>
          </w:p>
        </w:tc>
      </w:tr>
      <w:tr w:rsidR="004A4B7D">
        <w:tc>
          <w:tcPr>
            <w:tcW w:w="5220" w:type="dxa"/>
            <w:vAlign w:val="center"/>
          </w:tcPr>
          <w:p w:rsidR="004A4B7D" w:rsidRDefault="00B235F4">
            <w:pPr>
              <w:jc w:val="left"/>
            </w:pPr>
            <w:r>
              <w:rPr>
                <w:color w:val="000000"/>
                <w:sz w:val="24"/>
              </w:rPr>
              <w:t>上海直源投资管理有限公司</w:t>
            </w:r>
          </w:p>
        </w:tc>
        <w:tc>
          <w:tcPr>
            <w:tcW w:w="3780" w:type="dxa"/>
            <w:vAlign w:val="center"/>
          </w:tcPr>
          <w:p w:rsidR="004A4B7D" w:rsidRDefault="00B235F4">
            <w:pPr>
              <w:jc w:val="center"/>
            </w:pPr>
            <w:r>
              <w:rPr>
                <w:color w:val="000000"/>
                <w:sz w:val="24"/>
              </w:rPr>
              <w:t>受基金管理人控制的公司</w:t>
            </w:r>
          </w:p>
        </w:tc>
      </w:tr>
      <w:tr w:rsidR="004A4B7D">
        <w:tc>
          <w:tcPr>
            <w:tcW w:w="5220" w:type="dxa"/>
            <w:vAlign w:val="center"/>
          </w:tcPr>
          <w:p w:rsidR="004A4B7D" w:rsidRDefault="00B235F4">
            <w:pPr>
              <w:jc w:val="left"/>
            </w:pPr>
            <w:r>
              <w:rPr>
                <w:color w:val="000000"/>
                <w:sz w:val="24"/>
              </w:rPr>
              <w:t>交</w:t>
            </w:r>
            <w:proofErr w:type="gramStart"/>
            <w:r>
              <w:rPr>
                <w:color w:val="000000"/>
                <w:sz w:val="24"/>
              </w:rPr>
              <w:t>烨</w:t>
            </w:r>
            <w:proofErr w:type="gramEnd"/>
            <w:r>
              <w:rPr>
                <w:color w:val="000000"/>
                <w:sz w:val="24"/>
              </w:rPr>
              <w:t>投资管理</w:t>
            </w:r>
            <w:r>
              <w:rPr>
                <w:color w:val="000000"/>
                <w:sz w:val="24"/>
              </w:rPr>
              <w:t>(</w:t>
            </w:r>
            <w:r>
              <w:rPr>
                <w:color w:val="000000"/>
                <w:sz w:val="24"/>
              </w:rPr>
              <w:t>上海</w:t>
            </w:r>
            <w:r>
              <w:rPr>
                <w:color w:val="000000"/>
                <w:sz w:val="24"/>
              </w:rPr>
              <w:t>)</w:t>
            </w:r>
            <w:r>
              <w:rPr>
                <w:color w:val="000000"/>
                <w:sz w:val="24"/>
              </w:rPr>
              <w:t>有限公司</w:t>
            </w:r>
          </w:p>
        </w:tc>
        <w:tc>
          <w:tcPr>
            <w:tcW w:w="3780" w:type="dxa"/>
            <w:vAlign w:val="center"/>
          </w:tcPr>
          <w:p w:rsidR="004A4B7D" w:rsidRDefault="00B235F4">
            <w:pPr>
              <w:jc w:val="center"/>
            </w:pPr>
            <w:r>
              <w:rPr>
                <w:color w:val="000000"/>
                <w:sz w:val="24"/>
              </w:rPr>
              <w:t>受基金管理人控制的公司</w:t>
            </w:r>
          </w:p>
        </w:tc>
      </w:tr>
    </w:tbl>
    <w:p w:rsidR="001A59F9" w:rsidRPr="00D508DC" w:rsidRDefault="001A59F9" w:rsidP="00D508DC">
      <w:pPr>
        <w:tabs>
          <w:tab w:val="left" w:pos="426"/>
        </w:tabs>
        <w:spacing w:before="29" w:line="288" w:lineRule="auto"/>
        <w:jc w:val="left"/>
        <w:rPr>
          <w:kern w:val="0"/>
          <w:sz w:val="24"/>
        </w:rPr>
      </w:pPr>
      <w:r w:rsidRPr="00D508DC">
        <w:rPr>
          <w:kern w:val="0"/>
          <w:sz w:val="24"/>
        </w:rPr>
        <w:t>注：下述关联交易均在正常业务范围内按一般商业条款订立。</w:t>
      </w:r>
    </w:p>
    <w:p w:rsidR="001A59F9" w:rsidRPr="00C51C77" w:rsidRDefault="001A59F9" w:rsidP="00026C9C">
      <w:pPr>
        <w:spacing w:line="360" w:lineRule="auto"/>
        <w:rPr>
          <w:rFonts w:asciiTheme="minorEastAsia" w:eastAsiaTheme="minorEastAsia" w:hAnsiTheme="minorEastAsia"/>
          <w:color w:val="000000"/>
          <w:szCs w:val="21"/>
        </w:rPr>
      </w:pPr>
      <w:r w:rsidRPr="00C51C77">
        <w:rPr>
          <w:rFonts w:asciiTheme="minorEastAsia" w:eastAsiaTheme="minorEastAsia" w:hAnsiTheme="minorEastAsia"/>
          <w:color w:val="000000"/>
          <w:szCs w:val="21"/>
        </w:rPr>
        <w:tab/>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本报告期及上年度可比期间的关联方交易</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7.4.8.1</w:t>
      </w:r>
      <w:r w:rsidR="004C2C35" w:rsidRPr="00245C29">
        <w:rPr>
          <w:rFonts w:ascii="Times New Roman" w:hAnsi="Times New Roman" w:hint="eastAsia"/>
          <w:kern w:val="0"/>
          <w:szCs w:val="24"/>
        </w:rPr>
        <w:t xml:space="preserve"> </w:t>
      </w:r>
      <w:r w:rsidRPr="00245C29">
        <w:rPr>
          <w:rFonts w:ascii="Times New Roman" w:hAnsi="Times New Roman" w:hint="eastAsia"/>
          <w:kern w:val="0"/>
          <w:szCs w:val="24"/>
        </w:rPr>
        <w:t>通过关联方交易单元进行的交易</w:t>
      </w:r>
    </w:p>
    <w:p w:rsidR="001A59F9" w:rsidRDefault="001A59F9" w:rsidP="002F6772">
      <w:pPr>
        <w:spacing w:before="29" w:line="288" w:lineRule="auto"/>
        <w:ind w:firstLineChars="200" w:firstLine="480"/>
        <w:rPr>
          <w:color w:val="000000"/>
          <w:sz w:val="24"/>
        </w:rPr>
      </w:pPr>
      <w:r w:rsidRPr="002F6772">
        <w:rPr>
          <w:color w:val="000000"/>
          <w:sz w:val="24"/>
        </w:rPr>
        <w:t>本基金本报告期内及上年度可比期间</w:t>
      </w:r>
      <w:proofErr w:type="gramStart"/>
      <w:r w:rsidRPr="002F6772">
        <w:rPr>
          <w:color w:val="000000"/>
          <w:sz w:val="24"/>
        </w:rPr>
        <w:t>无通过</w:t>
      </w:r>
      <w:proofErr w:type="gramEnd"/>
      <w:r w:rsidRPr="002F6772">
        <w:rPr>
          <w:color w:val="000000"/>
          <w:sz w:val="24"/>
        </w:rPr>
        <w:t>关联方交易单元进行的交易。</w:t>
      </w:r>
    </w:p>
    <w:p w:rsidR="00B64054" w:rsidRPr="002F6772" w:rsidRDefault="00B64054" w:rsidP="002F6772">
      <w:pPr>
        <w:spacing w:before="29" w:line="288" w:lineRule="auto"/>
        <w:ind w:firstLineChars="200" w:firstLine="480"/>
        <w:rPr>
          <w:color w:val="00000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关联方报酬</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7.4.8.2.1</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基金管理费</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C51C77" w:rsidTr="000F5396">
        <w:tc>
          <w:tcPr>
            <w:tcW w:w="3686"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项目</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本期</w:t>
            </w:r>
          </w:p>
          <w:p w:rsidR="001A59F9" w:rsidRPr="002C6C89" w:rsidRDefault="00F64FAD"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2016</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w:t>
            </w:r>
            <w:r w:rsidR="001A59F9" w:rsidRPr="002C6C89">
              <w:rPr>
                <w:rFonts w:hint="eastAsia"/>
                <w:bCs/>
                <w:color w:val="000000"/>
                <w:sz w:val="24"/>
              </w:rPr>
              <w:t>至</w:t>
            </w:r>
            <w:r w:rsidRPr="002C6C89">
              <w:rPr>
                <w:bCs/>
                <w:color w:val="000000"/>
                <w:sz w:val="24"/>
              </w:rPr>
              <w:t>2016</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上年度可比期间</w:t>
            </w:r>
          </w:p>
          <w:p w:rsidR="001A59F9" w:rsidRPr="002C6C89" w:rsidRDefault="007F35DC"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2015</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日至</w:t>
            </w:r>
            <w:r w:rsidRPr="002C6C89">
              <w:rPr>
                <w:bCs/>
                <w:color w:val="000000"/>
                <w:sz w:val="24"/>
              </w:rPr>
              <w:t>2015</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r>
      <w:tr w:rsidR="001A59F9" w:rsidRPr="00C51C77" w:rsidTr="00C657A6">
        <w:tc>
          <w:tcPr>
            <w:tcW w:w="3686" w:type="dxa"/>
            <w:vAlign w:val="center"/>
          </w:tcPr>
          <w:p w:rsidR="001A59F9" w:rsidRPr="009B5359" w:rsidRDefault="001A59F9" w:rsidP="009B5359">
            <w:pPr>
              <w:spacing w:before="29" w:line="288" w:lineRule="auto"/>
              <w:rPr>
                <w:sz w:val="24"/>
              </w:rPr>
            </w:pPr>
            <w:r w:rsidRPr="009B5359">
              <w:rPr>
                <w:rFonts w:hint="eastAsia"/>
                <w:sz w:val="24"/>
              </w:rPr>
              <w:t>当期发生的基金应支付的管理费</w:t>
            </w:r>
          </w:p>
        </w:tc>
        <w:tc>
          <w:tcPr>
            <w:tcW w:w="2657" w:type="dxa"/>
            <w:vAlign w:val="center"/>
          </w:tcPr>
          <w:p w:rsidR="001A59F9" w:rsidRPr="00924183" w:rsidRDefault="001A59F9" w:rsidP="00924183">
            <w:pPr>
              <w:spacing w:before="29" w:line="288" w:lineRule="auto"/>
              <w:jc w:val="right"/>
              <w:rPr>
                <w:sz w:val="24"/>
              </w:rPr>
            </w:pPr>
            <w:r w:rsidRPr="00924183">
              <w:rPr>
                <w:sz w:val="24"/>
              </w:rPr>
              <w:t>1,615,909.25</w:t>
            </w:r>
          </w:p>
        </w:tc>
        <w:tc>
          <w:tcPr>
            <w:tcW w:w="2657" w:type="dxa"/>
            <w:vAlign w:val="center"/>
          </w:tcPr>
          <w:p w:rsidR="001A59F9" w:rsidRPr="00924183" w:rsidRDefault="001A59F9" w:rsidP="00924183">
            <w:pPr>
              <w:spacing w:before="29" w:line="288" w:lineRule="auto"/>
              <w:jc w:val="right"/>
              <w:rPr>
                <w:sz w:val="24"/>
              </w:rPr>
            </w:pPr>
            <w:r w:rsidRPr="00924183">
              <w:rPr>
                <w:sz w:val="24"/>
              </w:rPr>
              <w:t>2,217,476.97</w:t>
            </w:r>
          </w:p>
        </w:tc>
      </w:tr>
      <w:tr w:rsidR="001A59F9" w:rsidRPr="00C51C77" w:rsidTr="00C657A6">
        <w:tc>
          <w:tcPr>
            <w:tcW w:w="3686" w:type="dxa"/>
            <w:vAlign w:val="center"/>
          </w:tcPr>
          <w:p w:rsidR="001A59F9" w:rsidRPr="009B5359" w:rsidRDefault="001A59F9" w:rsidP="009B5359">
            <w:pPr>
              <w:spacing w:before="29" w:line="288" w:lineRule="auto"/>
              <w:rPr>
                <w:sz w:val="24"/>
              </w:rPr>
            </w:pPr>
            <w:r w:rsidRPr="009B5359">
              <w:rPr>
                <w:rFonts w:hint="eastAsia"/>
                <w:sz w:val="24"/>
              </w:rPr>
              <w:t>其中：支付销售机构的客户维护</w:t>
            </w:r>
            <w:r w:rsidRPr="009B5359">
              <w:rPr>
                <w:rFonts w:hint="eastAsia"/>
                <w:sz w:val="24"/>
              </w:rPr>
              <w:lastRenderedPageBreak/>
              <w:t>费</w:t>
            </w:r>
          </w:p>
        </w:tc>
        <w:tc>
          <w:tcPr>
            <w:tcW w:w="2657" w:type="dxa"/>
            <w:vAlign w:val="center"/>
          </w:tcPr>
          <w:p w:rsidR="001A59F9" w:rsidRPr="00924183" w:rsidRDefault="001A59F9" w:rsidP="00924183">
            <w:pPr>
              <w:spacing w:before="29" w:line="288" w:lineRule="auto"/>
              <w:jc w:val="right"/>
              <w:rPr>
                <w:sz w:val="24"/>
              </w:rPr>
            </w:pPr>
            <w:r w:rsidRPr="00924183">
              <w:rPr>
                <w:sz w:val="24"/>
              </w:rPr>
              <w:lastRenderedPageBreak/>
              <w:t>555,636.05</w:t>
            </w:r>
          </w:p>
        </w:tc>
        <w:tc>
          <w:tcPr>
            <w:tcW w:w="2657" w:type="dxa"/>
            <w:vAlign w:val="center"/>
          </w:tcPr>
          <w:p w:rsidR="001A59F9" w:rsidRPr="00924183" w:rsidRDefault="001A59F9" w:rsidP="00924183">
            <w:pPr>
              <w:spacing w:before="29" w:line="288" w:lineRule="auto"/>
              <w:jc w:val="right"/>
              <w:rPr>
                <w:sz w:val="24"/>
              </w:rPr>
            </w:pPr>
            <w:r w:rsidRPr="00924183">
              <w:rPr>
                <w:sz w:val="24"/>
              </w:rPr>
              <w:t>864,022.98</w:t>
            </w:r>
          </w:p>
        </w:tc>
      </w:tr>
    </w:tbl>
    <w:p w:rsidR="004A4B7D" w:rsidRDefault="00B235F4">
      <w:pPr>
        <w:tabs>
          <w:tab w:val="left" w:pos="426"/>
        </w:tabs>
        <w:spacing w:before="29" w:line="288" w:lineRule="auto"/>
        <w:jc w:val="left"/>
        <w:rPr>
          <w:rFonts w:asciiTheme="minorEastAsia" w:eastAsiaTheme="minorEastAsia" w:hAnsiTheme="minorEastAsia" w:cs="宋体"/>
          <w:kern w:val="0"/>
          <w:szCs w:val="21"/>
        </w:rPr>
      </w:pPr>
      <w:r>
        <w:rPr>
          <w:kern w:val="0"/>
          <w:sz w:val="24"/>
        </w:rPr>
        <w:lastRenderedPageBreak/>
        <w:t>注：支付基金管理人的管理人报酬按前一日基金资产净值</w:t>
      </w:r>
      <w:r>
        <w:rPr>
          <w:kern w:val="0"/>
          <w:sz w:val="24"/>
        </w:rPr>
        <w:t>1.50%</w:t>
      </w:r>
      <w:r>
        <w:rPr>
          <w:kern w:val="0"/>
          <w:sz w:val="24"/>
        </w:rPr>
        <w:t>的年费率计提，逐日累计至每月月底，按月支付。其计算公式为：</w:t>
      </w:r>
    </w:p>
    <w:p w:rsidR="001A59F9" w:rsidRPr="00C51C77" w:rsidRDefault="001A59F9" w:rsidP="008C0DD5">
      <w:pPr>
        <w:tabs>
          <w:tab w:val="left" w:pos="426"/>
        </w:tabs>
        <w:spacing w:before="29" w:line="288" w:lineRule="auto"/>
        <w:jc w:val="left"/>
        <w:rPr>
          <w:rFonts w:asciiTheme="minorEastAsia" w:eastAsiaTheme="minorEastAsia" w:hAnsiTheme="minorEastAsia" w:cs="宋体"/>
          <w:kern w:val="0"/>
          <w:szCs w:val="21"/>
        </w:rPr>
      </w:pPr>
      <w:r w:rsidRPr="008C0DD5">
        <w:rPr>
          <w:kern w:val="0"/>
          <w:sz w:val="24"/>
        </w:rPr>
        <w:t>日管理人报酬＝前一日基金资产净值</w:t>
      </w:r>
      <w:r w:rsidRPr="008C0DD5">
        <w:rPr>
          <w:kern w:val="0"/>
          <w:sz w:val="24"/>
        </w:rPr>
        <w:t xml:space="preserve">×1.50% ÷ </w:t>
      </w:r>
      <w:r w:rsidRPr="008C0DD5">
        <w:rPr>
          <w:kern w:val="0"/>
          <w:sz w:val="24"/>
        </w:rPr>
        <w:t>当年天数。</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7.4.8.2.2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基金托管费</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C51C77" w:rsidTr="005B1208">
        <w:tc>
          <w:tcPr>
            <w:tcW w:w="3686" w:type="dxa"/>
            <w:vAlign w:val="center"/>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项目</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本期</w:t>
            </w:r>
          </w:p>
          <w:p w:rsidR="001A59F9" w:rsidRPr="002C6C89" w:rsidRDefault="00F64FAD"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2016</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w:t>
            </w:r>
            <w:r w:rsidR="001A59F9" w:rsidRPr="002C6C89">
              <w:rPr>
                <w:rFonts w:hint="eastAsia"/>
                <w:bCs/>
                <w:color w:val="000000"/>
                <w:sz w:val="24"/>
              </w:rPr>
              <w:t>至</w:t>
            </w:r>
            <w:r w:rsidRPr="002C6C89">
              <w:rPr>
                <w:bCs/>
                <w:color w:val="000000"/>
                <w:sz w:val="24"/>
              </w:rPr>
              <w:t>2016</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c>
          <w:tcPr>
            <w:tcW w:w="2657" w:type="dxa"/>
          </w:tcPr>
          <w:p w:rsidR="001A59F9" w:rsidRPr="002C6C89" w:rsidRDefault="001A59F9" w:rsidP="002C6C89">
            <w:pPr>
              <w:autoSpaceDE w:val="0"/>
              <w:autoSpaceDN w:val="0"/>
              <w:spacing w:before="29" w:line="288" w:lineRule="auto"/>
              <w:jc w:val="center"/>
              <w:textAlignment w:val="bottom"/>
              <w:rPr>
                <w:bCs/>
                <w:color w:val="000000"/>
                <w:sz w:val="24"/>
              </w:rPr>
            </w:pPr>
            <w:r w:rsidRPr="002C6C89">
              <w:rPr>
                <w:rFonts w:hint="eastAsia"/>
                <w:bCs/>
                <w:color w:val="000000"/>
                <w:sz w:val="24"/>
              </w:rPr>
              <w:t>上年度可比期间</w:t>
            </w:r>
          </w:p>
          <w:p w:rsidR="001A59F9" w:rsidRPr="002C6C89" w:rsidRDefault="007F35DC" w:rsidP="002C6C89">
            <w:pPr>
              <w:widowControl/>
              <w:autoSpaceDE w:val="0"/>
              <w:autoSpaceDN w:val="0"/>
              <w:spacing w:before="29" w:line="288" w:lineRule="auto"/>
              <w:ind w:right="-15"/>
              <w:jc w:val="center"/>
              <w:textAlignment w:val="bottom"/>
              <w:rPr>
                <w:bCs/>
                <w:color w:val="000000"/>
                <w:sz w:val="24"/>
              </w:rPr>
            </w:pPr>
            <w:r w:rsidRPr="002C6C89">
              <w:rPr>
                <w:bCs/>
                <w:color w:val="000000"/>
                <w:sz w:val="24"/>
              </w:rPr>
              <w:t>2015</w:t>
            </w:r>
            <w:r w:rsidRPr="002C6C89">
              <w:rPr>
                <w:bCs/>
                <w:color w:val="000000"/>
                <w:sz w:val="24"/>
              </w:rPr>
              <w:t>年</w:t>
            </w:r>
            <w:r w:rsidRPr="002C6C89">
              <w:rPr>
                <w:bCs/>
                <w:color w:val="000000"/>
                <w:sz w:val="24"/>
              </w:rPr>
              <w:t>1</w:t>
            </w:r>
            <w:r w:rsidRPr="002C6C89">
              <w:rPr>
                <w:bCs/>
                <w:color w:val="000000"/>
                <w:sz w:val="24"/>
              </w:rPr>
              <w:t>月</w:t>
            </w:r>
            <w:r w:rsidRPr="002C6C89">
              <w:rPr>
                <w:bCs/>
                <w:color w:val="000000"/>
                <w:sz w:val="24"/>
              </w:rPr>
              <w:t>1</w:t>
            </w:r>
            <w:r w:rsidRPr="002C6C89">
              <w:rPr>
                <w:bCs/>
                <w:color w:val="000000"/>
                <w:sz w:val="24"/>
              </w:rPr>
              <w:t>日至</w:t>
            </w:r>
            <w:r w:rsidRPr="002C6C89">
              <w:rPr>
                <w:bCs/>
                <w:color w:val="000000"/>
                <w:sz w:val="24"/>
              </w:rPr>
              <w:t>2015</w:t>
            </w:r>
            <w:r w:rsidRPr="002C6C89">
              <w:rPr>
                <w:bCs/>
                <w:color w:val="000000"/>
                <w:sz w:val="24"/>
              </w:rPr>
              <w:t>年</w:t>
            </w:r>
            <w:r w:rsidRPr="002C6C89">
              <w:rPr>
                <w:bCs/>
                <w:color w:val="000000"/>
                <w:sz w:val="24"/>
              </w:rPr>
              <w:t>12</w:t>
            </w:r>
            <w:r w:rsidRPr="002C6C89">
              <w:rPr>
                <w:bCs/>
                <w:color w:val="000000"/>
                <w:sz w:val="24"/>
              </w:rPr>
              <w:t>月</w:t>
            </w:r>
            <w:r w:rsidRPr="002C6C89">
              <w:rPr>
                <w:bCs/>
                <w:color w:val="000000"/>
                <w:sz w:val="24"/>
              </w:rPr>
              <w:t>31</w:t>
            </w:r>
            <w:r w:rsidRPr="002C6C89">
              <w:rPr>
                <w:bCs/>
                <w:color w:val="000000"/>
                <w:sz w:val="24"/>
              </w:rPr>
              <w:t>日</w:t>
            </w:r>
          </w:p>
        </w:tc>
      </w:tr>
      <w:tr w:rsidR="001A59F9" w:rsidRPr="00C51C77" w:rsidTr="005B1208">
        <w:tc>
          <w:tcPr>
            <w:tcW w:w="3686" w:type="dxa"/>
            <w:vAlign w:val="center"/>
          </w:tcPr>
          <w:p w:rsidR="001A59F9" w:rsidRPr="00C51C77" w:rsidRDefault="001A59F9" w:rsidP="00026C9C">
            <w:pPr>
              <w:spacing w:line="360" w:lineRule="auto"/>
              <w:rPr>
                <w:rFonts w:asciiTheme="minorEastAsia" w:eastAsiaTheme="minorEastAsia" w:hAnsiTheme="minorEastAsia"/>
                <w:color w:val="000000"/>
                <w:szCs w:val="21"/>
              </w:rPr>
            </w:pPr>
            <w:r w:rsidRPr="00243BD8">
              <w:rPr>
                <w:rFonts w:hint="eastAsia"/>
                <w:sz w:val="24"/>
              </w:rPr>
              <w:t>当期发生的基金应支付的托管费</w:t>
            </w:r>
          </w:p>
        </w:tc>
        <w:tc>
          <w:tcPr>
            <w:tcW w:w="2657" w:type="dxa"/>
            <w:vAlign w:val="center"/>
          </w:tcPr>
          <w:p w:rsidR="001A59F9" w:rsidRPr="00243BD8" w:rsidRDefault="001A59F9" w:rsidP="00243BD8">
            <w:pPr>
              <w:spacing w:before="29" w:line="288" w:lineRule="auto"/>
              <w:jc w:val="right"/>
              <w:rPr>
                <w:sz w:val="24"/>
              </w:rPr>
            </w:pPr>
            <w:r w:rsidRPr="00243BD8">
              <w:rPr>
                <w:sz w:val="24"/>
              </w:rPr>
              <w:t>269,318.11</w:t>
            </w:r>
          </w:p>
        </w:tc>
        <w:tc>
          <w:tcPr>
            <w:tcW w:w="2657" w:type="dxa"/>
            <w:vAlign w:val="center"/>
          </w:tcPr>
          <w:p w:rsidR="001A59F9" w:rsidRPr="00243BD8" w:rsidRDefault="001A59F9" w:rsidP="00243BD8">
            <w:pPr>
              <w:spacing w:before="29" w:line="288" w:lineRule="auto"/>
              <w:jc w:val="right"/>
              <w:rPr>
                <w:sz w:val="24"/>
              </w:rPr>
            </w:pPr>
            <w:r w:rsidRPr="00243BD8">
              <w:rPr>
                <w:sz w:val="24"/>
              </w:rPr>
              <w:t>369,579.51</w:t>
            </w:r>
          </w:p>
        </w:tc>
      </w:tr>
    </w:tbl>
    <w:p w:rsidR="004A4B7D" w:rsidRDefault="00B235F4">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0.25%</w:t>
      </w:r>
      <w:r>
        <w:rPr>
          <w:kern w:val="0"/>
          <w:sz w:val="24"/>
        </w:rPr>
        <w:t>的年费率计提，逐日累计至每月月底，按月支付。其计算公式为：</w:t>
      </w:r>
    </w:p>
    <w:p w:rsidR="001A59F9" w:rsidRPr="00243BD8" w:rsidRDefault="001A59F9" w:rsidP="00243BD8">
      <w:pPr>
        <w:tabs>
          <w:tab w:val="left" w:pos="426"/>
        </w:tabs>
        <w:spacing w:before="29" w:line="288" w:lineRule="auto"/>
        <w:jc w:val="left"/>
        <w:rPr>
          <w:kern w:val="0"/>
          <w:sz w:val="24"/>
        </w:rPr>
      </w:pPr>
      <w:r w:rsidRPr="00243BD8">
        <w:rPr>
          <w:kern w:val="0"/>
          <w:sz w:val="24"/>
        </w:rPr>
        <w:t>日托管费＝前一日基金资产净值</w:t>
      </w:r>
      <w:r w:rsidRPr="00243BD8">
        <w:rPr>
          <w:kern w:val="0"/>
          <w:sz w:val="24"/>
        </w:rPr>
        <w:t xml:space="preserve">×0.25% ÷ </w:t>
      </w:r>
      <w:r w:rsidRPr="00243BD8">
        <w:rPr>
          <w:kern w:val="0"/>
          <w:sz w:val="24"/>
        </w:rPr>
        <w:t>当年天数。</w:t>
      </w:r>
    </w:p>
    <w:p w:rsidR="001A59F9" w:rsidRPr="00C51C77" w:rsidRDefault="001A59F9" w:rsidP="00026C9C">
      <w:pPr>
        <w:spacing w:line="360" w:lineRule="auto"/>
        <w:rPr>
          <w:rFonts w:asciiTheme="minorEastAsia" w:eastAsiaTheme="minorEastAsia" w:hAnsiTheme="minorEastAsia"/>
          <w:color w:val="000000"/>
          <w:szCs w:val="21"/>
        </w:rPr>
      </w:pPr>
    </w:p>
    <w:p w:rsidR="00A1158C" w:rsidRPr="00A1158C" w:rsidRDefault="001A59F9" w:rsidP="00A1158C">
      <w:pPr>
        <w:pStyle w:val="20"/>
        <w:spacing w:before="29" w:after="0" w:line="288" w:lineRule="auto"/>
        <w:rPr>
          <w:rFonts w:ascii="Times New Roman" w:hAnsi="Times New Roman"/>
          <w:kern w:val="0"/>
          <w:szCs w:val="24"/>
        </w:rPr>
      </w:pPr>
      <w:r w:rsidRPr="00245C29">
        <w:rPr>
          <w:rFonts w:ascii="Times New Roman" w:hAnsi="Times New Roman"/>
          <w:kern w:val="0"/>
          <w:szCs w:val="24"/>
        </w:rPr>
        <w:t>7.4.8.2.3</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销售服务费</w:t>
      </w:r>
    </w:p>
    <w:p w:rsidR="000A1B00" w:rsidRPr="00846E38" w:rsidRDefault="000A1B00" w:rsidP="000A1B00">
      <w:pPr>
        <w:tabs>
          <w:tab w:val="left" w:pos="426"/>
        </w:tabs>
        <w:spacing w:before="29" w:line="288" w:lineRule="auto"/>
        <w:jc w:val="left"/>
        <w:rPr>
          <w:kern w:val="0"/>
          <w:sz w:val="24"/>
        </w:rPr>
      </w:pPr>
      <w:r w:rsidRPr="00846E38">
        <w:rPr>
          <w:kern w:val="0"/>
          <w:sz w:val="24"/>
        </w:rPr>
        <w:t>无。</w:t>
      </w:r>
    </w:p>
    <w:p w:rsidR="001A59F9" w:rsidRPr="00E90075" w:rsidRDefault="001A59F9" w:rsidP="00E90075">
      <w:pPr>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7.4.8.3</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与关联方进行银行间同业市场的债券</w:t>
      </w:r>
      <w:r w:rsidRPr="00245C29">
        <w:rPr>
          <w:rFonts w:ascii="Times New Roman" w:hAnsi="Times New Roman"/>
          <w:kern w:val="0"/>
          <w:szCs w:val="24"/>
        </w:rPr>
        <w:t>(</w:t>
      </w:r>
      <w:r w:rsidRPr="00245C29">
        <w:rPr>
          <w:rFonts w:ascii="Times New Roman" w:hAnsi="Times New Roman" w:hint="eastAsia"/>
          <w:kern w:val="0"/>
          <w:szCs w:val="24"/>
        </w:rPr>
        <w:t>含回购</w:t>
      </w:r>
      <w:r w:rsidRPr="00245C29">
        <w:rPr>
          <w:rFonts w:ascii="Times New Roman" w:hAnsi="Times New Roman"/>
          <w:kern w:val="0"/>
          <w:szCs w:val="24"/>
        </w:rPr>
        <w:t>)</w:t>
      </w:r>
      <w:r w:rsidRPr="00245C29">
        <w:rPr>
          <w:rFonts w:ascii="Times New Roman" w:hAnsi="Times New Roman" w:hint="eastAsia"/>
          <w:kern w:val="0"/>
          <w:szCs w:val="24"/>
        </w:rPr>
        <w:t>交易</w:t>
      </w:r>
    </w:p>
    <w:p w:rsidR="003828F5" w:rsidRPr="007113D5" w:rsidRDefault="003828F5" w:rsidP="007113D5">
      <w:pPr>
        <w:tabs>
          <w:tab w:val="left" w:pos="426"/>
        </w:tabs>
        <w:spacing w:before="29" w:line="288" w:lineRule="auto"/>
        <w:jc w:val="left"/>
        <w:rPr>
          <w:kern w:val="0"/>
          <w:sz w:val="24"/>
        </w:rPr>
      </w:pPr>
      <w:r w:rsidRPr="007113D5">
        <w:rPr>
          <w:kern w:val="0"/>
          <w:sz w:val="24"/>
        </w:rPr>
        <w:t>本基金本报告期内及上年度可比期间未与关联方进行银行间同业市场的债券</w:t>
      </w:r>
      <w:r w:rsidRPr="007113D5">
        <w:rPr>
          <w:kern w:val="0"/>
          <w:sz w:val="24"/>
        </w:rPr>
        <w:t>(</w:t>
      </w:r>
      <w:r w:rsidRPr="007113D5">
        <w:rPr>
          <w:kern w:val="0"/>
          <w:sz w:val="24"/>
        </w:rPr>
        <w:t>含回购</w:t>
      </w:r>
      <w:r w:rsidRPr="007113D5">
        <w:rPr>
          <w:kern w:val="0"/>
          <w:sz w:val="24"/>
        </w:rPr>
        <w:t>)</w:t>
      </w:r>
      <w:r w:rsidRPr="007113D5">
        <w:rPr>
          <w:kern w:val="0"/>
          <w:sz w:val="24"/>
        </w:rPr>
        <w:t>交易。</w:t>
      </w:r>
    </w:p>
    <w:p w:rsidR="001A59F9" w:rsidRPr="003828F5"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各关联方投资本基金的情况</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7.4.8.4.1</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报告期内基金管理人运用</w:t>
      </w:r>
      <w:proofErr w:type="gramStart"/>
      <w:r w:rsidRPr="00245C29">
        <w:rPr>
          <w:rFonts w:ascii="Times New Roman" w:hAnsi="Times New Roman" w:hint="eastAsia"/>
          <w:kern w:val="0"/>
          <w:szCs w:val="24"/>
        </w:rPr>
        <w:t>固有资金</w:t>
      </w:r>
      <w:proofErr w:type="gramEnd"/>
      <w:r w:rsidRPr="00245C29">
        <w:rPr>
          <w:rFonts w:ascii="Times New Roman" w:hAnsi="Times New Roman" w:hint="eastAsia"/>
          <w:kern w:val="0"/>
          <w:szCs w:val="24"/>
        </w:rPr>
        <w:t>投资本基金的情况</w:t>
      </w:r>
    </w:p>
    <w:p w:rsidR="001A59F9" w:rsidRPr="004D23E7" w:rsidRDefault="001A59F9" w:rsidP="004D23E7">
      <w:pPr>
        <w:tabs>
          <w:tab w:val="left" w:pos="426"/>
        </w:tabs>
        <w:spacing w:before="29" w:line="288" w:lineRule="auto"/>
        <w:jc w:val="left"/>
        <w:rPr>
          <w:kern w:val="0"/>
          <w:sz w:val="24"/>
        </w:rPr>
      </w:pPr>
      <w:r w:rsidRPr="004D23E7">
        <w:rPr>
          <w:kern w:val="0"/>
          <w:sz w:val="24"/>
        </w:rPr>
        <w:t>本报告期内及上年度可比期间未发生基金管理人运用</w:t>
      </w:r>
      <w:proofErr w:type="gramStart"/>
      <w:r w:rsidRPr="004D23E7">
        <w:rPr>
          <w:kern w:val="0"/>
          <w:sz w:val="24"/>
        </w:rPr>
        <w:t>固有资金</w:t>
      </w:r>
      <w:proofErr w:type="gramEnd"/>
      <w:r w:rsidRPr="004D23E7">
        <w:rPr>
          <w:kern w:val="0"/>
          <w:sz w:val="24"/>
        </w:rPr>
        <w:t>投资本基金的情况。</w:t>
      </w:r>
    </w:p>
    <w:p w:rsidR="001A59F9" w:rsidRPr="00C51C77" w:rsidRDefault="001A59F9" w:rsidP="00026C9C">
      <w:pPr>
        <w:adjustRightInd w:val="0"/>
        <w:snapToGrid w:val="0"/>
        <w:spacing w:line="360" w:lineRule="auto"/>
        <w:jc w:val="left"/>
        <w:rPr>
          <w:rFonts w:asciiTheme="minorEastAsia" w:eastAsiaTheme="minorEastAsia" w:hAnsiTheme="minorEastAsia"/>
          <w:bCs/>
          <w:color w:val="000000"/>
          <w:szCs w:val="21"/>
        </w:rPr>
      </w:pPr>
      <w:r w:rsidRPr="00C51C77">
        <w:rPr>
          <w:rFonts w:asciiTheme="minorEastAsia" w:eastAsiaTheme="minorEastAsia" w:hAnsiTheme="minorEastAsia"/>
          <w:bCs/>
          <w:color w:val="000000"/>
          <w:szCs w:val="21"/>
        </w:rPr>
        <w:tab/>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7.4.8.4.2</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报告期末除基金管理人之外的其他关联方投资本基金的情况</w:t>
      </w:r>
    </w:p>
    <w:p w:rsidR="00E6117A" w:rsidRDefault="00E6117A" w:rsidP="00BF4BF3">
      <w:pPr>
        <w:tabs>
          <w:tab w:val="left" w:pos="426"/>
        </w:tabs>
        <w:spacing w:before="29" w:line="288" w:lineRule="auto"/>
        <w:jc w:val="left"/>
        <w:rPr>
          <w:kern w:val="0"/>
          <w:sz w:val="24"/>
        </w:rPr>
      </w:pPr>
      <w:r w:rsidRPr="00BF4BF3">
        <w:rPr>
          <w:kern w:val="0"/>
          <w:sz w:val="24"/>
        </w:rPr>
        <w:t>本报告期末及上年度末除基金管理人之外的其他关联方未持有本基金。</w:t>
      </w:r>
    </w:p>
    <w:p w:rsidR="0029424E" w:rsidRPr="00BF4BF3" w:rsidRDefault="0029424E" w:rsidP="00BF4BF3">
      <w:pPr>
        <w:tabs>
          <w:tab w:val="left" w:pos="426"/>
        </w:tabs>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7.4.8.5</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由关联方保管的银行存款余额及当期产生的利息收入</w:t>
      </w:r>
    </w:p>
    <w:p w:rsidR="001A59F9" w:rsidRPr="005F72CF" w:rsidRDefault="001A59F9" w:rsidP="005F72CF">
      <w:pPr>
        <w:autoSpaceDE w:val="0"/>
        <w:autoSpaceDN w:val="0"/>
        <w:adjustRightInd w:val="0"/>
        <w:spacing w:before="29" w:line="288" w:lineRule="auto"/>
        <w:ind w:left="15"/>
        <w:jc w:val="right"/>
        <w:rPr>
          <w:color w:val="000000"/>
          <w:sz w:val="24"/>
        </w:rPr>
      </w:pPr>
      <w:r w:rsidRPr="005F72CF">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1985"/>
        <w:gridCol w:w="1701"/>
        <w:gridCol w:w="1843"/>
        <w:gridCol w:w="1768"/>
      </w:tblGrid>
      <w:tr w:rsidR="00360905" w:rsidRPr="00456CA2" w:rsidTr="00963ACF">
        <w:tc>
          <w:tcPr>
            <w:tcW w:w="1701" w:type="dxa"/>
            <w:vMerge w:val="restart"/>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关联方名称</w:t>
            </w:r>
          </w:p>
        </w:tc>
        <w:tc>
          <w:tcPr>
            <w:tcW w:w="3686" w:type="dxa"/>
            <w:gridSpan w:val="2"/>
          </w:tcPr>
          <w:p w:rsidR="00360905" w:rsidRPr="00456CA2" w:rsidRDefault="00360905" w:rsidP="00C27E4C">
            <w:pPr>
              <w:spacing w:before="29" w:line="288" w:lineRule="auto"/>
              <w:jc w:val="center"/>
              <w:rPr>
                <w:color w:val="000000"/>
                <w:szCs w:val="21"/>
              </w:rPr>
            </w:pPr>
            <w:r w:rsidRPr="00456CA2">
              <w:rPr>
                <w:rFonts w:hint="eastAsia"/>
                <w:color w:val="000000"/>
                <w:szCs w:val="21"/>
              </w:rPr>
              <w:t>本期</w:t>
            </w:r>
          </w:p>
          <w:p w:rsidR="00360905" w:rsidRPr="00456CA2" w:rsidRDefault="00360905" w:rsidP="00C27E4C">
            <w:pPr>
              <w:widowControl/>
              <w:autoSpaceDE w:val="0"/>
              <w:autoSpaceDN w:val="0"/>
              <w:spacing w:before="29" w:line="288" w:lineRule="auto"/>
              <w:ind w:right="-15"/>
              <w:jc w:val="center"/>
              <w:textAlignment w:val="bottom"/>
              <w:rPr>
                <w:color w:val="000000"/>
                <w:szCs w:val="21"/>
              </w:rPr>
            </w:pPr>
            <w:r w:rsidRPr="00456CA2">
              <w:rPr>
                <w:color w:val="000000"/>
                <w:szCs w:val="21"/>
              </w:rPr>
              <w:t>2016</w:t>
            </w:r>
            <w:r w:rsidRPr="00456CA2">
              <w:rPr>
                <w:color w:val="000000"/>
                <w:szCs w:val="21"/>
              </w:rPr>
              <w:t>年</w:t>
            </w:r>
            <w:r w:rsidRPr="00456CA2">
              <w:rPr>
                <w:color w:val="000000"/>
                <w:szCs w:val="21"/>
              </w:rPr>
              <w:t>1</w:t>
            </w:r>
            <w:r w:rsidRPr="00456CA2">
              <w:rPr>
                <w:color w:val="000000"/>
                <w:szCs w:val="21"/>
              </w:rPr>
              <w:t>月</w:t>
            </w:r>
            <w:r w:rsidRPr="00456CA2">
              <w:rPr>
                <w:color w:val="000000"/>
                <w:szCs w:val="21"/>
              </w:rPr>
              <w:t>1</w:t>
            </w:r>
            <w:r w:rsidRPr="00456CA2">
              <w:rPr>
                <w:color w:val="000000"/>
                <w:szCs w:val="21"/>
              </w:rPr>
              <w:t>日</w:t>
            </w:r>
            <w:r w:rsidRPr="00456CA2">
              <w:rPr>
                <w:rFonts w:hint="eastAsia"/>
                <w:color w:val="000000"/>
                <w:szCs w:val="21"/>
              </w:rPr>
              <w:t>至</w:t>
            </w:r>
            <w:r w:rsidRPr="00456CA2">
              <w:rPr>
                <w:color w:val="000000"/>
                <w:szCs w:val="21"/>
              </w:rPr>
              <w:t>2016</w:t>
            </w:r>
            <w:r w:rsidRPr="00456CA2">
              <w:rPr>
                <w:color w:val="000000"/>
                <w:szCs w:val="21"/>
              </w:rPr>
              <w:t>年</w:t>
            </w:r>
            <w:r w:rsidRPr="00456CA2">
              <w:rPr>
                <w:color w:val="000000"/>
                <w:szCs w:val="21"/>
              </w:rPr>
              <w:t>12</w:t>
            </w:r>
            <w:r w:rsidRPr="00456CA2">
              <w:rPr>
                <w:color w:val="000000"/>
                <w:szCs w:val="21"/>
              </w:rPr>
              <w:t>月</w:t>
            </w:r>
            <w:r w:rsidRPr="00456CA2">
              <w:rPr>
                <w:color w:val="000000"/>
                <w:szCs w:val="21"/>
              </w:rPr>
              <w:t>31</w:t>
            </w:r>
            <w:r w:rsidRPr="00456CA2">
              <w:rPr>
                <w:color w:val="000000"/>
                <w:szCs w:val="21"/>
              </w:rPr>
              <w:t>日</w:t>
            </w:r>
          </w:p>
        </w:tc>
        <w:tc>
          <w:tcPr>
            <w:tcW w:w="3611" w:type="dxa"/>
            <w:gridSpan w:val="2"/>
          </w:tcPr>
          <w:p w:rsidR="00360905" w:rsidRPr="00456CA2" w:rsidRDefault="00360905" w:rsidP="00C27E4C">
            <w:pPr>
              <w:spacing w:before="29" w:line="288" w:lineRule="auto"/>
              <w:jc w:val="center"/>
              <w:rPr>
                <w:color w:val="000000"/>
                <w:szCs w:val="21"/>
              </w:rPr>
            </w:pPr>
            <w:r w:rsidRPr="00456CA2">
              <w:rPr>
                <w:rFonts w:hint="eastAsia"/>
                <w:color w:val="000000"/>
                <w:szCs w:val="21"/>
              </w:rPr>
              <w:t>上年度可比期间</w:t>
            </w:r>
          </w:p>
          <w:p w:rsidR="00360905" w:rsidRPr="00456CA2" w:rsidRDefault="00360905" w:rsidP="00C27E4C">
            <w:pPr>
              <w:widowControl/>
              <w:autoSpaceDE w:val="0"/>
              <w:autoSpaceDN w:val="0"/>
              <w:spacing w:before="29" w:line="288" w:lineRule="auto"/>
              <w:ind w:right="-15"/>
              <w:jc w:val="center"/>
              <w:textAlignment w:val="bottom"/>
              <w:rPr>
                <w:color w:val="000000"/>
                <w:szCs w:val="21"/>
              </w:rPr>
            </w:pPr>
            <w:r w:rsidRPr="00456CA2">
              <w:rPr>
                <w:color w:val="000000"/>
                <w:szCs w:val="21"/>
              </w:rPr>
              <w:t>2015</w:t>
            </w:r>
            <w:r w:rsidRPr="00456CA2">
              <w:rPr>
                <w:color w:val="000000"/>
                <w:szCs w:val="21"/>
              </w:rPr>
              <w:t>年</w:t>
            </w:r>
            <w:r w:rsidRPr="00456CA2">
              <w:rPr>
                <w:color w:val="000000"/>
                <w:szCs w:val="21"/>
              </w:rPr>
              <w:t>1</w:t>
            </w:r>
            <w:r w:rsidRPr="00456CA2">
              <w:rPr>
                <w:color w:val="000000"/>
                <w:szCs w:val="21"/>
              </w:rPr>
              <w:t>月</w:t>
            </w:r>
            <w:r w:rsidRPr="00456CA2">
              <w:rPr>
                <w:color w:val="000000"/>
                <w:szCs w:val="21"/>
              </w:rPr>
              <w:t>1</w:t>
            </w:r>
            <w:r w:rsidRPr="00456CA2">
              <w:rPr>
                <w:color w:val="000000"/>
                <w:szCs w:val="21"/>
              </w:rPr>
              <w:t>日至</w:t>
            </w:r>
            <w:r w:rsidRPr="00456CA2">
              <w:rPr>
                <w:color w:val="000000"/>
                <w:szCs w:val="21"/>
              </w:rPr>
              <w:t>2015</w:t>
            </w:r>
            <w:r w:rsidRPr="00456CA2">
              <w:rPr>
                <w:color w:val="000000"/>
                <w:szCs w:val="21"/>
              </w:rPr>
              <w:t>年</w:t>
            </w:r>
            <w:r w:rsidRPr="00456CA2">
              <w:rPr>
                <w:color w:val="000000"/>
                <w:szCs w:val="21"/>
              </w:rPr>
              <w:t>12</w:t>
            </w:r>
            <w:r w:rsidRPr="00456CA2">
              <w:rPr>
                <w:color w:val="000000"/>
                <w:szCs w:val="21"/>
              </w:rPr>
              <w:t>月</w:t>
            </w:r>
            <w:r w:rsidRPr="00456CA2">
              <w:rPr>
                <w:color w:val="000000"/>
                <w:szCs w:val="21"/>
              </w:rPr>
              <w:t>31</w:t>
            </w:r>
            <w:r w:rsidRPr="00456CA2">
              <w:rPr>
                <w:color w:val="000000"/>
                <w:szCs w:val="21"/>
              </w:rPr>
              <w:t>日</w:t>
            </w:r>
          </w:p>
        </w:tc>
      </w:tr>
      <w:tr w:rsidR="00360905" w:rsidRPr="00456CA2" w:rsidTr="00E42C09">
        <w:tc>
          <w:tcPr>
            <w:tcW w:w="1701" w:type="dxa"/>
            <w:vMerge/>
            <w:vAlign w:val="center"/>
          </w:tcPr>
          <w:p w:rsidR="00360905" w:rsidRPr="00456CA2" w:rsidRDefault="00360905" w:rsidP="00C27E4C">
            <w:pPr>
              <w:spacing w:before="29" w:line="288" w:lineRule="auto"/>
              <w:jc w:val="center"/>
              <w:rPr>
                <w:color w:val="000000"/>
                <w:szCs w:val="21"/>
              </w:rPr>
            </w:pPr>
          </w:p>
        </w:tc>
        <w:tc>
          <w:tcPr>
            <w:tcW w:w="1985"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期末余额</w:t>
            </w:r>
          </w:p>
        </w:tc>
        <w:tc>
          <w:tcPr>
            <w:tcW w:w="1701"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当期利息收入</w:t>
            </w:r>
          </w:p>
        </w:tc>
        <w:tc>
          <w:tcPr>
            <w:tcW w:w="1843"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期末余额</w:t>
            </w:r>
          </w:p>
        </w:tc>
        <w:tc>
          <w:tcPr>
            <w:tcW w:w="1768" w:type="dxa"/>
            <w:vAlign w:val="center"/>
          </w:tcPr>
          <w:p w:rsidR="00360905" w:rsidRPr="00456CA2" w:rsidRDefault="00360905" w:rsidP="00C27E4C">
            <w:pPr>
              <w:spacing w:before="29" w:line="288" w:lineRule="auto"/>
              <w:jc w:val="center"/>
              <w:rPr>
                <w:color w:val="000000"/>
                <w:szCs w:val="21"/>
              </w:rPr>
            </w:pPr>
            <w:r w:rsidRPr="00456CA2">
              <w:rPr>
                <w:rFonts w:hint="eastAsia"/>
                <w:color w:val="000000"/>
                <w:szCs w:val="21"/>
              </w:rPr>
              <w:t>当期利息收入</w:t>
            </w:r>
          </w:p>
        </w:tc>
      </w:tr>
      <w:tr w:rsidR="004A4B7D">
        <w:tc>
          <w:tcPr>
            <w:tcW w:w="1701" w:type="dxa"/>
            <w:vAlign w:val="center"/>
          </w:tcPr>
          <w:p w:rsidR="004A4B7D" w:rsidRDefault="00B235F4">
            <w:pPr>
              <w:jc w:val="left"/>
            </w:pPr>
            <w:r>
              <w:rPr>
                <w:color w:val="000000"/>
                <w:szCs w:val="21"/>
              </w:rPr>
              <w:lastRenderedPageBreak/>
              <w:t>中国建设银行</w:t>
            </w:r>
          </w:p>
        </w:tc>
        <w:tc>
          <w:tcPr>
            <w:tcW w:w="1985" w:type="dxa"/>
            <w:vAlign w:val="center"/>
          </w:tcPr>
          <w:p w:rsidR="004A4B7D" w:rsidRDefault="00B235F4">
            <w:pPr>
              <w:jc w:val="right"/>
            </w:pPr>
            <w:r>
              <w:rPr>
                <w:color w:val="000000"/>
                <w:szCs w:val="21"/>
              </w:rPr>
              <w:t>13,860,871.19</w:t>
            </w:r>
          </w:p>
        </w:tc>
        <w:tc>
          <w:tcPr>
            <w:tcW w:w="1701" w:type="dxa"/>
            <w:vAlign w:val="center"/>
          </w:tcPr>
          <w:p w:rsidR="004A4B7D" w:rsidRDefault="00B235F4">
            <w:pPr>
              <w:jc w:val="right"/>
            </w:pPr>
            <w:r>
              <w:rPr>
                <w:color w:val="000000"/>
                <w:szCs w:val="21"/>
              </w:rPr>
              <w:t>201,375.22</w:t>
            </w:r>
          </w:p>
        </w:tc>
        <w:tc>
          <w:tcPr>
            <w:tcW w:w="1843" w:type="dxa"/>
            <w:vAlign w:val="center"/>
          </w:tcPr>
          <w:p w:rsidR="004A4B7D" w:rsidRDefault="00B235F4">
            <w:pPr>
              <w:jc w:val="right"/>
            </w:pPr>
            <w:r>
              <w:rPr>
                <w:color w:val="000000"/>
                <w:szCs w:val="21"/>
              </w:rPr>
              <w:t>29,946,763.00</w:t>
            </w:r>
          </w:p>
        </w:tc>
        <w:tc>
          <w:tcPr>
            <w:tcW w:w="1768" w:type="dxa"/>
            <w:vAlign w:val="center"/>
          </w:tcPr>
          <w:p w:rsidR="004A4B7D" w:rsidRDefault="00B235F4">
            <w:pPr>
              <w:jc w:val="right"/>
            </w:pPr>
            <w:r>
              <w:rPr>
                <w:color w:val="000000"/>
                <w:szCs w:val="21"/>
              </w:rPr>
              <w:t>168,073.18</w:t>
            </w:r>
          </w:p>
        </w:tc>
      </w:tr>
    </w:tbl>
    <w:p w:rsidR="00360905" w:rsidRPr="008E1883" w:rsidRDefault="00360905" w:rsidP="008E1883">
      <w:pPr>
        <w:tabs>
          <w:tab w:val="left" w:pos="426"/>
        </w:tabs>
        <w:spacing w:before="29" w:line="288" w:lineRule="auto"/>
        <w:jc w:val="left"/>
        <w:rPr>
          <w:kern w:val="0"/>
          <w:sz w:val="24"/>
        </w:rPr>
      </w:pPr>
      <w:r w:rsidRPr="008E1883">
        <w:rPr>
          <w:kern w:val="0"/>
          <w:sz w:val="24"/>
        </w:rPr>
        <w:t>注：本基金的银行存款由基金托管人保管，按银行同业利率计息。</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7.4.8.6</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本基金在承销期内参与关联方承销证券的情况</w:t>
      </w:r>
    </w:p>
    <w:p w:rsidR="0010598A" w:rsidRPr="00A22283" w:rsidRDefault="0010598A" w:rsidP="00A22283">
      <w:pPr>
        <w:tabs>
          <w:tab w:val="left" w:pos="426"/>
        </w:tabs>
        <w:spacing w:before="29" w:line="288" w:lineRule="auto"/>
        <w:jc w:val="left"/>
        <w:rPr>
          <w:kern w:val="0"/>
          <w:sz w:val="24"/>
        </w:rPr>
      </w:pPr>
      <w:r w:rsidRPr="00A22283">
        <w:rPr>
          <w:kern w:val="0"/>
          <w:sz w:val="24"/>
        </w:rPr>
        <w:t>本基金本报告期内及上年度可比期间未在承销期内参与关联方承销证券。</w:t>
      </w:r>
    </w:p>
    <w:p w:rsidR="001A59F9" w:rsidRPr="0010598A"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7.4.8.7</w:t>
      </w:r>
      <w:r w:rsidR="002637E8" w:rsidRPr="00245C29">
        <w:rPr>
          <w:rFonts w:ascii="Times New Roman" w:hAnsi="Times New Roman" w:hint="eastAsia"/>
          <w:kern w:val="0"/>
          <w:szCs w:val="24"/>
        </w:rPr>
        <w:t xml:space="preserve"> </w:t>
      </w:r>
      <w:r w:rsidRPr="00245C29">
        <w:rPr>
          <w:rFonts w:ascii="Times New Roman" w:hAnsi="Times New Roman" w:hint="eastAsia"/>
          <w:kern w:val="0"/>
          <w:szCs w:val="24"/>
        </w:rPr>
        <w:t>其他关联交易事项的说明</w:t>
      </w:r>
    </w:p>
    <w:p w:rsidR="001A59F9" w:rsidRPr="00A22283" w:rsidRDefault="001A59F9" w:rsidP="00A22283">
      <w:pPr>
        <w:spacing w:before="29" w:line="288" w:lineRule="auto"/>
        <w:rPr>
          <w:color w:val="000000"/>
          <w:sz w:val="24"/>
        </w:rPr>
      </w:pPr>
      <w:r w:rsidRPr="00A22283">
        <w:rPr>
          <w:color w:val="000000"/>
          <w:sz w:val="24"/>
        </w:rPr>
        <w:t>本基金本报告期内及上年度可比期间无其他关联交易事项。</w:t>
      </w:r>
    </w:p>
    <w:p w:rsidR="001A59F9" w:rsidRPr="00C51C77" w:rsidRDefault="001A59F9" w:rsidP="00016A50">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w:t>
      </w:r>
      <w:r w:rsidR="00F64FAD" w:rsidRPr="00245C29">
        <w:rPr>
          <w:rFonts w:ascii="Times New Roman" w:hAnsi="Times New Roman"/>
          <w:kern w:val="0"/>
          <w:szCs w:val="24"/>
        </w:rPr>
        <w:t>2016</w:t>
      </w:r>
      <w:r w:rsidR="00F64FAD" w:rsidRPr="00245C29">
        <w:rPr>
          <w:rFonts w:ascii="Times New Roman" w:hAnsi="Times New Roman"/>
          <w:kern w:val="0"/>
          <w:szCs w:val="24"/>
        </w:rPr>
        <w:t>年</w:t>
      </w:r>
      <w:r w:rsidR="00F64FAD" w:rsidRPr="00245C29">
        <w:rPr>
          <w:rFonts w:ascii="Times New Roman" w:hAnsi="Times New Roman"/>
          <w:kern w:val="0"/>
          <w:szCs w:val="24"/>
        </w:rPr>
        <w:t>12</w:t>
      </w:r>
      <w:r w:rsidR="00F64FAD" w:rsidRPr="00245C29">
        <w:rPr>
          <w:rFonts w:ascii="Times New Roman" w:hAnsi="Times New Roman"/>
          <w:kern w:val="0"/>
          <w:szCs w:val="24"/>
        </w:rPr>
        <w:t>月</w:t>
      </w:r>
      <w:r w:rsidR="00F64FAD" w:rsidRPr="00245C29">
        <w:rPr>
          <w:rFonts w:ascii="Times New Roman" w:hAnsi="Times New Roman"/>
          <w:kern w:val="0"/>
          <w:szCs w:val="24"/>
        </w:rPr>
        <w:t>31</w:t>
      </w:r>
      <w:r w:rsidR="00F64FAD" w:rsidRPr="00245C29">
        <w:rPr>
          <w:rFonts w:ascii="Times New Roman" w:hAnsi="Times New Roman"/>
          <w:kern w:val="0"/>
          <w:szCs w:val="24"/>
        </w:rPr>
        <w:t>日</w:t>
      </w:r>
      <w:r w:rsidRPr="00245C29">
        <w:rPr>
          <w:rFonts w:ascii="Times New Roman" w:hAnsi="Times New Roman" w:hint="eastAsia"/>
          <w:kern w:val="0"/>
          <w:szCs w:val="24"/>
        </w:rPr>
        <w:t>）本基金持有的流通受限证券</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7.4.9.1</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因认购新发</w:t>
      </w:r>
      <w:r w:rsidRPr="00245C29">
        <w:rPr>
          <w:rFonts w:ascii="Times New Roman" w:hAnsi="Times New Roman"/>
          <w:kern w:val="0"/>
          <w:szCs w:val="24"/>
        </w:rPr>
        <w:t>/</w:t>
      </w:r>
      <w:r w:rsidRPr="00245C29">
        <w:rPr>
          <w:rFonts w:ascii="Times New Roman" w:hAnsi="Times New Roman" w:hint="eastAsia"/>
          <w:kern w:val="0"/>
          <w:szCs w:val="24"/>
        </w:rPr>
        <w:t>增发证券而于期末持有的流通受限证券</w:t>
      </w:r>
    </w:p>
    <w:p w:rsidR="001A59F9" w:rsidRPr="00C840DF" w:rsidRDefault="001A59F9" w:rsidP="00C840DF">
      <w:pPr>
        <w:tabs>
          <w:tab w:val="left" w:pos="426"/>
        </w:tabs>
        <w:spacing w:before="29" w:line="288" w:lineRule="auto"/>
        <w:jc w:val="left"/>
        <w:rPr>
          <w:kern w:val="0"/>
          <w:sz w:val="24"/>
        </w:rPr>
      </w:pPr>
      <w:r w:rsidRPr="00C840DF">
        <w:rPr>
          <w:kern w:val="0"/>
          <w:sz w:val="24"/>
        </w:rPr>
        <w:t>本基金本报告期末未持有因认购新发</w:t>
      </w:r>
      <w:r w:rsidRPr="00C840DF">
        <w:rPr>
          <w:kern w:val="0"/>
          <w:sz w:val="24"/>
        </w:rPr>
        <w:t>/</w:t>
      </w:r>
      <w:r w:rsidRPr="00C840DF">
        <w:rPr>
          <w:kern w:val="0"/>
          <w:sz w:val="24"/>
        </w:rPr>
        <w:t>增发证券而流通受限的证券。</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7.4.9.2</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期末持有的暂时停牌等流通受限股票</w:t>
      </w:r>
    </w:p>
    <w:p w:rsidR="001A59F9" w:rsidRPr="00F32A89" w:rsidRDefault="001A59F9" w:rsidP="00026C9C">
      <w:pPr>
        <w:autoSpaceDE w:val="0"/>
        <w:autoSpaceDN w:val="0"/>
        <w:adjustRightInd w:val="0"/>
        <w:spacing w:before="29" w:line="360" w:lineRule="auto"/>
        <w:ind w:left="15"/>
        <w:jc w:val="right"/>
        <w:rPr>
          <w:color w:val="000000"/>
          <w:sz w:val="24"/>
        </w:rPr>
      </w:pPr>
      <w:r w:rsidRPr="00F32A89">
        <w:rPr>
          <w:rFonts w:hint="eastAsia"/>
          <w:color w:val="000000"/>
          <w:sz w:val="24"/>
        </w:rPr>
        <w:t>金额单位：人民币元</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616"/>
        <w:gridCol w:w="686"/>
        <w:gridCol w:w="742"/>
        <w:gridCol w:w="798"/>
        <w:gridCol w:w="798"/>
        <w:gridCol w:w="686"/>
        <w:gridCol w:w="658"/>
        <w:gridCol w:w="1049"/>
        <w:gridCol w:w="1218"/>
        <w:gridCol w:w="1160"/>
        <w:gridCol w:w="601"/>
      </w:tblGrid>
      <w:tr w:rsidR="001A59F9" w:rsidRPr="00C51C77" w:rsidTr="006D141C">
        <w:trPr>
          <w:trHeight w:val="255"/>
        </w:trPr>
        <w:tc>
          <w:tcPr>
            <w:tcW w:w="616"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股票</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代码</w:t>
            </w:r>
          </w:p>
        </w:tc>
        <w:tc>
          <w:tcPr>
            <w:tcW w:w="686"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股票</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名称</w:t>
            </w:r>
          </w:p>
        </w:tc>
        <w:tc>
          <w:tcPr>
            <w:tcW w:w="742"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停牌</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日期</w:t>
            </w:r>
          </w:p>
        </w:tc>
        <w:tc>
          <w:tcPr>
            <w:tcW w:w="798"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停牌</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原因</w:t>
            </w:r>
          </w:p>
        </w:tc>
        <w:tc>
          <w:tcPr>
            <w:tcW w:w="798"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期末估值单价</w:t>
            </w:r>
          </w:p>
        </w:tc>
        <w:tc>
          <w:tcPr>
            <w:tcW w:w="686"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复牌</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日期</w:t>
            </w:r>
          </w:p>
        </w:tc>
        <w:tc>
          <w:tcPr>
            <w:tcW w:w="658"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复牌开</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盘单价</w:t>
            </w:r>
          </w:p>
        </w:tc>
        <w:tc>
          <w:tcPr>
            <w:tcW w:w="1049" w:type="dxa"/>
            <w:tcMar>
              <w:top w:w="15" w:type="dxa"/>
              <w:left w:w="15" w:type="dxa"/>
              <w:bottom w:w="0" w:type="dxa"/>
              <w:right w:w="15" w:type="dxa"/>
            </w:tcMar>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数量</w:t>
            </w:r>
          </w:p>
          <w:p w:rsidR="001A59F9" w:rsidRPr="001A2A8C" w:rsidRDefault="001A59F9" w:rsidP="001A2A8C">
            <w:pPr>
              <w:spacing w:before="29" w:line="288" w:lineRule="auto"/>
              <w:jc w:val="center"/>
              <w:rPr>
                <w:color w:val="000000"/>
                <w:sz w:val="18"/>
                <w:szCs w:val="18"/>
              </w:rPr>
            </w:pPr>
            <w:r w:rsidRPr="001A2A8C">
              <w:rPr>
                <w:color w:val="000000"/>
                <w:sz w:val="18"/>
                <w:szCs w:val="18"/>
              </w:rPr>
              <w:t>(</w:t>
            </w:r>
            <w:r w:rsidRPr="001A2A8C">
              <w:rPr>
                <w:rFonts w:hint="eastAsia"/>
                <w:color w:val="000000"/>
                <w:sz w:val="18"/>
                <w:szCs w:val="18"/>
              </w:rPr>
              <w:t>单位：股</w:t>
            </w:r>
            <w:r w:rsidRPr="001A2A8C">
              <w:rPr>
                <w:color w:val="000000"/>
                <w:sz w:val="18"/>
                <w:szCs w:val="18"/>
              </w:rPr>
              <w:t>)</w:t>
            </w:r>
          </w:p>
        </w:tc>
        <w:tc>
          <w:tcPr>
            <w:tcW w:w="1218"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期末</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成本总额</w:t>
            </w:r>
          </w:p>
        </w:tc>
        <w:tc>
          <w:tcPr>
            <w:tcW w:w="1160"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期末</w:t>
            </w:r>
          </w:p>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估值总额</w:t>
            </w:r>
          </w:p>
        </w:tc>
        <w:tc>
          <w:tcPr>
            <w:tcW w:w="601" w:type="dxa"/>
            <w:vAlign w:val="center"/>
          </w:tcPr>
          <w:p w:rsidR="001A59F9" w:rsidRPr="001A2A8C" w:rsidRDefault="001A59F9" w:rsidP="001A2A8C">
            <w:pPr>
              <w:spacing w:before="29" w:line="288" w:lineRule="auto"/>
              <w:jc w:val="center"/>
              <w:rPr>
                <w:color w:val="000000"/>
                <w:sz w:val="18"/>
                <w:szCs w:val="18"/>
              </w:rPr>
            </w:pPr>
            <w:r w:rsidRPr="001A2A8C">
              <w:rPr>
                <w:rFonts w:hint="eastAsia"/>
                <w:color w:val="000000"/>
                <w:sz w:val="18"/>
                <w:szCs w:val="18"/>
              </w:rPr>
              <w:t>备注</w:t>
            </w:r>
          </w:p>
        </w:tc>
      </w:tr>
      <w:tr w:rsidR="004A4B7D">
        <w:tc>
          <w:tcPr>
            <w:tcW w:w="616" w:type="dxa"/>
            <w:vAlign w:val="center"/>
          </w:tcPr>
          <w:p w:rsidR="004A4B7D" w:rsidRDefault="00B235F4">
            <w:pPr>
              <w:jc w:val="center"/>
            </w:pPr>
            <w:r>
              <w:rPr>
                <w:sz w:val="18"/>
                <w:szCs w:val="18"/>
              </w:rPr>
              <w:t>300005</w:t>
            </w:r>
          </w:p>
        </w:tc>
        <w:tc>
          <w:tcPr>
            <w:tcW w:w="686" w:type="dxa"/>
            <w:vAlign w:val="center"/>
          </w:tcPr>
          <w:p w:rsidR="004A4B7D" w:rsidRDefault="00B235F4">
            <w:pPr>
              <w:jc w:val="center"/>
            </w:pPr>
            <w:r>
              <w:rPr>
                <w:sz w:val="18"/>
                <w:szCs w:val="18"/>
              </w:rPr>
              <w:t>探路者</w:t>
            </w:r>
          </w:p>
        </w:tc>
        <w:tc>
          <w:tcPr>
            <w:tcW w:w="742" w:type="dxa"/>
            <w:vAlign w:val="center"/>
          </w:tcPr>
          <w:p w:rsidR="004A4B7D" w:rsidRDefault="00B235F4">
            <w:pPr>
              <w:jc w:val="center"/>
            </w:pPr>
            <w:r>
              <w:rPr>
                <w:sz w:val="18"/>
                <w:szCs w:val="18"/>
              </w:rPr>
              <w:t>2016-11-28</w:t>
            </w:r>
          </w:p>
        </w:tc>
        <w:tc>
          <w:tcPr>
            <w:tcW w:w="798" w:type="dxa"/>
            <w:vAlign w:val="center"/>
          </w:tcPr>
          <w:p w:rsidR="004A4B7D" w:rsidRDefault="00B235F4">
            <w:pPr>
              <w:jc w:val="center"/>
            </w:pPr>
            <w:r>
              <w:rPr>
                <w:sz w:val="18"/>
                <w:szCs w:val="18"/>
              </w:rPr>
              <w:t>重大事项</w:t>
            </w:r>
          </w:p>
        </w:tc>
        <w:tc>
          <w:tcPr>
            <w:tcW w:w="798" w:type="dxa"/>
            <w:vAlign w:val="center"/>
          </w:tcPr>
          <w:p w:rsidR="004A4B7D" w:rsidRDefault="00B235F4">
            <w:pPr>
              <w:jc w:val="center"/>
            </w:pPr>
            <w:r>
              <w:rPr>
                <w:sz w:val="18"/>
                <w:szCs w:val="18"/>
              </w:rPr>
              <w:t>16.69</w:t>
            </w:r>
          </w:p>
        </w:tc>
        <w:tc>
          <w:tcPr>
            <w:tcW w:w="686" w:type="dxa"/>
            <w:vAlign w:val="center"/>
          </w:tcPr>
          <w:p w:rsidR="004A4B7D" w:rsidRDefault="00B235F4">
            <w:pPr>
              <w:jc w:val="center"/>
            </w:pPr>
            <w:r>
              <w:rPr>
                <w:sz w:val="18"/>
                <w:szCs w:val="18"/>
              </w:rPr>
              <w:t>2017-02-06</w:t>
            </w:r>
          </w:p>
        </w:tc>
        <w:tc>
          <w:tcPr>
            <w:tcW w:w="658" w:type="dxa"/>
            <w:vAlign w:val="center"/>
          </w:tcPr>
          <w:p w:rsidR="004A4B7D" w:rsidRDefault="00B235F4">
            <w:pPr>
              <w:jc w:val="center"/>
            </w:pPr>
            <w:r>
              <w:rPr>
                <w:sz w:val="18"/>
                <w:szCs w:val="18"/>
              </w:rPr>
              <w:t>15.02</w:t>
            </w:r>
          </w:p>
        </w:tc>
        <w:tc>
          <w:tcPr>
            <w:tcW w:w="1049" w:type="dxa"/>
            <w:vAlign w:val="center"/>
          </w:tcPr>
          <w:p w:rsidR="004A4B7D" w:rsidRDefault="00B235F4">
            <w:pPr>
              <w:jc w:val="center"/>
            </w:pPr>
            <w:r>
              <w:rPr>
                <w:sz w:val="18"/>
                <w:szCs w:val="18"/>
              </w:rPr>
              <w:t>193,011</w:t>
            </w:r>
          </w:p>
        </w:tc>
        <w:tc>
          <w:tcPr>
            <w:tcW w:w="1218" w:type="dxa"/>
            <w:vAlign w:val="center"/>
          </w:tcPr>
          <w:p w:rsidR="004A4B7D" w:rsidRDefault="00B235F4">
            <w:pPr>
              <w:jc w:val="center"/>
            </w:pPr>
            <w:r>
              <w:rPr>
                <w:sz w:val="18"/>
                <w:szCs w:val="18"/>
              </w:rPr>
              <w:t>2,239,467.33</w:t>
            </w:r>
          </w:p>
        </w:tc>
        <w:tc>
          <w:tcPr>
            <w:tcW w:w="1160" w:type="dxa"/>
            <w:vAlign w:val="center"/>
          </w:tcPr>
          <w:p w:rsidR="004A4B7D" w:rsidRDefault="00B235F4">
            <w:pPr>
              <w:jc w:val="center"/>
            </w:pPr>
            <w:r>
              <w:rPr>
                <w:sz w:val="18"/>
                <w:szCs w:val="18"/>
              </w:rPr>
              <w:t>3,221,353.59</w:t>
            </w:r>
          </w:p>
        </w:tc>
        <w:tc>
          <w:tcPr>
            <w:tcW w:w="601" w:type="dxa"/>
            <w:vAlign w:val="center"/>
          </w:tcPr>
          <w:p w:rsidR="004A4B7D" w:rsidRDefault="00B235F4">
            <w:pPr>
              <w:jc w:val="center"/>
            </w:pPr>
            <w:r>
              <w:rPr>
                <w:sz w:val="18"/>
                <w:szCs w:val="18"/>
              </w:rPr>
              <w:t>-</w:t>
            </w:r>
          </w:p>
        </w:tc>
      </w:tr>
      <w:tr w:rsidR="004A4B7D">
        <w:tc>
          <w:tcPr>
            <w:tcW w:w="616" w:type="dxa"/>
            <w:vAlign w:val="center"/>
          </w:tcPr>
          <w:p w:rsidR="004A4B7D" w:rsidRDefault="00B235F4">
            <w:pPr>
              <w:jc w:val="center"/>
            </w:pPr>
            <w:r>
              <w:rPr>
                <w:sz w:val="18"/>
                <w:szCs w:val="18"/>
              </w:rPr>
              <w:t>300271</w:t>
            </w:r>
          </w:p>
        </w:tc>
        <w:tc>
          <w:tcPr>
            <w:tcW w:w="686" w:type="dxa"/>
            <w:vAlign w:val="center"/>
          </w:tcPr>
          <w:p w:rsidR="004A4B7D" w:rsidRDefault="00B235F4">
            <w:pPr>
              <w:jc w:val="center"/>
            </w:pPr>
            <w:r>
              <w:rPr>
                <w:sz w:val="18"/>
                <w:szCs w:val="18"/>
              </w:rPr>
              <w:t>华</w:t>
            </w:r>
            <w:proofErr w:type="gramStart"/>
            <w:r>
              <w:rPr>
                <w:sz w:val="18"/>
                <w:szCs w:val="18"/>
              </w:rPr>
              <w:t>宇软件</w:t>
            </w:r>
            <w:proofErr w:type="gramEnd"/>
          </w:p>
        </w:tc>
        <w:tc>
          <w:tcPr>
            <w:tcW w:w="742" w:type="dxa"/>
            <w:vAlign w:val="center"/>
          </w:tcPr>
          <w:p w:rsidR="004A4B7D" w:rsidRDefault="00B235F4">
            <w:pPr>
              <w:jc w:val="center"/>
            </w:pPr>
            <w:r>
              <w:rPr>
                <w:sz w:val="18"/>
                <w:szCs w:val="18"/>
              </w:rPr>
              <w:t>2016-12-19</w:t>
            </w:r>
          </w:p>
        </w:tc>
        <w:tc>
          <w:tcPr>
            <w:tcW w:w="798" w:type="dxa"/>
            <w:vAlign w:val="center"/>
          </w:tcPr>
          <w:p w:rsidR="004A4B7D" w:rsidRDefault="00B235F4">
            <w:pPr>
              <w:jc w:val="center"/>
            </w:pPr>
            <w:r>
              <w:rPr>
                <w:sz w:val="18"/>
                <w:szCs w:val="18"/>
              </w:rPr>
              <w:t>重大事项</w:t>
            </w:r>
          </w:p>
        </w:tc>
        <w:tc>
          <w:tcPr>
            <w:tcW w:w="798" w:type="dxa"/>
            <w:vAlign w:val="center"/>
          </w:tcPr>
          <w:p w:rsidR="004A4B7D" w:rsidRDefault="00B235F4">
            <w:pPr>
              <w:jc w:val="center"/>
            </w:pPr>
            <w:r>
              <w:rPr>
                <w:sz w:val="18"/>
                <w:szCs w:val="18"/>
              </w:rPr>
              <w:t>17.45</w:t>
            </w:r>
          </w:p>
        </w:tc>
        <w:tc>
          <w:tcPr>
            <w:tcW w:w="686" w:type="dxa"/>
            <w:vAlign w:val="center"/>
          </w:tcPr>
          <w:p w:rsidR="004A4B7D" w:rsidRDefault="00B235F4">
            <w:pPr>
              <w:jc w:val="center"/>
            </w:pPr>
            <w:r>
              <w:rPr>
                <w:sz w:val="18"/>
                <w:szCs w:val="18"/>
              </w:rPr>
              <w:t>-</w:t>
            </w:r>
          </w:p>
        </w:tc>
        <w:tc>
          <w:tcPr>
            <w:tcW w:w="658" w:type="dxa"/>
            <w:vAlign w:val="center"/>
          </w:tcPr>
          <w:p w:rsidR="004A4B7D" w:rsidRDefault="00B235F4">
            <w:pPr>
              <w:jc w:val="center"/>
            </w:pPr>
            <w:r>
              <w:rPr>
                <w:sz w:val="18"/>
                <w:szCs w:val="18"/>
              </w:rPr>
              <w:t>-</w:t>
            </w:r>
          </w:p>
        </w:tc>
        <w:tc>
          <w:tcPr>
            <w:tcW w:w="1049" w:type="dxa"/>
            <w:vAlign w:val="center"/>
          </w:tcPr>
          <w:p w:rsidR="004A4B7D" w:rsidRDefault="00B235F4">
            <w:pPr>
              <w:jc w:val="center"/>
            </w:pPr>
            <w:r>
              <w:rPr>
                <w:sz w:val="18"/>
                <w:szCs w:val="18"/>
              </w:rPr>
              <w:t>50,133</w:t>
            </w:r>
          </w:p>
        </w:tc>
        <w:tc>
          <w:tcPr>
            <w:tcW w:w="1218" w:type="dxa"/>
            <w:vAlign w:val="center"/>
          </w:tcPr>
          <w:p w:rsidR="004A4B7D" w:rsidRDefault="00B235F4">
            <w:pPr>
              <w:jc w:val="center"/>
            </w:pPr>
            <w:r>
              <w:rPr>
                <w:sz w:val="18"/>
                <w:szCs w:val="18"/>
              </w:rPr>
              <w:t>1,195,262.00</w:t>
            </w:r>
          </w:p>
        </w:tc>
        <w:tc>
          <w:tcPr>
            <w:tcW w:w="1160" w:type="dxa"/>
            <w:vAlign w:val="center"/>
          </w:tcPr>
          <w:p w:rsidR="004A4B7D" w:rsidRDefault="00B235F4">
            <w:pPr>
              <w:jc w:val="center"/>
            </w:pPr>
            <w:r>
              <w:rPr>
                <w:sz w:val="18"/>
                <w:szCs w:val="18"/>
              </w:rPr>
              <w:t>874,820.85</w:t>
            </w:r>
          </w:p>
        </w:tc>
        <w:tc>
          <w:tcPr>
            <w:tcW w:w="601" w:type="dxa"/>
            <w:vAlign w:val="center"/>
          </w:tcPr>
          <w:p w:rsidR="004A4B7D" w:rsidRDefault="00B235F4">
            <w:pPr>
              <w:jc w:val="center"/>
            </w:pPr>
            <w:r>
              <w:rPr>
                <w:sz w:val="18"/>
                <w:szCs w:val="18"/>
              </w:rPr>
              <w:t>-</w:t>
            </w:r>
          </w:p>
        </w:tc>
      </w:tr>
      <w:tr w:rsidR="004A4B7D">
        <w:tc>
          <w:tcPr>
            <w:tcW w:w="616" w:type="dxa"/>
            <w:vAlign w:val="center"/>
          </w:tcPr>
          <w:p w:rsidR="004A4B7D" w:rsidRDefault="00B235F4">
            <w:pPr>
              <w:jc w:val="center"/>
            </w:pPr>
            <w:r>
              <w:rPr>
                <w:sz w:val="18"/>
                <w:szCs w:val="18"/>
              </w:rPr>
              <w:t>600763</w:t>
            </w:r>
          </w:p>
        </w:tc>
        <w:tc>
          <w:tcPr>
            <w:tcW w:w="686" w:type="dxa"/>
            <w:vAlign w:val="center"/>
          </w:tcPr>
          <w:p w:rsidR="004A4B7D" w:rsidRDefault="00B235F4">
            <w:pPr>
              <w:jc w:val="center"/>
            </w:pPr>
            <w:r>
              <w:rPr>
                <w:sz w:val="18"/>
                <w:szCs w:val="18"/>
              </w:rPr>
              <w:t>通策医疗</w:t>
            </w:r>
          </w:p>
        </w:tc>
        <w:tc>
          <w:tcPr>
            <w:tcW w:w="742" w:type="dxa"/>
            <w:vAlign w:val="center"/>
          </w:tcPr>
          <w:p w:rsidR="004A4B7D" w:rsidRDefault="00B235F4">
            <w:pPr>
              <w:jc w:val="center"/>
            </w:pPr>
            <w:r>
              <w:rPr>
                <w:sz w:val="18"/>
                <w:szCs w:val="18"/>
              </w:rPr>
              <w:t>2016-12-19</w:t>
            </w:r>
          </w:p>
        </w:tc>
        <w:tc>
          <w:tcPr>
            <w:tcW w:w="798" w:type="dxa"/>
            <w:vAlign w:val="center"/>
          </w:tcPr>
          <w:p w:rsidR="004A4B7D" w:rsidRDefault="00B235F4">
            <w:pPr>
              <w:jc w:val="center"/>
            </w:pPr>
            <w:r>
              <w:rPr>
                <w:sz w:val="18"/>
                <w:szCs w:val="18"/>
              </w:rPr>
              <w:t>重大事项</w:t>
            </w:r>
          </w:p>
        </w:tc>
        <w:tc>
          <w:tcPr>
            <w:tcW w:w="798" w:type="dxa"/>
            <w:vAlign w:val="center"/>
          </w:tcPr>
          <w:p w:rsidR="004A4B7D" w:rsidRDefault="00B235F4">
            <w:pPr>
              <w:jc w:val="center"/>
            </w:pPr>
            <w:r>
              <w:rPr>
                <w:sz w:val="18"/>
                <w:szCs w:val="18"/>
              </w:rPr>
              <w:t>33.54</w:t>
            </w:r>
          </w:p>
        </w:tc>
        <w:tc>
          <w:tcPr>
            <w:tcW w:w="686" w:type="dxa"/>
            <w:vAlign w:val="center"/>
          </w:tcPr>
          <w:p w:rsidR="004A4B7D" w:rsidRDefault="00B235F4">
            <w:pPr>
              <w:jc w:val="center"/>
            </w:pPr>
            <w:r>
              <w:rPr>
                <w:sz w:val="18"/>
                <w:szCs w:val="18"/>
              </w:rPr>
              <w:t>2017-01-03</w:t>
            </w:r>
          </w:p>
        </w:tc>
        <w:tc>
          <w:tcPr>
            <w:tcW w:w="658" w:type="dxa"/>
            <w:vAlign w:val="center"/>
          </w:tcPr>
          <w:p w:rsidR="004A4B7D" w:rsidRDefault="00B235F4">
            <w:pPr>
              <w:jc w:val="center"/>
            </w:pPr>
            <w:r>
              <w:rPr>
                <w:sz w:val="18"/>
                <w:szCs w:val="18"/>
              </w:rPr>
              <w:t>34.80</w:t>
            </w:r>
          </w:p>
        </w:tc>
        <w:tc>
          <w:tcPr>
            <w:tcW w:w="1049" w:type="dxa"/>
            <w:vAlign w:val="center"/>
          </w:tcPr>
          <w:p w:rsidR="004A4B7D" w:rsidRDefault="00B235F4">
            <w:pPr>
              <w:jc w:val="center"/>
            </w:pPr>
            <w:r>
              <w:rPr>
                <w:sz w:val="18"/>
                <w:szCs w:val="18"/>
              </w:rPr>
              <w:t>190,608</w:t>
            </w:r>
          </w:p>
        </w:tc>
        <w:tc>
          <w:tcPr>
            <w:tcW w:w="1218" w:type="dxa"/>
            <w:vAlign w:val="center"/>
          </w:tcPr>
          <w:p w:rsidR="004A4B7D" w:rsidRDefault="00B235F4">
            <w:pPr>
              <w:jc w:val="center"/>
            </w:pPr>
            <w:r>
              <w:rPr>
                <w:sz w:val="18"/>
                <w:szCs w:val="18"/>
              </w:rPr>
              <w:t>3,852,793.16</w:t>
            </w:r>
          </w:p>
        </w:tc>
        <w:tc>
          <w:tcPr>
            <w:tcW w:w="1160" w:type="dxa"/>
            <w:vAlign w:val="center"/>
          </w:tcPr>
          <w:p w:rsidR="004A4B7D" w:rsidRDefault="00B235F4">
            <w:pPr>
              <w:jc w:val="center"/>
            </w:pPr>
            <w:r>
              <w:rPr>
                <w:sz w:val="18"/>
                <w:szCs w:val="18"/>
              </w:rPr>
              <w:t>6,392,992.32</w:t>
            </w:r>
          </w:p>
        </w:tc>
        <w:tc>
          <w:tcPr>
            <w:tcW w:w="601" w:type="dxa"/>
            <w:vAlign w:val="center"/>
          </w:tcPr>
          <w:p w:rsidR="004A4B7D" w:rsidRDefault="00B235F4">
            <w:pPr>
              <w:jc w:val="center"/>
            </w:pPr>
            <w:r>
              <w:rPr>
                <w:sz w:val="18"/>
                <w:szCs w:val="18"/>
              </w:rPr>
              <w:t>-</w:t>
            </w:r>
          </w:p>
        </w:tc>
      </w:tr>
      <w:tr w:rsidR="004A4B7D">
        <w:tc>
          <w:tcPr>
            <w:tcW w:w="616" w:type="dxa"/>
            <w:vAlign w:val="center"/>
          </w:tcPr>
          <w:p w:rsidR="004A4B7D" w:rsidRDefault="00B235F4">
            <w:pPr>
              <w:jc w:val="center"/>
            </w:pPr>
            <w:r>
              <w:rPr>
                <w:sz w:val="18"/>
                <w:szCs w:val="18"/>
              </w:rPr>
              <w:t>603555</w:t>
            </w:r>
          </w:p>
        </w:tc>
        <w:tc>
          <w:tcPr>
            <w:tcW w:w="686" w:type="dxa"/>
            <w:vAlign w:val="center"/>
          </w:tcPr>
          <w:p w:rsidR="004A4B7D" w:rsidRDefault="00B235F4">
            <w:pPr>
              <w:jc w:val="center"/>
            </w:pPr>
            <w:r>
              <w:rPr>
                <w:sz w:val="18"/>
                <w:szCs w:val="18"/>
              </w:rPr>
              <w:t>贵人鸟</w:t>
            </w:r>
          </w:p>
        </w:tc>
        <w:tc>
          <w:tcPr>
            <w:tcW w:w="742" w:type="dxa"/>
            <w:vAlign w:val="center"/>
          </w:tcPr>
          <w:p w:rsidR="004A4B7D" w:rsidRDefault="00B235F4">
            <w:pPr>
              <w:jc w:val="center"/>
            </w:pPr>
            <w:r>
              <w:rPr>
                <w:sz w:val="18"/>
                <w:szCs w:val="18"/>
              </w:rPr>
              <w:t>2016-12-12</w:t>
            </w:r>
          </w:p>
        </w:tc>
        <w:tc>
          <w:tcPr>
            <w:tcW w:w="798" w:type="dxa"/>
            <w:vAlign w:val="center"/>
          </w:tcPr>
          <w:p w:rsidR="004A4B7D" w:rsidRDefault="00B235F4">
            <w:pPr>
              <w:jc w:val="center"/>
            </w:pPr>
            <w:r>
              <w:rPr>
                <w:sz w:val="18"/>
                <w:szCs w:val="18"/>
              </w:rPr>
              <w:t>重大事项</w:t>
            </w:r>
          </w:p>
        </w:tc>
        <w:tc>
          <w:tcPr>
            <w:tcW w:w="798" w:type="dxa"/>
            <w:vAlign w:val="center"/>
          </w:tcPr>
          <w:p w:rsidR="004A4B7D" w:rsidRDefault="00B235F4">
            <w:pPr>
              <w:jc w:val="center"/>
            </w:pPr>
            <w:r>
              <w:rPr>
                <w:sz w:val="18"/>
                <w:szCs w:val="18"/>
              </w:rPr>
              <w:t>30.76</w:t>
            </w:r>
          </w:p>
        </w:tc>
        <w:tc>
          <w:tcPr>
            <w:tcW w:w="686" w:type="dxa"/>
            <w:vAlign w:val="center"/>
          </w:tcPr>
          <w:p w:rsidR="004A4B7D" w:rsidRDefault="00B235F4">
            <w:pPr>
              <w:jc w:val="center"/>
            </w:pPr>
            <w:r>
              <w:rPr>
                <w:sz w:val="18"/>
                <w:szCs w:val="18"/>
              </w:rPr>
              <w:t>-</w:t>
            </w:r>
          </w:p>
        </w:tc>
        <w:tc>
          <w:tcPr>
            <w:tcW w:w="658" w:type="dxa"/>
            <w:vAlign w:val="center"/>
          </w:tcPr>
          <w:p w:rsidR="004A4B7D" w:rsidRDefault="00B235F4">
            <w:pPr>
              <w:jc w:val="center"/>
            </w:pPr>
            <w:r>
              <w:rPr>
                <w:sz w:val="18"/>
                <w:szCs w:val="18"/>
              </w:rPr>
              <w:t>-</w:t>
            </w:r>
          </w:p>
        </w:tc>
        <w:tc>
          <w:tcPr>
            <w:tcW w:w="1049" w:type="dxa"/>
            <w:vAlign w:val="center"/>
          </w:tcPr>
          <w:p w:rsidR="004A4B7D" w:rsidRDefault="00B235F4">
            <w:pPr>
              <w:jc w:val="center"/>
            </w:pPr>
            <w:r>
              <w:rPr>
                <w:sz w:val="18"/>
                <w:szCs w:val="18"/>
              </w:rPr>
              <w:t>115,015</w:t>
            </w:r>
          </w:p>
        </w:tc>
        <w:tc>
          <w:tcPr>
            <w:tcW w:w="1218" w:type="dxa"/>
            <w:vAlign w:val="center"/>
          </w:tcPr>
          <w:p w:rsidR="004A4B7D" w:rsidRDefault="00B235F4">
            <w:pPr>
              <w:jc w:val="center"/>
            </w:pPr>
            <w:r>
              <w:rPr>
                <w:sz w:val="18"/>
                <w:szCs w:val="18"/>
              </w:rPr>
              <w:t>3,740,073.88</w:t>
            </w:r>
          </w:p>
        </w:tc>
        <w:tc>
          <w:tcPr>
            <w:tcW w:w="1160" w:type="dxa"/>
            <w:vAlign w:val="center"/>
          </w:tcPr>
          <w:p w:rsidR="004A4B7D" w:rsidRDefault="00B235F4">
            <w:pPr>
              <w:jc w:val="center"/>
            </w:pPr>
            <w:r>
              <w:rPr>
                <w:sz w:val="18"/>
                <w:szCs w:val="18"/>
              </w:rPr>
              <w:t>3,537,861.40</w:t>
            </w:r>
          </w:p>
        </w:tc>
        <w:tc>
          <w:tcPr>
            <w:tcW w:w="601" w:type="dxa"/>
            <w:vAlign w:val="center"/>
          </w:tcPr>
          <w:p w:rsidR="004A4B7D" w:rsidRDefault="00B235F4">
            <w:pPr>
              <w:jc w:val="center"/>
            </w:pPr>
            <w:r>
              <w:rPr>
                <w:sz w:val="18"/>
                <w:szCs w:val="18"/>
              </w:rPr>
              <w:t>-</w:t>
            </w:r>
          </w:p>
        </w:tc>
      </w:tr>
      <w:tr w:rsidR="004A4B7D">
        <w:tc>
          <w:tcPr>
            <w:tcW w:w="616" w:type="dxa"/>
            <w:vAlign w:val="center"/>
          </w:tcPr>
          <w:p w:rsidR="004A4B7D" w:rsidRDefault="00B235F4">
            <w:pPr>
              <w:jc w:val="center"/>
            </w:pPr>
            <w:r>
              <w:rPr>
                <w:sz w:val="18"/>
                <w:szCs w:val="18"/>
              </w:rPr>
              <w:t>000821</w:t>
            </w:r>
          </w:p>
        </w:tc>
        <w:tc>
          <w:tcPr>
            <w:tcW w:w="686" w:type="dxa"/>
            <w:vAlign w:val="center"/>
          </w:tcPr>
          <w:p w:rsidR="004A4B7D" w:rsidRDefault="00B235F4">
            <w:pPr>
              <w:jc w:val="center"/>
            </w:pPr>
            <w:r>
              <w:rPr>
                <w:sz w:val="18"/>
                <w:szCs w:val="18"/>
              </w:rPr>
              <w:t>京山轻机</w:t>
            </w:r>
          </w:p>
        </w:tc>
        <w:tc>
          <w:tcPr>
            <w:tcW w:w="742" w:type="dxa"/>
            <w:vAlign w:val="center"/>
          </w:tcPr>
          <w:p w:rsidR="004A4B7D" w:rsidRDefault="00B235F4">
            <w:pPr>
              <w:jc w:val="center"/>
            </w:pPr>
            <w:r>
              <w:rPr>
                <w:sz w:val="18"/>
                <w:szCs w:val="18"/>
              </w:rPr>
              <w:t>2016-12-05</w:t>
            </w:r>
          </w:p>
        </w:tc>
        <w:tc>
          <w:tcPr>
            <w:tcW w:w="798" w:type="dxa"/>
            <w:vAlign w:val="center"/>
          </w:tcPr>
          <w:p w:rsidR="004A4B7D" w:rsidRDefault="00B235F4">
            <w:pPr>
              <w:jc w:val="center"/>
            </w:pPr>
            <w:r>
              <w:rPr>
                <w:sz w:val="18"/>
                <w:szCs w:val="18"/>
              </w:rPr>
              <w:t>重大事项</w:t>
            </w:r>
          </w:p>
        </w:tc>
        <w:tc>
          <w:tcPr>
            <w:tcW w:w="798" w:type="dxa"/>
            <w:vAlign w:val="center"/>
          </w:tcPr>
          <w:p w:rsidR="004A4B7D" w:rsidRDefault="00B235F4">
            <w:pPr>
              <w:jc w:val="center"/>
            </w:pPr>
            <w:r>
              <w:rPr>
                <w:sz w:val="18"/>
                <w:szCs w:val="18"/>
              </w:rPr>
              <w:t>15.34</w:t>
            </w:r>
          </w:p>
        </w:tc>
        <w:tc>
          <w:tcPr>
            <w:tcW w:w="686" w:type="dxa"/>
            <w:vAlign w:val="center"/>
          </w:tcPr>
          <w:p w:rsidR="004A4B7D" w:rsidRDefault="00B235F4">
            <w:pPr>
              <w:jc w:val="center"/>
            </w:pPr>
            <w:r>
              <w:rPr>
                <w:sz w:val="18"/>
                <w:szCs w:val="18"/>
              </w:rPr>
              <w:t>-</w:t>
            </w:r>
          </w:p>
        </w:tc>
        <w:tc>
          <w:tcPr>
            <w:tcW w:w="658" w:type="dxa"/>
            <w:vAlign w:val="center"/>
          </w:tcPr>
          <w:p w:rsidR="004A4B7D" w:rsidRDefault="00B235F4">
            <w:pPr>
              <w:jc w:val="center"/>
            </w:pPr>
            <w:r>
              <w:rPr>
                <w:sz w:val="18"/>
                <w:szCs w:val="18"/>
              </w:rPr>
              <w:t>-</w:t>
            </w:r>
          </w:p>
        </w:tc>
        <w:tc>
          <w:tcPr>
            <w:tcW w:w="1049" w:type="dxa"/>
            <w:vAlign w:val="center"/>
          </w:tcPr>
          <w:p w:rsidR="004A4B7D" w:rsidRDefault="00B235F4">
            <w:pPr>
              <w:jc w:val="center"/>
            </w:pPr>
            <w:r>
              <w:rPr>
                <w:sz w:val="18"/>
                <w:szCs w:val="18"/>
              </w:rPr>
              <w:t>375,200</w:t>
            </w:r>
          </w:p>
        </w:tc>
        <w:tc>
          <w:tcPr>
            <w:tcW w:w="1218" w:type="dxa"/>
            <w:vAlign w:val="center"/>
          </w:tcPr>
          <w:p w:rsidR="004A4B7D" w:rsidRDefault="00B235F4">
            <w:pPr>
              <w:jc w:val="center"/>
            </w:pPr>
            <w:r>
              <w:rPr>
                <w:sz w:val="18"/>
                <w:szCs w:val="18"/>
              </w:rPr>
              <w:t>6,328,434.00</w:t>
            </w:r>
          </w:p>
        </w:tc>
        <w:tc>
          <w:tcPr>
            <w:tcW w:w="1160" w:type="dxa"/>
            <w:vAlign w:val="center"/>
          </w:tcPr>
          <w:p w:rsidR="004A4B7D" w:rsidRDefault="00B235F4">
            <w:pPr>
              <w:jc w:val="center"/>
            </w:pPr>
            <w:r>
              <w:rPr>
                <w:sz w:val="18"/>
                <w:szCs w:val="18"/>
              </w:rPr>
              <w:t>5,755,568.00</w:t>
            </w:r>
          </w:p>
        </w:tc>
        <w:tc>
          <w:tcPr>
            <w:tcW w:w="601" w:type="dxa"/>
            <w:vAlign w:val="center"/>
          </w:tcPr>
          <w:p w:rsidR="004A4B7D" w:rsidRDefault="00B235F4">
            <w:pPr>
              <w:jc w:val="center"/>
            </w:pPr>
            <w:r>
              <w:rPr>
                <w:sz w:val="18"/>
                <w:szCs w:val="18"/>
              </w:rPr>
              <w:t>-</w:t>
            </w:r>
          </w:p>
        </w:tc>
      </w:tr>
    </w:tbl>
    <w:p w:rsidR="001A59F9" w:rsidRPr="001A2A8C" w:rsidRDefault="001A59F9" w:rsidP="001A2A8C">
      <w:pPr>
        <w:tabs>
          <w:tab w:val="left" w:pos="426"/>
        </w:tabs>
        <w:spacing w:before="29" w:line="288" w:lineRule="auto"/>
        <w:jc w:val="left"/>
        <w:rPr>
          <w:kern w:val="0"/>
          <w:sz w:val="24"/>
        </w:rPr>
      </w:pPr>
      <w:r w:rsidRPr="001A2A8C">
        <w:rPr>
          <w:kern w:val="0"/>
          <w:sz w:val="24"/>
        </w:rPr>
        <w:t>注：本基金截至</w:t>
      </w:r>
      <w:r w:rsidRPr="001A2A8C">
        <w:rPr>
          <w:kern w:val="0"/>
          <w:sz w:val="24"/>
        </w:rPr>
        <w:t>2016</w:t>
      </w:r>
      <w:r w:rsidRPr="001A2A8C">
        <w:rPr>
          <w:kern w:val="0"/>
          <w:sz w:val="24"/>
        </w:rPr>
        <w:t>年</w:t>
      </w:r>
      <w:r w:rsidRPr="001A2A8C">
        <w:rPr>
          <w:kern w:val="0"/>
          <w:sz w:val="24"/>
        </w:rPr>
        <w:t>12</w:t>
      </w:r>
      <w:r w:rsidRPr="001A2A8C">
        <w:rPr>
          <w:kern w:val="0"/>
          <w:sz w:val="24"/>
        </w:rPr>
        <w:t>月</w:t>
      </w:r>
      <w:r w:rsidRPr="001A2A8C">
        <w:rPr>
          <w:kern w:val="0"/>
          <w:sz w:val="24"/>
        </w:rPr>
        <w:t>31</w:t>
      </w:r>
      <w:r w:rsidRPr="001A2A8C">
        <w:rPr>
          <w:kern w:val="0"/>
          <w:sz w:val="24"/>
        </w:rPr>
        <w:t>日</w:t>
      </w:r>
      <w:proofErr w:type="gramStart"/>
      <w:r w:rsidRPr="001A2A8C">
        <w:rPr>
          <w:kern w:val="0"/>
          <w:sz w:val="24"/>
        </w:rPr>
        <w:t>止</w:t>
      </w:r>
      <w:proofErr w:type="gramEnd"/>
      <w:r w:rsidRPr="001A2A8C">
        <w:rPr>
          <w:kern w:val="0"/>
          <w:sz w:val="24"/>
        </w:rPr>
        <w:t>持有以上因公布的重大事项可能产生重大影响而被暂时停牌的股票，该类股票将在所公布事项的重大影响消除后，经交易所批准复牌。</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7.4.9.3</w:t>
      </w:r>
      <w:r w:rsidR="00AD16A3" w:rsidRPr="00245C29">
        <w:rPr>
          <w:rFonts w:ascii="Times New Roman" w:hAnsi="Times New Roman" w:hint="eastAsia"/>
          <w:kern w:val="0"/>
          <w:szCs w:val="24"/>
        </w:rPr>
        <w:t xml:space="preserve"> </w:t>
      </w:r>
      <w:r w:rsidRPr="00245C29">
        <w:rPr>
          <w:rFonts w:ascii="Times New Roman" w:hAnsi="Times New Roman" w:hint="eastAsia"/>
          <w:kern w:val="0"/>
          <w:szCs w:val="24"/>
        </w:rPr>
        <w:t>期末债券正回购交易中作为抵押的债券</w:t>
      </w:r>
    </w:p>
    <w:p w:rsidR="001A59F9" w:rsidRDefault="001A59F9" w:rsidP="001A2A8C">
      <w:pPr>
        <w:spacing w:before="29" w:line="288" w:lineRule="auto"/>
        <w:rPr>
          <w:color w:val="000000"/>
          <w:sz w:val="24"/>
        </w:rPr>
      </w:pPr>
      <w:r w:rsidRPr="001A2A8C">
        <w:rPr>
          <w:color w:val="000000"/>
          <w:sz w:val="24"/>
        </w:rPr>
        <w:t>本基金本报告期末无从事债券正回购交易形成的卖出回购证券款余额。</w:t>
      </w:r>
    </w:p>
    <w:p w:rsidR="00270E62" w:rsidRPr="001A2A8C" w:rsidRDefault="00270E62" w:rsidP="001A2A8C">
      <w:pPr>
        <w:spacing w:before="29" w:line="288" w:lineRule="auto"/>
        <w:rPr>
          <w:rFonts w:hint="eastAsia"/>
          <w:color w:val="000000"/>
          <w:sz w:val="24"/>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7.4.10</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有助于理解和分析会计报表需要说明的其他事项</w:t>
      </w:r>
    </w:p>
    <w:p w:rsidR="004A4B7D" w:rsidRDefault="00B235F4">
      <w:pPr>
        <w:spacing w:before="29" w:line="288" w:lineRule="auto"/>
        <w:ind w:firstLineChars="200" w:firstLine="480"/>
        <w:rPr>
          <w:color w:val="000000"/>
          <w:sz w:val="24"/>
        </w:rPr>
      </w:pPr>
      <w:r>
        <w:rPr>
          <w:color w:val="000000"/>
          <w:sz w:val="24"/>
        </w:rPr>
        <w:t xml:space="preserve">(1)  </w:t>
      </w:r>
      <w:r>
        <w:rPr>
          <w:color w:val="000000"/>
          <w:sz w:val="24"/>
        </w:rPr>
        <w:t>公允价值</w:t>
      </w:r>
    </w:p>
    <w:p w:rsidR="004A4B7D" w:rsidRDefault="00B235F4">
      <w:pPr>
        <w:spacing w:before="29" w:line="288" w:lineRule="auto"/>
        <w:ind w:firstLineChars="200" w:firstLine="480"/>
        <w:rPr>
          <w:color w:val="000000"/>
          <w:sz w:val="24"/>
        </w:rPr>
      </w:pPr>
      <w:r>
        <w:rPr>
          <w:color w:val="000000"/>
          <w:sz w:val="24"/>
        </w:rPr>
        <w:t xml:space="preserve">(a) </w:t>
      </w:r>
      <w:r>
        <w:rPr>
          <w:color w:val="000000"/>
          <w:sz w:val="24"/>
        </w:rPr>
        <w:t>金融工具公允价值计量的方法</w:t>
      </w:r>
    </w:p>
    <w:p w:rsidR="004A4B7D" w:rsidRDefault="00B235F4">
      <w:pPr>
        <w:spacing w:before="29" w:line="288" w:lineRule="auto"/>
        <w:ind w:firstLineChars="200" w:firstLine="480"/>
        <w:rPr>
          <w:color w:val="000000"/>
          <w:sz w:val="24"/>
        </w:rPr>
      </w:pPr>
      <w:r>
        <w:rPr>
          <w:color w:val="000000"/>
          <w:sz w:val="24"/>
        </w:rPr>
        <w:lastRenderedPageBreak/>
        <w:t>公允价值计量结果所属的层次，由对公允价值计量整体而言具有重要意义的输入值所属的最低层次决定：</w:t>
      </w:r>
    </w:p>
    <w:p w:rsidR="004A4B7D" w:rsidRDefault="00B235F4">
      <w:pPr>
        <w:spacing w:before="29" w:line="288" w:lineRule="auto"/>
        <w:ind w:firstLineChars="200" w:firstLine="480"/>
        <w:rPr>
          <w:color w:val="000000"/>
          <w:sz w:val="24"/>
        </w:rPr>
      </w:pPr>
      <w:r>
        <w:rPr>
          <w:color w:val="000000"/>
          <w:sz w:val="24"/>
        </w:rPr>
        <w:t>第一层次：相同资产或负债在活跃市场上未经调整的报价。</w:t>
      </w:r>
    </w:p>
    <w:p w:rsidR="004A4B7D" w:rsidRDefault="00B235F4">
      <w:pPr>
        <w:spacing w:before="29" w:line="288" w:lineRule="auto"/>
        <w:ind w:firstLineChars="200" w:firstLine="480"/>
        <w:rPr>
          <w:color w:val="000000"/>
          <w:sz w:val="24"/>
        </w:rPr>
      </w:pPr>
      <w:r>
        <w:rPr>
          <w:color w:val="000000"/>
          <w:sz w:val="24"/>
        </w:rPr>
        <w:t>第二层次：除第一层次输入</w:t>
      </w:r>
      <w:proofErr w:type="gramStart"/>
      <w:r>
        <w:rPr>
          <w:color w:val="000000"/>
          <w:sz w:val="24"/>
        </w:rPr>
        <w:t>值外相关</w:t>
      </w:r>
      <w:proofErr w:type="gramEnd"/>
      <w:r>
        <w:rPr>
          <w:color w:val="000000"/>
          <w:sz w:val="24"/>
        </w:rPr>
        <w:t>资产或负债直接或</w:t>
      </w:r>
      <w:proofErr w:type="gramStart"/>
      <w:r>
        <w:rPr>
          <w:color w:val="000000"/>
          <w:sz w:val="24"/>
        </w:rPr>
        <w:t>间接可</w:t>
      </w:r>
      <w:proofErr w:type="gramEnd"/>
      <w:r>
        <w:rPr>
          <w:color w:val="000000"/>
          <w:sz w:val="24"/>
        </w:rPr>
        <w:t>观察的输入值。</w:t>
      </w:r>
    </w:p>
    <w:p w:rsidR="004A4B7D" w:rsidRDefault="00B235F4">
      <w:pPr>
        <w:spacing w:before="29" w:line="288" w:lineRule="auto"/>
        <w:ind w:firstLineChars="200" w:firstLine="480"/>
        <w:rPr>
          <w:color w:val="000000"/>
          <w:sz w:val="24"/>
        </w:rPr>
      </w:pPr>
      <w:r>
        <w:rPr>
          <w:color w:val="000000"/>
          <w:sz w:val="24"/>
        </w:rPr>
        <w:t>第三层次：相关资产或负债的不可观察输入值。</w:t>
      </w:r>
    </w:p>
    <w:p w:rsidR="004A4B7D" w:rsidRDefault="00B235F4">
      <w:pPr>
        <w:spacing w:before="29" w:line="288" w:lineRule="auto"/>
        <w:ind w:firstLineChars="200" w:firstLine="480"/>
        <w:rPr>
          <w:color w:val="000000"/>
          <w:sz w:val="24"/>
        </w:rPr>
      </w:pPr>
      <w:r>
        <w:rPr>
          <w:color w:val="000000"/>
          <w:sz w:val="24"/>
        </w:rPr>
        <w:t xml:space="preserve">(b) </w:t>
      </w:r>
      <w:r>
        <w:rPr>
          <w:color w:val="000000"/>
          <w:sz w:val="24"/>
        </w:rPr>
        <w:t>持续的以公允价值计量的金融工具</w:t>
      </w:r>
    </w:p>
    <w:p w:rsidR="004A4B7D" w:rsidRDefault="00B235F4">
      <w:pPr>
        <w:spacing w:before="29" w:line="288" w:lineRule="auto"/>
        <w:ind w:firstLineChars="200" w:firstLine="480"/>
        <w:rPr>
          <w:color w:val="000000"/>
          <w:sz w:val="24"/>
        </w:rPr>
      </w:pPr>
      <w:r>
        <w:rPr>
          <w:color w:val="000000"/>
          <w:sz w:val="24"/>
        </w:rPr>
        <w:t>(</w:t>
      </w:r>
      <w:proofErr w:type="spellStart"/>
      <w:r>
        <w:rPr>
          <w:color w:val="000000"/>
          <w:sz w:val="24"/>
        </w:rPr>
        <w:t>i</w:t>
      </w:r>
      <w:proofErr w:type="spellEnd"/>
      <w:r>
        <w:rPr>
          <w:color w:val="000000"/>
          <w:sz w:val="24"/>
        </w:rPr>
        <w:t xml:space="preserve">) </w:t>
      </w:r>
      <w:r>
        <w:rPr>
          <w:color w:val="000000"/>
          <w:sz w:val="24"/>
        </w:rPr>
        <w:t>各层次金融工具公允价值</w:t>
      </w:r>
    </w:p>
    <w:p w:rsidR="004A4B7D" w:rsidRDefault="00B235F4">
      <w:pPr>
        <w:spacing w:before="29" w:line="288" w:lineRule="auto"/>
        <w:ind w:firstLineChars="200" w:firstLine="480"/>
        <w:rPr>
          <w:color w:val="000000"/>
          <w:sz w:val="24"/>
        </w:rPr>
      </w:pPr>
      <w:r>
        <w:rPr>
          <w:color w:val="000000"/>
          <w:sz w:val="24"/>
        </w:rPr>
        <w:t>于</w:t>
      </w:r>
      <w:r>
        <w:rPr>
          <w:color w:val="000000"/>
          <w:sz w:val="24"/>
        </w:rPr>
        <w:t>2016</w:t>
      </w:r>
      <w:r>
        <w:rPr>
          <w:color w:val="000000"/>
          <w:sz w:val="24"/>
        </w:rPr>
        <w:t>年</w:t>
      </w:r>
      <w:r>
        <w:rPr>
          <w:color w:val="000000"/>
          <w:sz w:val="24"/>
        </w:rPr>
        <w:t>12</w:t>
      </w:r>
      <w:r>
        <w:rPr>
          <w:color w:val="000000"/>
          <w:sz w:val="24"/>
        </w:rPr>
        <w:t>月</w:t>
      </w:r>
      <w:r>
        <w:rPr>
          <w:color w:val="000000"/>
          <w:sz w:val="24"/>
        </w:rPr>
        <w:t>31</w:t>
      </w:r>
      <w:r>
        <w:rPr>
          <w:color w:val="000000"/>
          <w:sz w:val="24"/>
        </w:rPr>
        <w:t>日，本基金持有的以公允价值计量且其变动计入当期损益的金融资产中属于第一层次的余额为</w:t>
      </w:r>
      <w:r>
        <w:rPr>
          <w:color w:val="000000"/>
          <w:sz w:val="24"/>
        </w:rPr>
        <w:t xml:space="preserve">110,871,977.47 </w:t>
      </w:r>
      <w:r>
        <w:rPr>
          <w:color w:val="000000"/>
          <w:sz w:val="24"/>
        </w:rPr>
        <w:t>元，属于第二层次的余额为</w:t>
      </w:r>
      <w:r>
        <w:rPr>
          <w:color w:val="000000"/>
          <w:sz w:val="24"/>
        </w:rPr>
        <w:t xml:space="preserve">19,782,596.16 </w:t>
      </w:r>
      <w:r>
        <w:rPr>
          <w:color w:val="000000"/>
          <w:sz w:val="24"/>
        </w:rPr>
        <w:t>元，</w:t>
      </w:r>
      <w:proofErr w:type="gramStart"/>
      <w:r>
        <w:rPr>
          <w:color w:val="000000"/>
          <w:sz w:val="24"/>
        </w:rPr>
        <w:t>无属于</w:t>
      </w:r>
      <w:proofErr w:type="gramEnd"/>
      <w:r>
        <w:rPr>
          <w:color w:val="000000"/>
          <w:sz w:val="24"/>
        </w:rPr>
        <w:t>第三层次的余额</w:t>
      </w:r>
      <w:r>
        <w:rPr>
          <w:color w:val="000000"/>
          <w:sz w:val="24"/>
        </w:rPr>
        <w:t>(2015</w:t>
      </w:r>
      <w:r>
        <w:rPr>
          <w:color w:val="000000"/>
          <w:sz w:val="24"/>
        </w:rPr>
        <w:t>年</w:t>
      </w:r>
      <w:r>
        <w:rPr>
          <w:color w:val="000000"/>
          <w:sz w:val="24"/>
        </w:rPr>
        <w:t>12</w:t>
      </w:r>
      <w:r>
        <w:rPr>
          <w:color w:val="000000"/>
          <w:sz w:val="24"/>
        </w:rPr>
        <w:t>月</w:t>
      </w:r>
      <w:r>
        <w:rPr>
          <w:color w:val="000000"/>
          <w:sz w:val="24"/>
        </w:rPr>
        <w:t>31</w:t>
      </w:r>
      <w:r>
        <w:rPr>
          <w:color w:val="000000"/>
          <w:sz w:val="24"/>
        </w:rPr>
        <w:t>日：第一层次</w:t>
      </w:r>
      <w:r>
        <w:rPr>
          <w:color w:val="000000"/>
          <w:sz w:val="24"/>
        </w:rPr>
        <w:t>77,869,799.98</w:t>
      </w:r>
      <w:r>
        <w:rPr>
          <w:color w:val="000000"/>
          <w:sz w:val="24"/>
        </w:rPr>
        <w:t>元，第二层次</w:t>
      </w:r>
      <w:r>
        <w:rPr>
          <w:color w:val="000000"/>
          <w:sz w:val="24"/>
        </w:rPr>
        <w:t>13,759,214.12</w:t>
      </w:r>
      <w:r>
        <w:rPr>
          <w:color w:val="000000"/>
          <w:sz w:val="24"/>
        </w:rPr>
        <w:t>元，第三层次</w:t>
      </w:r>
      <w:r>
        <w:rPr>
          <w:color w:val="000000"/>
          <w:sz w:val="24"/>
        </w:rPr>
        <w:t>3,366,979.20</w:t>
      </w:r>
      <w:r>
        <w:rPr>
          <w:color w:val="000000"/>
          <w:sz w:val="24"/>
        </w:rPr>
        <w:t>元</w:t>
      </w:r>
      <w:r>
        <w:rPr>
          <w:color w:val="000000"/>
          <w:sz w:val="24"/>
        </w:rPr>
        <w:t>)</w:t>
      </w:r>
      <w:r>
        <w:rPr>
          <w:color w:val="000000"/>
          <w:sz w:val="24"/>
        </w:rPr>
        <w:t>。</w:t>
      </w:r>
    </w:p>
    <w:p w:rsidR="004A4B7D" w:rsidRDefault="00B235F4">
      <w:pPr>
        <w:spacing w:before="29" w:line="288" w:lineRule="auto"/>
        <w:ind w:firstLineChars="200" w:firstLine="480"/>
        <w:rPr>
          <w:color w:val="000000"/>
          <w:sz w:val="24"/>
        </w:rPr>
      </w:pPr>
      <w:r>
        <w:rPr>
          <w:color w:val="000000"/>
          <w:sz w:val="24"/>
        </w:rPr>
        <w:t xml:space="preserve">(ii) </w:t>
      </w:r>
      <w:r>
        <w:rPr>
          <w:color w:val="000000"/>
          <w:sz w:val="24"/>
        </w:rPr>
        <w:t>公允价值所属层次间的重大变动</w:t>
      </w:r>
    </w:p>
    <w:p w:rsidR="004A4B7D" w:rsidRDefault="00B235F4">
      <w:pPr>
        <w:spacing w:before="29" w:line="288" w:lineRule="auto"/>
        <w:ind w:firstLineChars="200" w:firstLine="480"/>
        <w:rPr>
          <w:color w:val="000000"/>
          <w:sz w:val="24"/>
        </w:rPr>
      </w:pPr>
      <w:r>
        <w:rPr>
          <w:color w:val="000000"/>
          <w:sz w:val="24"/>
        </w:rPr>
        <w:t>对于证券交易所上市的股票和债券，若出现重大事项停牌、交易不活跃</w:t>
      </w:r>
      <w:r>
        <w:rPr>
          <w:color w:val="000000"/>
          <w:sz w:val="24"/>
        </w:rPr>
        <w:t>(</w:t>
      </w:r>
      <w:r>
        <w:rPr>
          <w:color w:val="000000"/>
          <w:sz w:val="24"/>
        </w:rPr>
        <w:t>包括涨跌停时的交易不活跃</w:t>
      </w:r>
      <w:r>
        <w:rPr>
          <w:color w:val="000000"/>
          <w:sz w:val="24"/>
        </w:rPr>
        <w:t>)</w:t>
      </w:r>
      <w:r>
        <w:rPr>
          <w:color w:val="000000"/>
          <w:sz w:val="24"/>
        </w:rPr>
        <w:t>、或属于非公开发行等情况，本基金不会于</w:t>
      </w:r>
      <w:proofErr w:type="gramStart"/>
      <w:r>
        <w:rPr>
          <w:color w:val="000000"/>
          <w:sz w:val="24"/>
        </w:rPr>
        <w:t>停牌日</w:t>
      </w:r>
      <w:proofErr w:type="gramEnd"/>
      <w:r>
        <w:rPr>
          <w:color w:val="000000"/>
          <w:sz w:val="24"/>
        </w:rPr>
        <w:t>至交易恢复活跃日期间、交易</w:t>
      </w:r>
      <w:proofErr w:type="gramStart"/>
      <w:r>
        <w:rPr>
          <w:color w:val="000000"/>
          <w:sz w:val="24"/>
        </w:rPr>
        <w:t>不</w:t>
      </w:r>
      <w:proofErr w:type="gramEnd"/>
      <w:r>
        <w:rPr>
          <w:color w:val="000000"/>
          <w:sz w:val="24"/>
        </w:rPr>
        <w:t>活跃期间及限售期间将相关股票和债券的公允价值列入第一层次；并根据估值调整中采用的不可观察输入</w:t>
      </w:r>
      <w:proofErr w:type="gramStart"/>
      <w:r>
        <w:rPr>
          <w:color w:val="000000"/>
          <w:sz w:val="24"/>
        </w:rPr>
        <w:t>值对于</w:t>
      </w:r>
      <w:proofErr w:type="gramEnd"/>
      <w:r>
        <w:rPr>
          <w:color w:val="000000"/>
          <w:sz w:val="24"/>
        </w:rPr>
        <w:t>公允价值的影响程度，确定相关股票和债券公允价值应属第二层次还是第三层次。</w:t>
      </w:r>
    </w:p>
    <w:p w:rsidR="004A4B7D" w:rsidRDefault="00B235F4">
      <w:pPr>
        <w:spacing w:before="29" w:line="288" w:lineRule="auto"/>
        <w:ind w:firstLineChars="200" w:firstLine="480"/>
        <w:rPr>
          <w:color w:val="000000"/>
          <w:sz w:val="24"/>
        </w:rPr>
      </w:pPr>
      <w:r>
        <w:rPr>
          <w:color w:val="000000"/>
          <w:sz w:val="24"/>
        </w:rPr>
        <w:t xml:space="preserve">(iii) </w:t>
      </w:r>
      <w:r>
        <w:rPr>
          <w:color w:val="000000"/>
          <w:sz w:val="24"/>
        </w:rPr>
        <w:t>第三层次公允价值余额和本期变动金额</w:t>
      </w:r>
    </w:p>
    <w:tbl>
      <w:tblPr>
        <w:tblW w:w="8704" w:type="dxa"/>
        <w:tblLayout w:type="fixed"/>
        <w:tblCellMar>
          <w:left w:w="57" w:type="dxa"/>
          <w:right w:w="57" w:type="dxa"/>
        </w:tblCellMar>
        <w:tblLook w:val="0000" w:firstRow="0" w:lastRow="0" w:firstColumn="0" w:lastColumn="0" w:noHBand="0" w:noVBand="0"/>
      </w:tblPr>
      <w:tblGrid>
        <w:gridCol w:w="2798"/>
        <w:gridCol w:w="290"/>
        <w:gridCol w:w="1789"/>
        <w:gridCol w:w="144"/>
        <w:gridCol w:w="1699"/>
        <w:gridCol w:w="146"/>
        <w:gridCol w:w="1838"/>
      </w:tblGrid>
      <w:tr w:rsidR="00F40477" w:rsidRPr="009000C0" w:rsidTr="0029424E">
        <w:trPr>
          <w:cantSplit/>
          <w:trHeight w:val="74"/>
        </w:trPr>
        <w:tc>
          <w:tcPr>
            <w:tcW w:w="3088" w:type="dxa"/>
            <w:gridSpan w:val="2"/>
            <w:shd w:val="clear" w:color="auto" w:fill="auto"/>
          </w:tcPr>
          <w:p w:rsidR="00F40477" w:rsidRPr="009000C0" w:rsidRDefault="00F40477" w:rsidP="0029424E">
            <w:pPr>
              <w:tabs>
                <w:tab w:val="right" w:pos="2160"/>
                <w:tab w:val="right" w:pos="3060"/>
                <w:tab w:val="right" w:pos="4320"/>
                <w:tab w:val="right" w:pos="5670"/>
                <w:tab w:val="right" w:pos="6570"/>
                <w:tab w:val="right" w:pos="7805"/>
              </w:tabs>
              <w:rPr>
                <w:rFonts w:ascii="Arial" w:hAnsi="Arial"/>
                <w:color w:val="000000"/>
                <w:sz w:val="22"/>
                <w:szCs w:val="22"/>
              </w:rPr>
            </w:pPr>
          </w:p>
        </w:tc>
        <w:tc>
          <w:tcPr>
            <w:tcW w:w="3632" w:type="dxa"/>
            <w:gridSpan w:val="3"/>
            <w:shd w:val="clear" w:color="auto" w:fill="auto"/>
            <w:vAlign w:val="bottom"/>
          </w:tcPr>
          <w:p w:rsidR="00F40477" w:rsidRPr="009000C0" w:rsidRDefault="00F40477" w:rsidP="0029424E">
            <w:pPr>
              <w:tabs>
                <w:tab w:val="right" w:pos="2160"/>
                <w:tab w:val="right" w:pos="3060"/>
                <w:tab w:val="right" w:pos="4320"/>
                <w:tab w:val="right" w:pos="5670"/>
                <w:tab w:val="right" w:pos="6570"/>
                <w:tab w:val="right" w:pos="7805"/>
              </w:tabs>
              <w:jc w:val="center"/>
              <w:rPr>
                <w:rFonts w:ascii="Arial" w:hAnsi="Arial"/>
                <w:color w:val="000000"/>
                <w:sz w:val="22"/>
                <w:szCs w:val="22"/>
              </w:rPr>
            </w:pPr>
          </w:p>
        </w:tc>
        <w:tc>
          <w:tcPr>
            <w:tcW w:w="146" w:type="dxa"/>
            <w:shd w:val="clear" w:color="auto" w:fill="auto"/>
            <w:vAlign w:val="bottom"/>
          </w:tcPr>
          <w:p w:rsidR="00F40477" w:rsidRPr="009000C0" w:rsidRDefault="00F40477" w:rsidP="0029424E">
            <w:pPr>
              <w:tabs>
                <w:tab w:val="right" w:pos="2160"/>
                <w:tab w:val="right" w:pos="3060"/>
                <w:tab w:val="right" w:pos="4320"/>
                <w:tab w:val="right" w:pos="5670"/>
                <w:tab w:val="right" w:pos="6570"/>
                <w:tab w:val="right" w:pos="7805"/>
              </w:tabs>
              <w:rPr>
                <w:rFonts w:ascii="Arial" w:hAnsi="Arial"/>
                <w:color w:val="000000"/>
                <w:sz w:val="22"/>
                <w:szCs w:val="22"/>
              </w:rPr>
            </w:pPr>
          </w:p>
        </w:tc>
        <w:tc>
          <w:tcPr>
            <w:tcW w:w="1838" w:type="dxa"/>
            <w:shd w:val="clear" w:color="auto" w:fill="auto"/>
            <w:vAlign w:val="bottom"/>
          </w:tcPr>
          <w:p w:rsidR="00F40477" w:rsidRPr="009000C0" w:rsidRDefault="00F40477" w:rsidP="0029424E">
            <w:pPr>
              <w:tabs>
                <w:tab w:val="right" w:pos="2160"/>
                <w:tab w:val="right" w:pos="3060"/>
                <w:tab w:val="right" w:pos="4320"/>
                <w:tab w:val="right" w:pos="5670"/>
                <w:tab w:val="right" w:pos="6570"/>
                <w:tab w:val="right" w:pos="7805"/>
              </w:tabs>
              <w:jc w:val="center"/>
              <w:rPr>
                <w:rFonts w:ascii="Arial" w:hAnsi="Arial"/>
                <w:color w:val="000000"/>
                <w:sz w:val="22"/>
                <w:szCs w:val="22"/>
              </w:rPr>
            </w:pPr>
            <w:r w:rsidRPr="009000C0">
              <w:rPr>
                <w:rFonts w:ascii="Arial" w:hAnsi="Arial" w:hint="eastAsia"/>
                <w:color w:val="000000"/>
                <w:sz w:val="22"/>
                <w:szCs w:val="22"/>
              </w:rPr>
              <w:t>交易性</w:t>
            </w:r>
            <w:r w:rsidRPr="009000C0">
              <w:rPr>
                <w:rFonts w:ascii="Arial" w:hAnsi="Arial"/>
                <w:color w:val="000000"/>
                <w:sz w:val="22"/>
                <w:szCs w:val="22"/>
              </w:rPr>
              <w:t>金融资产</w:t>
            </w:r>
          </w:p>
        </w:tc>
      </w:tr>
      <w:tr w:rsidR="00F40477" w:rsidRPr="009000C0" w:rsidTr="0029424E">
        <w:trPr>
          <w:cantSplit/>
          <w:trHeight w:val="67"/>
        </w:trPr>
        <w:tc>
          <w:tcPr>
            <w:tcW w:w="3088" w:type="dxa"/>
            <w:gridSpan w:val="2"/>
            <w:shd w:val="clear" w:color="auto" w:fill="auto"/>
            <w:vAlign w:val="bottom"/>
          </w:tcPr>
          <w:p w:rsidR="00F40477" w:rsidRPr="009000C0" w:rsidRDefault="00F40477" w:rsidP="0029424E">
            <w:pPr>
              <w:tabs>
                <w:tab w:val="right" w:pos="2160"/>
                <w:tab w:val="right" w:pos="3060"/>
                <w:tab w:val="right" w:pos="4320"/>
                <w:tab w:val="right" w:pos="5670"/>
                <w:tab w:val="right" w:pos="6570"/>
                <w:tab w:val="right" w:pos="7805"/>
              </w:tabs>
              <w:rPr>
                <w:rFonts w:ascii="Arial" w:hAnsi="Arial"/>
                <w:color w:val="000000"/>
                <w:sz w:val="22"/>
                <w:szCs w:val="22"/>
              </w:rPr>
            </w:pPr>
          </w:p>
        </w:tc>
        <w:tc>
          <w:tcPr>
            <w:tcW w:w="1789" w:type="dxa"/>
            <w:shd w:val="clear" w:color="auto" w:fill="auto"/>
            <w:vAlign w:val="bottom"/>
          </w:tcPr>
          <w:p w:rsidR="00F40477" w:rsidRPr="009000C0" w:rsidRDefault="00F40477" w:rsidP="0029424E">
            <w:pPr>
              <w:tabs>
                <w:tab w:val="right" w:pos="2160"/>
                <w:tab w:val="right" w:pos="3060"/>
                <w:tab w:val="right" w:pos="4320"/>
                <w:tab w:val="right" w:pos="5670"/>
                <w:tab w:val="right" w:pos="6570"/>
                <w:tab w:val="right" w:pos="7805"/>
              </w:tabs>
              <w:jc w:val="center"/>
              <w:rPr>
                <w:rFonts w:ascii="Arial" w:hAnsi="Arial"/>
                <w:color w:val="000000"/>
                <w:sz w:val="22"/>
                <w:szCs w:val="22"/>
              </w:rPr>
            </w:pPr>
          </w:p>
        </w:tc>
        <w:tc>
          <w:tcPr>
            <w:tcW w:w="144" w:type="dxa"/>
            <w:shd w:val="clear" w:color="auto" w:fill="auto"/>
            <w:vAlign w:val="bottom"/>
          </w:tcPr>
          <w:p w:rsidR="00F40477" w:rsidRPr="009000C0" w:rsidRDefault="00F40477" w:rsidP="0029424E">
            <w:pPr>
              <w:tabs>
                <w:tab w:val="right" w:pos="2160"/>
                <w:tab w:val="right" w:pos="3060"/>
                <w:tab w:val="right" w:pos="4320"/>
                <w:tab w:val="right" w:pos="5670"/>
                <w:tab w:val="right" w:pos="6570"/>
                <w:tab w:val="right" w:pos="7805"/>
              </w:tabs>
              <w:jc w:val="center"/>
              <w:rPr>
                <w:rFonts w:ascii="Arial" w:hAnsi="Arial"/>
                <w:color w:val="000000"/>
                <w:sz w:val="22"/>
                <w:szCs w:val="22"/>
              </w:rPr>
            </w:pPr>
          </w:p>
        </w:tc>
        <w:tc>
          <w:tcPr>
            <w:tcW w:w="1699" w:type="dxa"/>
            <w:shd w:val="clear" w:color="auto" w:fill="auto"/>
            <w:vAlign w:val="bottom"/>
          </w:tcPr>
          <w:p w:rsidR="00F40477" w:rsidRPr="009000C0" w:rsidRDefault="00F40477" w:rsidP="0029424E">
            <w:pPr>
              <w:tabs>
                <w:tab w:val="right" w:pos="2160"/>
                <w:tab w:val="right" w:pos="3060"/>
                <w:tab w:val="right" w:pos="4320"/>
                <w:tab w:val="right" w:pos="5670"/>
                <w:tab w:val="right" w:pos="6570"/>
                <w:tab w:val="right" w:pos="7805"/>
              </w:tabs>
              <w:ind w:right="-63"/>
              <w:jc w:val="center"/>
              <w:rPr>
                <w:rFonts w:ascii="Arial" w:hAnsi="Arial"/>
                <w:color w:val="000000"/>
                <w:sz w:val="22"/>
                <w:szCs w:val="22"/>
              </w:rPr>
            </w:pPr>
          </w:p>
        </w:tc>
        <w:tc>
          <w:tcPr>
            <w:tcW w:w="146" w:type="dxa"/>
            <w:shd w:val="clear" w:color="auto" w:fill="auto"/>
            <w:vAlign w:val="bottom"/>
          </w:tcPr>
          <w:p w:rsidR="00F40477" w:rsidRPr="009000C0" w:rsidRDefault="00F40477" w:rsidP="0029424E">
            <w:pPr>
              <w:tabs>
                <w:tab w:val="right" w:pos="2160"/>
                <w:tab w:val="right" w:pos="3060"/>
                <w:tab w:val="right" w:pos="4320"/>
                <w:tab w:val="right" w:pos="5670"/>
                <w:tab w:val="right" w:pos="6570"/>
                <w:tab w:val="right" w:pos="7805"/>
              </w:tabs>
              <w:rPr>
                <w:rFonts w:ascii="Arial" w:hAnsi="Arial"/>
                <w:color w:val="000000"/>
                <w:sz w:val="22"/>
                <w:szCs w:val="22"/>
              </w:rPr>
            </w:pPr>
          </w:p>
        </w:tc>
        <w:tc>
          <w:tcPr>
            <w:tcW w:w="1838" w:type="dxa"/>
            <w:shd w:val="clear" w:color="auto" w:fill="auto"/>
            <w:vAlign w:val="bottom"/>
          </w:tcPr>
          <w:p w:rsidR="00F40477" w:rsidRPr="009000C0" w:rsidRDefault="00F40477" w:rsidP="0029424E">
            <w:pPr>
              <w:tabs>
                <w:tab w:val="right" w:pos="2160"/>
                <w:tab w:val="right" w:pos="3060"/>
                <w:tab w:val="right" w:pos="4320"/>
                <w:tab w:val="right" w:pos="5670"/>
                <w:tab w:val="right" w:pos="6570"/>
                <w:tab w:val="right" w:pos="7805"/>
              </w:tabs>
              <w:rPr>
                <w:rFonts w:ascii="Arial" w:hAnsi="Arial"/>
                <w:color w:val="000000"/>
                <w:sz w:val="22"/>
                <w:szCs w:val="22"/>
              </w:rPr>
            </w:pPr>
            <w:r w:rsidRPr="009000C0">
              <w:rPr>
                <w:rFonts w:ascii="Arial" w:hAnsi="Arial"/>
                <w:color w:val="000000"/>
                <w:sz w:val="22"/>
                <w:szCs w:val="22"/>
              </w:rPr>
              <w:t xml:space="preserve"> </w:t>
            </w:r>
            <w:r w:rsidRPr="009000C0">
              <w:rPr>
                <w:rFonts w:ascii="Arial" w:hAnsi="Arial" w:hint="eastAsia"/>
                <w:color w:val="000000"/>
                <w:sz w:val="22"/>
                <w:szCs w:val="22"/>
              </w:rPr>
              <w:t>——股票投资</w:t>
            </w:r>
          </w:p>
        </w:tc>
      </w:tr>
      <w:tr w:rsidR="00F40477" w:rsidRPr="009000C0" w:rsidTr="0029424E">
        <w:trPr>
          <w:cantSplit/>
          <w:trHeight w:val="67"/>
        </w:trPr>
        <w:tc>
          <w:tcPr>
            <w:tcW w:w="3088" w:type="dxa"/>
            <w:gridSpan w:val="2"/>
            <w:shd w:val="clear" w:color="auto" w:fill="auto"/>
          </w:tcPr>
          <w:p w:rsidR="00F40477" w:rsidRPr="009000C0" w:rsidRDefault="00F40477" w:rsidP="0029424E">
            <w:pPr>
              <w:tabs>
                <w:tab w:val="right" w:pos="2160"/>
                <w:tab w:val="right" w:pos="3060"/>
                <w:tab w:val="right" w:pos="4320"/>
                <w:tab w:val="right" w:pos="5670"/>
                <w:tab w:val="right" w:pos="6570"/>
                <w:tab w:val="right" w:pos="7805"/>
              </w:tabs>
              <w:rPr>
                <w:rFonts w:ascii="Arial" w:hAnsi="Arial"/>
                <w:color w:val="000000"/>
                <w:sz w:val="22"/>
                <w:szCs w:val="22"/>
              </w:rPr>
            </w:pPr>
          </w:p>
        </w:tc>
        <w:tc>
          <w:tcPr>
            <w:tcW w:w="1789" w:type="dxa"/>
            <w:shd w:val="clear" w:color="auto" w:fill="auto"/>
            <w:vAlign w:val="bottom"/>
          </w:tcPr>
          <w:p w:rsidR="00F40477" w:rsidRPr="009000C0" w:rsidRDefault="00F40477" w:rsidP="0029424E">
            <w:pPr>
              <w:tabs>
                <w:tab w:val="right" w:pos="2160"/>
                <w:tab w:val="right" w:pos="3060"/>
                <w:tab w:val="right" w:pos="4320"/>
                <w:tab w:val="right" w:pos="5670"/>
                <w:tab w:val="right" w:pos="6570"/>
                <w:tab w:val="right" w:pos="7805"/>
              </w:tabs>
              <w:rPr>
                <w:rFonts w:ascii="Arial" w:hAnsi="Arial"/>
                <w:color w:val="000000"/>
                <w:sz w:val="22"/>
                <w:szCs w:val="22"/>
              </w:rPr>
            </w:pPr>
          </w:p>
        </w:tc>
        <w:tc>
          <w:tcPr>
            <w:tcW w:w="144" w:type="dxa"/>
            <w:shd w:val="clear" w:color="auto" w:fill="auto"/>
            <w:vAlign w:val="bottom"/>
          </w:tcPr>
          <w:p w:rsidR="00F40477" w:rsidRPr="009000C0" w:rsidRDefault="00F40477" w:rsidP="0029424E">
            <w:pPr>
              <w:tabs>
                <w:tab w:val="right" w:pos="2160"/>
                <w:tab w:val="right" w:pos="3060"/>
                <w:tab w:val="right" w:pos="4320"/>
                <w:tab w:val="right" w:pos="5670"/>
                <w:tab w:val="right" w:pos="6570"/>
                <w:tab w:val="right" w:pos="7805"/>
              </w:tabs>
              <w:rPr>
                <w:rFonts w:ascii="Arial" w:hAnsi="Arial"/>
                <w:color w:val="000000"/>
                <w:sz w:val="22"/>
                <w:szCs w:val="22"/>
              </w:rPr>
            </w:pPr>
          </w:p>
        </w:tc>
        <w:tc>
          <w:tcPr>
            <w:tcW w:w="1699" w:type="dxa"/>
            <w:shd w:val="clear" w:color="auto" w:fill="auto"/>
            <w:vAlign w:val="bottom"/>
          </w:tcPr>
          <w:p w:rsidR="00F40477" w:rsidRPr="009000C0" w:rsidRDefault="00F40477" w:rsidP="0029424E">
            <w:pPr>
              <w:tabs>
                <w:tab w:val="right" w:pos="2160"/>
                <w:tab w:val="right" w:pos="3060"/>
                <w:tab w:val="right" w:pos="4320"/>
                <w:tab w:val="right" w:pos="5670"/>
                <w:tab w:val="right" w:pos="6570"/>
                <w:tab w:val="right" w:pos="7805"/>
              </w:tabs>
              <w:rPr>
                <w:rFonts w:ascii="Arial" w:hAnsi="Arial"/>
                <w:color w:val="000000"/>
                <w:sz w:val="22"/>
                <w:szCs w:val="22"/>
              </w:rPr>
            </w:pPr>
          </w:p>
        </w:tc>
        <w:tc>
          <w:tcPr>
            <w:tcW w:w="146" w:type="dxa"/>
            <w:shd w:val="clear" w:color="auto" w:fill="auto"/>
            <w:vAlign w:val="bottom"/>
          </w:tcPr>
          <w:p w:rsidR="00F40477" w:rsidRPr="009000C0" w:rsidRDefault="00F40477" w:rsidP="0029424E">
            <w:pPr>
              <w:tabs>
                <w:tab w:val="right" w:pos="2160"/>
                <w:tab w:val="right" w:pos="3060"/>
                <w:tab w:val="right" w:pos="4320"/>
                <w:tab w:val="right" w:pos="5670"/>
                <w:tab w:val="right" w:pos="6570"/>
                <w:tab w:val="right" w:pos="7805"/>
              </w:tabs>
              <w:rPr>
                <w:rFonts w:ascii="Arial" w:hAnsi="Arial"/>
                <w:color w:val="000000"/>
                <w:sz w:val="22"/>
                <w:szCs w:val="22"/>
              </w:rPr>
            </w:pPr>
          </w:p>
        </w:tc>
        <w:tc>
          <w:tcPr>
            <w:tcW w:w="1838" w:type="dxa"/>
            <w:shd w:val="clear" w:color="auto" w:fill="auto"/>
            <w:vAlign w:val="bottom"/>
          </w:tcPr>
          <w:p w:rsidR="00F40477" w:rsidRPr="009000C0" w:rsidRDefault="00F40477" w:rsidP="0029424E">
            <w:pPr>
              <w:tabs>
                <w:tab w:val="right" w:pos="2160"/>
                <w:tab w:val="right" w:pos="3060"/>
                <w:tab w:val="right" w:pos="4320"/>
                <w:tab w:val="right" w:pos="5670"/>
                <w:tab w:val="right" w:pos="6570"/>
                <w:tab w:val="right" w:pos="7805"/>
              </w:tabs>
              <w:rPr>
                <w:rFonts w:ascii="Arial" w:hAnsi="Arial"/>
                <w:color w:val="000000"/>
                <w:sz w:val="22"/>
                <w:szCs w:val="22"/>
              </w:rPr>
            </w:pPr>
          </w:p>
        </w:tc>
      </w:tr>
      <w:tr w:rsidR="00F40477" w:rsidRPr="009000C0" w:rsidTr="0029424E">
        <w:trPr>
          <w:cantSplit/>
          <w:trHeight w:val="67"/>
        </w:trPr>
        <w:tc>
          <w:tcPr>
            <w:tcW w:w="2798" w:type="dxa"/>
            <w:shd w:val="clear" w:color="auto" w:fill="auto"/>
          </w:tcPr>
          <w:p w:rsidR="00F40477" w:rsidRPr="009000C0" w:rsidRDefault="00F40477" w:rsidP="0029424E">
            <w:pPr>
              <w:tabs>
                <w:tab w:val="right" w:pos="2160"/>
                <w:tab w:val="right" w:pos="3060"/>
                <w:tab w:val="right" w:pos="4320"/>
                <w:tab w:val="right" w:pos="5670"/>
                <w:tab w:val="right" w:pos="6570"/>
                <w:tab w:val="right" w:pos="7805"/>
              </w:tabs>
              <w:rPr>
                <w:rFonts w:ascii="Arial" w:hAnsi="Arial"/>
                <w:color w:val="000000"/>
                <w:sz w:val="22"/>
                <w:szCs w:val="22"/>
              </w:rPr>
            </w:pPr>
            <w:r w:rsidRPr="009000C0">
              <w:rPr>
                <w:rFonts w:ascii="Arial" w:hAnsi="Arial" w:cs="Arial" w:hint="eastAsia"/>
                <w:color w:val="000000"/>
                <w:sz w:val="22"/>
                <w:szCs w:val="22"/>
              </w:rPr>
              <w:t>2016</w:t>
            </w:r>
            <w:r w:rsidRPr="009000C0">
              <w:rPr>
                <w:rFonts w:ascii="Arial" w:hAnsi="Arial" w:hint="eastAsia"/>
                <w:color w:val="000000"/>
                <w:sz w:val="22"/>
                <w:szCs w:val="22"/>
              </w:rPr>
              <w:t>年</w:t>
            </w:r>
            <w:r w:rsidRPr="009000C0">
              <w:rPr>
                <w:rFonts w:ascii="Arial" w:hAnsi="Arial" w:hint="eastAsia"/>
                <w:color w:val="000000"/>
                <w:sz w:val="22"/>
                <w:szCs w:val="22"/>
              </w:rPr>
              <w:t>1</w:t>
            </w:r>
            <w:r w:rsidRPr="009000C0">
              <w:rPr>
                <w:rFonts w:ascii="Arial" w:hAnsi="Arial" w:hint="eastAsia"/>
                <w:color w:val="000000"/>
                <w:sz w:val="22"/>
                <w:szCs w:val="22"/>
              </w:rPr>
              <w:t>月</w:t>
            </w:r>
            <w:r w:rsidRPr="009000C0">
              <w:rPr>
                <w:rFonts w:ascii="Arial" w:hAnsi="Arial" w:hint="eastAsia"/>
                <w:color w:val="000000"/>
                <w:sz w:val="22"/>
                <w:szCs w:val="22"/>
              </w:rPr>
              <w:t>1</w:t>
            </w:r>
            <w:r w:rsidRPr="009000C0">
              <w:rPr>
                <w:rFonts w:ascii="Arial" w:hAnsi="Arial" w:hint="eastAsia"/>
                <w:color w:val="000000"/>
                <w:sz w:val="22"/>
                <w:szCs w:val="22"/>
              </w:rPr>
              <w:t>日</w:t>
            </w:r>
          </w:p>
        </w:tc>
        <w:tc>
          <w:tcPr>
            <w:tcW w:w="290" w:type="dxa"/>
            <w:shd w:val="clear" w:color="auto" w:fill="auto"/>
            <w:vAlign w:val="bottom"/>
          </w:tcPr>
          <w:p w:rsidR="00F40477" w:rsidRPr="009000C0" w:rsidRDefault="00F40477" w:rsidP="0029424E">
            <w:pPr>
              <w:tabs>
                <w:tab w:val="right" w:pos="2160"/>
                <w:tab w:val="right" w:pos="3060"/>
                <w:tab w:val="right" w:pos="4320"/>
                <w:tab w:val="right" w:pos="5670"/>
                <w:tab w:val="right" w:pos="6570"/>
                <w:tab w:val="right" w:pos="7805"/>
              </w:tabs>
              <w:rPr>
                <w:rFonts w:ascii="Arial" w:hAnsi="Arial"/>
                <w:color w:val="000000"/>
                <w:sz w:val="22"/>
                <w:szCs w:val="22"/>
              </w:rPr>
            </w:pPr>
          </w:p>
        </w:tc>
        <w:tc>
          <w:tcPr>
            <w:tcW w:w="1789" w:type="dxa"/>
            <w:shd w:val="clear" w:color="auto" w:fill="auto"/>
            <w:vAlign w:val="bottom"/>
          </w:tcPr>
          <w:p w:rsidR="00F40477" w:rsidRPr="009000C0" w:rsidRDefault="00F40477" w:rsidP="0029424E">
            <w:pPr>
              <w:tabs>
                <w:tab w:val="decimal" w:pos="1307"/>
              </w:tabs>
              <w:ind w:right="-57"/>
              <w:rPr>
                <w:rFonts w:ascii="Arial" w:hAnsi="Arial" w:cs="Arial"/>
                <w:bCs/>
                <w:sz w:val="22"/>
                <w:szCs w:val="22"/>
              </w:rPr>
            </w:pPr>
          </w:p>
        </w:tc>
        <w:tc>
          <w:tcPr>
            <w:tcW w:w="144" w:type="dxa"/>
            <w:shd w:val="clear" w:color="auto" w:fill="auto"/>
            <w:vAlign w:val="bottom"/>
          </w:tcPr>
          <w:p w:rsidR="00F40477" w:rsidRPr="009000C0" w:rsidRDefault="00F40477" w:rsidP="0029424E">
            <w:pPr>
              <w:tabs>
                <w:tab w:val="right" w:pos="2160"/>
                <w:tab w:val="right" w:pos="3060"/>
                <w:tab w:val="right" w:pos="4320"/>
                <w:tab w:val="right" w:pos="5670"/>
                <w:tab w:val="right" w:pos="6570"/>
                <w:tab w:val="right" w:pos="7805"/>
              </w:tabs>
              <w:rPr>
                <w:rFonts w:ascii="Arial" w:hAnsi="Arial"/>
                <w:color w:val="000000"/>
                <w:sz w:val="22"/>
                <w:szCs w:val="22"/>
              </w:rPr>
            </w:pPr>
          </w:p>
        </w:tc>
        <w:tc>
          <w:tcPr>
            <w:tcW w:w="1699" w:type="dxa"/>
            <w:shd w:val="clear" w:color="auto" w:fill="auto"/>
            <w:vAlign w:val="bottom"/>
          </w:tcPr>
          <w:p w:rsidR="00F40477" w:rsidRPr="009000C0" w:rsidRDefault="00F40477" w:rsidP="0029424E">
            <w:pPr>
              <w:tabs>
                <w:tab w:val="right" w:pos="2160"/>
                <w:tab w:val="right" w:pos="3060"/>
                <w:tab w:val="right" w:pos="4320"/>
                <w:tab w:val="right" w:pos="5670"/>
                <w:tab w:val="right" w:pos="6570"/>
                <w:tab w:val="right" w:pos="7805"/>
              </w:tabs>
              <w:ind w:right="369"/>
              <w:jc w:val="right"/>
              <w:rPr>
                <w:rFonts w:ascii="Arial" w:hAnsi="Arial"/>
                <w:color w:val="000000"/>
                <w:sz w:val="22"/>
                <w:szCs w:val="22"/>
              </w:rPr>
            </w:pPr>
          </w:p>
        </w:tc>
        <w:tc>
          <w:tcPr>
            <w:tcW w:w="146" w:type="dxa"/>
            <w:shd w:val="clear" w:color="auto" w:fill="auto"/>
            <w:vAlign w:val="bottom"/>
          </w:tcPr>
          <w:p w:rsidR="00F40477" w:rsidRPr="009000C0" w:rsidRDefault="00F40477" w:rsidP="0029424E">
            <w:pPr>
              <w:tabs>
                <w:tab w:val="right" w:pos="2160"/>
                <w:tab w:val="right" w:pos="3060"/>
                <w:tab w:val="right" w:pos="4320"/>
                <w:tab w:val="right" w:pos="5670"/>
                <w:tab w:val="right" w:pos="6570"/>
                <w:tab w:val="right" w:pos="7805"/>
              </w:tabs>
              <w:rPr>
                <w:rFonts w:ascii="Arial" w:hAnsi="Arial"/>
                <w:color w:val="000000"/>
                <w:sz w:val="22"/>
                <w:szCs w:val="22"/>
              </w:rPr>
            </w:pPr>
          </w:p>
        </w:tc>
        <w:tc>
          <w:tcPr>
            <w:tcW w:w="1838" w:type="dxa"/>
            <w:shd w:val="clear" w:color="auto" w:fill="auto"/>
            <w:vAlign w:val="bottom"/>
          </w:tcPr>
          <w:p w:rsidR="00F40477" w:rsidRPr="009000C0" w:rsidRDefault="00F40477" w:rsidP="0029424E">
            <w:pPr>
              <w:tabs>
                <w:tab w:val="decimal" w:pos="1307"/>
              </w:tabs>
              <w:ind w:right="-57"/>
              <w:rPr>
                <w:rFonts w:ascii="Arial" w:hAnsi="Arial" w:cs="Arial"/>
                <w:bCs/>
                <w:sz w:val="22"/>
                <w:szCs w:val="22"/>
              </w:rPr>
            </w:pPr>
            <w:r w:rsidRPr="009000C0">
              <w:rPr>
                <w:rFonts w:ascii="Arial" w:hAnsi="Arial" w:cs="Arial"/>
                <w:bCs/>
                <w:sz w:val="22"/>
                <w:szCs w:val="22"/>
              </w:rPr>
              <w:t>3,366,979.20</w:t>
            </w:r>
          </w:p>
        </w:tc>
      </w:tr>
      <w:tr w:rsidR="00F40477" w:rsidRPr="009000C0" w:rsidTr="0029424E">
        <w:trPr>
          <w:cantSplit/>
          <w:trHeight w:val="67"/>
        </w:trPr>
        <w:tc>
          <w:tcPr>
            <w:tcW w:w="2798" w:type="dxa"/>
            <w:shd w:val="clear" w:color="auto" w:fill="FFFFFF"/>
            <w:vAlign w:val="bottom"/>
          </w:tcPr>
          <w:p w:rsidR="00F40477" w:rsidRPr="009000C0" w:rsidRDefault="00F40477" w:rsidP="0029424E">
            <w:pPr>
              <w:tabs>
                <w:tab w:val="right" w:pos="2160"/>
                <w:tab w:val="right" w:pos="3060"/>
                <w:tab w:val="right" w:pos="4320"/>
                <w:tab w:val="right" w:pos="5670"/>
                <w:tab w:val="right" w:pos="6570"/>
                <w:tab w:val="right" w:pos="7805"/>
              </w:tabs>
              <w:rPr>
                <w:rFonts w:ascii="Arial" w:hAnsi="Arial"/>
                <w:color w:val="000000"/>
                <w:sz w:val="22"/>
                <w:szCs w:val="22"/>
              </w:rPr>
            </w:pPr>
            <w:r w:rsidRPr="009000C0">
              <w:rPr>
                <w:rFonts w:ascii="Arial" w:hAnsi="Arial" w:hint="eastAsia"/>
                <w:color w:val="000000"/>
                <w:sz w:val="22"/>
                <w:szCs w:val="22"/>
              </w:rPr>
              <w:t>转入第三层次</w:t>
            </w:r>
          </w:p>
        </w:tc>
        <w:tc>
          <w:tcPr>
            <w:tcW w:w="290" w:type="dxa"/>
            <w:shd w:val="clear" w:color="auto" w:fill="auto"/>
            <w:vAlign w:val="bottom"/>
          </w:tcPr>
          <w:p w:rsidR="00F40477" w:rsidRPr="009000C0" w:rsidRDefault="00F40477" w:rsidP="0029424E">
            <w:pPr>
              <w:tabs>
                <w:tab w:val="right" w:pos="2160"/>
                <w:tab w:val="right" w:pos="3060"/>
                <w:tab w:val="right" w:pos="4320"/>
                <w:tab w:val="right" w:pos="5670"/>
                <w:tab w:val="right" w:pos="6570"/>
                <w:tab w:val="right" w:pos="7805"/>
              </w:tabs>
              <w:rPr>
                <w:rFonts w:ascii="Arial" w:hAnsi="Arial"/>
                <w:color w:val="000000"/>
                <w:sz w:val="22"/>
                <w:szCs w:val="22"/>
              </w:rPr>
            </w:pPr>
          </w:p>
        </w:tc>
        <w:tc>
          <w:tcPr>
            <w:tcW w:w="1789" w:type="dxa"/>
            <w:shd w:val="clear" w:color="auto" w:fill="auto"/>
            <w:vAlign w:val="bottom"/>
          </w:tcPr>
          <w:p w:rsidR="00F40477" w:rsidRPr="009000C0" w:rsidRDefault="00F40477" w:rsidP="0029424E">
            <w:pPr>
              <w:tabs>
                <w:tab w:val="decimal" w:pos="1307"/>
              </w:tabs>
              <w:ind w:right="-57"/>
              <w:rPr>
                <w:rFonts w:ascii="Arial" w:hAnsi="Arial" w:cs="Arial"/>
                <w:bCs/>
                <w:sz w:val="22"/>
                <w:szCs w:val="22"/>
              </w:rPr>
            </w:pPr>
          </w:p>
        </w:tc>
        <w:tc>
          <w:tcPr>
            <w:tcW w:w="144" w:type="dxa"/>
            <w:shd w:val="clear" w:color="auto" w:fill="auto"/>
            <w:vAlign w:val="bottom"/>
          </w:tcPr>
          <w:p w:rsidR="00F40477" w:rsidRPr="009000C0" w:rsidRDefault="00F40477" w:rsidP="0029424E">
            <w:pPr>
              <w:tabs>
                <w:tab w:val="right" w:pos="2160"/>
                <w:tab w:val="right" w:pos="3060"/>
                <w:tab w:val="right" w:pos="4320"/>
                <w:tab w:val="right" w:pos="5670"/>
                <w:tab w:val="right" w:pos="6570"/>
                <w:tab w:val="right" w:pos="7805"/>
              </w:tabs>
              <w:rPr>
                <w:rFonts w:ascii="Arial" w:hAnsi="Arial"/>
                <w:color w:val="000000"/>
                <w:sz w:val="22"/>
                <w:szCs w:val="22"/>
              </w:rPr>
            </w:pPr>
          </w:p>
        </w:tc>
        <w:tc>
          <w:tcPr>
            <w:tcW w:w="1699" w:type="dxa"/>
            <w:shd w:val="clear" w:color="auto" w:fill="auto"/>
            <w:vAlign w:val="bottom"/>
          </w:tcPr>
          <w:p w:rsidR="00F40477" w:rsidRPr="009000C0" w:rsidRDefault="00F40477" w:rsidP="0029424E">
            <w:pPr>
              <w:tabs>
                <w:tab w:val="right" w:pos="2160"/>
                <w:tab w:val="right" w:pos="3060"/>
                <w:tab w:val="right" w:pos="4320"/>
                <w:tab w:val="right" w:pos="5670"/>
                <w:tab w:val="right" w:pos="6570"/>
                <w:tab w:val="right" w:pos="7805"/>
              </w:tabs>
              <w:ind w:right="369"/>
              <w:jc w:val="right"/>
              <w:rPr>
                <w:rFonts w:ascii="Arial" w:hAnsi="Arial"/>
                <w:color w:val="000000"/>
                <w:sz w:val="22"/>
                <w:szCs w:val="22"/>
              </w:rPr>
            </w:pPr>
          </w:p>
        </w:tc>
        <w:tc>
          <w:tcPr>
            <w:tcW w:w="146" w:type="dxa"/>
            <w:shd w:val="clear" w:color="auto" w:fill="auto"/>
            <w:vAlign w:val="bottom"/>
          </w:tcPr>
          <w:p w:rsidR="00F40477" w:rsidRPr="009000C0" w:rsidRDefault="00F40477" w:rsidP="0029424E">
            <w:pPr>
              <w:tabs>
                <w:tab w:val="right" w:pos="2160"/>
                <w:tab w:val="right" w:pos="3060"/>
                <w:tab w:val="right" w:pos="4320"/>
                <w:tab w:val="right" w:pos="5670"/>
                <w:tab w:val="right" w:pos="6570"/>
                <w:tab w:val="right" w:pos="7805"/>
              </w:tabs>
              <w:rPr>
                <w:rFonts w:ascii="Arial" w:hAnsi="Arial"/>
                <w:color w:val="000000"/>
                <w:sz w:val="22"/>
                <w:szCs w:val="22"/>
              </w:rPr>
            </w:pPr>
          </w:p>
        </w:tc>
        <w:tc>
          <w:tcPr>
            <w:tcW w:w="1838" w:type="dxa"/>
            <w:shd w:val="clear" w:color="auto" w:fill="auto"/>
            <w:vAlign w:val="bottom"/>
          </w:tcPr>
          <w:p w:rsidR="00F40477" w:rsidRPr="009000C0" w:rsidRDefault="00F40477" w:rsidP="0029424E">
            <w:pPr>
              <w:tabs>
                <w:tab w:val="decimal" w:pos="1307"/>
              </w:tabs>
              <w:ind w:right="-57"/>
              <w:rPr>
                <w:rFonts w:ascii="Arial" w:hAnsi="Arial" w:cs="Arial"/>
                <w:bCs/>
                <w:sz w:val="22"/>
                <w:szCs w:val="22"/>
              </w:rPr>
            </w:pPr>
            <w:r w:rsidRPr="009000C0">
              <w:rPr>
                <w:rFonts w:ascii="Arial" w:hAnsi="Arial"/>
                <w:color w:val="000000"/>
                <w:sz w:val="22"/>
                <w:szCs w:val="22"/>
              </w:rPr>
              <w:t>-</w:t>
            </w:r>
          </w:p>
        </w:tc>
      </w:tr>
      <w:tr w:rsidR="00F40477" w:rsidRPr="009000C0" w:rsidTr="0029424E">
        <w:trPr>
          <w:cantSplit/>
          <w:trHeight w:val="67"/>
        </w:trPr>
        <w:tc>
          <w:tcPr>
            <w:tcW w:w="2798" w:type="dxa"/>
            <w:shd w:val="clear" w:color="auto" w:fill="FFFFFF"/>
            <w:vAlign w:val="bottom"/>
          </w:tcPr>
          <w:p w:rsidR="00F40477" w:rsidRPr="009000C0" w:rsidRDefault="00F40477" w:rsidP="0029424E">
            <w:pPr>
              <w:tabs>
                <w:tab w:val="right" w:pos="2160"/>
                <w:tab w:val="right" w:pos="3060"/>
                <w:tab w:val="right" w:pos="4320"/>
                <w:tab w:val="right" w:pos="5670"/>
                <w:tab w:val="right" w:pos="6570"/>
                <w:tab w:val="right" w:pos="7805"/>
              </w:tabs>
              <w:rPr>
                <w:rFonts w:ascii="Arial" w:hAnsi="Arial"/>
                <w:color w:val="000000"/>
                <w:sz w:val="22"/>
                <w:szCs w:val="22"/>
              </w:rPr>
            </w:pPr>
            <w:r w:rsidRPr="009000C0">
              <w:rPr>
                <w:rFonts w:ascii="Arial" w:hAnsi="Arial" w:hint="eastAsia"/>
                <w:color w:val="000000"/>
                <w:sz w:val="22"/>
                <w:szCs w:val="22"/>
              </w:rPr>
              <w:t>转出第三层次</w:t>
            </w:r>
          </w:p>
        </w:tc>
        <w:tc>
          <w:tcPr>
            <w:tcW w:w="290" w:type="dxa"/>
            <w:shd w:val="clear" w:color="auto" w:fill="auto"/>
            <w:vAlign w:val="bottom"/>
          </w:tcPr>
          <w:p w:rsidR="00F40477" w:rsidRPr="009000C0" w:rsidRDefault="00F40477" w:rsidP="0029424E">
            <w:pPr>
              <w:tabs>
                <w:tab w:val="right" w:pos="2160"/>
                <w:tab w:val="right" w:pos="3060"/>
                <w:tab w:val="right" w:pos="4320"/>
                <w:tab w:val="right" w:pos="5670"/>
                <w:tab w:val="right" w:pos="6570"/>
                <w:tab w:val="right" w:pos="7805"/>
              </w:tabs>
              <w:rPr>
                <w:rFonts w:ascii="Arial" w:hAnsi="Arial"/>
                <w:color w:val="000000"/>
                <w:sz w:val="22"/>
                <w:szCs w:val="22"/>
              </w:rPr>
            </w:pPr>
          </w:p>
        </w:tc>
        <w:tc>
          <w:tcPr>
            <w:tcW w:w="1789" w:type="dxa"/>
            <w:shd w:val="clear" w:color="auto" w:fill="auto"/>
            <w:vAlign w:val="bottom"/>
          </w:tcPr>
          <w:p w:rsidR="00F40477" w:rsidRPr="009000C0" w:rsidRDefault="00F40477" w:rsidP="0029424E">
            <w:pPr>
              <w:tabs>
                <w:tab w:val="decimal" w:pos="1307"/>
              </w:tabs>
              <w:ind w:right="-57"/>
              <w:rPr>
                <w:rFonts w:ascii="Arial" w:hAnsi="Arial" w:cs="Arial"/>
                <w:bCs/>
                <w:sz w:val="22"/>
                <w:szCs w:val="22"/>
              </w:rPr>
            </w:pPr>
          </w:p>
        </w:tc>
        <w:tc>
          <w:tcPr>
            <w:tcW w:w="144" w:type="dxa"/>
            <w:shd w:val="clear" w:color="auto" w:fill="auto"/>
            <w:vAlign w:val="bottom"/>
          </w:tcPr>
          <w:p w:rsidR="00F40477" w:rsidRPr="009000C0" w:rsidRDefault="00F40477" w:rsidP="0029424E">
            <w:pPr>
              <w:tabs>
                <w:tab w:val="right" w:pos="2160"/>
                <w:tab w:val="right" w:pos="3060"/>
                <w:tab w:val="right" w:pos="4320"/>
                <w:tab w:val="right" w:pos="5670"/>
                <w:tab w:val="right" w:pos="6570"/>
                <w:tab w:val="right" w:pos="7805"/>
              </w:tabs>
              <w:rPr>
                <w:rFonts w:ascii="Arial" w:hAnsi="Arial"/>
                <w:color w:val="000000"/>
                <w:sz w:val="22"/>
                <w:szCs w:val="22"/>
              </w:rPr>
            </w:pPr>
          </w:p>
        </w:tc>
        <w:tc>
          <w:tcPr>
            <w:tcW w:w="1699" w:type="dxa"/>
            <w:shd w:val="clear" w:color="auto" w:fill="auto"/>
            <w:vAlign w:val="bottom"/>
          </w:tcPr>
          <w:p w:rsidR="00F40477" w:rsidRPr="009000C0" w:rsidRDefault="00F40477" w:rsidP="0029424E">
            <w:pPr>
              <w:tabs>
                <w:tab w:val="right" w:pos="2160"/>
                <w:tab w:val="right" w:pos="3060"/>
                <w:tab w:val="right" w:pos="4320"/>
                <w:tab w:val="right" w:pos="5670"/>
                <w:tab w:val="right" w:pos="6570"/>
                <w:tab w:val="right" w:pos="7805"/>
              </w:tabs>
              <w:ind w:right="369"/>
              <w:jc w:val="right"/>
              <w:rPr>
                <w:rFonts w:ascii="Arial" w:hAnsi="Arial"/>
                <w:color w:val="000000"/>
                <w:sz w:val="22"/>
                <w:szCs w:val="22"/>
              </w:rPr>
            </w:pPr>
          </w:p>
        </w:tc>
        <w:tc>
          <w:tcPr>
            <w:tcW w:w="146" w:type="dxa"/>
            <w:shd w:val="clear" w:color="auto" w:fill="auto"/>
            <w:vAlign w:val="bottom"/>
          </w:tcPr>
          <w:p w:rsidR="00F40477" w:rsidRPr="009000C0" w:rsidRDefault="00F40477" w:rsidP="0029424E">
            <w:pPr>
              <w:tabs>
                <w:tab w:val="right" w:pos="2160"/>
                <w:tab w:val="right" w:pos="3060"/>
                <w:tab w:val="right" w:pos="4320"/>
                <w:tab w:val="right" w:pos="5670"/>
                <w:tab w:val="right" w:pos="6570"/>
                <w:tab w:val="right" w:pos="7805"/>
              </w:tabs>
              <w:rPr>
                <w:rFonts w:ascii="Arial" w:hAnsi="Arial"/>
                <w:color w:val="000000"/>
                <w:sz w:val="22"/>
                <w:szCs w:val="22"/>
              </w:rPr>
            </w:pPr>
          </w:p>
        </w:tc>
        <w:tc>
          <w:tcPr>
            <w:tcW w:w="1838" w:type="dxa"/>
            <w:shd w:val="clear" w:color="auto" w:fill="auto"/>
            <w:vAlign w:val="bottom"/>
          </w:tcPr>
          <w:p w:rsidR="00F40477" w:rsidRPr="009000C0" w:rsidRDefault="00F40477" w:rsidP="0029424E">
            <w:pPr>
              <w:tabs>
                <w:tab w:val="decimal" w:pos="1307"/>
              </w:tabs>
              <w:ind w:right="-57"/>
              <w:rPr>
                <w:rFonts w:ascii="Arial" w:hAnsi="Arial" w:cs="Arial"/>
                <w:bCs/>
                <w:sz w:val="22"/>
                <w:szCs w:val="22"/>
              </w:rPr>
            </w:pPr>
            <w:r w:rsidRPr="009000C0">
              <w:rPr>
                <w:rFonts w:ascii="Arial" w:hAnsi="Arial" w:cs="Arial"/>
                <w:bCs/>
                <w:sz w:val="22"/>
                <w:szCs w:val="22"/>
              </w:rPr>
              <w:t>2,984,279.53</w:t>
            </w:r>
          </w:p>
        </w:tc>
      </w:tr>
      <w:tr w:rsidR="00F40477" w:rsidRPr="009000C0" w:rsidTr="0029424E">
        <w:trPr>
          <w:cantSplit/>
          <w:trHeight w:val="67"/>
        </w:trPr>
        <w:tc>
          <w:tcPr>
            <w:tcW w:w="2798" w:type="dxa"/>
            <w:shd w:val="clear" w:color="auto" w:fill="FFFFFF"/>
            <w:vAlign w:val="bottom"/>
          </w:tcPr>
          <w:p w:rsidR="00F40477" w:rsidRPr="009000C0" w:rsidRDefault="00F40477" w:rsidP="0029424E">
            <w:pPr>
              <w:tabs>
                <w:tab w:val="right" w:pos="2160"/>
                <w:tab w:val="right" w:pos="3060"/>
                <w:tab w:val="right" w:pos="4320"/>
                <w:tab w:val="right" w:pos="5670"/>
                <w:tab w:val="right" w:pos="6570"/>
                <w:tab w:val="right" w:pos="7805"/>
              </w:tabs>
              <w:rPr>
                <w:rFonts w:ascii="Arial" w:hAnsi="Arial"/>
                <w:color w:val="000000"/>
                <w:sz w:val="22"/>
                <w:szCs w:val="22"/>
              </w:rPr>
            </w:pPr>
            <w:r w:rsidRPr="009000C0">
              <w:rPr>
                <w:rFonts w:ascii="Arial" w:hAnsi="Arial" w:hint="eastAsia"/>
                <w:color w:val="000000"/>
                <w:sz w:val="22"/>
                <w:szCs w:val="22"/>
              </w:rPr>
              <w:t>当期利得或损失总额</w:t>
            </w:r>
          </w:p>
        </w:tc>
        <w:tc>
          <w:tcPr>
            <w:tcW w:w="290" w:type="dxa"/>
            <w:shd w:val="clear" w:color="auto" w:fill="auto"/>
            <w:vAlign w:val="bottom"/>
          </w:tcPr>
          <w:p w:rsidR="00F40477" w:rsidRPr="009000C0" w:rsidRDefault="00F40477" w:rsidP="0029424E">
            <w:pPr>
              <w:tabs>
                <w:tab w:val="right" w:pos="2160"/>
                <w:tab w:val="right" w:pos="3060"/>
                <w:tab w:val="right" w:pos="4320"/>
                <w:tab w:val="right" w:pos="5670"/>
                <w:tab w:val="right" w:pos="6570"/>
                <w:tab w:val="right" w:pos="7805"/>
              </w:tabs>
              <w:rPr>
                <w:rFonts w:ascii="Arial" w:hAnsi="Arial"/>
                <w:color w:val="000000"/>
                <w:sz w:val="22"/>
                <w:szCs w:val="22"/>
              </w:rPr>
            </w:pPr>
          </w:p>
        </w:tc>
        <w:tc>
          <w:tcPr>
            <w:tcW w:w="1789" w:type="dxa"/>
            <w:shd w:val="clear" w:color="auto" w:fill="auto"/>
            <w:vAlign w:val="bottom"/>
          </w:tcPr>
          <w:p w:rsidR="00F40477" w:rsidRPr="009000C0" w:rsidRDefault="00F40477" w:rsidP="0029424E">
            <w:pPr>
              <w:tabs>
                <w:tab w:val="decimal" w:pos="1307"/>
              </w:tabs>
              <w:ind w:right="-57"/>
              <w:rPr>
                <w:rFonts w:ascii="Arial" w:hAnsi="Arial" w:cs="Arial"/>
                <w:bCs/>
                <w:sz w:val="22"/>
                <w:szCs w:val="22"/>
              </w:rPr>
            </w:pPr>
          </w:p>
        </w:tc>
        <w:tc>
          <w:tcPr>
            <w:tcW w:w="144" w:type="dxa"/>
            <w:shd w:val="clear" w:color="auto" w:fill="auto"/>
            <w:vAlign w:val="bottom"/>
          </w:tcPr>
          <w:p w:rsidR="00F40477" w:rsidRPr="009000C0" w:rsidRDefault="00F40477" w:rsidP="0029424E">
            <w:pPr>
              <w:tabs>
                <w:tab w:val="right" w:pos="2160"/>
                <w:tab w:val="right" w:pos="3060"/>
                <w:tab w:val="right" w:pos="4320"/>
                <w:tab w:val="right" w:pos="5670"/>
                <w:tab w:val="right" w:pos="6570"/>
                <w:tab w:val="right" w:pos="7805"/>
              </w:tabs>
              <w:rPr>
                <w:rFonts w:ascii="Arial" w:hAnsi="Arial"/>
                <w:color w:val="000000"/>
                <w:sz w:val="22"/>
                <w:szCs w:val="22"/>
              </w:rPr>
            </w:pPr>
          </w:p>
        </w:tc>
        <w:tc>
          <w:tcPr>
            <w:tcW w:w="1699" w:type="dxa"/>
            <w:shd w:val="clear" w:color="auto" w:fill="auto"/>
            <w:vAlign w:val="bottom"/>
          </w:tcPr>
          <w:p w:rsidR="00F40477" w:rsidRPr="009000C0" w:rsidRDefault="00F40477" w:rsidP="0029424E">
            <w:pPr>
              <w:tabs>
                <w:tab w:val="right" w:pos="2160"/>
                <w:tab w:val="right" w:pos="3060"/>
                <w:tab w:val="right" w:pos="4320"/>
                <w:tab w:val="right" w:pos="5670"/>
                <w:tab w:val="right" w:pos="6570"/>
                <w:tab w:val="right" w:pos="7805"/>
              </w:tabs>
              <w:ind w:right="369"/>
              <w:jc w:val="right"/>
              <w:rPr>
                <w:rFonts w:ascii="Arial" w:hAnsi="Arial"/>
                <w:color w:val="000000"/>
                <w:sz w:val="22"/>
                <w:szCs w:val="22"/>
              </w:rPr>
            </w:pPr>
          </w:p>
        </w:tc>
        <w:tc>
          <w:tcPr>
            <w:tcW w:w="146" w:type="dxa"/>
            <w:shd w:val="clear" w:color="auto" w:fill="auto"/>
            <w:vAlign w:val="bottom"/>
          </w:tcPr>
          <w:p w:rsidR="00F40477" w:rsidRPr="009000C0" w:rsidRDefault="00F40477" w:rsidP="0029424E">
            <w:pPr>
              <w:tabs>
                <w:tab w:val="right" w:pos="2160"/>
                <w:tab w:val="right" w:pos="3060"/>
                <w:tab w:val="right" w:pos="4320"/>
                <w:tab w:val="right" w:pos="5670"/>
                <w:tab w:val="right" w:pos="6570"/>
                <w:tab w:val="right" w:pos="7805"/>
              </w:tabs>
              <w:rPr>
                <w:rFonts w:ascii="Arial" w:hAnsi="Arial"/>
                <w:color w:val="000000"/>
                <w:sz w:val="22"/>
                <w:szCs w:val="22"/>
              </w:rPr>
            </w:pPr>
          </w:p>
        </w:tc>
        <w:tc>
          <w:tcPr>
            <w:tcW w:w="1838" w:type="dxa"/>
            <w:shd w:val="clear" w:color="auto" w:fill="auto"/>
            <w:vAlign w:val="bottom"/>
          </w:tcPr>
          <w:p w:rsidR="00F40477" w:rsidRPr="009000C0" w:rsidRDefault="00F40477" w:rsidP="0029424E">
            <w:pPr>
              <w:tabs>
                <w:tab w:val="decimal" w:pos="1307"/>
              </w:tabs>
              <w:ind w:right="-57"/>
              <w:rPr>
                <w:rFonts w:ascii="Arial" w:hAnsi="Arial" w:cs="Arial"/>
                <w:bCs/>
                <w:sz w:val="22"/>
                <w:szCs w:val="22"/>
              </w:rPr>
            </w:pPr>
          </w:p>
        </w:tc>
      </w:tr>
      <w:tr w:rsidR="00F40477" w:rsidRPr="009000C0" w:rsidTr="0029424E">
        <w:trPr>
          <w:cantSplit/>
          <w:trHeight w:val="67"/>
        </w:trPr>
        <w:tc>
          <w:tcPr>
            <w:tcW w:w="2798" w:type="dxa"/>
            <w:shd w:val="clear" w:color="auto" w:fill="FFFFFF"/>
            <w:vAlign w:val="bottom"/>
          </w:tcPr>
          <w:p w:rsidR="00F40477" w:rsidRPr="009000C0" w:rsidRDefault="00F40477" w:rsidP="0029424E">
            <w:pPr>
              <w:tabs>
                <w:tab w:val="right" w:pos="2160"/>
                <w:tab w:val="right" w:pos="3060"/>
                <w:tab w:val="right" w:pos="4320"/>
                <w:tab w:val="right" w:pos="5670"/>
                <w:tab w:val="right" w:pos="6570"/>
                <w:tab w:val="right" w:pos="7805"/>
              </w:tabs>
              <w:rPr>
                <w:rFonts w:ascii="Arial" w:hAnsi="Arial"/>
                <w:color w:val="000000"/>
                <w:sz w:val="22"/>
                <w:szCs w:val="22"/>
              </w:rPr>
            </w:pPr>
            <w:r w:rsidRPr="009000C0">
              <w:rPr>
                <w:rFonts w:ascii="Arial" w:hAnsi="Arial" w:hint="eastAsia"/>
                <w:color w:val="000000"/>
                <w:sz w:val="22"/>
                <w:szCs w:val="22"/>
              </w:rPr>
              <w:t>——计入损益的利得或损失</w:t>
            </w:r>
          </w:p>
        </w:tc>
        <w:tc>
          <w:tcPr>
            <w:tcW w:w="290" w:type="dxa"/>
            <w:shd w:val="clear" w:color="auto" w:fill="auto"/>
            <w:vAlign w:val="bottom"/>
          </w:tcPr>
          <w:p w:rsidR="00F40477" w:rsidRPr="009000C0" w:rsidRDefault="00F40477" w:rsidP="0029424E">
            <w:pPr>
              <w:tabs>
                <w:tab w:val="right" w:pos="2160"/>
                <w:tab w:val="right" w:pos="3060"/>
                <w:tab w:val="right" w:pos="4320"/>
                <w:tab w:val="right" w:pos="5670"/>
                <w:tab w:val="right" w:pos="6570"/>
                <w:tab w:val="right" w:pos="7805"/>
              </w:tabs>
              <w:rPr>
                <w:rFonts w:ascii="Arial" w:hAnsi="Arial"/>
                <w:color w:val="000000"/>
                <w:sz w:val="22"/>
                <w:szCs w:val="22"/>
              </w:rPr>
            </w:pPr>
          </w:p>
        </w:tc>
        <w:tc>
          <w:tcPr>
            <w:tcW w:w="1789" w:type="dxa"/>
            <w:shd w:val="clear" w:color="auto" w:fill="auto"/>
            <w:vAlign w:val="bottom"/>
          </w:tcPr>
          <w:p w:rsidR="00F40477" w:rsidRPr="009000C0" w:rsidRDefault="00F40477" w:rsidP="0029424E">
            <w:pPr>
              <w:tabs>
                <w:tab w:val="decimal" w:pos="1307"/>
              </w:tabs>
              <w:ind w:right="-57"/>
              <w:rPr>
                <w:rFonts w:ascii="Arial" w:hAnsi="Arial" w:cs="Arial"/>
                <w:bCs/>
                <w:sz w:val="22"/>
                <w:szCs w:val="22"/>
              </w:rPr>
            </w:pPr>
          </w:p>
        </w:tc>
        <w:tc>
          <w:tcPr>
            <w:tcW w:w="144" w:type="dxa"/>
            <w:shd w:val="clear" w:color="auto" w:fill="auto"/>
            <w:vAlign w:val="bottom"/>
          </w:tcPr>
          <w:p w:rsidR="00F40477" w:rsidRPr="009000C0" w:rsidRDefault="00F40477" w:rsidP="0029424E">
            <w:pPr>
              <w:tabs>
                <w:tab w:val="right" w:pos="2160"/>
                <w:tab w:val="right" w:pos="3060"/>
                <w:tab w:val="right" w:pos="4320"/>
                <w:tab w:val="right" w:pos="5670"/>
                <w:tab w:val="right" w:pos="6570"/>
                <w:tab w:val="right" w:pos="7805"/>
              </w:tabs>
              <w:rPr>
                <w:rFonts w:ascii="Arial" w:hAnsi="Arial"/>
                <w:color w:val="000000"/>
                <w:sz w:val="22"/>
                <w:szCs w:val="22"/>
              </w:rPr>
            </w:pPr>
          </w:p>
        </w:tc>
        <w:tc>
          <w:tcPr>
            <w:tcW w:w="1699" w:type="dxa"/>
            <w:shd w:val="clear" w:color="auto" w:fill="auto"/>
            <w:vAlign w:val="bottom"/>
          </w:tcPr>
          <w:p w:rsidR="00F40477" w:rsidRPr="009000C0" w:rsidRDefault="00F40477" w:rsidP="0029424E">
            <w:pPr>
              <w:tabs>
                <w:tab w:val="right" w:pos="2160"/>
                <w:tab w:val="right" w:pos="3060"/>
                <w:tab w:val="right" w:pos="4320"/>
                <w:tab w:val="right" w:pos="5670"/>
                <w:tab w:val="right" w:pos="6570"/>
                <w:tab w:val="right" w:pos="7805"/>
              </w:tabs>
              <w:ind w:right="369"/>
              <w:jc w:val="right"/>
              <w:rPr>
                <w:rFonts w:ascii="Arial" w:hAnsi="Arial"/>
                <w:color w:val="000000"/>
                <w:sz w:val="22"/>
                <w:szCs w:val="22"/>
              </w:rPr>
            </w:pPr>
          </w:p>
        </w:tc>
        <w:tc>
          <w:tcPr>
            <w:tcW w:w="146" w:type="dxa"/>
            <w:shd w:val="clear" w:color="auto" w:fill="auto"/>
            <w:vAlign w:val="bottom"/>
          </w:tcPr>
          <w:p w:rsidR="00F40477" w:rsidRPr="009000C0" w:rsidRDefault="00F40477" w:rsidP="0029424E">
            <w:pPr>
              <w:tabs>
                <w:tab w:val="right" w:pos="2160"/>
                <w:tab w:val="right" w:pos="3060"/>
                <w:tab w:val="right" w:pos="4320"/>
                <w:tab w:val="right" w:pos="5670"/>
                <w:tab w:val="right" w:pos="6570"/>
                <w:tab w:val="right" w:pos="7805"/>
              </w:tabs>
              <w:rPr>
                <w:rFonts w:ascii="Arial" w:hAnsi="Arial"/>
                <w:color w:val="000000"/>
                <w:sz w:val="22"/>
                <w:szCs w:val="22"/>
              </w:rPr>
            </w:pPr>
          </w:p>
        </w:tc>
        <w:tc>
          <w:tcPr>
            <w:tcW w:w="1838" w:type="dxa"/>
            <w:tcBorders>
              <w:bottom w:val="single" w:sz="4" w:space="0" w:color="auto"/>
            </w:tcBorders>
            <w:shd w:val="clear" w:color="auto" w:fill="auto"/>
            <w:vAlign w:val="bottom"/>
          </w:tcPr>
          <w:p w:rsidR="00F40477" w:rsidRPr="009000C0" w:rsidRDefault="00F40477" w:rsidP="0029424E">
            <w:pPr>
              <w:tabs>
                <w:tab w:val="decimal" w:pos="1307"/>
              </w:tabs>
              <w:ind w:right="-57"/>
              <w:rPr>
                <w:rFonts w:ascii="Arial" w:hAnsi="Arial" w:cs="Arial"/>
                <w:bCs/>
                <w:sz w:val="22"/>
                <w:szCs w:val="22"/>
              </w:rPr>
            </w:pPr>
            <w:r w:rsidRPr="009000C0">
              <w:rPr>
                <w:rFonts w:ascii="Arial" w:hAnsi="Arial"/>
                <w:color w:val="000000"/>
                <w:sz w:val="22"/>
                <w:szCs w:val="22"/>
              </w:rPr>
              <w:t>-382,699.67</w:t>
            </w:r>
          </w:p>
        </w:tc>
      </w:tr>
      <w:tr w:rsidR="00F40477" w:rsidRPr="009000C0" w:rsidTr="0029424E">
        <w:trPr>
          <w:cantSplit/>
          <w:trHeight w:val="168"/>
        </w:trPr>
        <w:tc>
          <w:tcPr>
            <w:tcW w:w="2798" w:type="dxa"/>
            <w:shd w:val="clear" w:color="auto" w:fill="auto"/>
          </w:tcPr>
          <w:p w:rsidR="00F40477" w:rsidRPr="009000C0" w:rsidRDefault="00F40477" w:rsidP="0029424E">
            <w:pPr>
              <w:tabs>
                <w:tab w:val="right" w:pos="2160"/>
                <w:tab w:val="right" w:pos="3060"/>
                <w:tab w:val="right" w:pos="4320"/>
                <w:tab w:val="right" w:pos="5670"/>
                <w:tab w:val="right" w:pos="6570"/>
                <w:tab w:val="right" w:pos="7805"/>
              </w:tabs>
              <w:rPr>
                <w:rFonts w:ascii="Arial" w:hAnsi="Arial"/>
                <w:color w:val="000000"/>
                <w:sz w:val="22"/>
                <w:szCs w:val="22"/>
              </w:rPr>
            </w:pPr>
            <w:r w:rsidRPr="009000C0">
              <w:rPr>
                <w:rFonts w:ascii="Arial" w:hAnsi="Arial" w:cs="Arial" w:hint="eastAsia"/>
                <w:color w:val="000000"/>
                <w:sz w:val="22"/>
                <w:szCs w:val="22"/>
              </w:rPr>
              <w:t>2016</w:t>
            </w:r>
            <w:r w:rsidRPr="009000C0">
              <w:rPr>
                <w:rFonts w:ascii="Arial" w:hAnsi="Arial" w:hint="eastAsia"/>
                <w:color w:val="000000"/>
                <w:sz w:val="22"/>
                <w:szCs w:val="22"/>
              </w:rPr>
              <w:t>年</w:t>
            </w:r>
            <w:r w:rsidRPr="009000C0">
              <w:rPr>
                <w:rFonts w:ascii="Arial" w:hAnsi="Arial" w:hint="eastAsia"/>
                <w:color w:val="000000"/>
                <w:sz w:val="22"/>
                <w:szCs w:val="22"/>
              </w:rPr>
              <w:t>12</w:t>
            </w:r>
            <w:r w:rsidRPr="009000C0">
              <w:rPr>
                <w:rFonts w:ascii="Arial" w:hAnsi="Arial" w:hint="eastAsia"/>
                <w:color w:val="000000"/>
                <w:sz w:val="22"/>
                <w:szCs w:val="22"/>
              </w:rPr>
              <w:t>月</w:t>
            </w:r>
            <w:r w:rsidRPr="009000C0">
              <w:rPr>
                <w:rFonts w:ascii="Arial" w:hAnsi="Arial" w:hint="eastAsia"/>
                <w:color w:val="000000"/>
                <w:sz w:val="22"/>
                <w:szCs w:val="22"/>
              </w:rPr>
              <w:t>31</w:t>
            </w:r>
            <w:r w:rsidRPr="009000C0">
              <w:rPr>
                <w:rFonts w:ascii="Arial" w:hAnsi="Arial" w:hint="eastAsia"/>
                <w:color w:val="000000"/>
                <w:sz w:val="22"/>
                <w:szCs w:val="22"/>
              </w:rPr>
              <w:t>日</w:t>
            </w:r>
          </w:p>
        </w:tc>
        <w:tc>
          <w:tcPr>
            <w:tcW w:w="290" w:type="dxa"/>
            <w:shd w:val="clear" w:color="auto" w:fill="auto"/>
            <w:vAlign w:val="bottom"/>
          </w:tcPr>
          <w:p w:rsidR="00F40477" w:rsidRPr="009000C0" w:rsidRDefault="00F40477" w:rsidP="0029424E">
            <w:pPr>
              <w:tabs>
                <w:tab w:val="right" w:pos="2160"/>
                <w:tab w:val="right" w:pos="3060"/>
                <w:tab w:val="right" w:pos="4320"/>
                <w:tab w:val="right" w:pos="5670"/>
                <w:tab w:val="right" w:pos="6570"/>
                <w:tab w:val="right" w:pos="7805"/>
              </w:tabs>
              <w:rPr>
                <w:rFonts w:ascii="Arial" w:hAnsi="Arial"/>
                <w:color w:val="000000"/>
                <w:sz w:val="22"/>
                <w:szCs w:val="22"/>
              </w:rPr>
            </w:pPr>
          </w:p>
        </w:tc>
        <w:tc>
          <w:tcPr>
            <w:tcW w:w="1789" w:type="dxa"/>
            <w:shd w:val="clear" w:color="auto" w:fill="auto"/>
            <w:vAlign w:val="bottom"/>
          </w:tcPr>
          <w:p w:rsidR="00F40477" w:rsidRPr="009000C0" w:rsidRDefault="00F40477" w:rsidP="0029424E">
            <w:pPr>
              <w:tabs>
                <w:tab w:val="decimal" w:pos="1307"/>
              </w:tabs>
              <w:ind w:right="-57"/>
              <w:rPr>
                <w:rFonts w:ascii="Arial" w:hAnsi="Arial" w:cs="Arial"/>
                <w:bCs/>
                <w:sz w:val="22"/>
                <w:szCs w:val="22"/>
              </w:rPr>
            </w:pPr>
          </w:p>
        </w:tc>
        <w:tc>
          <w:tcPr>
            <w:tcW w:w="144" w:type="dxa"/>
            <w:shd w:val="clear" w:color="auto" w:fill="auto"/>
            <w:vAlign w:val="bottom"/>
          </w:tcPr>
          <w:p w:rsidR="00F40477" w:rsidRPr="009000C0" w:rsidRDefault="00F40477" w:rsidP="0029424E">
            <w:pPr>
              <w:tabs>
                <w:tab w:val="right" w:pos="2160"/>
                <w:tab w:val="right" w:pos="3060"/>
                <w:tab w:val="right" w:pos="4320"/>
                <w:tab w:val="right" w:pos="5670"/>
                <w:tab w:val="right" w:pos="6570"/>
                <w:tab w:val="right" w:pos="7805"/>
              </w:tabs>
              <w:rPr>
                <w:rFonts w:ascii="Arial" w:hAnsi="Arial"/>
                <w:color w:val="000000"/>
                <w:sz w:val="22"/>
                <w:szCs w:val="22"/>
              </w:rPr>
            </w:pPr>
          </w:p>
        </w:tc>
        <w:tc>
          <w:tcPr>
            <w:tcW w:w="1699" w:type="dxa"/>
            <w:shd w:val="clear" w:color="auto" w:fill="auto"/>
            <w:vAlign w:val="bottom"/>
          </w:tcPr>
          <w:p w:rsidR="00F40477" w:rsidRPr="009000C0" w:rsidRDefault="00F40477" w:rsidP="0029424E">
            <w:pPr>
              <w:tabs>
                <w:tab w:val="right" w:pos="2160"/>
                <w:tab w:val="right" w:pos="3060"/>
                <w:tab w:val="right" w:pos="4320"/>
                <w:tab w:val="right" w:pos="5670"/>
                <w:tab w:val="right" w:pos="6570"/>
                <w:tab w:val="right" w:pos="7805"/>
              </w:tabs>
              <w:ind w:right="369"/>
              <w:jc w:val="right"/>
              <w:rPr>
                <w:rFonts w:ascii="Arial" w:hAnsi="Arial"/>
                <w:color w:val="000000"/>
                <w:sz w:val="22"/>
                <w:szCs w:val="22"/>
              </w:rPr>
            </w:pPr>
          </w:p>
        </w:tc>
        <w:tc>
          <w:tcPr>
            <w:tcW w:w="146" w:type="dxa"/>
            <w:shd w:val="clear" w:color="auto" w:fill="auto"/>
            <w:vAlign w:val="bottom"/>
          </w:tcPr>
          <w:p w:rsidR="00F40477" w:rsidRPr="009000C0" w:rsidRDefault="00F40477" w:rsidP="0029424E">
            <w:pPr>
              <w:tabs>
                <w:tab w:val="right" w:pos="2160"/>
                <w:tab w:val="right" w:pos="3060"/>
                <w:tab w:val="right" w:pos="4320"/>
                <w:tab w:val="right" w:pos="5670"/>
                <w:tab w:val="right" w:pos="6570"/>
                <w:tab w:val="right" w:pos="7805"/>
              </w:tabs>
              <w:rPr>
                <w:rFonts w:ascii="Arial" w:hAnsi="Arial"/>
                <w:color w:val="000000"/>
                <w:sz w:val="22"/>
                <w:szCs w:val="22"/>
              </w:rPr>
            </w:pPr>
          </w:p>
        </w:tc>
        <w:tc>
          <w:tcPr>
            <w:tcW w:w="1838" w:type="dxa"/>
            <w:tcBorders>
              <w:top w:val="single" w:sz="4" w:space="0" w:color="auto"/>
              <w:bottom w:val="single" w:sz="12" w:space="0" w:color="auto"/>
            </w:tcBorders>
            <w:shd w:val="clear" w:color="auto" w:fill="auto"/>
            <w:vAlign w:val="bottom"/>
          </w:tcPr>
          <w:p w:rsidR="00F40477" w:rsidRPr="009000C0" w:rsidRDefault="00F40477" w:rsidP="0029424E">
            <w:pPr>
              <w:tabs>
                <w:tab w:val="decimal" w:pos="1307"/>
              </w:tabs>
              <w:ind w:right="-57"/>
              <w:rPr>
                <w:rFonts w:ascii="Arial" w:hAnsi="Arial" w:cs="Arial"/>
                <w:bCs/>
                <w:sz w:val="22"/>
                <w:szCs w:val="22"/>
              </w:rPr>
            </w:pPr>
            <w:r w:rsidRPr="009000C0">
              <w:rPr>
                <w:rFonts w:ascii="Arial" w:hAnsi="Arial"/>
                <w:color w:val="000000"/>
                <w:sz w:val="22"/>
                <w:szCs w:val="22"/>
              </w:rPr>
              <w:t>-</w:t>
            </w:r>
          </w:p>
        </w:tc>
      </w:tr>
      <w:tr w:rsidR="00F40477" w:rsidRPr="009000C0" w:rsidTr="0029424E">
        <w:trPr>
          <w:cantSplit/>
          <w:trHeight w:val="67"/>
        </w:trPr>
        <w:tc>
          <w:tcPr>
            <w:tcW w:w="2798" w:type="dxa"/>
            <w:shd w:val="clear" w:color="auto" w:fill="auto"/>
          </w:tcPr>
          <w:p w:rsidR="00F40477" w:rsidRPr="009000C0" w:rsidRDefault="00F40477" w:rsidP="0029424E">
            <w:pPr>
              <w:tabs>
                <w:tab w:val="right" w:pos="2160"/>
                <w:tab w:val="right" w:pos="3060"/>
                <w:tab w:val="right" w:pos="4320"/>
                <w:tab w:val="right" w:pos="5670"/>
                <w:tab w:val="right" w:pos="6570"/>
                <w:tab w:val="right" w:pos="7805"/>
              </w:tabs>
              <w:rPr>
                <w:rFonts w:ascii="Arial" w:hAnsi="Arial"/>
                <w:color w:val="000000"/>
                <w:sz w:val="22"/>
                <w:szCs w:val="22"/>
              </w:rPr>
            </w:pPr>
          </w:p>
        </w:tc>
        <w:tc>
          <w:tcPr>
            <w:tcW w:w="290" w:type="dxa"/>
            <w:shd w:val="clear" w:color="auto" w:fill="auto"/>
            <w:vAlign w:val="bottom"/>
          </w:tcPr>
          <w:p w:rsidR="00F40477" w:rsidRPr="009000C0" w:rsidRDefault="00F40477" w:rsidP="0029424E">
            <w:pPr>
              <w:tabs>
                <w:tab w:val="right" w:pos="2160"/>
                <w:tab w:val="right" w:pos="3060"/>
                <w:tab w:val="right" w:pos="4320"/>
                <w:tab w:val="right" w:pos="5670"/>
                <w:tab w:val="right" w:pos="6570"/>
                <w:tab w:val="right" w:pos="7805"/>
              </w:tabs>
              <w:rPr>
                <w:rFonts w:ascii="Arial" w:hAnsi="Arial"/>
                <w:color w:val="000000"/>
                <w:sz w:val="22"/>
                <w:szCs w:val="22"/>
              </w:rPr>
            </w:pPr>
          </w:p>
        </w:tc>
        <w:tc>
          <w:tcPr>
            <w:tcW w:w="1789" w:type="dxa"/>
            <w:vMerge w:val="restart"/>
            <w:shd w:val="clear" w:color="auto" w:fill="auto"/>
            <w:vAlign w:val="bottom"/>
          </w:tcPr>
          <w:p w:rsidR="00F40477" w:rsidRPr="009000C0" w:rsidRDefault="00F40477" w:rsidP="0029424E">
            <w:pPr>
              <w:tabs>
                <w:tab w:val="decimal" w:pos="1307"/>
              </w:tabs>
              <w:ind w:right="-57"/>
              <w:rPr>
                <w:rFonts w:ascii="Arial" w:hAnsi="Arial" w:cs="Arial"/>
                <w:bCs/>
                <w:sz w:val="22"/>
                <w:szCs w:val="22"/>
              </w:rPr>
            </w:pPr>
          </w:p>
        </w:tc>
        <w:tc>
          <w:tcPr>
            <w:tcW w:w="144" w:type="dxa"/>
            <w:shd w:val="clear" w:color="auto" w:fill="auto"/>
            <w:vAlign w:val="bottom"/>
          </w:tcPr>
          <w:p w:rsidR="00F40477" w:rsidRPr="009000C0" w:rsidRDefault="00F40477" w:rsidP="0029424E">
            <w:pPr>
              <w:tabs>
                <w:tab w:val="right" w:pos="2160"/>
                <w:tab w:val="right" w:pos="3060"/>
                <w:tab w:val="right" w:pos="4320"/>
                <w:tab w:val="right" w:pos="5670"/>
                <w:tab w:val="right" w:pos="6570"/>
                <w:tab w:val="right" w:pos="7805"/>
              </w:tabs>
              <w:rPr>
                <w:rFonts w:ascii="Arial" w:hAnsi="Arial"/>
                <w:color w:val="000000"/>
                <w:sz w:val="22"/>
                <w:szCs w:val="22"/>
              </w:rPr>
            </w:pPr>
          </w:p>
        </w:tc>
        <w:tc>
          <w:tcPr>
            <w:tcW w:w="1699" w:type="dxa"/>
            <w:vMerge w:val="restart"/>
            <w:shd w:val="clear" w:color="auto" w:fill="auto"/>
            <w:vAlign w:val="bottom"/>
          </w:tcPr>
          <w:p w:rsidR="00F40477" w:rsidRPr="009000C0" w:rsidRDefault="00F40477" w:rsidP="0029424E">
            <w:pPr>
              <w:tabs>
                <w:tab w:val="right" w:pos="2160"/>
                <w:tab w:val="right" w:pos="3060"/>
                <w:tab w:val="right" w:pos="4320"/>
                <w:tab w:val="right" w:pos="5670"/>
                <w:tab w:val="right" w:pos="6570"/>
                <w:tab w:val="right" w:pos="7805"/>
              </w:tabs>
              <w:ind w:right="369"/>
              <w:jc w:val="right"/>
              <w:rPr>
                <w:rFonts w:ascii="Arial" w:hAnsi="Arial"/>
                <w:color w:val="000000"/>
                <w:sz w:val="22"/>
                <w:szCs w:val="22"/>
              </w:rPr>
            </w:pPr>
          </w:p>
        </w:tc>
        <w:tc>
          <w:tcPr>
            <w:tcW w:w="146" w:type="dxa"/>
            <w:shd w:val="clear" w:color="auto" w:fill="auto"/>
            <w:vAlign w:val="bottom"/>
          </w:tcPr>
          <w:p w:rsidR="00F40477" w:rsidRPr="009000C0" w:rsidRDefault="00F40477" w:rsidP="0029424E">
            <w:pPr>
              <w:tabs>
                <w:tab w:val="right" w:pos="2160"/>
                <w:tab w:val="right" w:pos="3060"/>
                <w:tab w:val="right" w:pos="4320"/>
                <w:tab w:val="right" w:pos="5670"/>
                <w:tab w:val="right" w:pos="6570"/>
                <w:tab w:val="right" w:pos="7805"/>
              </w:tabs>
              <w:rPr>
                <w:rFonts w:ascii="Arial" w:hAnsi="Arial"/>
                <w:color w:val="000000"/>
                <w:sz w:val="22"/>
                <w:szCs w:val="22"/>
              </w:rPr>
            </w:pPr>
          </w:p>
        </w:tc>
        <w:tc>
          <w:tcPr>
            <w:tcW w:w="1838" w:type="dxa"/>
            <w:vMerge w:val="restart"/>
            <w:tcBorders>
              <w:top w:val="single" w:sz="12" w:space="0" w:color="auto"/>
            </w:tcBorders>
            <w:shd w:val="clear" w:color="auto" w:fill="auto"/>
            <w:vAlign w:val="bottom"/>
          </w:tcPr>
          <w:p w:rsidR="00F40477" w:rsidRPr="009000C0" w:rsidRDefault="00F40477" w:rsidP="0029424E">
            <w:pPr>
              <w:tabs>
                <w:tab w:val="decimal" w:pos="1307"/>
              </w:tabs>
              <w:ind w:right="-57"/>
              <w:rPr>
                <w:rFonts w:ascii="Arial" w:hAnsi="Arial" w:cs="Arial"/>
                <w:bCs/>
                <w:sz w:val="22"/>
                <w:szCs w:val="22"/>
              </w:rPr>
            </w:pPr>
            <w:r w:rsidRPr="009000C0">
              <w:rPr>
                <w:rFonts w:ascii="Arial" w:hAnsi="Arial"/>
                <w:color w:val="000000"/>
                <w:sz w:val="22"/>
                <w:szCs w:val="22"/>
              </w:rPr>
              <w:t>-</w:t>
            </w:r>
          </w:p>
        </w:tc>
      </w:tr>
      <w:tr w:rsidR="00F40477" w:rsidRPr="009000C0" w:rsidTr="0029424E">
        <w:trPr>
          <w:cantSplit/>
          <w:trHeight w:val="67"/>
        </w:trPr>
        <w:tc>
          <w:tcPr>
            <w:tcW w:w="2798" w:type="dxa"/>
            <w:shd w:val="clear" w:color="auto" w:fill="auto"/>
          </w:tcPr>
          <w:p w:rsidR="00F40477" w:rsidRPr="009000C0" w:rsidRDefault="00F40477" w:rsidP="0029424E">
            <w:pPr>
              <w:tabs>
                <w:tab w:val="right" w:pos="2160"/>
                <w:tab w:val="right" w:pos="3060"/>
                <w:tab w:val="right" w:pos="4320"/>
                <w:tab w:val="right" w:pos="5670"/>
                <w:tab w:val="right" w:pos="6570"/>
                <w:tab w:val="right" w:pos="7805"/>
              </w:tabs>
              <w:rPr>
                <w:rFonts w:ascii="Arial" w:hAnsi="Arial"/>
                <w:color w:val="000000"/>
                <w:sz w:val="22"/>
                <w:szCs w:val="22"/>
              </w:rPr>
            </w:pPr>
            <w:r w:rsidRPr="009000C0">
              <w:rPr>
                <w:rFonts w:ascii="Arial" w:hAnsi="Arial" w:cs="Arial" w:hint="eastAsia"/>
                <w:color w:val="000000"/>
                <w:sz w:val="22"/>
                <w:szCs w:val="22"/>
              </w:rPr>
              <w:t>2016</w:t>
            </w:r>
            <w:r w:rsidRPr="009000C0">
              <w:rPr>
                <w:rFonts w:ascii="Arial" w:hAnsi="Arial" w:hint="eastAsia"/>
                <w:color w:val="000000"/>
                <w:sz w:val="22"/>
                <w:szCs w:val="22"/>
              </w:rPr>
              <w:t>年</w:t>
            </w:r>
            <w:r w:rsidRPr="009000C0">
              <w:rPr>
                <w:rFonts w:ascii="Arial" w:hAnsi="Arial" w:hint="eastAsia"/>
                <w:color w:val="000000"/>
                <w:sz w:val="22"/>
                <w:szCs w:val="22"/>
              </w:rPr>
              <w:t>12</w:t>
            </w:r>
            <w:r w:rsidRPr="009000C0">
              <w:rPr>
                <w:rFonts w:ascii="Arial" w:hAnsi="Arial" w:hint="eastAsia"/>
                <w:color w:val="000000"/>
                <w:sz w:val="22"/>
                <w:szCs w:val="22"/>
              </w:rPr>
              <w:t>月</w:t>
            </w:r>
            <w:r w:rsidRPr="009000C0">
              <w:rPr>
                <w:rFonts w:ascii="Arial" w:hAnsi="Arial" w:hint="eastAsia"/>
                <w:color w:val="000000"/>
                <w:sz w:val="22"/>
                <w:szCs w:val="22"/>
              </w:rPr>
              <w:t>31</w:t>
            </w:r>
            <w:r w:rsidRPr="009000C0">
              <w:rPr>
                <w:rFonts w:ascii="Arial" w:hAnsi="Arial" w:hint="eastAsia"/>
                <w:color w:val="000000"/>
                <w:sz w:val="22"/>
                <w:szCs w:val="22"/>
              </w:rPr>
              <w:t>日扔持有的资产计入</w:t>
            </w:r>
            <w:r w:rsidRPr="009000C0">
              <w:rPr>
                <w:rFonts w:ascii="Arial" w:hAnsi="Arial" w:cs="Arial" w:hint="eastAsia"/>
                <w:color w:val="000000"/>
                <w:sz w:val="22"/>
                <w:szCs w:val="22"/>
              </w:rPr>
              <w:t>201</w:t>
            </w:r>
            <w:r w:rsidRPr="009000C0">
              <w:rPr>
                <w:rFonts w:ascii="Arial" w:hAnsi="Arial" w:cs="Arial"/>
                <w:color w:val="000000"/>
                <w:sz w:val="22"/>
                <w:szCs w:val="22"/>
              </w:rPr>
              <w:t>6</w:t>
            </w:r>
            <w:r w:rsidRPr="009000C0">
              <w:rPr>
                <w:rFonts w:ascii="Arial" w:hAnsi="Arial" w:hint="eastAsia"/>
                <w:color w:val="000000"/>
                <w:sz w:val="22"/>
                <w:szCs w:val="22"/>
              </w:rPr>
              <w:t>年度损益的未实现利得或损失的变动</w:t>
            </w:r>
          </w:p>
          <w:p w:rsidR="00F40477" w:rsidRPr="009000C0" w:rsidRDefault="00F40477" w:rsidP="0029424E">
            <w:pPr>
              <w:tabs>
                <w:tab w:val="right" w:pos="2160"/>
                <w:tab w:val="right" w:pos="3060"/>
                <w:tab w:val="right" w:pos="4320"/>
                <w:tab w:val="right" w:pos="5670"/>
                <w:tab w:val="right" w:pos="6570"/>
                <w:tab w:val="right" w:pos="7805"/>
              </w:tabs>
              <w:rPr>
                <w:rFonts w:ascii="Arial" w:hAnsi="Arial"/>
                <w:color w:val="000000"/>
                <w:sz w:val="22"/>
                <w:szCs w:val="22"/>
              </w:rPr>
            </w:pPr>
            <w:r w:rsidRPr="009000C0">
              <w:rPr>
                <w:rFonts w:ascii="Arial" w:hAnsi="Arial" w:hint="eastAsia"/>
                <w:color w:val="000000"/>
                <w:sz w:val="22"/>
                <w:szCs w:val="22"/>
              </w:rPr>
              <w:t>——公允价值变动损益</w:t>
            </w:r>
          </w:p>
        </w:tc>
        <w:tc>
          <w:tcPr>
            <w:tcW w:w="290" w:type="dxa"/>
            <w:shd w:val="clear" w:color="auto" w:fill="auto"/>
            <w:vAlign w:val="bottom"/>
          </w:tcPr>
          <w:p w:rsidR="00F40477" w:rsidRPr="009000C0" w:rsidRDefault="00F40477" w:rsidP="0029424E">
            <w:pPr>
              <w:tabs>
                <w:tab w:val="right" w:pos="2160"/>
                <w:tab w:val="right" w:pos="3060"/>
                <w:tab w:val="right" w:pos="4320"/>
                <w:tab w:val="right" w:pos="5670"/>
                <w:tab w:val="right" w:pos="6570"/>
                <w:tab w:val="right" w:pos="7805"/>
              </w:tabs>
              <w:rPr>
                <w:rFonts w:ascii="Arial" w:hAnsi="Arial"/>
                <w:color w:val="000000"/>
                <w:sz w:val="22"/>
                <w:szCs w:val="22"/>
              </w:rPr>
            </w:pPr>
          </w:p>
        </w:tc>
        <w:tc>
          <w:tcPr>
            <w:tcW w:w="1789" w:type="dxa"/>
            <w:vMerge/>
            <w:shd w:val="clear" w:color="auto" w:fill="auto"/>
            <w:vAlign w:val="bottom"/>
          </w:tcPr>
          <w:p w:rsidR="00F40477" w:rsidRPr="009000C0" w:rsidRDefault="00F40477" w:rsidP="0029424E">
            <w:pPr>
              <w:tabs>
                <w:tab w:val="right" w:pos="2160"/>
                <w:tab w:val="right" w:pos="3060"/>
                <w:tab w:val="right" w:pos="4320"/>
                <w:tab w:val="right" w:pos="5670"/>
                <w:tab w:val="right" w:pos="6570"/>
                <w:tab w:val="right" w:pos="7805"/>
              </w:tabs>
              <w:rPr>
                <w:rFonts w:ascii="Arial" w:hAnsi="Arial"/>
                <w:color w:val="000000"/>
                <w:sz w:val="22"/>
                <w:szCs w:val="22"/>
              </w:rPr>
            </w:pPr>
          </w:p>
        </w:tc>
        <w:tc>
          <w:tcPr>
            <w:tcW w:w="144" w:type="dxa"/>
            <w:shd w:val="clear" w:color="auto" w:fill="auto"/>
            <w:vAlign w:val="bottom"/>
          </w:tcPr>
          <w:p w:rsidR="00F40477" w:rsidRPr="009000C0" w:rsidRDefault="00F40477" w:rsidP="0029424E">
            <w:pPr>
              <w:tabs>
                <w:tab w:val="right" w:pos="2160"/>
                <w:tab w:val="right" w:pos="3060"/>
                <w:tab w:val="right" w:pos="4320"/>
                <w:tab w:val="right" w:pos="5670"/>
                <w:tab w:val="right" w:pos="6570"/>
                <w:tab w:val="right" w:pos="7805"/>
              </w:tabs>
              <w:rPr>
                <w:rFonts w:ascii="Arial" w:hAnsi="Arial"/>
                <w:color w:val="000000"/>
                <w:sz w:val="22"/>
                <w:szCs w:val="22"/>
              </w:rPr>
            </w:pPr>
          </w:p>
        </w:tc>
        <w:tc>
          <w:tcPr>
            <w:tcW w:w="1699" w:type="dxa"/>
            <w:vMerge/>
            <w:shd w:val="clear" w:color="auto" w:fill="auto"/>
            <w:vAlign w:val="bottom"/>
          </w:tcPr>
          <w:p w:rsidR="00F40477" w:rsidRPr="009000C0" w:rsidRDefault="00F40477" w:rsidP="0029424E">
            <w:pPr>
              <w:tabs>
                <w:tab w:val="right" w:pos="2160"/>
                <w:tab w:val="right" w:pos="3060"/>
                <w:tab w:val="right" w:pos="4320"/>
                <w:tab w:val="right" w:pos="5670"/>
                <w:tab w:val="right" w:pos="6570"/>
                <w:tab w:val="right" w:pos="7805"/>
              </w:tabs>
              <w:rPr>
                <w:rFonts w:ascii="Arial" w:hAnsi="Arial"/>
                <w:color w:val="000000"/>
                <w:sz w:val="22"/>
                <w:szCs w:val="22"/>
              </w:rPr>
            </w:pPr>
          </w:p>
        </w:tc>
        <w:tc>
          <w:tcPr>
            <w:tcW w:w="146" w:type="dxa"/>
            <w:shd w:val="clear" w:color="auto" w:fill="auto"/>
            <w:vAlign w:val="bottom"/>
          </w:tcPr>
          <w:p w:rsidR="00F40477" w:rsidRPr="009000C0" w:rsidRDefault="00F40477" w:rsidP="0029424E">
            <w:pPr>
              <w:tabs>
                <w:tab w:val="right" w:pos="2160"/>
                <w:tab w:val="right" w:pos="3060"/>
                <w:tab w:val="right" w:pos="4320"/>
                <w:tab w:val="right" w:pos="5670"/>
                <w:tab w:val="right" w:pos="6570"/>
                <w:tab w:val="right" w:pos="7805"/>
              </w:tabs>
              <w:rPr>
                <w:rFonts w:ascii="Arial" w:hAnsi="Arial"/>
                <w:color w:val="000000"/>
                <w:sz w:val="22"/>
                <w:szCs w:val="22"/>
              </w:rPr>
            </w:pPr>
          </w:p>
        </w:tc>
        <w:tc>
          <w:tcPr>
            <w:tcW w:w="1838" w:type="dxa"/>
            <w:vMerge/>
            <w:tcBorders>
              <w:bottom w:val="single" w:sz="12" w:space="0" w:color="auto"/>
            </w:tcBorders>
            <w:shd w:val="clear" w:color="auto" w:fill="auto"/>
            <w:vAlign w:val="bottom"/>
          </w:tcPr>
          <w:p w:rsidR="00F40477" w:rsidRPr="009000C0" w:rsidRDefault="00F40477" w:rsidP="0029424E">
            <w:pPr>
              <w:tabs>
                <w:tab w:val="right" w:pos="2160"/>
                <w:tab w:val="right" w:pos="3060"/>
                <w:tab w:val="right" w:pos="4320"/>
                <w:tab w:val="right" w:pos="5670"/>
                <w:tab w:val="right" w:pos="6570"/>
                <w:tab w:val="right" w:pos="7805"/>
              </w:tabs>
              <w:rPr>
                <w:rFonts w:ascii="Arial" w:hAnsi="Arial"/>
                <w:color w:val="000000"/>
                <w:sz w:val="22"/>
                <w:szCs w:val="22"/>
              </w:rPr>
            </w:pPr>
          </w:p>
        </w:tc>
      </w:tr>
    </w:tbl>
    <w:p w:rsidR="00F40477" w:rsidRPr="009000C0" w:rsidRDefault="00F40477" w:rsidP="00F40477">
      <w:pPr>
        <w:pStyle w:val="af9"/>
        <w:autoSpaceDE w:val="0"/>
        <w:autoSpaceDN w:val="0"/>
        <w:adjustRightInd w:val="0"/>
        <w:ind w:left="1080"/>
        <w:jc w:val="both"/>
        <w:rPr>
          <w:rFonts w:ascii="Arial" w:hAnsi="Arial"/>
          <w:color w:val="000000"/>
          <w:sz w:val="24"/>
          <w:szCs w:val="24"/>
        </w:rPr>
      </w:pPr>
    </w:p>
    <w:p w:rsidR="00F40477" w:rsidRPr="009000C0" w:rsidRDefault="00F40477" w:rsidP="00F40477">
      <w:pPr>
        <w:autoSpaceDE w:val="0"/>
        <w:autoSpaceDN w:val="0"/>
        <w:adjustRightInd w:val="0"/>
        <w:rPr>
          <w:rFonts w:ascii="Arial" w:hAnsi="Arial" w:cs="Arial"/>
          <w:bCs/>
          <w:color w:val="000000"/>
          <w:sz w:val="24"/>
        </w:rPr>
      </w:pPr>
      <w:r w:rsidRPr="009000C0">
        <w:rPr>
          <w:rFonts w:ascii="Arial" w:hAnsi="Arial" w:hint="eastAsia"/>
          <w:color w:val="000000"/>
          <w:sz w:val="24"/>
        </w:rPr>
        <w:t>计入损益的利得或损失分别计入利润表中的公允价值变动收益、投资收益等项目。</w:t>
      </w:r>
    </w:p>
    <w:tbl>
      <w:tblPr>
        <w:tblW w:w="8704" w:type="dxa"/>
        <w:tblLayout w:type="fixed"/>
        <w:tblCellMar>
          <w:left w:w="57" w:type="dxa"/>
          <w:right w:w="57" w:type="dxa"/>
        </w:tblCellMar>
        <w:tblLook w:val="0000" w:firstRow="0" w:lastRow="0" w:firstColumn="0" w:lastColumn="0" w:noHBand="0" w:noVBand="0"/>
      </w:tblPr>
      <w:tblGrid>
        <w:gridCol w:w="2798"/>
        <w:gridCol w:w="290"/>
        <w:gridCol w:w="1789"/>
        <w:gridCol w:w="144"/>
        <w:gridCol w:w="1699"/>
        <w:gridCol w:w="146"/>
        <w:gridCol w:w="1838"/>
      </w:tblGrid>
      <w:tr w:rsidR="00F40477" w:rsidRPr="009000C0" w:rsidTr="0029424E">
        <w:trPr>
          <w:cantSplit/>
          <w:trHeight w:val="74"/>
        </w:trPr>
        <w:tc>
          <w:tcPr>
            <w:tcW w:w="3088" w:type="dxa"/>
            <w:gridSpan w:val="2"/>
            <w:shd w:val="clear" w:color="auto" w:fill="auto"/>
          </w:tcPr>
          <w:p w:rsidR="00F40477" w:rsidRPr="009000C0" w:rsidRDefault="00F40477" w:rsidP="0029424E">
            <w:pPr>
              <w:tabs>
                <w:tab w:val="right" w:pos="2160"/>
                <w:tab w:val="right" w:pos="3060"/>
                <w:tab w:val="right" w:pos="4320"/>
                <w:tab w:val="right" w:pos="5670"/>
                <w:tab w:val="right" w:pos="6570"/>
                <w:tab w:val="right" w:pos="7805"/>
              </w:tabs>
              <w:rPr>
                <w:rFonts w:ascii="Arial" w:hAnsi="Arial"/>
                <w:color w:val="000000"/>
                <w:sz w:val="22"/>
                <w:szCs w:val="22"/>
              </w:rPr>
            </w:pPr>
          </w:p>
        </w:tc>
        <w:tc>
          <w:tcPr>
            <w:tcW w:w="3632" w:type="dxa"/>
            <w:gridSpan w:val="3"/>
            <w:shd w:val="clear" w:color="auto" w:fill="auto"/>
            <w:vAlign w:val="bottom"/>
          </w:tcPr>
          <w:p w:rsidR="00F40477" w:rsidRPr="009000C0" w:rsidRDefault="00F40477" w:rsidP="0029424E">
            <w:pPr>
              <w:tabs>
                <w:tab w:val="right" w:pos="2160"/>
                <w:tab w:val="right" w:pos="3060"/>
                <w:tab w:val="right" w:pos="4320"/>
                <w:tab w:val="right" w:pos="5670"/>
                <w:tab w:val="right" w:pos="6570"/>
                <w:tab w:val="right" w:pos="7805"/>
              </w:tabs>
              <w:jc w:val="center"/>
              <w:rPr>
                <w:rFonts w:ascii="Arial" w:hAnsi="Arial"/>
                <w:color w:val="000000"/>
                <w:sz w:val="22"/>
                <w:szCs w:val="22"/>
              </w:rPr>
            </w:pPr>
          </w:p>
        </w:tc>
        <w:tc>
          <w:tcPr>
            <w:tcW w:w="146" w:type="dxa"/>
            <w:shd w:val="clear" w:color="auto" w:fill="auto"/>
            <w:vAlign w:val="bottom"/>
          </w:tcPr>
          <w:p w:rsidR="00F40477" w:rsidRPr="009000C0" w:rsidRDefault="00F40477" w:rsidP="0029424E">
            <w:pPr>
              <w:tabs>
                <w:tab w:val="right" w:pos="2160"/>
                <w:tab w:val="right" w:pos="3060"/>
                <w:tab w:val="right" w:pos="4320"/>
                <w:tab w:val="right" w:pos="5670"/>
                <w:tab w:val="right" w:pos="6570"/>
                <w:tab w:val="right" w:pos="7805"/>
              </w:tabs>
              <w:rPr>
                <w:rFonts w:ascii="Arial" w:hAnsi="Arial"/>
                <w:color w:val="000000"/>
                <w:sz w:val="22"/>
                <w:szCs w:val="22"/>
              </w:rPr>
            </w:pPr>
          </w:p>
        </w:tc>
        <w:tc>
          <w:tcPr>
            <w:tcW w:w="1838" w:type="dxa"/>
            <w:shd w:val="clear" w:color="auto" w:fill="auto"/>
            <w:vAlign w:val="bottom"/>
          </w:tcPr>
          <w:p w:rsidR="00F40477" w:rsidRPr="009000C0" w:rsidRDefault="00F40477" w:rsidP="0029424E">
            <w:pPr>
              <w:tabs>
                <w:tab w:val="right" w:pos="2160"/>
                <w:tab w:val="right" w:pos="3060"/>
                <w:tab w:val="right" w:pos="4320"/>
                <w:tab w:val="right" w:pos="5670"/>
                <w:tab w:val="right" w:pos="6570"/>
                <w:tab w:val="right" w:pos="7805"/>
              </w:tabs>
              <w:jc w:val="center"/>
              <w:rPr>
                <w:rFonts w:ascii="Arial" w:hAnsi="Arial"/>
                <w:color w:val="000000"/>
                <w:sz w:val="22"/>
                <w:szCs w:val="22"/>
              </w:rPr>
            </w:pPr>
            <w:r w:rsidRPr="009000C0">
              <w:rPr>
                <w:rFonts w:ascii="Arial" w:hAnsi="Arial" w:hint="eastAsia"/>
                <w:color w:val="000000"/>
                <w:sz w:val="22"/>
                <w:szCs w:val="22"/>
              </w:rPr>
              <w:t>交易性</w:t>
            </w:r>
            <w:r w:rsidRPr="009000C0">
              <w:rPr>
                <w:rFonts w:ascii="Arial" w:hAnsi="Arial"/>
                <w:color w:val="000000"/>
                <w:sz w:val="22"/>
                <w:szCs w:val="22"/>
              </w:rPr>
              <w:t>金融资产</w:t>
            </w:r>
          </w:p>
        </w:tc>
      </w:tr>
      <w:tr w:rsidR="00F40477" w:rsidRPr="009000C0" w:rsidTr="0029424E">
        <w:trPr>
          <w:cantSplit/>
          <w:trHeight w:val="67"/>
        </w:trPr>
        <w:tc>
          <w:tcPr>
            <w:tcW w:w="3088" w:type="dxa"/>
            <w:gridSpan w:val="2"/>
            <w:shd w:val="clear" w:color="auto" w:fill="auto"/>
            <w:vAlign w:val="bottom"/>
          </w:tcPr>
          <w:p w:rsidR="00F40477" w:rsidRPr="009000C0" w:rsidRDefault="00F40477" w:rsidP="0029424E">
            <w:pPr>
              <w:tabs>
                <w:tab w:val="right" w:pos="2160"/>
                <w:tab w:val="right" w:pos="3060"/>
                <w:tab w:val="right" w:pos="4320"/>
                <w:tab w:val="right" w:pos="5670"/>
                <w:tab w:val="right" w:pos="6570"/>
                <w:tab w:val="right" w:pos="7805"/>
              </w:tabs>
              <w:rPr>
                <w:rFonts w:ascii="Arial" w:hAnsi="Arial"/>
                <w:color w:val="000000"/>
                <w:sz w:val="22"/>
                <w:szCs w:val="22"/>
              </w:rPr>
            </w:pPr>
          </w:p>
        </w:tc>
        <w:tc>
          <w:tcPr>
            <w:tcW w:w="1789" w:type="dxa"/>
            <w:shd w:val="clear" w:color="auto" w:fill="auto"/>
            <w:vAlign w:val="bottom"/>
          </w:tcPr>
          <w:p w:rsidR="00F40477" w:rsidRPr="009000C0" w:rsidRDefault="00F40477" w:rsidP="0029424E">
            <w:pPr>
              <w:tabs>
                <w:tab w:val="right" w:pos="2160"/>
                <w:tab w:val="right" w:pos="3060"/>
                <w:tab w:val="right" w:pos="4320"/>
                <w:tab w:val="right" w:pos="5670"/>
                <w:tab w:val="right" w:pos="6570"/>
                <w:tab w:val="right" w:pos="7805"/>
              </w:tabs>
              <w:jc w:val="center"/>
              <w:rPr>
                <w:rFonts w:ascii="Arial" w:hAnsi="Arial"/>
                <w:color w:val="000000"/>
                <w:sz w:val="22"/>
                <w:szCs w:val="22"/>
              </w:rPr>
            </w:pPr>
          </w:p>
        </w:tc>
        <w:tc>
          <w:tcPr>
            <w:tcW w:w="144" w:type="dxa"/>
            <w:shd w:val="clear" w:color="auto" w:fill="auto"/>
            <w:vAlign w:val="bottom"/>
          </w:tcPr>
          <w:p w:rsidR="00F40477" w:rsidRPr="009000C0" w:rsidRDefault="00F40477" w:rsidP="0029424E">
            <w:pPr>
              <w:tabs>
                <w:tab w:val="right" w:pos="2160"/>
                <w:tab w:val="right" w:pos="3060"/>
                <w:tab w:val="right" w:pos="4320"/>
                <w:tab w:val="right" w:pos="5670"/>
                <w:tab w:val="right" w:pos="6570"/>
                <w:tab w:val="right" w:pos="7805"/>
              </w:tabs>
              <w:jc w:val="center"/>
              <w:rPr>
                <w:rFonts w:ascii="Arial" w:hAnsi="Arial"/>
                <w:color w:val="000000"/>
                <w:sz w:val="22"/>
                <w:szCs w:val="22"/>
              </w:rPr>
            </w:pPr>
          </w:p>
        </w:tc>
        <w:tc>
          <w:tcPr>
            <w:tcW w:w="1699" w:type="dxa"/>
            <w:shd w:val="clear" w:color="auto" w:fill="auto"/>
            <w:vAlign w:val="bottom"/>
          </w:tcPr>
          <w:p w:rsidR="00F40477" w:rsidRPr="009000C0" w:rsidRDefault="00F40477" w:rsidP="0029424E">
            <w:pPr>
              <w:tabs>
                <w:tab w:val="right" w:pos="2160"/>
                <w:tab w:val="right" w:pos="3060"/>
                <w:tab w:val="right" w:pos="4320"/>
                <w:tab w:val="right" w:pos="5670"/>
                <w:tab w:val="right" w:pos="6570"/>
                <w:tab w:val="right" w:pos="7805"/>
              </w:tabs>
              <w:ind w:right="-63"/>
              <w:jc w:val="center"/>
              <w:rPr>
                <w:rFonts w:ascii="Arial" w:hAnsi="Arial"/>
                <w:color w:val="000000"/>
                <w:sz w:val="22"/>
                <w:szCs w:val="22"/>
              </w:rPr>
            </w:pPr>
          </w:p>
        </w:tc>
        <w:tc>
          <w:tcPr>
            <w:tcW w:w="146" w:type="dxa"/>
            <w:shd w:val="clear" w:color="auto" w:fill="auto"/>
            <w:vAlign w:val="bottom"/>
          </w:tcPr>
          <w:p w:rsidR="00F40477" w:rsidRPr="009000C0" w:rsidRDefault="00F40477" w:rsidP="0029424E">
            <w:pPr>
              <w:tabs>
                <w:tab w:val="right" w:pos="2160"/>
                <w:tab w:val="right" w:pos="3060"/>
                <w:tab w:val="right" w:pos="4320"/>
                <w:tab w:val="right" w:pos="5670"/>
                <w:tab w:val="right" w:pos="6570"/>
                <w:tab w:val="right" w:pos="7805"/>
              </w:tabs>
              <w:rPr>
                <w:rFonts w:ascii="Arial" w:hAnsi="Arial"/>
                <w:color w:val="000000"/>
                <w:sz w:val="22"/>
                <w:szCs w:val="22"/>
              </w:rPr>
            </w:pPr>
          </w:p>
        </w:tc>
        <w:tc>
          <w:tcPr>
            <w:tcW w:w="1838" w:type="dxa"/>
            <w:shd w:val="clear" w:color="auto" w:fill="auto"/>
            <w:vAlign w:val="bottom"/>
          </w:tcPr>
          <w:p w:rsidR="00F40477" w:rsidRPr="009000C0" w:rsidRDefault="00F40477" w:rsidP="0029424E">
            <w:pPr>
              <w:tabs>
                <w:tab w:val="right" w:pos="2160"/>
                <w:tab w:val="right" w:pos="3060"/>
                <w:tab w:val="right" w:pos="4320"/>
                <w:tab w:val="right" w:pos="5670"/>
                <w:tab w:val="right" w:pos="6570"/>
                <w:tab w:val="right" w:pos="7805"/>
              </w:tabs>
              <w:rPr>
                <w:rFonts w:ascii="Arial" w:hAnsi="Arial"/>
                <w:color w:val="000000"/>
                <w:sz w:val="22"/>
                <w:szCs w:val="22"/>
              </w:rPr>
            </w:pPr>
            <w:r w:rsidRPr="009000C0">
              <w:rPr>
                <w:rFonts w:ascii="Arial" w:hAnsi="Arial" w:hint="eastAsia"/>
                <w:color w:val="000000"/>
                <w:sz w:val="22"/>
                <w:szCs w:val="22"/>
              </w:rPr>
              <w:t xml:space="preserve"> </w:t>
            </w:r>
            <w:r w:rsidRPr="009000C0">
              <w:rPr>
                <w:rFonts w:ascii="Arial" w:hAnsi="Arial" w:hint="eastAsia"/>
                <w:color w:val="000000"/>
                <w:sz w:val="22"/>
                <w:szCs w:val="22"/>
              </w:rPr>
              <w:t>——股票投资</w:t>
            </w:r>
          </w:p>
        </w:tc>
      </w:tr>
      <w:tr w:rsidR="00F40477" w:rsidRPr="009000C0" w:rsidTr="0029424E">
        <w:trPr>
          <w:cantSplit/>
          <w:trHeight w:val="67"/>
        </w:trPr>
        <w:tc>
          <w:tcPr>
            <w:tcW w:w="3088" w:type="dxa"/>
            <w:gridSpan w:val="2"/>
            <w:shd w:val="clear" w:color="auto" w:fill="auto"/>
          </w:tcPr>
          <w:p w:rsidR="00F40477" w:rsidRPr="009000C0" w:rsidRDefault="00F40477" w:rsidP="0029424E">
            <w:pPr>
              <w:tabs>
                <w:tab w:val="right" w:pos="2160"/>
                <w:tab w:val="right" w:pos="3060"/>
                <w:tab w:val="right" w:pos="4320"/>
                <w:tab w:val="right" w:pos="5670"/>
                <w:tab w:val="right" w:pos="6570"/>
                <w:tab w:val="right" w:pos="7805"/>
              </w:tabs>
              <w:rPr>
                <w:rFonts w:ascii="Arial" w:hAnsi="Arial"/>
                <w:color w:val="000000"/>
                <w:sz w:val="22"/>
                <w:szCs w:val="22"/>
              </w:rPr>
            </w:pPr>
          </w:p>
        </w:tc>
        <w:tc>
          <w:tcPr>
            <w:tcW w:w="1789" w:type="dxa"/>
            <w:shd w:val="clear" w:color="auto" w:fill="auto"/>
            <w:vAlign w:val="bottom"/>
          </w:tcPr>
          <w:p w:rsidR="00F40477" w:rsidRPr="009000C0" w:rsidRDefault="00F40477" w:rsidP="0029424E">
            <w:pPr>
              <w:tabs>
                <w:tab w:val="right" w:pos="2160"/>
                <w:tab w:val="right" w:pos="3060"/>
                <w:tab w:val="right" w:pos="4320"/>
                <w:tab w:val="right" w:pos="5670"/>
                <w:tab w:val="right" w:pos="6570"/>
                <w:tab w:val="right" w:pos="7805"/>
              </w:tabs>
              <w:rPr>
                <w:rFonts w:ascii="Arial" w:hAnsi="Arial"/>
                <w:color w:val="000000"/>
                <w:sz w:val="22"/>
                <w:szCs w:val="22"/>
              </w:rPr>
            </w:pPr>
          </w:p>
        </w:tc>
        <w:tc>
          <w:tcPr>
            <w:tcW w:w="144" w:type="dxa"/>
            <w:shd w:val="clear" w:color="auto" w:fill="auto"/>
            <w:vAlign w:val="bottom"/>
          </w:tcPr>
          <w:p w:rsidR="00F40477" w:rsidRPr="009000C0" w:rsidRDefault="00F40477" w:rsidP="0029424E">
            <w:pPr>
              <w:tabs>
                <w:tab w:val="right" w:pos="2160"/>
                <w:tab w:val="right" w:pos="3060"/>
                <w:tab w:val="right" w:pos="4320"/>
                <w:tab w:val="right" w:pos="5670"/>
                <w:tab w:val="right" w:pos="6570"/>
                <w:tab w:val="right" w:pos="7805"/>
              </w:tabs>
              <w:rPr>
                <w:rFonts w:ascii="Arial" w:hAnsi="Arial"/>
                <w:color w:val="000000"/>
                <w:sz w:val="22"/>
                <w:szCs w:val="22"/>
              </w:rPr>
            </w:pPr>
          </w:p>
        </w:tc>
        <w:tc>
          <w:tcPr>
            <w:tcW w:w="1699" w:type="dxa"/>
            <w:shd w:val="clear" w:color="auto" w:fill="auto"/>
            <w:vAlign w:val="bottom"/>
          </w:tcPr>
          <w:p w:rsidR="00F40477" w:rsidRPr="009000C0" w:rsidRDefault="00F40477" w:rsidP="0029424E">
            <w:pPr>
              <w:tabs>
                <w:tab w:val="right" w:pos="2160"/>
                <w:tab w:val="right" w:pos="3060"/>
                <w:tab w:val="right" w:pos="4320"/>
                <w:tab w:val="right" w:pos="5670"/>
                <w:tab w:val="right" w:pos="6570"/>
                <w:tab w:val="right" w:pos="7805"/>
              </w:tabs>
              <w:rPr>
                <w:rFonts w:ascii="Arial" w:hAnsi="Arial"/>
                <w:color w:val="000000"/>
                <w:sz w:val="22"/>
                <w:szCs w:val="22"/>
              </w:rPr>
            </w:pPr>
          </w:p>
        </w:tc>
        <w:tc>
          <w:tcPr>
            <w:tcW w:w="146" w:type="dxa"/>
            <w:shd w:val="clear" w:color="auto" w:fill="auto"/>
            <w:vAlign w:val="bottom"/>
          </w:tcPr>
          <w:p w:rsidR="00F40477" w:rsidRPr="009000C0" w:rsidRDefault="00F40477" w:rsidP="0029424E">
            <w:pPr>
              <w:tabs>
                <w:tab w:val="right" w:pos="2160"/>
                <w:tab w:val="right" w:pos="3060"/>
                <w:tab w:val="right" w:pos="4320"/>
                <w:tab w:val="right" w:pos="5670"/>
                <w:tab w:val="right" w:pos="6570"/>
                <w:tab w:val="right" w:pos="7805"/>
              </w:tabs>
              <w:rPr>
                <w:rFonts w:ascii="Arial" w:hAnsi="Arial"/>
                <w:color w:val="000000"/>
                <w:sz w:val="22"/>
                <w:szCs w:val="22"/>
              </w:rPr>
            </w:pPr>
          </w:p>
        </w:tc>
        <w:tc>
          <w:tcPr>
            <w:tcW w:w="1838" w:type="dxa"/>
            <w:shd w:val="clear" w:color="auto" w:fill="auto"/>
            <w:vAlign w:val="bottom"/>
          </w:tcPr>
          <w:p w:rsidR="00F40477" w:rsidRPr="009000C0" w:rsidRDefault="00F40477" w:rsidP="0029424E">
            <w:pPr>
              <w:tabs>
                <w:tab w:val="right" w:pos="2160"/>
                <w:tab w:val="right" w:pos="3060"/>
                <w:tab w:val="right" w:pos="4320"/>
                <w:tab w:val="right" w:pos="5670"/>
                <w:tab w:val="right" w:pos="6570"/>
                <w:tab w:val="right" w:pos="7805"/>
              </w:tabs>
              <w:rPr>
                <w:rFonts w:ascii="Arial" w:hAnsi="Arial"/>
                <w:color w:val="000000"/>
                <w:sz w:val="22"/>
                <w:szCs w:val="22"/>
              </w:rPr>
            </w:pPr>
          </w:p>
        </w:tc>
      </w:tr>
      <w:tr w:rsidR="00F40477" w:rsidRPr="009000C0" w:rsidTr="0029424E">
        <w:trPr>
          <w:cantSplit/>
          <w:trHeight w:val="67"/>
        </w:trPr>
        <w:tc>
          <w:tcPr>
            <w:tcW w:w="2798" w:type="dxa"/>
            <w:shd w:val="clear" w:color="auto" w:fill="auto"/>
          </w:tcPr>
          <w:p w:rsidR="00F40477" w:rsidRPr="009000C0" w:rsidRDefault="00F40477" w:rsidP="0029424E">
            <w:pPr>
              <w:tabs>
                <w:tab w:val="right" w:pos="2160"/>
                <w:tab w:val="right" w:pos="3060"/>
                <w:tab w:val="right" w:pos="4320"/>
                <w:tab w:val="right" w:pos="5670"/>
                <w:tab w:val="right" w:pos="6570"/>
                <w:tab w:val="right" w:pos="7805"/>
              </w:tabs>
              <w:rPr>
                <w:rFonts w:ascii="Arial" w:hAnsi="Arial"/>
                <w:color w:val="000000"/>
                <w:sz w:val="22"/>
                <w:szCs w:val="22"/>
              </w:rPr>
            </w:pPr>
            <w:r w:rsidRPr="009000C0">
              <w:rPr>
                <w:rFonts w:ascii="Arial" w:hAnsi="Arial" w:cs="Arial" w:hint="eastAsia"/>
                <w:color w:val="000000"/>
                <w:sz w:val="22"/>
                <w:szCs w:val="22"/>
              </w:rPr>
              <w:t>2015</w:t>
            </w:r>
            <w:r w:rsidRPr="009000C0">
              <w:rPr>
                <w:rFonts w:ascii="Arial" w:hAnsi="Arial" w:hint="eastAsia"/>
                <w:color w:val="000000"/>
                <w:sz w:val="22"/>
                <w:szCs w:val="22"/>
              </w:rPr>
              <w:t>年</w:t>
            </w:r>
            <w:r w:rsidRPr="009000C0">
              <w:rPr>
                <w:rFonts w:ascii="Arial" w:hAnsi="Arial" w:hint="eastAsia"/>
                <w:color w:val="000000"/>
                <w:sz w:val="22"/>
                <w:szCs w:val="22"/>
              </w:rPr>
              <w:t>1</w:t>
            </w:r>
            <w:r w:rsidRPr="009000C0">
              <w:rPr>
                <w:rFonts w:ascii="Arial" w:hAnsi="Arial" w:hint="eastAsia"/>
                <w:color w:val="000000"/>
                <w:sz w:val="22"/>
                <w:szCs w:val="22"/>
              </w:rPr>
              <w:t>月</w:t>
            </w:r>
            <w:r w:rsidRPr="009000C0">
              <w:rPr>
                <w:rFonts w:ascii="Arial" w:hAnsi="Arial" w:hint="eastAsia"/>
                <w:color w:val="000000"/>
                <w:sz w:val="22"/>
                <w:szCs w:val="22"/>
              </w:rPr>
              <w:t>1</w:t>
            </w:r>
            <w:r w:rsidRPr="009000C0">
              <w:rPr>
                <w:rFonts w:ascii="Arial" w:hAnsi="Arial" w:hint="eastAsia"/>
                <w:color w:val="000000"/>
                <w:sz w:val="22"/>
                <w:szCs w:val="22"/>
              </w:rPr>
              <w:t>日</w:t>
            </w:r>
          </w:p>
        </w:tc>
        <w:tc>
          <w:tcPr>
            <w:tcW w:w="290" w:type="dxa"/>
            <w:shd w:val="clear" w:color="auto" w:fill="auto"/>
            <w:vAlign w:val="bottom"/>
          </w:tcPr>
          <w:p w:rsidR="00F40477" w:rsidRPr="009000C0" w:rsidRDefault="00F40477" w:rsidP="0029424E">
            <w:pPr>
              <w:tabs>
                <w:tab w:val="right" w:pos="2160"/>
                <w:tab w:val="right" w:pos="3060"/>
                <w:tab w:val="right" w:pos="4320"/>
                <w:tab w:val="right" w:pos="5670"/>
                <w:tab w:val="right" w:pos="6570"/>
                <w:tab w:val="right" w:pos="7805"/>
              </w:tabs>
              <w:rPr>
                <w:rFonts w:ascii="Arial" w:hAnsi="Arial"/>
                <w:color w:val="000000"/>
                <w:sz w:val="22"/>
                <w:szCs w:val="22"/>
              </w:rPr>
            </w:pPr>
          </w:p>
        </w:tc>
        <w:tc>
          <w:tcPr>
            <w:tcW w:w="1789" w:type="dxa"/>
            <w:shd w:val="clear" w:color="auto" w:fill="auto"/>
            <w:vAlign w:val="bottom"/>
          </w:tcPr>
          <w:p w:rsidR="00F40477" w:rsidRPr="009000C0" w:rsidRDefault="00F40477" w:rsidP="0029424E">
            <w:pPr>
              <w:tabs>
                <w:tab w:val="decimal" w:pos="1307"/>
              </w:tabs>
              <w:ind w:right="-57"/>
              <w:rPr>
                <w:rFonts w:ascii="Arial" w:hAnsi="Arial" w:cs="Arial"/>
                <w:bCs/>
                <w:sz w:val="22"/>
                <w:szCs w:val="22"/>
              </w:rPr>
            </w:pPr>
          </w:p>
        </w:tc>
        <w:tc>
          <w:tcPr>
            <w:tcW w:w="144" w:type="dxa"/>
            <w:shd w:val="clear" w:color="auto" w:fill="auto"/>
            <w:vAlign w:val="bottom"/>
          </w:tcPr>
          <w:p w:rsidR="00F40477" w:rsidRPr="009000C0" w:rsidRDefault="00F40477" w:rsidP="0029424E">
            <w:pPr>
              <w:tabs>
                <w:tab w:val="right" w:pos="2160"/>
                <w:tab w:val="right" w:pos="3060"/>
                <w:tab w:val="right" w:pos="4320"/>
                <w:tab w:val="right" w:pos="5670"/>
                <w:tab w:val="right" w:pos="6570"/>
                <w:tab w:val="right" w:pos="7805"/>
              </w:tabs>
              <w:rPr>
                <w:rFonts w:ascii="Arial" w:hAnsi="Arial"/>
                <w:color w:val="000000"/>
                <w:sz w:val="22"/>
                <w:szCs w:val="22"/>
              </w:rPr>
            </w:pPr>
          </w:p>
        </w:tc>
        <w:tc>
          <w:tcPr>
            <w:tcW w:w="1699" w:type="dxa"/>
            <w:shd w:val="clear" w:color="auto" w:fill="auto"/>
            <w:vAlign w:val="bottom"/>
          </w:tcPr>
          <w:p w:rsidR="00F40477" w:rsidRPr="009000C0" w:rsidRDefault="00F40477" w:rsidP="0029424E">
            <w:pPr>
              <w:tabs>
                <w:tab w:val="right" w:pos="2160"/>
                <w:tab w:val="right" w:pos="3060"/>
                <w:tab w:val="right" w:pos="4320"/>
                <w:tab w:val="right" w:pos="5670"/>
                <w:tab w:val="right" w:pos="6570"/>
                <w:tab w:val="right" w:pos="7805"/>
              </w:tabs>
              <w:ind w:right="369"/>
              <w:jc w:val="right"/>
              <w:rPr>
                <w:rFonts w:ascii="Arial" w:hAnsi="Arial"/>
                <w:color w:val="000000"/>
                <w:sz w:val="22"/>
                <w:szCs w:val="22"/>
              </w:rPr>
            </w:pPr>
          </w:p>
        </w:tc>
        <w:tc>
          <w:tcPr>
            <w:tcW w:w="146" w:type="dxa"/>
            <w:shd w:val="clear" w:color="auto" w:fill="auto"/>
            <w:vAlign w:val="bottom"/>
          </w:tcPr>
          <w:p w:rsidR="00F40477" w:rsidRPr="009000C0" w:rsidRDefault="00F40477" w:rsidP="0029424E">
            <w:pPr>
              <w:tabs>
                <w:tab w:val="right" w:pos="2160"/>
                <w:tab w:val="right" w:pos="3060"/>
                <w:tab w:val="right" w:pos="4320"/>
                <w:tab w:val="right" w:pos="5670"/>
                <w:tab w:val="right" w:pos="6570"/>
                <w:tab w:val="right" w:pos="7805"/>
              </w:tabs>
              <w:rPr>
                <w:rFonts w:ascii="Arial" w:hAnsi="Arial"/>
                <w:color w:val="000000"/>
                <w:sz w:val="22"/>
                <w:szCs w:val="22"/>
              </w:rPr>
            </w:pPr>
          </w:p>
        </w:tc>
        <w:tc>
          <w:tcPr>
            <w:tcW w:w="1838" w:type="dxa"/>
            <w:shd w:val="clear" w:color="auto" w:fill="auto"/>
            <w:vAlign w:val="bottom"/>
          </w:tcPr>
          <w:p w:rsidR="00F40477" w:rsidRPr="009000C0" w:rsidRDefault="00F40477" w:rsidP="0029424E">
            <w:pPr>
              <w:tabs>
                <w:tab w:val="decimal" w:pos="1307"/>
              </w:tabs>
              <w:ind w:right="-57"/>
              <w:rPr>
                <w:rFonts w:ascii="Arial" w:hAnsi="Arial" w:cs="Arial"/>
                <w:bCs/>
                <w:sz w:val="22"/>
                <w:szCs w:val="22"/>
              </w:rPr>
            </w:pPr>
            <w:r w:rsidRPr="009000C0">
              <w:rPr>
                <w:rFonts w:ascii="Arial" w:hAnsi="Arial" w:hint="eastAsia"/>
                <w:color w:val="000000"/>
                <w:sz w:val="22"/>
                <w:szCs w:val="22"/>
              </w:rPr>
              <w:t>-</w:t>
            </w:r>
          </w:p>
        </w:tc>
      </w:tr>
      <w:tr w:rsidR="00F40477" w:rsidRPr="009000C0" w:rsidTr="0029424E">
        <w:trPr>
          <w:cantSplit/>
          <w:trHeight w:val="67"/>
        </w:trPr>
        <w:tc>
          <w:tcPr>
            <w:tcW w:w="2798" w:type="dxa"/>
            <w:shd w:val="clear" w:color="auto" w:fill="FFFFFF"/>
            <w:vAlign w:val="bottom"/>
          </w:tcPr>
          <w:p w:rsidR="00F40477" w:rsidRPr="009000C0" w:rsidRDefault="00F40477" w:rsidP="0029424E">
            <w:pPr>
              <w:tabs>
                <w:tab w:val="right" w:pos="2160"/>
                <w:tab w:val="right" w:pos="3060"/>
                <w:tab w:val="right" w:pos="4320"/>
                <w:tab w:val="right" w:pos="5670"/>
                <w:tab w:val="right" w:pos="6570"/>
                <w:tab w:val="right" w:pos="7805"/>
              </w:tabs>
              <w:rPr>
                <w:rFonts w:ascii="Arial" w:hAnsi="Arial"/>
                <w:color w:val="000000"/>
                <w:sz w:val="22"/>
                <w:szCs w:val="22"/>
              </w:rPr>
            </w:pPr>
            <w:r w:rsidRPr="009000C0">
              <w:rPr>
                <w:rFonts w:ascii="Arial" w:hAnsi="Arial" w:hint="eastAsia"/>
                <w:color w:val="000000"/>
                <w:sz w:val="22"/>
                <w:szCs w:val="22"/>
              </w:rPr>
              <w:t>转入第三层次</w:t>
            </w:r>
          </w:p>
        </w:tc>
        <w:tc>
          <w:tcPr>
            <w:tcW w:w="290" w:type="dxa"/>
            <w:shd w:val="clear" w:color="auto" w:fill="auto"/>
            <w:vAlign w:val="bottom"/>
          </w:tcPr>
          <w:p w:rsidR="00F40477" w:rsidRPr="009000C0" w:rsidRDefault="00F40477" w:rsidP="0029424E">
            <w:pPr>
              <w:tabs>
                <w:tab w:val="right" w:pos="2160"/>
                <w:tab w:val="right" w:pos="3060"/>
                <w:tab w:val="right" w:pos="4320"/>
                <w:tab w:val="right" w:pos="5670"/>
                <w:tab w:val="right" w:pos="6570"/>
                <w:tab w:val="right" w:pos="7805"/>
              </w:tabs>
              <w:rPr>
                <w:rFonts w:ascii="Arial" w:hAnsi="Arial"/>
                <w:color w:val="000000"/>
                <w:sz w:val="22"/>
                <w:szCs w:val="22"/>
              </w:rPr>
            </w:pPr>
          </w:p>
        </w:tc>
        <w:tc>
          <w:tcPr>
            <w:tcW w:w="1789" w:type="dxa"/>
            <w:shd w:val="clear" w:color="auto" w:fill="auto"/>
            <w:vAlign w:val="bottom"/>
          </w:tcPr>
          <w:p w:rsidR="00F40477" w:rsidRPr="009000C0" w:rsidRDefault="00F40477" w:rsidP="0029424E">
            <w:pPr>
              <w:tabs>
                <w:tab w:val="decimal" w:pos="1307"/>
              </w:tabs>
              <w:ind w:right="-57"/>
              <w:rPr>
                <w:rFonts w:ascii="Arial" w:hAnsi="Arial" w:cs="Arial"/>
                <w:bCs/>
                <w:sz w:val="22"/>
                <w:szCs w:val="22"/>
              </w:rPr>
            </w:pPr>
          </w:p>
        </w:tc>
        <w:tc>
          <w:tcPr>
            <w:tcW w:w="144" w:type="dxa"/>
            <w:shd w:val="clear" w:color="auto" w:fill="auto"/>
            <w:vAlign w:val="bottom"/>
          </w:tcPr>
          <w:p w:rsidR="00F40477" w:rsidRPr="009000C0" w:rsidRDefault="00F40477" w:rsidP="0029424E">
            <w:pPr>
              <w:tabs>
                <w:tab w:val="right" w:pos="2160"/>
                <w:tab w:val="right" w:pos="3060"/>
                <w:tab w:val="right" w:pos="4320"/>
                <w:tab w:val="right" w:pos="5670"/>
                <w:tab w:val="right" w:pos="6570"/>
                <w:tab w:val="right" w:pos="7805"/>
              </w:tabs>
              <w:rPr>
                <w:rFonts w:ascii="Arial" w:hAnsi="Arial"/>
                <w:color w:val="000000"/>
                <w:sz w:val="22"/>
                <w:szCs w:val="22"/>
              </w:rPr>
            </w:pPr>
          </w:p>
        </w:tc>
        <w:tc>
          <w:tcPr>
            <w:tcW w:w="1699" w:type="dxa"/>
            <w:shd w:val="clear" w:color="auto" w:fill="auto"/>
            <w:vAlign w:val="bottom"/>
          </w:tcPr>
          <w:p w:rsidR="00F40477" w:rsidRPr="009000C0" w:rsidRDefault="00F40477" w:rsidP="0029424E">
            <w:pPr>
              <w:tabs>
                <w:tab w:val="right" w:pos="2160"/>
                <w:tab w:val="right" w:pos="3060"/>
                <w:tab w:val="right" w:pos="4320"/>
                <w:tab w:val="right" w:pos="5670"/>
                <w:tab w:val="right" w:pos="6570"/>
                <w:tab w:val="right" w:pos="7805"/>
              </w:tabs>
              <w:ind w:right="369"/>
              <w:jc w:val="right"/>
              <w:rPr>
                <w:rFonts w:ascii="Arial" w:hAnsi="Arial"/>
                <w:color w:val="000000"/>
                <w:sz w:val="22"/>
                <w:szCs w:val="22"/>
              </w:rPr>
            </w:pPr>
          </w:p>
        </w:tc>
        <w:tc>
          <w:tcPr>
            <w:tcW w:w="146" w:type="dxa"/>
            <w:shd w:val="clear" w:color="auto" w:fill="auto"/>
            <w:vAlign w:val="bottom"/>
          </w:tcPr>
          <w:p w:rsidR="00F40477" w:rsidRPr="009000C0" w:rsidRDefault="00F40477" w:rsidP="0029424E">
            <w:pPr>
              <w:tabs>
                <w:tab w:val="right" w:pos="2160"/>
                <w:tab w:val="right" w:pos="3060"/>
                <w:tab w:val="right" w:pos="4320"/>
                <w:tab w:val="right" w:pos="5670"/>
                <w:tab w:val="right" w:pos="6570"/>
                <w:tab w:val="right" w:pos="7805"/>
              </w:tabs>
              <w:rPr>
                <w:rFonts w:ascii="Arial" w:hAnsi="Arial"/>
                <w:color w:val="000000"/>
                <w:sz w:val="22"/>
                <w:szCs w:val="22"/>
              </w:rPr>
            </w:pPr>
          </w:p>
        </w:tc>
        <w:tc>
          <w:tcPr>
            <w:tcW w:w="1838" w:type="dxa"/>
            <w:shd w:val="clear" w:color="auto" w:fill="auto"/>
            <w:vAlign w:val="bottom"/>
          </w:tcPr>
          <w:p w:rsidR="00F40477" w:rsidRPr="009000C0" w:rsidRDefault="00F40477" w:rsidP="0029424E">
            <w:pPr>
              <w:tabs>
                <w:tab w:val="decimal" w:pos="1307"/>
              </w:tabs>
              <w:ind w:right="-57"/>
              <w:rPr>
                <w:rFonts w:ascii="Arial" w:hAnsi="Arial" w:cs="Arial"/>
                <w:bCs/>
                <w:sz w:val="22"/>
                <w:szCs w:val="22"/>
              </w:rPr>
            </w:pPr>
            <w:r w:rsidRPr="009000C0">
              <w:rPr>
                <w:rFonts w:ascii="Arial" w:hAnsi="Arial" w:cs="Arial"/>
                <w:bCs/>
                <w:sz w:val="22"/>
                <w:szCs w:val="22"/>
              </w:rPr>
              <w:t>2,384,943.60</w:t>
            </w:r>
          </w:p>
        </w:tc>
      </w:tr>
      <w:tr w:rsidR="00F40477" w:rsidRPr="009000C0" w:rsidTr="0029424E">
        <w:trPr>
          <w:cantSplit/>
          <w:trHeight w:val="67"/>
        </w:trPr>
        <w:tc>
          <w:tcPr>
            <w:tcW w:w="2798" w:type="dxa"/>
            <w:shd w:val="clear" w:color="auto" w:fill="FFFFFF"/>
            <w:vAlign w:val="bottom"/>
          </w:tcPr>
          <w:p w:rsidR="00F40477" w:rsidRPr="009000C0" w:rsidRDefault="00F40477" w:rsidP="0029424E">
            <w:pPr>
              <w:tabs>
                <w:tab w:val="right" w:pos="2160"/>
                <w:tab w:val="right" w:pos="3060"/>
                <w:tab w:val="right" w:pos="4320"/>
                <w:tab w:val="right" w:pos="5670"/>
                <w:tab w:val="right" w:pos="6570"/>
                <w:tab w:val="right" w:pos="7805"/>
              </w:tabs>
              <w:rPr>
                <w:rFonts w:ascii="Arial" w:hAnsi="Arial"/>
                <w:color w:val="000000"/>
                <w:sz w:val="22"/>
                <w:szCs w:val="22"/>
              </w:rPr>
            </w:pPr>
            <w:r w:rsidRPr="009000C0">
              <w:rPr>
                <w:rFonts w:ascii="Arial" w:hAnsi="Arial" w:hint="eastAsia"/>
                <w:color w:val="000000"/>
                <w:sz w:val="22"/>
                <w:szCs w:val="22"/>
              </w:rPr>
              <w:t>转出第三层次</w:t>
            </w:r>
          </w:p>
        </w:tc>
        <w:tc>
          <w:tcPr>
            <w:tcW w:w="290" w:type="dxa"/>
            <w:shd w:val="clear" w:color="auto" w:fill="auto"/>
            <w:vAlign w:val="bottom"/>
          </w:tcPr>
          <w:p w:rsidR="00F40477" w:rsidRPr="009000C0" w:rsidRDefault="00F40477" w:rsidP="0029424E">
            <w:pPr>
              <w:tabs>
                <w:tab w:val="right" w:pos="2160"/>
                <w:tab w:val="right" w:pos="3060"/>
                <w:tab w:val="right" w:pos="4320"/>
                <w:tab w:val="right" w:pos="5670"/>
                <w:tab w:val="right" w:pos="6570"/>
                <w:tab w:val="right" w:pos="7805"/>
              </w:tabs>
              <w:rPr>
                <w:rFonts w:ascii="Arial" w:hAnsi="Arial"/>
                <w:color w:val="000000"/>
                <w:sz w:val="22"/>
                <w:szCs w:val="22"/>
              </w:rPr>
            </w:pPr>
          </w:p>
        </w:tc>
        <w:tc>
          <w:tcPr>
            <w:tcW w:w="1789" w:type="dxa"/>
            <w:shd w:val="clear" w:color="auto" w:fill="auto"/>
            <w:vAlign w:val="bottom"/>
          </w:tcPr>
          <w:p w:rsidR="00F40477" w:rsidRPr="009000C0" w:rsidRDefault="00F40477" w:rsidP="0029424E">
            <w:pPr>
              <w:tabs>
                <w:tab w:val="decimal" w:pos="1307"/>
              </w:tabs>
              <w:ind w:right="-57"/>
              <w:rPr>
                <w:rFonts w:ascii="Arial" w:hAnsi="Arial" w:cs="Arial"/>
                <w:bCs/>
                <w:sz w:val="22"/>
                <w:szCs w:val="22"/>
              </w:rPr>
            </w:pPr>
          </w:p>
        </w:tc>
        <w:tc>
          <w:tcPr>
            <w:tcW w:w="144" w:type="dxa"/>
            <w:shd w:val="clear" w:color="auto" w:fill="auto"/>
            <w:vAlign w:val="bottom"/>
          </w:tcPr>
          <w:p w:rsidR="00F40477" w:rsidRPr="009000C0" w:rsidRDefault="00F40477" w:rsidP="0029424E">
            <w:pPr>
              <w:tabs>
                <w:tab w:val="right" w:pos="2160"/>
                <w:tab w:val="right" w:pos="3060"/>
                <w:tab w:val="right" w:pos="4320"/>
                <w:tab w:val="right" w:pos="5670"/>
                <w:tab w:val="right" w:pos="6570"/>
                <w:tab w:val="right" w:pos="7805"/>
              </w:tabs>
              <w:rPr>
                <w:rFonts w:ascii="Arial" w:hAnsi="Arial"/>
                <w:color w:val="000000"/>
                <w:sz w:val="22"/>
                <w:szCs w:val="22"/>
              </w:rPr>
            </w:pPr>
          </w:p>
        </w:tc>
        <w:tc>
          <w:tcPr>
            <w:tcW w:w="1699" w:type="dxa"/>
            <w:shd w:val="clear" w:color="auto" w:fill="auto"/>
            <w:vAlign w:val="bottom"/>
          </w:tcPr>
          <w:p w:rsidR="00F40477" w:rsidRPr="009000C0" w:rsidRDefault="00F40477" w:rsidP="0029424E">
            <w:pPr>
              <w:tabs>
                <w:tab w:val="right" w:pos="2160"/>
                <w:tab w:val="right" w:pos="3060"/>
                <w:tab w:val="right" w:pos="4320"/>
                <w:tab w:val="right" w:pos="5670"/>
                <w:tab w:val="right" w:pos="6570"/>
                <w:tab w:val="right" w:pos="7805"/>
              </w:tabs>
              <w:ind w:right="369"/>
              <w:jc w:val="right"/>
              <w:rPr>
                <w:rFonts w:ascii="Arial" w:hAnsi="Arial"/>
                <w:color w:val="000000"/>
                <w:sz w:val="22"/>
                <w:szCs w:val="22"/>
              </w:rPr>
            </w:pPr>
          </w:p>
        </w:tc>
        <w:tc>
          <w:tcPr>
            <w:tcW w:w="146" w:type="dxa"/>
            <w:shd w:val="clear" w:color="auto" w:fill="auto"/>
            <w:vAlign w:val="bottom"/>
          </w:tcPr>
          <w:p w:rsidR="00F40477" w:rsidRPr="009000C0" w:rsidRDefault="00F40477" w:rsidP="0029424E">
            <w:pPr>
              <w:tabs>
                <w:tab w:val="right" w:pos="2160"/>
                <w:tab w:val="right" w:pos="3060"/>
                <w:tab w:val="right" w:pos="4320"/>
                <w:tab w:val="right" w:pos="5670"/>
                <w:tab w:val="right" w:pos="6570"/>
                <w:tab w:val="right" w:pos="7805"/>
              </w:tabs>
              <w:rPr>
                <w:rFonts w:ascii="Arial" w:hAnsi="Arial"/>
                <w:color w:val="000000"/>
                <w:sz w:val="22"/>
                <w:szCs w:val="22"/>
              </w:rPr>
            </w:pPr>
          </w:p>
        </w:tc>
        <w:tc>
          <w:tcPr>
            <w:tcW w:w="1838" w:type="dxa"/>
            <w:shd w:val="clear" w:color="auto" w:fill="auto"/>
            <w:vAlign w:val="bottom"/>
          </w:tcPr>
          <w:p w:rsidR="00F40477" w:rsidRPr="009000C0" w:rsidRDefault="00F40477" w:rsidP="0029424E">
            <w:pPr>
              <w:tabs>
                <w:tab w:val="decimal" w:pos="1307"/>
              </w:tabs>
              <w:ind w:right="-57"/>
              <w:rPr>
                <w:rFonts w:ascii="Arial" w:hAnsi="Arial" w:cs="Arial"/>
                <w:bCs/>
                <w:sz w:val="22"/>
                <w:szCs w:val="22"/>
              </w:rPr>
            </w:pPr>
            <w:r w:rsidRPr="009000C0">
              <w:rPr>
                <w:rFonts w:ascii="Arial" w:hAnsi="Arial" w:hint="eastAsia"/>
                <w:color w:val="000000"/>
                <w:sz w:val="22"/>
                <w:szCs w:val="22"/>
              </w:rPr>
              <w:t>-</w:t>
            </w:r>
          </w:p>
        </w:tc>
      </w:tr>
      <w:tr w:rsidR="00F40477" w:rsidRPr="009000C0" w:rsidTr="0029424E">
        <w:trPr>
          <w:cantSplit/>
          <w:trHeight w:val="67"/>
        </w:trPr>
        <w:tc>
          <w:tcPr>
            <w:tcW w:w="2798" w:type="dxa"/>
            <w:shd w:val="clear" w:color="auto" w:fill="FFFFFF"/>
            <w:vAlign w:val="bottom"/>
          </w:tcPr>
          <w:p w:rsidR="00F40477" w:rsidRPr="009000C0" w:rsidRDefault="00F40477" w:rsidP="0029424E">
            <w:pPr>
              <w:tabs>
                <w:tab w:val="right" w:pos="2160"/>
                <w:tab w:val="right" w:pos="3060"/>
                <w:tab w:val="right" w:pos="4320"/>
                <w:tab w:val="right" w:pos="5670"/>
                <w:tab w:val="right" w:pos="6570"/>
                <w:tab w:val="right" w:pos="7805"/>
              </w:tabs>
              <w:rPr>
                <w:rFonts w:ascii="Arial" w:hAnsi="Arial"/>
                <w:color w:val="000000"/>
                <w:sz w:val="22"/>
                <w:szCs w:val="22"/>
              </w:rPr>
            </w:pPr>
            <w:r w:rsidRPr="009000C0">
              <w:rPr>
                <w:rFonts w:ascii="Arial" w:hAnsi="Arial" w:hint="eastAsia"/>
                <w:color w:val="000000"/>
                <w:sz w:val="22"/>
                <w:szCs w:val="22"/>
              </w:rPr>
              <w:lastRenderedPageBreak/>
              <w:t>当期利得或损失总额</w:t>
            </w:r>
          </w:p>
        </w:tc>
        <w:tc>
          <w:tcPr>
            <w:tcW w:w="290" w:type="dxa"/>
            <w:shd w:val="clear" w:color="auto" w:fill="auto"/>
            <w:vAlign w:val="bottom"/>
          </w:tcPr>
          <w:p w:rsidR="00F40477" w:rsidRPr="009000C0" w:rsidRDefault="00F40477" w:rsidP="0029424E">
            <w:pPr>
              <w:tabs>
                <w:tab w:val="right" w:pos="2160"/>
                <w:tab w:val="right" w:pos="3060"/>
                <w:tab w:val="right" w:pos="4320"/>
                <w:tab w:val="right" w:pos="5670"/>
                <w:tab w:val="right" w:pos="6570"/>
                <w:tab w:val="right" w:pos="7805"/>
              </w:tabs>
              <w:rPr>
                <w:rFonts w:ascii="Arial" w:hAnsi="Arial"/>
                <w:color w:val="000000"/>
                <w:sz w:val="22"/>
                <w:szCs w:val="22"/>
              </w:rPr>
            </w:pPr>
          </w:p>
        </w:tc>
        <w:tc>
          <w:tcPr>
            <w:tcW w:w="1789" w:type="dxa"/>
            <w:shd w:val="clear" w:color="auto" w:fill="auto"/>
            <w:vAlign w:val="bottom"/>
          </w:tcPr>
          <w:p w:rsidR="00F40477" w:rsidRPr="009000C0" w:rsidRDefault="00F40477" w:rsidP="0029424E">
            <w:pPr>
              <w:tabs>
                <w:tab w:val="decimal" w:pos="1307"/>
              </w:tabs>
              <w:ind w:right="-57"/>
              <w:rPr>
                <w:rFonts w:ascii="Arial" w:hAnsi="Arial" w:cs="Arial"/>
                <w:bCs/>
                <w:sz w:val="22"/>
                <w:szCs w:val="22"/>
              </w:rPr>
            </w:pPr>
          </w:p>
        </w:tc>
        <w:tc>
          <w:tcPr>
            <w:tcW w:w="144" w:type="dxa"/>
            <w:shd w:val="clear" w:color="auto" w:fill="auto"/>
            <w:vAlign w:val="bottom"/>
          </w:tcPr>
          <w:p w:rsidR="00F40477" w:rsidRPr="009000C0" w:rsidRDefault="00F40477" w:rsidP="0029424E">
            <w:pPr>
              <w:tabs>
                <w:tab w:val="right" w:pos="2160"/>
                <w:tab w:val="right" w:pos="3060"/>
                <w:tab w:val="right" w:pos="4320"/>
                <w:tab w:val="right" w:pos="5670"/>
                <w:tab w:val="right" w:pos="6570"/>
                <w:tab w:val="right" w:pos="7805"/>
              </w:tabs>
              <w:rPr>
                <w:rFonts w:ascii="Arial" w:hAnsi="Arial"/>
                <w:color w:val="000000"/>
                <w:sz w:val="22"/>
                <w:szCs w:val="22"/>
              </w:rPr>
            </w:pPr>
          </w:p>
        </w:tc>
        <w:tc>
          <w:tcPr>
            <w:tcW w:w="1699" w:type="dxa"/>
            <w:shd w:val="clear" w:color="auto" w:fill="auto"/>
            <w:vAlign w:val="bottom"/>
          </w:tcPr>
          <w:p w:rsidR="00F40477" w:rsidRPr="009000C0" w:rsidRDefault="00F40477" w:rsidP="0029424E">
            <w:pPr>
              <w:tabs>
                <w:tab w:val="right" w:pos="2160"/>
                <w:tab w:val="right" w:pos="3060"/>
                <w:tab w:val="right" w:pos="4320"/>
                <w:tab w:val="right" w:pos="5670"/>
                <w:tab w:val="right" w:pos="6570"/>
                <w:tab w:val="right" w:pos="7805"/>
              </w:tabs>
              <w:ind w:right="369"/>
              <w:jc w:val="right"/>
              <w:rPr>
                <w:rFonts w:ascii="Arial" w:hAnsi="Arial"/>
                <w:color w:val="000000"/>
                <w:sz w:val="22"/>
                <w:szCs w:val="22"/>
              </w:rPr>
            </w:pPr>
          </w:p>
        </w:tc>
        <w:tc>
          <w:tcPr>
            <w:tcW w:w="146" w:type="dxa"/>
            <w:shd w:val="clear" w:color="auto" w:fill="auto"/>
            <w:vAlign w:val="bottom"/>
          </w:tcPr>
          <w:p w:rsidR="00F40477" w:rsidRPr="009000C0" w:rsidRDefault="00F40477" w:rsidP="0029424E">
            <w:pPr>
              <w:tabs>
                <w:tab w:val="right" w:pos="2160"/>
                <w:tab w:val="right" w:pos="3060"/>
                <w:tab w:val="right" w:pos="4320"/>
                <w:tab w:val="right" w:pos="5670"/>
                <w:tab w:val="right" w:pos="6570"/>
                <w:tab w:val="right" w:pos="7805"/>
              </w:tabs>
              <w:rPr>
                <w:rFonts w:ascii="Arial" w:hAnsi="Arial"/>
                <w:color w:val="000000"/>
                <w:sz w:val="22"/>
                <w:szCs w:val="22"/>
              </w:rPr>
            </w:pPr>
          </w:p>
        </w:tc>
        <w:tc>
          <w:tcPr>
            <w:tcW w:w="1838" w:type="dxa"/>
            <w:shd w:val="clear" w:color="auto" w:fill="auto"/>
            <w:vAlign w:val="bottom"/>
          </w:tcPr>
          <w:p w:rsidR="00F40477" w:rsidRPr="009000C0" w:rsidRDefault="00F40477" w:rsidP="0029424E">
            <w:pPr>
              <w:tabs>
                <w:tab w:val="decimal" w:pos="1307"/>
              </w:tabs>
              <w:ind w:right="-57"/>
              <w:rPr>
                <w:rFonts w:ascii="Arial" w:hAnsi="Arial" w:cs="Arial"/>
                <w:bCs/>
                <w:sz w:val="22"/>
                <w:szCs w:val="22"/>
              </w:rPr>
            </w:pPr>
          </w:p>
        </w:tc>
      </w:tr>
      <w:tr w:rsidR="00F40477" w:rsidRPr="009000C0" w:rsidTr="0029424E">
        <w:trPr>
          <w:cantSplit/>
          <w:trHeight w:val="67"/>
        </w:trPr>
        <w:tc>
          <w:tcPr>
            <w:tcW w:w="2798" w:type="dxa"/>
            <w:shd w:val="clear" w:color="auto" w:fill="FFFFFF"/>
            <w:vAlign w:val="bottom"/>
          </w:tcPr>
          <w:p w:rsidR="00F40477" w:rsidRPr="009000C0" w:rsidRDefault="00F40477" w:rsidP="0029424E">
            <w:pPr>
              <w:tabs>
                <w:tab w:val="right" w:pos="2160"/>
                <w:tab w:val="right" w:pos="3060"/>
                <w:tab w:val="right" w:pos="4320"/>
                <w:tab w:val="right" w:pos="5670"/>
                <w:tab w:val="right" w:pos="6570"/>
                <w:tab w:val="right" w:pos="7805"/>
              </w:tabs>
              <w:rPr>
                <w:rFonts w:ascii="Arial" w:hAnsi="Arial"/>
                <w:color w:val="000000"/>
                <w:sz w:val="22"/>
                <w:szCs w:val="22"/>
              </w:rPr>
            </w:pPr>
            <w:r w:rsidRPr="009000C0">
              <w:rPr>
                <w:rFonts w:ascii="Arial" w:hAnsi="Arial" w:hint="eastAsia"/>
                <w:color w:val="000000"/>
                <w:sz w:val="22"/>
                <w:szCs w:val="22"/>
              </w:rPr>
              <w:t>——计入损益的利得或损失</w:t>
            </w:r>
          </w:p>
        </w:tc>
        <w:tc>
          <w:tcPr>
            <w:tcW w:w="290" w:type="dxa"/>
            <w:shd w:val="clear" w:color="auto" w:fill="auto"/>
            <w:vAlign w:val="bottom"/>
          </w:tcPr>
          <w:p w:rsidR="00F40477" w:rsidRPr="009000C0" w:rsidRDefault="00F40477" w:rsidP="0029424E">
            <w:pPr>
              <w:tabs>
                <w:tab w:val="right" w:pos="2160"/>
                <w:tab w:val="right" w:pos="3060"/>
                <w:tab w:val="right" w:pos="4320"/>
                <w:tab w:val="right" w:pos="5670"/>
                <w:tab w:val="right" w:pos="6570"/>
                <w:tab w:val="right" w:pos="7805"/>
              </w:tabs>
              <w:rPr>
                <w:rFonts w:ascii="Arial" w:hAnsi="Arial"/>
                <w:color w:val="000000"/>
                <w:sz w:val="22"/>
                <w:szCs w:val="22"/>
              </w:rPr>
            </w:pPr>
          </w:p>
        </w:tc>
        <w:tc>
          <w:tcPr>
            <w:tcW w:w="1789" w:type="dxa"/>
            <w:shd w:val="clear" w:color="auto" w:fill="auto"/>
            <w:vAlign w:val="bottom"/>
          </w:tcPr>
          <w:p w:rsidR="00F40477" w:rsidRPr="009000C0" w:rsidRDefault="00F40477" w:rsidP="0029424E">
            <w:pPr>
              <w:tabs>
                <w:tab w:val="decimal" w:pos="1307"/>
              </w:tabs>
              <w:ind w:right="-57"/>
              <w:rPr>
                <w:rFonts w:ascii="Arial" w:hAnsi="Arial" w:cs="Arial"/>
                <w:bCs/>
                <w:sz w:val="22"/>
                <w:szCs w:val="22"/>
              </w:rPr>
            </w:pPr>
          </w:p>
        </w:tc>
        <w:tc>
          <w:tcPr>
            <w:tcW w:w="144" w:type="dxa"/>
            <w:shd w:val="clear" w:color="auto" w:fill="auto"/>
            <w:vAlign w:val="bottom"/>
          </w:tcPr>
          <w:p w:rsidR="00F40477" w:rsidRPr="009000C0" w:rsidRDefault="00F40477" w:rsidP="0029424E">
            <w:pPr>
              <w:tabs>
                <w:tab w:val="right" w:pos="2160"/>
                <w:tab w:val="right" w:pos="3060"/>
                <w:tab w:val="right" w:pos="4320"/>
                <w:tab w:val="right" w:pos="5670"/>
                <w:tab w:val="right" w:pos="6570"/>
                <w:tab w:val="right" w:pos="7805"/>
              </w:tabs>
              <w:rPr>
                <w:rFonts w:ascii="Arial" w:hAnsi="Arial"/>
                <w:color w:val="000000"/>
                <w:sz w:val="22"/>
                <w:szCs w:val="22"/>
              </w:rPr>
            </w:pPr>
          </w:p>
        </w:tc>
        <w:tc>
          <w:tcPr>
            <w:tcW w:w="1699" w:type="dxa"/>
            <w:shd w:val="clear" w:color="auto" w:fill="auto"/>
            <w:vAlign w:val="bottom"/>
          </w:tcPr>
          <w:p w:rsidR="00F40477" w:rsidRPr="009000C0" w:rsidRDefault="00F40477" w:rsidP="0029424E">
            <w:pPr>
              <w:tabs>
                <w:tab w:val="right" w:pos="2160"/>
                <w:tab w:val="right" w:pos="3060"/>
                <w:tab w:val="right" w:pos="4320"/>
                <w:tab w:val="right" w:pos="5670"/>
                <w:tab w:val="right" w:pos="6570"/>
                <w:tab w:val="right" w:pos="7805"/>
              </w:tabs>
              <w:ind w:right="369"/>
              <w:jc w:val="right"/>
              <w:rPr>
                <w:rFonts w:ascii="Arial" w:hAnsi="Arial"/>
                <w:color w:val="000000"/>
                <w:sz w:val="22"/>
                <w:szCs w:val="22"/>
              </w:rPr>
            </w:pPr>
          </w:p>
        </w:tc>
        <w:tc>
          <w:tcPr>
            <w:tcW w:w="146" w:type="dxa"/>
            <w:shd w:val="clear" w:color="auto" w:fill="auto"/>
            <w:vAlign w:val="bottom"/>
          </w:tcPr>
          <w:p w:rsidR="00F40477" w:rsidRPr="009000C0" w:rsidRDefault="00F40477" w:rsidP="0029424E">
            <w:pPr>
              <w:tabs>
                <w:tab w:val="right" w:pos="2160"/>
                <w:tab w:val="right" w:pos="3060"/>
                <w:tab w:val="right" w:pos="4320"/>
                <w:tab w:val="right" w:pos="5670"/>
                <w:tab w:val="right" w:pos="6570"/>
                <w:tab w:val="right" w:pos="7805"/>
              </w:tabs>
              <w:rPr>
                <w:rFonts w:ascii="Arial" w:hAnsi="Arial"/>
                <w:color w:val="000000"/>
                <w:sz w:val="22"/>
                <w:szCs w:val="22"/>
              </w:rPr>
            </w:pPr>
          </w:p>
        </w:tc>
        <w:tc>
          <w:tcPr>
            <w:tcW w:w="1838" w:type="dxa"/>
            <w:tcBorders>
              <w:bottom w:val="single" w:sz="4" w:space="0" w:color="auto"/>
            </w:tcBorders>
            <w:shd w:val="clear" w:color="auto" w:fill="auto"/>
            <w:vAlign w:val="bottom"/>
          </w:tcPr>
          <w:p w:rsidR="00F40477" w:rsidRPr="009000C0" w:rsidRDefault="00F40477" w:rsidP="0029424E">
            <w:pPr>
              <w:tabs>
                <w:tab w:val="decimal" w:pos="1307"/>
              </w:tabs>
              <w:ind w:right="-57"/>
              <w:rPr>
                <w:rFonts w:ascii="Arial" w:hAnsi="Arial" w:cs="Arial"/>
                <w:bCs/>
                <w:sz w:val="22"/>
                <w:szCs w:val="22"/>
              </w:rPr>
            </w:pPr>
            <w:r w:rsidRPr="009000C0">
              <w:rPr>
                <w:rFonts w:ascii="Arial" w:hAnsi="Arial" w:cs="Arial"/>
                <w:bCs/>
                <w:sz w:val="22"/>
                <w:szCs w:val="22"/>
              </w:rPr>
              <w:t>982,035.60</w:t>
            </w:r>
          </w:p>
        </w:tc>
      </w:tr>
      <w:tr w:rsidR="00F40477" w:rsidRPr="009000C0" w:rsidTr="0029424E">
        <w:trPr>
          <w:cantSplit/>
          <w:trHeight w:val="67"/>
        </w:trPr>
        <w:tc>
          <w:tcPr>
            <w:tcW w:w="2798" w:type="dxa"/>
            <w:shd w:val="clear" w:color="auto" w:fill="auto"/>
          </w:tcPr>
          <w:p w:rsidR="00F40477" w:rsidRPr="009000C0" w:rsidRDefault="00F40477" w:rsidP="0029424E">
            <w:pPr>
              <w:tabs>
                <w:tab w:val="right" w:pos="2160"/>
                <w:tab w:val="right" w:pos="3060"/>
                <w:tab w:val="right" w:pos="4320"/>
                <w:tab w:val="right" w:pos="5670"/>
                <w:tab w:val="right" w:pos="6570"/>
                <w:tab w:val="right" w:pos="7805"/>
              </w:tabs>
              <w:rPr>
                <w:rFonts w:ascii="Arial" w:hAnsi="Arial"/>
                <w:color w:val="000000"/>
                <w:sz w:val="22"/>
                <w:szCs w:val="22"/>
              </w:rPr>
            </w:pPr>
            <w:r w:rsidRPr="009000C0">
              <w:rPr>
                <w:rFonts w:ascii="Arial" w:hAnsi="Arial" w:cs="Arial" w:hint="eastAsia"/>
                <w:color w:val="000000"/>
                <w:sz w:val="22"/>
                <w:szCs w:val="22"/>
              </w:rPr>
              <w:t>2015</w:t>
            </w:r>
            <w:r w:rsidRPr="009000C0">
              <w:rPr>
                <w:rFonts w:ascii="Arial" w:hAnsi="Arial" w:hint="eastAsia"/>
                <w:color w:val="000000"/>
                <w:sz w:val="22"/>
                <w:szCs w:val="22"/>
              </w:rPr>
              <w:t>年</w:t>
            </w:r>
            <w:r w:rsidRPr="009000C0">
              <w:rPr>
                <w:rFonts w:ascii="Arial" w:hAnsi="Arial" w:hint="eastAsia"/>
                <w:color w:val="000000"/>
                <w:sz w:val="22"/>
                <w:szCs w:val="22"/>
              </w:rPr>
              <w:t>12</w:t>
            </w:r>
            <w:r w:rsidRPr="009000C0">
              <w:rPr>
                <w:rFonts w:ascii="Arial" w:hAnsi="Arial" w:hint="eastAsia"/>
                <w:color w:val="000000"/>
                <w:sz w:val="22"/>
                <w:szCs w:val="22"/>
              </w:rPr>
              <w:t>月</w:t>
            </w:r>
            <w:r w:rsidRPr="009000C0">
              <w:rPr>
                <w:rFonts w:ascii="Arial" w:hAnsi="Arial" w:hint="eastAsia"/>
                <w:color w:val="000000"/>
                <w:sz w:val="22"/>
                <w:szCs w:val="22"/>
              </w:rPr>
              <w:t>31</w:t>
            </w:r>
            <w:r w:rsidRPr="009000C0">
              <w:rPr>
                <w:rFonts w:ascii="Arial" w:hAnsi="Arial" w:hint="eastAsia"/>
                <w:color w:val="000000"/>
                <w:sz w:val="22"/>
                <w:szCs w:val="22"/>
              </w:rPr>
              <w:t>日</w:t>
            </w:r>
          </w:p>
        </w:tc>
        <w:tc>
          <w:tcPr>
            <w:tcW w:w="290" w:type="dxa"/>
            <w:shd w:val="clear" w:color="auto" w:fill="auto"/>
            <w:vAlign w:val="bottom"/>
          </w:tcPr>
          <w:p w:rsidR="00F40477" w:rsidRPr="009000C0" w:rsidRDefault="00F40477" w:rsidP="0029424E">
            <w:pPr>
              <w:tabs>
                <w:tab w:val="right" w:pos="2160"/>
                <w:tab w:val="right" w:pos="3060"/>
                <w:tab w:val="right" w:pos="4320"/>
                <w:tab w:val="right" w:pos="5670"/>
                <w:tab w:val="right" w:pos="6570"/>
                <w:tab w:val="right" w:pos="7805"/>
              </w:tabs>
              <w:rPr>
                <w:rFonts w:ascii="Arial" w:hAnsi="Arial"/>
                <w:color w:val="000000"/>
                <w:sz w:val="22"/>
                <w:szCs w:val="22"/>
              </w:rPr>
            </w:pPr>
          </w:p>
        </w:tc>
        <w:tc>
          <w:tcPr>
            <w:tcW w:w="1789" w:type="dxa"/>
            <w:shd w:val="clear" w:color="auto" w:fill="auto"/>
            <w:vAlign w:val="bottom"/>
          </w:tcPr>
          <w:p w:rsidR="00F40477" w:rsidRPr="009000C0" w:rsidRDefault="00F40477" w:rsidP="0029424E">
            <w:pPr>
              <w:tabs>
                <w:tab w:val="decimal" w:pos="1307"/>
              </w:tabs>
              <w:ind w:right="-57"/>
              <w:rPr>
                <w:rFonts w:ascii="Arial" w:hAnsi="Arial" w:cs="Arial"/>
                <w:bCs/>
                <w:sz w:val="22"/>
                <w:szCs w:val="22"/>
              </w:rPr>
            </w:pPr>
          </w:p>
        </w:tc>
        <w:tc>
          <w:tcPr>
            <w:tcW w:w="144" w:type="dxa"/>
            <w:shd w:val="clear" w:color="auto" w:fill="auto"/>
            <w:vAlign w:val="bottom"/>
          </w:tcPr>
          <w:p w:rsidR="00F40477" w:rsidRPr="009000C0" w:rsidRDefault="00F40477" w:rsidP="0029424E">
            <w:pPr>
              <w:tabs>
                <w:tab w:val="right" w:pos="2160"/>
                <w:tab w:val="right" w:pos="3060"/>
                <w:tab w:val="right" w:pos="4320"/>
                <w:tab w:val="right" w:pos="5670"/>
                <w:tab w:val="right" w:pos="6570"/>
                <w:tab w:val="right" w:pos="7805"/>
              </w:tabs>
              <w:rPr>
                <w:rFonts w:ascii="Arial" w:hAnsi="Arial"/>
                <w:color w:val="000000"/>
                <w:sz w:val="22"/>
                <w:szCs w:val="22"/>
              </w:rPr>
            </w:pPr>
          </w:p>
        </w:tc>
        <w:tc>
          <w:tcPr>
            <w:tcW w:w="1699" w:type="dxa"/>
            <w:shd w:val="clear" w:color="auto" w:fill="auto"/>
            <w:vAlign w:val="bottom"/>
          </w:tcPr>
          <w:p w:rsidR="00F40477" w:rsidRPr="009000C0" w:rsidRDefault="00F40477" w:rsidP="0029424E">
            <w:pPr>
              <w:tabs>
                <w:tab w:val="right" w:pos="2160"/>
                <w:tab w:val="right" w:pos="3060"/>
                <w:tab w:val="right" w:pos="4320"/>
                <w:tab w:val="right" w:pos="5670"/>
                <w:tab w:val="right" w:pos="6570"/>
                <w:tab w:val="right" w:pos="7805"/>
              </w:tabs>
              <w:ind w:right="369"/>
              <w:jc w:val="right"/>
              <w:rPr>
                <w:rFonts w:ascii="Arial" w:hAnsi="Arial"/>
                <w:color w:val="000000"/>
                <w:sz w:val="22"/>
                <w:szCs w:val="22"/>
              </w:rPr>
            </w:pPr>
          </w:p>
        </w:tc>
        <w:tc>
          <w:tcPr>
            <w:tcW w:w="146" w:type="dxa"/>
            <w:shd w:val="clear" w:color="auto" w:fill="auto"/>
            <w:vAlign w:val="bottom"/>
          </w:tcPr>
          <w:p w:rsidR="00F40477" w:rsidRPr="009000C0" w:rsidRDefault="00F40477" w:rsidP="0029424E">
            <w:pPr>
              <w:tabs>
                <w:tab w:val="right" w:pos="2160"/>
                <w:tab w:val="right" w:pos="3060"/>
                <w:tab w:val="right" w:pos="4320"/>
                <w:tab w:val="right" w:pos="5670"/>
                <w:tab w:val="right" w:pos="6570"/>
                <w:tab w:val="right" w:pos="7805"/>
              </w:tabs>
              <w:rPr>
                <w:rFonts w:ascii="Arial" w:hAnsi="Arial"/>
                <w:color w:val="000000"/>
                <w:sz w:val="22"/>
                <w:szCs w:val="22"/>
              </w:rPr>
            </w:pPr>
          </w:p>
        </w:tc>
        <w:tc>
          <w:tcPr>
            <w:tcW w:w="1838" w:type="dxa"/>
            <w:tcBorders>
              <w:top w:val="single" w:sz="4" w:space="0" w:color="auto"/>
              <w:bottom w:val="single" w:sz="12" w:space="0" w:color="auto"/>
            </w:tcBorders>
            <w:shd w:val="clear" w:color="auto" w:fill="auto"/>
            <w:vAlign w:val="bottom"/>
          </w:tcPr>
          <w:p w:rsidR="00F40477" w:rsidRPr="009000C0" w:rsidRDefault="00F40477" w:rsidP="0029424E">
            <w:pPr>
              <w:tabs>
                <w:tab w:val="decimal" w:pos="1307"/>
              </w:tabs>
              <w:ind w:right="-57"/>
              <w:rPr>
                <w:rFonts w:ascii="Arial" w:hAnsi="Arial" w:cs="Arial"/>
                <w:bCs/>
                <w:sz w:val="22"/>
                <w:szCs w:val="22"/>
              </w:rPr>
            </w:pPr>
            <w:r w:rsidRPr="009000C0">
              <w:rPr>
                <w:rFonts w:ascii="Arial" w:hAnsi="Arial" w:cs="Arial"/>
                <w:bCs/>
                <w:sz w:val="22"/>
                <w:szCs w:val="22"/>
              </w:rPr>
              <w:t>3,366,979.20</w:t>
            </w:r>
          </w:p>
        </w:tc>
      </w:tr>
      <w:tr w:rsidR="00F40477" w:rsidRPr="009000C0" w:rsidTr="0029424E">
        <w:trPr>
          <w:cantSplit/>
          <w:trHeight w:val="67"/>
        </w:trPr>
        <w:tc>
          <w:tcPr>
            <w:tcW w:w="2798" w:type="dxa"/>
            <w:shd w:val="clear" w:color="auto" w:fill="auto"/>
          </w:tcPr>
          <w:p w:rsidR="00F40477" w:rsidRPr="009000C0" w:rsidRDefault="00F40477" w:rsidP="0029424E">
            <w:pPr>
              <w:tabs>
                <w:tab w:val="right" w:pos="2160"/>
                <w:tab w:val="right" w:pos="3060"/>
                <w:tab w:val="right" w:pos="4320"/>
                <w:tab w:val="right" w:pos="5670"/>
                <w:tab w:val="right" w:pos="6570"/>
                <w:tab w:val="right" w:pos="7805"/>
              </w:tabs>
              <w:rPr>
                <w:rFonts w:ascii="Arial" w:hAnsi="Arial"/>
                <w:color w:val="000000"/>
                <w:sz w:val="22"/>
                <w:szCs w:val="22"/>
              </w:rPr>
            </w:pPr>
          </w:p>
        </w:tc>
        <w:tc>
          <w:tcPr>
            <w:tcW w:w="290" w:type="dxa"/>
            <w:shd w:val="clear" w:color="auto" w:fill="auto"/>
            <w:vAlign w:val="bottom"/>
          </w:tcPr>
          <w:p w:rsidR="00F40477" w:rsidRPr="009000C0" w:rsidRDefault="00F40477" w:rsidP="0029424E">
            <w:pPr>
              <w:tabs>
                <w:tab w:val="right" w:pos="2160"/>
                <w:tab w:val="right" w:pos="3060"/>
                <w:tab w:val="right" w:pos="4320"/>
                <w:tab w:val="right" w:pos="5670"/>
                <w:tab w:val="right" w:pos="6570"/>
                <w:tab w:val="right" w:pos="7805"/>
              </w:tabs>
              <w:rPr>
                <w:rFonts w:ascii="Arial" w:hAnsi="Arial"/>
                <w:color w:val="000000"/>
                <w:sz w:val="22"/>
                <w:szCs w:val="22"/>
              </w:rPr>
            </w:pPr>
          </w:p>
        </w:tc>
        <w:tc>
          <w:tcPr>
            <w:tcW w:w="1789" w:type="dxa"/>
            <w:vMerge w:val="restart"/>
            <w:shd w:val="clear" w:color="auto" w:fill="auto"/>
            <w:vAlign w:val="bottom"/>
          </w:tcPr>
          <w:p w:rsidR="00F40477" w:rsidRPr="009000C0" w:rsidRDefault="00F40477" w:rsidP="0029424E">
            <w:pPr>
              <w:tabs>
                <w:tab w:val="decimal" w:pos="1307"/>
              </w:tabs>
              <w:ind w:right="-57"/>
              <w:rPr>
                <w:rFonts w:ascii="Arial" w:hAnsi="Arial" w:cs="Arial"/>
                <w:bCs/>
                <w:sz w:val="22"/>
                <w:szCs w:val="22"/>
              </w:rPr>
            </w:pPr>
          </w:p>
        </w:tc>
        <w:tc>
          <w:tcPr>
            <w:tcW w:w="144" w:type="dxa"/>
            <w:shd w:val="clear" w:color="auto" w:fill="auto"/>
            <w:vAlign w:val="bottom"/>
          </w:tcPr>
          <w:p w:rsidR="00F40477" w:rsidRPr="009000C0" w:rsidRDefault="00F40477" w:rsidP="0029424E">
            <w:pPr>
              <w:tabs>
                <w:tab w:val="right" w:pos="2160"/>
                <w:tab w:val="right" w:pos="3060"/>
                <w:tab w:val="right" w:pos="4320"/>
                <w:tab w:val="right" w:pos="5670"/>
                <w:tab w:val="right" w:pos="6570"/>
                <w:tab w:val="right" w:pos="7805"/>
              </w:tabs>
              <w:rPr>
                <w:rFonts w:ascii="Arial" w:hAnsi="Arial"/>
                <w:color w:val="000000"/>
                <w:sz w:val="22"/>
                <w:szCs w:val="22"/>
              </w:rPr>
            </w:pPr>
          </w:p>
        </w:tc>
        <w:tc>
          <w:tcPr>
            <w:tcW w:w="1699" w:type="dxa"/>
            <w:vMerge w:val="restart"/>
            <w:shd w:val="clear" w:color="auto" w:fill="auto"/>
            <w:vAlign w:val="bottom"/>
          </w:tcPr>
          <w:p w:rsidR="00F40477" w:rsidRPr="009000C0" w:rsidRDefault="00F40477" w:rsidP="0029424E">
            <w:pPr>
              <w:tabs>
                <w:tab w:val="right" w:pos="2160"/>
                <w:tab w:val="right" w:pos="3060"/>
                <w:tab w:val="right" w:pos="4320"/>
                <w:tab w:val="right" w:pos="5670"/>
                <w:tab w:val="right" w:pos="6570"/>
                <w:tab w:val="right" w:pos="7805"/>
              </w:tabs>
              <w:ind w:right="369"/>
              <w:jc w:val="right"/>
              <w:rPr>
                <w:rFonts w:ascii="Arial" w:hAnsi="Arial"/>
                <w:color w:val="000000"/>
                <w:sz w:val="22"/>
                <w:szCs w:val="22"/>
              </w:rPr>
            </w:pPr>
          </w:p>
        </w:tc>
        <w:tc>
          <w:tcPr>
            <w:tcW w:w="146" w:type="dxa"/>
            <w:shd w:val="clear" w:color="auto" w:fill="auto"/>
            <w:vAlign w:val="bottom"/>
          </w:tcPr>
          <w:p w:rsidR="00F40477" w:rsidRPr="009000C0" w:rsidRDefault="00F40477" w:rsidP="0029424E">
            <w:pPr>
              <w:tabs>
                <w:tab w:val="right" w:pos="2160"/>
                <w:tab w:val="right" w:pos="3060"/>
                <w:tab w:val="right" w:pos="4320"/>
                <w:tab w:val="right" w:pos="5670"/>
                <w:tab w:val="right" w:pos="6570"/>
                <w:tab w:val="right" w:pos="7805"/>
              </w:tabs>
              <w:rPr>
                <w:rFonts w:ascii="Arial" w:hAnsi="Arial"/>
                <w:color w:val="000000"/>
                <w:sz w:val="22"/>
                <w:szCs w:val="22"/>
              </w:rPr>
            </w:pPr>
          </w:p>
        </w:tc>
        <w:tc>
          <w:tcPr>
            <w:tcW w:w="1838" w:type="dxa"/>
            <w:vMerge w:val="restart"/>
            <w:tcBorders>
              <w:top w:val="single" w:sz="12" w:space="0" w:color="auto"/>
            </w:tcBorders>
            <w:shd w:val="clear" w:color="auto" w:fill="auto"/>
            <w:vAlign w:val="bottom"/>
          </w:tcPr>
          <w:p w:rsidR="00F40477" w:rsidRPr="009000C0" w:rsidRDefault="00F40477" w:rsidP="0029424E">
            <w:pPr>
              <w:tabs>
                <w:tab w:val="decimal" w:pos="1307"/>
              </w:tabs>
              <w:ind w:right="-57"/>
              <w:rPr>
                <w:rFonts w:ascii="Arial" w:hAnsi="Arial" w:cs="Arial"/>
                <w:bCs/>
                <w:sz w:val="22"/>
                <w:szCs w:val="22"/>
              </w:rPr>
            </w:pPr>
            <w:r w:rsidRPr="009000C0">
              <w:rPr>
                <w:rFonts w:ascii="Arial" w:hAnsi="Arial" w:cs="Arial"/>
                <w:bCs/>
                <w:sz w:val="22"/>
                <w:szCs w:val="22"/>
              </w:rPr>
              <w:t>-1,078,064.75</w:t>
            </w:r>
          </w:p>
        </w:tc>
      </w:tr>
      <w:tr w:rsidR="00F40477" w:rsidRPr="009000C0" w:rsidTr="0029424E">
        <w:trPr>
          <w:cantSplit/>
          <w:trHeight w:val="67"/>
        </w:trPr>
        <w:tc>
          <w:tcPr>
            <w:tcW w:w="2798" w:type="dxa"/>
            <w:shd w:val="clear" w:color="auto" w:fill="auto"/>
          </w:tcPr>
          <w:p w:rsidR="00F40477" w:rsidRPr="009000C0" w:rsidRDefault="00F40477" w:rsidP="0029424E">
            <w:pPr>
              <w:tabs>
                <w:tab w:val="right" w:pos="2160"/>
                <w:tab w:val="right" w:pos="3060"/>
                <w:tab w:val="right" w:pos="4320"/>
                <w:tab w:val="right" w:pos="5670"/>
                <w:tab w:val="right" w:pos="6570"/>
                <w:tab w:val="right" w:pos="7805"/>
              </w:tabs>
              <w:rPr>
                <w:rFonts w:ascii="Arial" w:hAnsi="Arial"/>
                <w:color w:val="000000"/>
                <w:sz w:val="22"/>
                <w:szCs w:val="22"/>
              </w:rPr>
            </w:pPr>
            <w:r w:rsidRPr="009000C0">
              <w:rPr>
                <w:rFonts w:ascii="Arial" w:hAnsi="Arial" w:cs="Arial" w:hint="eastAsia"/>
                <w:color w:val="000000"/>
                <w:sz w:val="22"/>
                <w:szCs w:val="22"/>
              </w:rPr>
              <w:t>2015</w:t>
            </w:r>
            <w:r w:rsidRPr="009000C0">
              <w:rPr>
                <w:rFonts w:ascii="Arial" w:hAnsi="Arial" w:hint="eastAsia"/>
                <w:color w:val="000000"/>
                <w:sz w:val="22"/>
                <w:szCs w:val="22"/>
              </w:rPr>
              <w:t>年</w:t>
            </w:r>
            <w:r w:rsidRPr="009000C0">
              <w:rPr>
                <w:rFonts w:ascii="Arial" w:hAnsi="Arial" w:hint="eastAsia"/>
                <w:color w:val="000000"/>
                <w:sz w:val="22"/>
                <w:szCs w:val="22"/>
              </w:rPr>
              <w:t>12</w:t>
            </w:r>
            <w:r w:rsidRPr="009000C0">
              <w:rPr>
                <w:rFonts w:ascii="Arial" w:hAnsi="Arial" w:hint="eastAsia"/>
                <w:color w:val="000000"/>
                <w:sz w:val="22"/>
                <w:szCs w:val="22"/>
              </w:rPr>
              <w:t>月</w:t>
            </w:r>
            <w:r w:rsidRPr="009000C0">
              <w:rPr>
                <w:rFonts w:ascii="Arial" w:hAnsi="Arial" w:hint="eastAsia"/>
                <w:color w:val="000000"/>
                <w:sz w:val="22"/>
                <w:szCs w:val="22"/>
              </w:rPr>
              <w:t>31</w:t>
            </w:r>
            <w:r w:rsidRPr="009000C0">
              <w:rPr>
                <w:rFonts w:ascii="Arial" w:hAnsi="Arial" w:hint="eastAsia"/>
                <w:color w:val="000000"/>
                <w:sz w:val="22"/>
                <w:szCs w:val="22"/>
              </w:rPr>
              <w:t>日扔持有的资产计入</w:t>
            </w:r>
            <w:r w:rsidRPr="009000C0">
              <w:rPr>
                <w:rFonts w:ascii="Arial" w:hAnsi="Arial" w:cs="Arial" w:hint="eastAsia"/>
                <w:color w:val="000000"/>
                <w:sz w:val="22"/>
                <w:szCs w:val="22"/>
              </w:rPr>
              <w:t>201</w:t>
            </w:r>
            <w:r w:rsidRPr="009000C0">
              <w:rPr>
                <w:rFonts w:ascii="Arial" w:hAnsi="Arial" w:cs="Arial"/>
                <w:color w:val="000000"/>
                <w:sz w:val="22"/>
                <w:szCs w:val="22"/>
              </w:rPr>
              <w:t>5</w:t>
            </w:r>
            <w:r w:rsidRPr="009000C0">
              <w:rPr>
                <w:rFonts w:ascii="Arial" w:hAnsi="Arial" w:hint="eastAsia"/>
                <w:color w:val="000000"/>
                <w:sz w:val="22"/>
                <w:szCs w:val="22"/>
              </w:rPr>
              <w:t>年度损益的未实现利得或损失的变动</w:t>
            </w:r>
          </w:p>
          <w:p w:rsidR="00F40477" w:rsidRPr="009000C0" w:rsidRDefault="00F40477" w:rsidP="0029424E">
            <w:pPr>
              <w:tabs>
                <w:tab w:val="right" w:pos="2160"/>
                <w:tab w:val="right" w:pos="3060"/>
                <w:tab w:val="right" w:pos="4320"/>
                <w:tab w:val="right" w:pos="5670"/>
                <w:tab w:val="right" w:pos="6570"/>
                <w:tab w:val="right" w:pos="7805"/>
              </w:tabs>
              <w:rPr>
                <w:rFonts w:ascii="Arial" w:hAnsi="Arial"/>
                <w:color w:val="000000"/>
                <w:sz w:val="22"/>
                <w:szCs w:val="22"/>
              </w:rPr>
            </w:pPr>
            <w:r w:rsidRPr="009000C0">
              <w:rPr>
                <w:rFonts w:ascii="Arial" w:hAnsi="Arial" w:hint="eastAsia"/>
                <w:color w:val="000000"/>
                <w:sz w:val="22"/>
                <w:szCs w:val="22"/>
              </w:rPr>
              <w:t>——公允价值变动损益</w:t>
            </w:r>
          </w:p>
        </w:tc>
        <w:tc>
          <w:tcPr>
            <w:tcW w:w="290" w:type="dxa"/>
            <w:shd w:val="clear" w:color="auto" w:fill="auto"/>
            <w:vAlign w:val="bottom"/>
          </w:tcPr>
          <w:p w:rsidR="00F40477" w:rsidRPr="009000C0" w:rsidRDefault="00F40477" w:rsidP="0029424E">
            <w:pPr>
              <w:tabs>
                <w:tab w:val="right" w:pos="2160"/>
                <w:tab w:val="right" w:pos="3060"/>
                <w:tab w:val="right" w:pos="4320"/>
                <w:tab w:val="right" w:pos="5670"/>
                <w:tab w:val="right" w:pos="6570"/>
                <w:tab w:val="right" w:pos="7805"/>
              </w:tabs>
              <w:rPr>
                <w:rFonts w:ascii="Arial" w:hAnsi="Arial"/>
                <w:color w:val="000000"/>
                <w:sz w:val="22"/>
                <w:szCs w:val="22"/>
              </w:rPr>
            </w:pPr>
          </w:p>
        </w:tc>
        <w:tc>
          <w:tcPr>
            <w:tcW w:w="1789" w:type="dxa"/>
            <w:vMerge/>
            <w:shd w:val="clear" w:color="auto" w:fill="auto"/>
            <w:vAlign w:val="bottom"/>
          </w:tcPr>
          <w:p w:rsidR="00F40477" w:rsidRPr="009000C0" w:rsidRDefault="00F40477" w:rsidP="0029424E">
            <w:pPr>
              <w:tabs>
                <w:tab w:val="right" w:pos="2160"/>
                <w:tab w:val="right" w:pos="3060"/>
                <w:tab w:val="right" w:pos="4320"/>
                <w:tab w:val="right" w:pos="5670"/>
                <w:tab w:val="right" w:pos="6570"/>
                <w:tab w:val="right" w:pos="7805"/>
              </w:tabs>
              <w:rPr>
                <w:rFonts w:ascii="Arial" w:hAnsi="Arial"/>
                <w:color w:val="000000"/>
                <w:sz w:val="22"/>
                <w:szCs w:val="22"/>
              </w:rPr>
            </w:pPr>
          </w:p>
        </w:tc>
        <w:tc>
          <w:tcPr>
            <w:tcW w:w="144" w:type="dxa"/>
            <w:shd w:val="clear" w:color="auto" w:fill="auto"/>
            <w:vAlign w:val="bottom"/>
          </w:tcPr>
          <w:p w:rsidR="00F40477" w:rsidRPr="009000C0" w:rsidRDefault="00F40477" w:rsidP="0029424E">
            <w:pPr>
              <w:tabs>
                <w:tab w:val="right" w:pos="2160"/>
                <w:tab w:val="right" w:pos="3060"/>
                <w:tab w:val="right" w:pos="4320"/>
                <w:tab w:val="right" w:pos="5670"/>
                <w:tab w:val="right" w:pos="6570"/>
                <w:tab w:val="right" w:pos="7805"/>
              </w:tabs>
              <w:rPr>
                <w:rFonts w:ascii="Arial" w:hAnsi="Arial"/>
                <w:color w:val="000000"/>
                <w:sz w:val="22"/>
                <w:szCs w:val="22"/>
              </w:rPr>
            </w:pPr>
          </w:p>
        </w:tc>
        <w:tc>
          <w:tcPr>
            <w:tcW w:w="1699" w:type="dxa"/>
            <w:vMerge/>
            <w:shd w:val="clear" w:color="auto" w:fill="auto"/>
            <w:vAlign w:val="bottom"/>
          </w:tcPr>
          <w:p w:rsidR="00F40477" w:rsidRPr="009000C0" w:rsidRDefault="00F40477" w:rsidP="0029424E">
            <w:pPr>
              <w:tabs>
                <w:tab w:val="right" w:pos="2160"/>
                <w:tab w:val="right" w:pos="3060"/>
                <w:tab w:val="right" w:pos="4320"/>
                <w:tab w:val="right" w:pos="5670"/>
                <w:tab w:val="right" w:pos="6570"/>
                <w:tab w:val="right" w:pos="7805"/>
              </w:tabs>
              <w:rPr>
                <w:rFonts w:ascii="Arial" w:hAnsi="Arial"/>
                <w:color w:val="000000"/>
                <w:sz w:val="22"/>
                <w:szCs w:val="22"/>
              </w:rPr>
            </w:pPr>
          </w:p>
        </w:tc>
        <w:tc>
          <w:tcPr>
            <w:tcW w:w="146" w:type="dxa"/>
            <w:shd w:val="clear" w:color="auto" w:fill="auto"/>
            <w:vAlign w:val="bottom"/>
          </w:tcPr>
          <w:p w:rsidR="00F40477" w:rsidRPr="009000C0" w:rsidRDefault="00F40477" w:rsidP="0029424E">
            <w:pPr>
              <w:tabs>
                <w:tab w:val="right" w:pos="2160"/>
                <w:tab w:val="right" w:pos="3060"/>
                <w:tab w:val="right" w:pos="4320"/>
                <w:tab w:val="right" w:pos="5670"/>
                <w:tab w:val="right" w:pos="6570"/>
                <w:tab w:val="right" w:pos="7805"/>
              </w:tabs>
              <w:rPr>
                <w:rFonts w:ascii="Arial" w:hAnsi="Arial"/>
                <w:color w:val="000000"/>
                <w:sz w:val="22"/>
                <w:szCs w:val="22"/>
              </w:rPr>
            </w:pPr>
          </w:p>
        </w:tc>
        <w:tc>
          <w:tcPr>
            <w:tcW w:w="1838" w:type="dxa"/>
            <w:vMerge/>
            <w:tcBorders>
              <w:bottom w:val="single" w:sz="12" w:space="0" w:color="auto"/>
            </w:tcBorders>
            <w:shd w:val="clear" w:color="auto" w:fill="auto"/>
            <w:vAlign w:val="bottom"/>
          </w:tcPr>
          <w:p w:rsidR="00F40477" w:rsidRPr="009000C0" w:rsidRDefault="00F40477" w:rsidP="0029424E">
            <w:pPr>
              <w:tabs>
                <w:tab w:val="right" w:pos="2160"/>
                <w:tab w:val="right" w:pos="3060"/>
                <w:tab w:val="right" w:pos="4320"/>
                <w:tab w:val="right" w:pos="5670"/>
                <w:tab w:val="right" w:pos="6570"/>
                <w:tab w:val="right" w:pos="7805"/>
              </w:tabs>
              <w:rPr>
                <w:rFonts w:ascii="Arial" w:hAnsi="Arial"/>
                <w:color w:val="000000"/>
                <w:sz w:val="22"/>
                <w:szCs w:val="22"/>
              </w:rPr>
            </w:pPr>
          </w:p>
        </w:tc>
      </w:tr>
    </w:tbl>
    <w:p w:rsidR="00F40477" w:rsidRPr="009000C0" w:rsidRDefault="00F40477" w:rsidP="00F40477">
      <w:pPr>
        <w:autoSpaceDE w:val="0"/>
        <w:autoSpaceDN w:val="0"/>
        <w:adjustRightInd w:val="0"/>
        <w:rPr>
          <w:rFonts w:ascii="Arial" w:hAnsi="Arial"/>
          <w:color w:val="000000"/>
          <w:sz w:val="24"/>
        </w:rPr>
      </w:pPr>
    </w:p>
    <w:p w:rsidR="00F40477" w:rsidRPr="009000C0" w:rsidRDefault="00F40477" w:rsidP="00F40477">
      <w:pPr>
        <w:autoSpaceDE w:val="0"/>
        <w:autoSpaceDN w:val="0"/>
        <w:adjustRightInd w:val="0"/>
        <w:rPr>
          <w:rFonts w:ascii="Arial" w:hAnsi="Arial" w:cs="Arial"/>
          <w:bCs/>
          <w:color w:val="000000"/>
          <w:sz w:val="24"/>
        </w:rPr>
      </w:pPr>
      <w:r w:rsidRPr="009000C0">
        <w:rPr>
          <w:rFonts w:ascii="Arial" w:hAnsi="Arial" w:hint="eastAsia"/>
          <w:color w:val="000000"/>
          <w:sz w:val="24"/>
        </w:rPr>
        <w:t>计入损益的利得或损失分别计入利润表中的公允价值变动收益、投资收益等项目。</w:t>
      </w:r>
    </w:p>
    <w:p w:rsidR="00F40477" w:rsidRPr="0029424E" w:rsidRDefault="00F40477" w:rsidP="0029424E">
      <w:pPr>
        <w:autoSpaceDE w:val="0"/>
        <w:autoSpaceDN w:val="0"/>
        <w:adjustRightInd w:val="0"/>
        <w:rPr>
          <w:rFonts w:ascii="Arial" w:hAnsi="Arial"/>
          <w:color w:val="000000"/>
          <w:sz w:val="24"/>
        </w:rPr>
      </w:pPr>
      <w:r w:rsidRPr="0029424E">
        <w:rPr>
          <w:rFonts w:ascii="Arial" w:hAnsi="Arial" w:hint="eastAsia"/>
          <w:color w:val="000000"/>
          <w:sz w:val="24"/>
        </w:rPr>
        <w:t>使用重要不可观察输入值的第三层次公允价值按照可比公司法确定</w:t>
      </w:r>
      <w:r w:rsidRPr="0029424E">
        <w:rPr>
          <w:rFonts w:ascii="Arial" w:hAnsi="Arial"/>
          <w:color w:val="000000"/>
          <w:sz w:val="24"/>
        </w:rPr>
        <w:t>。</w:t>
      </w:r>
    </w:p>
    <w:p w:rsidR="004A4B7D" w:rsidRDefault="00B235F4">
      <w:pPr>
        <w:spacing w:before="29" w:line="288" w:lineRule="auto"/>
        <w:ind w:firstLineChars="200" w:firstLine="480"/>
        <w:rPr>
          <w:color w:val="000000"/>
          <w:sz w:val="24"/>
        </w:rPr>
      </w:pPr>
      <w:r>
        <w:rPr>
          <w:color w:val="000000"/>
          <w:sz w:val="24"/>
        </w:rPr>
        <w:t xml:space="preserve">(c) </w:t>
      </w:r>
      <w:r>
        <w:rPr>
          <w:color w:val="000000"/>
          <w:sz w:val="24"/>
        </w:rPr>
        <w:t>非持续的以公允价值计量的金融工具</w:t>
      </w:r>
    </w:p>
    <w:p w:rsidR="004A4B7D" w:rsidRDefault="00B235F4">
      <w:pPr>
        <w:spacing w:before="29" w:line="288" w:lineRule="auto"/>
        <w:ind w:firstLineChars="200" w:firstLine="480"/>
        <w:rPr>
          <w:color w:val="000000"/>
          <w:sz w:val="24"/>
        </w:rPr>
      </w:pPr>
      <w:r>
        <w:rPr>
          <w:color w:val="000000"/>
          <w:sz w:val="24"/>
        </w:rPr>
        <w:t>于</w:t>
      </w:r>
      <w:r>
        <w:rPr>
          <w:color w:val="000000"/>
          <w:sz w:val="24"/>
        </w:rPr>
        <w:t>2016</w:t>
      </w:r>
      <w:r>
        <w:rPr>
          <w:color w:val="000000"/>
          <w:sz w:val="24"/>
        </w:rPr>
        <w:t>年</w:t>
      </w:r>
      <w:r>
        <w:rPr>
          <w:color w:val="000000"/>
          <w:sz w:val="24"/>
        </w:rPr>
        <w:t>12</w:t>
      </w:r>
      <w:r>
        <w:rPr>
          <w:color w:val="000000"/>
          <w:sz w:val="24"/>
        </w:rPr>
        <w:t>月</w:t>
      </w:r>
      <w:r>
        <w:rPr>
          <w:color w:val="000000"/>
          <w:sz w:val="24"/>
        </w:rPr>
        <w:t>31</w:t>
      </w:r>
      <w:r>
        <w:rPr>
          <w:color w:val="000000"/>
          <w:sz w:val="24"/>
        </w:rPr>
        <w:t>日，本基金未持有非持续的以公允价值计量的金融资产</w:t>
      </w:r>
      <w:r>
        <w:rPr>
          <w:color w:val="000000"/>
          <w:sz w:val="24"/>
        </w:rPr>
        <w:t>(2015</w:t>
      </w:r>
      <w:r>
        <w:rPr>
          <w:color w:val="000000"/>
          <w:sz w:val="24"/>
        </w:rPr>
        <w:t>年</w:t>
      </w:r>
      <w:r>
        <w:rPr>
          <w:color w:val="000000"/>
          <w:sz w:val="24"/>
        </w:rPr>
        <w:t>12</w:t>
      </w:r>
      <w:r>
        <w:rPr>
          <w:color w:val="000000"/>
          <w:sz w:val="24"/>
        </w:rPr>
        <w:t>月</w:t>
      </w:r>
      <w:r>
        <w:rPr>
          <w:color w:val="000000"/>
          <w:sz w:val="24"/>
        </w:rPr>
        <w:t>31</w:t>
      </w:r>
      <w:r>
        <w:rPr>
          <w:color w:val="000000"/>
          <w:sz w:val="24"/>
        </w:rPr>
        <w:t>日：同</w:t>
      </w:r>
      <w:r>
        <w:rPr>
          <w:color w:val="000000"/>
          <w:sz w:val="24"/>
        </w:rPr>
        <w:t>)</w:t>
      </w:r>
      <w:r>
        <w:rPr>
          <w:color w:val="000000"/>
          <w:sz w:val="24"/>
        </w:rPr>
        <w:t>。</w:t>
      </w:r>
    </w:p>
    <w:p w:rsidR="004A4B7D" w:rsidRDefault="00B235F4">
      <w:pPr>
        <w:spacing w:before="29" w:line="288" w:lineRule="auto"/>
        <w:ind w:firstLineChars="200" w:firstLine="480"/>
        <w:rPr>
          <w:color w:val="000000"/>
          <w:sz w:val="24"/>
        </w:rPr>
      </w:pPr>
      <w:r>
        <w:rPr>
          <w:color w:val="000000"/>
          <w:sz w:val="24"/>
        </w:rPr>
        <w:t xml:space="preserve">(d) </w:t>
      </w:r>
      <w:r>
        <w:rPr>
          <w:color w:val="000000"/>
          <w:sz w:val="24"/>
        </w:rPr>
        <w:t>不以公允价值计量的金融工具</w:t>
      </w:r>
    </w:p>
    <w:p w:rsidR="004A4B7D" w:rsidRDefault="00B235F4">
      <w:pPr>
        <w:spacing w:before="29" w:line="288" w:lineRule="auto"/>
        <w:ind w:firstLineChars="200" w:firstLine="480"/>
        <w:rPr>
          <w:color w:val="000000"/>
          <w:sz w:val="24"/>
        </w:rPr>
      </w:pPr>
      <w:r>
        <w:rPr>
          <w:color w:val="000000"/>
          <w:sz w:val="24"/>
        </w:rPr>
        <w:t>不以公允价值计量的金融资产和负债主要包括应收款项和其他金融负债，其账面价值与公允价值相差很小。</w:t>
      </w:r>
    </w:p>
    <w:p w:rsidR="004A4B7D" w:rsidRDefault="00B235F4">
      <w:pPr>
        <w:spacing w:before="29" w:line="288" w:lineRule="auto"/>
        <w:ind w:firstLineChars="200" w:firstLine="480"/>
        <w:rPr>
          <w:color w:val="000000"/>
          <w:sz w:val="24"/>
        </w:rPr>
      </w:pPr>
      <w:r>
        <w:rPr>
          <w:color w:val="000000"/>
          <w:sz w:val="24"/>
        </w:rPr>
        <w:t xml:space="preserve">(2) </w:t>
      </w:r>
      <w:r>
        <w:rPr>
          <w:color w:val="000000"/>
          <w:sz w:val="24"/>
        </w:rPr>
        <w:t>除公允价值外，截至资产负债表日本基金无需要说明的其他重要事项。</w:t>
      </w:r>
    </w:p>
    <w:p w:rsidR="001A59F9" w:rsidRDefault="001A59F9" w:rsidP="0004616F">
      <w:pPr>
        <w:spacing w:before="29" w:line="288" w:lineRule="auto"/>
        <w:ind w:firstLineChars="200" w:firstLine="480"/>
        <w:rPr>
          <w:color w:val="000000"/>
          <w:sz w:val="24"/>
        </w:rPr>
      </w:pPr>
      <w:r w:rsidRPr="0004616F">
        <w:rPr>
          <w:color w:val="000000"/>
          <w:sz w:val="24"/>
        </w:rPr>
        <w:t xml:space="preserve"> </w:t>
      </w:r>
    </w:p>
    <w:p w:rsidR="002961CF" w:rsidRPr="0004616F" w:rsidRDefault="002961CF" w:rsidP="0004616F">
      <w:pPr>
        <w:spacing w:before="29" w:line="288" w:lineRule="auto"/>
        <w:ind w:firstLineChars="200" w:firstLine="480"/>
        <w:rPr>
          <w:color w:val="000000"/>
          <w:sz w:val="24"/>
        </w:rPr>
      </w:pPr>
    </w:p>
    <w:p w:rsidR="001A59F9" w:rsidRDefault="001A59F9" w:rsidP="00181618">
      <w:pPr>
        <w:pStyle w:val="1"/>
        <w:keepNext/>
        <w:keepLines/>
        <w:widowControl w:val="0"/>
        <w:spacing w:beforeLines="100" w:before="312" w:afterLines="100" w:after="312" w:line="288" w:lineRule="auto"/>
        <w:jc w:val="center"/>
        <w:rPr>
          <w:b/>
          <w:color w:val="000000"/>
          <w:szCs w:val="24"/>
        </w:rPr>
      </w:pPr>
      <w:bookmarkStart w:id="60" w:name="_Toc225498272"/>
      <w:bookmarkStart w:id="61" w:name="_Toc361324877"/>
      <w:r w:rsidRPr="002961CF">
        <w:rPr>
          <w:rFonts w:hint="eastAsia"/>
          <w:b/>
          <w:color w:val="000000"/>
          <w:szCs w:val="24"/>
        </w:rPr>
        <w:t>§</w:t>
      </w:r>
      <w:r w:rsidRPr="002961CF">
        <w:rPr>
          <w:b/>
          <w:color w:val="000000"/>
          <w:szCs w:val="24"/>
        </w:rPr>
        <w:t>8</w:t>
      </w:r>
      <w:r w:rsidR="009153A3" w:rsidRPr="002961CF">
        <w:rPr>
          <w:rFonts w:hint="eastAsia"/>
          <w:b/>
          <w:color w:val="000000"/>
          <w:szCs w:val="24"/>
        </w:rPr>
        <w:t xml:space="preserve">  </w:t>
      </w:r>
      <w:r w:rsidRPr="002961CF">
        <w:rPr>
          <w:rFonts w:hint="eastAsia"/>
          <w:b/>
          <w:color w:val="000000"/>
          <w:szCs w:val="24"/>
        </w:rPr>
        <w:t>投资组合报告</w:t>
      </w:r>
      <w:bookmarkEnd w:id="60"/>
      <w:bookmarkEnd w:id="61"/>
    </w:p>
    <w:p w:rsidR="001A59F9" w:rsidRPr="00245C29" w:rsidRDefault="001A59F9" w:rsidP="00245C29">
      <w:pPr>
        <w:pStyle w:val="20"/>
        <w:spacing w:before="29" w:after="0" w:line="288" w:lineRule="auto"/>
        <w:rPr>
          <w:rFonts w:ascii="Times New Roman" w:hAnsi="Times New Roman"/>
          <w:kern w:val="0"/>
          <w:szCs w:val="24"/>
        </w:rPr>
      </w:pPr>
      <w:bookmarkStart w:id="62" w:name="_Toc225498273"/>
      <w:bookmarkStart w:id="63" w:name="_Toc361324878"/>
      <w:r w:rsidRPr="00245C29">
        <w:rPr>
          <w:rFonts w:ascii="Times New Roman" w:hAnsi="Times New Roman"/>
          <w:kern w:val="0"/>
          <w:szCs w:val="24"/>
        </w:rPr>
        <w:t>8.1</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期末基金资产组合情况</w:t>
      </w:r>
      <w:bookmarkEnd w:id="62"/>
      <w:bookmarkEnd w:id="63"/>
    </w:p>
    <w:p w:rsidR="001A59F9" w:rsidRPr="003A0690" w:rsidRDefault="001A59F9" w:rsidP="00026C9C">
      <w:pPr>
        <w:autoSpaceDE w:val="0"/>
        <w:autoSpaceDN w:val="0"/>
        <w:adjustRightInd w:val="0"/>
        <w:spacing w:before="29" w:line="360" w:lineRule="auto"/>
        <w:ind w:left="15"/>
        <w:jc w:val="right"/>
        <w:rPr>
          <w:color w:val="000000"/>
          <w:sz w:val="24"/>
        </w:rPr>
      </w:pPr>
      <w:r w:rsidRPr="003A0690">
        <w:rPr>
          <w:rFonts w:hint="eastAsia"/>
          <w:color w:val="000000"/>
          <w:sz w:val="24"/>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854"/>
        <w:gridCol w:w="3402"/>
        <w:gridCol w:w="1664"/>
      </w:tblGrid>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序号</w:t>
            </w:r>
          </w:p>
        </w:tc>
        <w:tc>
          <w:tcPr>
            <w:tcW w:w="2854"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项目</w:t>
            </w:r>
          </w:p>
        </w:tc>
        <w:tc>
          <w:tcPr>
            <w:tcW w:w="3402"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金额</w:t>
            </w:r>
          </w:p>
        </w:tc>
        <w:tc>
          <w:tcPr>
            <w:tcW w:w="1664" w:type="dxa"/>
            <w:vAlign w:val="center"/>
          </w:tcPr>
          <w:p w:rsidR="009A36E4" w:rsidRPr="003A0690" w:rsidRDefault="009A36E4" w:rsidP="003A0690">
            <w:pPr>
              <w:spacing w:before="29" w:line="288" w:lineRule="auto"/>
              <w:jc w:val="center"/>
              <w:rPr>
                <w:color w:val="000000"/>
                <w:sz w:val="24"/>
              </w:rPr>
            </w:pPr>
            <w:r w:rsidRPr="003A0690">
              <w:rPr>
                <w:rFonts w:hint="eastAsia"/>
                <w:color w:val="000000"/>
                <w:sz w:val="24"/>
              </w:rPr>
              <w:t>占基金总资产的比例（</w:t>
            </w:r>
            <w:r w:rsidRPr="003A0690">
              <w:rPr>
                <w:color w:val="000000"/>
                <w:sz w:val="24"/>
              </w:rPr>
              <w:t>%</w:t>
            </w:r>
            <w:r w:rsidRPr="003A0690">
              <w:rPr>
                <w:rFonts w:hint="eastAsia"/>
                <w:color w:val="000000"/>
                <w:sz w:val="24"/>
              </w:rPr>
              <w:t>）</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color w:val="000000"/>
                <w:sz w:val="24"/>
              </w:rPr>
              <w:t>1</w:t>
            </w: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权益投资</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130,654,573.63</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89.91</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其中：股票</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130,654,573.63</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89.91</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r w:rsidRPr="003A0690">
              <w:rPr>
                <w:color w:val="000000"/>
                <w:sz w:val="24"/>
              </w:rPr>
              <w:t>2</w:t>
            </w: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固定收益投资</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9A36E4" w:rsidP="003A0690">
            <w:pPr>
              <w:spacing w:before="29" w:line="288" w:lineRule="auto"/>
              <w:ind w:leftChars="50" w:left="105"/>
              <w:rPr>
                <w:sz w:val="24"/>
              </w:rPr>
            </w:pPr>
            <w:r w:rsidRPr="003A0690">
              <w:rPr>
                <w:rFonts w:hint="eastAsia"/>
                <w:sz w:val="24"/>
              </w:rPr>
              <w:t>其中：债券</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r>
      <w:tr w:rsidR="009A36E4" w:rsidRPr="0091212A" w:rsidTr="00E15A4E">
        <w:trPr>
          <w:jc w:val="center"/>
        </w:trPr>
        <w:tc>
          <w:tcPr>
            <w:tcW w:w="1080" w:type="dxa"/>
            <w:vAlign w:val="center"/>
          </w:tcPr>
          <w:p w:rsidR="009A36E4" w:rsidRPr="003A0690" w:rsidRDefault="009A36E4" w:rsidP="003A0690">
            <w:pPr>
              <w:spacing w:before="29" w:line="288" w:lineRule="auto"/>
              <w:jc w:val="center"/>
              <w:rPr>
                <w:color w:val="000000"/>
                <w:sz w:val="24"/>
              </w:rPr>
            </w:pPr>
          </w:p>
        </w:tc>
        <w:tc>
          <w:tcPr>
            <w:tcW w:w="2854" w:type="dxa"/>
            <w:vAlign w:val="center"/>
          </w:tcPr>
          <w:p w:rsidR="009A36E4" w:rsidRPr="003A0690" w:rsidRDefault="009A36E4" w:rsidP="003366EF">
            <w:pPr>
              <w:spacing w:before="29" w:line="288" w:lineRule="auto"/>
              <w:ind w:leftChars="50" w:left="105" w:firstLineChars="300" w:firstLine="720"/>
              <w:rPr>
                <w:sz w:val="24"/>
              </w:rPr>
            </w:pPr>
            <w:bookmarkStart w:id="64" w:name="_GoBack"/>
            <w:bookmarkEnd w:id="64"/>
            <w:r w:rsidRPr="003A0690">
              <w:rPr>
                <w:rFonts w:hint="eastAsia"/>
                <w:sz w:val="24"/>
              </w:rPr>
              <w:t>资产支持证券</w:t>
            </w:r>
          </w:p>
        </w:tc>
        <w:tc>
          <w:tcPr>
            <w:tcW w:w="3402"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c>
          <w:tcPr>
            <w:tcW w:w="1664" w:type="dxa"/>
            <w:vAlign w:val="center"/>
          </w:tcPr>
          <w:p w:rsidR="009A36E4" w:rsidRPr="003A0690" w:rsidRDefault="009A36E4" w:rsidP="005531B6">
            <w:pPr>
              <w:spacing w:before="29" w:line="360" w:lineRule="auto"/>
              <w:ind w:left="17"/>
              <w:jc w:val="right"/>
              <w:rPr>
                <w:color w:val="000000"/>
                <w:sz w:val="24"/>
              </w:rPr>
            </w:pPr>
            <w:r w:rsidRPr="003A0690">
              <w:rPr>
                <w:color w:val="000000"/>
                <w:sz w:val="24"/>
              </w:rPr>
              <w:t>-</w:t>
            </w:r>
          </w:p>
        </w:tc>
      </w:tr>
      <w:tr w:rsidR="00AC1249" w:rsidRPr="0091212A" w:rsidTr="00E86A35">
        <w:trPr>
          <w:jc w:val="center"/>
        </w:trPr>
        <w:tc>
          <w:tcPr>
            <w:tcW w:w="1080" w:type="dxa"/>
            <w:vAlign w:val="center"/>
          </w:tcPr>
          <w:p w:rsidR="00AC1249" w:rsidRPr="003A0690" w:rsidRDefault="00AC1249" w:rsidP="00E86A35">
            <w:pPr>
              <w:spacing w:before="29" w:line="288" w:lineRule="auto"/>
              <w:jc w:val="center"/>
              <w:rPr>
                <w:color w:val="000000"/>
                <w:sz w:val="24"/>
              </w:rPr>
            </w:pPr>
            <w:r w:rsidRPr="003A0690">
              <w:rPr>
                <w:rFonts w:hint="eastAsia"/>
                <w:color w:val="000000"/>
                <w:sz w:val="24"/>
              </w:rPr>
              <w:t>3</w:t>
            </w:r>
          </w:p>
        </w:tc>
        <w:tc>
          <w:tcPr>
            <w:tcW w:w="2854" w:type="dxa"/>
            <w:vAlign w:val="center"/>
          </w:tcPr>
          <w:p w:rsidR="00AC1249" w:rsidRPr="003A0690" w:rsidRDefault="00AC1249" w:rsidP="00396EA4">
            <w:pPr>
              <w:spacing w:before="29" w:line="288" w:lineRule="auto"/>
              <w:ind w:leftChars="50" w:left="105"/>
              <w:rPr>
                <w:sz w:val="24"/>
              </w:rPr>
            </w:pPr>
            <w:r w:rsidRPr="003A0690">
              <w:rPr>
                <w:rFonts w:hint="eastAsia"/>
                <w:sz w:val="24"/>
              </w:rPr>
              <w:t>贵金属投资</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rFonts w:hint="eastAsia"/>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rFonts w:hint="eastAsia"/>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rFonts w:hint="eastAsia"/>
                <w:color w:val="000000"/>
                <w:sz w:val="24"/>
              </w:rPr>
              <w:t>4</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金融衍生</w:t>
            </w:r>
            <w:proofErr w:type="gramStart"/>
            <w:r w:rsidRPr="003A0690">
              <w:rPr>
                <w:rFonts w:hint="eastAsia"/>
                <w:sz w:val="24"/>
              </w:rPr>
              <w:t>品投资</w:t>
            </w:r>
            <w:proofErr w:type="gramEnd"/>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rFonts w:hint="eastAsia"/>
                <w:color w:val="000000"/>
                <w:sz w:val="24"/>
              </w:rPr>
              <w:t>5</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买入返售金融资产</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其中：买断式回购的买入返售金融资产</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rFonts w:hint="eastAsia"/>
                <w:color w:val="000000"/>
                <w:sz w:val="24"/>
              </w:rPr>
              <w:t>6</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银行存款和结算备付金合计</w:t>
            </w:r>
          </w:p>
        </w:tc>
        <w:tc>
          <w:tcPr>
            <w:tcW w:w="3402"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14,307,917.67</w:t>
            </w:r>
          </w:p>
        </w:tc>
        <w:tc>
          <w:tcPr>
            <w:tcW w:w="1664" w:type="dxa"/>
            <w:vAlign w:val="center"/>
          </w:tcPr>
          <w:p w:rsidR="00AC1249" w:rsidRPr="003A0690" w:rsidRDefault="00AC1249" w:rsidP="005531B6">
            <w:pPr>
              <w:spacing w:before="29" w:line="360" w:lineRule="auto"/>
              <w:ind w:left="17"/>
              <w:jc w:val="right"/>
              <w:rPr>
                <w:color w:val="000000"/>
                <w:sz w:val="24"/>
              </w:rPr>
            </w:pPr>
            <w:r w:rsidRPr="003A0690">
              <w:rPr>
                <w:color w:val="000000"/>
                <w:sz w:val="24"/>
              </w:rPr>
              <w:t>9.85</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color w:val="000000"/>
                <w:sz w:val="24"/>
              </w:rPr>
              <w:t>7</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其他各项资产</w:t>
            </w:r>
          </w:p>
        </w:tc>
        <w:tc>
          <w:tcPr>
            <w:tcW w:w="3402"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352,585.11</w:t>
            </w:r>
          </w:p>
        </w:tc>
        <w:tc>
          <w:tcPr>
            <w:tcW w:w="1664" w:type="dxa"/>
            <w:vAlign w:val="center"/>
          </w:tcPr>
          <w:p w:rsidR="00AC1249" w:rsidRPr="003A0690" w:rsidRDefault="00AC1249" w:rsidP="005531B6">
            <w:pPr>
              <w:spacing w:line="360" w:lineRule="auto"/>
              <w:jc w:val="right"/>
              <w:rPr>
                <w:color w:val="000000"/>
                <w:sz w:val="24"/>
              </w:rPr>
            </w:pPr>
            <w:r w:rsidRPr="003A0690">
              <w:rPr>
                <w:color w:val="000000"/>
                <w:sz w:val="24"/>
              </w:rPr>
              <w:t>0.24</w:t>
            </w:r>
          </w:p>
        </w:tc>
      </w:tr>
      <w:tr w:rsidR="00AC1249" w:rsidRPr="0091212A" w:rsidTr="00E15A4E">
        <w:trPr>
          <w:jc w:val="center"/>
        </w:trPr>
        <w:tc>
          <w:tcPr>
            <w:tcW w:w="1080" w:type="dxa"/>
            <w:vAlign w:val="center"/>
          </w:tcPr>
          <w:p w:rsidR="00AC1249" w:rsidRPr="003A0690" w:rsidRDefault="00AC1249" w:rsidP="003A0690">
            <w:pPr>
              <w:spacing w:before="29" w:line="288" w:lineRule="auto"/>
              <w:jc w:val="center"/>
              <w:rPr>
                <w:color w:val="000000"/>
                <w:sz w:val="24"/>
              </w:rPr>
            </w:pPr>
            <w:r w:rsidRPr="003A0690">
              <w:rPr>
                <w:color w:val="000000"/>
                <w:sz w:val="24"/>
              </w:rPr>
              <w:t>8</w:t>
            </w:r>
          </w:p>
        </w:tc>
        <w:tc>
          <w:tcPr>
            <w:tcW w:w="2854" w:type="dxa"/>
            <w:vAlign w:val="center"/>
          </w:tcPr>
          <w:p w:rsidR="00AC1249" w:rsidRPr="003A0690" w:rsidRDefault="00AC1249" w:rsidP="003A0690">
            <w:pPr>
              <w:spacing w:before="29" w:line="288" w:lineRule="auto"/>
              <w:ind w:leftChars="50" w:left="105"/>
              <w:rPr>
                <w:sz w:val="24"/>
              </w:rPr>
            </w:pPr>
            <w:r w:rsidRPr="003A0690">
              <w:rPr>
                <w:rFonts w:hint="eastAsia"/>
                <w:sz w:val="24"/>
              </w:rPr>
              <w:t>合计</w:t>
            </w:r>
          </w:p>
        </w:tc>
        <w:tc>
          <w:tcPr>
            <w:tcW w:w="3402"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145,315,076.41</w:t>
            </w:r>
          </w:p>
        </w:tc>
        <w:tc>
          <w:tcPr>
            <w:tcW w:w="1664" w:type="dxa"/>
            <w:vAlign w:val="center"/>
          </w:tcPr>
          <w:p w:rsidR="00AC1249" w:rsidRPr="003A0690" w:rsidRDefault="00AC1249" w:rsidP="003A0690">
            <w:pPr>
              <w:spacing w:before="29" w:line="360" w:lineRule="auto"/>
              <w:ind w:left="17"/>
              <w:jc w:val="right"/>
              <w:rPr>
                <w:color w:val="000000"/>
                <w:sz w:val="24"/>
              </w:rPr>
            </w:pPr>
            <w:r w:rsidRPr="003A0690">
              <w:rPr>
                <w:color w:val="000000"/>
                <w:sz w:val="24"/>
              </w:rPr>
              <w:t>100.00</w:t>
            </w:r>
          </w:p>
        </w:tc>
      </w:tr>
    </w:tbl>
    <w:p w:rsidR="009A36E4" w:rsidRDefault="009A36E4" w:rsidP="009A36E4">
      <w:pPr>
        <w:spacing w:line="360" w:lineRule="auto"/>
        <w:rPr>
          <w:rFonts w:asciiTheme="minorEastAsia" w:eastAsiaTheme="minorEastAsia" w:hAnsiTheme="minorEastAsia"/>
          <w:color w:val="000000"/>
          <w:szCs w:val="21"/>
        </w:rPr>
      </w:pPr>
    </w:p>
    <w:p w:rsidR="001A59F9" w:rsidRDefault="001A59F9" w:rsidP="00245C29">
      <w:pPr>
        <w:pStyle w:val="20"/>
        <w:spacing w:before="29" w:after="0" w:line="288" w:lineRule="auto"/>
        <w:rPr>
          <w:rFonts w:ascii="Times New Roman" w:hAnsi="Times New Roman"/>
          <w:kern w:val="0"/>
          <w:szCs w:val="24"/>
        </w:rPr>
      </w:pPr>
      <w:bookmarkStart w:id="65" w:name="_Toc225498274"/>
      <w:bookmarkStart w:id="66" w:name="_Toc361324879"/>
      <w:r w:rsidRPr="00245C29">
        <w:rPr>
          <w:rFonts w:ascii="Times New Roman" w:hAnsi="Times New Roman"/>
          <w:kern w:val="0"/>
          <w:szCs w:val="24"/>
        </w:rPr>
        <w:t>8.2</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期末按行业分类的股票投资组合</w:t>
      </w:r>
      <w:bookmarkEnd w:id="65"/>
      <w:bookmarkEnd w:id="66"/>
    </w:p>
    <w:p w:rsidR="00E122CE" w:rsidRPr="00E122CE" w:rsidRDefault="00E122CE" w:rsidP="00E122CE">
      <w:pPr>
        <w:pStyle w:val="20"/>
        <w:spacing w:before="29" w:after="0" w:line="288" w:lineRule="auto"/>
        <w:rPr>
          <w:rFonts w:ascii="Times New Roman" w:hAnsi="Times New Roman"/>
          <w:color w:val="000000"/>
          <w:szCs w:val="24"/>
        </w:rPr>
      </w:pPr>
      <w:r w:rsidRPr="000B7A0A">
        <w:rPr>
          <w:rFonts w:ascii="Times New Roman" w:hAnsi="Times New Roman"/>
          <w:color w:val="000000"/>
          <w:szCs w:val="24"/>
        </w:rPr>
        <w:t>8.2.1</w:t>
      </w:r>
      <w:r w:rsidRPr="000B7A0A">
        <w:rPr>
          <w:rFonts w:ascii="Times New Roman" w:hAnsi="Times New Roman" w:hint="eastAsia"/>
          <w:color w:val="000000"/>
          <w:szCs w:val="24"/>
        </w:rPr>
        <w:t>报告期末按行业分类的境内股票投资组合</w:t>
      </w:r>
    </w:p>
    <w:p w:rsidR="001A59F9" w:rsidRPr="00F535B5" w:rsidRDefault="001A59F9" w:rsidP="00026C9C">
      <w:pPr>
        <w:autoSpaceDE w:val="0"/>
        <w:autoSpaceDN w:val="0"/>
        <w:adjustRightInd w:val="0"/>
        <w:spacing w:before="29" w:line="360" w:lineRule="auto"/>
        <w:ind w:left="15"/>
        <w:jc w:val="right"/>
        <w:rPr>
          <w:color w:val="000000"/>
          <w:sz w:val="24"/>
        </w:rPr>
      </w:pPr>
      <w:r w:rsidRPr="00F535B5">
        <w:rPr>
          <w:rFonts w:hint="eastAsia"/>
          <w:color w:val="000000"/>
          <w:sz w:val="24"/>
        </w:rPr>
        <w:t>金额单位：人民币元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3600"/>
        <w:gridCol w:w="2520"/>
        <w:gridCol w:w="1800"/>
      </w:tblGrid>
      <w:tr w:rsidR="001A59F9" w:rsidRPr="00C51C77" w:rsidTr="006E33C9">
        <w:trPr>
          <w:jc w:val="center"/>
        </w:trPr>
        <w:tc>
          <w:tcPr>
            <w:tcW w:w="108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代码</w:t>
            </w:r>
          </w:p>
        </w:tc>
        <w:tc>
          <w:tcPr>
            <w:tcW w:w="360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行业类别</w:t>
            </w:r>
          </w:p>
        </w:tc>
        <w:tc>
          <w:tcPr>
            <w:tcW w:w="252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公允价值</w:t>
            </w:r>
          </w:p>
        </w:tc>
        <w:tc>
          <w:tcPr>
            <w:tcW w:w="1800" w:type="dxa"/>
            <w:vAlign w:val="center"/>
          </w:tcPr>
          <w:p w:rsidR="001A59F9" w:rsidRPr="00F535B5" w:rsidRDefault="001A59F9" w:rsidP="00F535B5">
            <w:pPr>
              <w:spacing w:before="29" w:line="288" w:lineRule="auto"/>
              <w:jc w:val="center"/>
              <w:rPr>
                <w:color w:val="000000"/>
                <w:sz w:val="24"/>
              </w:rPr>
            </w:pPr>
            <w:r w:rsidRPr="00F535B5">
              <w:rPr>
                <w:rFonts w:hint="eastAsia"/>
                <w:color w:val="000000"/>
                <w:sz w:val="24"/>
              </w:rPr>
              <w:t>占基金资产净值比例（％）</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A</w:t>
            </w:r>
          </w:p>
        </w:tc>
        <w:tc>
          <w:tcPr>
            <w:tcW w:w="3600" w:type="dxa"/>
            <w:vAlign w:val="center"/>
          </w:tcPr>
          <w:p w:rsidR="001A59F9" w:rsidRPr="00F535B5" w:rsidRDefault="001A59F9" w:rsidP="00E20BB0">
            <w:pPr>
              <w:spacing w:before="29" w:line="288" w:lineRule="auto"/>
              <w:rPr>
                <w:sz w:val="24"/>
              </w:rPr>
            </w:pPr>
            <w:r w:rsidRPr="00F535B5">
              <w:rPr>
                <w:rFonts w:hint="eastAsia"/>
                <w:sz w:val="24"/>
              </w:rPr>
              <w:t>农、林、牧、渔业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B</w:t>
            </w:r>
          </w:p>
        </w:tc>
        <w:tc>
          <w:tcPr>
            <w:tcW w:w="3600" w:type="dxa"/>
            <w:vAlign w:val="center"/>
          </w:tcPr>
          <w:p w:rsidR="001A59F9" w:rsidRPr="00F535B5" w:rsidRDefault="001A59F9" w:rsidP="00E20BB0">
            <w:pPr>
              <w:spacing w:before="29" w:line="288" w:lineRule="auto"/>
              <w:rPr>
                <w:sz w:val="24"/>
              </w:rPr>
            </w:pPr>
            <w:r w:rsidRPr="00F535B5">
              <w:rPr>
                <w:rFonts w:hint="eastAsia"/>
                <w:sz w:val="24"/>
              </w:rPr>
              <w:t>采矿业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C</w:t>
            </w:r>
          </w:p>
        </w:tc>
        <w:tc>
          <w:tcPr>
            <w:tcW w:w="3600" w:type="dxa"/>
            <w:vAlign w:val="center"/>
          </w:tcPr>
          <w:p w:rsidR="001A59F9" w:rsidRPr="00F535B5" w:rsidRDefault="001A59F9" w:rsidP="00E20BB0">
            <w:pPr>
              <w:spacing w:before="29" w:line="288" w:lineRule="auto"/>
              <w:rPr>
                <w:sz w:val="24"/>
              </w:rPr>
            </w:pPr>
            <w:r w:rsidRPr="00F535B5">
              <w:rPr>
                <w:rFonts w:hint="eastAsia"/>
                <w:sz w:val="24"/>
              </w:rPr>
              <w:t>制造业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112,984,569.52</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78.15</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D</w:t>
            </w:r>
          </w:p>
        </w:tc>
        <w:tc>
          <w:tcPr>
            <w:tcW w:w="3600" w:type="dxa"/>
            <w:vAlign w:val="center"/>
          </w:tcPr>
          <w:p w:rsidR="001A59F9" w:rsidRPr="00F535B5" w:rsidRDefault="001A59F9" w:rsidP="00E20BB0">
            <w:pPr>
              <w:spacing w:before="29" w:line="288" w:lineRule="auto"/>
              <w:rPr>
                <w:sz w:val="24"/>
              </w:rPr>
            </w:pPr>
            <w:r w:rsidRPr="00F535B5">
              <w:rPr>
                <w:rFonts w:hint="eastAsia"/>
                <w:sz w:val="24"/>
              </w:rPr>
              <w:t>电力、热力、燃气及水生产和供应业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E</w:t>
            </w:r>
          </w:p>
        </w:tc>
        <w:tc>
          <w:tcPr>
            <w:tcW w:w="3600" w:type="dxa"/>
            <w:vAlign w:val="center"/>
          </w:tcPr>
          <w:p w:rsidR="001A59F9" w:rsidRPr="00F535B5" w:rsidRDefault="001A59F9" w:rsidP="00E20BB0">
            <w:pPr>
              <w:spacing w:before="29" w:line="288" w:lineRule="auto"/>
              <w:rPr>
                <w:sz w:val="24"/>
              </w:rPr>
            </w:pPr>
            <w:r w:rsidRPr="00F535B5">
              <w:rPr>
                <w:rFonts w:hint="eastAsia"/>
                <w:sz w:val="24"/>
              </w:rPr>
              <w:t>建筑业</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1,326,732.00</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0.92</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F</w:t>
            </w:r>
          </w:p>
        </w:tc>
        <w:tc>
          <w:tcPr>
            <w:tcW w:w="3600" w:type="dxa"/>
            <w:vAlign w:val="center"/>
          </w:tcPr>
          <w:p w:rsidR="001A59F9" w:rsidRPr="00F535B5" w:rsidRDefault="001A59F9" w:rsidP="00E20BB0">
            <w:pPr>
              <w:spacing w:before="29" w:line="288" w:lineRule="auto"/>
              <w:rPr>
                <w:sz w:val="24"/>
              </w:rPr>
            </w:pPr>
            <w:r w:rsidRPr="00F535B5">
              <w:rPr>
                <w:rFonts w:hint="eastAsia"/>
                <w:sz w:val="24"/>
              </w:rPr>
              <w:t>批发和零售业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G</w:t>
            </w:r>
          </w:p>
        </w:tc>
        <w:tc>
          <w:tcPr>
            <w:tcW w:w="3600" w:type="dxa"/>
            <w:vAlign w:val="center"/>
          </w:tcPr>
          <w:p w:rsidR="001A59F9" w:rsidRPr="00F535B5" w:rsidRDefault="001A59F9" w:rsidP="00E20BB0">
            <w:pPr>
              <w:spacing w:before="29" w:line="288" w:lineRule="auto"/>
              <w:rPr>
                <w:sz w:val="24"/>
              </w:rPr>
            </w:pPr>
            <w:r w:rsidRPr="00F535B5">
              <w:rPr>
                <w:rFonts w:hint="eastAsia"/>
                <w:sz w:val="24"/>
              </w:rPr>
              <w:t>交通运输、仓储和邮政业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4,672,469.94</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3.23</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H</w:t>
            </w:r>
          </w:p>
        </w:tc>
        <w:tc>
          <w:tcPr>
            <w:tcW w:w="3600" w:type="dxa"/>
            <w:vAlign w:val="center"/>
          </w:tcPr>
          <w:p w:rsidR="001A59F9" w:rsidRPr="00F535B5" w:rsidRDefault="001A59F9" w:rsidP="00E20BB0">
            <w:pPr>
              <w:spacing w:before="29" w:line="288" w:lineRule="auto"/>
              <w:rPr>
                <w:sz w:val="24"/>
              </w:rPr>
            </w:pPr>
            <w:r w:rsidRPr="00F535B5">
              <w:rPr>
                <w:rFonts w:hint="eastAsia"/>
                <w:sz w:val="24"/>
              </w:rPr>
              <w:t>住宿和餐饮业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I</w:t>
            </w:r>
          </w:p>
        </w:tc>
        <w:tc>
          <w:tcPr>
            <w:tcW w:w="3600" w:type="dxa"/>
            <w:vAlign w:val="center"/>
          </w:tcPr>
          <w:p w:rsidR="001A59F9" w:rsidRPr="00F535B5" w:rsidRDefault="001A59F9" w:rsidP="00E20BB0">
            <w:pPr>
              <w:spacing w:before="29" w:line="288" w:lineRule="auto"/>
              <w:rPr>
                <w:sz w:val="24"/>
              </w:rPr>
            </w:pPr>
            <w:r w:rsidRPr="00F535B5">
              <w:rPr>
                <w:rFonts w:hint="eastAsia"/>
                <w:sz w:val="24"/>
              </w:rPr>
              <w:t>信息传输、软件和信息技术服务业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874,820.85</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0.61</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J</w:t>
            </w:r>
          </w:p>
        </w:tc>
        <w:tc>
          <w:tcPr>
            <w:tcW w:w="3600" w:type="dxa"/>
            <w:vAlign w:val="center"/>
          </w:tcPr>
          <w:p w:rsidR="001A59F9" w:rsidRPr="00F535B5" w:rsidRDefault="001A59F9" w:rsidP="00E20BB0">
            <w:pPr>
              <w:spacing w:before="29" w:line="288" w:lineRule="auto"/>
              <w:rPr>
                <w:sz w:val="24"/>
              </w:rPr>
            </w:pPr>
            <w:r w:rsidRPr="00F535B5">
              <w:rPr>
                <w:rFonts w:hint="eastAsia"/>
                <w:sz w:val="24"/>
              </w:rPr>
              <w:t>金融业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K</w:t>
            </w:r>
          </w:p>
        </w:tc>
        <w:tc>
          <w:tcPr>
            <w:tcW w:w="3600" w:type="dxa"/>
            <w:vAlign w:val="center"/>
          </w:tcPr>
          <w:p w:rsidR="001A59F9" w:rsidRPr="00F535B5" w:rsidRDefault="001A59F9" w:rsidP="00E20BB0">
            <w:pPr>
              <w:spacing w:before="29" w:line="288" w:lineRule="auto"/>
              <w:rPr>
                <w:sz w:val="24"/>
              </w:rPr>
            </w:pPr>
            <w:r w:rsidRPr="00F535B5">
              <w:rPr>
                <w:rFonts w:hint="eastAsia"/>
                <w:sz w:val="24"/>
              </w:rPr>
              <w:t>房地产业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L</w:t>
            </w:r>
          </w:p>
        </w:tc>
        <w:tc>
          <w:tcPr>
            <w:tcW w:w="3600" w:type="dxa"/>
            <w:vAlign w:val="center"/>
          </w:tcPr>
          <w:p w:rsidR="001A59F9" w:rsidRPr="00F535B5" w:rsidRDefault="001A59F9" w:rsidP="005F5D03">
            <w:pPr>
              <w:spacing w:before="29" w:line="288" w:lineRule="auto"/>
              <w:rPr>
                <w:sz w:val="24"/>
              </w:rPr>
            </w:pPr>
            <w:r w:rsidRPr="00F535B5">
              <w:rPr>
                <w:rFonts w:hint="eastAsia"/>
                <w:sz w:val="24"/>
              </w:rPr>
              <w:t>租赁和商务服务业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839,076.00</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0.58</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M</w:t>
            </w:r>
          </w:p>
        </w:tc>
        <w:tc>
          <w:tcPr>
            <w:tcW w:w="3600" w:type="dxa"/>
            <w:vAlign w:val="center"/>
          </w:tcPr>
          <w:p w:rsidR="001A59F9" w:rsidRPr="00F535B5" w:rsidRDefault="001A59F9" w:rsidP="005F5D03">
            <w:pPr>
              <w:spacing w:before="29" w:line="288" w:lineRule="auto"/>
              <w:rPr>
                <w:sz w:val="24"/>
              </w:rPr>
            </w:pPr>
            <w:r w:rsidRPr="00F535B5">
              <w:rPr>
                <w:rFonts w:hint="eastAsia"/>
                <w:sz w:val="24"/>
              </w:rPr>
              <w:t>科学研究和技术服务业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N</w:t>
            </w:r>
          </w:p>
        </w:tc>
        <w:tc>
          <w:tcPr>
            <w:tcW w:w="3600" w:type="dxa"/>
            <w:vAlign w:val="center"/>
          </w:tcPr>
          <w:p w:rsidR="001A59F9" w:rsidRPr="00F535B5" w:rsidRDefault="001A59F9" w:rsidP="005F5D03">
            <w:pPr>
              <w:spacing w:before="29" w:line="288" w:lineRule="auto"/>
              <w:rPr>
                <w:sz w:val="24"/>
              </w:rPr>
            </w:pPr>
            <w:r w:rsidRPr="00F535B5">
              <w:rPr>
                <w:rFonts w:hint="eastAsia"/>
                <w:sz w:val="24"/>
              </w:rPr>
              <w:t>水利、环境和公共设施管理业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O</w:t>
            </w:r>
          </w:p>
        </w:tc>
        <w:tc>
          <w:tcPr>
            <w:tcW w:w="3600" w:type="dxa"/>
            <w:vAlign w:val="center"/>
          </w:tcPr>
          <w:p w:rsidR="001A59F9" w:rsidRPr="00F535B5" w:rsidRDefault="001A59F9" w:rsidP="005F5D03">
            <w:pPr>
              <w:spacing w:before="29" w:line="288" w:lineRule="auto"/>
              <w:rPr>
                <w:sz w:val="24"/>
              </w:rPr>
            </w:pPr>
            <w:r w:rsidRPr="00F535B5">
              <w:rPr>
                <w:rFonts w:hint="eastAsia"/>
                <w:sz w:val="24"/>
              </w:rPr>
              <w:t>居民服务、修理和其他服务业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P</w:t>
            </w:r>
          </w:p>
        </w:tc>
        <w:tc>
          <w:tcPr>
            <w:tcW w:w="3600" w:type="dxa"/>
            <w:vAlign w:val="center"/>
          </w:tcPr>
          <w:p w:rsidR="001A59F9" w:rsidRPr="00F535B5" w:rsidRDefault="001A59F9" w:rsidP="005F5D03">
            <w:pPr>
              <w:spacing w:before="29" w:line="288" w:lineRule="auto"/>
              <w:rPr>
                <w:sz w:val="24"/>
              </w:rPr>
            </w:pPr>
            <w:r w:rsidRPr="00F535B5">
              <w:rPr>
                <w:rFonts w:hint="eastAsia"/>
                <w:sz w:val="24"/>
              </w:rPr>
              <w:t>教育</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Q</w:t>
            </w:r>
          </w:p>
        </w:tc>
        <w:tc>
          <w:tcPr>
            <w:tcW w:w="3600" w:type="dxa"/>
            <w:vAlign w:val="center"/>
          </w:tcPr>
          <w:p w:rsidR="001A59F9" w:rsidRPr="00F535B5" w:rsidRDefault="001A59F9" w:rsidP="005F5D03">
            <w:pPr>
              <w:spacing w:before="29" w:line="288" w:lineRule="auto"/>
              <w:rPr>
                <w:sz w:val="24"/>
              </w:rPr>
            </w:pPr>
            <w:r w:rsidRPr="00F535B5">
              <w:rPr>
                <w:rFonts w:hint="eastAsia"/>
                <w:sz w:val="24"/>
              </w:rPr>
              <w:t>卫生和社会工作</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6,392,992.32</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4.42</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R</w:t>
            </w:r>
          </w:p>
        </w:tc>
        <w:tc>
          <w:tcPr>
            <w:tcW w:w="3600" w:type="dxa"/>
            <w:vAlign w:val="center"/>
          </w:tcPr>
          <w:p w:rsidR="001A59F9" w:rsidRPr="00F535B5" w:rsidRDefault="001A59F9" w:rsidP="005F5D03">
            <w:pPr>
              <w:spacing w:before="29" w:line="288" w:lineRule="auto"/>
              <w:rPr>
                <w:sz w:val="24"/>
              </w:rPr>
            </w:pPr>
            <w:r w:rsidRPr="00F535B5">
              <w:rPr>
                <w:rFonts w:hint="eastAsia"/>
                <w:sz w:val="24"/>
              </w:rPr>
              <w:t>文化、体育和娱乐业</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3,563,913.00</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2.47</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r w:rsidRPr="00F535B5">
              <w:rPr>
                <w:sz w:val="24"/>
              </w:rPr>
              <w:t>S</w:t>
            </w:r>
          </w:p>
        </w:tc>
        <w:tc>
          <w:tcPr>
            <w:tcW w:w="3600" w:type="dxa"/>
            <w:vAlign w:val="center"/>
          </w:tcPr>
          <w:p w:rsidR="001A59F9" w:rsidRPr="00F535B5" w:rsidRDefault="001A59F9" w:rsidP="005F5D03">
            <w:pPr>
              <w:spacing w:before="29" w:line="288" w:lineRule="auto"/>
              <w:rPr>
                <w:sz w:val="24"/>
              </w:rPr>
            </w:pPr>
            <w:r w:rsidRPr="00F535B5">
              <w:rPr>
                <w:rFonts w:hint="eastAsia"/>
                <w:sz w:val="24"/>
              </w:rPr>
              <w:t>综合</w:t>
            </w:r>
          </w:p>
        </w:tc>
        <w:tc>
          <w:tcPr>
            <w:tcW w:w="252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c>
          <w:tcPr>
            <w:tcW w:w="1800" w:type="dxa"/>
            <w:vAlign w:val="bottom"/>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w:t>
            </w:r>
          </w:p>
        </w:tc>
      </w:tr>
      <w:tr w:rsidR="001A59F9" w:rsidRPr="00C51C77" w:rsidTr="006E33C9">
        <w:trPr>
          <w:jc w:val="center"/>
        </w:trPr>
        <w:tc>
          <w:tcPr>
            <w:tcW w:w="1080" w:type="dxa"/>
            <w:vAlign w:val="center"/>
          </w:tcPr>
          <w:p w:rsidR="001A59F9" w:rsidRPr="00F535B5" w:rsidRDefault="001A59F9" w:rsidP="00F535B5">
            <w:pPr>
              <w:spacing w:before="29" w:line="288" w:lineRule="auto"/>
              <w:jc w:val="center"/>
              <w:rPr>
                <w:sz w:val="24"/>
              </w:rPr>
            </w:pPr>
          </w:p>
        </w:tc>
        <w:tc>
          <w:tcPr>
            <w:tcW w:w="3600" w:type="dxa"/>
            <w:vAlign w:val="center"/>
          </w:tcPr>
          <w:p w:rsidR="001A59F9" w:rsidRPr="00F535B5" w:rsidRDefault="001A59F9" w:rsidP="005F5D03">
            <w:pPr>
              <w:spacing w:before="29" w:line="288" w:lineRule="auto"/>
              <w:rPr>
                <w:sz w:val="24"/>
              </w:rPr>
            </w:pPr>
            <w:r w:rsidRPr="00F535B5">
              <w:rPr>
                <w:rFonts w:hint="eastAsia"/>
                <w:sz w:val="24"/>
              </w:rPr>
              <w:t>合计</w:t>
            </w:r>
          </w:p>
        </w:tc>
        <w:tc>
          <w:tcPr>
            <w:tcW w:w="252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130,654,573.63</w:t>
            </w:r>
          </w:p>
        </w:tc>
        <w:tc>
          <w:tcPr>
            <w:tcW w:w="1800" w:type="dxa"/>
            <w:vAlign w:val="center"/>
          </w:tcPr>
          <w:p w:rsidR="001A59F9" w:rsidRPr="00F535B5" w:rsidRDefault="001A59F9" w:rsidP="00F535B5">
            <w:pPr>
              <w:autoSpaceDE w:val="0"/>
              <w:autoSpaceDN w:val="0"/>
              <w:adjustRightInd w:val="0"/>
              <w:spacing w:before="29" w:line="288" w:lineRule="auto"/>
              <w:ind w:left="15"/>
              <w:jc w:val="right"/>
              <w:rPr>
                <w:color w:val="000000"/>
                <w:kern w:val="0"/>
                <w:sz w:val="24"/>
              </w:rPr>
            </w:pPr>
            <w:r w:rsidRPr="00F535B5">
              <w:rPr>
                <w:color w:val="000000"/>
                <w:kern w:val="0"/>
                <w:sz w:val="24"/>
              </w:rPr>
              <w:t>90.37</w:t>
            </w:r>
          </w:p>
        </w:tc>
      </w:tr>
    </w:tbl>
    <w:p w:rsidR="001A59F9" w:rsidRDefault="001A59F9" w:rsidP="00026C9C">
      <w:pPr>
        <w:autoSpaceDE w:val="0"/>
        <w:autoSpaceDN w:val="0"/>
        <w:adjustRightInd w:val="0"/>
        <w:spacing w:line="360" w:lineRule="auto"/>
        <w:rPr>
          <w:rFonts w:asciiTheme="minorEastAsia" w:eastAsiaTheme="minorEastAsia" w:hAnsiTheme="minorEastAsia"/>
          <w:color w:val="000000"/>
          <w:szCs w:val="21"/>
        </w:rPr>
      </w:pPr>
    </w:p>
    <w:p w:rsidR="001C48BC" w:rsidRPr="00D52A9B" w:rsidRDefault="001C48BC" w:rsidP="001C48BC">
      <w:pPr>
        <w:pStyle w:val="20"/>
        <w:spacing w:before="29" w:after="0" w:line="288" w:lineRule="auto"/>
        <w:rPr>
          <w:rFonts w:ascii="Times New Roman" w:hAnsi="Times New Roman"/>
          <w:kern w:val="0"/>
          <w:szCs w:val="24"/>
        </w:rPr>
      </w:pPr>
      <w:r w:rsidRPr="00D52A9B">
        <w:rPr>
          <w:rFonts w:ascii="Times New Roman" w:hAnsi="Times New Roman"/>
          <w:kern w:val="0"/>
          <w:szCs w:val="24"/>
        </w:rPr>
        <w:t>8.2.2</w:t>
      </w:r>
      <w:r w:rsidRPr="00D52A9B">
        <w:rPr>
          <w:rFonts w:ascii="Times New Roman" w:hAnsi="Times New Roman" w:hint="eastAsia"/>
          <w:kern w:val="0"/>
          <w:szCs w:val="24"/>
        </w:rPr>
        <w:t>报告期末按行业分类的沪港通投资股票投资组合</w:t>
      </w:r>
    </w:p>
    <w:p w:rsidR="001C48BC" w:rsidRPr="00D52A9B" w:rsidRDefault="001C48BC" w:rsidP="001C48BC">
      <w:pPr>
        <w:tabs>
          <w:tab w:val="left" w:pos="426"/>
        </w:tabs>
        <w:spacing w:line="360" w:lineRule="auto"/>
        <w:jc w:val="left"/>
        <w:rPr>
          <w:kern w:val="0"/>
          <w:sz w:val="24"/>
        </w:rPr>
      </w:pPr>
      <w:r w:rsidRPr="00D52A9B">
        <w:rPr>
          <w:kern w:val="0"/>
          <w:sz w:val="24"/>
        </w:rPr>
        <w:t>本基金本报告期末未持有通过沪港通投资的股票。</w:t>
      </w:r>
    </w:p>
    <w:p w:rsidR="001C48BC" w:rsidRPr="000C3CE0" w:rsidRDefault="001C48BC" w:rsidP="00026C9C">
      <w:pPr>
        <w:autoSpaceDE w:val="0"/>
        <w:autoSpaceDN w:val="0"/>
        <w:adjustRightInd w:val="0"/>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67" w:name="_Toc361324881"/>
      <w:r w:rsidRPr="00245C29">
        <w:rPr>
          <w:rFonts w:ascii="Times New Roman" w:hAnsi="Times New Roman"/>
          <w:kern w:val="0"/>
          <w:szCs w:val="24"/>
        </w:rPr>
        <w:t>8.3</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期末按公允价值占基金资产净值比例大小排序的</w:t>
      </w:r>
      <w:r w:rsidR="007D167D" w:rsidRPr="00245C29">
        <w:rPr>
          <w:rFonts w:ascii="Times New Roman" w:hAnsi="Times New Roman" w:hint="eastAsia"/>
          <w:kern w:val="0"/>
          <w:szCs w:val="24"/>
        </w:rPr>
        <w:t>前十名</w:t>
      </w:r>
      <w:r w:rsidRPr="00245C29">
        <w:rPr>
          <w:rFonts w:ascii="Times New Roman" w:hAnsi="Times New Roman" w:hint="eastAsia"/>
          <w:kern w:val="0"/>
          <w:szCs w:val="24"/>
        </w:rPr>
        <w:t>股票投资明细</w:t>
      </w:r>
      <w:bookmarkEnd w:id="67"/>
    </w:p>
    <w:p w:rsidR="001A59F9" w:rsidRPr="00A20DFB" w:rsidRDefault="001A59F9" w:rsidP="00026C9C">
      <w:pPr>
        <w:autoSpaceDE w:val="0"/>
        <w:autoSpaceDN w:val="0"/>
        <w:adjustRightInd w:val="0"/>
        <w:spacing w:before="29" w:line="360" w:lineRule="auto"/>
        <w:ind w:left="15"/>
        <w:jc w:val="right"/>
        <w:rPr>
          <w:color w:val="000000"/>
          <w:sz w:val="24"/>
        </w:rPr>
      </w:pPr>
      <w:r w:rsidRPr="00A20DFB">
        <w:rPr>
          <w:rFonts w:hint="eastAsia"/>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701"/>
        <w:gridCol w:w="1559"/>
        <w:gridCol w:w="1701"/>
        <w:gridCol w:w="1843"/>
      </w:tblGrid>
      <w:tr w:rsidR="001A59F9" w:rsidRPr="00C51C77" w:rsidTr="006E33C9">
        <w:trPr>
          <w:jc w:val="center"/>
        </w:trPr>
        <w:tc>
          <w:tcPr>
            <w:tcW w:w="817"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序号</w:t>
            </w:r>
          </w:p>
        </w:tc>
        <w:tc>
          <w:tcPr>
            <w:tcW w:w="1276"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股票代码</w:t>
            </w:r>
          </w:p>
        </w:tc>
        <w:tc>
          <w:tcPr>
            <w:tcW w:w="1701"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股票名称</w:t>
            </w:r>
          </w:p>
        </w:tc>
        <w:tc>
          <w:tcPr>
            <w:tcW w:w="1559"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数量</w:t>
            </w:r>
            <w:r w:rsidRPr="00A20DFB">
              <w:rPr>
                <w:sz w:val="24"/>
              </w:rPr>
              <w:t>(</w:t>
            </w:r>
            <w:r w:rsidRPr="00A20DFB">
              <w:rPr>
                <w:rFonts w:hint="eastAsia"/>
                <w:sz w:val="24"/>
              </w:rPr>
              <w:t>股</w:t>
            </w:r>
            <w:r w:rsidRPr="00A20DFB">
              <w:rPr>
                <w:sz w:val="24"/>
              </w:rPr>
              <w:t>)</w:t>
            </w:r>
          </w:p>
        </w:tc>
        <w:tc>
          <w:tcPr>
            <w:tcW w:w="1701" w:type="dxa"/>
            <w:vAlign w:val="center"/>
          </w:tcPr>
          <w:p w:rsidR="001A59F9" w:rsidRPr="00A20DFB" w:rsidRDefault="001A59F9" w:rsidP="00A20DFB">
            <w:pPr>
              <w:autoSpaceDE w:val="0"/>
              <w:autoSpaceDN w:val="0"/>
              <w:adjustRightInd w:val="0"/>
              <w:snapToGrid w:val="0"/>
              <w:spacing w:before="29" w:line="288" w:lineRule="auto"/>
              <w:jc w:val="center"/>
              <w:rPr>
                <w:sz w:val="24"/>
              </w:rPr>
            </w:pPr>
            <w:r w:rsidRPr="00A20DFB">
              <w:rPr>
                <w:rFonts w:hint="eastAsia"/>
                <w:sz w:val="24"/>
              </w:rPr>
              <w:t>公允价值</w:t>
            </w:r>
          </w:p>
        </w:tc>
        <w:tc>
          <w:tcPr>
            <w:tcW w:w="1843" w:type="dxa"/>
            <w:vAlign w:val="center"/>
          </w:tcPr>
          <w:p w:rsidR="001A59F9" w:rsidRPr="00A20DFB" w:rsidRDefault="001A59F9" w:rsidP="00A20DFB">
            <w:pPr>
              <w:adjustRightInd w:val="0"/>
              <w:snapToGrid w:val="0"/>
              <w:spacing w:before="29" w:line="288" w:lineRule="auto"/>
              <w:jc w:val="center"/>
              <w:rPr>
                <w:sz w:val="24"/>
              </w:rPr>
            </w:pPr>
            <w:r w:rsidRPr="00A20DFB">
              <w:rPr>
                <w:rFonts w:hint="eastAsia"/>
                <w:sz w:val="24"/>
              </w:rPr>
              <w:t>占基金资产净值比例</w:t>
            </w:r>
            <w:r w:rsidRPr="00A20DFB">
              <w:rPr>
                <w:sz w:val="24"/>
              </w:rPr>
              <w:t>(</w:t>
            </w:r>
            <w:r w:rsidRPr="00A20DFB">
              <w:rPr>
                <w:rFonts w:hint="eastAsia"/>
                <w:sz w:val="24"/>
              </w:rPr>
              <w:t>％</w:t>
            </w:r>
            <w:r w:rsidRPr="00A20DFB">
              <w:rPr>
                <w:sz w:val="24"/>
              </w:rPr>
              <w:t>)</w:t>
            </w:r>
          </w:p>
        </w:tc>
      </w:tr>
      <w:tr w:rsidR="004A4B7D">
        <w:trPr>
          <w:jc w:val="center"/>
        </w:trPr>
        <w:tc>
          <w:tcPr>
            <w:tcW w:w="817" w:type="dxa"/>
            <w:vAlign w:val="center"/>
          </w:tcPr>
          <w:p w:rsidR="004A4B7D" w:rsidRDefault="00B235F4">
            <w:pPr>
              <w:jc w:val="center"/>
            </w:pPr>
            <w:r>
              <w:rPr>
                <w:color w:val="000000"/>
                <w:sz w:val="24"/>
              </w:rPr>
              <w:t>1</w:t>
            </w:r>
          </w:p>
        </w:tc>
        <w:tc>
          <w:tcPr>
            <w:tcW w:w="1276" w:type="dxa"/>
            <w:vAlign w:val="center"/>
          </w:tcPr>
          <w:p w:rsidR="004A4B7D" w:rsidRDefault="00B235F4">
            <w:pPr>
              <w:jc w:val="center"/>
            </w:pPr>
            <w:r>
              <w:rPr>
                <w:color w:val="000000"/>
                <w:sz w:val="24"/>
              </w:rPr>
              <w:t>600389</w:t>
            </w:r>
          </w:p>
        </w:tc>
        <w:tc>
          <w:tcPr>
            <w:tcW w:w="1701" w:type="dxa"/>
            <w:vAlign w:val="center"/>
          </w:tcPr>
          <w:p w:rsidR="004A4B7D" w:rsidRDefault="00B235F4">
            <w:pPr>
              <w:jc w:val="center"/>
            </w:pPr>
            <w:r>
              <w:rPr>
                <w:color w:val="000000"/>
                <w:sz w:val="24"/>
              </w:rPr>
              <w:t>江山股份</w:t>
            </w:r>
          </w:p>
        </w:tc>
        <w:tc>
          <w:tcPr>
            <w:tcW w:w="1559" w:type="dxa"/>
            <w:vAlign w:val="center"/>
          </w:tcPr>
          <w:p w:rsidR="004A4B7D" w:rsidRDefault="00B235F4">
            <w:pPr>
              <w:jc w:val="right"/>
            </w:pPr>
            <w:r>
              <w:rPr>
                <w:color w:val="000000"/>
                <w:sz w:val="24"/>
              </w:rPr>
              <w:t>716,770</w:t>
            </w:r>
          </w:p>
        </w:tc>
        <w:tc>
          <w:tcPr>
            <w:tcW w:w="1701" w:type="dxa"/>
            <w:vAlign w:val="center"/>
          </w:tcPr>
          <w:p w:rsidR="004A4B7D" w:rsidRDefault="00B235F4">
            <w:pPr>
              <w:jc w:val="right"/>
            </w:pPr>
            <w:r>
              <w:rPr>
                <w:color w:val="000000"/>
                <w:sz w:val="24"/>
              </w:rPr>
              <w:t>14,149,039.80</w:t>
            </w:r>
          </w:p>
        </w:tc>
        <w:tc>
          <w:tcPr>
            <w:tcW w:w="1843" w:type="dxa"/>
            <w:vAlign w:val="center"/>
          </w:tcPr>
          <w:p w:rsidR="004A4B7D" w:rsidRDefault="00B235F4">
            <w:pPr>
              <w:jc w:val="right"/>
            </w:pPr>
            <w:r>
              <w:rPr>
                <w:color w:val="000000"/>
                <w:sz w:val="24"/>
              </w:rPr>
              <w:t>9.79</w:t>
            </w:r>
          </w:p>
        </w:tc>
      </w:tr>
      <w:tr w:rsidR="004A4B7D">
        <w:trPr>
          <w:jc w:val="center"/>
        </w:trPr>
        <w:tc>
          <w:tcPr>
            <w:tcW w:w="817" w:type="dxa"/>
            <w:vAlign w:val="center"/>
          </w:tcPr>
          <w:p w:rsidR="004A4B7D" w:rsidRDefault="00B235F4">
            <w:pPr>
              <w:jc w:val="center"/>
            </w:pPr>
            <w:r>
              <w:rPr>
                <w:color w:val="000000"/>
                <w:sz w:val="24"/>
              </w:rPr>
              <w:t>2</w:t>
            </w:r>
          </w:p>
        </w:tc>
        <w:tc>
          <w:tcPr>
            <w:tcW w:w="1276" w:type="dxa"/>
            <w:vAlign w:val="center"/>
          </w:tcPr>
          <w:p w:rsidR="004A4B7D" w:rsidRDefault="00B235F4">
            <w:pPr>
              <w:jc w:val="center"/>
            </w:pPr>
            <w:r>
              <w:rPr>
                <w:color w:val="000000"/>
                <w:sz w:val="24"/>
              </w:rPr>
              <w:t>300458</w:t>
            </w:r>
          </w:p>
        </w:tc>
        <w:tc>
          <w:tcPr>
            <w:tcW w:w="1701" w:type="dxa"/>
            <w:vAlign w:val="center"/>
          </w:tcPr>
          <w:p w:rsidR="004A4B7D" w:rsidRDefault="00B235F4">
            <w:pPr>
              <w:jc w:val="center"/>
            </w:pPr>
            <w:r>
              <w:rPr>
                <w:color w:val="000000"/>
                <w:sz w:val="24"/>
              </w:rPr>
              <w:t>全志科技</w:t>
            </w:r>
          </w:p>
        </w:tc>
        <w:tc>
          <w:tcPr>
            <w:tcW w:w="1559" w:type="dxa"/>
            <w:vAlign w:val="center"/>
          </w:tcPr>
          <w:p w:rsidR="004A4B7D" w:rsidRDefault="00B235F4">
            <w:pPr>
              <w:jc w:val="right"/>
            </w:pPr>
            <w:r>
              <w:rPr>
                <w:color w:val="000000"/>
                <w:sz w:val="24"/>
              </w:rPr>
              <w:t>147,603</w:t>
            </w:r>
          </w:p>
        </w:tc>
        <w:tc>
          <w:tcPr>
            <w:tcW w:w="1701" w:type="dxa"/>
            <w:vAlign w:val="center"/>
          </w:tcPr>
          <w:p w:rsidR="004A4B7D" w:rsidRDefault="00B235F4">
            <w:pPr>
              <w:jc w:val="right"/>
            </w:pPr>
            <w:r>
              <w:rPr>
                <w:color w:val="000000"/>
                <w:sz w:val="24"/>
              </w:rPr>
              <w:t>13,495,342.29</w:t>
            </w:r>
          </w:p>
        </w:tc>
        <w:tc>
          <w:tcPr>
            <w:tcW w:w="1843" w:type="dxa"/>
            <w:vAlign w:val="center"/>
          </w:tcPr>
          <w:p w:rsidR="004A4B7D" w:rsidRDefault="00B235F4">
            <w:pPr>
              <w:jc w:val="right"/>
            </w:pPr>
            <w:r>
              <w:rPr>
                <w:color w:val="000000"/>
                <w:sz w:val="24"/>
              </w:rPr>
              <w:t>9.33</w:t>
            </w:r>
          </w:p>
        </w:tc>
      </w:tr>
      <w:tr w:rsidR="004A4B7D">
        <w:trPr>
          <w:jc w:val="center"/>
        </w:trPr>
        <w:tc>
          <w:tcPr>
            <w:tcW w:w="817" w:type="dxa"/>
            <w:vAlign w:val="center"/>
          </w:tcPr>
          <w:p w:rsidR="004A4B7D" w:rsidRDefault="00B235F4">
            <w:pPr>
              <w:jc w:val="center"/>
            </w:pPr>
            <w:r>
              <w:rPr>
                <w:color w:val="000000"/>
                <w:sz w:val="24"/>
              </w:rPr>
              <w:t>3</w:t>
            </w:r>
          </w:p>
        </w:tc>
        <w:tc>
          <w:tcPr>
            <w:tcW w:w="1276" w:type="dxa"/>
            <w:vAlign w:val="center"/>
          </w:tcPr>
          <w:p w:rsidR="004A4B7D" w:rsidRDefault="00B235F4">
            <w:pPr>
              <w:jc w:val="center"/>
            </w:pPr>
            <w:r>
              <w:rPr>
                <w:color w:val="000000"/>
                <w:sz w:val="24"/>
              </w:rPr>
              <w:t>002120</w:t>
            </w:r>
          </w:p>
        </w:tc>
        <w:tc>
          <w:tcPr>
            <w:tcW w:w="1701" w:type="dxa"/>
            <w:vAlign w:val="center"/>
          </w:tcPr>
          <w:p w:rsidR="004A4B7D" w:rsidRDefault="00B235F4">
            <w:pPr>
              <w:jc w:val="center"/>
            </w:pPr>
            <w:r>
              <w:rPr>
                <w:color w:val="000000"/>
                <w:sz w:val="24"/>
              </w:rPr>
              <w:t>新</w:t>
            </w:r>
            <w:proofErr w:type="gramStart"/>
            <w:r>
              <w:rPr>
                <w:color w:val="000000"/>
                <w:sz w:val="24"/>
              </w:rPr>
              <w:t>海股份</w:t>
            </w:r>
            <w:proofErr w:type="gramEnd"/>
          </w:p>
        </w:tc>
        <w:tc>
          <w:tcPr>
            <w:tcW w:w="1559" w:type="dxa"/>
            <w:vAlign w:val="center"/>
          </w:tcPr>
          <w:p w:rsidR="004A4B7D" w:rsidRDefault="00B235F4">
            <w:pPr>
              <w:jc w:val="right"/>
            </w:pPr>
            <w:r>
              <w:rPr>
                <w:color w:val="000000"/>
                <w:sz w:val="24"/>
              </w:rPr>
              <w:t>266,105</w:t>
            </w:r>
          </w:p>
        </w:tc>
        <w:tc>
          <w:tcPr>
            <w:tcW w:w="1701" w:type="dxa"/>
            <w:vAlign w:val="center"/>
          </w:tcPr>
          <w:p w:rsidR="004A4B7D" w:rsidRDefault="00B235F4">
            <w:pPr>
              <w:jc w:val="right"/>
            </w:pPr>
            <w:r>
              <w:rPr>
                <w:color w:val="000000"/>
                <w:sz w:val="24"/>
              </w:rPr>
              <w:t>13,411,692.00</w:t>
            </w:r>
          </w:p>
        </w:tc>
        <w:tc>
          <w:tcPr>
            <w:tcW w:w="1843" w:type="dxa"/>
            <w:vAlign w:val="center"/>
          </w:tcPr>
          <w:p w:rsidR="004A4B7D" w:rsidRDefault="00B235F4">
            <w:pPr>
              <w:jc w:val="right"/>
            </w:pPr>
            <w:r>
              <w:rPr>
                <w:color w:val="000000"/>
                <w:sz w:val="24"/>
              </w:rPr>
              <w:t>9.28</w:t>
            </w:r>
          </w:p>
        </w:tc>
      </w:tr>
      <w:tr w:rsidR="004A4B7D">
        <w:trPr>
          <w:jc w:val="center"/>
        </w:trPr>
        <w:tc>
          <w:tcPr>
            <w:tcW w:w="817" w:type="dxa"/>
            <w:vAlign w:val="center"/>
          </w:tcPr>
          <w:p w:rsidR="004A4B7D" w:rsidRDefault="00B235F4">
            <w:pPr>
              <w:jc w:val="center"/>
            </w:pPr>
            <w:r>
              <w:rPr>
                <w:color w:val="000000"/>
                <w:sz w:val="24"/>
              </w:rPr>
              <w:t>4</w:t>
            </w:r>
          </w:p>
        </w:tc>
        <w:tc>
          <w:tcPr>
            <w:tcW w:w="1276" w:type="dxa"/>
            <w:vAlign w:val="center"/>
          </w:tcPr>
          <w:p w:rsidR="004A4B7D" w:rsidRDefault="00B235F4">
            <w:pPr>
              <w:jc w:val="center"/>
            </w:pPr>
            <w:r>
              <w:rPr>
                <w:color w:val="000000"/>
                <w:sz w:val="24"/>
              </w:rPr>
              <w:t>600500</w:t>
            </w:r>
          </w:p>
        </w:tc>
        <w:tc>
          <w:tcPr>
            <w:tcW w:w="1701" w:type="dxa"/>
            <w:vAlign w:val="center"/>
          </w:tcPr>
          <w:p w:rsidR="004A4B7D" w:rsidRDefault="00B235F4">
            <w:pPr>
              <w:jc w:val="center"/>
            </w:pPr>
            <w:r>
              <w:rPr>
                <w:color w:val="000000"/>
                <w:sz w:val="24"/>
              </w:rPr>
              <w:t>中化国际</w:t>
            </w:r>
          </w:p>
        </w:tc>
        <w:tc>
          <w:tcPr>
            <w:tcW w:w="1559" w:type="dxa"/>
            <w:vAlign w:val="center"/>
          </w:tcPr>
          <w:p w:rsidR="004A4B7D" w:rsidRDefault="00B235F4">
            <w:pPr>
              <w:jc w:val="right"/>
            </w:pPr>
            <w:r>
              <w:rPr>
                <w:color w:val="000000"/>
                <w:sz w:val="24"/>
              </w:rPr>
              <w:t>1,136,068</w:t>
            </w:r>
          </w:p>
        </w:tc>
        <w:tc>
          <w:tcPr>
            <w:tcW w:w="1701" w:type="dxa"/>
            <w:vAlign w:val="center"/>
          </w:tcPr>
          <w:p w:rsidR="004A4B7D" w:rsidRDefault="00B235F4">
            <w:pPr>
              <w:jc w:val="right"/>
            </w:pPr>
            <w:r>
              <w:rPr>
                <w:color w:val="000000"/>
                <w:sz w:val="24"/>
              </w:rPr>
              <w:t>13,246,552.88</w:t>
            </w:r>
          </w:p>
        </w:tc>
        <w:tc>
          <w:tcPr>
            <w:tcW w:w="1843" w:type="dxa"/>
            <w:vAlign w:val="center"/>
          </w:tcPr>
          <w:p w:rsidR="004A4B7D" w:rsidRDefault="00B235F4">
            <w:pPr>
              <w:jc w:val="right"/>
            </w:pPr>
            <w:r>
              <w:rPr>
                <w:color w:val="000000"/>
                <w:sz w:val="24"/>
              </w:rPr>
              <w:t>9.16</w:t>
            </w:r>
          </w:p>
        </w:tc>
      </w:tr>
      <w:tr w:rsidR="004A4B7D">
        <w:trPr>
          <w:jc w:val="center"/>
        </w:trPr>
        <w:tc>
          <w:tcPr>
            <w:tcW w:w="817" w:type="dxa"/>
            <w:vAlign w:val="center"/>
          </w:tcPr>
          <w:p w:rsidR="004A4B7D" w:rsidRDefault="00B235F4">
            <w:pPr>
              <w:jc w:val="center"/>
            </w:pPr>
            <w:r>
              <w:rPr>
                <w:color w:val="000000"/>
                <w:sz w:val="24"/>
              </w:rPr>
              <w:t>5</w:t>
            </w:r>
          </w:p>
        </w:tc>
        <w:tc>
          <w:tcPr>
            <w:tcW w:w="1276" w:type="dxa"/>
            <w:vAlign w:val="center"/>
          </w:tcPr>
          <w:p w:rsidR="004A4B7D" w:rsidRDefault="00B235F4">
            <w:pPr>
              <w:jc w:val="center"/>
            </w:pPr>
            <w:r>
              <w:rPr>
                <w:color w:val="000000"/>
                <w:sz w:val="24"/>
              </w:rPr>
              <w:t>600967</w:t>
            </w:r>
          </w:p>
        </w:tc>
        <w:tc>
          <w:tcPr>
            <w:tcW w:w="1701" w:type="dxa"/>
            <w:vAlign w:val="center"/>
          </w:tcPr>
          <w:p w:rsidR="004A4B7D" w:rsidRDefault="00B235F4">
            <w:pPr>
              <w:jc w:val="center"/>
            </w:pPr>
            <w:r>
              <w:rPr>
                <w:color w:val="000000"/>
                <w:sz w:val="24"/>
              </w:rPr>
              <w:t>北方创业</w:t>
            </w:r>
          </w:p>
        </w:tc>
        <w:tc>
          <w:tcPr>
            <w:tcW w:w="1559" w:type="dxa"/>
            <w:vAlign w:val="center"/>
          </w:tcPr>
          <w:p w:rsidR="004A4B7D" w:rsidRDefault="00B235F4">
            <w:pPr>
              <w:jc w:val="right"/>
            </w:pPr>
            <w:r>
              <w:rPr>
                <w:color w:val="000000"/>
                <w:sz w:val="24"/>
              </w:rPr>
              <w:t>871,500</w:t>
            </w:r>
          </w:p>
        </w:tc>
        <w:tc>
          <w:tcPr>
            <w:tcW w:w="1701" w:type="dxa"/>
            <w:vAlign w:val="center"/>
          </w:tcPr>
          <w:p w:rsidR="004A4B7D" w:rsidRDefault="00B235F4">
            <w:pPr>
              <w:jc w:val="right"/>
            </w:pPr>
            <w:r>
              <w:rPr>
                <w:color w:val="000000"/>
                <w:sz w:val="24"/>
              </w:rPr>
              <w:t>11,826,255.00</w:t>
            </w:r>
          </w:p>
        </w:tc>
        <w:tc>
          <w:tcPr>
            <w:tcW w:w="1843" w:type="dxa"/>
            <w:vAlign w:val="center"/>
          </w:tcPr>
          <w:p w:rsidR="004A4B7D" w:rsidRDefault="00B235F4">
            <w:pPr>
              <w:jc w:val="right"/>
            </w:pPr>
            <w:r>
              <w:rPr>
                <w:color w:val="000000"/>
                <w:sz w:val="24"/>
              </w:rPr>
              <w:t>8.18</w:t>
            </w:r>
          </w:p>
        </w:tc>
      </w:tr>
      <w:tr w:rsidR="004A4B7D">
        <w:trPr>
          <w:jc w:val="center"/>
        </w:trPr>
        <w:tc>
          <w:tcPr>
            <w:tcW w:w="817" w:type="dxa"/>
            <w:vAlign w:val="center"/>
          </w:tcPr>
          <w:p w:rsidR="004A4B7D" w:rsidRDefault="00B235F4">
            <w:pPr>
              <w:jc w:val="center"/>
            </w:pPr>
            <w:r>
              <w:rPr>
                <w:color w:val="000000"/>
                <w:sz w:val="24"/>
              </w:rPr>
              <w:t>6</w:t>
            </w:r>
          </w:p>
        </w:tc>
        <w:tc>
          <w:tcPr>
            <w:tcW w:w="1276" w:type="dxa"/>
            <w:vAlign w:val="center"/>
          </w:tcPr>
          <w:p w:rsidR="004A4B7D" w:rsidRDefault="00B235F4">
            <w:pPr>
              <w:jc w:val="center"/>
            </w:pPr>
            <w:r>
              <w:rPr>
                <w:color w:val="000000"/>
                <w:sz w:val="24"/>
              </w:rPr>
              <w:t>002180</w:t>
            </w:r>
          </w:p>
        </w:tc>
        <w:tc>
          <w:tcPr>
            <w:tcW w:w="1701" w:type="dxa"/>
            <w:vAlign w:val="center"/>
          </w:tcPr>
          <w:p w:rsidR="004A4B7D" w:rsidRDefault="00B235F4">
            <w:pPr>
              <w:jc w:val="center"/>
            </w:pPr>
            <w:r>
              <w:rPr>
                <w:color w:val="000000"/>
                <w:sz w:val="24"/>
              </w:rPr>
              <w:t>艾派克</w:t>
            </w:r>
          </w:p>
        </w:tc>
        <w:tc>
          <w:tcPr>
            <w:tcW w:w="1559" w:type="dxa"/>
            <w:vAlign w:val="center"/>
          </w:tcPr>
          <w:p w:rsidR="004A4B7D" w:rsidRDefault="00B235F4">
            <w:pPr>
              <w:jc w:val="right"/>
            </w:pPr>
            <w:r>
              <w:rPr>
                <w:color w:val="000000"/>
                <w:sz w:val="24"/>
              </w:rPr>
              <w:t>411,113</w:t>
            </w:r>
          </w:p>
        </w:tc>
        <w:tc>
          <w:tcPr>
            <w:tcW w:w="1701" w:type="dxa"/>
            <w:vAlign w:val="center"/>
          </w:tcPr>
          <w:p w:rsidR="004A4B7D" w:rsidRDefault="00B235F4">
            <w:pPr>
              <w:jc w:val="right"/>
            </w:pPr>
            <w:r>
              <w:rPr>
                <w:color w:val="000000"/>
                <w:sz w:val="24"/>
              </w:rPr>
              <w:t>11,560,497.56</w:t>
            </w:r>
          </w:p>
        </w:tc>
        <w:tc>
          <w:tcPr>
            <w:tcW w:w="1843" w:type="dxa"/>
            <w:vAlign w:val="center"/>
          </w:tcPr>
          <w:p w:rsidR="004A4B7D" w:rsidRDefault="00B235F4">
            <w:pPr>
              <w:jc w:val="right"/>
            </w:pPr>
            <w:r>
              <w:rPr>
                <w:color w:val="000000"/>
                <w:sz w:val="24"/>
              </w:rPr>
              <w:t>8.00</w:t>
            </w:r>
          </w:p>
        </w:tc>
      </w:tr>
      <w:tr w:rsidR="004A4B7D">
        <w:trPr>
          <w:jc w:val="center"/>
        </w:trPr>
        <w:tc>
          <w:tcPr>
            <w:tcW w:w="817" w:type="dxa"/>
            <w:vAlign w:val="center"/>
          </w:tcPr>
          <w:p w:rsidR="004A4B7D" w:rsidRDefault="00B235F4">
            <w:pPr>
              <w:jc w:val="center"/>
            </w:pPr>
            <w:r>
              <w:rPr>
                <w:color w:val="000000"/>
                <w:sz w:val="24"/>
              </w:rPr>
              <w:t>7</w:t>
            </w:r>
          </w:p>
        </w:tc>
        <w:tc>
          <w:tcPr>
            <w:tcW w:w="1276" w:type="dxa"/>
            <w:vAlign w:val="center"/>
          </w:tcPr>
          <w:p w:rsidR="004A4B7D" w:rsidRDefault="00B235F4">
            <w:pPr>
              <w:jc w:val="center"/>
            </w:pPr>
            <w:r>
              <w:rPr>
                <w:color w:val="000000"/>
                <w:sz w:val="24"/>
              </w:rPr>
              <w:t>300129</w:t>
            </w:r>
          </w:p>
        </w:tc>
        <w:tc>
          <w:tcPr>
            <w:tcW w:w="1701" w:type="dxa"/>
            <w:vAlign w:val="center"/>
          </w:tcPr>
          <w:p w:rsidR="004A4B7D" w:rsidRDefault="00B235F4">
            <w:pPr>
              <w:jc w:val="center"/>
            </w:pPr>
            <w:proofErr w:type="gramStart"/>
            <w:r>
              <w:rPr>
                <w:color w:val="000000"/>
                <w:sz w:val="24"/>
              </w:rPr>
              <w:t>泰胜风能</w:t>
            </w:r>
            <w:proofErr w:type="gramEnd"/>
          </w:p>
        </w:tc>
        <w:tc>
          <w:tcPr>
            <w:tcW w:w="1559" w:type="dxa"/>
            <w:vAlign w:val="center"/>
          </w:tcPr>
          <w:p w:rsidR="004A4B7D" w:rsidRDefault="00B235F4">
            <w:pPr>
              <w:jc w:val="right"/>
            </w:pPr>
            <w:r>
              <w:rPr>
                <w:color w:val="000000"/>
                <w:sz w:val="24"/>
              </w:rPr>
              <w:t>762,100</w:t>
            </w:r>
          </w:p>
        </w:tc>
        <w:tc>
          <w:tcPr>
            <w:tcW w:w="1701" w:type="dxa"/>
            <w:vAlign w:val="center"/>
          </w:tcPr>
          <w:p w:rsidR="004A4B7D" w:rsidRDefault="00B235F4">
            <w:pPr>
              <w:jc w:val="right"/>
            </w:pPr>
            <w:r>
              <w:rPr>
                <w:color w:val="000000"/>
                <w:sz w:val="24"/>
              </w:rPr>
              <w:t>6,668,375.00</w:t>
            </w:r>
          </w:p>
        </w:tc>
        <w:tc>
          <w:tcPr>
            <w:tcW w:w="1843" w:type="dxa"/>
            <w:vAlign w:val="center"/>
          </w:tcPr>
          <w:p w:rsidR="004A4B7D" w:rsidRDefault="00B235F4">
            <w:pPr>
              <w:jc w:val="right"/>
            </w:pPr>
            <w:r>
              <w:rPr>
                <w:color w:val="000000"/>
                <w:sz w:val="24"/>
              </w:rPr>
              <w:t>4.61</w:t>
            </w:r>
          </w:p>
        </w:tc>
      </w:tr>
      <w:tr w:rsidR="004A4B7D">
        <w:trPr>
          <w:jc w:val="center"/>
        </w:trPr>
        <w:tc>
          <w:tcPr>
            <w:tcW w:w="817" w:type="dxa"/>
            <w:vAlign w:val="center"/>
          </w:tcPr>
          <w:p w:rsidR="004A4B7D" w:rsidRDefault="00B235F4">
            <w:pPr>
              <w:jc w:val="center"/>
            </w:pPr>
            <w:r>
              <w:rPr>
                <w:color w:val="000000"/>
                <w:sz w:val="24"/>
              </w:rPr>
              <w:t>8</w:t>
            </w:r>
          </w:p>
        </w:tc>
        <w:tc>
          <w:tcPr>
            <w:tcW w:w="1276" w:type="dxa"/>
            <w:vAlign w:val="center"/>
          </w:tcPr>
          <w:p w:rsidR="004A4B7D" w:rsidRDefault="00B235F4">
            <w:pPr>
              <w:jc w:val="center"/>
            </w:pPr>
            <w:r>
              <w:rPr>
                <w:color w:val="000000"/>
                <w:sz w:val="24"/>
              </w:rPr>
              <w:t>600763</w:t>
            </w:r>
          </w:p>
        </w:tc>
        <w:tc>
          <w:tcPr>
            <w:tcW w:w="1701" w:type="dxa"/>
            <w:vAlign w:val="center"/>
          </w:tcPr>
          <w:p w:rsidR="004A4B7D" w:rsidRDefault="00B235F4">
            <w:pPr>
              <w:jc w:val="center"/>
            </w:pPr>
            <w:r>
              <w:rPr>
                <w:color w:val="000000"/>
                <w:sz w:val="24"/>
              </w:rPr>
              <w:t>通策医疗</w:t>
            </w:r>
          </w:p>
        </w:tc>
        <w:tc>
          <w:tcPr>
            <w:tcW w:w="1559" w:type="dxa"/>
            <w:vAlign w:val="center"/>
          </w:tcPr>
          <w:p w:rsidR="004A4B7D" w:rsidRDefault="00B235F4">
            <w:pPr>
              <w:jc w:val="right"/>
            </w:pPr>
            <w:r>
              <w:rPr>
                <w:color w:val="000000"/>
                <w:sz w:val="24"/>
              </w:rPr>
              <w:t>190,608</w:t>
            </w:r>
          </w:p>
        </w:tc>
        <w:tc>
          <w:tcPr>
            <w:tcW w:w="1701" w:type="dxa"/>
            <w:vAlign w:val="center"/>
          </w:tcPr>
          <w:p w:rsidR="004A4B7D" w:rsidRDefault="00B235F4">
            <w:pPr>
              <w:jc w:val="right"/>
            </w:pPr>
            <w:r>
              <w:rPr>
                <w:color w:val="000000"/>
                <w:sz w:val="24"/>
              </w:rPr>
              <w:t>6,392,992.32</w:t>
            </w:r>
          </w:p>
        </w:tc>
        <w:tc>
          <w:tcPr>
            <w:tcW w:w="1843" w:type="dxa"/>
            <w:vAlign w:val="center"/>
          </w:tcPr>
          <w:p w:rsidR="004A4B7D" w:rsidRDefault="00B235F4">
            <w:pPr>
              <w:jc w:val="right"/>
            </w:pPr>
            <w:r>
              <w:rPr>
                <w:color w:val="000000"/>
                <w:sz w:val="24"/>
              </w:rPr>
              <w:t>4.42</w:t>
            </w:r>
          </w:p>
        </w:tc>
      </w:tr>
      <w:tr w:rsidR="004A4B7D">
        <w:trPr>
          <w:jc w:val="center"/>
        </w:trPr>
        <w:tc>
          <w:tcPr>
            <w:tcW w:w="817" w:type="dxa"/>
            <w:vAlign w:val="center"/>
          </w:tcPr>
          <w:p w:rsidR="004A4B7D" w:rsidRDefault="00B235F4">
            <w:pPr>
              <w:jc w:val="center"/>
            </w:pPr>
            <w:r>
              <w:rPr>
                <w:color w:val="000000"/>
                <w:sz w:val="24"/>
              </w:rPr>
              <w:t>9</w:t>
            </w:r>
          </w:p>
        </w:tc>
        <w:tc>
          <w:tcPr>
            <w:tcW w:w="1276" w:type="dxa"/>
            <w:vAlign w:val="center"/>
          </w:tcPr>
          <w:p w:rsidR="004A4B7D" w:rsidRDefault="00B235F4">
            <w:pPr>
              <w:jc w:val="center"/>
            </w:pPr>
            <w:r>
              <w:rPr>
                <w:color w:val="000000"/>
                <w:sz w:val="24"/>
              </w:rPr>
              <w:t>000821</w:t>
            </w:r>
          </w:p>
        </w:tc>
        <w:tc>
          <w:tcPr>
            <w:tcW w:w="1701" w:type="dxa"/>
            <w:vAlign w:val="center"/>
          </w:tcPr>
          <w:p w:rsidR="004A4B7D" w:rsidRDefault="00B235F4">
            <w:pPr>
              <w:jc w:val="center"/>
            </w:pPr>
            <w:r>
              <w:rPr>
                <w:color w:val="000000"/>
                <w:sz w:val="24"/>
              </w:rPr>
              <w:t>京山轻机</w:t>
            </w:r>
          </w:p>
        </w:tc>
        <w:tc>
          <w:tcPr>
            <w:tcW w:w="1559" w:type="dxa"/>
            <w:vAlign w:val="center"/>
          </w:tcPr>
          <w:p w:rsidR="004A4B7D" w:rsidRDefault="00B235F4">
            <w:pPr>
              <w:jc w:val="right"/>
            </w:pPr>
            <w:r>
              <w:rPr>
                <w:color w:val="000000"/>
                <w:sz w:val="24"/>
              </w:rPr>
              <w:t>375,200</w:t>
            </w:r>
          </w:p>
        </w:tc>
        <w:tc>
          <w:tcPr>
            <w:tcW w:w="1701" w:type="dxa"/>
            <w:vAlign w:val="center"/>
          </w:tcPr>
          <w:p w:rsidR="004A4B7D" w:rsidRDefault="00B235F4">
            <w:pPr>
              <w:jc w:val="right"/>
            </w:pPr>
            <w:r>
              <w:rPr>
                <w:color w:val="000000"/>
                <w:sz w:val="24"/>
              </w:rPr>
              <w:t>5,755,568.00</w:t>
            </w:r>
          </w:p>
        </w:tc>
        <w:tc>
          <w:tcPr>
            <w:tcW w:w="1843" w:type="dxa"/>
            <w:vAlign w:val="center"/>
          </w:tcPr>
          <w:p w:rsidR="004A4B7D" w:rsidRDefault="00B235F4">
            <w:pPr>
              <w:jc w:val="right"/>
            </w:pPr>
            <w:r>
              <w:rPr>
                <w:color w:val="000000"/>
                <w:sz w:val="24"/>
              </w:rPr>
              <w:t>3.98</w:t>
            </w:r>
          </w:p>
        </w:tc>
      </w:tr>
      <w:tr w:rsidR="004A4B7D">
        <w:trPr>
          <w:jc w:val="center"/>
        </w:trPr>
        <w:tc>
          <w:tcPr>
            <w:tcW w:w="817" w:type="dxa"/>
            <w:vAlign w:val="center"/>
          </w:tcPr>
          <w:p w:rsidR="004A4B7D" w:rsidRDefault="00B235F4">
            <w:pPr>
              <w:jc w:val="center"/>
            </w:pPr>
            <w:r>
              <w:rPr>
                <w:color w:val="000000"/>
                <w:sz w:val="24"/>
              </w:rPr>
              <w:t>10</w:t>
            </w:r>
          </w:p>
        </w:tc>
        <w:tc>
          <w:tcPr>
            <w:tcW w:w="1276" w:type="dxa"/>
            <w:vAlign w:val="center"/>
          </w:tcPr>
          <w:p w:rsidR="004A4B7D" w:rsidRDefault="00B235F4">
            <w:pPr>
              <w:jc w:val="center"/>
            </w:pPr>
            <w:r>
              <w:rPr>
                <w:color w:val="000000"/>
                <w:sz w:val="24"/>
              </w:rPr>
              <w:t>600233</w:t>
            </w:r>
          </w:p>
        </w:tc>
        <w:tc>
          <w:tcPr>
            <w:tcW w:w="1701" w:type="dxa"/>
            <w:vAlign w:val="center"/>
          </w:tcPr>
          <w:p w:rsidR="004A4B7D" w:rsidRDefault="00B235F4">
            <w:pPr>
              <w:jc w:val="center"/>
            </w:pPr>
            <w:r>
              <w:rPr>
                <w:color w:val="000000"/>
                <w:sz w:val="24"/>
              </w:rPr>
              <w:t>圆通速递</w:t>
            </w:r>
          </w:p>
        </w:tc>
        <w:tc>
          <w:tcPr>
            <w:tcW w:w="1559" w:type="dxa"/>
            <w:vAlign w:val="center"/>
          </w:tcPr>
          <w:p w:rsidR="004A4B7D" w:rsidRDefault="00B235F4">
            <w:pPr>
              <w:jc w:val="right"/>
            </w:pPr>
            <w:r>
              <w:rPr>
                <w:color w:val="000000"/>
                <w:sz w:val="24"/>
              </w:rPr>
              <w:t>183,306</w:t>
            </w:r>
          </w:p>
        </w:tc>
        <w:tc>
          <w:tcPr>
            <w:tcW w:w="1701" w:type="dxa"/>
            <w:vAlign w:val="center"/>
          </w:tcPr>
          <w:p w:rsidR="004A4B7D" w:rsidRDefault="00B235F4">
            <w:pPr>
              <w:jc w:val="right"/>
            </w:pPr>
            <w:r>
              <w:rPr>
                <w:color w:val="000000"/>
                <w:sz w:val="24"/>
              </w:rPr>
              <w:t>4,672,469.94</w:t>
            </w:r>
          </w:p>
        </w:tc>
        <w:tc>
          <w:tcPr>
            <w:tcW w:w="1843" w:type="dxa"/>
            <w:vAlign w:val="center"/>
          </w:tcPr>
          <w:p w:rsidR="004A4B7D" w:rsidRDefault="00B235F4">
            <w:pPr>
              <w:jc w:val="right"/>
            </w:pPr>
            <w:r>
              <w:rPr>
                <w:color w:val="000000"/>
                <w:sz w:val="24"/>
              </w:rPr>
              <w:t>3.23</w:t>
            </w:r>
          </w:p>
        </w:tc>
      </w:tr>
    </w:tbl>
    <w:p w:rsidR="001A59F9" w:rsidRPr="00A20DFB" w:rsidRDefault="001A59F9" w:rsidP="00016A50">
      <w:pPr>
        <w:tabs>
          <w:tab w:val="left" w:pos="426"/>
        </w:tabs>
        <w:spacing w:line="360" w:lineRule="auto"/>
        <w:jc w:val="left"/>
        <w:rPr>
          <w:kern w:val="0"/>
          <w:sz w:val="24"/>
        </w:rPr>
      </w:pPr>
      <w:r w:rsidRPr="00A20DFB">
        <w:rPr>
          <w:kern w:val="0"/>
          <w:sz w:val="24"/>
        </w:rPr>
        <w:t>注：投资者欲了解本报告期末基金投资的所有股票明细，应阅读登载于基金管理人网站的年度报告正文。</w:t>
      </w:r>
    </w:p>
    <w:p w:rsidR="00A20DFB" w:rsidRPr="00C51C77" w:rsidRDefault="00A20DFB" w:rsidP="00016A50">
      <w:pPr>
        <w:tabs>
          <w:tab w:val="left" w:pos="426"/>
        </w:tabs>
        <w:spacing w:line="360" w:lineRule="auto"/>
        <w:jc w:val="left"/>
        <w:rPr>
          <w:rFonts w:asciiTheme="minorEastAsia" w:eastAsiaTheme="minorEastAsia" w:hAnsiTheme="minorEastAsia" w:cs="宋体"/>
          <w:kern w:val="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68" w:name="_Toc361324882"/>
      <w:r w:rsidRPr="00245C29">
        <w:rPr>
          <w:rFonts w:ascii="Times New Roman" w:hAnsi="Times New Roman"/>
          <w:kern w:val="0"/>
          <w:szCs w:val="24"/>
        </w:rPr>
        <w:t>8.4</w:t>
      </w:r>
      <w:bookmarkStart w:id="69" w:name="_Toc234814103"/>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报告期内股票投资组合的重大变动</w:t>
      </w:r>
      <w:bookmarkEnd w:id="68"/>
      <w:bookmarkEnd w:id="69"/>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8.4.1</w:t>
      </w:r>
      <w:r w:rsidR="00024200" w:rsidRPr="00245C29">
        <w:rPr>
          <w:rFonts w:ascii="Times New Roman" w:hAnsi="Times New Roman" w:hint="eastAsia"/>
          <w:kern w:val="0"/>
          <w:szCs w:val="24"/>
        </w:rPr>
        <w:t xml:space="preserve"> </w:t>
      </w:r>
      <w:r w:rsidRPr="00245C29">
        <w:rPr>
          <w:rFonts w:ascii="Times New Roman" w:hAnsi="Times New Roman" w:hint="eastAsia"/>
          <w:kern w:val="0"/>
          <w:szCs w:val="24"/>
        </w:rPr>
        <w:t>累计买入金额超出</w:t>
      </w:r>
      <w:r w:rsidR="006A7E68" w:rsidRPr="00245C29">
        <w:rPr>
          <w:rFonts w:ascii="Times New Roman" w:hAnsi="Times New Roman" w:hint="eastAsia"/>
          <w:kern w:val="0"/>
          <w:szCs w:val="24"/>
        </w:rPr>
        <w:t>期</w:t>
      </w:r>
      <w:proofErr w:type="gramStart"/>
      <w:r w:rsidR="006A7E68" w:rsidRPr="00245C29">
        <w:rPr>
          <w:rFonts w:ascii="Times New Roman" w:hAnsi="Times New Roman" w:hint="eastAsia"/>
          <w:kern w:val="0"/>
          <w:szCs w:val="24"/>
        </w:rPr>
        <w:t>初</w:t>
      </w:r>
      <w:r w:rsidRPr="00245C29">
        <w:rPr>
          <w:rFonts w:ascii="Times New Roman" w:hAnsi="Times New Roman" w:hint="eastAsia"/>
          <w:kern w:val="0"/>
          <w:szCs w:val="24"/>
        </w:rPr>
        <w:t>基金</w:t>
      </w:r>
      <w:proofErr w:type="gramEnd"/>
      <w:r w:rsidRPr="00245C29">
        <w:rPr>
          <w:rFonts w:ascii="Times New Roman" w:hAnsi="Times New Roman" w:hint="eastAsia"/>
          <w:kern w:val="0"/>
          <w:szCs w:val="24"/>
        </w:rPr>
        <w:t>资产净值</w:t>
      </w:r>
      <w:r w:rsidR="006073BA" w:rsidRPr="00245C29">
        <w:rPr>
          <w:rFonts w:ascii="Times New Roman" w:hAnsi="Times New Roman"/>
          <w:kern w:val="0"/>
          <w:szCs w:val="24"/>
        </w:rPr>
        <w:t>2</w:t>
      </w:r>
      <w:r w:rsidR="006073BA" w:rsidRPr="00245C29">
        <w:rPr>
          <w:rFonts w:ascii="Times New Roman" w:hAnsi="Times New Roman"/>
          <w:kern w:val="0"/>
          <w:szCs w:val="24"/>
        </w:rPr>
        <w:t>％</w:t>
      </w:r>
      <w:r w:rsidRPr="00245C29">
        <w:rPr>
          <w:rFonts w:ascii="Times New Roman" w:hAnsi="Times New Roman" w:hint="eastAsia"/>
          <w:kern w:val="0"/>
          <w:szCs w:val="24"/>
        </w:rPr>
        <w:t>或前</w:t>
      </w:r>
      <w:r w:rsidRPr="00245C29">
        <w:rPr>
          <w:rFonts w:ascii="Times New Roman" w:hAnsi="Times New Roman"/>
          <w:kern w:val="0"/>
          <w:szCs w:val="24"/>
        </w:rPr>
        <w:t>20</w:t>
      </w:r>
      <w:r w:rsidRPr="00245C29">
        <w:rPr>
          <w:rFonts w:ascii="Times New Roman" w:hAnsi="Times New Roman" w:hint="eastAsia"/>
          <w:kern w:val="0"/>
          <w:szCs w:val="24"/>
        </w:rPr>
        <w:t>名的股票明细</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C51C77" w:rsidTr="006D141C">
        <w:tc>
          <w:tcPr>
            <w:tcW w:w="87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序号</w:t>
            </w:r>
          </w:p>
        </w:tc>
        <w:tc>
          <w:tcPr>
            <w:tcW w:w="165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股票代码</w:t>
            </w:r>
          </w:p>
        </w:tc>
        <w:tc>
          <w:tcPr>
            <w:tcW w:w="19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股票名称</w:t>
            </w:r>
          </w:p>
        </w:tc>
        <w:tc>
          <w:tcPr>
            <w:tcW w:w="28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本期累计买入金额</w:t>
            </w:r>
          </w:p>
        </w:tc>
        <w:tc>
          <w:tcPr>
            <w:tcW w:w="162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占</w:t>
            </w:r>
            <w:r w:rsidR="006A7E68" w:rsidRPr="00C234F0">
              <w:rPr>
                <w:rFonts w:hint="eastAsia"/>
                <w:color w:val="000000"/>
                <w:sz w:val="24"/>
              </w:rPr>
              <w:t>期</w:t>
            </w:r>
            <w:proofErr w:type="gramStart"/>
            <w:r w:rsidR="006A7E68" w:rsidRPr="00C234F0">
              <w:rPr>
                <w:rFonts w:hint="eastAsia"/>
                <w:color w:val="000000"/>
                <w:sz w:val="24"/>
              </w:rPr>
              <w:t>初</w:t>
            </w:r>
            <w:r w:rsidRPr="00C234F0">
              <w:rPr>
                <w:rFonts w:hint="eastAsia"/>
                <w:color w:val="000000"/>
                <w:sz w:val="24"/>
              </w:rPr>
              <w:t>基金</w:t>
            </w:r>
            <w:proofErr w:type="gramEnd"/>
            <w:r w:rsidRPr="00C234F0">
              <w:rPr>
                <w:rFonts w:hint="eastAsia"/>
                <w:color w:val="000000"/>
                <w:sz w:val="24"/>
              </w:rPr>
              <w:t>资产净值比例（％）</w:t>
            </w:r>
          </w:p>
        </w:tc>
      </w:tr>
      <w:tr w:rsidR="004A4B7D">
        <w:tc>
          <w:tcPr>
            <w:tcW w:w="870" w:type="dxa"/>
            <w:vAlign w:val="center"/>
          </w:tcPr>
          <w:p w:rsidR="004A4B7D" w:rsidRDefault="00B235F4">
            <w:pPr>
              <w:jc w:val="center"/>
            </w:pPr>
            <w:r>
              <w:rPr>
                <w:color w:val="000000"/>
                <w:sz w:val="24"/>
              </w:rPr>
              <w:t>1</w:t>
            </w:r>
          </w:p>
        </w:tc>
        <w:tc>
          <w:tcPr>
            <w:tcW w:w="1650" w:type="dxa"/>
            <w:vAlign w:val="center"/>
          </w:tcPr>
          <w:p w:rsidR="004A4B7D" w:rsidRDefault="00B235F4">
            <w:pPr>
              <w:jc w:val="center"/>
            </w:pPr>
            <w:r>
              <w:rPr>
                <w:color w:val="000000"/>
                <w:sz w:val="24"/>
              </w:rPr>
              <w:t>300458</w:t>
            </w:r>
          </w:p>
        </w:tc>
        <w:tc>
          <w:tcPr>
            <w:tcW w:w="1980" w:type="dxa"/>
            <w:vAlign w:val="center"/>
          </w:tcPr>
          <w:p w:rsidR="004A4B7D" w:rsidRDefault="00B235F4">
            <w:pPr>
              <w:jc w:val="center"/>
            </w:pPr>
            <w:r>
              <w:rPr>
                <w:color w:val="000000"/>
                <w:sz w:val="24"/>
              </w:rPr>
              <w:t>全志科技</w:t>
            </w:r>
          </w:p>
        </w:tc>
        <w:tc>
          <w:tcPr>
            <w:tcW w:w="2880" w:type="dxa"/>
            <w:vAlign w:val="center"/>
          </w:tcPr>
          <w:p w:rsidR="004A4B7D" w:rsidRDefault="00B235F4">
            <w:pPr>
              <w:jc w:val="right"/>
            </w:pPr>
            <w:r>
              <w:rPr>
                <w:color w:val="000000"/>
                <w:sz w:val="24"/>
              </w:rPr>
              <w:t>21,561,734.53</w:t>
            </w:r>
          </w:p>
        </w:tc>
        <w:tc>
          <w:tcPr>
            <w:tcW w:w="1620" w:type="dxa"/>
            <w:vAlign w:val="center"/>
          </w:tcPr>
          <w:p w:rsidR="004A4B7D" w:rsidRDefault="00B235F4">
            <w:pPr>
              <w:jc w:val="right"/>
            </w:pPr>
            <w:r>
              <w:rPr>
                <w:color w:val="000000"/>
                <w:sz w:val="24"/>
              </w:rPr>
              <w:t>17.37</w:t>
            </w:r>
          </w:p>
        </w:tc>
      </w:tr>
      <w:tr w:rsidR="004A4B7D">
        <w:tc>
          <w:tcPr>
            <w:tcW w:w="870" w:type="dxa"/>
            <w:vAlign w:val="center"/>
          </w:tcPr>
          <w:p w:rsidR="004A4B7D" w:rsidRDefault="00B235F4">
            <w:pPr>
              <w:jc w:val="center"/>
            </w:pPr>
            <w:r>
              <w:rPr>
                <w:color w:val="000000"/>
                <w:sz w:val="24"/>
              </w:rPr>
              <w:t>2</w:t>
            </w:r>
          </w:p>
        </w:tc>
        <w:tc>
          <w:tcPr>
            <w:tcW w:w="1650" w:type="dxa"/>
            <w:vAlign w:val="center"/>
          </w:tcPr>
          <w:p w:rsidR="004A4B7D" w:rsidRDefault="00B235F4">
            <w:pPr>
              <w:jc w:val="center"/>
            </w:pPr>
            <w:r>
              <w:rPr>
                <w:color w:val="000000"/>
                <w:sz w:val="24"/>
              </w:rPr>
              <w:t>002120</w:t>
            </w:r>
          </w:p>
        </w:tc>
        <w:tc>
          <w:tcPr>
            <w:tcW w:w="1980" w:type="dxa"/>
            <w:vAlign w:val="center"/>
          </w:tcPr>
          <w:p w:rsidR="004A4B7D" w:rsidRDefault="00B235F4">
            <w:pPr>
              <w:jc w:val="center"/>
            </w:pPr>
            <w:r>
              <w:rPr>
                <w:color w:val="000000"/>
                <w:sz w:val="24"/>
              </w:rPr>
              <w:t>新</w:t>
            </w:r>
            <w:proofErr w:type="gramStart"/>
            <w:r>
              <w:rPr>
                <w:color w:val="000000"/>
                <w:sz w:val="24"/>
              </w:rPr>
              <w:t>海股份</w:t>
            </w:r>
            <w:proofErr w:type="gramEnd"/>
          </w:p>
        </w:tc>
        <w:tc>
          <w:tcPr>
            <w:tcW w:w="2880" w:type="dxa"/>
            <w:vAlign w:val="center"/>
          </w:tcPr>
          <w:p w:rsidR="004A4B7D" w:rsidRDefault="00B235F4">
            <w:pPr>
              <w:jc w:val="right"/>
            </w:pPr>
            <w:r>
              <w:rPr>
                <w:color w:val="000000"/>
                <w:sz w:val="24"/>
              </w:rPr>
              <w:t>18,785,492.00</w:t>
            </w:r>
          </w:p>
        </w:tc>
        <w:tc>
          <w:tcPr>
            <w:tcW w:w="1620" w:type="dxa"/>
            <w:vAlign w:val="center"/>
          </w:tcPr>
          <w:p w:rsidR="004A4B7D" w:rsidRDefault="00B235F4">
            <w:pPr>
              <w:jc w:val="right"/>
            </w:pPr>
            <w:r>
              <w:rPr>
                <w:color w:val="000000"/>
                <w:sz w:val="24"/>
              </w:rPr>
              <w:t>15.14</w:t>
            </w:r>
          </w:p>
        </w:tc>
      </w:tr>
      <w:tr w:rsidR="004A4B7D">
        <w:tc>
          <w:tcPr>
            <w:tcW w:w="870" w:type="dxa"/>
            <w:vAlign w:val="center"/>
          </w:tcPr>
          <w:p w:rsidR="004A4B7D" w:rsidRDefault="00B235F4">
            <w:pPr>
              <w:jc w:val="center"/>
            </w:pPr>
            <w:r>
              <w:rPr>
                <w:color w:val="000000"/>
                <w:sz w:val="24"/>
              </w:rPr>
              <w:t>3</w:t>
            </w:r>
          </w:p>
        </w:tc>
        <w:tc>
          <w:tcPr>
            <w:tcW w:w="1650" w:type="dxa"/>
            <w:vAlign w:val="center"/>
          </w:tcPr>
          <w:p w:rsidR="004A4B7D" w:rsidRDefault="00B235F4">
            <w:pPr>
              <w:jc w:val="center"/>
            </w:pPr>
            <w:r>
              <w:rPr>
                <w:color w:val="000000"/>
                <w:sz w:val="24"/>
              </w:rPr>
              <w:t>002180</w:t>
            </w:r>
          </w:p>
        </w:tc>
        <w:tc>
          <w:tcPr>
            <w:tcW w:w="1980" w:type="dxa"/>
            <w:vAlign w:val="center"/>
          </w:tcPr>
          <w:p w:rsidR="004A4B7D" w:rsidRDefault="00B235F4">
            <w:pPr>
              <w:jc w:val="center"/>
            </w:pPr>
            <w:r>
              <w:rPr>
                <w:color w:val="000000"/>
                <w:sz w:val="24"/>
              </w:rPr>
              <w:t>艾派克</w:t>
            </w:r>
          </w:p>
        </w:tc>
        <w:tc>
          <w:tcPr>
            <w:tcW w:w="2880" w:type="dxa"/>
            <w:vAlign w:val="center"/>
          </w:tcPr>
          <w:p w:rsidR="004A4B7D" w:rsidRDefault="00B235F4">
            <w:pPr>
              <w:jc w:val="right"/>
            </w:pPr>
            <w:r>
              <w:rPr>
                <w:color w:val="000000"/>
                <w:sz w:val="24"/>
              </w:rPr>
              <w:t>16,420,188.84</w:t>
            </w:r>
          </w:p>
        </w:tc>
        <w:tc>
          <w:tcPr>
            <w:tcW w:w="1620" w:type="dxa"/>
            <w:vAlign w:val="center"/>
          </w:tcPr>
          <w:p w:rsidR="004A4B7D" w:rsidRDefault="00B235F4">
            <w:pPr>
              <w:jc w:val="right"/>
            </w:pPr>
            <w:r>
              <w:rPr>
                <w:color w:val="000000"/>
                <w:sz w:val="24"/>
              </w:rPr>
              <w:t>13.23</w:t>
            </w:r>
          </w:p>
        </w:tc>
      </w:tr>
      <w:tr w:rsidR="004A4B7D">
        <w:tc>
          <w:tcPr>
            <w:tcW w:w="870" w:type="dxa"/>
            <w:vAlign w:val="center"/>
          </w:tcPr>
          <w:p w:rsidR="004A4B7D" w:rsidRDefault="00B235F4">
            <w:pPr>
              <w:jc w:val="center"/>
            </w:pPr>
            <w:r>
              <w:rPr>
                <w:color w:val="000000"/>
                <w:sz w:val="24"/>
              </w:rPr>
              <w:t>4</w:t>
            </w:r>
          </w:p>
        </w:tc>
        <w:tc>
          <w:tcPr>
            <w:tcW w:w="1650" w:type="dxa"/>
            <w:vAlign w:val="center"/>
          </w:tcPr>
          <w:p w:rsidR="004A4B7D" w:rsidRDefault="00B235F4">
            <w:pPr>
              <w:jc w:val="center"/>
            </w:pPr>
            <w:r>
              <w:rPr>
                <w:color w:val="000000"/>
                <w:sz w:val="24"/>
              </w:rPr>
              <w:t>600500</w:t>
            </w:r>
          </w:p>
        </w:tc>
        <w:tc>
          <w:tcPr>
            <w:tcW w:w="1980" w:type="dxa"/>
            <w:vAlign w:val="center"/>
          </w:tcPr>
          <w:p w:rsidR="004A4B7D" w:rsidRDefault="00B235F4">
            <w:pPr>
              <w:jc w:val="center"/>
            </w:pPr>
            <w:r>
              <w:rPr>
                <w:color w:val="000000"/>
                <w:sz w:val="24"/>
              </w:rPr>
              <w:t>中化国际</w:t>
            </w:r>
          </w:p>
        </w:tc>
        <w:tc>
          <w:tcPr>
            <w:tcW w:w="2880" w:type="dxa"/>
            <w:vAlign w:val="center"/>
          </w:tcPr>
          <w:p w:rsidR="004A4B7D" w:rsidRDefault="00B235F4">
            <w:pPr>
              <w:jc w:val="right"/>
            </w:pPr>
            <w:r>
              <w:rPr>
                <w:color w:val="000000"/>
                <w:sz w:val="24"/>
              </w:rPr>
              <w:t>14,445,997.06</w:t>
            </w:r>
          </w:p>
        </w:tc>
        <w:tc>
          <w:tcPr>
            <w:tcW w:w="1620" w:type="dxa"/>
            <w:vAlign w:val="center"/>
          </w:tcPr>
          <w:p w:rsidR="004A4B7D" w:rsidRDefault="00B235F4">
            <w:pPr>
              <w:jc w:val="right"/>
            </w:pPr>
            <w:r>
              <w:rPr>
                <w:color w:val="000000"/>
                <w:sz w:val="24"/>
              </w:rPr>
              <w:t>11.64</w:t>
            </w:r>
          </w:p>
        </w:tc>
      </w:tr>
      <w:tr w:rsidR="004A4B7D">
        <w:tc>
          <w:tcPr>
            <w:tcW w:w="870" w:type="dxa"/>
            <w:vAlign w:val="center"/>
          </w:tcPr>
          <w:p w:rsidR="004A4B7D" w:rsidRDefault="00B235F4">
            <w:pPr>
              <w:jc w:val="center"/>
            </w:pPr>
            <w:r>
              <w:rPr>
                <w:color w:val="000000"/>
                <w:sz w:val="24"/>
              </w:rPr>
              <w:t>5</w:t>
            </w:r>
          </w:p>
        </w:tc>
        <w:tc>
          <w:tcPr>
            <w:tcW w:w="1650" w:type="dxa"/>
            <w:vAlign w:val="center"/>
          </w:tcPr>
          <w:p w:rsidR="004A4B7D" w:rsidRDefault="00B235F4">
            <w:pPr>
              <w:jc w:val="center"/>
            </w:pPr>
            <w:r>
              <w:rPr>
                <w:color w:val="000000"/>
                <w:sz w:val="24"/>
              </w:rPr>
              <w:t>600389</w:t>
            </w:r>
          </w:p>
        </w:tc>
        <w:tc>
          <w:tcPr>
            <w:tcW w:w="1980" w:type="dxa"/>
            <w:vAlign w:val="center"/>
          </w:tcPr>
          <w:p w:rsidR="004A4B7D" w:rsidRDefault="00B235F4">
            <w:pPr>
              <w:jc w:val="center"/>
            </w:pPr>
            <w:r>
              <w:rPr>
                <w:color w:val="000000"/>
                <w:sz w:val="24"/>
              </w:rPr>
              <w:t>江山股份</w:t>
            </w:r>
          </w:p>
        </w:tc>
        <w:tc>
          <w:tcPr>
            <w:tcW w:w="2880" w:type="dxa"/>
            <w:vAlign w:val="center"/>
          </w:tcPr>
          <w:p w:rsidR="004A4B7D" w:rsidRDefault="00B235F4">
            <w:pPr>
              <w:jc w:val="right"/>
            </w:pPr>
            <w:r>
              <w:rPr>
                <w:color w:val="000000"/>
                <w:sz w:val="24"/>
              </w:rPr>
              <w:t>12,591,024.01</w:t>
            </w:r>
          </w:p>
        </w:tc>
        <w:tc>
          <w:tcPr>
            <w:tcW w:w="1620" w:type="dxa"/>
            <w:vAlign w:val="center"/>
          </w:tcPr>
          <w:p w:rsidR="004A4B7D" w:rsidRDefault="00B235F4">
            <w:pPr>
              <w:jc w:val="right"/>
            </w:pPr>
            <w:r>
              <w:rPr>
                <w:color w:val="000000"/>
                <w:sz w:val="24"/>
              </w:rPr>
              <w:t>10.15</w:t>
            </w:r>
          </w:p>
        </w:tc>
      </w:tr>
      <w:tr w:rsidR="004A4B7D">
        <w:tc>
          <w:tcPr>
            <w:tcW w:w="870" w:type="dxa"/>
            <w:vAlign w:val="center"/>
          </w:tcPr>
          <w:p w:rsidR="004A4B7D" w:rsidRDefault="00B235F4">
            <w:pPr>
              <w:jc w:val="center"/>
            </w:pPr>
            <w:r>
              <w:rPr>
                <w:color w:val="000000"/>
                <w:sz w:val="24"/>
              </w:rPr>
              <w:t>6</w:t>
            </w:r>
          </w:p>
        </w:tc>
        <w:tc>
          <w:tcPr>
            <w:tcW w:w="1650" w:type="dxa"/>
            <w:vAlign w:val="center"/>
          </w:tcPr>
          <w:p w:rsidR="004A4B7D" w:rsidRDefault="00B235F4">
            <w:pPr>
              <w:jc w:val="center"/>
            </w:pPr>
            <w:r>
              <w:rPr>
                <w:color w:val="000000"/>
                <w:sz w:val="24"/>
              </w:rPr>
              <w:t>600967</w:t>
            </w:r>
          </w:p>
        </w:tc>
        <w:tc>
          <w:tcPr>
            <w:tcW w:w="1980" w:type="dxa"/>
            <w:vAlign w:val="center"/>
          </w:tcPr>
          <w:p w:rsidR="004A4B7D" w:rsidRDefault="00B235F4">
            <w:pPr>
              <w:jc w:val="center"/>
            </w:pPr>
            <w:r>
              <w:rPr>
                <w:color w:val="000000"/>
                <w:sz w:val="24"/>
              </w:rPr>
              <w:t>北方创业</w:t>
            </w:r>
          </w:p>
        </w:tc>
        <w:tc>
          <w:tcPr>
            <w:tcW w:w="2880" w:type="dxa"/>
            <w:vAlign w:val="center"/>
          </w:tcPr>
          <w:p w:rsidR="004A4B7D" w:rsidRDefault="00B235F4">
            <w:pPr>
              <w:jc w:val="right"/>
            </w:pPr>
            <w:r>
              <w:rPr>
                <w:color w:val="000000"/>
                <w:sz w:val="24"/>
              </w:rPr>
              <w:t>7,060,165.00</w:t>
            </w:r>
          </w:p>
        </w:tc>
        <w:tc>
          <w:tcPr>
            <w:tcW w:w="1620" w:type="dxa"/>
            <w:vAlign w:val="center"/>
          </w:tcPr>
          <w:p w:rsidR="004A4B7D" w:rsidRDefault="00B235F4">
            <w:pPr>
              <w:jc w:val="right"/>
            </w:pPr>
            <w:r>
              <w:rPr>
                <w:color w:val="000000"/>
                <w:sz w:val="24"/>
              </w:rPr>
              <w:t>5.69</w:t>
            </w:r>
          </w:p>
        </w:tc>
      </w:tr>
      <w:tr w:rsidR="004A4B7D">
        <w:tc>
          <w:tcPr>
            <w:tcW w:w="870" w:type="dxa"/>
            <w:vAlign w:val="center"/>
          </w:tcPr>
          <w:p w:rsidR="004A4B7D" w:rsidRDefault="00B235F4">
            <w:pPr>
              <w:jc w:val="center"/>
            </w:pPr>
            <w:r>
              <w:rPr>
                <w:color w:val="000000"/>
                <w:sz w:val="24"/>
              </w:rPr>
              <w:t>7</w:t>
            </w:r>
          </w:p>
        </w:tc>
        <w:tc>
          <w:tcPr>
            <w:tcW w:w="1650" w:type="dxa"/>
            <w:vAlign w:val="center"/>
          </w:tcPr>
          <w:p w:rsidR="004A4B7D" w:rsidRDefault="00B235F4">
            <w:pPr>
              <w:jc w:val="center"/>
            </w:pPr>
            <w:r>
              <w:rPr>
                <w:color w:val="000000"/>
                <w:sz w:val="24"/>
              </w:rPr>
              <w:t>300129</w:t>
            </w:r>
          </w:p>
        </w:tc>
        <w:tc>
          <w:tcPr>
            <w:tcW w:w="1980" w:type="dxa"/>
            <w:vAlign w:val="center"/>
          </w:tcPr>
          <w:p w:rsidR="004A4B7D" w:rsidRDefault="00B235F4">
            <w:pPr>
              <w:jc w:val="center"/>
            </w:pPr>
            <w:proofErr w:type="gramStart"/>
            <w:r>
              <w:rPr>
                <w:color w:val="000000"/>
                <w:sz w:val="24"/>
              </w:rPr>
              <w:t>泰胜风能</w:t>
            </w:r>
            <w:proofErr w:type="gramEnd"/>
          </w:p>
        </w:tc>
        <w:tc>
          <w:tcPr>
            <w:tcW w:w="2880" w:type="dxa"/>
            <w:vAlign w:val="center"/>
          </w:tcPr>
          <w:p w:rsidR="004A4B7D" w:rsidRDefault="00B235F4">
            <w:pPr>
              <w:jc w:val="right"/>
            </w:pPr>
            <w:r>
              <w:rPr>
                <w:color w:val="000000"/>
                <w:sz w:val="24"/>
              </w:rPr>
              <w:t>6,408,261.00</w:t>
            </w:r>
          </w:p>
        </w:tc>
        <w:tc>
          <w:tcPr>
            <w:tcW w:w="1620" w:type="dxa"/>
            <w:vAlign w:val="center"/>
          </w:tcPr>
          <w:p w:rsidR="004A4B7D" w:rsidRDefault="00B235F4">
            <w:pPr>
              <w:jc w:val="right"/>
            </w:pPr>
            <w:r>
              <w:rPr>
                <w:color w:val="000000"/>
                <w:sz w:val="24"/>
              </w:rPr>
              <w:t>5.16</w:t>
            </w:r>
          </w:p>
        </w:tc>
      </w:tr>
      <w:tr w:rsidR="004A4B7D">
        <w:tc>
          <w:tcPr>
            <w:tcW w:w="870" w:type="dxa"/>
            <w:vAlign w:val="center"/>
          </w:tcPr>
          <w:p w:rsidR="004A4B7D" w:rsidRDefault="00B235F4">
            <w:pPr>
              <w:jc w:val="center"/>
            </w:pPr>
            <w:r>
              <w:rPr>
                <w:color w:val="000000"/>
                <w:sz w:val="24"/>
              </w:rPr>
              <w:t>8</w:t>
            </w:r>
          </w:p>
        </w:tc>
        <w:tc>
          <w:tcPr>
            <w:tcW w:w="1650" w:type="dxa"/>
            <w:vAlign w:val="center"/>
          </w:tcPr>
          <w:p w:rsidR="004A4B7D" w:rsidRDefault="00B235F4">
            <w:pPr>
              <w:jc w:val="center"/>
            </w:pPr>
            <w:r>
              <w:rPr>
                <w:color w:val="000000"/>
                <w:sz w:val="24"/>
              </w:rPr>
              <w:t>000821</w:t>
            </w:r>
          </w:p>
        </w:tc>
        <w:tc>
          <w:tcPr>
            <w:tcW w:w="1980" w:type="dxa"/>
            <w:vAlign w:val="center"/>
          </w:tcPr>
          <w:p w:rsidR="004A4B7D" w:rsidRDefault="00B235F4">
            <w:pPr>
              <w:jc w:val="center"/>
            </w:pPr>
            <w:r>
              <w:rPr>
                <w:color w:val="000000"/>
                <w:sz w:val="24"/>
              </w:rPr>
              <w:t>京山轻机</w:t>
            </w:r>
          </w:p>
        </w:tc>
        <w:tc>
          <w:tcPr>
            <w:tcW w:w="2880" w:type="dxa"/>
            <w:vAlign w:val="center"/>
          </w:tcPr>
          <w:p w:rsidR="004A4B7D" w:rsidRDefault="00B235F4">
            <w:pPr>
              <w:jc w:val="right"/>
            </w:pPr>
            <w:r>
              <w:rPr>
                <w:color w:val="000000"/>
                <w:sz w:val="24"/>
              </w:rPr>
              <w:t>6,328,434.00</w:t>
            </w:r>
          </w:p>
        </w:tc>
        <w:tc>
          <w:tcPr>
            <w:tcW w:w="1620" w:type="dxa"/>
            <w:vAlign w:val="center"/>
          </w:tcPr>
          <w:p w:rsidR="004A4B7D" w:rsidRDefault="00B235F4">
            <w:pPr>
              <w:jc w:val="right"/>
            </w:pPr>
            <w:r>
              <w:rPr>
                <w:color w:val="000000"/>
                <w:sz w:val="24"/>
              </w:rPr>
              <w:t>5.10</w:t>
            </w:r>
          </w:p>
        </w:tc>
      </w:tr>
      <w:tr w:rsidR="004A4B7D">
        <w:tc>
          <w:tcPr>
            <w:tcW w:w="870" w:type="dxa"/>
            <w:vAlign w:val="center"/>
          </w:tcPr>
          <w:p w:rsidR="004A4B7D" w:rsidRDefault="00B235F4">
            <w:pPr>
              <w:jc w:val="center"/>
            </w:pPr>
            <w:r>
              <w:rPr>
                <w:color w:val="000000"/>
                <w:sz w:val="24"/>
              </w:rPr>
              <w:t>9</w:t>
            </w:r>
          </w:p>
        </w:tc>
        <w:tc>
          <w:tcPr>
            <w:tcW w:w="1650" w:type="dxa"/>
            <w:vAlign w:val="center"/>
          </w:tcPr>
          <w:p w:rsidR="004A4B7D" w:rsidRDefault="00B235F4">
            <w:pPr>
              <w:jc w:val="center"/>
            </w:pPr>
            <w:r>
              <w:rPr>
                <w:color w:val="000000"/>
                <w:sz w:val="24"/>
              </w:rPr>
              <w:t>600233</w:t>
            </w:r>
          </w:p>
        </w:tc>
        <w:tc>
          <w:tcPr>
            <w:tcW w:w="1980" w:type="dxa"/>
            <w:vAlign w:val="center"/>
          </w:tcPr>
          <w:p w:rsidR="004A4B7D" w:rsidRDefault="00B235F4">
            <w:pPr>
              <w:jc w:val="center"/>
            </w:pPr>
            <w:r>
              <w:rPr>
                <w:color w:val="000000"/>
                <w:sz w:val="24"/>
              </w:rPr>
              <w:t>圆通速递</w:t>
            </w:r>
          </w:p>
        </w:tc>
        <w:tc>
          <w:tcPr>
            <w:tcW w:w="2880" w:type="dxa"/>
            <w:vAlign w:val="center"/>
          </w:tcPr>
          <w:p w:rsidR="004A4B7D" w:rsidRDefault="00B235F4">
            <w:pPr>
              <w:jc w:val="right"/>
            </w:pPr>
            <w:r>
              <w:rPr>
                <w:color w:val="000000"/>
                <w:sz w:val="24"/>
              </w:rPr>
              <w:t>5,814,488.00</w:t>
            </w:r>
          </w:p>
        </w:tc>
        <w:tc>
          <w:tcPr>
            <w:tcW w:w="1620" w:type="dxa"/>
            <w:vAlign w:val="center"/>
          </w:tcPr>
          <w:p w:rsidR="004A4B7D" w:rsidRDefault="00B235F4">
            <w:pPr>
              <w:jc w:val="right"/>
            </w:pPr>
            <w:r>
              <w:rPr>
                <w:color w:val="000000"/>
                <w:sz w:val="24"/>
              </w:rPr>
              <w:t>4.69</w:t>
            </w:r>
          </w:p>
        </w:tc>
      </w:tr>
      <w:tr w:rsidR="004A4B7D">
        <w:tc>
          <w:tcPr>
            <w:tcW w:w="870" w:type="dxa"/>
            <w:vAlign w:val="center"/>
          </w:tcPr>
          <w:p w:rsidR="004A4B7D" w:rsidRDefault="00B235F4">
            <w:pPr>
              <w:jc w:val="center"/>
            </w:pPr>
            <w:r>
              <w:rPr>
                <w:color w:val="000000"/>
                <w:sz w:val="24"/>
              </w:rPr>
              <w:t>10</w:t>
            </w:r>
          </w:p>
        </w:tc>
        <w:tc>
          <w:tcPr>
            <w:tcW w:w="1650" w:type="dxa"/>
            <w:vAlign w:val="center"/>
          </w:tcPr>
          <w:p w:rsidR="004A4B7D" w:rsidRDefault="00B235F4">
            <w:pPr>
              <w:jc w:val="center"/>
            </w:pPr>
            <w:r>
              <w:rPr>
                <w:color w:val="000000"/>
                <w:sz w:val="24"/>
              </w:rPr>
              <w:t>300545</w:t>
            </w:r>
          </w:p>
        </w:tc>
        <w:tc>
          <w:tcPr>
            <w:tcW w:w="1980" w:type="dxa"/>
            <w:vAlign w:val="center"/>
          </w:tcPr>
          <w:p w:rsidR="004A4B7D" w:rsidRDefault="00B235F4">
            <w:pPr>
              <w:jc w:val="center"/>
            </w:pPr>
            <w:r>
              <w:rPr>
                <w:color w:val="000000"/>
                <w:sz w:val="24"/>
              </w:rPr>
              <w:t>联得装备</w:t>
            </w:r>
          </w:p>
        </w:tc>
        <w:tc>
          <w:tcPr>
            <w:tcW w:w="2880" w:type="dxa"/>
            <w:vAlign w:val="center"/>
          </w:tcPr>
          <w:p w:rsidR="004A4B7D" w:rsidRDefault="00B235F4">
            <w:pPr>
              <w:jc w:val="right"/>
            </w:pPr>
            <w:r>
              <w:rPr>
                <w:color w:val="000000"/>
                <w:sz w:val="24"/>
              </w:rPr>
              <w:t>4,163,597.00</w:t>
            </w:r>
          </w:p>
        </w:tc>
        <w:tc>
          <w:tcPr>
            <w:tcW w:w="1620" w:type="dxa"/>
            <w:vAlign w:val="center"/>
          </w:tcPr>
          <w:p w:rsidR="004A4B7D" w:rsidRDefault="00B235F4">
            <w:pPr>
              <w:jc w:val="right"/>
            </w:pPr>
            <w:r>
              <w:rPr>
                <w:color w:val="000000"/>
                <w:sz w:val="24"/>
              </w:rPr>
              <w:t>3.36</w:t>
            </w:r>
          </w:p>
        </w:tc>
      </w:tr>
      <w:tr w:rsidR="004A4B7D">
        <w:tc>
          <w:tcPr>
            <w:tcW w:w="870" w:type="dxa"/>
            <w:vAlign w:val="center"/>
          </w:tcPr>
          <w:p w:rsidR="004A4B7D" w:rsidRDefault="00B235F4">
            <w:pPr>
              <w:jc w:val="center"/>
            </w:pPr>
            <w:r>
              <w:rPr>
                <w:color w:val="000000"/>
                <w:sz w:val="24"/>
              </w:rPr>
              <w:t>11</w:t>
            </w:r>
          </w:p>
        </w:tc>
        <w:tc>
          <w:tcPr>
            <w:tcW w:w="1650" w:type="dxa"/>
            <w:vAlign w:val="center"/>
          </w:tcPr>
          <w:p w:rsidR="004A4B7D" w:rsidRDefault="00B235F4">
            <w:pPr>
              <w:jc w:val="center"/>
            </w:pPr>
            <w:r>
              <w:rPr>
                <w:color w:val="000000"/>
                <w:sz w:val="24"/>
              </w:rPr>
              <w:t>002343</w:t>
            </w:r>
          </w:p>
        </w:tc>
        <w:tc>
          <w:tcPr>
            <w:tcW w:w="1980" w:type="dxa"/>
            <w:vAlign w:val="center"/>
          </w:tcPr>
          <w:p w:rsidR="004A4B7D" w:rsidRDefault="00B235F4">
            <w:pPr>
              <w:jc w:val="center"/>
            </w:pPr>
            <w:proofErr w:type="gramStart"/>
            <w:r>
              <w:rPr>
                <w:color w:val="000000"/>
                <w:sz w:val="24"/>
              </w:rPr>
              <w:t>慈文传媒</w:t>
            </w:r>
            <w:proofErr w:type="gramEnd"/>
          </w:p>
        </w:tc>
        <w:tc>
          <w:tcPr>
            <w:tcW w:w="2880" w:type="dxa"/>
            <w:vAlign w:val="center"/>
          </w:tcPr>
          <w:p w:rsidR="004A4B7D" w:rsidRDefault="00B235F4">
            <w:pPr>
              <w:jc w:val="right"/>
            </w:pPr>
            <w:r>
              <w:rPr>
                <w:color w:val="000000"/>
                <w:sz w:val="24"/>
              </w:rPr>
              <w:t>3,637,105.00</w:t>
            </w:r>
          </w:p>
        </w:tc>
        <w:tc>
          <w:tcPr>
            <w:tcW w:w="1620" w:type="dxa"/>
            <w:vAlign w:val="center"/>
          </w:tcPr>
          <w:p w:rsidR="004A4B7D" w:rsidRDefault="00B235F4">
            <w:pPr>
              <w:jc w:val="right"/>
            </w:pPr>
            <w:r>
              <w:rPr>
                <w:color w:val="000000"/>
                <w:sz w:val="24"/>
              </w:rPr>
              <w:t>2.93</w:t>
            </w:r>
          </w:p>
        </w:tc>
      </w:tr>
      <w:tr w:rsidR="004A4B7D">
        <w:tc>
          <w:tcPr>
            <w:tcW w:w="870" w:type="dxa"/>
            <w:vAlign w:val="center"/>
          </w:tcPr>
          <w:p w:rsidR="004A4B7D" w:rsidRDefault="00B235F4">
            <w:pPr>
              <w:jc w:val="center"/>
            </w:pPr>
            <w:r>
              <w:rPr>
                <w:color w:val="000000"/>
                <w:sz w:val="24"/>
              </w:rPr>
              <w:lastRenderedPageBreak/>
              <w:t>12</w:t>
            </w:r>
          </w:p>
        </w:tc>
        <w:tc>
          <w:tcPr>
            <w:tcW w:w="1650" w:type="dxa"/>
            <w:vAlign w:val="center"/>
          </w:tcPr>
          <w:p w:rsidR="004A4B7D" w:rsidRDefault="00B235F4">
            <w:pPr>
              <w:jc w:val="center"/>
            </w:pPr>
            <w:r>
              <w:rPr>
                <w:color w:val="000000"/>
                <w:sz w:val="24"/>
              </w:rPr>
              <w:t>000703</w:t>
            </w:r>
          </w:p>
        </w:tc>
        <w:tc>
          <w:tcPr>
            <w:tcW w:w="1980" w:type="dxa"/>
            <w:vAlign w:val="center"/>
          </w:tcPr>
          <w:p w:rsidR="004A4B7D" w:rsidRDefault="00B235F4">
            <w:pPr>
              <w:jc w:val="center"/>
            </w:pPr>
            <w:proofErr w:type="gramStart"/>
            <w:r>
              <w:rPr>
                <w:color w:val="000000"/>
                <w:sz w:val="24"/>
              </w:rPr>
              <w:t>恒逸石化</w:t>
            </w:r>
            <w:proofErr w:type="gramEnd"/>
          </w:p>
        </w:tc>
        <w:tc>
          <w:tcPr>
            <w:tcW w:w="2880" w:type="dxa"/>
            <w:vAlign w:val="center"/>
          </w:tcPr>
          <w:p w:rsidR="004A4B7D" w:rsidRDefault="00B235F4">
            <w:pPr>
              <w:jc w:val="right"/>
            </w:pPr>
            <w:r>
              <w:rPr>
                <w:color w:val="000000"/>
                <w:sz w:val="24"/>
              </w:rPr>
              <w:t>3,160,259.00</w:t>
            </w:r>
          </w:p>
        </w:tc>
        <w:tc>
          <w:tcPr>
            <w:tcW w:w="1620" w:type="dxa"/>
            <w:vAlign w:val="center"/>
          </w:tcPr>
          <w:p w:rsidR="004A4B7D" w:rsidRDefault="00B235F4">
            <w:pPr>
              <w:jc w:val="right"/>
            </w:pPr>
            <w:r>
              <w:rPr>
                <w:color w:val="000000"/>
                <w:sz w:val="24"/>
              </w:rPr>
              <w:t>2.55</w:t>
            </w:r>
          </w:p>
        </w:tc>
      </w:tr>
      <w:tr w:rsidR="004A4B7D">
        <w:tc>
          <w:tcPr>
            <w:tcW w:w="870" w:type="dxa"/>
            <w:vAlign w:val="center"/>
          </w:tcPr>
          <w:p w:rsidR="004A4B7D" w:rsidRDefault="00B235F4">
            <w:pPr>
              <w:jc w:val="center"/>
            </w:pPr>
            <w:r>
              <w:rPr>
                <w:color w:val="000000"/>
                <w:sz w:val="24"/>
              </w:rPr>
              <w:t>13</w:t>
            </w:r>
          </w:p>
        </w:tc>
        <w:tc>
          <w:tcPr>
            <w:tcW w:w="1650" w:type="dxa"/>
            <w:vAlign w:val="center"/>
          </w:tcPr>
          <w:p w:rsidR="004A4B7D" w:rsidRDefault="00B235F4">
            <w:pPr>
              <w:jc w:val="center"/>
            </w:pPr>
            <w:r>
              <w:rPr>
                <w:color w:val="000000"/>
                <w:sz w:val="24"/>
              </w:rPr>
              <w:t>600166</w:t>
            </w:r>
          </w:p>
        </w:tc>
        <w:tc>
          <w:tcPr>
            <w:tcW w:w="1980" w:type="dxa"/>
            <w:vAlign w:val="center"/>
          </w:tcPr>
          <w:p w:rsidR="004A4B7D" w:rsidRDefault="00B235F4">
            <w:pPr>
              <w:jc w:val="center"/>
            </w:pPr>
            <w:r>
              <w:rPr>
                <w:color w:val="000000"/>
                <w:sz w:val="24"/>
              </w:rPr>
              <w:t>福田汽车</w:t>
            </w:r>
          </w:p>
        </w:tc>
        <w:tc>
          <w:tcPr>
            <w:tcW w:w="2880" w:type="dxa"/>
            <w:vAlign w:val="center"/>
          </w:tcPr>
          <w:p w:rsidR="004A4B7D" w:rsidRDefault="00B235F4">
            <w:pPr>
              <w:jc w:val="right"/>
            </w:pPr>
            <w:r>
              <w:rPr>
                <w:color w:val="000000"/>
                <w:sz w:val="24"/>
              </w:rPr>
              <w:t>2,796,463.00</w:t>
            </w:r>
          </w:p>
        </w:tc>
        <w:tc>
          <w:tcPr>
            <w:tcW w:w="1620" w:type="dxa"/>
            <w:vAlign w:val="center"/>
          </w:tcPr>
          <w:p w:rsidR="004A4B7D" w:rsidRDefault="00B235F4">
            <w:pPr>
              <w:jc w:val="right"/>
            </w:pPr>
            <w:r>
              <w:rPr>
                <w:color w:val="000000"/>
                <w:sz w:val="24"/>
              </w:rPr>
              <w:t>2.25</w:t>
            </w:r>
          </w:p>
        </w:tc>
      </w:tr>
      <w:tr w:rsidR="004A4B7D">
        <w:tc>
          <w:tcPr>
            <w:tcW w:w="870" w:type="dxa"/>
            <w:vAlign w:val="center"/>
          </w:tcPr>
          <w:p w:rsidR="004A4B7D" w:rsidRDefault="00B235F4">
            <w:pPr>
              <w:jc w:val="center"/>
            </w:pPr>
            <w:r>
              <w:rPr>
                <w:color w:val="000000"/>
                <w:sz w:val="24"/>
              </w:rPr>
              <w:t>14</w:t>
            </w:r>
          </w:p>
        </w:tc>
        <w:tc>
          <w:tcPr>
            <w:tcW w:w="1650" w:type="dxa"/>
            <w:vAlign w:val="center"/>
          </w:tcPr>
          <w:p w:rsidR="004A4B7D" w:rsidRDefault="00B235F4">
            <w:pPr>
              <w:jc w:val="center"/>
            </w:pPr>
            <w:r>
              <w:rPr>
                <w:color w:val="000000"/>
                <w:sz w:val="24"/>
              </w:rPr>
              <w:t>603555</w:t>
            </w:r>
          </w:p>
        </w:tc>
        <w:tc>
          <w:tcPr>
            <w:tcW w:w="1980" w:type="dxa"/>
            <w:vAlign w:val="center"/>
          </w:tcPr>
          <w:p w:rsidR="004A4B7D" w:rsidRDefault="00B235F4">
            <w:pPr>
              <w:jc w:val="center"/>
            </w:pPr>
            <w:r>
              <w:rPr>
                <w:color w:val="000000"/>
                <w:sz w:val="24"/>
              </w:rPr>
              <w:t>贵人鸟</w:t>
            </w:r>
          </w:p>
        </w:tc>
        <w:tc>
          <w:tcPr>
            <w:tcW w:w="2880" w:type="dxa"/>
            <w:vAlign w:val="center"/>
          </w:tcPr>
          <w:p w:rsidR="004A4B7D" w:rsidRDefault="00B235F4">
            <w:pPr>
              <w:jc w:val="right"/>
            </w:pPr>
            <w:r>
              <w:rPr>
                <w:color w:val="000000"/>
                <w:sz w:val="24"/>
              </w:rPr>
              <w:t>2,598,517.99</w:t>
            </w:r>
          </w:p>
        </w:tc>
        <w:tc>
          <w:tcPr>
            <w:tcW w:w="1620" w:type="dxa"/>
            <w:vAlign w:val="center"/>
          </w:tcPr>
          <w:p w:rsidR="004A4B7D" w:rsidRDefault="00B235F4">
            <w:pPr>
              <w:jc w:val="right"/>
            </w:pPr>
            <w:r>
              <w:rPr>
                <w:color w:val="000000"/>
                <w:sz w:val="24"/>
              </w:rPr>
              <w:t>2.09</w:t>
            </w:r>
          </w:p>
        </w:tc>
      </w:tr>
      <w:tr w:rsidR="004A4B7D">
        <w:tc>
          <w:tcPr>
            <w:tcW w:w="870" w:type="dxa"/>
            <w:vAlign w:val="center"/>
          </w:tcPr>
          <w:p w:rsidR="004A4B7D" w:rsidRDefault="00B235F4">
            <w:pPr>
              <w:jc w:val="center"/>
            </w:pPr>
            <w:r>
              <w:rPr>
                <w:color w:val="000000"/>
                <w:sz w:val="24"/>
              </w:rPr>
              <w:t>15</w:t>
            </w:r>
          </w:p>
        </w:tc>
        <w:tc>
          <w:tcPr>
            <w:tcW w:w="1650" w:type="dxa"/>
            <w:vAlign w:val="center"/>
          </w:tcPr>
          <w:p w:rsidR="004A4B7D" w:rsidRDefault="00B235F4">
            <w:pPr>
              <w:jc w:val="center"/>
            </w:pPr>
            <w:r>
              <w:rPr>
                <w:color w:val="000000"/>
                <w:sz w:val="24"/>
              </w:rPr>
              <w:t>300567</w:t>
            </w:r>
          </w:p>
        </w:tc>
        <w:tc>
          <w:tcPr>
            <w:tcW w:w="1980" w:type="dxa"/>
            <w:vAlign w:val="center"/>
          </w:tcPr>
          <w:p w:rsidR="004A4B7D" w:rsidRDefault="00B235F4">
            <w:pPr>
              <w:jc w:val="center"/>
            </w:pPr>
            <w:r>
              <w:rPr>
                <w:color w:val="000000"/>
                <w:sz w:val="24"/>
              </w:rPr>
              <w:t>精测电子</w:t>
            </w:r>
          </w:p>
        </w:tc>
        <w:tc>
          <w:tcPr>
            <w:tcW w:w="2880" w:type="dxa"/>
            <w:vAlign w:val="center"/>
          </w:tcPr>
          <w:p w:rsidR="004A4B7D" w:rsidRDefault="00B235F4">
            <w:pPr>
              <w:jc w:val="right"/>
            </w:pPr>
            <w:r>
              <w:rPr>
                <w:color w:val="000000"/>
                <w:sz w:val="24"/>
              </w:rPr>
              <w:t>2,451,028.00</w:t>
            </w:r>
          </w:p>
        </w:tc>
        <w:tc>
          <w:tcPr>
            <w:tcW w:w="1620" w:type="dxa"/>
            <w:vAlign w:val="center"/>
          </w:tcPr>
          <w:p w:rsidR="004A4B7D" w:rsidRDefault="00B235F4">
            <w:pPr>
              <w:jc w:val="right"/>
            </w:pPr>
            <w:r>
              <w:rPr>
                <w:color w:val="000000"/>
                <w:sz w:val="24"/>
              </w:rPr>
              <w:t>1.98</w:t>
            </w:r>
          </w:p>
        </w:tc>
      </w:tr>
      <w:tr w:rsidR="004A4B7D">
        <w:tc>
          <w:tcPr>
            <w:tcW w:w="870" w:type="dxa"/>
            <w:vAlign w:val="center"/>
          </w:tcPr>
          <w:p w:rsidR="004A4B7D" w:rsidRDefault="00B235F4">
            <w:pPr>
              <w:jc w:val="center"/>
            </w:pPr>
            <w:r>
              <w:rPr>
                <w:color w:val="000000"/>
                <w:sz w:val="24"/>
              </w:rPr>
              <w:t>16</w:t>
            </w:r>
          </w:p>
        </w:tc>
        <w:tc>
          <w:tcPr>
            <w:tcW w:w="1650" w:type="dxa"/>
            <w:vAlign w:val="center"/>
          </w:tcPr>
          <w:p w:rsidR="004A4B7D" w:rsidRDefault="00B235F4">
            <w:pPr>
              <w:jc w:val="center"/>
            </w:pPr>
            <w:r>
              <w:rPr>
                <w:color w:val="000000"/>
                <w:sz w:val="24"/>
              </w:rPr>
              <w:t>600688</w:t>
            </w:r>
          </w:p>
        </w:tc>
        <w:tc>
          <w:tcPr>
            <w:tcW w:w="1980" w:type="dxa"/>
            <w:vAlign w:val="center"/>
          </w:tcPr>
          <w:p w:rsidR="004A4B7D" w:rsidRDefault="00B235F4">
            <w:pPr>
              <w:jc w:val="center"/>
            </w:pPr>
            <w:r>
              <w:rPr>
                <w:color w:val="000000"/>
                <w:sz w:val="24"/>
              </w:rPr>
              <w:t>上海石化</w:t>
            </w:r>
          </w:p>
        </w:tc>
        <w:tc>
          <w:tcPr>
            <w:tcW w:w="2880" w:type="dxa"/>
            <w:vAlign w:val="center"/>
          </w:tcPr>
          <w:p w:rsidR="004A4B7D" w:rsidRDefault="00B235F4">
            <w:pPr>
              <w:jc w:val="right"/>
            </w:pPr>
            <w:r>
              <w:rPr>
                <w:color w:val="000000"/>
                <w:sz w:val="24"/>
              </w:rPr>
              <w:t>2,379,063.00</w:t>
            </w:r>
          </w:p>
        </w:tc>
        <w:tc>
          <w:tcPr>
            <w:tcW w:w="1620" w:type="dxa"/>
            <w:vAlign w:val="center"/>
          </w:tcPr>
          <w:p w:rsidR="004A4B7D" w:rsidRDefault="00B235F4">
            <w:pPr>
              <w:jc w:val="right"/>
            </w:pPr>
            <w:r>
              <w:rPr>
                <w:color w:val="000000"/>
                <w:sz w:val="24"/>
              </w:rPr>
              <w:t>1.92</w:t>
            </w:r>
          </w:p>
        </w:tc>
      </w:tr>
      <w:tr w:rsidR="004A4B7D">
        <w:tc>
          <w:tcPr>
            <w:tcW w:w="870" w:type="dxa"/>
            <w:vAlign w:val="center"/>
          </w:tcPr>
          <w:p w:rsidR="004A4B7D" w:rsidRDefault="00B235F4">
            <w:pPr>
              <w:jc w:val="center"/>
            </w:pPr>
            <w:r>
              <w:rPr>
                <w:color w:val="000000"/>
                <w:sz w:val="24"/>
              </w:rPr>
              <w:t>17</w:t>
            </w:r>
          </w:p>
        </w:tc>
        <w:tc>
          <w:tcPr>
            <w:tcW w:w="1650" w:type="dxa"/>
            <w:vAlign w:val="center"/>
          </w:tcPr>
          <w:p w:rsidR="004A4B7D" w:rsidRDefault="00B235F4">
            <w:pPr>
              <w:jc w:val="center"/>
            </w:pPr>
            <w:r>
              <w:rPr>
                <w:color w:val="000000"/>
                <w:sz w:val="24"/>
              </w:rPr>
              <w:t>002375</w:t>
            </w:r>
          </w:p>
        </w:tc>
        <w:tc>
          <w:tcPr>
            <w:tcW w:w="1980" w:type="dxa"/>
            <w:vAlign w:val="center"/>
          </w:tcPr>
          <w:p w:rsidR="004A4B7D" w:rsidRDefault="00B235F4">
            <w:pPr>
              <w:jc w:val="center"/>
            </w:pPr>
            <w:proofErr w:type="gramStart"/>
            <w:r>
              <w:rPr>
                <w:color w:val="000000"/>
                <w:sz w:val="24"/>
              </w:rPr>
              <w:t>亚厦股份</w:t>
            </w:r>
            <w:proofErr w:type="gramEnd"/>
          </w:p>
        </w:tc>
        <w:tc>
          <w:tcPr>
            <w:tcW w:w="2880" w:type="dxa"/>
            <w:vAlign w:val="center"/>
          </w:tcPr>
          <w:p w:rsidR="004A4B7D" w:rsidRDefault="00B235F4">
            <w:pPr>
              <w:jc w:val="right"/>
            </w:pPr>
            <w:r>
              <w:rPr>
                <w:color w:val="000000"/>
                <w:sz w:val="24"/>
              </w:rPr>
              <w:t>2,370,915.00</w:t>
            </w:r>
          </w:p>
        </w:tc>
        <w:tc>
          <w:tcPr>
            <w:tcW w:w="1620" w:type="dxa"/>
            <w:vAlign w:val="center"/>
          </w:tcPr>
          <w:p w:rsidR="004A4B7D" w:rsidRDefault="00B235F4">
            <w:pPr>
              <w:jc w:val="right"/>
            </w:pPr>
            <w:r>
              <w:rPr>
                <w:color w:val="000000"/>
                <w:sz w:val="24"/>
              </w:rPr>
              <w:t>1.91</w:t>
            </w:r>
          </w:p>
        </w:tc>
      </w:tr>
      <w:tr w:rsidR="004A4B7D">
        <w:tc>
          <w:tcPr>
            <w:tcW w:w="870" w:type="dxa"/>
            <w:vAlign w:val="center"/>
          </w:tcPr>
          <w:p w:rsidR="004A4B7D" w:rsidRDefault="00B235F4">
            <w:pPr>
              <w:jc w:val="center"/>
            </w:pPr>
            <w:r>
              <w:rPr>
                <w:color w:val="000000"/>
                <w:sz w:val="24"/>
              </w:rPr>
              <w:t>18</w:t>
            </w:r>
          </w:p>
        </w:tc>
        <w:tc>
          <w:tcPr>
            <w:tcW w:w="1650" w:type="dxa"/>
            <w:vAlign w:val="center"/>
          </w:tcPr>
          <w:p w:rsidR="004A4B7D" w:rsidRDefault="00B235F4">
            <w:pPr>
              <w:jc w:val="center"/>
            </w:pPr>
            <w:r>
              <w:rPr>
                <w:color w:val="000000"/>
                <w:sz w:val="24"/>
              </w:rPr>
              <w:t>600887</w:t>
            </w:r>
          </w:p>
        </w:tc>
        <w:tc>
          <w:tcPr>
            <w:tcW w:w="1980" w:type="dxa"/>
            <w:vAlign w:val="center"/>
          </w:tcPr>
          <w:p w:rsidR="004A4B7D" w:rsidRDefault="00B235F4">
            <w:pPr>
              <w:jc w:val="center"/>
            </w:pPr>
            <w:r>
              <w:rPr>
                <w:color w:val="000000"/>
                <w:sz w:val="24"/>
              </w:rPr>
              <w:t>伊利股份</w:t>
            </w:r>
          </w:p>
        </w:tc>
        <w:tc>
          <w:tcPr>
            <w:tcW w:w="2880" w:type="dxa"/>
            <w:vAlign w:val="center"/>
          </w:tcPr>
          <w:p w:rsidR="004A4B7D" w:rsidRDefault="00B235F4">
            <w:pPr>
              <w:jc w:val="right"/>
            </w:pPr>
            <w:r>
              <w:rPr>
                <w:color w:val="000000"/>
                <w:sz w:val="24"/>
              </w:rPr>
              <w:t>1,911,579.00</w:t>
            </w:r>
          </w:p>
        </w:tc>
        <w:tc>
          <w:tcPr>
            <w:tcW w:w="1620" w:type="dxa"/>
            <w:vAlign w:val="center"/>
          </w:tcPr>
          <w:p w:rsidR="004A4B7D" w:rsidRDefault="00B235F4">
            <w:pPr>
              <w:jc w:val="right"/>
            </w:pPr>
            <w:r>
              <w:rPr>
                <w:color w:val="000000"/>
                <w:sz w:val="24"/>
              </w:rPr>
              <w:t>1.54</w:t>
            </w:r>
          </w:p>
        </w:tc>
      </w:tr>
      <w:tr w:rsidR="004A4B7D">
        <w:tc>
          <w:tcPr>
            <w:tcW w:w="870" w:type="dxa"/>
            <w:vAlign w:val="center"/>
          </w:tcPr>
          <w:p w:rsidR="004A4B7D" w:rsidRDefault="00B235F4">
            <w:pPr>
              <w:jc w:val="center"/>
            </w:pPr>
            <w:r>
              <w:rPr>
                <w:color w:val="000000"/>
                <w:sz w:val="24"/>
              </w:rPr>
              <w:t>19</w:t>
            </w:r>
          </w:p>
        </w:tc>
        <w:tc>
          <w:tcPr>
            <w:tcW w:w="1650" w:type="dxa"/>
            <w:vAlign w:val="center"/>
          </w:tcPr>
          <w:p w:rsidR="004A4B7D" w:rsidRDefault="00B235F4">
            <w:pPr>
              <w:jc w:val="center"/>
            </w:pPr>
            <w:r>
              <w:rPr>
                <w:color w:val="000000"/>
                <w:sz w:val="24"/>
              </w:rPr>
              <w:t>600029</w:t>
            </w:r>
          </w:p>
        </w:tc>
        <w:tc>
          <w:tcPr>
            <w:tcW w:w="1980" w:type="dxa"/>
            <w:vAlign w:val="center"/>
          </w:tcPr>
          <w:p w:rsidR="004A4B7D" w:rsidRDefault="00B235F4">
            <w:pPr>
              <w:jc w:val="center"/>
            </w:pPr>
            <w:r>
              <w:rPr>
                <w:color w:val="000000"/>
                <w:sz w:val="24"/>
              </w:rPr>
              <w:t>南方航空</w:t>
            </w:r>
          </w:p>
        </w:tc>
        <w:tc>
          <w:tcPr>
            <w:tcW w:w="2880" w:type="dxa"/>
            <w:vAlign w:val="center"/>
          </w:tcPr>
          <w:p w:rsidR="004A4B7D" w:rsidRDefault="00B235F4">
            <w:pPr>
              <w:jc w:val="right"/>
            </w:pPr>
            <w:r>
              <w:rPr>
                <w:color w:val="000000"/>
                <w:sz w:val="24"/>
              </w:rPr>
              <w:t>1,906,032.00</w:t>
            </w:r>
          </w:p>
        </w:tc>
        <w:tc>
          <w:tcPr>
            <w:tcW w:w="1620" w:type="dxa"/>
            <w:vAlign w:val="center"/>
          </w:tcPr>
          <w:p w:rsidR="004A4B7D" w:rsidRDefault="00B235F4">
            <w:pPr>
              <w:jc w:val="right"/>
            </w:pPr>
            <w:r>
              <w:rPr>
                <w:color w:val="000000"/>
                <w:sz w:val="24"/>
              </w:rPr>
              <w:t>1.54</w:t>
            </w:r>
          </w:p>
        </w:tc>
      </w:tr>
      <w:tr w:rsidR="004A4B7D">
        <w:tc>
          <w:tcPr>
            <w:tcW w:w="870" w:type="dxa"/>
            <w:vAlign w:val="center"/>
          </w:tcPr>
          <w:p w:rsidR="004A4B7D" w:rsidRDefault="00B235F4">
            <w:pPr>
              <w:jc w:val="center"/>
            </w:pPr>
            <w:r>
              <w:rPr>
                <w:color w:val="000000"/>
                <w:sz w:val="24"/>
              </w:rPr>
              <w:t>20</w:t>
            </w:r>
          </w:p>
        </w:tc>
        <w:tc>
          <w:tcPr>
            <w:tcW w:w="1650" w:type="dxa"/>
            <w:vAlign w:val="center"/>
          </w:tcPr>
          <w:p w:rsidR="004A4B7D" w:rsidRDefault="00B235F4">
            <w:pPr>
              <w:jc w:val="center"/>
            </w:pPr>
            <w:r>
              <w:rPr>
                <w:color w:val="000000"/>
                <w:sz w:val="24"/>
              </w:rPr>
              <w:t>601336</w:t>
            </w:r>
          </w:p>
        </w:tc>
        <w:tc>
          <w:tcPr>
            <w:tcW w:w="1980" w:type="dxa"/>
            <w:vAlign w:val="center"/>
          </w:tcPr>
          <w:p w:rsidR="004A4B7D" w:rsidRDefault="00B235F4">
            <w:pPr>
              <w:jc w:val="center"/>
            </w:pPr>
            <w:r>
              <w:rPr>
                <w:color w:val="000000"/>
                <w:sz w:val="24"/>
              </w:rPr>
              <w:t>新华保险</w:t>
            </w:r>
          </w:p>
        </w:tc>
        <w:tc>
          <w:tcPr>
            <w:tcW w:w="2880" w:type="dxa"/>
            <w:vAlign w:val="center"/>
          </w:tcPr>
          <w:p w:rsidR="004A4B7D" w:rsidRDefault="00B235F4">
            <w:pPr>
              <w:jc w:val="right"/>
            </w:pPr>
            <w:r>
              <w:rPr>
                <w:color w:val="000000"/>
                <w:sz w:val="24"/>
              </w:rPr>
              <w:t>1,905,364.00</w:t>
            </w:r>
          </w:p>
        </w:tc>
        <w:tc>
          <w:tcPr>
            <w:tcW w:w="1620" w:type="dxa"/>
            <w:vAlign w:val="center"/>
          </w:tcPr>
          <w:p w:rsidR="004A4B7D" w:rsidRDefault="00B235F4">
            <w:pPr>
              <w:jc w:val="right"/>
            </w:pPr>
            <w:r>
              <w:rPr>
                <w:color w:val="000000"/>
                <w:sz w:val="24"/>
              </w:rPr>
              <w:t>1.54</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本期累计买入金额</w:t>
      </w:r>
      <w:r w:rsidRPr="00C234F0">
        <w:rPr>
          <w:kern w:val="0"/>
          <w:sz w:val="24"/>
        </w:rPr>
        <w:t>”</w:t>
      </w:r>
      <w:r w:rsidRPr="00C234F0">
        <w:rPr>
          <w:kern w:val="0"/>
          <w:sz w:val="24"/>
        </w:rPr>
        <w:t>按买入成交金额（成交单价乘以成交数量）填列，不考虑相关交易费用。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8.4.2</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累计卖出金额超出</w:t>
      </w:r>
      <w:r w:rsidR="006A7E68" w:rsidRPr="00245C29">
        <w:rPr>
          <w:rFonts w:ascii="Times New Roman" w:hAnsi="Times New Roman" w:hint="eastAsia"/>
          <w:kern w:val="0"/>
          <w:szCs w:val="24"/>
        </w:rPr>
        <w:t>期</w:t>
      </w:r>
      <w:proofErr w:type="gramStart"/>
      <w:r w:rsidR="006A7E68" w:rsidRPr="00245C29">
        <w:rPr>
          <w:rFonts w:ascii="Times New Roman" w:hAnsi="Times New Roman" w:hint="eastAsia"/>
          <w:kern w:val="0"/>
          <w:szCs w:val="24"/>
        </w:rPr>
        <w:t>初</w:t>
      </w:r>
      <w:r w:rsidRPr="00245C29">
        <w:rPr>
          <w:rFonts w:ascii="Times New Roman" w:hAnsi="Times New Roman" w:hint="eastAsia"/>
          <w:kern w:val="0"/>
          <w:szCs w:val="24"/>
        </w:rPr>
        <w:t>基金</w:t>
      </w:r>
      <w:proofErr w:type="gramEnd"/>
      <w:r w:rsidRPr="00245C29">
        <w:rPr>
          <w:rFonts w:ascii="Times New Roman" w:hAnsi="Times New Roman" w:hint="eastAsia"/>
          <w:kern w:val="0"/>
          <w:szCs w:val="24"/>
        </w:rPr>
        <w:t>资产净值</w:t>
      </w:r>
      <w:r w:rsidR="006073BA" w:rsidRPr="00245C29">
        <w:rPr>
          <w:rFonts w:ascii="Times New Roman" w:hAnsi="Times New Roman"/>
          <w:kern w:val="0"/>
          <w:szCs w:val="24"/>
        </w:rPr>
        <w:t>2</w:t>
      </w:r>
      <w:r w:rsidR="006073BA" w:rsidRPr="00245C29">
        <w:rPr>
          <w:rFonts w:ascii="Times New Roman" w:hAnsi="Times New Roman"/>
          <w:kern w:val="0"/>
          <w:szCs w:val="24"/>
        </w:rPr>
        <w:t>％</w:t>
      </w:r>
      <w:r w:rsidRPr="00245C29">
        <w:rPr>
          <w:rFonts w:ascii="Times New Roman" w:hAnsi="Times New Roman" w:hint="eastAsia"/>
          <w:kern w:val="0"/>
          <w:szCs w:val="24"/>
        </w:rPr>
        <w:t>或前</w:t>
      </w:r>
      <w:r w:rsidRPr="00245C29">
        <w:rPr>
          <w:rFonts w:ascii="Times New Roman" w:hAnsi="Times New Roman"/>
          <w:kern w:val="0"/>
          <w:szCs w:val="24"/>
        </w:rPr>
        <w:t>20</w:t>
      </w:r>
      <w:r w:rsidRPr="00245C29">
        <w:rPr>
          <w:rFonts w:ascii="Times New Roman" w:hAnsi="Times New Roman" w:hint="eastAsia"/>
          <w:kern w:val="0"/>
          <w:szCs w:val="24"/>
        </w:rPr>
        <w:t>名的股票明细</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C51C77" w:rsidTr="006D141C">
        <w:tc>
          <w:tcPr>
            <w:tcW w:w="87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序号</w:t>
            </w:r>
          </w:p>
        </w:tc>
        <w:tc>
          <w:tcPr>
            <w:tcW w:w="165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股票代码</w:t>
            </w:r>
          </w:p>
        </w:tc>
        <w:tc>
          <w:tcPr>
            <w:tcW w:w="19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股票名称</w:t>
            </w:r>
          </w:p>
        </w:tc>
        <w:tc>
          <w:tcPr>
            <w:tcW w:w="288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本期累计卖出金额</w:t>
            </w:r>
          </w:p>
        </w:tc>
        <w:tc>
          <w:tcPr>
            <w:tcW w:w="1620" w:type="dxa"/>
            <w:vAlign w:val="center"/>
          </w:tcPr>
          <w:p w:rsidR="001A59F9" w:rsidRPr="00C234F0" w:rsidRDefault="001A59F9" w:rsidP="00C234F0">
            <w:pPr>
              <w:spacing w:before="29" w:line="288" w:lineRule="auto"/>
              <w:jc w:val="center"/>
              <w:rPr>
                <w:color w:val="000000"/>
                <w:sz w:val="24"/>
              </w:rPr>
            </w:pPr>
            <w:r w:rsidRPr="00C234F0">
              <w:rPr>
                <w:rFonts w:hint="eastAsia"/>
                <w:color w:val="000000"/>
                <w:sz w:val="24"/>
              </w:rPr>
              <w:t>占</w:t>
            </w:r>
            <w:r w:rsidR="006A7E68" w:rsidRPr="00C234F0">
              <w:rPr>
                <w:rFonts w:hint="eastAsia"/>
                <w:color w:val="000000"/>
                <w:sz w:val="24"/>
              </w:rPr>
              <w:t>期</w:t>
            </w:r>
            <w:proofErr w:type="gramStart"/>
            <w:r w:rsidR="006A7E68" w:rsidRPr="00C234F0">
              <w:rPr>
                <w:rFonts w:hint="eastAsia"/>
                <w:color w:val="000000"/>
                <w:sz w:val="24"/>
              </w:rPr>
              <w:t>初</w:t>
            </w:r>
            <w:r w:rsidRPr="00C234F0">
              <w:rPr>
                <w:rFonts w:hint="eastAsia"/>
                <w:color w:val="000000"/>
                <w:sz w:val="24"/>
              </w:rPr>
              <w:t>基金</w:t>
            </w:r>
            <w:proofErr w:type="gramEnd"/>
            <w:r w:rsidRPr="00C234F0">
              <w:rPr>
                <w:rFonts w:hint="eastAsia"/>
                <w:color w:val="000000"/>
                <w:sz w:val="24"/>
              </w:rPr>
              <w:t>资产净值比例（％）</w:t>
            </w:r>
          </w:p>
        </w:tc>
      </w:tr>
      <w:tr w:rsidR="004A4B7D">
        <w:tc>
          <w:tcPr>
            <w:tcW w:w="870" w:type="dxa"/>
            <w:vAlign w:val="center"/>
          </w:tcPr>
          <w:p w:rsidR="004A4B7D" w:rsidRDefault="00B235F4">
            <w:pPr>
              <w:jc w:val="center"/>
            </w:pPr>
            <w:r>
              <w:t>1</w:t>
            </w:r>
          </w:p>
        </w:tc>
        <w:tc>
          <w:tcPr>
            <w:tcW w:w="1650" w:type="dxa"/>
            <w:vAlign w:val="center"/>
          </w:tcPr>
          <w:p w:rsidR="004A4B7D" w:rsidRDefault="00B235F4">
            <w:pPr>
              <w:jc w:val="center"/>
            </w:pPr>
            <w:r>
              <w:t>600500</w:t>
            </w:r>
          </w:p>
        </w:tc>
        <w:tc>
          <w:tcPr>
            <w:tcW w:w="1980" w:type="dxa"/>
            <w:vAlign w:val="center"/>
          </w:tcPr>
          <w:p w:rsidR="004A4B7D" w:rsidRDefault="00B235F4">
            <w:pPr>
              <w:jc w:val="center"/>
            </w:pPr>
            <w:r>
              <w:t>中化国际</w:t>
            </w:r>
          </w:p>
        </w:tc>
        <w:tc>
          <w:tcPr>
            <w:tcW w:w="2880" w:type="dxa"/>
            <w:vAlign w:val="center"/>
          </w:tcPr>
          <w:p w:rsidR="004A4B7D" w:rsidRDefault="00B235F4">
            <w:pPr>
              <w:jc w:val="right"/>
            </w:pPr>
            <w:r>
              <w:t>11,997,759.39</w:t>
            </w:r>
          </w:p>
        </w:tc>
        <w:tc>
          <w:tcPr>
            <w:tcW w:w="1620" w:type="dxa"/>
            <w:vAlign w:val="center"/>
          </w:tcPr>
          <w:p w:rsidR="004A4B7D" w:rsidRDefault="00B235F4">
            <w:pPr>
              <w:jc w:val="right"/>
            </w:pPr>
            <w:r>
              <w:t>9.67</w:t>
            </w:r>
          </w:p>
        </w:tc>
      </w:tr>
      <w:tr w:rsidR="004A4B7D">
        <w:tc>
          <w:tcPr>
            <w:tcW w:w="870" w:type="dxa"/>
            <w:vAlign w:val="center"/>
          </w:tcPr>
          <w:p w:rsidR="004A4B7D" w:rsidRDefault="00B235F4">
            <w:pPr>
              <w:jc w:val="center"/>
            </w:pPr>
            <w:r>
              <w:t>2</w:t>
            </w:r>
          </w:p>
        </w:tc>
        <w:tc>
          <w:tcPr>
            <w:tcW w:w="1650" w:type="dxa"/>
            <w:vAlign w:val="center"/>
          </w:tcPr>
          <w:p w:rsidR="004A4B7D" w:rsidRDefault="00B235F4">
            <w:pPr>
              <w:jc w:val="center"/>
            </w:pPr>
            <w:r>
              <w:t>600389</w:t>
            </w:r>
          </w:p>
        </w:tc>
        <w:tc>
          <w:tcPr>
            <w:tcW w:w="1980" w:type="dxa"/>
            <w:vAlign w:val="center"/>
          </w:tcPr>
          <w:p w:rsidR="004A4B7D" w:rsidRDefault="00B235F4">
            <w:pPr>
              <w:jc w:val="center"/>
            </w:pPr>
            <w:r>
              <w:t>江山股份</w:t>
            </w:r>
          </w:p>
        </w:tc>
        <w:tc>
          <w:tcPr>
            <w:tcW w:w="2880" w:type="dxa"/>
            <w:vAlign w:val="center"/>
          </w:tcPr>
          <w:p w:rsidR="004A4B7D" w:rsidRDefault="00B235F4">
            <w:pPr>
              <w:jc w:val="right"/>
            </w:pPr>
            <w:r>
              <w:t>9,964,883.10</w:t>
            </w:r>
          </w:p>
        </w:tc>
        <w:tc>
          <w:tcPr>
            <w:tcW w:w="1620" w:type="dxa"/>
            <w:vAlign w:val="center"/>
          </w:tcPr>
          <w:p w:rsidR="004A4B7D" w:rsidRDefault="00B235F4">
            <w:pPr>
              <w:jc w:val="right"/>
            </w:pPr>
            <w:r>
              <w:t>8.03</w:t>
            </w:r>
          </w:p>
        </w:tc>
      </w:tr>
      <w:tr w:rsidR="004A4B7D">
        <w:tc>
          <w:tcPr>
            <w:tcW w:w="870" w:type="dxa"/>
            <w:vAlign w:val="center"/>
          </w:tcPr>
          <w:p w:rsidR="004A4B7D" w:rsidRDefault="00B235F4">
            <w:pPr>
              <w:jc w:val="center"/>
            </w:pPr>
            <w:r>
              <w:t>3</w:t>
            </w:r>
          </w:p>
        </w:tc>
        <w:tc>
          <w:tcPr>
            <w:tcW w:w="1650" w:type="dxa"/>
            <w:vAlign w:val="center"/>
          </w:tcPr>
          <w:p w:rsidR="004A4B7D" w:rsidRDefault="00B235F4">
            <w:pPr>
              <w:jc w:val="center"/>
            </w:pPr>
            <w:r>
              <w:t>002180</w:t>
            </w:r>
          </w:p>
        </w:tc>
        <w:tc>
          <w:tcPr>
            <w:tcW w:w="1980" w:type="dxa"/>
            <w:vAlign w:val="center"/>
          </w:tcPr>
          <w:p w:rsidR="004A4B7D" w:rsidRDefault="00B235F4">
            <w:pPr>
              <w:jc w:val="center"/>
            </w:pPr>
            <w:r>
              <w:t>艾派克</w:t>
            </w:r>
          </w:p>
        </w:tc>
        <w:tc>
          <w:tcPr>
            <w:tcW w:w="2880" w:type="dxa"/>
            <w:vAlign w:val="center"/>
          </w:tcPr>
          <w:p w:rsidR="004A4B7D" w:rsidRDefault="00B235F4">
            <w:pPr>
              <w:jc w:val="right"/>
            </w:pPr>
            <w:r>
              <w:t>7,539,139.00</w:t>
            </w:r>
          </w:p>
        </w:tc>
        <w:tc>
          <w:tcPr>
            <w:tcW w:w="1620" w:type="dxa"/>
            <w:vAlign w:val="center"/>
          </w:tcPr>
          <w:p w:rsidR="004A4B7D" w:rsidRDefault="00B235F4">
            <w:pPr>
              <w:jc w:val="right"/>
            </w:pPr>
            <w:r>
              <w:t>6.08</w:t>
            </w:r>
          </w:p>
        </w:tc>
      </w:tr>
      <w:tr w:rsidR="004A4B7D">
        <w:tc>
          <w:tcPr>
            <w:tcW w:w="870" w:type="dxa"/>
            <w:vAlign w:val="center"/>
          </w:tcPr>
          <w:p w:rsidR="004A4B7D" w:rsidRDefault="00B235F4">
            <w:pPr>
              <w:jc w:val="center"/>
            </w:pPr>
            <w:r>
              <w:t>4</w:t>
            </w:r>
          </w:p>
        </w:tc>
        <w:tc>
          <w:tcPr>
            <w:tcW w:w="1650" w:type="dxa"/>
            <w:vAlign w:val="center"/>
          </w:tcPr>
          <w:p w:rsidR="004A4B7D" w:rsidRDefault="00B235F4">
            <w:pPr>
              <w:jc w:val="center"/>
            </w:pPr>
            <w:r>
              <w:t>300458</w:t>
            </w:r>
          </w:p>
        </w:tc>
        <w:tc>
          <w:tcPr>
            <w:tcW w:w="1980" w:type="dxa"/>
            <w:vAlign w:val="center"/>
          </w:tcPr>
          <w:p w:rsidR="004A4B7D" w:rsidRDefault="00B235F4">
            <w:pPr>
              <w:jc w:val="center"/>
            </w:pPr>
            <w:r>
              <w:t>全志科技</w:t>
            </w:r>
          </w:p>
        </w:tc>
        <w:tc>
          <w:tcPr>
            <w:tcW w:w="2880" w:type="dxa"/>
            <w:vAlign w:val="center"/>
          </w:tcPr>
          <w:p w:rsidR="004A4B7D" w:rsidRDefault="00B235F4">
            <w:pPr>
              <w:jc w:val="right"/>
            </w:pPr>
            <w:r>
              <w:t>6,518,629.07</w:t>
            </w:r>
          </w:p>
        </w:tc>
        <w:tc>
          <w:tcPr>
            <w:tcW w:w="1620" w:type="dxa"/>
            <w:vAlign w:val="center"/>
          </w:tcPr>
          <w:p w:rsidR="004A4B7D" w:rsidRDefault="00B235F4">
            <w:pPr>
              <w:jc w:val="right"/>
            </w:pPr>
            <w:r>
              <w:t>5.25</w:t>
            </w:r>
          </w:p>
        </w:tc>
      </w:tr>
      <w:tr w:rsidR="004A4B7D">
        <w:tc>
          <w:tcPr>
            <w:tcW w:w="870" w:type="dxa"/>
            <w:vAlign w:val="center"/>
          </w:tcPr>
          <w:p w:rsidR="004A4B7D" w:rsidRDefault="00B235F4">
            <w:pPr>
              <w:jc w:val="center"/>
            </w:pPr>
            <w:r>
              <w:t>5</w:t>
            </w:r>
          </w:p>
        </w:tc>
        <w:tc>
          <w:tcPr>
            <w:tcW w:w="1650" w:type="dxa"/>
            <w:vAlign w:val="center"/>
          </w:tcPr>
          <w:p w:rsidR="004A4B7D" w:rsidRDefault="00B235F4">
            <w:pPr>
              <w:jc w:val="center"/>
            </w:pPr>
            <w:r>
              <w:t>002120</w:t>
            </w:r>
          </w:p>
        </w:tc>
        <w:tc>
          <w:tcPr>
            <w:tcW w:w="1980" w:type="dxa"/>
            <w:vAlign w:val="center"/>
          </w:tcPr>
          <w:p w:rsidR="004A4B7D" w:rsidRDefault="00B235F4">
            <w:pPr>
              <w:jc w:val="center"/>
            </w:pPr>
            <w:r>
              <w:t>新</w:t>
            </w:r>
            <w:proofErr w:type="gramStart"/>
            <w:r>
              <w:t>海股份</w:t>
            </w:r>
            <w:proofErr w:type="gramEnd"/>
          </w:p>
        </w:tc>
        <w:tc>
          <w:tcPr>
            <w:tcW w:w="2880" w:type="dxa"/>
            <w:vAlign w:val="center"/>
          </w:tcPr>
          <w:p w:rsidR="004A4B7D" w:rsidRDefault="00B235F4">
            <w:pPr>
              <w:jc w:val="right"/>
            </w:pPr>
            <w:r>
              <w:t>5,336,782.75</w:t>
            </w:r>
          </w:p>
        </w:tc>
        <w:tc>
          <w:tcPr>
            <w:tcW w:w="1620" w:type="dxa"/>
            <w:vAlign w:val="center"/>
          </w:tcPr>
          <w:p w:rsidR="004A4B7D" w:rsidRDefault="00B235F4">
            <w:pPr>
              <w:jc w:val="right"/>
            </w:pPr>
            <w:r>
              <w:t>4.30</w:t>
            </w:r>
          </w:p>
        </w:tc>
      </w:tr>
      <w:tr w:rsidR="004A4B7D">
        <w:tc>
          <w:tcPr>
            <w:tcW w:w="870" w:type="dxa"/>
            <w:vAlign w:val="center"/>
          </w:tcPr>
          <w:p w:rsidR="004A4B7D" w:rsidRDefault="00B235F4">
            <w:pPr>
              <w:jc w:val="center"/>
            </w:pPr>
            <w:r>
              <w:t>6</w:t>
            </w:r>
          </w:p>
        </w:tc>
        <w:tc>
          <w:tcPr>
            <w:tcW w:w="1650" w:type="dxa"/>
            <w:vAlign w:val="center"/>
          </w:tcPr>
          <w:p w:rsidR="004A4B7D" w:rsidRDefault="00B235F4">
            <w:pPr>
              <w:jc w:val="center"/>
            </w:pPr>
            <w:r>
              <w:t>603555</w:t>
            </w:r>
          </w:p>
        </w:tc>
        <w:tc>
          <w:tcPr>
            <w:tcW w:w="1980" w:type="dxa"/>
            <w:vAlign w:val="center"/>
          </w:tcPr>
          <w:p w:rsidR="004A4B7D" w:rsidRDefault="00B235F4">
            <w:pPr>
              <w:jc w:val="center"/>
            </w:pPr>
            <w:r>
              <w:t>贵人鸟</w:t>
            </w:r>
          </w:p>
        </w:tc>
        <w:tc>
          <w:tcPr>
            <w:tcW w:w="2880" w:type="dxa"/>
            <w:vAlign w:val="center"/>
          </w:tcPr>
          <w:p w:rsidR="004A4B7D" w:rsidRDefault="00B235F4">
            <w:pPr>
              <w:jc w:val="right"/>
            </w:pPr>
            <w:r>
              <w:t>3,799,436.39</w:t>
            </w:r>
          </w:p>
        </w:tc>
        <w:tc>
          <w:tcPr>
            <w:tcW w:w="1620" w:type="dxa"/>
            <w:vAlign w:val="center"/>
          </w:tcPr>
          <w:p w:rsidR="004A4B7D" w:rsidRDefault="00B235F4">
            <w:pPr>
              <w:jc w:val="right"/>
            </w:pPr>
            <w:r>
              <w:t>3.06</w:t>
            </w:r>
          </w:p>
        </w:tc>
      </w:tr>
      <w:tr w:rsidR="004A4B7D">
        <w:tc>
          <w:tcPr>
            <w:tcW w:w="870" w:type="dxa"/>
            <w:vAlign w:val="center"/>
          </w:tcPr>
          <w:p w:rsidR="004A4B7D" w:rsidRDefault="00B235F4">
            <w:pPr>
              <w:jc w:val="center"/>
            </w:pPr>
            <w:r>
              <w:t>7</w:t>
            </w:r>
          </w:p>
        </w:tc>
        <w:tc>
          <w:tcPr>
            <w:tcW w:w="1650" w:type="dxa"/>
            <w:vAlign w:val="center"/>
          </w:tcPr>
          <w:p w:rsidR="004A4B7D" w:rsidRDefault="00B235F4">
            <w:pPr>
              <w:jc w:val="center"/>
            </w:pPr>
            <w:r>
              <w:t>600967</w:t>
            </w:r>
          </w:p>
        </w:tc>
        <w:tc>
          <w:tcPr>
            <w:tcW w:w="1980" w:type="dxa"/>
            <w:vAlign w:val="center"/>
          </w:tcPr>
          <w:p w:rsidR="004A4B7D" w:rsidRDefault="00B235F4">
            <w:pPr>
              <w:jc w:val="center"/>
            </w:pPr>
            <w:r>
              <w:t>北方创业</w:t>
            </w:r>
          </w:p>
        </w:tc>
        <w:tc>
          <w:tcPr>
            <w:tcW w:w="2880" w:type="dxa"/>
            <w:vAlign w:val="center"/>
          </w:tcPr>
          <w:p w:rsidR="004A4B7D" w:rsidRDefault="00B235F4">
            <w:pPr>
              <w:jc w:val="right"/>
            </w:pPr>
            <w:r>
              <w:t>3,339,754.11</w:t>
            </w:r>
          </w:p>
        </w:tc>
        <w:tc>
          <w:tcPr>
            <w:tcW w:w="1620" w:type="dxa"/>
            <w:vAlign w:val="center"/>
          </w:tcPr>
          <w:p w:rsidR="004A4B7D" w:rsidRDefault="00B235F4">
            <w:pPr>
              <w:jc w:val="right"/>
            </w:pPr>
            <w:r>
              <w:t>2.69</w:t>
            </w:r>
          </w:p>
        </w:tc>
      </w:tr>
      <w:tr w:rsidR="004A4B7D">
        <w:tc>
          <w:tcPr>
            <w:tcW w:w="870" w:type="dxa"/>
            <w:vAlign w:val="center"/>
          </w:tcPr>
          <w:p w:rsidR="004A4B7D" w:rsidRDefault="00B235F4">
            <w:pPr>
              <w:jc w:val="center"/>
            </w:pPr>
            <w:r>
              <w:t>8</w:t>
            </w:r>
          </w:p>
        </w:tc>
        <w:tc>
          <w:tcPr>
            <w:tcW w:w="1650" w:type="dxa"/>
            <w:vAlign w:val="center"/>
          </w:tcPr>
          <w:p w:rsidR="004A4B7D" w:rsidRDefault="00B235F4">
            <w:pPr>
              <w:jc w:val="center"/>
            </w:pPr>
            <w:r>
              <w:t>300322</w:t>
            </w:r>
          </w:p>
        </w:tc>
        <w:tc>
          <w:tcPr>
            <w:tcW w:w="1980" w:type="dxa"/>
            <w:vAlign w:val="center"/>
          </w:tcPr>
          <w:p w:rsidR="004A4B7D" w:rsidRDefault="00B235F4">
            <w:pPr>
              <w:jc w:val="center"/>
            </w:pPr>
            <w:proofErr w:type="gramStart"/>
            <w:r>
              <w:t>硕贝德</w:t>
            </w:r>
            <w:proofErr w:type="gramEnd"/>
          </w:p>
        </w:tc>
        <w:tc>
          <w:tcPr>
            <w:tcW w:w="2880" w:type="dxa"/>
            <w:vAlign w:val="center"/>
          </w:tcPr>
          <w:p w:rsidR="004A4B7D" w:rsidRDefault="00B235F4">
            <w:pPr>
              <w:jc w:val="right"/>
            </w:pPr>
            <w:r>
              <w:t>3,302,719.99</w:t>
            </w:r>
          </w:p>
        </w:tc>
        <w:tc>
          <w:tcPr>
            <w:tcW w:w="1620" w:type="dxa"/>
            <w:vAlign w:val="center"/>
          </w:tcPr>
          <w:p w:rsidR="004A4B7D" w:rsidRDefault="00B235F4">
            <w:pPr>
              <w:jc w:val="right"/>
            </w:pPr>
            <w:r>
              <w:t>2.66</w:t>
            </w:r>
          </w:p>
        </w:tc>
      </w:tr>
      <w:tr w:rsidR="004A4B7D">
        <w:tc>
          <w:tcPr>
            <w:tcW w:w="870" w:type="dxa"/>
            <w:vAlign w:val="center"/>
          </w:tcPr>
          <w:p w:rsidR="004A4B7D" w:rsidRDefault="00B235F4">
            <w:pPr>
              <w:jc w:val="center"/>
            </w:pPr>
            <w:r>
              <w:t>9</w:t>
            </w:r>
          </w:p>
        </w:tc>
        <w:tc>
          <w:tcPr>
            <w:tcW w:w="1650" w:type="dxa"/>
            <w:vAlign w:val="center"/>
          </w:tcPr>
          <w:p w:rsidR="004A4B7D" w:rsidRDefault="00B235F4">
            <w:pPr>
              <w:jc w:val="center"/>
            </w:pPr>
            <w:r>
              <w:t>600166</w:t>
            </w:r>
          </w:p>
        </w:tc>
        <w:tc>
          <w:tcPr>
            <w:tcW w:w="1980" w:type="dxa"/>
            <w:vAlign w:val="center"/>
          </w:tcPr>
          <w:p w:rsidR="004A4B7D" w:rsidRDefault="00B235F4">
            <w:pPr>
              <w:jc w:val="center"/>
            </w:pPr>
            <w:r>
              <w:t>福田汽车</w:t>
            </w:r>
          </w:p>
        </w:tc>
        <w:tc>
          <w:tcPr>
            <w:tcW w:w="2880" w:type="dxa"/>
            <w:vAlign w:val="center"/>
          </w:tcPr>
          <w:p w:rsidR="004A4B7D" w:rsidRDefault="00B235F4">
            <w:pPr>
              <w:jc w:val="right"/>
            </w:pPr>
            <w:r>
              <w:t>3,220,761.81</w:t>
            </w:r>
          </w:p>
        </w:tc>
        <w:tc>
          <w:tcPr>
            <w:tcW w:w="1620" w:type="dxa"/>
            <w:vAlign w:val="center"/>
          </w:tcPr>
          <w:p w:rsidR="004A4B7D" w:rsidRDefault="00B235F4">
            <w:pPr>
              <w:jc w:val="right"/>
            </w:pPr>
            <w:r>
              <w:t>2.60</w:t>
            </w:r>
          </w:p>
        </w:tc>
      </w:tr>
      <w:tr w:rsidR="004A4B7D">
        <w:tc>
          <w:tcPr>
            <w:tcW w:w="870" w:type="dxa"/>
            <w:vAlign w:val="center"/>
          </w:tcPr>
          <w:p w:rsidR="004A4B7D" w:rsidRDefault="00B235F4">
            <w:pPr>
              <w:jc w:val="center"/>
            </w:pPr>
            <w:r>
              <w:t>10</w:t>
            </w:r>
          </w:p>
        </w:tc>
        <w:tc>
          <w:tcPr>
            <w:tcW w:w="1650" w:type="dxa"/>
            <w:vAlign w:val="center"/>
          </w:tcPr>
          <w:p w:rsidR="004A4B7D" w:rsidRDefault="00B235F4">
            <w:pPr>
              <w:jc w:val="center"/>
            </w:pPr>
            <w:r>
              <w:t>300028</w:t>
            </w:r>
          </w:p>
        </w:tc>
        <w:tc>
          <w:tcPr>
            <w:tcW w:w="1980" w:type="dxa"/>
            <w:vAlign w:val="center"/>
          </w:tcPr>
          <w:p w:rsidR="004A4B7D" w:rsidRDefault="00B235F4">
            <w:pPr>
              <w:jc w:val="center"/>
            </w:pPr>
            <w:r>
              <w:t>金亚科技</w:t>
            </w:r>
          </w:p>
        </w:tc>
        <w:tc>
          <w:tcPr>
            <w:tcW w:w="2880" w:type="dxa"/>
            <w:vAlign w:val="center"/>
          </w:tcPr>
          <w:p w:rsidR="004A4B7D" w:rsidRDefault="00B235F4">
            <w:pPr>
              <w:jc w:val="right"/>
            </w:pPr>
            <w:r>
              <w:t>2,990,320.00</w:t>
            </w:r>
          </w:p>
        </w:tc>
        <w:tc>
          <w:tcPr>
            <w:tcW w:w="1620" w:type="dxa"/>
            <w:vAlign w:val="center"/>
          </w:tcPr>
          <w:p w:rsidR="004A4B7D" w:rsidRDefault="00B235F4">
            <w:pPr>
              <w:jc w:val="right"/>
            </w:pPr>
            <w:r>
              <w:t>2.41</w:t>
            </w:r>
          </w:p>
        </w:tc>
      </w:tr>
      <w:tr w:rsidR="004A4B7D">
        <w:tc>
          <w:tcPr>
            <w:tcW w:w="870" w:type="dxa"/>
            <w:vAlign w:val="center"/>
          </w:tcPr>
          <w:p w:rsidR="004A4B7D" w:rsidRDefault="00B235F4">
            <w:pPr>
              <w:jc w:val="center"/>
            </w:pPr>
            <w:r>
              <w:t>11</w:t>
            </w:r>
          </w:p>
        </w:tc>
        <w:tc>
          <w:tcPr>
            <w:tcW w:w="1650" w:type="dxa"/>
            <w:vAlign w:val="center"/>
          </w:tcPr>
          <w:p w:rsidR="004A4B7D" w:rsidRDefault="00B235F4">
            <w:pPr>
              <w:jc w:val="center"/>
            </w:pPr>
            <w:r>
              <w:t>600054</w:t>
            </w:r>
          </w:p>
        </w:tc>
        <w:tc>
          <w:tcPr>
            <w:tcW w:w="1980" w:type="dxa"/>
            <w:vAlign w:val="center"/>
          </w:tcPr>
          <w:p w:rsidR="004A4B7D" w:rsidRDefault="00B235F4">
            <w:pPr>
              <w:jc w:val="center"/>
            </w:pPr>
            <w:r>
              <w:t>黄山旅游</w:t>
            </w:r>
          </w:p>
        </w:tc>
        <w:tc>
          <w:tcPr>
            <w:tcW w:w="2880" w:type="dxa"/>
            <w:vAlign w:val="center"/>
          </w:tcPr>
          <w:p w:rsidR="004A4B7D" w:rsidRDefault="00B235F4">
            <w:pPr>
              <w:jc w:val="right"/>
            </w:pPr>
            <w:r>
              <w:t>2,983,130.00</w:t>
            </w:r>
          </w:p>
        </w:tc>
        <w:tc>
          <w:tcPr>
            <w:tcW w:w="1620" w:type="dxa"/>
            <w:vAlign w:val="center"/>
          </w:tcPr>
          <w:p w:rsidR="004A4B7D" w:rsidRDefault="00B235F4">
            <w:pPr>
              <w:jc w:val="right"/>
            </w:pPr>
            <w:r>
              <w:t>2.40</w:t>
            </w:r>
          </w:p>
        </w:tc>
      </w:tr>
      <w:tr w:rsidR="004A4B7D">
        <w:tc>
          <w:tcPr>
            <w:tcW w:w="870" w:type="dxa"/>
            <w:vAlign w:val="center"/>
          </w:tcPr>
          <w:p w:rsidR="004A4B7D" w:rsidRDefault="00B235F4">
            <w:pPr>
              <w:jc w:val="center"/>
            </w:pPr>
            <w:r>
              <w:t>12</w:t>
            </w:r>
          </w:p>
        </w:tc>
        <w:tc>
          <w:tcPr>
            <w:tcW w:w="1650" w:type="dxa"/>
            <w:vAlign w:val="center"/>
          </w:tcPr>
          <w:p w:rsidR="004A4B7D" w:rsidRDefault="00B235F4">
            <w:pPr>
              <w:jc w:val="center"/>
            </w:pPr>
            <w:r>
              <w:t>002280</w:t>
            </w:r>
          </w:p>
        </w:tc>
        <w:tc>
          <w:tcPr>
            <w:tcW w:w="1980" w:type="dxa"/>
            <w:vAlign w:val="center"/>
          </w:tcPr>
          <w:p w:rsidR="004A4B7D" w:rsidRDefault="00B235F4">
            <w:pPr>
              <w:jc w:val="center"/>
            </w:pPr>
            <w:r>
              <w:t>联络互动</w:t>
            </w:r>
          </w:p>
        </w:tc>
        <w:tc>
          <w:tcPr>
            <w:tcW w:w="2880" w:type="dxa"/>
            <w:vAlign w:val="center"/>
          </w:tcPr>
          <w:p w:rsidR="004A4B7D" w:rsidRDefault="00B235F4">
            <w:pPr>
              <w:jc w:val="right"/>
            </w:pPr>
            <w:r>
              <w:t>2,778,419.00</w:t>
            </w:r>
          </w:p>
        </w:tc>
        <w:tc>
          <w:tcPr>
            <w:tcW w:w="1620" w:type="dxa"/>
            <w:vAlign w:val="center"/>
          </w:tcPr>
          <w:p w:rsidR="004A4B7D" w:rsidRDefault="00B235F4">
            <w:pPr>
              <w:jc w:val="right"/>
            </w:pPr>
            <w:r>
              <w:t>2.24</w:t>
            </w:r>
          </w:p>
        </w:tc>
      </w:tr>
      <w:tr w:rsidR="004A4B7D">
        <w:tc>
          <w:tcPr>
            <w:tcW w:w="870" w:type="dxa"/>
            <w:vAlign w:val="center"/>
          </w:tcPr>
          <w:p w:rsidR="004A4B7D" w:rsidRDefault="00B235F4">
            <w:pPr>
              <w:jc w:val="center"/>
            </w:pPr>
            <w:r>
              <w:t>13</w:t>
            </w:r>
          </w:p>
        </w:tc>
        <w:tc>
          <w:tcPr>
            <w:tcW w:w="1650" w:type="dxa"/>
            <w:vAlign w:val="center"/>
          </w:tcPr>
          <w:p w:rsidR="004A4B7D" w:rsidRDefault="00B235F4">
            <w:pPr>
              <w:jc w:val="center"/>
            </w:pPr>
            <w:r>
              <w:t>600706</w:t>
            </w:r>
          </w:p>
        </w:tc>
        <w:tc>
          <w:tcPr>
            <w:tcW w:w="1980" w:type="dxa"/>
            <w:vAlign w:val="center"/>
          </w:tcPr>
          <w:p w:rsidR="004A4B7D" w:rsidRDefault="00B235F4">
            <w:pPr>
              <w:jc w:val="center"/>
            </w:pPr>
            <w:proofErr w:type="gramStart"/>
            <w:r>
              <w:t>曲江文旅</w:t>
            </w:r>
            <w:proofErr w:type="gramEnd"/>
          </w:p>
        </w:tc>
        <w:tc>
          <w:tcPr>
            <w:tcW w:w="2880" w:type="dxa"/>
            <w:vAlign w:val="center"/>
          </w:tcPr>
          <w:p w:rsidR="004A4B7D" w:rsidRDefault="00B235F4">
            <w:pPr>
              <w:jc w:val="right"/>
            </w:pPr>
            <w:r>
              <w:t>2,432,770.69</w:t>
            </w:r>
          </w:p>
        </w:tc>
        <w:tc>
          <w:tcPr>
            <w:tcW w:w="1620" w:type="dxa"/>
            <w:vAlign w:val="center"/>
          </w:tcPr>
          <w:p w:rsidR="004A4B7D" w:rsidRDefault="00B235F4">
            <w:pPr>
              <w:jc w:val="right"/>
            </w:pPr>
            <w:r>
              <w:t>1.96</w:t>
            </w:r>
          </w:p>
        </w:tc>
      </w:tr>
      <w:tr w:rsidR="004A4B7D">
        <w:tc>
          <w:tcPr>
            <w:tcW w:w="870" w:type="dxa"/>
            <w:vAlign w:val="center"/>
          </w:tcPr>
          <w:p w:rsidR="004A4B7D" w:rsidRDefault="00B235F4">
            <w:pPr>
              <w:jc w:val="center"/>
            </w:pPr>
            <w:r>
              <w:t>14</w:t>
            </w:r>
          </w:p>
        </w:tc>
        <w:tc>
          <w:tcPr>
            <w:tcW w:w="1650" w:type="dxa"/>
            <w:vAlign w:val="center"/>
          </w:tcPr>
          <w:p w:rsidR="004A4B7D" w:rsidRDefault="00B235F4">
            <w:pPr>
              <w:jc w:val="center"/>
            </w:pPr>
            <w:r>
              <w:t>000061</w:t>
            </w:r>
          </w:p>
        </w:tc>
        <w:tc>
          <w:tcPr>
            <w:tcW w:w="1980" w:type="dxa"/>
            <w:vAlign w:val="center"/>
          </w:tcPr>
          <w:p w:rsidR="004A4B7D" w:rsidRDefault="00B235F4">
            <w:pPr>
              <w:jc w:val="center"/>
            </w:pPr>
            <w:r>
              <w:t>农</w:t>
            </w:r>
            <w:r>
              <w:t xml:space="preserve"> </w:t>
            </w:r>
            <w:r>
              <w:t>产</w:t>
            </w:r>
            <w:r>
              <w:t xml:space="preserve"> </w:t>
            </w:r>
            <w:r>
              <w:t>品</w:t>
            </w:r>
          </w:p>
        </w:tc>
        <w:tc>
          <w:tcPr>
            <w:tcW w:w="2880" w:type="dxa"/>
            <w:vAlign w:val="center"/>
          </w:tcPr>
          <w:p w:rsidR="004A4B7D" w:rsidRDefault="00B235F4">
            <w:pPr>
              <w:jc w:val="right"/>
            </w:pPr>
            <w:r>
              <w:t>2,298,230.13</w:t>
            </w:r>
          </w:p>
        </w:tc>
        <w:tc>
          <w:tcPr>
            <w:tcW w:w="1620" w:type="dxa"/>
            <w:vAlign w:val="center"/>
          </w:tcPr>
          <w:p w:rsidR="004A4B7D" w:rsidRDefault="00B235F4">
            <w:pPr>
              <w:jc w:val="right"/>
            </w:pPr>
            <w:r>
              <w:t>1.85</w:t>
            </w:r>
          </w:p>
        </w:tc>
      </w:tr>
      <w:tr w:rsidR="004A4B7D">
        <w:tc>
          <w:tcPr>
            <w:tcW w:w="870" w:type="dxa"/>
            <w:vAlign w:val="center"/>
          </w:tcPr>
          <w:p w:rsidR="004A4B7D" w:rsidRDefault="00B235F4">
            <w:pPr>
              <w:jc w:val="center"/>
            </w:pPr>
            <w:r>
              <w:t>15</w:t>
            </w:r>
          </w:p>
        </w:tc>
        <w:tc>
          <w:tcPr>
            <w:tcW w:w="1650" w:type="dxa"/>
            <w:vAlign w:val="center"/>
          </w:tcPr>
          <w:p w:rsidR="004A4B7D" w:rsidRDefault="00B235F4">
            <w:pPr>
              <w:jc w:val="center"/>
            </w:pPr>
            <w:r>
              <w:t>600029</w:t>
            </w:r>
          </w:p>
        </w:tc>
        <w:tc>
          <w:tcPr>
            <w:tcW w:w="1980" w:type="dxa"/>
            <w:vAlign w:val="center"/>
          </w:tcPr>
          <w:p w:rsidR="004A4B7D" w:rsidRDefault="00B235F4">
            <w:pPr>
              <w:jc w:val="center"/>
            </w:pPr>
            <w:r>
              <w:t>南方航空</w:t>
            </w:r>
          </w:p>
        </w:tc>
        <w:tc>
          <w:tcPr>
            <w:tcW w:w="2880" w:type="dxa"/>
            <w:vAlign w:val="center"/>
          </w:tcPr>
          <w:p w:rsidR="004A4B7D" w:rsidRDefault="00B235F4">
            <w:pPr>
              <w:jc w:val="right"/>
            </w:pPr>
            <w:r>
              <w:t>2,227,679.12</w:t>
            </w:r>
          </w:p>
        </w:tc>
        <w:tc>
          <w:tcPr>
            <w:tcW w:w="1620" w:type="dxa"/>
            <w:vAlign w:val="center"/>
          </w:tcPr>
          <w:p w:rsidR="004A4B7D" w:rsidRDefault="00B235F4">
            <w:pPr>
              <w:jc w:val="right"/>
            </w:pPr>
            <w:r>
              <w:t>1.80</w:t>
            </w:r>
          </w:p>
        </w:tc>
      </w:tr>
      <w:tr w:rsidR="004A4B7D">
        <w:tc>
          <w:tcPr>
            <w:tcW w:w="870" w:type="dxa"/>
            <w:vAlign w:val="center"/>
          </w:tcPr>
          <w:p w:rsidR="004A4B7D" w:rsidRDefault="00B235F4">
            <w:pPr>
              <w:jc w:val="center"/>
            </w:pPr>
            <w:r>
              <w:t>16</w:t>
            </w:r>
          </w:p>
        </w:tc>
        <w:tc>
          <w:tcPr>
            <w:tcW w:w="1650" w:type="dxa"/>
            <w:vAlign w:val="center"/>
          </w:tcPr>
          <w:p w:rsidR="004A4B7D" w:rsidRDefault="00B235F4">
            <w:pPr>
              <w:jc w:val="center"/>
            </w:pPr>
            <w:r>
              <w:t>600688</w:t>
            </w:r>
          </w:p>
        </w:tc>
        <w:tc>
          <w:tcPr>
            <w:tcW w:w="1980" w:type="dxa"/>
            <w:vAlign w:val="center"/>
          </w:tcPr>
          <w:p w:rsidR="004A4B7D" w:rsidRDefault="00B235F4">
            <w:pPr>
              <w:jc w:val="center"/>
            </w:pPr>
            <w:r>
              <w:t>上海石化</w:t>
            </w:r>
          </w:p>
        </w:tc>
        <w:tc>
          <w:tcPr>
            <w:tcW w:w="2880" w:type="dxa"/>
            <w:vAlign w:val="center"/>
          </w:tcPr>
          <w:p w:rsidR="004A4B7D" w:rsidRDefault="00B235F4">
            <w:pPr>
              <w:jc w:val="right"/>
            </w:pPr>
            <w:r>
              <w:t>2,157,160.49</w:t>
            </w:r>
          </w:p>
        </w:tc>
        <w:tc>
          <w:tcPr>
            <w:tcW w:w="1620" w:type="dxa"/>
            <w:vAlign w:val="center"/>
          </w:tcPr>
          <w:p w:rsidR="004A4B7D" w:rsidRDefault="00B235F4">
            <w:pPr>
              <w:jc w:val="right"/>
            </w:pPr>
            <w:r>
              <w:t>1.74</w:t>
            </w:r>
          </w:p>
        </w:tc>
      </w:tr>
      <w:tr w:rsidR="004A4B7D">
        <w:tc>
          <w:tcPr>
            <w:tcW w:w="870" w:type="dxa"/>
            <w:vAlign w:val="center"/>
          </w:tcPr>
          <w:p w:rsidR="004A4B7D" w:rsidRDefault="00B235F4">
            <w:pPr>
              <w:jc w:val="center"/>
            </w:pPr>
            <w:r>
              <w:t>17</w:t>
            </w:r>
          </w:p>
        </w:tc>
        <w:tc>
          <w:tcPr>
            <w:tcW w:w="1650" w:type="dxa"/>
            <w:vAlign w:val="center"/>
          </w:tcPr>
          <w:p w:rsidR="004A4B7D" w:rsidRDefault="00B235F4">
            <w:pPr>
              <w:jc w:val="center"/>
            </w:pPr>
            <w:r>
              <w:t>600887</w:t>
            </w:r>
          </w:p>
        </w:tc>
        <w:tc>
          <w:tcPr>
            <w:tcW w:w="1980" w:type="dxa"/>
            <w:vAlign w:val="center"/>
          </w:tcPr>
          <w:p w:rsidR="004A4B7D" w:rsidRDefault="00B235F4">
            <w:pPr>
              <w:jc w:val="center"/>
            </w:pPr>
            <w:r>
              <w:t>伊利股份</w:t>
            </w:r>
          </w:p>
        </w:tc>
        <w:tc>
          <w:tcPr>
            <w:tcW w:w="2880" w:type="dxa"/>
            <w:vAlign w:val="center"/>
          </w:tcPr>
          <w:p w:rsidR="004A4B7D" w:rsidRDefault="00B235F4">
            <w:pPr>
              <w:jc w:val="right"/>
            </w:pPr>
            <w:r>
              <w:t>2,093,131.92</w:t>
            </w:r>
          </w:p>
        </w:tc>
        <w:tc>
          <w:tcPr>
            <w:tcW w:w="1620" w:type="dxa"/>
            <w:vAlign w:val="center"/>
          </w:tcPr>
          <w:p w:rsidR="004A4B7D" w:rsidRDefault="00B235F4">
            <w:pPr>
              <w:jc w:val="right"/>
            </w:pPr>
            <w:r>
              <w:t>1.69</w:t>
            </w:r>
          </w:p>
        </w:tc>
      </w:tr>
      <w:tr w:rsidR="004A4B7D">
        <w:tc>
          <w:tcPr>
            <w:tcW w:w="870" w:type="dxa"/>
            <w:vAlign w:val="center"/>
          </w:tcPr>
          <w:p w:rsidR="004A4B7D" w:rsidRDefault="00B235F4">
            <w:pPr>
              <w:jc w:val="center"/>
            </w:pPr>
            <w:r>
              <w:t>18</w:t>
            </w:r>
          </w:p>
        </w:tc>
        <w:tc>
          <w:tcPr>
            <w:tcW w:w="1650" w:type="dxa"/>
            <w:vAlign w:val="center"/>
          </w:tcPr>
          <w:p w:rsidR="004A4B7D" w:rsidRDefault="00B235F4">
            <w:pPr>
              <w:jc w:val="center"/>
            </w:pPr>
            <w:r>
              <w:t>000550</w:t>
            </w:r>
          </w:p>
        </w:tc>
        <w:tc>
          <w:tcPr>
            <w:tcW w:w="1980" w:type="dxa"/>
            <w:vAlign w:val="center"/>
          </w:tcPr>
          <w:p w:rsidR="004A4B7D" w:rsidRDefault="00B235F4">
            <w:pPr>
              <w:jc w:val="center"/>
            </w:pPr>
            <w:r>
              <w:t>江铃汽车</w:t>
            </w:r>
          </w:p>
        </w:tc>
        <w:tc>
          <w:tcPr>
            <w:tcW w:w="2880" w:type="dxa"/>
            <w:vAlign w:val="center"/>
          </w:tcPr>
          <w:p w:rsidR="004A4B7D" w:rsidRDefault="00B235F4">
            <w:pPr>
              <w:jc w:val="right"/>
            </w:pPr>
            <w:r>
              <w:t>1,972,277.00</w:t>
            </w:r>
          </w:p>
        </w:tc>
        <w:tc>
          <w:tcPr>
            <w:tcW w:w="1620" w:type="dxa"/>
            <w:vAlign w:val="center"/>
          </w:tcPr>
          <w:p w:rsidR="004A4B7D" w:rsidRDefault="00B235F4">
            <w:pPr>
              <w:jc w:val="right"/>
            </w:pPr>
            <w:r>
              <w:t>1.59</w:t>
            </w:r>
          </w:p>
        </w:tc>
      </w:tr>
      <w:tr w:rsidR="004A4B7D">
        <w:tc>
          <w:tcPr>
            <w:tcW w:w="870" w:type="dxa"/>
            <w:vAlign w:val="center"/>
          </w:tcPr>
          <w:p w:rsidR="004A4B7D" w:rsidRDefault="00B235F4">
            <w:pPr>
              <w:jc w:val="center"/>
            </w:pPr>
            <w:r>
              <w:t>19</w:t>
            </w:r>
          </w:p>
        </w:tc>
        <w:tc>
          <w:tcPr>
            <w:tcW w:w="1650" w:type="dxa"/>
            <w:vAlign w:val="center"/>
          </w:tcPr>
          <w:p w:rsidR="004A4B7D" w:rsidRDefault="00B235F4">
            <w:pPr>
              <w:jc w:val="center"/>
            </w:pPr>
            <w:r>
              <w:t>600233</w:t>
            </w:r>
          </w:p>
        </w:tc>
        <w:tc>
          <w:tcPr>
            <w:tcW w:w="1980" w:type="dxa"/>
            <w:vAlign w:val="center"/>
          </w:tcPr>
          <w:p w:rsidR="004A4B7D" w:rsidRDefault="00B235F4">
            <w:pPr>
              <w:jc w:val="center"/>
            </w:pPr>
            <w:r>
              <w:t>圆通速递</w:t>
            </w:r>
          </w:p>
        </w:tc>
        <w:tc>
          <w:tcPr>
            <w:tcW w:w="2880" w:type="dxa"/>
            <w:vAlign w:val="center"/>
          </w:tcPr>
          <w:p w:rsidR="004A4B7D" w:rsidRDefault="00B235F4">
            <w:pPr>
              <w:jc w:val="right"/>
            </w:pPr>
            <w:r>
              <w:t>1,940,295.62</w:t>
            </w:r>
          </w:p>
        </w:tc>
        <w:tc>
          <w:tcPr>
            <w:tcW w:w="1620" w:type="dxa"/>
            <w:vAlign w:val="center"/>
          </w:tcPr>
          <w:p w:rsidR="004A4B7D" w:rsidRDefault="00B235F4">
            <w:pPr>
              <w:jc w:val="right"/>
            </w:pPr>
            <w:r>
              <w:t>1.56</w:t>
            </w:r>
          </w:p>
        </w:tc>
      </w:tr>
      <w:tr w:rsidR="004A4B7D">
        <w:tc>
          <w:tcPr>
            <w:tcW w:w="870" w:type="dxa"/>
            <w:vAlign w:val="center"/>
          </w:tcPr>
          <w:p w:rsidR="004A4B7D" w:rsidRDefault="00B235F4">
            <w:pPr>
              <w:jc w:val="center"/>
            </w:pPr>
            <w:r>
              <w:t>20</w:t>
            </w:r>
          </w:p>
        </w:tc>
        <w:tc>
          <w:tcPr>
            <w:tcW w:w="1650" w:type="dxa"/>
            <w:vAlign w:val="center"/>
          </w:tcPr>
          <w:p w:rsidR="004A4B7D" w:rsidRDefault="00B235F4">
            <w:pPr>
              <w:jc w:val="center"/>
            </w:pPr>
            <w:r>
              <w:t>601336</w:t>
            </w:r>
          </w:p>
        </w:tc>
        <w:tc>
          <w:tcPr>
            <w:tcW w:w="1980" w:type="dxa"/>
            <w:vAlign w:val="center"/>
          </w:tcPr>
          <w:p w:rsidR="004A4B7D" w:rsidRDefault="00B235F4">
            <w:pPr>
              <w:jc w:val="center"/>
            </w:pPr>
            <w:r>
              <w:t>新华保险</w:t>
            </w:r>
          </w:p>
        </w:tc>
        <w:tc>
          <w:tcPr>
            <w:tcW w:w="2880" w:type="dxa"/>
            <w:vAlign w:val="center"/>
          </w:tcPr>
          <w:p w:rsidR="004A4B7D" w:rsidRDefault="00B235F4">
            <w:pPr>
              <w:jc w:val="right"/>
            </w:pPr>
            <w:r>
              <w:t>1,870,982.92</w:t>
            </w:r>
          </w:p>
        </w:tc>
        <w:tc>
          <w:tcPr>
            <w:tcW w:w="1620" w:type="dxa"/>
            <w:vAlign w:val="center"/>
          </w:tcPr>
          <w:p w:rsidR="004A4B7D" w:rsidRDefault="00B235F4">
            <w:pPr>
              <w:jc w:val="right"/>
            </w:pPr>
            <w:r>
              <w:t>1.51</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本期累计卖出金额</w:t>
      </w:r>
      <w:r w:rsidRPr="00C234F0">
        <w:rPr>
          <w:kern w:val="0"/>
          <w:sz w:val="24"/>
        </w:rPr>
        <w:t>”</w:t>
      </w:r>
      <w:r w:rsidRPr="00C234F0">
        <w:rPr>
          <w:kern w:val="0"/>
          <w:sz w:val="24"/>
        </w:rPr>
        <w:t>按卖出成交金额（成交单价乘以成交数量）填列，不考虑相关交易费用。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kern w:val="2"/>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lastRenderedPageBreak/>
        <w:t>8.4.3</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买入股票的成本总额及卖出股票的收入总额</w:t>
      </w:r>
    </w:p>
    <w:p w:rsidR="001A59F9" w:rsidRPr="00C234F0" w:rsidRDefault="001A59F9" w:rsidP="00026C9C">
      <w:pPr>
        <w:autoSpaceDE w:val="0"/>
        <w:autoSpaceDN w:val="0"/>
        <w:adjustRightInd w:val="0"/>
        <w:spacing w:before="29" w:line="360" w:lineRule="auto"/>
        <w:ind w:left="15"/>
        <w:jc w:val="right"/>
        <w:rPr>
          <w:color w:val="000000"/>
          <w:sz w:val="24"/>
        </w:rPr>
      </w:pPr>
      <w:r w:rsidRPr="00C234F0">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00"/>
        <w:gridCol w:w="4500"/>
      </w:tblGrid>
      <w:tr w:rsidR="001A59F9" w:rsidRPr="00C51C77" w:rsidTr="00F9254F">
        <w:tc>
          <w:tcPr>
            <w:tcW w:w="4500" w:type="dxa"/>
            <w:vAlign w:val="center"/>
          </w:tcPr>
          <w:p w:rsidR="001A59F9" w:rsidRPr="00C234F0" w:rsidRDefault="001A59F9" w:rsidP="00C234F0">
            <w:pPr>
              <w:spacing w:before="29" w:line="288" w:lineRule="auto"/>
              <w:rPr>
                <w:color w:val="000000"/>
                <w:sz w:val="24"/>
              </w:rPr>
            </w:pPr>
            <w:r w:rsidRPr="00C234F0">
              <w:rPr>
                <w:rFonts w:hint="eastAsia"/>
                <w:color w:val="000000"/>
                <w:sz w:val="24"/>
              </w:rPr>
              <w:t>买入股票的成本（成交）总额</w:t>
            </w:r>
          </w:p>
        </w:tc>
        <w:tc>
          <w:tcPr>
            <w:tcW w:w="4500" w:type="dxa"/>
            <w:vAlign w:val="center"/>
          </w:tcPr>
          <w:p w:rsidR="001A59F9" w:rsidRPr="00C234F0" w:rsidRDefault="001A59F9" w:rsidP="00C234F0">
            <w:pPr>
              <w:spacing w:before="29" w:line="288" w:lineRule="auto"/>
              <w:jc w:val="right"/>
              <w:rPr>
                <w:sz w:val="24"/>
              </w:rPr>
            </w:pPr>
            <w:r w:rsidRPr="00C234F0">
              <w:rPr>
                <w:sz w:val="24"/>
              </w:rPr>
              <w:t>150,303,710.59</w:t>
            </w:r>
          </w:p>
        </w:tc>
      </w:tr>
      <w:tr w:rsidR="001A59F9" w:rsidRPr="00C51C77" w:rsidTr="00F9254F">
        <w:tc>
          <w:tcPr>
            <w:tcW w:w="4500" w:type="dxa"/>
            <w:vAlign w:val="center"/>
          </w:tcPr>
          <w:p w:rsidR="001A59F9" w:rsidRPr="00C234F0" w:rsidRDefault="001A59F9" w:rsidP="00C234F0">
            <w:pPr>
              <w:spacing w:before="29" w:line="288" w:lineRule="auto"/>
              <w:rPr>
                <w:color w:val="000000"/>
                <w:sz w:val="24"/>
              </w:rPr>
            </w:pPr>
            <w:r w:rsidRPr="00C234F0">
              <w:rPr>
                <w:rFonts w:hint="eastAsia"/>
                <w:color w:val="000000"/>
                <w:sz w:val="24"/>
              </w:rPr>
              <w:t>卖出股票的收入（成交）总额</w:t>
            </w:r>
          </w:p>
        </w:tc>
        <w:tc>
          <w:tcPr>
            <w:tcW w:w="4500" w:type="dxa"/>
            <w:vAlign w:val="center"/>
          </w:tcPr>
          <w:p w:rsidR="001A59F9" w:rsidRPr="00C234F0" w:rsidRDefault="001A59F9" w:rsidP="00C234F0">
            <w:pPr>
              <w:spacing w:before="29" w:line="288" w:lineRule="auto"/>
              <w:jc w:val="right"/>
              <w:rPr>
                <w:sz w:val="24"/>
              </w:rPr>
            </w:pPr>
            <w:r w:rsidRPr="00C234F0">
              <w:rPr>
                <w:sz w:val="24"/>
              </w:rPr>
              <w:t>98,953,469.90</w:t>
            </w:r>
          </w:p>
        </w:tc>
      </w:tr>
    </w:tbl>
    <w:p w:rsidR="001A59F9" w:rsidRPr="00C234F0" w:rsidRDefault="001A59F9" w:rsidP="00C234F0">
      <w:pPr>
        <w:tabs>
          <w:tab w:val="left" w:pos="426"/>
        </w:tabs>
        <w:spacing w:before="29" w:line="288" w:lineRule="auto"/>
        <w:jc w:val="left"/>
        <w:rPr>
          <w:kern w:val="0"/>
          <w:sz w:val="24"/>
        </w:rPr>
      </w:pPr>
      <w:r w:rsidRPr="00C234F0">
        <w:rPr>
          <w:kern w:val="0"/>
          <w:sz w:val="24"/>
        </w:rPr>
        <w:t>注：</w:t>
      </w:r>
      <w:r w:rsidRPr="00C234F0">
        <w:rPr>
          <w:kern w:val="0"/>
          <w:sz w:val="24"/>
        </w:rPr>
        <w:t>“</w:t>
      </w:r>
      <w:r w:rsidRPr="00C234F0">
        <w:rPr>
          <w:kern w:val="0"/>
          <w:sz w:val="24"/>
        </w:rPr>
        <w:t>买入股票成本</w:t>
      </w:r>
      <w:r w:rsidRPr="00C234F0">
        <w:rPr>
          <w:kern w:val="0"/>
          <w:sz w:val="24"/>
        </w:rPr>
        <w:t>”</w:t>
      </w:r>
      <w:r w:rsidRPr="00C234F0">
        <w:rPr>
          <w:kern w:val="0"/>
          <w:sz w:val="24"/>
        </w:rPr>
        <w:t>或</w:t>
      </w:r>
      <w:r w:rsidRPr="00C234F0">
        <w:rPr>
          <w:kern w:val="0"/>
          <w:sz w:val="24"/>
        </w:rPr>
        <w:t>“</w:t>
      </w:r>
      <w:r w:rsidRPr="00C234F0">
        <w:rPr>
          <w:kern w:val="0"/>
          <w:sz w:val="24"/>
        </w:rPr>
        <w:t>卖出股票收入</w:t>
      </w:r>
      <w:r w:rsidRPr="00C234F0">
        <w:rPr>
          <w:kern w:val="0"/>
          <w:sz w:val="24"/>
        </w:rPr>
        <w:t>”</w:t>
      </w:r>
      <w:r w:rsidRPr="00C234F0">
        <w:rPr>
          <w:kern w:val="0"/>
          <w:sz w:val="24"/>
        </w:rPr>
        <w:t>均按买卖成交金额（成交单价乘以成交数量）填列，不考虑相关交易费用。</w:t>
      </w:r>
    </w:p>
    <w:p w:rsidR="001A59F9" w:rsidRPr="00C51C77"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bookmarkStart w:id="70" w:name="_Toc234814104"/>
      <w:bookmarkStart w:id="71" w:name="_Toc361324883"/>
      <w:r w:rsidRPr="00245C29">
        <w:rPr>
          <w:rFonts w:ascii="Times New Roman" w:hAnsi="Times New Roman"/>
          <w:kern w:val="0"/>
          <w:szCs w:val="24"/>
        </w:rPr>
        <w:t>8.5</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期末按债券品种分类的债券投资组合</w:t>
      </w:r>
      <w:bookmarkEnd w:id="70"/>
      <w:bookmarkEnd w:id="71"/>
    </w:p>
    <w:p w:rsidR="001A59F9" w:rsidRDefault="001A59F9" w:rsidP="00BE4E5D">
      <w:pPr>
        <w:tabs>
          <w:tab w:val="left" w:pos="426"/>
        </w:tabs>
        <w:spacing w:before="29" w:line="288" w:lineRule="auto"/>
        <w:jc w:val="left"/>
        <w:rPr>
          <w:kern w:val="0"/>
          <w:sz w:val="24"/>
        </w:rPr>
      </w:pPr>
      <w:r w:rsidRPr="00C234F0">
        <w:rPr>
          <w:kern w:val="0"/>
          <w:sz w:val="24"/>
        </w:rPr>
        <w:t>本基金本报告期末未持有债券。</w:t>
      </w:r>
    </w:p>
    <w:p w:rsidR="00AB0794" w:rsidRDefault="00AB0794" w:rsidP="00BE4E5D">
      <w:pPr>
        <w:tabs>
          <w:tab w:val="left" w:pos="426"/>
        </w:tabs>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bookmarkStart w:id="72" w:name="_Toc361324884"/>
      <w:r w:rsidRPr="00245C29">
        <w:rPr>
          <w:rFonts w:ascii="Times New Roman" w:hAnsi="Times New Roman"/>
          <w:kern w:val="0"/>
          <w:szCs w:val="24"/>
        </w:rPr>
        <w:t>8.6</w:t>
      </w:r>
      <w:bookmarkStart w:id="73" w:name="_Toc234814105"/>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w:t>
      </w:r>
      <w:r w:rsidR="00451388" w:rsidRPr="00245C29">
        <w:rPr>
          <w:rFonts w:ascii="Times New Roman" w:hAnsi="Times New Roman" w:hint="eastAsia"/>
          <w:kern w:val="0"/>
          <w:szCs w:val="24"/>
        </w:rPr>
        <w:t>排序</w:t>
      </w:r>
      <w:r w:rsidRPr="00245C29">
        <w:rPr>
          <w:rFonts w:ascii="Times New Roman" w:hAnsi="Times New Roman" w:hint="eastAsia"/>
          <w:kern w:val="0"/>
          <w:szCs w:val="24"/>
        </w:rPr>
        <w:t>的前五名债券投资明细</w:t>
      </w:r>
      <w:bookmarkEnd w:id="72"/>
      <w:bookmarkEnd w:id="73"/>
    </w:p>
    <w:p w:rsidR="001A59F9" w:rsidRDefault="001A59F9" w:rsidP="00BE4E5D">
      <w:pPr>
        <w:tabs>
          <w:tab w:val="left" w:pos="426"/>
        </w:tabs>
        <w:spacing w:before="29" w:line="288" w:lineRule="auto"/>
        <w:jc w:val="left"/>
        <w:rPr>
          <w:kern w:val="0"/>
          <w:sz w:val="24"/>
        </w:rPr>
      </w:pPr>
      <w:r w:rsidRPr="005F057B">
        <w:rPr>
          <w:kern w:val="0"/>
          <w:sz w:val="24"/>
        </w:rPr>
        <w:t>本基金本报告期末未持有债券。</w:t>
      </w:r>
    </w:p>
    <w:p w:rsidR="00AB0794" w:rsidRDefault="00AB0794" w:rsidP="00BE4E5D">
      <w:pPr>
        <w:tabs>
          <w:tab w:val="left" w:pos="426"/>
        </w:tabs>
        <w:spacing w:before="29" w:line="288" w:lineRule="auto"/>
        <w:jc w:val="left"/>
        <w:rPr>
          <w:kern w:val="0"/>
          <w:sz w:val="24"/>
        </w:rPr>
      </w:pPr>
    </w:p>
    <w:p w:rsidR="001A59F9" w:rsidRPr="00245C29" w:rsidRDefault="001A59F9" w:rsidP="00245C29">
      <w:pPr>
        <w:pStyle w:val="20"/>
        <w:spacing w:before="29" w:after="0" w:line="288" w:lineRule="auto"/>
        <w:rPr>
          <w:rFonts w:ascii="Times New Roman" w:hAnsi="Times New Roman"/>
          <w:kern w:val="0"/>
          <w:szCs w:val="24"/>
        </w:rPr>
      </w:pPr>
      <w:bookmarkStart w:id="74" w:name="_Toc361324885"/>
      <w:r w:rsidRPr="00245C29">
        <w:rPr>
          <w:rFonts w:ascii="Times New Roman" w:hAnsi="Times New Roman"/>
          <w:kern w:val="0"/>
          <w:szCs w:val="24"/>
        </w:rPr>
        <w:t>8.7</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w:t>
      </w:r>
      <w:r w:rsidR="003D0669" w:rsidRPr="00245C29">
        <w:rPr>
          <w:rFonts w:ascii="Times New Roman" w:hAnsi="Times New Roman" w:hint="eastAsia"/>
          <w:kern w:val="0"/>
          <w:szCs w:val="24"/>
        </w:rPr>
        <w:t>排序</w:t>
      </w:r>
      <w:r w:rsidRPr="00245C29">
        <w:rPr>
          <w:rFonts w:ascii="Times New Roman" w:hAnsi="Times New Roman" w:hint="eastAsia"/>
          <w:kern w:val="0"/>
          <w:szCs w:val="24"/>
        </w:rPr>
        <w:t>的</w:t>
      </w:r>
      <w:r w:rsidR="007D125C" w:rsidRPr="00245C29">
        <w:rPr>
          <w:rFonts w:ascii="Times New Roman" w:hAnsi="Times New Roman" w:hint="eastAsia"/>
          <w:kern w:val="0"/>
          <w:szCs w:val="24"/>
        </w:rPr>
        <w:t>前十名</w:t>
      </w:r>
      <w:r w:rsidRPr="00245C29">
        <w:rPr>
          <w:rFonts w:ascii="Times New Roman" w:hAnsi="Times New Roman" w:hint="eastAsia"/>
          <w:kern w:val="0"/>
          <w:szCs w:val="24"/>
        </w:rPr>
        <w:t>资产支持证券投资明细</w:t>
      </w:r>
      <w:bookmarkEnd w:id="74"/>
    </w:p>
    <w:p w:rsidR="001A59F9" w:rsidRPr="00BE4E5D" w:rsidRDefault="001A59F9" w:rsidP="00BE4E5D">
      <w:pPr>
        <w:tabs>
          <w:tab w:val="left" w:pos="426"/>
        </w:tabs>
        <w:spacing w:before="29" w:line="288" w:lineRule="auto"/>
        <w:jc w:val="left"/>
        <w:rPr>
          <w:kern w:val="0"/>
          <w:sz w:val="24"/>
        </w:rPr>
      </w:pPr>
      <w:r w:rsidRPr="00F20F8D">
        <w:rPr>
          <w:kern w:val="0"/>
          <w:sz w:val="24"/>
        </w:rPr>
        <w:t>本基金本报告期末未持有资产支持证券。</w:t>
      </w:r>
      <w:r w:rsidR="00BE4E5D">
        <w:rPr>
          <w:rFonts w:hint="eastAsia"/>
          <w:kern w:val="0"/>
          <w:sz w:val="24"/>
        </w:rPr>
        <w:br/>
      </w:r>
    </w:p>
    <w:p w:rsidR="000E4505" w:rsidRDefault="000E4505"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8.8</w:t>
      </w:r>
      <w:r w:rsidRPr="00245C29">
        <w:rPr>
          <w:rFonts w:ascii="Times New Roman" w:hAnsi="Times New Roman" w:hint="eastAsia"/>
          <w:kern w:val="0"/>
          <w:szCs w:val="24"/>
        </w:rPr>
        <w:t xml:space="preserve"> </w:t>
      </w:r>
      <w:r w:rsidRPr="00245C29">
        <w:rPr>
          <w:rFonts w:ascii="Times New Roman" w:hAnsi="Times New Roman" w:hint="eastAsia"/>
          <w:kern w:val="0"/>
          <w:szCs w:val="24"/>
        </w:rPr>
        <w:t>报告期末按公允价值占基金资产净值比例大小排序的前五名贵金属投资明细</w:t>
      </w:r>
    </w:p>
    <w:p w:rsidR="000E4505" w:rsidRPr="00BE4E5D" w:rsidRDefault="000E4505" w:rsidP="00BE4E5D">
      <w:pPr>
        <w:tabs>
          <w:tab w:val="left" w:pos="426"/>
        </w:tabs>
        <w:spacing w:before="29" w:line="288" w:lineRule="auto"/>
        <w:jc w:val="left"/>
        <w:rPr>
          <w:kern w:val="0"/>
          <w:sz w:val="24"/>
        </w:rPr>
      </w:pPr>
      <w:r w:rsidRPr="009B5FD9">
        <w:rPr>
          <w:kern w:val="0"/>
          <w:sz w:val="24"/>
        </w:rPr>
        <w:t>本基金本报告期末未持有贵金属。</w:t>
      </w:r>
      <w:r w:rsidR="00BE4E5D">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bookmarkStart w:id="75" w:name="_Toc361324886"/>
      <w:r w:rsidRPr="00245C29">
        <w:rPr>
          <w:rFonts w:ascii="Times New Roman" w:hAnsi="Times New Roman"/>
          <w:kern w:val="0"/>
          <w:szCs w:val="24"/>
        </w:rPr>
        <w:t>8.9</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期末按公允价值占基金资产净值比例大小排</w:t>
      </w:r>
      <w:r w:rsidR="006A4B92" w:rsidRPr="00245C29">
        <w:rPr>
          <w:rFonts w:ascii="Times New Roman" w:hAnsi="Times New Roman" w:hint="eastAsia"/>
          <w:kern w:val="0"/>
          <w:szCs w:val="24"/>
        </w:rPr>
        <w:t>序</w:t>
      </w:r>
      <w:r w:rsidRPr="00245C29">
        <w:rPr>
          <w:rFonts w:ascii="Times New Roman" w:hAnsi="Times New Roman" w:hint="eastAsia"/>
          <w:kern w:val="0"/>
          <w:szCs w:val="24"/>
        </w:rPr>
        <w:t>的前五名权证投资明细</w:t>
      </w:r>
      <w:bookmarkEnd w:id="75"/>
    </w:p>
    <w:p w:rsidR="001A59F9" w:rsidRPr="00BE4E5D" w:rsidRDefault="001A59F9" w:rsidP="00BE4E5D">
      <w:pPr>
        <w:tabs>
          <w:tab w:val="left" w:pos="426"/>
        </w:tabs>
        <w:spacing w:line="360" w:lineRule="auto"/>
        <w:jc w:val="left"/>
        <w:rPr>
          <w:kern w:val="0"/>
          <w:sz w:val="24"/>
        </w:rPr>
      </w:pPr>
      <w:r w:rsidRPr="009B5FD9">
        <w:rPr>
          <w:kern w:val="0"/>
          <w:sz w:val="24"/>
        </w:rPr>
        <w:t>本基金本报告期末未持有权证。</w:t>
      </w:r>
      <w:r w:rsidR="00BE4E5D">
        <w:rPr>
          <w:rFonts w:hint="eastAsia"/>
          <w:kern w:val="0"/>
          <w:sz w:val="24"/>
        </w:rPr>
        <w:br/>
      </w:r>
    </w:p>
    <w:p w:rsidR="005D072B" w:rsidRPr="00245C29" w:rsidRDefault="005D072B" w:rsidP="00245C29">
      <w:pPr>
        <w:pStyle w:val="20"/>
        <w:spacing w:before="29" w:after="0" w:line="288" w:lineRule="auto"/>
        <w:rPr>
          <w:rFonts w:ascii="Times New Roman" w:hAnsi="Times New Roman"/>
          <w:kern w:val="0"/>
          <w:szCs w:val="24"/>
        </w:rPr>
      </w:pPr>
      <w:r w:rsidRPr="00245C29">
        <w:rPr>
          <w:rFonts w:ascii="Times New Roman" w:hAnsi="Times New Roman" w:hint="eastAsia"/>
          <w:kern w:val="0"/>
          <w:szCs w:val="24"/>
        </w:rPr>
        <w:t xml:space="preserve">8.10 </w:t>
      </w:r>
      <w:r w:rsidRPr="00245C29">
        <w:rPr>
          <w:rFonts w:ascii="Times New Roman" w:hAnsi="Times New Roman" w:hint="eastAsia"/>
          <w:kern w:val="0"/>
          <w:szCs w:val="24"/>
        </w:rPr>
        <w:t>报告期末本基金投资的股指期货交易情况说明</w:t>
      </w:r>
    </w:p>
    <w:p w:rsidR="005D072B" w:rsidRPr="00BE4E5D" w:rsidRDefault="005D072B" w:rsidP="00BE4E5D">
      <w:pPr>
        <w:tabs>
          <w:tab w:val="left" w:pos="426"/>
        </w:tabs>
        <w:spacing w:before="29" w:line="288" w:lineRule="auto"/>
        <w:jc w:val="left"/>
        <w:rPr>
          <w:kern w:val="0"/>
          <w:sz w:val="24"/>
        </w:rPr>
      </w:pPr>
      <w:r w:rsidRPr="00075D2A">
        <w:rPr>
          <w:kern w:val="0"/>
          <w:sz w:val="24"/>
        </w:rPr>
        <w:t>本基金本报告期末未持有股指期货。</w:t>
      </w:r>
      <w:r w:rsidR="00BE4E5D">
        <w:rPr>
          <w:rFonts w:hint="eastAsia"/>
          <w:kern w:val="0"/>
          <w:sz w:val="24"/>
        </w:rPr>
        <w:br/>
      </w:r>
    </w:p>
    <w:p w:rsidR="00E074BE" w:rsidRPr="00245C29" w:rsidRDefault="00E074BE" w:rsidP="00245C29">
      <w:pPr>
        <w:pStyle w:val="20"/>
        <w:spacing w:before="29" w:after="0" w:line="288" w:lineRule="auto"/>
        <w:rPr>
          <w:rFonts w:ascii="Times New Roman" w:hAnsi="Times New Roman"/>
          <w:kern w:val="0"/>
          <w:szCs w:val="24"/>
        </w:rPr>
      </w:pPr>
      <w:r w:rsidRPr="00245C29">
        <w:rPr>
          <w:rFonts w:ascii="Times New Roman" w:hAnsi="Times New Roman" w:hint="eastAsia"/>
          <w:kern w:val="0"/>
          <w:szCs w:val="24"/>
        </w:rPr>
        <w:t>8.11</w:t>
      </w:r>
      <w:r w:rsidRPr="00245C29">
        <w:rPr>
          <w:rFonts w:ascii="Times New Roman" w:hAnsi="Times New Roman" w:hint="eastAsia"/>
          <w:kern w:val="0"/>
          <w:szCs w:val="24"/>
        </w:rPr>
        <w:t>报告期末本基金投资的国债期货交易情况说明</w:t>
      </w:r>
    </w:p>
    <w:p w:rsidR="00294431" w:rsidRPr="00BE4E5D" w:rsidRDefault="00E074BE" w:rsidP="00BE4E5D">
      <w:pPr>
        <w:tabs>
          <w:tab w:val="left" w:pos="426"/>
        </w:tabs>
        <w:spacing w:before="29" w:line="288" w:lineRule="auto"/>
        <w:jc w:val="left"/>
        <w:rPr>
          <w:kern w:val="0"/>
          <w:sz w:val="24"/>
        </w:rPr>
      </w:pPr>
      <w:r w:rsidRPr="00294431">
        <w:rPr>
          <w:rFonts w:hint="eastAsia"/>
          <w:kern w:val="0"/>
          <w:sz w:val="24"/>
        </w:rPr>
        <w:t>本基金本报告期末未持有国债期货。</w:t>
      </w:r>
      <w:r w:rsidR="00BE4E5D">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bookmarkStart w:id="76" w:name="_Toc361324887"/>
      <w:r w:rsidRPr="00245C29">
        <w:rPr>
          <w:rFonts w:ascii="Times New Roman" w:hAnsi="Times New Roman"/>
          <w:kern w:val="0"/>
          <w:szCs w:val="24"/>
        </w:rPr>
        <w:t xml:space="preserve">8.12 </w:t>
      </w:r>
      <w:r w:rsidRPr="00245C29">
        <w:rPr>
          <w:rFonts w:ascii="Times New Roman" w:hAnsi="Times New Roman" w:hint="eastAsia"/>
          <w:kern w:val="0"/>
          <w:szCs w:val="24"/>
        </w:rPr>
        <w:t>投资组合报告附注</w:t>
      </w:r>
      <w:bookmarkEnd w:id="76"/>
    </w:p>
    <w:p w:rsidR="001A59F9" w:rsidRDefault="001A59F9" w:rsidP="00AA16A6">
      <w:pPr>
        <w:spacing w:before="29" w:line="288" w:lineRule="auto"/>
        <w:rPr>
          <w:color w:val="000000"/>
          <w:sz w:val="24"/>
        </w:rPr>
      </w:pPr>
      <w:r w:rsidRPr="00A57982">
        <w:rPr>
          <w:b/>
          <w:color w:val="000000"/>
          <w:sz w:val="24"/>
        </w:rPr>
        <w:t>8.12.1</w:t>
      </w:r>
      <w:r w:rsidRPr="00463BF5">
        <w:rPr>
          <w:color w:val="000000"/>
          <w:sz w:val="24"/>
        </w:rPr>
        <w:t>报告期内本基金投资的前十名证券的发行主体未被监管部门立案调查，在本报告编制日前一年内本基金投资的前十名证券的发行主体未受到公开谴责和处罚。</w:t>
      </w:r>
    </w:p>
    <w:p w:rsidR="001A59F9" w:rsidRDefault="001A59F9" w:rsidP="00AA16A6">
      <w:pPr>
        <w:spacing w:before="29" w:line="288" w:lineRule="auto"/>
        <w:rPr>
          <w:color w:val="000000"/>
          <w:sz w:val="24"/>
        </w:rPr>
      </w:pPr>
      <w:r w:rsidRPr="00A57982">
        <w:rPr>
          <w:b/>
          <w:color w:val="000000"/>
          <w:sz w:val="24"/>
        </w:rPr>
        <w:t>8.12.2</w:t>
      </w:r>
      <w:r w:rsidRPr="00463BF5">
        <w:rPr>
          <w:color w:val="000000"/>
          <w:sz w:val="24"/>
        </w:rPr>
        <w:t>本基金投资的前十名股票中，没有超出基金合同规定的备选股票库之外的股票。</w:t>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8.12.3</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期末其他各项资产构成</w:t>
      </w:r>
    </w:p>
    <w:p w:rsidR="001A59F9" w:rsidRPr="004627DD" w:rsidRDefault="001A59F9" w:rsidP="00026C9C">
      <w:pPr>
        <w:autoSpaceDE w:val="0"/>
        <w:autoSpaceDN w:val="0"/>
        <w:adjustRightInd w:val="0"/>
        <w:spacing w:before="29" w:line="360" w:lineRule="auto"/>
        <w:ind w:left="15"/>
        <w:jc w:val="right"/>
        <w:rPr>
          <w:color w:val="000000"/>
          <w:sz w:val="24"/>
        </w:rPr>
      </w:pPr>
      <w:r w:rsidRPr="004627DD">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6"/>
        <w:gridCol w:w="4117"/>
      </w:tblGrid>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rFonts w:hint="eastAsia"/>
                <w:color w:val="000000"/>
                <w:sz w:val="24"/>
              </w:rPr>
              <w:lastRenderedPageBreak/>
              <w:t>序号</w:t>
            </w:r>
          </w:p>
        </w:tc>
        <w:tc>
          <w:tcPr>
            <w:tcW w:w="4117" w:type="dxa"/>
          </w:tcPr>
          <w:p w:rsidR="001A59F9" w:rsidRPr="005717F5" w:rsidRDefault="001A59F9" w:rsidP="005717F5">
            <w:pPr>
              <w:spacing w:before="29" w:line="288" w:lineRule="auto"/>
              <w:jc w:val="center"/>
              <w:rPr>
                <w:color w:val="000000"/>
                <w:sz w:val="24"/>
              </w:rPr>
            </w:pPr>
            <w:r w:rsidRPr="005717F5">
              <w:rPr>
                <w:rFonts w:hint="eastAsia"/>
                <w:color w:val="000000"/>
                <w:sz w:val="24"/>
              </w:rPr>
              <w:t>名称</w:t>
            </w:r>
          </w:p>
        </w:tc>
        <w:tc>
          <w:tcPr>
            <w:tcW w:w="4118" w:type="dxa"/>
          </w:tcPr>
          <w:p w:rsidR="001A59F9" w:rsidRPr="005717F5" w:rsidRDefault="001A59F9" w:rsidP="005717F5">
            <w:pPr>
              <w:spacing w:before="29" w:line="288" w:lineRule="auto"/>
              <w:jc w:val="center"/>
              <w:rPr>
                <w:color w:val="000000"/>
                <w:sz w:val="24"/>
              </w:rPr>
            </w:pPr>
            <w:r w:rsidRPr="005717F5">
              <w:rPr>
                <w:rFonts w:hint="eastAsia"/>
                <w:color w:val="000000"/>
                <w:sz w:val="24"/>
              </w:rPr>
              <w:t>金额</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1</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存出保证金</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21,732.85</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2</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应收证券清算款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3</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应收股利</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4</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应收利息</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7,560.27</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5</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应收申购款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323,291.99</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6</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其他应收款</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tcPr>
          <w:p w:rsidR="001A59F9" w:rsidRPr="005717F5" w:rsidRDefault="001A59F9" w:rsidP="005717F5">
            <w:pPr>
              <w:spacing w:before="29" w:line="288" w:lineRule="auto"/>
              <w:jc w:val="center"/>
              <w:rPr>
                <w:color w:val="000000"/>
                <w:sz w:val="24"/>
              </w:rPr>
            </w:pPr>
            <w:r w:rsidRPr="005717F5">
              <w:rPr>
                <w:color w:val="000000"/>
                <w:sz w:val="24"/>
              </w:rPr>
              <w:t>7</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待摊费用</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color w:val="000000"/>
                <w:sz w:val="24"/>
              </w:rPr>
              <w:t>8</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其他</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w:t>
            </w:r>
          </w:p>
        </w:tc>
      </w:tr>
      <w:tr w:rsidR="001A59F9" w:rsidRPr="00C51C77" w:rsidTr="00273FD9">
        <w:tc>
          <w:tcPr>
            <w:tcW w:w="765" w:type="dxa"/>
            <w:vAlign w:val="center"/>
          </w:tcPr>
          <w:p w:rsidR="001A59F9" w:rsidRPr="005717F5" w:rsidRDefault="001A59F9" w:rsidP="005717F5">
            <w:pPr>
              <w:spacing w:before="29" w:line="288" w:lineRule="auto"/>
              <w:jc w:val="center"/>
              <w:rPr>
                <w:color w:val="000000"/>
                <w:sz w:val="24"/>
              </w:rPr>
            </w:pPr>
            <w:r w:rsidRPr="005717F5">
              <w:rPr>
                <w:color w:val="000000"/>
                <w:sz w:val="24"/>
              </w:rPr>
              <w:t>9</w:t>
            </w:r>
          </w:p>
        </w:tc>
        <w:tc>
          <w:tcPr>
            <w:tcW w:w="4117" w:type="dxa"/>
            <w:vAlign w:val="center"/>
          </w:tcPr>
          <w:p w:rsidR="001A59F9" w:rsidRPr="005717F5" w:rsidRDefault="001A59F9" w:rsidP="005717F5">
            <w:pPr>
              <w:spacing w:before="29" w:line="288" w:lineRule="auto"/>
              <w:ind w:leftChars="50" w:left="105"/>
              <w:rPr>
                <w:color w:val="000000"/>
                <w:sz w:val="24"/>
              </w:rPr>
            </w:pPr>
            <w:r w:rsidRPr="005717F5">
              <w:rPr>
                <w:rFonts w:hint="eastAsia"/>
                <w:color w:val="000000"/>
                <w:sz w:val="24"/>
              </w:rPr>
              <w:t>合计</w:t>
            </w:r>
          </w:p>
        </w:tc>
        <w:tc>
          <w:tcPr>
            <w:tcW w:w="4118" w:type="dxa"/>
            <w:vAlign w:val="center"/>
          </w:tcPr>
          <w:p w:rsidR="001A59F9" w:rsidRPr="007A020D" w:rsidRDefault="001A59F9" w:rsidP="007A020D">
            <w:pPr>
              <w:autoSpaceDE w:val="0"/>
              <w:autoSpaceDN w:val="0"/>
              <w:adjustRightInd w:val="0"/>
              <w:spacing w:before="29" w:line="288" w:lineRule="auto"/>
              <w:ind w:left="15"/>
              <w:jc w:val="right"/>
              <w:rPr>
                <w:color w:val="000000"/>
                <w:sz w:val="24"/>
              </w:rPr>
            </w:pPr>
            <w:r w:rsidRPr="007A020D">
              <w:rPr>
                <w:color w:val="000000"/>
                <w:sz w:val="24"/>
              </w:rPr>
              <w:t>352,585.11</w:t>
            </w:r>
          </w:p>
        </w:tc>
      </w:tr>
    </w:tbl>
    <w:p w:rsidR="001A59F9" w:rsidRPr="00C51C77" w:rsidRDefault="001A59F9" w:rsidP="00026C9C">
      <w:pPr>
        <w:pStyle w:val="af6"/>
        <w:spacing w:before="0" w:beforeAutospacing="0" w:after="0" w:afterAutospacing="0" w:line="360" w:lineRule="auto"/>
        <w:rPr>
          <w:rFonts w:asciiTheme="minorEastAsia" w:eastAsiaTheme="minorEastAsia" w:hAnsiTheme="minorEastAsia"/>
          <w:b/>
          <w:bCs/>
          <w:color w:val="000000"/>
          <w:sz w:val="21"/>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8.12.4</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期末持有的处于转股期的可转换债券明细</w:t>
      </w:r>
    </w:p>
    <w:p w:rsidR="001A59F9" w:rsidRPr="00C51C77" w:rsidRDefault="001A59F9" w:rsidP="00A81E7C">
      <w:pPr>
        <w:tabs>
          <w:tab w:val="left" w:pos="426"/>
        </w:tabs>
        <w:spacing w:before="29" w:line="288" w:lineRule="auto"/>
        <w:jc w:val="left"/>
        <w:rPr>
          <w:rFonts w:asciiTheme="minorEastAsia" w:eastAsiaTheme="minorEastAsia" w:hAnsiTheme="minorEastAsia"/>
          <w:color w:val="000000"/>
          <w:szCs w:val="21"/>
        </w:rPr>
      </w:pPr>
      <w:r w:rsidRPr="00273FD9">
        <w:rPr>
          <w:kern w:val="0"/>
          <w:sz w:val="24"/>
        </w:rPr>
        <w:t>本基金本报告期末未持有处于转股期的可转换债券。</w:t>
      </w:r>
      <w:r w:rsidR="00A81E7C">
        <w:rPr>
          <w:rFonts w:hint="eastAsia"/>
          <w:kern w:val="0"/>
          <w:sz w:val="24"/>
        </w:rPr>
        <w:br/>
      </w: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8.12.5</w:t>
      </w:r>
      <w:r w:rsidR="008A0029" w:rsidRPr="00245C29">
        <w:rPr>
          <w:rFonts w:ascii="Times New Roman" w:hAnsi="Times New Roman" w:hint="eastAsia"/>
          <w:kern w:val="0"/>
          <w:szCs w:val="24"/>
        </w:rPr>
        <w:t xml:space="preserve"> </w:t>
      </w:r>
      <w:proofErr w:type="gramStart"/>
      <w:r w:rsidRPr="00245C29">
        <w:rPr>
          <w:rFonts w:ascii="Times New Roman" w:hAnsi="Times New Roman" w:hint="eastAsia"/>
          <w:kern w:val="0"/>
          <w:szCs w:val="24"/>
        </w:rPr>
        <w:t>期末前</w:t>
      </w:r>
      <w:proofErr w:type="gramEnd"/>
      <w:r w:rsidRPr="00245C29">
        <w:rPr>
          <w:rFonts w:ascii="Times New Roman" w:hAnsi="Times New Roman" w:hint="eastAsia"/>
          <w:kern w:val="0"/>
          <w:szCs w:val="24"/>
        </w:rPr>
        <w:t>十名股票中存在流通受限情况的说明</w:t>
      </w:r>
    </w:p>
    <w:p w:rsidR="001A59F9" w:rsidRPr="00FC1A5A" w:rsidRDefault="001A59F9" w:rsidP="00FC1A5A">
      <w:pPr>
        <w:autoSpaceDE w:val="0"/>
        <w:autoSpaceDN w:val="0"/>
        <w:adjustRightInd w:val="0"/>
        <w:spacing w:before="29" w:line="288" w:lineRule="auto"/>
        <w:ind w:left="15"/>
        <w:jc w:val="right"/>
        <w:rPr>
          <w:color w:val="000000"/>
          <w:sz w:val="24"/>
        </w:rPr>
      </w:pPr>
      <w:r w:rsidRPr="00FC1A5A">
        <w:rPr>
          <w:rFonts w:hint="eastAsia"/>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8"/>
        <w:gridCol w:w="1272"/>
        <w:gridCol w:w="1271"/>
        <w:gridCol w:w="1870"/>
        <w:gridCol w:w="1522"/>
        <w:gridCol w:w="2005"/>
      </w:tblGrid>
      <w:tr w:rsidR="001A59F9" w:rsidRPr="00C51C77" w:rsidTr="00F53C7C">
        <w:tc>
          <w:tcPr>
            <w:tcW w:w="1083" w:type="dxa"/>
            <w:vAlign w:val="center"/>
          </w:tcPr>
          <w:p w:rsidR="001A59F9" w:rsidRPr="00AA54E3" w:rsidRDefault="001A59F9" w:rsidP="00AA54E3">
            <w:pPr>
              <w:spacing w:before="29" w:line="288" w:lineRule="auto"/>
              <w:ind w:left="17"/>
              <w:jc w:val="center"/>
              <w:rPr>
                <w:color w:val="000000"/>
                <w:sz w:val="24"/>
              </w:rPr>
            </w:pPr>
            <w:r w:rsidRPr="00AA54E3">
              <w:rPr>
                <w:rFonts w:hint="eastAsia"/>
                <w:color w:val="000000"/>
                <w:sz w:val="24"/>
              </w:rPr>
              <w:t>序号</w:t>
            </w:r>
          </w:p>
        </w:tc>
        <w:tc>
          <w:tcPr>
            <w:tcW w:w="1302" w:type="dxa"/>
            <w:vAlign w:val="center"/>
          </w:tcPr>
          <w:p w:rsidR="001A59F9" w:rsidRPr="00AA54E3" w:rsidRDefault="001A59F9" w:rsidP="00AA54E3">
            <w:pPr>
              <w:spacing w:before="29" w:line="288" w:lineRule="auto"/>
              <w:ind w:left="17"/>
              <w:jc w:val="center"/>
              <w:rPr>
                <w:color w:val="000000"/>
                <w:sz w:val="24"/>
              </w:rPr>
            </w:pPr>
            <w:r w:rsidRPr="00AA54E3">
              <w:rPr>
                <w:rFonts w:hint="eastAsia"/>
                <w:color w:val="000000"/>
                <w:sz w:val="24"/>
              </w:rPr>
              <w:t>股票代码</w:t>
            </w:r>
          </w:p>
        </w:tc>
        <w:tc>
          <w:tcPr>
            <w:tcW w:w="1301" w:type="dxa"/>
            <w:vAlign w:val="center"/>
          </w:tcPr>
          <w:p w:rsidR="001A59F9" w:rsidRPr="00AA54E3" w:rsidRDefault="001A59F9" w:rsidP="00AA54E3">
            <w:pPr>
              <w:spacing w:before="29" w:line="288" w:lineRule="auto"/>
              <w:ind w:left="17"/>
              <w:jc w:val="center"/>
              <w:rPr>
                <w:color w:val="000000"/>
                <w:sz w:val="24"/>
              </w:rPr>
            </w:pPr>
            <w:r w:rsidRPr="00AA54E3">
              <w:rPr>
                <w:rFonts w:hint="eastAsia"/>
                <w:color w:val="000000"/>
                <w:sz w:val="24"/>
              </w:rPr>
              <w:t>股票名称</w:t>
            </w:r>
          </w:p>
        </w:tc>
        <w:tc>
          <w:tcPr>
            <w:tcW w:w="1917" w:type="dxa"/>
            <w:vAlign w:val="center"/>
          </w:tcPr>
          <w:p w:rsidR="001A59F9" w:rsidRPr="00AA54E3" w:rsidRDefault="001A59F9" w:rsidP="00AA54E3">
            <w:pPr>
              <w:spacing w:before="29" w:line="288" w:lineRule="auto"/>
              <w:ind w:left="17"/>
              <w:jc w:val="center"/>
              <w:rPr>
                <w:color w:val="000000"/>
                <w:sz w:val="24"/>
              </w:rPr>
            </w:pPr>
            <w:r w:rsidRPr="00AA54E3">
              <w:rPr>
                <w:rFonts w:hint="eastAsia"/>
                <w:color w:val="000000"/>
                <w:sz w:val="24"/>
              </w:rPr>
              <w:t>流通受限部分的公允价值</w:t>
            </w:r>
          </w:p>
        </w:tc>
        <w:tc>
          <w:tcPr>
            <w:tcW w:w="1559" w:type="dxa"/>
            <w:vAlign w:val="center"/>
          </w:tcPr>
          <w:p w:rsidR="001A59F9" w:rsidRPr="00AA54E3" w:rsidRDefault="001A59F9" w:rsidP="00AA54E3">
            <w:pPr>
              <w:spacing w:before="29" w:line="288" w:lineRule="auto"/>
              <w:ind w:left="17"/>
              <w:jc w:val="center"/>
              <w:rPr>
                <w:color w:val="000000"/>
                <w:sz w:val="24"/>
              </w:rPr>
            </w:pPr>
            <w:r w:rsidRPr="00AA54E3">
              <w:rPr>
                <w:rFonts w:hint="eastAsia"/>
                <w:color w:val="000000"/>
                <w:sz w:val="24"/>
              </w:rPr>
              <w:t>占基金资产净值比例</w:t>
            </w:r>
            <w:r w:rsidRPr="00AA54E3">
              <w:rPr>
                <w:color w:val="000000"/>
                <w:sz w:val="24"/>
              </w:rPr>
              <w:t>(%)</w:t>
            </w:r>
          </w:p>
        </w:tc>
        <w:tc>
          <w:tcPr>
            <w:tcW w:w="2056" w:type="dxa"/>
            <w:vAlign w:val="center"/>
          </w:tcPr>
          <w:p w:rsidR="001A59F9" w:rsidRPr="00AA54E3" w:rsidRDefault="001A59F9" w:rsidP="00AA54E3">
            <w:pPr>
              <w:spacing w:before="29" w:line="288" w:lineRule="auto"/>
              <w:ind w:left="17"/>
              <w:jc w:val="center"/>
              <w:rPr>
                <w:color w:val="000000"/>
                <w:sz w:val="24"/>
              </w:rPr>
            </w:pPr>
            <w:r w:rsidRPr="00AA54E3">
              <w:rPr>
                <w:rFonts w:hint="eastAsia"/>
                <w:color w:val="000000"/>
                <w:sz w:val="24"/>
              </w:rPr>
              <w:t>流通受限情况说明</w:t>
            </w:r>
          </w:p>
        </w:tc>
      </w:tr>
      <w:tr w:rsidR="004A4B7D">
        <w:tc>
          <w:tcPr>
            <w:tcW w:w="1058" w:type="dxa"/>
            <w:vAlign w:val="center"/>
          </w:tcPr>
          <w:p w:rsidR="004A4B7D" w:rsidRDefault="00B235F4">
            <w:pPr>
              <w:jc w:val="center"/>
            </w:pPr>
            <w:r>
              <w:rPr>
                <w:color w:val="000000"/>
                <w:sz w:val="24"/>
              </w:rPr>
              <w:t>1</w:t>
            </w:r>
          </w:p>
        </w:tc>
        <w:tc>
          <w:tcPr>
            <w:tcW w:w="1272" w:type="dxa"/>
            <w:vAlign w:val="center"/>
          </w:tcPr>
          <w:p w:rsidR="004A4B7D" w:rsidRDefault="00B235F4">
            <w:pPr>
              <w:jc w:val="center"/>
            </w:pPr>
            <w:r>
              <w:rPr>
                <w:color w:val="000000"/>
                <w:sz w:val="24"/>
              </w:rPr>
              <w:t>600763</w:t>
            </w:r>
          </w:p>
        </w:tc>
        <w:tc>
          <w:tcPr>
            <w:tcW w:w="1271" w:type="dxa"/>
            <w:vAlign w:val="center"/>
          </w:tcPr>
          <w:p w:rsidR="004A4B7D" w:rsidRDefault="00B235F4">
            <w:pPr>
              <w:jc w:val="center"/>
            </w:pPr>
            <w:r>
              <w:rPr>
                <w:color w:val="000000"/>
                <w:sz w:val="24"/>
              </w:rPr>
              <w:t>通策医疗</w:t>
            </w:r>
          </w:p>
        </w:tc>
        <w:tc>
          <w:tcPr>
            <w:tcW w:w="1870" w:type="dxa"/>
            <w:vAlign w:val="center"/>
          </w:tcPr>
          <w:p w:rsidR="004A4B7D" w:rsidRDefault="00B235F4">
            <w:pPr>
              <w:jc w:val="right"/>
            </w:pPr>
            <w:r>
              <w:rPr>
                <w:color w:val="000000"/>
                <w:sz w:val="24"/>
              </w:rPr>
              <w:t>6,392,992.32</w:t>
            </w:r>
          </w:p>
        </w:tc>
        <w:tc>
          <w:tcPr>
            <w:tcW w:w="1522" w:type="dxa"/>
            <w:vAlign w:val="center"/>
          </w:tcPr>
          <w:p w:rsidR="004A4B7D" w:rsidRDefault="00B235F4">
            <w:pPr>
              <w:jc w:val="right"/>
            </w:pPr>
            <w:r>
              <w:rPr>
                <w:color w:val="000000"/>
                <w:sz w:val="24"/>
              </w:rPr>
              <w:t>4.42</w:t>
            </w:r>
          </w:p>
        </w:tc>
        <w:tc>
          <w:tcPr>
            <w:tcW w:w="2005" w:type="dxa"/>
            <w:vAlign w:val="center"/>
          </w:tcPr>
          <w:p w:rsidR="004A4B7D" w:rsidRDefault="00B235F4">
            <w:pPr>
              <w:jc w:val="right"/>
            </w:pPr>
            <w:r>
              <w:rPr>
                <w:color w:val="000000"/>
                <w:sz w:val="24"/>
              </w:rPr>
              <w:t>重大事项</w:t>
            </w:r>
          </w:p>
        </w:tc>
      </w:tr>
      <w:tr w:rsidR="004A4B7D">
        <w:tc>
          <w:tcPr>
            <w:tcW w:w="1058" w:type="dxa"/>
            <w:vAlign w:val="center"/>
          </w:tcPr>
          <w:p w:rsidR="004A4B7D" w:rsidRDefault="00B235F4">
            <w:pPr>
              <w:jc w:val="center"/>
            </w:pPr>
            <w:r>
              <w:rPr>
                <w:color w:val="000000"/>
                <w:sz w:val="24"/>
              </w:rPr>
              <w:t>2</w:t>
            </w:r>
          </w:p>
        </w:tc>
        <w:tc>
          <w:tcPr>
            <w:tcW w:w="1272" w:type="dxa"/>
            <w:vAlign w:val="center"/>
          </w:tcPr>
          <w:p w:rsidR="004A4B7D" w:rsidRDefault="00B235F4">
            <w:pPr>
              <w:jc w:val="center"/>
            </w:pPr>
            <w:r>
              <w:rPr>
                <w:color w:val="000000"/>
                <w:sz w:val="24"/>
              </w:rPr>
              <w:t>000821</w:t>
            </w:r>
          </w:p>
        </w:tc>
        <w:tc>
          <w:tcPr>
            <w:tcW w:w="1271" w:type="dxa"/>
            <w:vAlign w:val="center"/>
          </w:tcPr>
          <w:p w:rsidR="004A4B7D" w:rsidRDefault="00B235F4">
            <w:pPr>
              <w:jc w:val="center"/>
            </w:pPr>
            <w:r>
              <w:rPr>
                <w:color w:val="000000"/>
                <w:sz w:val="24"/>
              </w:rPr>
              <w:t>京山轻机</w:t>
            </w:r>
          </w:p>
        </w:tc>
        <w:tc>
          <w:tcPr>
            <w:tcW w:w="1870" w:type="dxa"/>
            <w:vAlign w:val="center"/>
          </w:tcPr>
          <w:p w:rsidR="004A4B7D" w:rsidRDefault="00B235F4">
            <w:pPr>
              <w:jc w:val="right"/>
            </w:pPr>
            <w:r>
              <w:rPr>
                <w:color w:val="000000"/>
                <w:sz w:val="24"/>
              </w:rPr>
              <w:t>5,755,568.00</w:t>
            </w:r>
          </w:p>
        </w:tc>
        <w:tc>
          <w:tcPr>
            <w:tcW w:w="1522" w:type="dxa"/>
            <w:vAlign w:val="center"/>
          </w:tcPr>
          <w:p w:rsidR="004A4B7D" w:rsidRDefault="00B235F4">
            <w:pPr>
              <w:jc w:val="right"/>
            </w:pPr>
            <w:r>
              <w:rPr>
                <w:color w:val="000000"/>
                <w:sz w:val="24"/>
              </w:rPr>
              <w:t>3.98</w:t>
            </w:r>
          </w:p>
        </w:tc>
        <w:tc>
          <w:tcPr>
            <w:tcW w:w="2005" w:type="dxa"/>
            <w:vAlign w:val="center"/>
          </w:tcPr>
          <w:p w:rsidR="004A4B7D" w:rsidRDefault="00B235F4">
            <w:pPr>
              <w:jc w:val="right"/>
            </w:pPr>
            <w:r>
              <w:rPr>
                <w:color w:val="000000"/>
                <w:sz w:val="24"/>
              </w:rPr>
              <w:t>重大事项</w:t>
            </w:r>
          </w:p>
        </w:tc>
      </w:tr>
    </w:tbl>
    <w:p w:rsidR="00E056A4" w:rsidRPr="00C51C77" w:rsidRDefault="00E056A4" w:rsidP="00026C9C">
      <w:pPr>
        <w:autoSpaceDE w:val="0"/>
        <w:autoSpaceDN w:val="0"/>
        <w:adjustRightInd w:val="0"/>
        <w:spacing w:line="360" w:lineRule="auto"/>
        <w:ind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8.12.6</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投资组合报告附注的其他文字描述部分</w:t>
      </w:r>
    </w:p>
    <w:p w:rsidR="001A59F9" w:rsidRDefault="001A59F9" w:rsidP="00F53C7C">
      <w:pPr>
        <w:spacing w:before="29" w:line="288" w:lineRule="auto"/>
        <w:rPr>
          <w:color w:val="000000"/>
          <w:sz w:val="24"/>
        </w:rPr>
      </w:pPr>
      <w:r w:rsidRPr="00F53C7C">
        <w:rPr>
          <w:color w:val="000000"/>
          <w:sz w:val="24"/>
        </w:rPr>
        <w:t>由于四舍五入的原因，分项之和与合计项之间可能存在尾差。</w:t>
      </w:r>
    </w:p>
    <w:p w:rsidR="00F53C7C" w:rsidRPr="00F53C7C" w:rsidRDefault="00F53C7C" w:rsidP="00F53C7C">
      <w:pPr>
        <w:spacing w:before="29" w:line="288" w:lineRule="auto"/>
        <w:rPr>
          <w:color w:val="000000"/>
          <w:sz w:val="24"/>
        </w:rPr>
      </w:pPr>
    </w:p>
    <w:p w:rsidR="001A59F9" w:rsidRDefault="001A59F9" w:rsidP="00181618">
      <w:pPr>
        <w:pStyle w:val="1"/>
        <w:keepNext/>
        <w:keepLines/>
        <w:widowControl w:val="0"/>
        <w:spacing w:beforeLines="100" w:before="312" w:afterLines="100" w:after="312" w:line="288" w:lineRule="auto"/>
        <w:jc w:val="center"/>
        <w:rPr>
          <w:b/>
          <w:color w:val="000000"/>
          <w:szCs w:val="24"/>
        </w:rPr>
      </w:pPr>
      <w:bookmarkStart w:id="77" w:name="_Toc225500050"/>
      <w:bookmarkStart w:id="78" w:name="_Toc361324888"/>
      <w:r w:rsidRPr="00EF3943">
        <w:rPr>
          <w:rFonts w:hint="eastAsia"/>
          <w:b/>
          <w:color w:val="000000"/>
          <w:szCs w:val="24"/>
        </w:rPr>
        <w:t>§</w:t>
      </w:r>
      <w:r w:rsidRPr="00EF3943">
        <w:rPr>
          <w:b/>
          <w:color w:val="000000"/>
          <w:szCs w:val="24"/>
        </w:rPr>
        <w:t>9</w:t>
      </w:r>
      <w:r w:rsidR="009153A3" w:rsidRPr="00EF3943">
        <w:rPr>
          <w:rFonts w:hint="eastAsia"/>
          <w:b/>
          <w:color w:val="000000"/>
          <w:szCs w:val="24"/>
        </w:rPr>
        <w:t xml:space="preserve">  </w:t>
      </w:r>
      <w:r w:rsidRPr="00EF3943">
        <w:rPr>
          <w:rFonts w:hint="eastAsia"/>
          <w:b/>
          <w:color w:val="000000"/>
          <w:szCs w:val="24"/>
        </w:rPr>
        <w:t>基金份额持有人信息</w:t>
      </w:r>
      <w:bookmarkEnd w:id="77"/>
      <w:bookmarkEnd w:id="78"/>
    </w:p>
    <w:p w:rsidR="001A59F9" w:rsidRPr="00245C29" w:rsidRDefault="001A59F9" w:rsidP="00245C29">
      <w:pPr>
        <w:pStyle w:val="20"/>
        <w:spacing w:before="29" w:after="0" w:line="288" w:lineRule="auto"/>
        <w:rPr>
          <w:rFonts w:ascii="Times New Roman" w:hAnsi="Times New Roman"/>
          <w:kern w:val="0"/>
          <w:szCs w:val="24"/>
        </w:rPr>
      </w:pPr>
      <w:bookmarkStart w:id="79" w:name="_Toc225500051"/>
      <w:bookmarkStart w:id="80" w:name="_Toc361324889"/>
      <w:r w:rsidRPr="00245C29">
        <w:rPr>
          <w:rFonts w:ascii="Times New Roman" w:hAnsi="Times New Roman"/>
          <w:kern w:val="0"/>
          <w:szCs w:val="24"/>
        </w:rPr>
        <w:t xml:space="preserve">9.1 </w:t>
      </w:r>
      <w:r w:rsidRPr="00245C29">
        <w:rPr>
          <w:rFonts w:ascii="Times New Roman" w:hAnsi="Times New Roman" w:hint="eastAsia"/>
          <w:kern w:val="0"/>
          <w:szCs w:val="24"/>
        </w:rPr>
        <w:t>期末基金份额持有人户数及持有人结构</w:t>
      </w:r>
      <w:bookmarkEnd w:id="79"/>
      <w:bookmarkEnd w:id="80"/>
    </w:p>
    <w:p w:rsidR="002869EF" w:rsidRPr="00FC1A5A" w:rsidRDefault="002869EF" w:rsidP="00FC1A5A">
      <w:pPr>
        <w:autoSpaceDE w:val="0"/>
        <w:autoSpaceDN w:val="0"/>
        <w:adjustRightInd w:val="0"/>
        <w:spacing w:before="29" w:line="288" w:lineRule="auto"/>
        <w:ind w:left="15"/>
        <w:jc w:val="right"/>
        <w:rPr>
          <w:color w:val="000000"/>
          <w:sz w:val="24"/>
        </w:rPr>
      </w:pPr>
      <w:r w:rsidRPr="00FC1A5A">
        <w:rPr>
          <w:rFonts w:hint="eastAsia"/>
          <w:color w:val="000000"/>
          <w:sz w:val="24"/>
        </w:rPr>
        <w:t>份额单位：份</w:t>
      </w:r>
    </w:p>
    <w:tbl>
      <w:tblPr>
        <w:tblW w:w="5000" w:type="pct"/>
        <w:tblInd w:w="108" w:type="dxa"/>
        <w:tblLayout w:type="fixed"/>
        <w:tblLook w:val="00A0" w:firstRow="1" w:lastRow="0" w:firstColumn="1" w:lastColumn="0" w:noHBand="0" w:noVBand="0"/>
      </w:tblPr>
      <w:tblGrid>
        <w:gridCol w:w="2049"/>
        <w:gridCol w:w="1463"/>
        <w:gridCol w:w="1757"/>
        <w:gridCol w:w="1129"/>
        <w:gridCol w:w="1792"/>
        <w:gridCol w:w="1096"/>
      </w:tblGrid>
      <w:tr w:rsidR="00B235F4" w:rsidRPr="004B25B0" w:rsidTr="00B235F4">
        <w:tc>
          <w:tcPr>
            <w:tcW w:w="964" w:type="pct"/>
            <w:vMerge w:val="restart"/>
            <w:tcBorders>
              <w:top w:val="single" w:sz="8" w:space="0" w:color="000000"/>
              <w:left w:val="single" w:sz="8" w:space="0" w:color="000000"/>
              <w:right w:val="single" w:sz="8" w:space="0" w:color="000000"/>
            </w:tcBorders>
            <w:vAlign w:val="center"/>
          </w:tcPr>
          <w:p w:rsidR="004A4B7D" w:rsidRDefault="00B235F4">
            <w:pPr>
              <w:jc w:val="center"/>
            </w:pPr>
            <w:r>
              <w:t>持有人户数</w:t>
            </w:r>
            <w:r>
              <w:t>(</w:t>
            </w:r>
            <w:r>
              <w:t>户</w:t>
            </w:r>
            <w:r>
              <w:t>)</w:t>
            </w:r>
          </w:p>
        </w:tc>
        <w:tc>
          <w:tcPr>
            <w:tcW w:w="688" w:type="pct"/>
            <w:vMerge w:val="restar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w:t>
            </w:r>
            <w:proofErr w:type="gramStart"/>
            <w:r w:rsidRPr="004B25B0">
              <w:rPr>
                <w:rFonts w:hint="eastAsia"/>
                <w:color w:val="000000"/>
                <w:szCs w:val="21"/>
              </w:rPr>
              <w:t>人结构</w:t>
            </w:r>
            <w:proofErr w:type="gramEnd"/>
          </w:p>
        </w:tc>
      </w:tr>
      <w:tr w:rsidR="00B235F4" w:rsidRPr="004B25B0" w:rsidTr="00B235F4">
        <w:tc>
          <w:tcPr>
            <w:tcW w:w="964" w:type="pct"/>
            <w:vMerge/>
            <w:tcBorders>
              <w:left w:val="single" w:sz="8" w:space="0" w:color="000000"/>
              <w:right w:val="single" w:sz="8" w:space="0" w:color="000000"/>
            </w:tcBorders>
          </w:tcPr>
          <w:p w:rsidR="004A4B7D" w:rsidRDefault="004A4B7D">
            <w:pPr>
              <w:jc w:val="cente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个人投资者</w:t>
            </w:r>
          </w:p>
        </w:tc>
      </w:tr>
      <w:tr w:rsidR="00B235F4" w:rsidRPr="004B25B0" w:rsidTr="00B235F4">
        <w:tc>
          <w:tcPr>
            <w:tcW w:w="964" w:type="pct"/>
            <w:vMerge/>
            <w:tcBorders>
              <w:left w:val="single" w:sz="8" w:space="0" w:color="000000"/>
              <w:bottom w:val="single" w:sz="8" w:space="0" w:color="000000"/>
              <w:right w:val="single" w:sz="8" w:space="0" w:color="000000"/>
            </w:tcBorders>
          </w:tcPr>
          <w:p w:rsidR="004A4B7D" w:rsidRDefault="004A4B7D">
            <w:pPr>
              <w:jc w:val="center"/>
            </w:pPr>
          </w:p>
        </w:tc>
        <w:tc>
          <w:tcPr>
            <w:tcW w:w="688" w:type="pct"/>
            <w:vMerge/>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F10C5B">
            <w:pPr>
              <w:spacing w:before="29" w:line="288" w:lineRule="auto"/>
              <w:ind w:left="17"/>
              <w:jc w:val="center"/>
              <w:rPr>
                <w:color w:val="000000"/>
                <w:szCs w:val="21"/>
              </w:rPr>
            </w:pPr>
            <w:r w:rsidRPr="004B25B0">
              <w:rPr>
                <w:rFonts w:hint="eastAsia"/>
                <w:color w:val="000000"/>
                <w:szCs w:val="21"/>
              </w:rPr>
              <w:t>占总份额比例</w:t>
            </w:r>
          </w:p>
        </w:tc>
      </w:tr>
      <w:tr w:rsidR="00B235F4" w:rsidRPr="004B25B0" w:rsidTr="00B235F4">
        <w:tc>
          <w:tcPr>
            <w:tcW w:w="964" w:type="pct"/>
            <w:tcBorders>
              <w:top w:val="single" w:sz="8" w:space="0" w:color="000000"/>
              <w:left w:val="single" w:sz="8" w:space="0" w:color="000000"/>
              <w:bottom w:val="single" w:sz="8" w:space="0" w:color="000000"/>
              <w:right w:val="single" w:sz="8" w:space="0" w:color="000000"/>
            </w:tcBorders>
            <w:vAlign w:val="center"/>
          </w:tcPr>
          <w:p w:rsidR="004A4B7D" w:rsidRDefault="00B235F4">
            <w:pPr>
              <w:jc w:val="center"/>
            </w:pPr>
            <w:r>
              <w:rPr>
                <w:bCs/>
                <w:color w:val="000000"/>
                <w:szCs w:val="21"/>
              </w:rPr>
              <w:t>2,882</w:t>
            </w:r>
          </w:p>
        </w:tc>
        <w:tc>
          <w:tcPr>
            <w:tcW w:w="688"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47,048.74</w:t>
            </w:r>
          </w:p>
        </w:tc>
        <w:tc>
          <w:tcPr>
            <w:tcW w:w="826"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62,538,461.54</w:t>
            </w:r>
          </w:p>
        </w:tc>
        <w:tc>
          <w:tcPr>
            <w:tcW w:w="531"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46.12%</w:t>
            </w:r>
          </w:p>
        </w:tc>
        <w:tc>
          <w:tcPr>
            <w:tcW w:w="843" w:type="pct"/>
            <w:tcBorders>
              <w:top w:val="single" w:sz="8" w:space="0" w:color="000000"/>
              <w:left w:val="single" w:sz="8" w:space="0" w:color="000000"/>
              <w:bottom w:val="single" w:sz="8" w:space="0" w:color="000000"/>
              <w:right w:val="single" w:sz="8" w:space="0" w:color="000000"/>
            </w:tcBorders>
            <w:vAlign w:val="center"/>
          </w:tcPr>
          <w:p w:rsidR="002869EF" w:rsidRPr="004B25B0" w:rsidRDefault="002869EF" w:rsidP="005531B6">
            <w:pPr>
              <w:spacing w:line="360" w:lineRule="auto"/>
              <w:jc w:val="right"/>
              <w:rPr>
                <w:bCs/>
                <w:color w:val="000000"/>
                <w:szCs w:val="21"/>
              </w:rPr>
            </w:pPr>
            <w:r w:rsidRPr="004B25B0">
              <w:rPr>
                <w:bCs/>
                <w:color w:val="000000"/>
                <w:szCs w:val="21"/>
              </w:rPr>
              <w:t>73,056,005.50</w:t>
            </w:r>
          </w:p>
        </w:tc>
        <w:tc>
          <w:tcPr>
            <w:tcW w:w="515" w:type="pct"/>
            <w:tcBorders>
              <w:top w:val="single" w:sz="8" w:space="0" w:color="000000"/>
              <w:left w:val="single" w:sz="8" w:space="0" w:color="000000"/>
              <w:bottom w:val="single" w:sz="8" w:space="0" w:color="000000"/>
              <w:right w:val="single" w:sz="4" w:space="0" w:color="auto"/>
            </w:tcBorders>
            <w:vAlign w:val="center"/>
          </w:tcPr>
          <w:p w:rsidR="002869EF" w:rsidRPr="004B25B0" w:rsidRDefault="002869EF" w:rsidP="005531B6">
            <w:pPr>
              <w:spacing w:line="360" w:lineRule="auto"/>
              <w:jc w:val="right"/>
              <w:rPr>
                <w:bCs/>
                <w:color w:val="000000"/>
                <w:szCs w:val="21"/>
              </w:rPr>
            </w:pPr>
            <w:r w:rsidRPr="004B25B0">
              <w:rPr>
                <w:bCs/>
                <w:color w:val="000000"/>
                <w:szCs w:val="21"/>
              </w:rPr>
              <w:t>53.88%</w:t>
            </w:r>
          </w:p>
        </w:tc>
      </w:tr>
    </w:tbl>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1" w:name="_Toc361324891"/>
      <w:r w:rsidRPr="00245C29">
        <w:rPr>
          <w:rFonts w:ascii="Times New Roman" w:hAnsi="Times New Roman"/>
          <w:kern w:val="0"/>
          <w:szCs w:val="24"/>
        </w:rPr>
        <w:t>9.2</w:t>
      </w:r>
      <w:r w:rsidR="008A0029" w:rsidRPr="00245C29">
        <w:rPr>
          <w:rFonts w:ascii="Times New Roman" w:hAnsi="Times New Roman" w:hint="eastAsia"/>
          <w:kern w:val="0"/>
          <w:szCs w:val="24"/>
        </w:rPr>
        <w:t xml:space="preserve"> </w:t>
      </w:r>
      <w:r w:rsidRPr="00245C29">
        <w:rPr>
          <w:rFonts w:ascii="Times New Roman" w:hAnsi="Times New Roman" w:hint="eastAsia"/>
          <w:kern w:val="0"/>
          <w:szCs w:val="24"/>
        </w:rPr>
        <w:t>期末基金管理人的从业人员持有本基金的情况</w:t>
      </w:r>
      <w:bookmarkEnd w:id="81"/>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27"/>
        <w:gridCol w:w="3011"/>
        <w:gridCol w:w="2160"/>
      </w:tblGrid>
      <w:tr w:rsidR="001A59F9" w:rsidRPr="00C51C77" w:rsidTr="00E7239C">
        <w:tc>
          <w:tcPr>
            <w:tcW w:w="3827"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项目</w:t>
            </w:r>
          </w:p>
        </w:tc>
        <w:tc>
          <w:tcPr>
            <w:tcW w:w="3011"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持有份额总数（份）</w:t>
            </w:r>
          </w:p>
        </w:tc>
        <w:tc>
          <w:tcPr>
            <w:tcW w:w="2160" w:type="dxa"/>
            <w:vAlign w:val="center"/>
          </w:tcPr>
          <w:p w:rsidR="001A59F9" w:rsidRPr="00A97873" w:rsidRDefault="001A59F9" w:rsidP="00A97873">
            <w:pPr>
              <w:spacing w:before="29" w:line="288" w:lineRule="auto"/>
              <w:ind w:left="17"/>
              <w:jc w:val="center"/>
              <w:rPr>
                <w:color w:val="000000"/>
                <w:sz w:val="24"/>
              </w:rPr>
            </w:pPr>
            <w:r w:rsidRPr="00A97873">
              <w:rPr>
                <w:rFonts w:hint="eastAsia"/>
                <w:color w:val="000000"/>
                <w:sz w:val="24"/>
              </w:rPr>
              <w:t>占基金总份额比例</w:t>
            </w:r>
          </w:p>
        </w:tc>
      </w:tr>
      <w:tr w:rsidR="001A59F9" w:rsidRPr="00C51C77" w:rsidTr="00E7239C">
        <w:tc>
          <w:tcPr>
            <w:tcW w:w="3827" w:type="dxa"/>
            <w:vAlign w:val="center"/>
          </w:tcPr>
          <w:p w:rsidR="001A59F9" w:rsidRPr="00C51C77" w:rsidRDefault="001A59F9" w:rsidP="004E0F59">
            <w:pPr>
              <w:spacing w:before="29" w:line="288" w:lineRule="auto"/>
              <w:jc w:val="left"/>
              <w:rPr>
                <w:rFonts w:asciiTheme="minorEastAsia" w:eastAsiaTheme="minorEastAsia" w:hAnsiTheme="minorEastAsia"/>
                <w:color w:val="000000"/>
                <w:szCs w:val="21"/>
              </w:rPr>
            </w:pPr>
            <w:r w:rsidRPr="004E0F59">
              <w:rPr>
                <w:rFonts w:hint="eastAsia"/>
                <w:color w:val="000000"/>
                <w:sz w:val="24"/>
              </w:rPr>
              <w:t>基金管理人所有从业人员持有本基金</w:t>
            </w:r>
          </w:p>
        </w:tc>
        <w:tc>
          <w:tcPr>
            <w:tcW w:w="3011" w:type="dxa"/>
            <w:vAlign w:val="center"/>
          </w:tcPr>
          <w:p w:rsidR="001A59F9" w:rsidRPr="00BF787C" w:rsidRDefault="001A59F9" w:rsidP="00BF787C">
            <w:pPr>
              <w:widowControl/>
              <w:spacing w:before="29" w:line="288" w:lineRule="auto"/>
              <w:jc w:val="right"/>
              <w:rPr>
                <w:color w:val="000000"/>
                <w:kern w:val="0"/>
                <w:sz w:val="24"/>
              </w:rPr>
            </w:pPr>
            <w:r w:rsidRPr="00BF787C">
              <w:rPr>
                <w:color w:val="000000"/>
                <w:kern w:val="0"/>
                <w:sz w:val="24"/>
              </w:rPr>
              <w:t>3,136.24</w:t>
            </w:r>
          </w:p>
        </w:tc>
        <w:tc>
          <w:tcPr>
            <w:tcW w:w="2160" w:type="dxa"/>
            <w:vAlign w:val="center"/>
          </w:tcPr>
          <w:p w:rsidR="001A59F9" w:rsidRPr="00BF787C" w:rsidRDefault="001A59F9" w:rsidP="00BF787C">
            <w:pPr>
              <w:widowControl/>
              <w:spacing w:before="29" w:line="288" w:lineRule="auto"/>
              <w:jc w:val="right"/>
              <w:rPr>
                <w:color w:val="000000"/>
                <w:kern w:val="0"/>
                <w:sz w:val="24"/>
              </w:rPr>
            </w:pPr>
            <w:r w:rsidRPr="00BF787C">
              <w:rPr>
                <w:color w:val="000000"/>
                <w:kern w:val="0"/>
                <w:sz w:val="24"/>
              </w:rPr>
              <w:t>0.00%</w:t>
            </w:r>
          </w:p>
        </w:tc>
      </w:tr>
    </w:tbl>
    <w:p w:rsidR="001A59F9" w:rsidRPr="00E7239C" w:rsidRDefault="001A59F9" w:rsidP="00026C9C">
      <w:pPr>
        <w:spacing w:line="360" w:lineRule="auto"/>
        <w:rPr>
          <w:rFonts w:asciiTheme="minorEastAsia" w:eastAsiaTheme="minorEastAsia" w:hAnsiTheme="minorEastAsia"/>
          <w:color w:val="000000"/>
          <w:szCs w:val="21"/>
        </w:rPr>
      </w:pPr>
    </w:p>
    <w:p w:rsidR="00DB4544" w:rsidRPr="00E77BEC" w:rsidRDefault="00DB4544" w:rsidP="00245C29">
      <w:pPr>
        <w:pStyle w:val="20"/>
        <w:spacing w:before="29" w:after="0" w:line="288" w:lineRule="auto"/>
        <w:rPr>
          <w:rFonts w:ascii="宋体" w:hAnsi="宋体"/>
          <w:sz w:val="21"/>
          <w:szCs w:val="21"/>
        </w:rPr>
      </w:pPr>
      <w:r w:rsidRPr="00245C29">
        <w:rPr>
          <w:rFonts w:ascii="Times New Roman" w:hAnsi="Times New Roman"/>
          <w:kern w:val="0"/>
          <w:szCs w:val="24"/>
        </w:rPr>
        <w:t>9.3</w:t>
      </w:r>
      <w:r w:rsidRPr="00245C29">
        <w:rPr>
          <w:rFonts w:ascii="Times New Roman" w:hAnsi="Times New Roman" w:hint="eastAsia"/>
          <w:kern w:val="0"/>
          <w:szCs w:val="24"/>
        </w:rPr>
        <w:t>期末基金管理人的从业人员持有本开放式基金份额总量区间的情况</w:t>
      </w:r>
    </w:p>
    <w:tbl>
      <w:tblPr>
        <w:tblW w:w="899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203"/>
        <w:gridCol w:w="5795"/>
      </w:tblGrid>
      <w:tr w:rsidR="00DB4544" w:rsidRPr="00E77BEC" w:rsidTr="00B41E3D">
        <w:trPr>
          <w:trHeight w:val="285"/>
        </w:trPr>
        <w:tc>
          <w:tcPr>
            <w:tcW w:w="1780" w:type="pct"/>
            <w:shd w:val="clear" w:color="auto" w:fill="auto"/>
            <w:tcMar>
              <w:top w:w="0" w:type="dxa"/>
              <w:left w:w="108" w:type="dxa"/>
              <w:bottom w:w="0" w:type="dxa"/>
              <w:right w:w="108" w:type="dxa"/>
            </w:tcMar>
            <w:vAlign w:val="center"/>
            <w:hideMark/>
          </w:tcPr>
          <w:p w:rsidR="00DB4544" w:rsidRPr="00A97873" w:rsidRDefault="00DB4544" w:rsidP="00A97873">
            <w:pPr>
              <w:spacing w:before="29" w:line="288" w:lineRule="auto"/>
              <w:ind w:left="17"/>
              <w:jc w:val="center"/>
              <w:rPr>
                <w:color w:val="000000"/>
                <w:sz w:val="24"/>
              </w:rPr>
            </w:pPr>
            <w:r w:rsidRPr="00A97873">
              <w:rPr>
                <w:rFonts w:hint="eastAsia"/>
                <w:color w:val="000000"/>
                <w:sz w:val="24"/>
              </w:rPr>
              <w:t>项目</w:t>
            </w:r>
          </w:p>
        </w:tc>
        <w:tc>
          <w:tcPr>
            <w:tcW w:w="3220" w:type="pct"/>
            <w:shd w:val="clear" w:color="auto" w:fill="auto"/>
            <w:tcMar>
              <w:top w:w="0" w:type="dxa"/>
              <w:left w:w="108" w:type="dxa"/>
              <w:bottom w:w="0" w:type="dxa"/>
              <w:right w:w="108" w:type="dxa"/>
            </w:tcMar>
            <w:vAlign w:val="center"/>
            <w:hideMark/>
          </w:tcPr>
          <w:p w:rsidR="00DB4544" w:rsidRPr="00A97873" w:rsidRDefault="00DB4544" w:rsidP="00A97873">
            <w:pPr>
              <w:spacing w:before="29" w:line="288" w:lineRule="auto"/>
              <w:ind w:left="17"/>
              <w:jc w:val="center"/>
              <w:rPr>
                <w:color w:val="000000"/>
                <w:sz w:val="24"/>
              </w:rPr>
            </w:pPr>
            <w:r w:rsidRPr="00A97873">
              <w:rPr>
                <w:rFonts w:hint="eastAsia"/>
                <w:color w:val="000000"/>
                <w:sz w:val="24"/>
              </w:rPr>
              <w:t>持有基金份额总量的数量区间（万份）</w:t>
            </w:r>
          </w:p>
        </w:tc>
      </w:tr>
      <w:tr w:rsidR="00DB4544" w:rsidRPr="00E77BEC" w:rsidTr="00B41E3D">
        <w:trPr>
          <w:trHeight w:val="713"/>
        </w:trPr>
        <w:tc>
          <w:tcPr>
            <w:tcW w:w="1780" w:type="pct"/>
            <w:shd w:val="clear" w:color="auto" w:fill="auto"/>
            <w:tcMar>
              <w:top w:w="0" w:type="dxa"/>
              <w:left w:w="108" w:type="dxa"/>
              <w:bottom w:w="0" w:type="dxa"/>
              <w:right w:w="108" w:type="dxa"/>
            </w:tcMar>
            <w:vAlign w:val="center"/>
            <w:hideMark/>
          </w:tcPr>
          <w:p w:rsidR="00DB4544" w:rsidRPr="00B41E3D" w:rsidRDefault="00DB4544" w:rsidP="00B41E3D">
            <w:pPr>
              <w:spacing w:before="29" w:line="288" w:lineRule="auto"/>
              <w:jc w:val="left"/>
              <w:rPr>
                <w:color w:val="000000"/>
                <w:sz w:val="24"/>
              </w:rPr>
            </w:pPr>
            <w:r w:rsidRPr="00B41E3D">
              <w:rPr>
                <w:rFonts w:hint="eastAsia"/>
                <w:color w:val="000000"/>
                <w:sz w:val="24"/>
              </w:rPr>
              <w:t>本公司高级管理人员、基金投资和研究部门负责人持有本开放式基金</w:t>
            </w:r>
          </w:p>
        </w:tc>
        <w:tc>
          <w:tcPr>
            <w:tcW w:w="3220" w:type="pct"/>
            <w:shd w:val="clear" w:color="auto" w:fill="auto"/>
            <w:tcMar>
              <w:top w:w="0" w:type="dxa"/>
              <w:left w:w="108" w:type="dxa"/>
              <w:bottom w:w="0" w:type="dxa"/>
              <w:right w:w="108" w:type="dxa"/>
            </w:tcMar>
            <w:vAlign w:val="center"/>
            <w:hideMark/>
          </w:tcPr>
          <w:p w:rsidR="00DB4544" w:rsidRPr="00BF787C" w:rsidRDefault="00DB4544" w:rsidP="00BF787C">
            <w:pPr>
              <w:widowControl/>
              <w:spacing w:before="29" w:line="288" w:lineRule="auto"/>
              <w:jc w:val="right"/>
              <w:rPr>
                <w:color w:val="000000"/>
                <w:kern w:val="0"/>
                <w:sz w:val="24"/>
              </w:rPr>
            </w:pPr>
            <w:r w:rsidRPr="00BF787C">
              <w:rPr>
                <w:color w:val="000000"/>
                <w:kern w:val="0"/>
                <w:sz w:val="24"/>
              </w:rPr>
              <w:t>0</w:t>
            </w:r>
          </w:p>
        </w:tc>
      </w:tr>
      <w:tr w:rsidR="00DB4544" w:rsidRPr="00E77BEC" w:rsidTr="00B41E3D">
        <w:trPr>
          <w:trHeight w:val="285"/>
        </w:trPr>
        <w:tc>
          <w:tcPr>
            <w:tcW w:w="1780" w:type="pct"/>
            <w:shd w:val="clear" w:color="auto" w:fill="auto"/>
            <w:tcMar>
              <w:top w:w="0" w:type="dxa"/>
              <w:left w:w="108" w:type="dxa"/>
              <w:bottom w:w="0" w:type="dxa"/>
              <w:right w:w="108" w:type="dxa"/>
            </w:tcMar>
            <w:vAlign w:val="center"/>
            <w:hideMark/>
          </w:tcPr>
          <w:p w:rsidR="00DB4544" w:rsidRPr="00B41E3D" w:rsidRDefault="00DB4544" w:rsidP="00B41E3D">
            <w:pPr>
              <w:spacing w:before="29" w:line="288" w:lineRule="auto"/>
              <w:jc w:val="left"/>
              <w:rPr>
                <w:color w:val="000000"/>
                <w:sz w:val="24"/>
              </w:rPr>
            </w:pPr>
            <w:r w:rsidRPr="00B41E3D">
              <w:rPr>
                <w:rFonts w:hint="eastAsia"/>
                <w:color w:val="000000"/>
                <w:sz w:val="24"/>
              </w:rPr>
              <w:t>本</w:t>
            </w:r>
            <w:proofErr w:type="gramStart"/>
            <w:r w:rsidRPr="00B41E3D">
              <w:rPr>
                <w:rFonts w:hint="eastAsia"/>
                <w:color w:val="000000"/>
                <w:sz w:val="24"/>
              </w:rPr>
              <w:t>基金基金</w:t>
            </w:r>
            <w:proofErr w:type="gramEnd"/>
            <w:r w:rsidRPr="00B41E3D">
              <w:rPr>
                <w:rFonts w:hint="eastAsia"/>
                <w:color w:val="000000"/>
                <w:sz w:val="24"/>
              </w:rPr>
              <w:t>经理持有本开放式基金</w:t>
            </w:r>
          </w:p>
        </w:tc>
        <w:tc>
          <w:tcPr>
            <w:tcW w:w="3220" w:type="pct"/>
            <w:shd w:val="clear" w:color="auto" w:fill="auto"/>
            <w:tcMar>
              <w:top w:w="0" w:type="dxa"/>
              <w:left w:w="108" w:type="dxa"/>
              <w:bottom w:w="0" w:type="dxa"/>
              <w:right w:w="108" w:type="dxa"/>
            </w:tcMar>
            <w:vAlign w:val="center"/>
            <w:hideMark/>
          </w:tcPr>
          <w:p w:rsidR="00DB4544" w:rsidRPr="00BF787C" w:rsidRDefault="00DB4544" w:rsidP="00BF787C">
            <w:pPr>
              <w:widowControl/>
              <w:spacing w:before="29" w:line="288" w:lineRule="auto"/>
              <w:jc w:val="right"/>
              <w:rPr>
                <w:color w:val="000000"/>
                <w:kern w:val="0"/>
                <w:sz w:val="24"/>
              </w:rPr>
            </w:pPr>
            <w:r w:rsidRPr="00BF787C">
              <w:rPr>
                <w:color w:val="000000"/>
                <w:kern w:val="0"/>
                <w:sz w:val="24"/>
              </w:rPr>
              <w:t>0</w:t>
            </w:r>
          </w:p>
        </w:tc>
      </w:tr>
    </w:tbl>
    <w:p w:rsidR="00DB4544" w:rsidRPr="00C51C77" w:rsidRDefault="00DB4544" w:rsidP="00026C9C">
      <w:pPr>
        <w:spacing w:line="360" w:lineRule="auto"/>
        <w:rPr>
          <w:rFonts w:asciiTheme="minorEastAsia" w:eastAsiaTheme="minorEastAsia" w:hAnsiTheme="minorEastAsia"/>
          <w:color w:val="000000"/>
          <w:szCs w:val="21"/>
        </w:rPr>
      </w:pPr>
    </w:p>
    <w:p w:rsidR="001A59F9" w:rsidRDefault="001A59F9" w:rsidP="00300454">
      <w:pPr>
        <w:pStyle w:val="1"/>
        <w:keepNext/>
        <w:keepLines/>
        <w:widowControl w:val="0"/>
        <w:spacing w:before="29" w:line="288" w:lineRule="auto"/>
        <w:jc w:val="center"/>
        <w:rPr>
          <w:b/>
          <w:bCs/>
          <w:szCs w:val="24"/>
          <w:lang w:val="en-US"/>
        </w:rPr>
      </w:pPr>
      <w:bookmarkStart w:id="82" w:name="_Toc225500053"/>
      <w:bookmarkStart w:id="83" w:name="_Toc361324892"/>
      <w:r w:rsidRPr="00300454">
        <w:rPr>
          <w:rFonts w:hint="eastAsia"/>
          <w:b/>
          <w:bCs/>
          <w:szCs w:val="24"/>
          <w:lang w:val="en-US"/>
        </w:rPr>
        <w:t>§</w:t>
      </w:r>
      <w:r w:rsidR="009153A3" w:rsidRPr="00300454">
        <w:rPr>
          <w:b/>
          <w:bCs/>
          <w:szCs w:val="24"/>
          <w:lang w:val="en-US"/>
        </w:rPr>
        <w:t>10</w:t>
      </w:r>
      <w:r w:rsidR="009153A3" w:rsidRPr="00300454">
        <w:rPr>
          <w:rFonts w:hint="eastAsia"/>
          <w:b/>
          <w:bCs/>
          <w:szCs w:val="24"/>
          <w:lang w:val="en-US"/>
        </w:rPr>
        <w:t xml:space="preserve">  </w:t>
      </w:r>
      <w:r w:rsidRPr="00300454">
        <w:rPr>
          <w:rFonts w:hint="eastAsia"/>
          <w:b/>
          <w:bCs/>
          <w:szCs w:val="24"/>
          <w:lang w:val="en-US"/>
        </w:rPr>
        <w:t>开放式基金份额变动</w:t>
      </w:r>
      <w:bookmarkEnd w:id="82"/>
      <w:bookmarkEnd w:id="83"/>
    </w:p>
    <w:p w:rsidR="001A59F9" w:rsidRPr="00FC1A5A" w:rsidRDefault="001A59F9" w:rsidP="00FC1A5A">
      <w:pPr>
        <w:autoSpaceDE w:val="0"/>
        <w:autoSpaceDN w:val="0"/>
        <w:adjustRightInd w:val="0"/>
        <w:spacing w:before="29" w:line="288" w:lineRule="auto"/>
        <w:ind w:left="15"/>
        <w:jc w:val="right"/>
        <w:rPr>
          <w:color w:val="000000"/>
          <w:sz w:val="24"/>
        </w:rPr>
      </w:pPr>
      <w:r w:rsidRPr="00FC1A5A">
        <w:rPr>
          <w:rFonts w:hint="eastAsia"/>
          <w:color w:val="000000"/>
          <w:sz w:val="24"/>
        </w:rPr>
        <w:t>单位：份</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78"/>
        <w:gridCol w:w="3508"/>
      </w:tblGrid>
      <w:tr w:rsidR="001A59F9" w:rsidRPr="00C51C77" w:rsidTr="001E60E8">
        <w:tc>
          <w:tcPr>
            <w:tcW w:w="3111" w:type="pct"/>
            <w:vAlign w:val="center"/>
          </w:tcPr>
          <w:p w:rsidR="001A59F9" w:rsidRPr="00300454" w:rsidRDefault="00A76E17" w:rsidP="00300454">
            <w:pPr>
              <w:spacing w:before="29" w:line="288" w:lineRule="auto"/>
              <w:rPr>
                <w:sz w:val="24"/>
              </w:rPr>
            </w:pPr>
            <w:r w:rsidRPr="00300454">
              <w:rPr>
                <w:rFonts w:hint="eastAsia"/>
                <w:sz w:val="24"/>
              </w:rPr>
              <w:t>基金合同生效日</w:t>
            </w:r>
            <w:r w:rsidRPr="00300454">
              <w:rPr>
                <w:rFonts w:hint="eastAsia"/>
                <w:sz w:val="24"/>
              </w:rPr>
              <w:t>(</w:t>
            </w:r>
            <w:r w:rsidR="00146153" w:rsidRPr="00300454">
              <w:rPr>
                <w:sz w:val="24"/>
              </w:rPr>
              <w:t>2013</w:t>
            </w:r>
            <w:r w:rsidR="00146153" w:rsidRPr="00300454">
              <w:rPr>
                <w:sz w:val="24"/>
              </w:rPr>
              <w:t>年</w:t>
            </w:r>
            <w:r w:rsidR="00146153" w:rsidRPr="00300454">
              <w:rPr>
                <w:sz w:val="24"/>
              </w:rPr>
              <w:t>6</w:t>
            </w:r>
            <w:r w:rsidR="00146153" w:rsidRPr="00300454">
              <w:rPr>
                <w:sz w:val="24"/>
              </w:rPr>
              <w:t>月</w:t>
            </w:r>
            <w:r w:rsidR="00146153" w:rsidRPr="00300454">
              <w:rPr>
                <w:sz w:val="24"/>
              </w:rPr>
              <w:t>5</w:t>
            </w:r>
            <w:r w:rsidR="00146153" w:rsidRPr="00300454">
              <w:rPr>
                <w:sz w:val="24"/>
              </w:rPr>
              <w:t>日</w:t>
            </w:r>
            <w:r w:rsidRPr="00300454">
              <w:rPr>
                <w:rFonts w:hint="eastAsia"/>
                <w:sz w:val="24"/>
              </w:rPr>
              <w:t>)</w:t>
            </w:r>
            <w:r w:rsidR="001A59F9" w:rsidRPr="00300454">
              <w:rPr>
                <w:rFonts w:hint="eastAsia"/>
                <w:sz w:val="24"/>
              </w:rPr>
              <w:t>基金份额总额</w:t>
            </w:r>
          </w:p>
        </w:tc>
        <w:tc>
          <w:tcPr>
            <w:tcW w:w="1889" w:type="pct"/>
          </w:tcPr>
          <w:p w:rsidR="001A59F9" w:rsidRPr="00300454" w:rsidRDefault="001A59F9" w:rsidP="00300454">
            <w:pPr>
              <w:spacing w:before="29" w:line="288" w:lineRule="auto"/>
              <w:jc w:val="right"/>
              <w:rPr>
                <w:sz w:val="24"/>
              </w:rPr>
            </w:pPr>
            <w:r w:rsidRPr="00300454">
              <w:rPr>
                <w:sz w:val="24"/>
              </w:rPr>
              <w:t xml:space="preserve">2,024,955,437.39 </w:t>
            </w:r>
          </w:p>
        </w:tc>
      </w:tr>
      <w:tr w:rsidR="001A59F9" w:rsidRPr="00C51C77" w:rsidTr="001E60E8">
        <w:tc>
          <w:tcPr>
            <w:tcW w:w="3111" w:type="pct"/>
            <w:vAlign w:val="center"/>
          </w:tcPr>
          <w:p w:rsidR="001A59F9" w:rsidRPr="00300454" w:rsidRDefault="0078060F" w:rsidP="00300454">
            <w:pPr>
              <w:spacing w:before="29" w:line="288" w:lineRule="auto"/>
              <w:rPr>
                <w:sz w:val="24"/>
              </w:rPr>
            </w:pPr>
            <w:r w:rsidRPr="00300454">
              <w:rPr>
                <w:rFonts w:hint="eastAsia"/>
                <w:sz w:val="24"/>
              </w:rPr>
              <w:t>本报告期期</w:t>
            </w:r>
            <w:proofErr w:type="gramStart"/>
            <w:r w:rsidRPr="00300454">
              <w:rPr>
                <w:rFonts w:hint="eastAsia"/>
                <w:sz w:val="24"/>
              </w:rPr>
              <w:t>初基金</w:t>
            </w:r>
            <w:proofErr w:type="gramEnd"/>
            <w:r w:rsidRPr="00300454">
              <w:rPr>
                <w:rFonts w:hint="eastAsia"/>
                <w:sz w:val="24"/>
              </w:rPr>
              <w:t>份额总额</w:t>
            </w:r>
          </w:p>
        </w:tc>
        <w:tc>
          <w:tcPr>
            <w:tcW w:w="1889" w:type="pct"/>
          </w:tcPr>
          <w:p w:rsidR="001A59F9" w:rsidRPr="00300454" w:rsidRDefault="001A59F9" w:rsidP="00300454">
            <w:pPr>
              <w:spacing w:before="29" w:line="288" w:lineRule="auto"/>
              <w:jc w:val="right"/>
              <w:rPr>
                <w:sz w:val="24"/>
              </w:rPr>
            </w:pPr>
            <w:r w:rsidRPr="00300454">
              <w:rPr>
                <w:sz w:val="24"/>
              </w:rPr>
              <w:t>74,080,477.11</w:t>
            </w:r>
          </w:p>
        </w:tc>
      </w:tr>
      <w:tr w:rsidR="001A59F9" w:rsidRPr="00C51C77" w:rsidTr="001E60E8">
        <w:tc>
          <w:tcPr>
            <w:tcW w:w="3111" w:type="pct"/>
            <w:vAlign w:val="center"/>
          </w:tcPr>
          <w:p w:rsidR="001A59F9" w:rsidRPr="00300454" w:rsidRDefault="00B94AF7" w:rsidP="00300454">
            <w:pPr>
              <w:spacing w:before="29" w:line="288" w:lineRule="auto"/>
              <w:rPr>
                <w:sz w:val="24"/>
              </w:rPr>
            </w:pPr>
            <w:r w:rsidRPr="00300454">
              <w:rPr>
                <w:sz w:val="24"/>
              </w:rPr>
              <w:t>本报告</w:t>
            </w:r>
            <w:proofErr w:type="gramStart"/>
            <w:r w:rsidRPr="00300454">
              <w:rPr>
                <w:sz w:val="24"/>
              </w:rPr>
              <w:t>期</w:t>
            </w:r>
            <w:r w:rsidR="001A59F9" w:rsidRPr="00300454">
              <w:rPr>
                <w:rFonts w:hint="eastAsia"/>
                <w:sz w:val="24"/>
              </w:rPr>
              <w:t>基金</w:t>
            </w:r>
            <w:proofErr w:type="gramEnd"/>
            <w:r w:rsidR="001A59F9" w:rsidRPr="00300454">
              <w:rPr>
                <w:rFonts w:hint="eastAsia"/>
                <w:sz w:val="24"/>
              </w:rPr>
              <w:t>总申购份额</w:t>
            </w:r>
          </w:p>
        </w:tc>
        <w:tc>
          <w:tcPr>
            <w:tcW w:w="1889" w:type="pct"/>
          </w:tcPr>
          <w:p w:rsidR="001A59F9" w:rsidRPr="00300454" w:rsidRDefault="001A59F9" w:rsidP="00300454">
            <w:pPr>
              <w:spacing w:before="29" w:line="288" w:lineRule="auto"/>
              <w:jc w:val="right"/>
              <w:rPr>
                <w:sz w:val="24"/>
              </w:rPr>
            </w:pPr>
            <w:r w:rsidRPr="00300454">
              <w:rPr>
                <w:sz w:val="24"/>
              </w:rPr>
              <w:t>119,035,723.33</w:t>
            </w:r>
          </w:p>
        </w:tc>
      </w:tr>
      <w:tr w:rsidR="001A59F9" w:rsidRPr="00C51C77" w:rsidTr="001E60E8">
        <w:tc>
          <w:tcPr>
            <w:tcW w:w="3111" w:type="pct"/>
            <w:vAlign w:val="center"/>
          </w:tcPr>
          <w:p w:rsidR="001A59F9" w:rsidRPr="00300454" w:rsidRDefault="001A59F9" w:rsidP="00300454">
            <w:pPr>
              <w:spacing w:before="29" w:line="288" w:lineRule="auto"/>
              <w:rPr>
                <w:sz w:val="24"/>
              </w:rPr>
            </w:pPr>
            <w:r w:rsidRPr="00300454">
              <w:rPr>
                <w:rFonts w:hint="eastAsia"/>
                <w:sz w:val="24"/>
              </w:rPr>
              <w:t>减：</w:t>
            </w:r>
            <w:r w:rsidR="00B94AF7" w:rsidRPr="00300454">
              <w:rPr>
                <w:sz w:val="24"/>
              </w:rPr>
              <w:t>本报告</w:t>
            </w:r>
            <w:proofErr w:type="gramStart"/>
            <w:r w:rsidR="00B94AF7" w:rsidRPr="00300454">
              <w:rPr>
                <w:sz w:val="24"/>
              </w:rPr>
              <w:t>期</w:t>
            </w:r>
            <w:r w:rsidRPr="00300454">
              <w:rPr>
                <w:rFonts w:hint="eastAsia"/>
                <w:sz w:val="24"/>
              </w:rPr>
              <w:t>基金</w:t>
            </w:r>
            <w:proofErr w:type="gramEnd"/>
            <w:r w:rsidRPr="00300454">
              <w:rPr>
                <w:rFonts w:hint="eastAsia"/>
                <w:sz w:val="24"/>
              </w:rPr>
              <w:t>总赎回份额</w:t>
            </w:r>
          </w:p>
        </w:tc>
        <w:tc>
          <w:tcPr>
            <w:tcW w:w="1889" w:type="pct"/>
          </w:tcPr>
          <w:p w:rsidR="001A59F9" w:rsidRPr="00300454" w:rsidRDefault="001A59F9" w:rsidP="00300454">
            <w:pPr>
              <w:spacing w:before="29" w:line="288" w:lineRule="auto"/>
              <w:jc w:val="right"/>
              <w:rPr>
                <w:sz w:val="24"/>
              </w:rPr>
            </w:pPr>
            <w:r w:rsidRPr="00300454">
              <w:rPr>
                <w:sz w:val="24"/>
              </w:rPr>
              <w:t>57,521,733.40</w:t>
            </w:r>
          </w:p>
        </w:tc>
      </w:tr>
      <w:tr w:rsidR="001A59F9" w:rsidRPr="00C51C77" w:rsidTr="001E60E8">
        <w:tc>
          <w:tcPr>
            <w:tcW w:w="3111" w:type="pct"/>
            <w:vAlign w:val="center"/>
          </w:tcPr>
          <w:p w:rsidR="001A59F9" w:rsidRPr="00300454" w:rsidRDefault="00B94AF7" w:rsidP="00300454">
            <w:pPr>
              <w:spacing w:before="29" w:line="288" w:lineRule="auto"/>
              <w:rPr>
                <w:sz w:val="24"/>
              </w:rPr>
            </w:pPr>
            <w:r w:rsidRPr="00300454">
              <w:rPr>
                <w:sz w:val="24"/>
              </w:rPr>
              <w:t>本报告</w:t>
            </w:r>
            <w:proofErr w:type="gramStart"/>
            <w:r w:rsidRPr="00300454">
              <w:rPr>
                <w:sz w:val="24"/>
              </w:rPr>
              <w:t>期</w:t>
            </w:r>
            <w:r w:rsidR="001A59F9" w:rsidRPr="00300454">
              <w:rPr>
                <w:rFonts w:hint="eastAsia"/>
                <w:sz w:val="24"/>
              </w:rPr>
              <w:t>基金</w:t>
            </w:r>
            <w:proofErr w:type="gramEnd"/>
            <w:r w:rsidR="001A59F9" w:rsidRPr="00300454">
              <w:rPr>
                <w:rFonts w:hint="eastAsia"/>
                <w:sz w:val="24"/>
              </w:rPr>
              <w:t>拆分变动份额</w:t>
            </w:r>
          </w:p>
        </w:tc>
        <w:tc>
          <w:tcPr>
            <w:tcW w:w="1889" w:type="pct"/>
          </w:tcPr>
          <w:p w:rsidR="001A59F9" w:rsidRPr="00300454" w:rsidRDefault="001A59F9" w:rsidP="00300454">
            <w:pPr>
              <w:spacing w:before="29" w:line="288" w:lineRule="auto"/>
              <w:jc w:val="right"/>
              <w:rPr>
                <w:sz w:val="24"/>
              </w:rPr>
            </w:pPr>
            <w:r w:rsidRPr="00300454">
              <w:rPr>
                <w:sz w:val="24"/>
              </w:rPr>
              <w:t>-</w:t>
            </w:r>
          </w:p>
        </w:tc>
      </w:tr>
      <w:tr w:rsidR="001A59F9" w:rsidRPr="00C51C77" w:rsidTr="001E60E8">
        <w:tc>
          <w:tcPr>
            <w:tcW w:w="3111" w:type="pct"/>
            <w:vAlign w:val="center"/>
          </w:tcPr>
          <w:p w:rsidR="001A59F9" w:rsidRPr="00300454" w:rsidRDefault="00ED5DF2" w:rsidP="00300454">
            <w:pPr>
              <w:spacing w:before="29" w:line="288" w:lineRule="auto"/>
              <w:rPr>
                <w:sz w:val="24"/>
              </w:rPr>
            </w:pPr>
            <w:r w:rsidRPr="00300454">
              <w:rPr>
                <w:rFonts w:hint="eastAsia"/>
                <w:sz w:val="24"/>
              </w:rPr>
              <w:t>本报告期期末基金份额总额</w:t>
            </w:r>
          </w:p>
        </w:tc>
        <w:tc>
          <w:tcPr>
            <w:tcW w:w="1889" w:type="pct"/>
          </w:tcPr>
          <w:p w:rsidR="001A59F9" w:rsidRPr="00300454" w:rsidRDefault="001A59F9" w:rsidP="00300454">
            <w:pPr>
              <w:spacing w:before="29" w:line="288" w:lineRule="auto"/>
              <w:jc w:val="right"/>
              <w:rPr>
                <w:sz w:val="24"/>
              </w:rPr>
            </w:pPr>
            <w:r w:rsidRPr="00300454">
              <w:rPr>
                <w:sz w:val="24"/>
              </w:rPr>
              <w:t>135,594,467.04</w:t>
            </w:r>
          </w:p>
        </w:tc>
      </w:tr>
    </w:tbl>
    <w:p w:rsidR="004A4B7D" w:rsidRDefault="00B235F4">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r>
        <w:rPr>
          <w:kern w:val="0"/>
          <w:sz w:val="24"/>
        </w:rPr>
        <w:t xml:space="preserve"> </w:t>
      </w:r>
    </w:p>
    <w:p w:rsidR="001A59F9" w:rsidRDefault="001A59F9" w:rsidP="00273FD9">
      <w:pPr>
        <w:tabs>
          <w:tab w:val="left" w:pos="426"/>
        </w:tabs>
        <w:spacing w:before="29" w:line="288" w:lineRule="auto"/>
        <w:jc w:val="left"/>
        <w:rPr>
          <w:kern w:val="0"/>
          <w:sz w:val="24"/>
        </w:rPr>
      </w:pPr>
      <w:r w:rsidRPr="00273FD9">
        <w:rPr>
          <w:kern w:val="0"/>
          <w:sz w:val="24"/>
        </w:rPr>
        <w:t xml:space="preserve">  </w:t>
      </w:r>
      <w:r w:rsidR="00B235F4">
        <w:rPr>
          <w:kern w:val="0"/>
          <w:sz w:val="24"/>
        </w:rPr>
        <w:t xml:space="preserve">  </w:t>
      </w:r>
      <w:r w:rsidRPr="00273FD9">
        <w:rPr>
          <w:kern w:val="0"/>
          <w:sz w:val="24"/>
        </w:rPr>
        <w:t>2</w:t>
      </w:r>
      <w:r w:rsidRPr="00273FD9">
        <w:rPr>
          <w:kern w:val="0"/>
          <w:sz w:val="24"/>
        </w:rPr>
        <w:t>、如果本报告期间发生转换出业务，则总赎回份额中包含该业务。</w:t>
      </w:r>
    </w:p>
    <w:p w:rsidR="00766709" w:rsidRPr="00273FD9" w:rsidRDefault="00766709" w:rsidP="00273FD9">
      <w:pPr>
        <w:tabs>
          <w:tab w:val="left" w:pos="426"/>
        </w:tabs>
        <w:spacing w:before="29" w:line="288" w:lineRule="auto"/>
        <w:jc w:val="left"/>
        <w:rPr>
          <w:kern w:val="0"/>
          <w:sz w:val="24"/>
        </w:rPr>
      </w:pPr>
    </w:p>
    <w:p w:rsidR="001A59F9" w:rsidRDefault="001A59F9" w:rsidP="00181618">
      <w:pPr>
        <w:pStyle w:val="1"/>
        <w:keepNext/>
        <w:keepLines/>
        <w:widowControl w:val="0"/>
        <w:spacing w:beforeLines="100" w:before="312" w:afterLines="100" w:after="312" w:line="288" w:lineRule="auto"/>
        <w:jc w:val="center"/>
        <w:rPr>
          <w:b/>
          <w:bCs/>
          <w:szCs w:val="24"/>
          <w:lang w:val="en-US"/>
        </w:rPr>
      </w:pPr>
      <w:bookmarkStart w:id="84" w:name="_Toc225500054"/>
      <w:bookmarkStart w:id="85" w:name="_Toc361324893"/>
      <w:r w:rsidRPr="00087272">
        <w:rPr>
          <w:rFonts w:hint="eastAsia"/>
          <w:b/>
          <w:bCs/>
          <w:szCs w:val="24"/>
          <w:lang w:val="en-US"/>
        </w:rPr>
        <w:t>§</w:t>
      </w:r>
      <w:r w:rsidRPr="00087272">
        <w:rPr>
          <w:b/>
          <w:bCs/>
          <w:szCs w:val="24"/>
          <w:lang w:val="en-US"/>
        </w:rPr>
        <w:t>11</w:t>
      </w:r>
      <w:r w:rsidR="009153A3" w:rsidRPr="00087272">
        <w:rPr>
          <w:rFonts w:hint="eastAsia"/>
          <w:b/>
          <w:bCs/>
          <w:szCs w:val="24"/>
          <w:lang w:val="en-US"/>
        </w:rPr>
        <w:t xml:space="preserve">  </w:t>
      </w:r>
      <w:r w:rsidRPr="00087272">
        <w:rPr>
          <w:rFonts w:hint="eastAsia"/>
          <w:b/>
          <w:bCs/>
          <w:szCs w:val="24"/>
          <w:lang w:val="en-US"/>
        </w:rPr>
        <w:t>重大事件揭示</w:t>
      </w:r>
      <w:bookmarkEnd w:id="84"/>
      <w:bookmarkEnd w:id="85"/>
    </w:p>
    <w:p w:rsidR="002546CC" w:rsidRPr="002546CC" w:rsidRDefault="002546CC" w:rsidP="002546CC"/>
    <w:p w:rsidR="001A59F9" w:rsidRPr="00245C29" w:rsidRDefault="001A59F9" w:rsidP="00245C29">
      <w:pPr>
        <w:pStyle w:val="20"/>
        <w:spacing w:before="29" w:after="0" w:line="288" w:lineRule="auto"/>
        <w:rPr>
          <w:rFonts w:ascii="Times New Roman" w:hAnsi="Times New Roman"/>
          <w:kern w:val="0"/>
          <w:szCs w:val="24"/>
        </w:rPr>
      </w:pPr>
      <w:bookmarkStart w:id="86" w:name="_Toc361324894"/>
      <w:r w:rsidRPr="00245C29">
        <w:rPr>
          <w:rFonts w:ascii="Times New Roman" w:hAnsi="Times New Roman"/>
          <w:kern w:val="0"/>
          <w:szCs w:val="24"/>
        </w:rPr>
        <w:t>11.1</w:t>
      </w:r>
      <w:r w:rsidRPr="00245C29">
        <w:rPr>
          <w:rFonts w:ascii="Times New Roman" w:hAnsi="Times New Roman" w:hint="eastAsia"/>
          <w:kern w:val="0"/>
          <w:szCs w:val="24"/>
        </w:rPr>
        <w:t>基金份额持有人大会决议</w:t>
      </w:r>
      <w:bookmarkEnd w:id="86"/>
    </w:p>
    <w:p w:rsidR="001A59F9" w:rsidRPr="00700C00" w:rsidRDefault="001A59F9" w:rsidP="00700C00">
      <w:pPr>
        <w:spacing w:before="29" w:line="288" w:lineRule="auto"/>
        <w:ind w:firstLineChars="200" w:firstLine="480"/>
        <w:rPr>
          <w:color w:val="000000"/>
          <w:sz w:val="24"/>
        </w:rPr>
      </w:pPr>
      <w:r w:rsidRPr="00700C00">
        <w:rPr>
          <w:color w:val="000000"/>
          <w:sz w:val="24"/>
        </w:rPr>
        <w:t>本基金本报告期内未召开基金份额持有人大会。</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C51C77" w:rsidRDefault="001A59F9" w:rsidP="00245C29">
      <w:pPr>
        <w:pStyle w:val="20"/>
        <w:spacing w:before="29" w:after="0" w:line="288" w:lineRule="auto"/>
        <w:rPr>
          <w:rFonts w:asciiTheme="minorEastAsia" w:eastAsiaTheme="minorEastAsia" w:hAnsiTheme="minorEastAsia"/>
          <w:kern w:val="0"/>
          <w:sz w:val="21"/>
          <w:szCs w:val="21"/>
        </w:rPr>
      </w:pPr>
      <w:bookmarkStart w:id="87" w:name="_Toc361324895"/>
      <w:r w:rsidRPr="00245C29">
        <w:rPr>
          <w:rFonts w:ascii="Times New Roman" w:hAnsi="Times New Roman"/>
          <w:kern w:val="0"/>
          <w:szCs w:val="24"/>
        </w:rPr>
        <w:t xml:space="preserve">11.2 </w:t>
      </w:r>
      <w:r w:rsidRPr="00245C29">
        <w:rPr>
          <w:rFonts w:ascii="Times New Roman" w:hAnsi="Times New Roman" w:hint="eastAsia"/>
          <w:kern w:val="0"/>
          <w:szCs w:val="24"/>
        </w:rPr>
        <w:t>基金管理人、基金托管人的专门基金托管部门的重大人事变动</w:t>
      </w:r>
      <w:bookmarkEnd w:id="87"/>
    </w:p>
    <w:p w:rsidR="004A4B7D" w:rsidRDefault="00B235F4">
      <w:pPr>
        <w:spacing w:before="29" w:line="288" w:lineRule="auto"/>
        <w:ind w:firstLineChars="200" w:firstLine="480"/>
        <w:rPr>
          <w:color w:val="000000"/>
          <w:sz w:val="24"/>
        </w:rPr>
      </w:pPr>
      <w:r>
        <w:rPr>
          <w:color w:val="000000"/>
          <w:sz w:val="24"/>
        </w:rPr>
        <w:t>1</w:t>
      </w:r>
      <w:r>
        <w:rPr>
          <w:color w:val="000000"/>
          <w:sz w:val="24"/>
        </w:rPr>
        <w:t>、基金管理人的重大人事变动：本报告期内，经公司第四届董事会第九次会议审议通过，乔宏军先生不再担任公司副总经理职务。经公司第四届董事会第十四次会议审</w:t>
      </w:r>
      <w:r>
        <w:rPr>
          <w:color w:val="000000"/>
          <w:sz w:val="24"/>
        </w:rPr>
        <w:lastRenderedPageBreak/>
        <w:t>议通过，印皓女士担任公司副总经理。基金管理人就上述重大人事变动已按照相关规定向监管部门报告并履行了必要的信息披露程序。</w:t>
      </w:r>
      <w:r>
        <w:rPr>
          <w:color w:val="000000"/>
          <w:sz w:val="24"/>
        </w:rPr>
        <w:t xml:space="preserve"> </w:t>
      </w:r>
    </w:p>
    <w:p w:rsidR="001A59F9" w:rsidRPr="00700C00" w:rsidRDefault="001A59F9" w:rsidP="00700C00">
      <w:pPr>
        <w:spacing w:before="29" w:line="288" w:lineRule="auto"/>
        <w:ind w:firstLineChars="200" w:firstLine="480"/>
        <w:rPr>
          <w:color w:val="000000"/>
          <w:sz w:val="24"/>
        </w:rPr>
      </w:pPr>
      <w:r w:rsidRPr="00700C00">
        <w:rPr>
          <w:color w:val="000000"/>
          <w:sz w:val="24"/>
        </w:rPr>
        <w:t>2</w:t>
      </w:r>
      <w:r w:rsidRPr="00700C00">
        <w:rPr>
          <w:color w:val="000000"/>
          <w:sz w:val="24"/>
        </w:rPr>
        <w:t>、基金托管人的基金托管部门的重大人事变动：本基金托管人的专门基金托管部门本报告期内未发生重大人事变动。</w:t>
      </w:r>
      <w:r w:rsidRPr="00700C00">
        <w:rPr>
          <w:color w:val="000000"/>
          <w:sz w:val="24"/>
        </w:rPr>
        <w:t xml:space="preserve"> </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8" w:name="_Toc361324896"/>
      <w:r w:rsidRPr="00245C29">
        <w:rPr>
          <w:rFonts w:ascii="Times New Roman" w:hAnsi="Times New Roman"/>
          <w:kern w:val="0"/>
          <w:szCs w:val="24"/>
        </w:rPr>
        <w:t xml:space="preserve">11.3 </w:t>
      </w:r>
      <w:r w:rsidRPr="00245C29">
        <w:rPr>
          <w:rFonts w:ascii="Times New Roman" w:hAnsi="Times New Roman" w:hint="eastAsia"/>
          <w:kern w:val="0"/>
          <w:szCs w:val="24"/>
        </w:rPr>
        <w:t>涉及基金管理人、基金财产、基金托管业务的诉讼</w:t>
      </w:r>
      <w:bookmarkEnd w:id="88"/>
    </w:p>
    <w:p w:rsidR="001A59F9" w:rsidRPr="00700C00" w:rsidRDefault="001A59F9" w:rsidP="00700C00">
      <w:pPr>
        <w:spacing w:before="29" w:line="288" w:lineRule="auto"/>
        <w:ind w:firstLineChars="200" w:firstLine="480"/>
        <w:rPr>
          <w:color w:val="000000"/>
          <w:sz w:val="24"/>
        </w:rPr>
      </w:pPr>
      <w:r w:rsidRPr="00700C00">
        <w:rPr>
          <w:color w:val="000000"/>
          <w:sz w:val="24"/>
        </w:rPr>
        <w:t>本报告期内未发生涉及本基金管理人、基金财产、基金托管业务的诉讼事项。</w:t>
      </w:r>
      <w:r w:rsidRPr="00700C00">
        <w:rPr>
          <w:color w:val="000000"/>
          <w:sz w:val="24"/>
        </w:rPr>
        <w:t xml:space="preserve"> </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89" w:name="_Toc361324897"/>
      <w:r w:rsidRPr="00245C29">
        <w:rPr>
          <w:rFonts w:ascii="Times New Roman" w:hAnsi="Times New Roman"/>
          <w:kern w:val="0"/>
          <w:szCs w:val="24"/>
        </w:rPr>
        <w:t xml:space="preserve">11.4 </w:t>
      </w:r>
      <w:r w:rsidRPr="00245C29">
        <w:rPr>
          <w:rFonts w:ascii="Times New Roman" w:hAnsi="Times New Roman" w:hint="eastAsia"/>
          <w:kern w:val="0"/>
          <w:szCs w:val="24"/>
        </w:rPr>
        <w:t>基金投资策略的改变</w:t>
      </w:r>
      <w:bookmarkEnd w:id="89"/>
    </w:p>
    <w:p w:rsidR="001A59F9" w:rsidRPr="00700C00" w:rsidRDefault="001A59F9" w:rsidP="00700C00">
      <w:pPr>
        <w:spacing w:before="29" w:line="288" w:lineRule="auto"/>
        <w:ind w:firstLineChars="200" w:firstLine="480"/>
        <w:rPr>
          <w:color w:val="000000"/>
          <w:sz w:val="24"/>
        </w:rPr>
      </w:pPr>
      <w:r w:rsidRPr="00700C00">
        <w:rPr>
          <w:color w:val="000000"/>
          <w:sz w:val="24"/>
        </w:rPr>
        <w:t>本基金本报告期内投资策略未发生改变。</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0" w:name="_Toc361324898"/>
      <w:r w:rsidRPr="00245C29">
        <w:rPr>
          <w:rFonts w:ascii="Times New Roman" w:hAnsi="Times New Roman"/>
          <w:kern w:val="0"/>
          <w:szCs w:val="24"/>
        </w:rPr>
        <w:t>11.5</w:t>
      </w:r>
      <w:bookmarkEnd w:id="90"/>
      <w:r w:rsidR="001134F0" w:rsidRPr="00245C29">
        <w:rPr>
          <w:rFonts w:ascii="Times New Roman" w:hAnsi="Times New Roman" w:hint="eastAsia"/>
          <w:kern w:val="0"/>
          <w:szCs w:val="24"/>
        </w:rPr>
        <w:t>为基金进行审计的会计师事务所情况</w:t>
      </w:r>
    </w:p>
    <w:p w:rsidR="001A59F9" w:rsidRPr="00700C00" w:rsidRDefault="001A59F9" w:rsidP="00700C00">
      <w:pPr>
        <w:spacing w:before="29" w:line="288" w:lineRule="auto"/>
        <w:ind w:firstLineChars="200" w:firstLine="480"/>
        <w:rPr>
          <w:color w:val="000000"/>
          <w:sz w:val="24"/>
        </w:rPr>
      </w:pPr>
      <w:bookmarkStart w:id="91" w:name="OLE_LINK3"/>
      <w:r w:rsidRPr="00700C00">
        <w:rPr>
          <w:color w:val="000000"/>
          <w:sz w:val="24"/>
        </w:rPr>
        <w:t>本报告期内，为本基金提供审计服务的会计师事务所为普华永道中天会计师事务所（特殊普通合伙），本期审计费用为</w:t>
      </w:r>
      <w:r w:rsidRPr="00700C00">
        <w:rPr>
          <w:color w:val="000000"/>
          <w:sz w:val="24"/>
        </w:rPr>
        <w:t>40,000.00</w:t>
      </w:r>
      <w:r w:rsidRPr="00700C00">
        <w:rPr>
          <w:color w:val="000000"/>
          <w:sz w:val="24"/>
        </w:rPr>
        <w:t>元。自本基金合同生效以来，本基金未改聘为其审计的会计师事务所。</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2" w:name="_Toc361324899"/>
      <w:bookmarkEnd w:id="91"/>
      <w:r w:rsidRPr="00245C29">
        <w:rPr>
          <w:rFonts w:ascii="Times New Roman" w:hAnsi="Times New Roman"/>
          <w:kern w:val="0"/>
          <w:szCs w:val="24"/>
        </w:rPr>
        <w:t xml:space="preserve">11.6 </w:t>
      </w:r>
      <w:r w:rsidRPr="00245C29">
        <w:rPr>
          <w:rFonts w:ascii="Times New Roman" w:hAnsi="Times New Roman" w:hint="eastAsia"/>
          <w:kern w:val="0"/>
          <w:szCs w:val="24"/>
        </w:rPr>
        <w:t>管理人、托管人及其高级管理人员受稽查或处罚等情况</w:t>
      </w:r>
      <w:bookmarkEnd w:id="92"/>
    </w:p>
    <w:p w:rsidR="004A4B7D" w:rsidRDefault="00B235F4">
      <w:pPr>
        <w:spacing w:before="29" w:line="288" w:lineRule="auto"/>
        <w:ind w:firstLineChars="200" w:firstLine="480"/>
        <w:rPr>
          <w:color w:val="000000"/>
          <w:sz w:val="24"/>
        </w:rPr>
      </w:pPr>
      <w:r>
        <w:rPr>
          <w:color w:val="000000"/>
          <w:sz w:val="24"/>
        </w:rPr>
        <w:t>1</w:t>
      </w:r>
      <w:r>
        <w:rPr>
          <w:color w:val="000000"/>
          <w:sz w:val="24"/>
        </w:rPr>
        <w:t>、管理人及其高级管理人员受稽查或处罚等情况</w:t>
      </w:r>
    </w:p>
    <w:p w:rsidR="004A4B7D" w:rsidRDefault="00B235F4">
      <w:pPr>
        <w:spacing w:before="29" w:line="288" w:lineRule="auto"/>
        <w:ind w:firstLineChars="200" w:firstLine="480"/>
        <w:rPr>
          <w:color w:val="000000"/>
          <w:sz w:val="24"/>
        </w:rPr>
      </w:pPr>
      <w:r>
        <w:rPr>
          <w:color w:val="000000"/>
          <w:sz w:val="24"/>
        </w:rPr>
        <w:t>公司于</w:t>
      </w:r>
      <w:r>
        <w:rPr>
          <w:color w:val="000000"/>
          <w:sz w:val="24"/>
        </w:rPr>
        <w:t>2016</w:t>
      </w:r>
      <w:r>
        <w:rPr>
          <w:color w:val="000000"/>
          <w:sz w:val="24"/>
        </w:rPr>
        <w:t>年</w:t>
      </w:r>
      <w:r>
        <w:rPr>
          <w:color w:val="000000"/>
          <w:sz w:val="24"/>
        </w:rPr>
        <w:t>1</w:t>
      </w:r>
      <w:r>
        <w:rPr>
          <w:color w:val="000000"/>
          <w:sz w:val="24"/>
        </w:rPr>
        <w:t>月和</w:t>
      </w:r>
      <w:r>
        <w:rPr>
          <w:color w:val="000000"/>
          <w:sz w:val="24"/>
        </w:rPr>
        <w:t>10</w:t>
      </w:r>
      <w:r>
        <w:rPr>
          <w:color w:val="000000"/>
          <w:sz w:val="24"/>
        </w:rPr>
        <w:t>月接受来自上海证监局和中国证监会的现场检查，并于报告期内收到监管部门对公司相关负责人的警示。公司已认真落实整改要求，加强制度和风控措施，进一步提升了公司内部控制和风险管理能力，并向监管部门进行了报告。除上述情况外，报告期内管理人及其高级管理人员无受稽查或处罚等情况。</w:t>
      </w:r>
    </w:p>
    <w:p w:rsidR="004A4B7D" w:rsidRDefault="00B235F4">
      <w:pPr>
        <w:spacing w:before="29" w:line="288" w:lineRule="auto"/>
        <w:ind w:firstLineChars="200" w:firstLine="480"/>
        <w:rPr>
          <w:color w:val="000000"/>
          <w:sz w:val="24"/>
        </w:rPr>
      </w:pPr>
      <w:r>
        <w:rPr>
          <w:color w:val="000000"/>
          <w:sz w:val="24"/>
        </w:rPr>
        <w:t>2</w:t>
      </w:r>
      <w:r>
        <w:rPr>
          <w:color w:val="000000"/>
          <w:sz w:val="24"/>
        </w:rPr>
        <w:t>、托管人及其高级管理人员受稽查或处罚等情况</w:t>
      </w:r>
    </w:p>
    <w:p w:rsidR="001A59F9" w:rsidRPr="00700C00" w:rsidRDefault="001A59F9" w:rsidP="00700C00">
      <w:pPr>
        <w:spacing w:before="29" w:line="288" w:lineRule="auto"/>
        <w:ind w:firstLineChars="200" w:firstLine="480"/>
        <w:rPr>
          <w:color w:val="000000"/>
          <w:sz w:val="24"/>
        </w:rPr>
      </w:pPr>
      <w:r w:rsidRPr="00700C00">
        <w:rPr>
          <w:color w:val="000000"/>
          <w:sz w:val="24"/>
        </w:rPr>
        <w:t>基金托管人及其高级管理人员本报告期内未受监管部门稽查或处罚。</w:t>
      </w:r>
    </w:p>
    <w:p w:rsidR="00087272" w:rsidRPr="00C51C77" w:rsidRDefault="00087272" w:rsidP="00016A50">
      <w:pPr>
        <w:spacing w:line="360" w:lineRule="auto"/>
        <w:ind w:firstLineChars="200" w:firstLine="420"/>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bookmarkStart w:id="93" w:name="_Toc361324900"/>
      <w:r w:rsidRPr="00245C29">
        <w:rPr>
          <w:rFonts w:ascii="Times New Roman" w:hAnsi="Times New Roman"/>
          <w:kern w:val="0"/>
          <w:szCs w:val="24"/>
        </w:rPr>
        <w:t xml:space="preserve">11.7 </w:t>
      </w:r>
      <w:r w:rsidRPr="00245C29">
        <w:rPr>
          <w:rFonts w:ascii="Times New Roman" w:hAnsi="Times New Roman" w:hint="eastAsia"/>
          <w:kern w:val="0"/>
          <w:szCs w:val="24"/>
        </w:rPr>
        <w:t>基金租用证券公司交易单元的有关情况</w:t>
      </w:r>
      <w:bookmarkEnd w:id="93"/>
    </w:p>
    <w:p w:rsidR="001A59F9" w:rsidRPr="00245C29" w:rsidRDefault="001A59F9" w:rsidP="00245C29">
      <w:pPr>
        <w:pStyle w:val="20"/>
        <w:spacing w:before="29" w:after="0" w:line="288" w:lineRule="auto"/>
        <w:rPr>
          <w:rFonts w:ascii="Times New Roman" w:hAnsi="Times New Roman"/>
          <w:kern w:val="0"/>
          <w:szCs w:val="24"/>
        </w:rPr>
      </w:pPr>
      <w:bookmarkStart w:id="94" w:name="_Toc249760070"/>
      <w:r w:rsidRPr="00245C29">
        <w:rPr>
          <w:rFonts w:ascii="Times New Roman" w:hAnsi="Times New Roman"/>
          <w:kern w:val="0"/>
          <w:szCs w:val="24"/>
        </w:rPr>
        <w:t>11.7.1</w:t>
      </w:r>
      <w:r w:rsidRPr="00245C29">
        <w:rPr>
          <w:rFonts w:ascii="Times New Roman" w:hAnsi="Times New Roman" w:hint="eastAsia"/>
          <w:kern w:val="0"/>
          <w:szCs w:val="24"/>
        </w:rPr>
        <w:t>基金租用证券公司交易单元进行股票投资及佣金支付情况</w:t>
      </w:r>
      <w:bookmarkEnd w:id="94"/>
    </w:p>
    <w:p w:rsidR="001A59F9" w:rsidRPr="00FC1A5A" w:rsidRDefault="001A59F9" w:rsidP="00FC1A5A">
      <w:pPr>
        <w:autoSpaceDE w:val="0"/>
        <w:autoSpaceDN w:val="0"/>
        <w:adjustRightInd w:val="0"/>
        <w:spacing w:before="29" w:line="288" w:lineRule="auto"/>
        <w:ind w:left="15"/>
        <w:jc w:val="right"/>
        <w:rPr>
          <w:color w:val="000000"/>
          <w:sz w:val="24"/>
        </w:rPr>
      </w:pPr>
      <w:r w:rsidRPr="00FC1A5A">
        <w:rPr>
          <w:rFonts w:hint="eastAsia"/>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779"/>
        <w:gridCol w:w="1800"/>
        <w:gridCol w:w="1080"/>
        <w:gridCol w:w="1620"/>
        <w:gridCol w:w="1080"/>
        <w:gridCol w:w="1080"/>
      </w:tblGrid>
      <w:tr w:rsidR="001A59F9" w:rsidRPr="00465C9F" w:rsidTr="00EA2417">
        <w:tc>
          <w:tcPr>
            <w:tcW w:w="1560" w:type="dxa"/>
            <w:vMerge w:val="restart"/>
            <w:vAlign w:val="center"/>
          </w:tcPr>
          <w:p w:rsidR="001A59F9" w:rsidRPr="00465C9F" w:rsidRDefault="001A59F9" w:rsidP="00A97873">
            <w:pPr>
              <w:spacing w:before="29" w:line="288" w:lineRule="auto"/>
              <w:ind w:left="17"/>
              <w:jc w:val="center"/>
              <w:rPr>
                <w:color w:val="000000"/>
                <w:szCs w:val="21"/>
              </w:rPr>
            </w:pPr>
            <w:bookmarkStart w:id="95" w:name="_Toc249760071"/>
            <w:r w:rsidRPr="00465C9F">
              <w:rPr>
                <w:rFonts w:hint="eastAsia"/>
                <w:color w:val="000000"/>
                <w:szCs w:val="21"/>
              </w:rPr>
              <w:t>券商名称</w:t>
            </w:r>
          </w:p>
        </w:tc>
        <w:tc>
          <w:tcPr>
            <w:tcW w:w="780" w:type="dxa"/>
            <w:vMerge w:val="restart"/>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交易单元数量</w:t>
            </w:r>
          </w:p>
        </w:tc>
        <w:tc>
          <w:tcPr>
            <w:tcW w:w="2880" w:type="dxa"/>
            <w:gridSpan w:val="2"/>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股票交易</w:t>
            </w:r>
          </w:p>
        </w:tc>
        <w:tc>
          <w:tcPr>
            <w:tcW w:w="2700" w:type="dxa"/>
            <w:gridSpan w:val="2"/>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应支付该券商的佣金</w:t>
            </w:r>
          </w:p>
        </w:tc>
        <w:tc>
          <w:tcPr>
            <w:tcW w:w="1080" w:type="dxa"/>
            <w:vMerge w:val="restart"/>
            <w:vAlign w:val="center"/>
          </w:tcPr>
          <w:p w:rsidR="001A59F9" w:rsidRPr="00465C9F" w:rsidRDefault="001A59F9" w:rsidP="00A97873">
            <w:pPr>
              <w:spacing w:before="29" w:line="288" w:lineRule="auto"/>
              <w:ind w:left="17"/>
              <w:jc w:val="center"/>
              <w:rPr>
                <w:rFonts w:asciiTheme="minorEastAsia" w:eastAsiaTheme="minorEastAsia" w:hAnsiTheme="minorEastAsia"/>
                <w:color w:val="000000"/>
                <w:kern w:val="0"/>
                <w:szCs w:val="21"/>
              </w:rPr>
            </w:pPr>
            <w:r w:rsidRPr="00465C9F">
              <w:rPr>
                <w:rFonts w:hint="eastAsia"/>
                <w:color w:val="000000"/>
                <w:szCs w:val="21"/>
              </w:rPr>
              <w:t>备注</w:t>
            </w:r>
          </w:p>
        </w:tc>
      </w:tr>
      <w:tr w:rsidR="001A59F9" w:rsidRPr="00465C9F" w:rsidTr="00EA2417">
        <w:tc>
          <w:tcPr>
            <w:tcW w:w="900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szCs w:val="21"/>
              </w:rPr>
            </w:pPr>
          </w:p>
        </w:tc>
        <w:tc>
          <w:tcPr>
            <w:tcW w:w="78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szCs w:val="21"/>
              </w:rPr>
            </w:pPr>
          </w:p>
        </w:tc>
        <w:tc>
          <w:tcPr>
            <w:tcW w:w="180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成交金额</w:t>
            </w:r>
          </w:p>
        </w:tc>
        <w:tc>
          <w:tcPr>
            <w:tcW w:w="108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占当期股票成交总额的比例</w:t>
            </w:r>
          </w:p>
        </w:tc>
        <w:tc>
          <w:tcPr>
            <w:tcW w:w="162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佣金</w:t>
            </w:r>
          </w:p>
        </w:tc>
        <w:tc>
          <w:tcPr>
            <w:tcW w:w="1080" w:type="dxa"/>
            <w:vAlign w:val="center"/>
          </w:tcPr>
          <w:p w:rsidR="001A59F9" w:rsidRPr="00465C9F" w:rsidRDefault="001A59F9" w:rsidP="00A97873">
            <w:pPr>
              <w:spacing w:before="29" w:line="288" w:lineRule="auto"/>
              <w:ind w:left="17"/>
              <w:jc w:val="center"/>
              <w:rPr>
                <w:color w:val="000000"/>
                <w:szCs w:val="21"/>
              </w:rPr>
            </w:pPr>
            <w:r w:rsidRPr="00465C9F">
              <w:rPr>
                <w:rFonts w:hint="eastAsia"/>
                <w:color w:val="000000"/>
                <w:szCs w:val="21"/>
              </w:rPr>
              <w:t>占当期佣金总量的比例</w:t>
            </w:r>
          </w:p>
        </w:tc>
        <w:tc>
          <w:tcPr>
            <w:tcW w:w="1080" w:type="dxa"/>
            <w:vMerge/>
            <w:vAlign w:val="center"/>
          </w:tcPr>
          <w:p w:rsidR="001A59F9" w:rsidRPr="00465C9F" w:rsidRDefault="001A59F9" w:rsidP="00026C9C">
            <w:pPr>
              <w:widowControl/>
              <w:spacing w:line="360" w:lineRule="auto"/>
              <w:jc w:val="left"/>
              <w:rPr>
                <w:rFonts w:asciiTheme="minorEastAsia" w:eastAsiaTheme="minorEastAsia" w:hAnsiTheme="minorEastAsia"/>
                <w:color w:val="000000"/>
                <w:kern w:val="0"/>
                <w:szCs w:val="21"/>
              </w:rPr>
            </w:pPr>
          </w:p>
        </w:tc>
      </w:tr>
      <w:tr w:rsidR="004A4B7D">
        <w:tc>
          <w:tcPr>
            <w:tcW w:w="1559" w:type="dxa"/>
            <w:vAlign w:val="center"/>
          </w:tcPr>
          <w:p w:rsidR="004A4B7D" w:rsidRDefault="00B235F4">
            <w:pPr>
              <w:jc w:val="left"/>
            </w:pPr>
            <w:r>
              <w:rPr>
                <w:color w:val="000000"/>
                <w:szCs w:val="21"/>
              </w:rPr>
              <w:t>方正证券股份有限公司</w:t>
            </w:r>
          </w:p>
        </w:tc>
        <w:tc>
          <w:tcPr>
            <w:tcW w:w="779" w:type="dxa"/>
            <w:vAlign w:val="center"/>
          </w:tcPr>
          <w:p w:rsidR="004A4B7D" w:rsidRDefault="00B235F4">
            <w:pPr>
              <w:jc w:val="right"/>
            </w:pPr>
            <w:r>
              <w:rPr>
                <w:color w:val="000000"/>
                <w:szCs w:val="21"/>
              </w:rPr>
              <w:t>1</w:t>
            </w:r>
          </w:p>
        </w:tc>
        <w:tc>
          <w:tcPr>
            <w:tcW w:w="1800" w:type="dxa"/>
            <w:vAlign w:val="center"/>
          </w:tcPr>
          <w:p w:rsidR="004A4B7D" w:rsidRDefault="00B235F4">
            <w:pPr>
              <w:jc w:val="right"/>
            </w:pPr>
            <w:r>
              <w:rPr>
                <w:color w:val="000000"/>
                <w:szCs w:val="21"/>
              </w:rPr>
              <w:t>78,059,302.81</w:t>
            </w:r>
          </w:p>
        </w:tc>
        <w:tc>
          <w:tcPr>
            <w:tcW w:w="1080" w:type="dxa"/>
            <w:vAlign w:val="center"/>
          </w:tcPr>
          <w:p w:rsidR="004A4B7D" w:rsidRDefault="00B235F4">
            <w:pPr>
              <w:jc w:val="right"/>
            </w:pPr>
            <w:r>
              <w:rPr>
                <w:color w:val="000000"/>
                <w:szCs w:val="21"/>
              </w:rPr>
              <w:t>31.32%</w:t>
            </w:r>
          </w:p>
        </w:tc>
        <w:tc>
          <w:tcPr>
            <w:tcW w:w="1620" w:type="dxa"/>
            <w:vAlign w:val="center"/>
          </w:tcPr>
          <w:p w:rsidR="004A4B7D" w:rsidRDefault="00B235F4">
            <w:pPr>
              <w:jc w:val="right"/>
            </w:pPr>
            <w:r>
              <w:rPr>
                <w:color w:val="000000"/>
                <w:szCs w:val="21"/>
              </w:rPr>
              <w:t>72,696.83</w:t>
            </w:r>
          </w:p>
        </w:tc>
        <w:tc>
          <w:tcPr>
            <w:tcW w:w="1080" w:type="dxa"/>
            <w:vAlign w:val="center"/>
          </w:tcPr>
          <w:p w:rsidR="004A4B7D" w:rsidRDefault="00B235F4">
            <w:pPr>
              <w:jc w:val="right"/>
            </w:pPr>
            <w:r>
              <w:rPr>
                <w:color w:val="000000"/>
                <w:szCs w:val="21"/>
              </w:rPr>
              <w:t>31.32%</w:t>
            </w:r>
          </w:p>
        </w:tc>
        <w:tc>
          <w:tcPr>
            <w:tcW w:w="1080" w:type="dxa"/>
            <w:vAlign w:val="center"/>
          </w:tcPr>
          <w:p w:rsidR="004A4B7D" w:rsidRDefault="00B235F4">
            <w:pPr>
              <w:jc w:val="left"/>
            </w:pPr>
            <w:r>
              <w:rPr>
                <w:color w:val="000000"/>
                <w:szCs w:val="21"/>
              </w:rPr>
              <w:t>-</w:t>
            </w:r>
          </w:p>
        </w:tc>
      </w:tr>
      <w:tr w:rsidR="004A4B7D">
        <w:tc>
          <w:tcPr>
            <w:tcW w:w="1559" w:type="dxa"/>
            <w:vAlign w:val="center"/>
          </w:tcPr>
          <w:p w:rsidR="004A4B7D" w:rsidRDefault="00B235F4">
            <w:pPr>
              <w:jc w:val="left"/>
            </w:pPr>
            <w:r>
              <w:rPr>
                <w:color w:val="000000"/>
                <w:szCs w:val="21"/>
              </w:rPr>
              <w:t>中信证券股份</w:t>
            </w:r>
            <w:r>
              <w:rPr>
                <w:color w:val="000000"/>
                <w:szCs w:val="21"/>
              </w:rPr>
              <w:lastRenderedPageBreak/>
              <w:t>有限公司</w:t>
            </w:r>
          </w:p>
        </w:tc>
        <w:tc>
          <w:tcPr>
            <w:tcW w:w="779" w:type="dxa"/>
            <w:vAlign w:val="center"/>
          </w:tcPr>
          <w:p w:rsidR="004A4B7D" w:rsidRDefault="00B235F4">
            <w:pPr>
              <w:jc w:val="right"/>
            </w:pPr>
            <w:r>
              <w:rPr>
                <w:color w:val="000000"/>
                <w:szCs w:val="21"/>
              </w:rPr>
              <w:lastRenderedPageBreak/>
              <w:t>1</w:t>
            </w:r>
          </w:p>
        </w:tc>
        <w:tc>
          <w:tcPr>
            <w:tcW w:w="1800" w:type="dxa"/>
            <w:vAlign w:val="center"/>
          </w:tcPr>
          <w:p w:rsidR="004A4B7D" w:rsidRDefault="00B235F4">
            <w:pPr>
              <w:jc w:val="right"/>
            </w:pPr>
            <w:r>
              <w:rPr>
                <w:color w:val="000000"/>
                <w:szCs w:val="21"/>
              </w:rPr>
              <w:t>7,199,714.56</w:t>
            </w:r>
          </w:p>
        </w:tc>
        <w:tc>
          <w:tcPr>
            <w:tcW w:w="1080" w:type="dxa"/>
            <w:vAlign w:val="center"/>
          </w:tcPr>
          <w:p w:rsidR="004A4B7D" w:rsidRDefault="00B235F4">
            <w:pPr>
              <w:jc w:val="right"/>
            </w:pPr>
            <w:r>
              <w:rPr>
                <w:color w:val="000000"/>
                <w:szCs w:val="21"/>
              </w:rPr>
              <w:t>2.89%</w:t>
            </w:r>
          </w:p>
        </w:tc>
        <w:tc>
          <w:tcPr>
            <w:tcW w:w="1620" w:type="dxa"/>
            <w:vAlign w:val="center"/>
          </w:tcPr>
          <w:p w:rsidR="004A4B7D" w:rsidRDefault="00B235F4">
            <w:pPr>
              <w:jc w:val="right"/>
            </w:pPr>
            <w:r>
              <w:rPr>
                <w:color w:val="000000"/>
                <w:szCs w:val="21"/>
              </w:rPr>
              <w:t>6,705.15</w:t>
            </w:r>
          </w:p>
        </w:tc>
        <w:tc>
          <w:tcPr>
            <w:tcW w:w="1080" w:type="dxa"/>
            <w:vAlign w:val="center"/>
          </w:tcPr>
          <w:p w:rsidR="004A4B7D" w:rsidRDefault="00B235F4">
            <w:pPr>
              <w:jc w:val="right"/>
            </w:pPr>
            <w:r>
              <w:rPr>
                <w:color w:val="000000"/>
                <w:szCs w:val="21"/>
              </w:rPr>
              <w:t>2.89%</w:t>
            </w:r>
          </w:p>
        </w:tc>
        <w:tc>
          <w:tcPr>
            <w:tcW w:w="1080" w:type="dxa"/>
            <w:vAlign w:val="center"/>
          </w:tcPr>
          <w:p w:rsidR="004A4B7D" w:rsidRDefault="00B235F4">
            <w:pPr>
              <w:jc w:val="left"/>
            </w:pPr>
            <w:r>
              <w:rPr>
                <w:color w:val="000000"/>
                <w:szCs w:val="21"/>
              </w:rPr>
              <w:t>-</w:t>
            </w:r>
          </w:p>
        </w:tc>
      </w:tr>
      <w:tr w:rsidR="004A4B7D">
        <w:tc>
          <w:tcPr>
            <w:tcW w:w="1559" w:type="dxa"/>
            <w:vAlign w:val="center"/>
          </w:tcPr>
          <w:p w:rsidR="004A4B7D" w:rsidRDefault="00B235F4">
            <w:pPr>
              <w:jc w:val="left"/>
            </w:pPr>
            <w:r>
              <w:rPr>
                <w:color w:val="000000"/>
                <w:szCs w:val="21"/>
              </w:rPr>
              <w:lastRenderedPageBreak/>
              <w:t>中国国际金融有限公司</w:t>
            </w:r>
          </w:p>
        </w:tc>
        <w:tc>
          <w:tcPr>
            <w:tcW w:w="779" w:type="dxa"/>
            <w:vAlign w:val="center"/>
          </w:tcPr>
          <w:p w:rsidR="004A4B7D" w:rsidRDefault="00B235F4">
            <w:pPr>
              <w:jc w:val="right"/>
            </w:pPr>
            <w:r>
              <w:rPr>
                <w:color w:val="000000"/>
                <w:szCs w:val="21"/>
              </w:rPr>
              <w:t>1</w:t>
            </w:r>
          </w:p>
        </w:tc>
        <w:tc>
          <w:tcPr>
            <w:tcW w:w="1800" w:type="dxa"/>
            <w:vAlign w:val="center"/>
          </w:tcPr>
          <w:p w:rsidR="004A4B7D" w:rsidRDefault="00B235F4">
            <w:pPr>
              <w:jc w:val="right"/>
            </w:pPr>
            <w:r>
              <w:rPr>
                <w:color w:val="000000"/>
                <w:szCs w:val="21"/>
              </w:rPr>
              <w:t>6,319,858.53</w:t>
            </w:r>
          </w:p>
        </w:tc>
        <w:tc>
          <w:tcPr>
            <w:tcW w:w="1080" w:type="dxa"/>
            <w:vAlign w:val="center"/>
          </w:tcPr>
          <w:p w:rsidR="004A4B7D" w:rsidRDefault="00B235F4">
            <w:pPr>
              <w:jc w:val="right"/>
            </w:pPr>
            <w:r>
              <w:rPr>
                <w:color w:val="000000"/>
                <w:szCs w:val="21"/>
              </w:rPr>
              <w:t>2.54%</w:t>
            </w:r>
          </w:p>
        </w:tc>
        <w:tc>
          <w:tcPr>
            <w:tcW w:w="1620" w:type="dxa"/>
            <w:vAlign w:val="center"/>
          </w:tcPr>
          <w:p w:rsidR="004A4B7D" w:rsidRDefault="00B235F4">
            <w:pPr>
              <w:jc w:val="right"/>
            </w:pPr>
            <w:r>
              <w:rPr>
                <w:color w:val="000000"/>
                <w:szCs w:val="21"/>
              </w:rPr>
              <w:t>5,885.70</w:t>
            </w:r>
          </w:p>
        </w:tc>
        <w:tc>
          <w:tcPr>
            <w:tcW w:w="1080" w:type="dxa"/>
            <w:vAlign w:val="center"/>
          </w:tcPr>
          <w:p w:rsidR="004A4B7D" w:rsidRDefault="00B235F4">
            <w:pPr>
              <w:jc w:val="right"/>
            </w:pPr>
            <w:r>
              <w:rPr>
                <w:color w:val="000000"/>
                <w:szCs w:val="21"/>
              </w:rPr>
              <w:t>2.54%</w:t>
            </w:r>
          </w:p>
        </w:tc>
        <w:tc>
          <w:tcPr>
            <w:tcW w:w="1080" w:type="dxa"/>
            <w:vAlign w:val="center"/>
          </w:tcPr>
          <w:p w:rsidR="004A4B7D" w:rsidRDefault="00B235F4">
            <w:pPr>
              <w:jc w:val="left"/>
            </w:pPr>
            <w:r>
              <w:rPr>
                <w:color w:val="000000"/>
                <w:szCs w:val="21"/>
              </w:rPr>
              <w:t>-</w:t>
            </w:r>
          </w:p>
        </w:tc>
      </w:tr>
      <w:tr w:rsidR="004A4B7D">
        <w:tc>
          <w:tcPr>
            <w:tcW w:w="1559" w:type="dxa"/>
            <w:vAlign w:val="center"/>
          </w:tcPr>
          <w:p w:rsidR="004A4B7D" w:rsidRDefault="00B235F4">
            <w:pPr>
              <w:jc w:val="left"/>
            </w:pPr>
            <w:r>
              <w:rPr>
                <w:color w:val="000000"/>
                <w:szCs w:val="21"/>
              </w:rPr>
              <w:t>中</w:t>
            </w:r>
            <w:proofErr w:type="gramStart"/>
            <w:r>
              <w:rPr>
                <w:color w:val="000000"/>
                <w:szCs w:val="21"/>
              </w:rPr>
              <w:t>信建投证券</w:t>
            </w:r>
            <w:proofErr w:type="gramEnd"/>
            <w:r>
              <w:rPr>
                <w:color w:val="000000"/>
                <w:szCs w:val="21"/>
              </w:rPr>
              <w:t>股份有限公司</w:t>
            </w:r>
          </w:p>
        </w:tc>
        <w:tc>
          <w:tcPr>
            <w:tcW w:w="779" w:type="dxa"/>
            <w:vAlign w:val="center"/>
          </w:tcPr>
          <w:p w:rsidR="004A4B7D" w:rsidRDefault="00B235F4">
            <w:pPr>
              <w:jc w:val="right"/>
            </w:pPr>
            <w:r>
              <w:rPr>
                <w:color w:val="000000"/>
                <w:szCs w:val="21"/>
              </w:rPr>
              <w:t>2</w:t>
            </w:r>
          </w:p>
        </w:tc>
        <w:tc>
          <w:tcPr>
            <w:tcW w:w="1800" w:type="dxa"/>
            <w:vAlign w:val="center"/>
          </w:tcPr>
          <w:p w:rsidR="004A4B7D" w:rsidRDefault="00B235F4">
            <w:pPr>
              <w:jc w:val="right"/>
            </w:pPr>
            <w:r>
              <w:rPr>
                <w:color w:val="000000"/>
                <w:szCs w:val="21"/>
              </w:rPr>
              <w:t>625,590.00</w:t>
            </w:r>
          </w:p>
        </w:tc>
        <w:tc>
          <w:tcPr>
            <w:tcW w:w="1080" w:type="dxa"/>
            <w:vAlign w:val="center"/>
          </w:tcPr>
          <w:p w:rsidR="004A4B7D" w:rsidRDefault="00B235F4">
            <w:pPr>
              <w:jc w:val="right"/>
            </w:pPr>
            <w:r>
              <w:rPr>
                <w:color w:val="000000"/>
                <w:szCs w:val="21"/>
              </w:rPr>
              <w:t>0.25%</w:t>
            </w:r>
          </w:p>
        </w:tc>
        <w:tc>
          <w:tcPr>
            <w:tcW w:w="1620" w:type="dxa"/>
            <w:vAlign w:val="center"/>
          </w:tcPr>
          <w:p w:rsidR="004A4B7D" w:rsidRDefault="00B235F4">
            <w:pPr>
              <w:jc w:val="right"/>
            </w:pPr>
            <w:r>
              <w:rPr>
                <w:color w:val="000000"/>
                <w:szCs w:val="21"/>
              </w:rPr>
              <w:t>582.61</w:t>
            </w:r>
          </w:p>
        </w:tc>
        <w:tc>
          <w:tcPr>
            <w:tcW w:w="1080" w:type="dxa"/>
            <w:vAlign w:val="center"/>
          </w:tcPr>
          <w:p w:rsidR="004A4B7D" w:rsidRDefault="00B235F4">
            <w:pPr>
              <w:jc w:val="right"/>
            </w:pPr>
            <w:r>
              <w:rPr>
                <w:color w:val="000000"/>
                <w:szCs w:val="21"/>
              </w:rPr>
              <w:t>0.25%</w:t>
            </w:r>
          </w:p>
        </w:tc>
        <w:tc>
          <w:tcPr>
            <w:tcW w:w="1080" w:type="dxa"/>
            <w:vAlign w:val="center"/>
          </w:tcPr>
          <w:p w:rsidR="004A4B7D" w:rsidRDefault="00B235F4">
            <w:pPr>
              <w:jc w:val="left"/>
            </w:pPr>
            <w:r>
              <w:rPr>
                <w:color w:val="000000"/>
                <w:szCs w:val="21"/>
              </w:rPr>
              <w:t>-</w:t>
            </w:r>
          </w:p>
        </w:tc>
      </w:tr>
      <w:tr w:rsidR="004A4B7D">
        <w:tc>
          <w:tcPr>
            <w:tcW w:w="1559" w:type="dxa"/>
            <w:vAlign w:val="center"/>
          </w:tcPr>
          <w:p w:rsidR="004A4B7D" w:rsidRDefault="00B235F4">
            <w:pPr>
              <w:jc w:val="left"/>
            </w:pPr>
            <w:proofErr w:type="gramStart"/>
            <w:r>
              <w:rPr>
                <w:color w:val="000000"/>
                <w:szCs w:val="21"/>
              </w:rPr>
              <w:t>申万宏源证券</w:t>
            </w:r>
            <w:proofErr w:type="gramEnd"/>
            <w:r>
              <w:rPr>
                <w:color w:val="000000"/>
                <w:szCs w:val="21"/>
              </w:rPr>
              <w:t>有限公司</w:t>
            </w:r>
          </w:p>
        </w:tc>
        <w:tc>
          <w:tcPr>
            <w:tcW w:w="779" w:type="dxa"/>
            <w:vAlign w:val="center"/>
          </w:tcPr>
          <w:p w:rsidR="004A4B7D" w:rsidRDefault="00B235F4">
            <w:pPr>
              <w:jc w:val="right"/>
            </w:pPr>
            <w:r>
              <w:rPr>
                <w:color w:val="000000"/>
                <w:szCs w:val="21"/>
              </w:rPr>
              <w:t>2</w:t>
            </w:r>
          </w:p>
        </w:tc>
        <w:tc>
          <w:tcPr>
            <w:tcW w:w="1800" w:type="dxa"/>
            <w:vAlign w:val="center"/>
          </w:tcPr>
          <w:p w:rsidR="004A4B7D" w:rsidRDefault="00B235F4">
            <w:pPr>
              <w:jc w:val="right"/>
            </w:pPr>
            <w:r>
              <w:rPr>
                <w:color w:val="000000"/>
                <w:szCs w:val="21"/>
              </w:rPr>
              <w:t>4,860,181.00</w:t>
            </w:r>
          </w:p>
        </w:tc>
        <w:tc>
          <w:tcPr>
            <w:tcW w:w="1080" w:type="dxa"/>
            <w:vAlign w:val="center"/>
          </w:tcPr>
          <w:p w:rsidR="004A4B7D" w:rsidRDefault="00B235F4">
            <w:pPr>
              <w:jc w:val="right"/>
            </w:pPr>
            <w:r>
              <w:rPr>
                <w:color w:val="000000"/>
                <w:szCs w:val="21"/>
              </w:rPr>
              <w:t>1.95%</w:t>
            </w:r>
          </w:p>
        </w:tc>
        <w:tc>
          <w:tcPr>
            <w:tcW w:w="1620" w:type="dxa"/>
            <w:vAlign w:val="center"/>
          </w:tcPr>
          <w:p w:rsidR="004A4B7D" w:rsidRDefault="00B235F4">
            <w:pPr>
              <w:jc w:val="right"/>
            </w:pPr>
            <w:r>
              <w:rPr>
                <w:color w:val="000000"/>
                <w:szCs w:val="21"/>
              </w:rPr>
              <w:t>4,526.29</w:t>
            </w:r>
          </w:p>
        </w:tc>
        <w:tc>
          <w:tcPr>
            <w:tcW w:w="1080" w:type="dxa"/>
            <w:vAlign w:val="center"/>
          </w:tcPr>
          <w:p w:rsidR="004A4B7D" w:rsidRDefault="00B235F4">
            <w:pPr>
              <w:jc w:val="right"/>
            </w:pPr>
            <w:r>
              <w:rPr>
                <w:color w:val="000000"/>
                <w:szCs w:val="21"/>
              </w:rPr>
              <w:t>1.95%</w:t>
            </w:r>
          </w:p>
        </w:tc>
        <w:tc>
          <w:tcPr>
            <w:tcW w:w="1080" w:type="dxa"/>
            <w:vAlign w:val="center"/>
          </w:tcPr>
          <w:p w:rsidR="004A4B7D" w:rsidRDefault="00B235F4">
            <w:pPr>
              <w:jc w:val="left"/>
            </w:pPr>
            <w:r>
              <w:rPr>
                <w:color w:val="000000"/>
                <w:szCs w:val="21"/>
              </w:rPr>
              <w:t>-</w:t>
            </w:r>
          </w:p>
        </w:tc>
      </w:tr>
      <w:tr w:rsidR="004A4B7D">
        <w:tc>
          <w:tcPr>
            <w:tcW w:w="1559" w:type="dxa"/>
            <w:vAlign w:val="center"/>
          </w:tcPr>
          <w:p w:rsidR="004A4B7D" w:rsidRDefault="00B235F4">
            <w:pPr>
              <w:jc w:val="left"/>
            </w:pPr>
            <w:r>
              <w:rPr>
                <w:color w:val="000000"/>
                <w:szCs w:val="21"/>
              </w:rPr>
              <w:t>东方证券股份有限公司</w:t>
            </w:r>
          </w:p>
        </w:tc>
        <w:tc>
          <w:tcPr>
            <w:tcW w:w="779" w:type="dxa"/>
            <w:vAlign w:val="center"/>
          </w:tcPr>
          <w:p w:rsidR="004A4B7D" w:rsidRDefault="00B235F4">
            <w:pPr>
              <w:jc w:val="right"/>
            </w:pPr>
            <w:r>
              <w:rPr>
                <w:color w:val="000000"/>
                <w:szCs w:val="21"/>
              </w:rPr>
              <w:t>1</w:t>
            </w:r>
          </w:p>
        </w:tc>
        <w:tc>
          <w:tcPr>
            <w:tcW w:w="1800" w:type="dxa"/>
            <w:vAlign w:val="center"/>
          </w:tcPr>
          <w:p w:rsidR="004A4B7D" w:rsidRDefault="00B235F4">
            <w:pPr>
              <w:jc w:val="right"/>
            </w:pPr>
            <w:r>
              <w:rPr>
                <w:color w:val="000000"/>
                <w:szCs w:val="21"/>
              </w:rPr>
              <w:t>447,580.00</w:t>
            </w:r>
          </w:p>
        </w:tc>
        <w:tc>
          <w:tcPr>
            <w:tcW w:w="1080" w:type="dxa"/>
            <w:vAlign w:val="center"/>
          </w:tcPr>
          <w:p w:rsidR="004A4B7D" w:rsidRDefault="00B235F4">
            <w:pPr>
              <w:jc w:val="right"/>
            </w:pPr>
            <w:r>
              <w:rPr>
                <w:color w:val="000000"/>
                <w:szCs w:val="21"/>
              </w:rPr>
              <w:t>0.18%</w:t>
            </w:r>
          </w:p>
        </w:tc>
        <w:tc>
          <w:tcPr>
            <w:tcW w:w="1620" w:type="dxa"/>
            <w:vAlign w:val="center"/>
          </w:tcPr>
          <w:p w:rsidR="004A4B7D" w:rsidRDefault="00B235F4">
            <w:pPr>
              <w:jc w:val="right"/>
            </w:pPr>
            <w:r>
              <w:rPr>
                <w:color w:val="000000"/>
                <w:szCs w:val="21"/>
              </w:rPr>
              <w:t>416.84</w:t>
            </w:r>
          </w:p>
        </w:tc>
        <w:tc>
          <w:tcPr>
            <w:tcW w:w="1080" w:type="dxa"/>
            <w:vAlign w:val="center"/>
          </w:tcPr>
          <w:p w:rsidR="004A4B7D" w:rsidRDefault="00B235F4">
            <w:pPr>
              <w:jc w:val="right"/>
            </w:pPr>
            <w:r>
              <w:rPr>
                <w:color w:val="000000"/>
                <w:szCs w:val="21"/>
              </w:rPr>
              <w:t>0.18%</w:t>
            </w:r>
          </w:p>
        </w:tc>
        <w:tc>
          <w:tcPr>
            <w:tcW w:w="1080" w:type="dxa"/>
            <w:vAlign w:val="center"/>
          </w:tcPr>
          <w:p w:rsidR="004A4B7D" w:rsidRDefault="00B235F4">
            <w:pPr>
              <w:jc w:val="left"/>
            </w:pPr>
            <w:r>
              <w:rPr>
                <w:color w:val="000000"/>
                <w:szCs w:val="21"/>
              </w:rPr>
              <w:t>-</w:t>
            </w:r>
          </w:p>
        </w:tc>
      </w:tr>
      <w:tr w:rsidR="004A4B7D">
        <w:tc>
          <w:tcPr>
            <w:tcW w:w="1559" w:type="dxa"/>
            <w:vAlign w:val="center"/>
          </w:tcPr>
          <w:p w:rsidR="004A4B7D" w:rsidRDefault="00B235F4">
            <w:pPr>
              <w:jc w:val="left"/>
            </w:pPr>
            <w:r>
              <w:rPr>
                <w:color w:val="000000"/>
                <w:szCs w:val="21"/>
              </w:rPr>
              <w:t>平安证券有限责任公司</w:t>
            </w:r>
          </w:p>
        </w:tc>
        <w:tc>
          <w:tcPr>
            <w:tcW w:w="779" w:type="dxa"/>
            <w:vAlign w:val="center"/>
          </w:tcPr>
          <w:p w:rsidR="004A4B7D" w:rsidRDefault="00B235F4">
            <w:pPr>
              <w:jc w:val="right"/>
            </w:pPr>
            <w:r>
              <w:rPr>
                <w:color w:val="000000"/>
                <w:szCs w:val="21"/>
              </w:rPr>
              <w:t>1</w:t>
            </w:r>
          </w:p>
        </w:tc>
        <w:tc>
          <w:tcPr>
            <w:tcW w:w="1800" w:type="dxa"/>
            <w:vAlign w:val="center"/>
          </w:tcPr>
          <w:p w:rsidR="004A4B7D" w:rsidRDefault="00B235F4">
            <w:pPr>
              <w:jc w:val="right"/>
            </w:pPr>
            <w:r>
              <w:rPr>
                <w:color w:val="000000"/>
                <w:szCs w:val="21"/>
              </w:rPr>
              <w:t>3,914,624.00</w:t>
            </w:r>
          </w:p>
        </w:tc>
        <w:tc>
          <w:tcPr>
            <w:tcW w:w="1080" w:type="dxa"/>
            <w:vAlign w:val="center"/>
          </w:tcPr>
          <w:p w:rsidR="004A4B7D" w:rsidRDefault="00B235F4">
            <w:pPr>
              <w:jc w:val="right"/>
            </w:pPr>
            <w:r>
              <w:rPr>
                <w:color w:val="000000"/>
                <w:szCs w:val="21"/>
              </w:rPr>
              <w:t>1.57%</w:t>
            </w:r>
          </w:p>
        </w:tc>
        <w:tc>
          <w:tcPr>
            <w:tcW w:w="1620" w:type="dxa"/>
            <w:vAlign w:val="center"/>
          </w:tcPr>
          <w:p w:rsidR="004A4B7D" w:rsidRDefault="00B235F4">
            <w:pPr>
              <w:jc w:val="right"/>
            </w:pPr>
            <w:r>
              <w:rPr>
                <w:color w:val="000000"/>
                <w:szCs w:val="21"/>
              </w:rPr>
              <w:t>3,645.62</w:t>
            </w:r>
          </w:p>
        </w:tc>
        <w:tc>
          <w:tcPr>
            <w:tcW w:w="1080" w:type="dxa"/>
            <w:vAlign w:val="center"/>
          </w:tcPr>
          <w:p w:rsidR="004A4B7D" w:rsidRDefault="00B235F4">
            <w:pPr>
              <w:jc w:val="right"/>
            </w:pPr>
            <w:r>
              <w:rPr>
                <w:color w:val="000000"/>
                <w:szCs w:val="21"/>
              </w:rPr>
              <w:t>1.57%</w:t>
            </w:r>
          </w:p>
        </w:tc>
        <w:tc>
          <w:tcPr>
            <w:tcW w:w="1080" w:type="dxa"/>
            <w:vAlign w:val="center"/>
          </w:tcPr>
          <w:p w:rsidR="004A4B7D" w:rsidRDefault="00B235F4">
            <w:pPr>
              <w:jc w:val="left"/>
            </w:pPr>
            <w:r>
              <w:rPr>
                <w:color w:val="000000"/>
                <w:szCs w:val="21"/>
              </w:rPr>
              <w:t>-</w:t>
            </w:r>
          </w:p>
        </w:tc>
      </w:tr>
      <w:tr w:rsidR="004A4B7D">
        <w:tc>
          <w:tcPr>
            <w:tcW w:w="1559" w:type="dxa"/>
            <w:vAlign w:val="center"/>
          </w:tcPr>
          <w:p w:rsidR="004A4B7D" w:rsidRDefault="00B235F4">
            <w:pPr>
              <w:jc w:val="left"/>
            </w:pPr>
            <w:r>
              <w:rPr>
                <w:color w:val="000000"/>
                <w:szCs w:val="21"/>
              </w:rPr>
              <w:t>长江证券股份有限公司</w:t>
            </w:r>
          </w:p>
        </w:tc>
        <w:tc>
          <w:tcPr>
            <w:tcW w:w="779" w:type="dxa"/>
            <w:vAlign w:val="center"/>
          </w:tcPr>
          <w:p w:rsidR="004A4B7D" w:rsidRDefault="00B235F4">
            <w:pPr>
              <w:jc w:val="right"/>
            </w:pPr>
            <w:r>
              <w:rPr>
                <w:color w:val="000000"/>
                <w:szCs w:val="21"/>
              </w:rPr>
              <w:t>2</w:t>
            </w:r>
          </w:p>
        </w:tc>
        <w:tc>
          <w:tcPr>
            <w:tcW w:w="1800" w:type="dxa"/>
            <w:vAlign w:val="center"/>
          </w:tcPr>
          <w:p w:rsidR="004A4B7D" w:rsidRDefault="00B235F4">
            <w:pPr>
              <w:jc w:val="right"/>
            </w:pPr>
            <w:r>
              <w:rPr>
                <w:color w:val="000000"/>
                <w:szCs w:val="21"/>
              </w:rPr>
              <w:t>37,611,443.52</w:t>
            </w:r>
          </w:p>
        </w:tc>
        <w:tc>
          <w:tcPr>
            <w:tcW w:w="1080" w:type="dxa"/>
            <w:vAlign w:val="center"/>
          </w:tcPr>
          <w:p w:rsidR="004A4B7D" w:rsidRDefault="00B235F4">
            <w:pPr>
              <w:jc w:val="right"/>
            </w:pPr>
            <w:r>
              <w:rPr>
                <w:color w:val="000000"/>
                <w:szCs w:val="21"/>
              </w:rPr>
              <w:t>15.09%</w:t>
            </w:r>
          </w:p>
        </w:tc>
        <w:tc>
          <w:tcPr>
            <w:tcW w:w="1620" w:type="dxa"/>
            <w:vAlign w:val="center"/>
          </w:tcPr>
          <w:p w:rsidR="004A4B7D" w:rsidRDefault="00B235F4">
            <w:pPr>
              <w:jc w:val="right"/>
            </w:pPr>
            <w:r>
              <w:rPr>
                <w:color w:val="000000"/>
                <w:szCs w:val="21"/>
              </w:rPr>
              <w:t>35,027.82</w:t>
            </w:r>
          </w:p>
        </w:tc>
        <w:tc>
          <w:tcPr>
            <w:tcW w:w="1080" w:type="dxa"/>
            <w:vAlign w:val="center"/>
          </w:tcPr>
          <w:p w:rsidR="004A4B7D" w:rsidRDefault="00B235F4">
            <w:pPr>
              <w:jc w:val="right"/>
            </w:pPr>
            <w:r>
              <w:rPr>
                <w:color w:val="000000"/>
                <w:szCs w:val="21"/>
              </w:rPr>
              <w:t>15.09%</w:t>
            </w:r>
          </w:p>
        </w:tc>
        <w:tc>
          <w:tcPr>
            <w:tcW w:w="1080" w:type="dxa"/>
            <w:vAlign w:val="center"/>
          </w:tcPr>
          <w:p w:rsidR="004A4B7D" w:rsidRDefault="00B235F4">
            <w:pPr>
              <w:jc w:val="left"/>
            </w:pPr>
            <w:r>
              <w:rPr>
                <w:color w:val="000000"/>
                <w:szCs w:val="21"/>
              </w:rPr>
              <w:t>-</w:t>
            </w:r>
          </w:p>
        </w:tc>
      </w:tr>
      <w:tr w:rsidR="004A4B7D">
        <w:tc>
          <w:tcPr>
            <w:tcW w:w="1559" w:type="dxa"/>
            <w:vAlign w:val="center"/>
          </w:tcPr>
          <w:p w:rsidR="004A4B7D" w:rsidRDefault="00B235F4">
            <w:pPr>
              <w:jc w:val="left"/>
            </w:pPr>
            <w:r>
              <w:rPr>
                <w:color w:val="000000"/>
                <w:szCs w:val="21"/>
              </w:rPr>
              <w:t>华泰证券股份有限公司</w:t>
            </w:r>
          </w:p>
        </w:tc>
        <w:tc>
          <w:tcPr>
            <w:tcW w:w="779" w:type="dxa"/>
            <w:vAlign w:val="center"/>
          </w:tcPr>
          <w:p w:rsidR="004A4B7D" w:rsidRDefault="00B235F4">
            <w:pPr>
              <w:jc w:val="right"/>
            </w:pPr>
            <w:r>
              <w:rPr>
                <w:color w:val="000000"/>
                <w:szCs w:val="21"/>
              </w:rPr>
              <w:t>1</w:t>
            </w:r>
          </w:p>
        </w:tc>
        <w:tc>
          <w:tcPr>
            <w:tcW w:w="1800" w:type="dxa"/>
            <w:vAlign w:val="center"/>
          </w:tcPr>
          <w:p w:rsidR="004A4B7D" w:rsidRDefault="00B235F4">
            <w:pPr>
              <w:jc w:val="right"/>
            </w:pPr>
            <w:r>
              <w:rPr>
                <w:color w:val="000000"/>
                <w:szCs w:val="21"/>
              </w:rPr>
              <w:t>31,350,471.30</w:t>
            </w:r>
          </w:p>
        </w:tc>
        <w:tc>
          <w:tcPr>
            <w:tcW w:w="1080" w:type="dxa"/>
            <w:vAlign w:val="center"/>
          </w:tcPr>
          <w:p w:rsidR="004A4B7D" w:rsidRDefault="00B235F4">
            <w:pPr>
              <w:jc w:val="right"/>
            </w:pPr>
            <w:r>
              <w:rPr>
                <w:color w:val="000000"/>
                <w:szCs w:val="21"/>
              </w:rPr>
              <w:t>12.58%</w:t>
            </w:r>
          </w:p>
        </w:tc>
        <w:tc>
          <w:tcPr>
            <w:tcW w:w="1620" w:type="dxa"/>
            <w:vAlign w:val="center"/>
          </w:tcPr>
          <w:p w:rsidR="004A4B7D" w:rsidRDefault="00B235F4">
            <w:pPr>
              <w:jc w:val="right"/>
            </w:pPr>
            <w:r>
              <w:rPr>
                <w:color w:val="000000"/>
                <w:szCs w:val="21"/>
              </w:rPr>
              <w:t>29,196.64</w:t>
            </w:r>
          </w:p>
        </w:tc>
        <w:tc>
          <w:tcPr>
            <w:tcW w:w="1080" w:type="dxa"/>
            <w:vAlign w:val="center"/>
          </w:tcPr>
          <w:p w:rsidR="004A4B7D" w:rsidRDefault="00B235F4">
            <w:pPr>
              <w:jc w:val="right"/>
            </w:pPr>
            <w:r>
              <w:rPr>
                <w:color w:val="000000"/>
                <w:szCs w:val="21"/>
              </w:rPr>
              <w:t>12.58%</w:t>
            </w:r>
          </w:p>
        </w:tc>
        <w:tc>
          <w:tcPr>
            <w:tcW w:w="1080" w:type="dxa"/>
            <w:vAlign w:val="center"/>
          </w:tcPr>
          <w:p w:rsidR="004A4B7D" w:rsidRDefault="00B235F4">
            <w:pPr>
              <w:jc w:val="left"/>
            </w:pPr>
            <w:r>
              <w:rPr>
                <w:color w:val="000000"/>
                <w:szCs w:val="21"/>
              </w:rPr>
              <w:t>-</w:t>
            </w:r>
          </w:p>
        </w:tc>
      </w:tr>
      <w:tr w:rsidR="004A4B7D">
        <w:tc>
          <w:tcPr>
            <w:tcW w:w="1559" w:type="dxa"/>
            <w:vAlign w:val="center"/>
          </w:tcPr>
          <w:p w:rsidR="004A4B7D" w:rsidRDefault="00B235F4">
            <w:pPr>
              <w:jc w:val="left"/>
            </w:pPr>
            <w:r>
              <w:rPr>
                <w:color w:val="000000"/>
                <w:szCs w:val="21"/>
              </w:rPr>
              <w:t>东吴证券股份有限公司</w:t>
            </w:r>
          </w:p>
        </w:tc>
        <w:tc>
          <w:tcPr>
            <w:tcW w:w="779" w:type="dxa"/>
            <w:vAlign w:val="center"/>
          </w:tcPr>
          <w:p w:rsidR="004A4B7D" w:rsidRDefault="00B235F4">
            <w:pPr>
              <w:jc w:val="right"/>
            </w:pPr>
            <w:r>
              <w:rPr>
                <w:color w:val="000000"/>
                <w:szCs w:val="21"/>
              </w:rPr>
              <w:t>1</w:t>
            </w:r>
          </w:p>
        </w:tc>
        <w:tc>
          <w:tcPr>
            <w:tcW w:w="1800" w:type="dxa"/>
            <w:vAlign w:val="center"/>
          </w:tcPr>
          <w:p w:rsidR="004A4B7D" w:rsidRDefault="00B235F4">
            <w:pPr>
              <w:jc w:val="right"/>
            </w:pPr>
            <w:r>
              <w:rPr>
                <w:color w:val="000000"/>
                <w:szCs w:val="21"/>
              </w:rPr>
              <w:t>28,439,310.71</w:t>
            </w:r>
          </w:p>
        </w:tc>
        <w:tc>
          <w:tcPr>
            <w:tcW w:w="1080" w:type="dxa"/>
            <w:vAlign w:val="center"/>
          </w:tcPr>
          <w:p w:rsidR="004A4B7D" w:rsidRDefault="00B235F4">
            <w:pPr>
              <w:jc w:val="right"/>
            </w:pPr>
            <w:r>
              <w:rPr>
                <w:color w:val="000000"/>
                <w:szCs w:val="21"/>
              </w:rPr>
              <w:t>11.41%</w:t>
            </w:r>
          </w:p>
        </w:tc>
        <w:tc>
          <w:tcPr>
            <w:tcW w:w="1620" w:type="dxa"/>
            <w:vAlign w:val="center"/>
          </w:tcPr>
          <w:p w:rsidR="004A4B7D" w:rsidRDefault="00B235F4">
            <w:pPr>
              <w:jc w:val="right"/>
            </w:pPr>
            <w:r>
              <w:rPr>
                <w:color w:val="000000"/>
                <w:szCs w:val="21"/>
              </w:rPr>
              <w:t>26,485.34</w:t>
            </w:r>
          </w:p>
        </w:tc>
        <w:tc>
          <w:tcPr>
            <w:tcW w:w="1080" w:type="dxa"/>
            <w:vAlign w:val="center"/>
          </w:tcPr>
          <w:p w:rsidR="004A4B7D" w:rsidRDefault="00B235F4">
            <w:pPr>
              <w:jc w:val="right"/>
            </w:pPr>
            <w:r>
              <w:rPr>
                <w:color w:val="000000"/>
                <w:szCs w:val="21"/>
              </w:rPr>
              <w:t>11.41%</w:t>
            </w:r>
          </w:p>
        </w:tc>
        <w:tc>
          <w:tcPr>
            <w:tcW w:w="1080" w:type="dxa"/>
            <w:vAlign w:val="center"/>
          </w:tcPr>
          <w:p w:rsidR="004A4B7D" w:rsidRDefault="00B235F4">
            <w:pPr>
              <w:jc w:val="left"/>
            </w:pPr>
            <w:r>
              <w:rPr>
                <w:color w:val="000000"/>
                <w:szCs w:val="21"/>
              </w:rPr>
              <w:t>-</w:t>
            </w:r>
          </w:p>
        </w:tc>
      </w:tr>
      <w:tr w:rsidR="004A4B7D">
        <w:tc>
          <w:tcPr>
            <w:tcW w:w="1559" w:type="dxa"/>
            <w:vAlign w:val="center"/>
          </w:tcPr>
          <w:p w:rsidR="004A4B7D" w:rsidRDefault="00B235F4">
            <w:pPr>
              <w:jc w:val="left"/>
            </w:pPr>
            <w:r>
              <w:rPr>
                <w:color w:val="000000"/>
                <w:szCs w:val="21"/>
              </w:rPr>
              <w:t>中国中投证券有限责任公司</w:t>
            </w:r>
          </w:p>
        </w:tc>
        <w:tc>
          <w:tcPr>
            <w:tcW w:w="779" w:type="dxa"/>
            <w:vAlign w:val="center"/>
          </w:tcPr>
          <w:p w:rsidR="004A4B7D" w:rsidRDefault="00B235F4">
            <w:pPr>
              <w:jc w:val="right"/>
            </w:pPr>
            <w:r>
              <w:rPr>
                <w:color w:val="000000"/>
                <w:szCs w:val="21"/>
              </w:rPr>
              <w:t>1</w:t>
            </w:r>
          </w:p>
        </w:tc>
        <w:tc>
          <w:tcPr>
            <w:tcW w:w="1800" w:type="dxa"/>
            <w:vAlign w:val="center"/>
          </w:tcPr>
          <w:p w:rsidR="004A4B7D" w:rsidRDefault="00B235F4">
            <w:pPr>
              <w:jc w:val="right"/>
            </w:pPr>
            <w:r>
              <w:rPr>
                <w:color w:val="000000"/>
                <w:szCs w:val="21"/>
              </w:rPr>
              <w:t>2,485,536.81</w:t>
            </w:r>
          </w:p>
        </w:tc>
        <w:tc>
          <w:tcPr>
            <w:tcW w:w="1080" w:type="dxa"/>
            <w:vAlign w:val="center"/>
          </w:tcPr>
          <w:p w:rsidR="004A4B7D" w:rsidRDefault="00B235F4">
            <w:pPr>
              <w:jc w:val="right"/>
            </w:pPr>
            <w:r>
              <w:rPr>
                <w:color w:val="000000"/>
                <w:szCs w:val="21"/>
              </w:rPr>
              <w:t>1.00%</w:t>
            </w:r>
          </w:p>
        </w:tc>
        <w:tc>
          <w:tcPr>
            <w:tcW w:w="1620" w:type="dxa"/>
            <w:vAlign w:val="center"/>
          </w:tcPr>
          <w:p w:rsidR="004A4B7D" w:rsidRDefault="00B235F4">
            <w:pPr>
              <w:jc w:val="right"/>
            </w:pPr>
            <w:r>
              <w:rPr>
                <w:color w:val="000000"/>
                <w:szCs w:val="21"/>
              </w:rPr>
              <w:t>2,314.69</w:t>
            </w:r>
          </w:p>
        </w:tc>
        <w:tc>
          <w:tcPr>
            <w:tcW w:w="1080" w:type="dxa"/>
            <w:vAlign w:val="center"/>
          </w:tcPr>
          <w:p w:rsidR="004A4B7D" w:rsidRDefault="00B235F4">
            <w:pPr>
              <w:jc w:val="right"/>
            </w:pPr>
            <w:r>
              <w:rPr>
                <w:color w:val="000000"/>
                <w:szCs w:val="21"/>
              </w:rPr>
              <w:t>1.00%</w:t>
            </w:r>
          </w:p>
        </w:tc>
        <w:tc>
          <w:tcPr>
            <w:tcW w:w="1080" w:type="dxa"/>
            <w:vAlign w:val="center"/>
          </w:tcPr>
          <w:p w:rsidR="004A4B7D" w:rsidRDefault="00B235F4">
            <w:pPr>
              <w:jc w:val="left"/>
            </w:pPr>
            <w:r>
              <w:rPr>
                <w:color w:val="000000"/>
                <w:szCs w:val="21"/>
              </w:rPr>
              <w:t>-</w:t>
            </w:r>
          </w:p>
        </w:tc>
      </w:tr>
      <w:tr w:rsidR="004A4B7D">
        <w:tc>
          <w:tcPr>
            <w:tcW w:w="1559" w:type="dxa"/>
            <w:vAlign w:val="center"/>
          </w:tcPr>
          <w:p w:rsidR="004A4B7D" w:rsidRDefault="00B235F4">
            <w:pPr>
              <w:jc w:val="left"/>
            </w:pPr>
            <w:r>
              <w:rPr>
                <w:color w:val="000000"/>
                <w:szCs w:val="21"/>
              </w:rPr>
              <w:t>中国银河证券股份有限公司</w:t>
            </w:r>
          </w:p>
        </w:tc>
        <w:tc>
          <w:tcPr>
            <w:tcW w:w="779" w:type="dxa"/>
            <w:vAlign w:val="center"/>
          </w:tcPr>
          <w:p w:rsidR="004A4B7D" w:rsidRDefault="00B235F4">
            <w:pPr>
              <w:jc w:val="right"/>
            </w:pPr>
            <w:r>
              <w:rPr>
                <w:color w:val="000000"/>
                <w:szCs w:val="21"/>
              </w:rPr>
              <w:t>1</w:t>
            </w:r>
          </w:p>
        </w:tc>
        <w:tc>
          <w:tcPr>
            <w:tcW w:w="1800" w:type="dxa"/>
            <w:vAlign w:val="center"/>
          </w:tcPr>
          <w:p w:rsidR="004A4B7D" w:rsidRDefault="00B235F4">
            <w:pPr>
              <w:jc w:val="right"/>
            </w:pPr>
            <w:r>
              <w:rPr>
                <w:color w:val="000000"/>
                <w:szCs w:val="21"/>
              </w:rPr>
              <w:t>20,852,986.80</w:t>
            </w:r>
          </w:p>
        </w:tc>
        <w:tc>
          <w:tcPr>
            <w:tcW w:w="1080" w:type="dxa"/>
            <w:vAlign w:val="center"/>
          </w:tcPr>
          <w:p w:rsidR="004A4B7D" w:rsidRDefault="00B235F4">
            <w:pPr>
              <w:jc w:val="right"/>
            </w:pPr>
            <w:r>
              <w:rPr>
                <w:color w:val="000000"/>
                <w:szCs w:val="21"/>
              </w:rPr>
              <w:t>8.37%</w:t>
            </w:r>
          </w:p>
        </w:tc>
        <w:tc>
          <w:tcPr>
            <w:tcW w:w="1620" w:type="dxa"/>
            <w:vAlign w:val="center"/>
          </w:tcPr>
          <w:p w:rsidR="004A4B7D" w:rsidRDefault="00B235F4">
            <w:pPr>
              <w:jc w:val="right"/>
            </w:pPr>
            <w:r>
              <w:rPr>
                <w:color w:val="000000"/>
                <w:szCs w:val="21"/>
              </w:rPr>
              <w:t>19,420.70</w:t>
            </w:r>
          </w:p>
        </w:tc>
        <w:tc>
          <w:tcPr>
            <w:tcW w:w="1080" w:type="dxa"/>
            <w:vAlign w:val="center"/>
          </w:tcPr>
          <w:p w:rsidR="004A4B7D" w:rsidRDefault="00B235F4">
            <w:pPr>
              <w:jc w:val="right"/>
            </w:pPr>
            <w:r>
              <w:rPr>
                <w:color w:val="000000"/>
                <w:szCs w:val="21"/>
              </w:rPr>
              <w:t>8.37%</w:t>
            </w:r>
          </w:p>
        </w:tc>
        <w:tc>
          <w:tcPr>
            <w:tcW w:w="1080" w:type="dxa"/>
            <w:vAlign w:val="center"/>
          </w:tcPr>
          <w:p w:rsidR="004A4B7D" w:rsidRDefault="00B235F4">
            <w:pPr>
              <w:jc w:val="left"/>
            </w:pPr>
            <w:r>
              <w:rPr>
                <w:color w:val="000000"/>
                <w:szCs w:val="21"/>
              </w:rPr>
              <w:t>-</w:t>
            </w:r>
          </w:p>
        </w:tc>
      </w:tr>
      <w:tr w:rsidR="004A4B7D">
        <w:tc>
          <w:tcPr>
            <w:tcW w:w="1559" w:type="dxa"/>
            <w:vAlign w:val="center"/>
          </w:tcPr>
          <w:p w:rsidR="004A4B7D" w:rsidRDefault="00B235F4">
            <w:pPr>
              <w:jc w:val="left"/>
            </w:pPr>
            <w:r>
              <w:rPr>
                <w:color w:val="000000"/>
                <w:szCs w:val="21"/>
              </w:rPr>
              <w:t>北京高华证券有限责任公司</w:t>
            </w:r>
          </w:p>
        </w:tc>
        <w:tc>
          <w:tcPr>
            <w:tcW w:w="779" w:type="dxa"/>
            <w:vAlign w:val="center"/>
          </w:tcPr>
          <w:p w:rsidR="004A4B7D" w:rsidRDefault="00B235F4">
            <w:pPr>
              <w:jc w:val="right"/>
            </w:pPr>
            <w:r>
              <w:rPr>
                <w:color w:val="000000"/>
                <w:szCs w:val="21"/>
              </w:rPr>
              <w:t>1</w:t>
            </w:r>
          </w:p>
        </w:tc>
        <w:tc>
          <w:tcPr>
            <w:tcW w:w="1800" w:type="dxa"/>
            <w:vAlign w:val="center"/>
          </w:tcPr>
          <w:p w:rsidR="004A4B7D" w:rsidRDefault="00B235F4">
            <w:pPr>
              <w:jc w:val="right"/>
            </w:pPr>
            <w:r>
              <w:rPr>
                <w:color w:val="000000"/>
                <w:szCs w:val="21"/>
              </w:rPr>
              <w:t>1,936,230.02</w:t>
            </w:r>
          </w:p>
        </w:tc>
        <w:tc>
          <w:tcPr>
            <w:tcW w:w="1080" w:type="dxa"/>
            <w:vAlign w:val="center"/>
          </w:tcPr>
          <w:p w:rsidR="004A4B7D" w:rsidRDefault="00B235F4">
            <w:pPr>
              <w:jc w:val="right"/>
            </w:pPr>
            <w:r>
              <w:rPr>
                <w:color w:val="000000"/>
                <w:szCs w:val="21"/>
              </w:rPr>
              <w:t>0.78%</w:t>
            </w:r>
          </w:p>
        </w:tc>
        <w:tc>
          <w:tcPr>
            <w:tcW w:w="1620" w:type="dxa"/>
            <w:vAlign w:val="center"/>
          </w:tcPr>
          <w:p w:rsidR="004A4B7D" w:rsidRDefault="00B235F4">
            <w:pPr>
              <w:jc w:val="right"/>
            </w:pPr>
            <w:r>
              <w:rPr>
                <w:color w:val="000000"/>
                <w:szCs w:val="21"/>
              </w:rPr>
              <w:t>1,803.24</w:t>
            </w:r>
          </w:p>
        </w:tc>
        <w:tc>
          <w:tcPr>
            <w:tcW w:w="1080" w:type="dxa"/>
            <w:vAlign w:val="center"/>
          </w:tcPr>
          <w:p w:rsidR="004A4B7D" w:rsidRDefault="00B235F4">
            <w:pPr>
              <w:jc w:val="right"/>
            </w:pPr>
            <w:r>
              <w:rPr>
                <w:color w:val="000000"/>
                <w:szCs w:val="21"/>
              </w:rPr>
              <w:t>0.78%</w:t>
            </w:r>
          </w:p>
        </w:tc>
        <w:tc>
          <w:tcPr>
            <w:tcW w:w="1080" w:type="dxa"/>
            <w:vAlign w:val="center"/>
          </w:tcPr>
          <w:p w:rsidR="004A4B7D" w:rsidRDefault="00B235F4">
            <w:pPr>
              <w:jc w:val="left"/>
            </w:pPr>
            <w:r>
              <w:rPr>
                <w:color w:val="000000"/>
                <w:szCs w:val="21"/>
              </w:rPr>
              <w:t>-</w:t>
            </w:r>
          </w:p>
        </w:tc>
      </w:tr>
      <w:tr w:rsidR="004A4B7D">
        <w:tc>
          <w:tcPr>
            <w:tcW w:w="1559" w:type="dxa"/>
            <w:vAlign w:val="center"/>
          </w:tcPr>
          <w:p w:rsidR="004A4B7D" w:rsidRDefault="00B235F4">
            <w:pPr>
              <w:jc w:val="left"/>
            </w:pPr>
            <w:r>
              <w:rPr>
                <w:color w:val="000000"/>
                <w:szCs w:val="21"/>
              </w:rPr>
              <w:t>安信证券股份有限公司</w:t>
            </w:r>
          </w:p>
        </w:tc>
        <w:tc>
          <w:tcPr>
            <w:tcW w:w="779" w:type="dxa"/>
            <w:vAlign w:val="center"/>
          </w:tcPr>
          <w:p w:rsidR="004A4B7D" w:rsidRDefault="00B235F4">
            <w:pPr>
              <w:jc w:val="right"/>
            </w:pPr>
            <w:r>
              <w:rPr>
                <w:color w:val="000000"/>
                <w:szCs w:val="21"/>
              </w:rPr>
              <w:t>2</w:t>
            </w:r>
          </w:p>
        </w:tc>
        <w:tc>
          <w:tcPr>
            <w:tcW w:w="1800" w:type="dxa"/>
            <w:vAlign w:val="center"/>
          </w:tcPr>
          <w:p w:rsidR="004A4B7D" w:rsidRDefault="00B235F4">
            <w:pPr>
              <w:jc w:val="right"/>
            </w:pPr>
            <w:r>
              <w:rPr>
                <w:color w:val="000000"/>
                <w:szCs w:val="21"/>
              </w:rPr>
              <w:t>15,110,646.25</w:t>
            </w:r>
          </w:p>
        </w:tc>
        <w:tc>
          <w:tcPr>
            <w:tcW w:w="1080" w:type="dxa"/>
            <w:vAlign w:val="center"/>
          </w:tcPr>
          <w:p w:rsidR="004A4B7D" w:rsidRDefault="00B235F4">
            <w:pPr>
              <w:jc w:val="right"/>
            </w:pPr>
            <w:r>
              <w:rPr>
                <w:color w:val="000000"/>
                <w:szCs w:val="21"/>
              </w:rPr>
              <w:t>6.06%</w:t>
            </w:r>
          </w:p>
        </w:tc>
        <w:tc>
          <w:tcPr>
            <w:tcW w:w="1620" w:type="dxa"/>
            <w:vAlign w:val="center"/>
          </w:tcPr>
          <w:p w:rsidR="004A4B7D" w:rsidRDefault="00B235F4">
            <w:pPr>
              <w:jc w:val="right"/>
            </w:pPr>
            <w:r>
              <w:rPr>
                <w:color w:val="000000"/>
                <w:szCs w:val="21"/>
              </w:rPr>
              <w:t>14,072.66</w:t>
            </w:r>
          </w:p>
        </w:tc>
        <w:tc>
          <w:tcPr>
            <w:tcW w:w="1080" w:type="dxa"/>
            <w:vAlign w:val="center"/>
          </w:tcPr>
          <w:p w:rsidR="004A4B7D" w:rsidRDefault="00B235F4">
            <w:pPr>
              <w:jc w:val="right"/>
            </w:pPr>
            <w:r>
              <w:rPr>
                <w:color w:val="000000"/>
                <w:szCs w:val="21"/>
              </w:rPr>
              <w:t>6.06%</w:t>
            </w:r>
          </w:p>
        </w:tc>
        <w:tc>
          <w:tcPr>
            <w:tcW w:w="1080" w:type="dxa"/>
            <w:vAlign w:val="center"/>
          </w:tcPr>
          <w:p w:rsidR="004A4B7D" w:rsidRDefault="00B235F4">
            <w:pPr>
              <w:jc w:val="left"/>
            </w:pPr>
            <w:r>
              <w:rPr>
                <w:color w:val="000000"/>
                <w:szCs w:val="21"/>
              </w:rPr>
              <w:t>-</w:t>
            </w:r>
          </w:p>
        </w:tc>
      </w:tr>
      <w:tr w:rsidR="004A4B7D">
        <w:tc>
          <w:tcPr>
            <w:tcW w:w="1559" w:type="dxa"/>
            <w:vAlign w:val="center"/>
          </w:tcPr>
          <w:p w:rsidR="004A4B7D" w:rsidRDefault="00B235F4">
            <w:pPr>
              <w:jc w:val="left"/>
            </w:pPr>
            <w:r>
              <w:rPr>
                <w:color w:val="000000"/>
                <w:szCs w:val="21"/>
              </w:rPr>
              <w:t>中泰证券有限公司</w:t>
            </w:r>
          </w:p>
        </w:tc>
        <w:tc>
          <w:tcPr>
            <w:tcW w:w="779" w:type="dxa"/>
            <w:vAlign w:val="center"/>
          </w:tcPr>
          <w:p w:rsidR="004A4B7D" w:rsidRDefault="00B235F4">
            <w:pPr>
              <w:jc w:val="right"/>
            </w:pPr>
            <w:r>
              <w:rPr>
                <w:color w:val="000000"/>
                <w:szCs w:val="21"/>
              </w:rPr>
              <w:t>1</w:t>
            </w:r>
          </w:p>
        </w:tc>
        <w:tc>
          <w:tcPr>
            <w:tcW w:w="1800" w:type="dxa"/>
            <w:vAlign w:val="center"/>
          </w:tcPr>
          <w:p w:rsidR="004A4B7D" w:rsidRDefault="00B235F4">
            <w:pPr>
              <w:jc w:val="right"/>
            </w:pPr>
            <w:r>
              <w:rPr>
                <w:color w:val="000000"/>
                <w:szCs w:val="21"/>
              </w:rPr>
              <w:t>10,026,682.02</w:t>
            </w:r>
          </w:p>
        </w:tc>
        <w:tc>
          <w:tcPr>
            <w:tcW w:w="1080" w:type="dxa"/>
            <w:vAlign w:val="center"/>
          </w:tcPr>
          <w:p w:rsidR="004A4B7D" w:rsidRDefault="00B235F4">
            <w:pPr>
              <w:jc w:val="right"/>
            </w:pPr>
            <w:r>
              <w:rPr>
                <w:color w:val="000000"/>
                <w:szCs w:val="21"/>
              </w:rPr>
              <w:t>4.02%</w:t>
            </w:r>
          </w:p>
        </w:tc>
        <w:tc>
          <w:tcPr>
            <w:tcW w:w="1620" w:type="dxa"/>
            <w:vAlign w:val="center"/>
          </w:tcPr>
          <w:p w:rsidR="004A4B7D" w:rsidRDefault="00B235F4">
            <w:pPr>
              <w:jc w:val="right"/>
            </w:pPr>
            <w:r>
              <w:rPr>
                <w:color w:val="000000"/>
                <w:szCs w:val="21"/>
              </w:rPr>
              <w:t>9,337.90</w:t>
            </w:r>
          </w:p>
        </w:tc>
        <w:tc>
          <w:tcPr>
            <w:tcW w:w="1080" w:type="dxa"/>
            <w:vAlign w:val="center"/>
          </w:tcPr>
          <w:p w:rsidR="004A4B7D" w:rsidRDefault="00B235F4">
            <w:pPr>
              <w:jc w:val="right"/>
            </w:pPr>
            <w:r>
              <w:rPr>
                <w:color w:val="000000"/>
                <w:szCs w:val="21"/>
              </w:rPr>
              <w:t>4.02%</w:t>
            </w:r>
          </w:p>
        </w:tc>
        <w:tc>
          <w:tcPr>
            <w:tcW w:w="1080" w:type="dxa"/>
            <w:vAlign w:val="center"/>
          </w:tcPr>
          <w:p w:rsidR="004A4B7D" w:rsidRDefault="00B235F4">
            <w:pPr>
              <w:jc w:val="left"/>
            </w:pPr>
            <w:r>
              <w:rPr>
                <w:color w:val="000000"/>
                <w:szCs w:val="21"/>
              </w:rPr>
              <w:t>-</w:t>
            </w:r>
          </w:p>
        </w:tc>
      </w:tr>
      <w:tr w:rsidR="004A4B7D">
        <w:tc>
          <w:tcPr>
            <w:tcW w:w="1559" w:type="dxa"/>
            <w:vAlign w:val="center"/>
          </w:tcPr>
          <w:p w:rsidR="004A4B7D" w:rsidRDefault="00B235F4">
            <w:pPr>
              <w:jc w:val="left"/>
            </w:pPr>
            <w:r>
              <w:rPr>
                <w:color w:val="000000"/>
                <w:szCs w:val="21"/>
              </w:rPr>
              <w:t>东兴证券股份有限公司</w:t>
            </w:r>
          </w:p>
        </w:tc>
        <w:tc>
          <w:tcPr>
            <w:tcW w:w="779" w:type="dxa"/>
            <w:vAlign w:val="center"/>
          </w:tcPr>
          <w:p w:rsidR="004A4B7D" w:rsidRDefault="00B235F4">
            <w:pPr>
              <w:jc w:val="right"/>
            </w:pPr>
            <w:r>
              <w:rPr>
                <w:color w:val="000000"/>
                <w:szCs w:val="21"/>
              </w:rPr>
              <w:t>1</w:t>
            </w:r>
          </w:p>
        </w:tc>
        <w:tc>
          <w:tcPr>
            <w:tcW w:w="1800" w:type="dxa"/>
            <w:vAlign w:val="center"/>
          </w:tcPr>
          <w:p w:rsidR="004A4B7D" w:rsidRDefault="00B235F4">
            <w:pPr>
              <w:jc w:val="right"/>
            </w:pPr>
            <w:r>
              <w:rPr>
                <w:color w:val="000000"/>
                <w:szCs w:val="21"/>
              </w:rPr>
              <w:t>-</w:t>
            </w:r>
          </w:p>
        </w:tc>
        <w:tc>
          <w:tcPr>
            <w:tcW w:w="1080" w:type="dxa"/>
            <w:vAlign w:val="center"/>
          </w:tcPr>
          <w:p w:rsidR="004A4B7D" w:rsidRDefault="00B235F4">
            <w:pPr>
              <w:jc w:val="right"/>
            </w:pPr>
            <w:r>
              <w:rPr>
                <w:color w:val="000000"/>
                <w:szCs w:val="21"/>
              </w:rPr>
              <w:t>-</w:t>
            </w:r>
          </w:p>
        </w:tc>
        <w:tc>
          <w:tcPr>
            <w:tcW w:w="1620" w:type="dxa"/>
            <w:vAlign w:val="center"/>
          </w:tcPr>
          <w:p w:rsidR="004A4B7D" w:rsidRDefault="00B235F4">
            <w:pPr>
              <w:jc w:val="right"/>
            </w:pPr>
            <w:r>
              <w:rPr>
                <w:color w:val="000000"/>
                <w:szCs w:val="21"/>
              </w:rPr>
              <w:t>-</w:t>
            </w:r>
          </w:p>
        </w:tc>
        <w:tc>
          <w:tcPr>
            <w:tcW w:w="1080" w:type="dxa"/>
            <w:vAlign w:val="center"/>
          </w:tcPr>
          <w:p w:rsidR="004A4B7D" w:rsidRDefault="00B235F4">
            <w:pPr>
              <w:jc w:val="right"/>
            </w:pPr>
            <w:r>
              <w:rPr>
                <w:color w:val="000000"/>
                <w:szCs w:val="21"/>
              </w:rPr>
              <w:t>-</w:t>
            </w:r>
          </w:p>
        </w:tc>
        <w:tc>
          <w:tcPr>
            <w:tcW w:w="1080" w:type="dxa"/>
            <w:vAlign w:val="center"/>
          </w:tcPr>
          <w:p w:rsidR="004A4B7D" w:rsidRDefault="00B235F4">
            <w:pPr>
              <w:jc w:val="left"/>
            </w:pPr>
            <w:r>
              <w:rPr>
                <w:color w:val="000000"/>
                <w:szCs w:val="21"/>
              </w:rPr>
              <w:t>-</w:t>
            </w:r>
          </w:p>
        </w:tc>
      </w:tr>
      <w:tr w:rsidR="004A4B7D">
        <w:tc>
          <w:tcPr>
            <w:tcW w:w="1559" w:type="dxa"/>
            <w:vAlign w:val="center"/>
          </w:tcPr>
          <w:p w:rsidR="004A4B7D" w:rsidRDefault="00B235F4">
            <w:pPr>
              <w:jc w:val="left"/>
            </w:pPr>
            <w:r>
              <w:rPr>
                <w:color w:val="000000"/>
                <w:szCs w:val="21"/>
              </w:rPr>
              <w:t>海通证券股份有限公司</w:t>
            </w:r>
          </w:p>
        </w:tc>
        <w:tc>
          <w:tcPr>
            <w:tcW w:w="779" w:type="dxa"/>
            <w:vAlign w:val="center"/>
          </w:tcPr>
          <w:p w:rsidR="004A4B7D" w:rsidRDefault="00B235F4">
            <w:pPr>
              <w:jc w:val="right"/>
            </w:pPr>
            <w:r>
              <w:rPr>
                <w:color w:val="000000"/>
                <w:szCs w:val="21"/>
              </w:rPr>
              <w:t>1</w:t>
            </w:r>
          </w:p>
        </w:tc>
        <w:tc>
          <w:tcPr>
            <w:tcW w:w="1800" w:type="dxa"/>
            <w:vAlign w:val="center"/>
          </w:tcPr>
          <w:p w:rsidR="004A4B7D" w:rsidRDefault="00B235F4">
            <w:pPr>
              <w:jc w:val="right"/>
            </w:pPr>
            <w:r>
              <w:rPr>
                <w:color w:val="000000"/>
                <w:szCs w:val="21"/>
              </w:rPr>
              <w:t>-</w:t>
            </w:r>
          </w:p>
        </w:tc>
        <w:tc>
          <w:tcPr>
            <w:tcW w:w="1080" w:type="dxa"/>
            <w:vAlign w:val="center"/>
          </w:tcPr>
          <w:p w:rsidR="004A4B7D" w:rsidRDefault="00B235F4">
            <w:pPr>
              <w:jc w:val="right"/>
            </w:pPr>
            <w:r>
              <w:rPr>
                <w:color w:val="000000"/>
                <w:szCs w:val="21"/>
              </w:rPr>
              <w:t>-</w:t>
            </w:r>
          </w:p>
        </w:tc>
        <w:tc>
          <w:tcPr>
            <w:tcW w:w="1620" w:type="dxa"/>
            <w:vAlign w:val="center"/>
          </w:tcPr>
          <w:p w:rsidR="004A4B7D" w:rsidRDefault="00B235F4">
            <w:pPr>
              <w:jc w:val="right"/>
            </w:pPr>
            <w:r>
              <w:rPr>
                <w:color w:val="000000"/>
                <w:szCs w:val="21"/>
              </w:rPr>
              <w:t>-</w:t>
            </w:r>
          </w:p>
        </w:tc>
        <w:tc>
          <w:tcPr>
            <w:tcW w:w="1080" w:type="dxa"/>
            <w:vAlign w:val="center"/>
          </w:tcPr>
          <w:p w:rsidR="004A4B7D" w:rsidRDefault="00B235F4">
            <w:pPr>
              <w:jc w:val="right"/>
            </w:pPr>
            <w:r>
              <w:rPr>
                <w:color w:val="000000"/>
                <w:szCs w:val="21"/>
              </w:rPr>
              <w:t>-</w:t>
            </w:r>
          </w:p>
        </w:tc>
        <w:tc>
          <w:tcPr>
            <w:tcW w:w="1080" w:type="dxa"/>
            <w:vAlign w:val="center"/>
          </w:tcPr>
          <w:p w:rsidR="004A4B7D" w:rsidRDefault="00B235F4">
            <w:pPr>
              <w:jc w:val="left"/>
            </w:pPr>
            <w:r>
              <w:rPr>
                <w:color w:val="000000"/>
                <w:szCs w:val="21"/>
              </w:rPr>
              <w:t>-</w:t>
            </w:r>
          </w:p>
        </w:tc>
      </w:tr>
      <w:tr w:rsidR="004A4B7D">
        <w:tc>
          <w:tcPr>
            <w:tcW w:w="1559" w:type="dxa"/>
            <w:vAlign w:val="center"/>
          </w:tcPr>
          <w:p w:rsidR="004A4B7D" w:rsidRDefault="00B235F4">
            <w:pPr>
              <w:jc w:val="left"/>
            </w:pPr>
            <w:r>
              <w:rPr>
                <w:color w:val="000000"/>
                <w:szCs w:val="21"/>
              </w:rPr>
              <w:t>华安证券股份有限公司</w:t>
            </w:r>
          </w:p>
        </w:tc>
        <w:tc>
          <w:tcPr>
            <w:tcW w:w="779" w:type="dxa"/>
            <w:vAlign w:val="center"/>
          </w:tcPr>
          <w:p w:rsidR="004A4B7D" w:rsidRDefault="00B235F4">
            <w:pPr>
              <w:jc w:val="right"/>
            </w:pPr>
            <w:r>
              <w:rPr>
                <w:color w:val="000000"/>
                <w:szCs w:val="21"/>
              </w:rPr>
              <w:t>1</w:t>
            </w:r>
          </w:p>
        </w:tc>
        <w:tc>
          <w:tcPr>
            <w:tcW w:w="1800" w:type="dxa"/>
            <w:vAlign w:val="center"/>
          </w:tcPr>
          <w:p w:rsidR="004A4B7D" w:rsidRDefault="00B235F4">
            <w:pPr>
              <w:jc w:val="right"/>
            </w:pPr>
            <w:r>
              <w:rPr>
                <w:color w:val="000000"/>
                <w:szCs w:val="21"/>
              </w:rPr>
              <w:t>-</w:t>
            </w:r>
          </w:p>
        </w:tc>
        <w:tc>
          <w:tcPr>
            <w:tcW w:w="1080" w:type="dxa"/>
            <w:vAlign w:val="center"/>
          </w:tcPr>
          <w:p w:rsidR="004A4B7D" w:rsidRDefault="00B235F4">
            <w:pPr>
              <w:jc w:val="right"/>
            </w:pPr>
            <w:r>
              <w:rPr>
                <w:color w:val="000000"/>
                <w:szCs w:val="21"/>
              </w:rPr>
              <w:t>-</w:t>
            </w:r>
          </w:p>
        </w:tc>
        <w:tc>
          <w:tcPr>
            <w:tcW w:w="1620" w:type="dxa"/>
            <w:vAlign w:val="center"/>
          </w:tcPr>
          <w:p w:rsidR="004A4B7D" w:rsidRDefault="00B235F4">
            <w:pPr>
              <w:jc w:val="right"/>
            </w:pPr>
            <w:r>
              <w:rPr>
                <w:color w:val="000000"/>
                <w:szCs w:val="21"/>
              </w:rPr>
              <w:t>-</w:t>
            </w:r>
          </w:p>
        </w:tc>
        <w:tc>
          <w:tcPr>
            <w:tcW w:w="1080" w:type="dxa"/>
            <w:vAlign w:val="center"/>
          </w:tcPr>
          <w:p w:rsidR="004A4B7D" w:rsidRDefault="00B235F4">
            <w:pPr>
              <w:jc w:val="right"/>
            </w:pPr>
            <w:r>
              <w:rPr>
                <w:color w:val="000000"/>
                <w:szCs w:val="21"/>
              </w:rPr>
              <w:t>-</w:t>
            </w:r>
          </w:p>
        </w:tc>
        <w:tc>
          <w:tcPr>
            <w:tcW w:w="1080" w:type="dxa"/>
            <w:vAlign w:val="center"/>
          </w:tcPr>
          <w:p w:rsidR="004A4B7D" w:rsidRDefault="00B235F4">
            <w:pPr>
              <w:jc w:val="left"/>
            </w:pPr>
            <w:r>
              <w:rPr>
                <w:color w:val="000000"/>
                <w:szCs w:val="21"/>
              </w:rPr>
              <w:t>-</w:t>
            </w:r>
          </w:p>
        </w:tc>
      </w:tr>
      <w:tr w:rsidR="004A4B7D">
        <w:tc>
          <w:tcPr>
            <w:tcW w:w="1559" w:type="dxa"/>
            <w:vAlign w:val="center"/>
          </w:tcPr>
          <w:p w:rsidR="004A4B7D" w:rsidRDefault="00B235F4">
            <w:pPr>
              <w:jc w:val="left"/>
            </w:pPr>
            <w:r>
              <w:rPr>
                <w:color w:val="000000"/>
                <w:szCs w:val="21"/>
              </w:rPr>
              <w:t>中银国际证券有限责任公司</w:t>
            </w:r>
          </w:p>
        </w:tc>
        <w:tc>
          <w:tcPr>
            <w:tcW w:w="779" w:type="dxa"/>
            <w:vAlign w:val="center"/>
          </w:tcPr>
          <w:p w:rsidR="004A4B7D" w:rsidRDefault="00B235F4">
            <w:pPr>
              <w:jc w:val="right"/>
            </w:pPr>
            <w:r>
              <w:rPr>
                <w:color w:val="000000"/>
                <w:szCs w:val="21"/>
              </w:rPr>
              <w:t>1</w:t>
            </w:r>
          </w:p>
        </w:tc>
        <w:tc>
          <w:tcPr>
            <w:tcW w:w="1800" w:type="dxa"/>
            <w:vAlign w:val="center"/>
          </w:tcPr>
          <w:p w:rsidR="004A4B7D" w:rsidRDefault="00B235F4">
            <w:pPr>
              <w:jc w:val="right"/>
            </w:pPr>
            <w:r>
              <w:rPr>
                <w:color w:val="000000"/>
                <w:szCs w:val="21"/>
              </w:rPr>
              <w:t>-</w:t>
            </w:r>
          </w:p>
        </w:tc>
        <w:tc>
          <w:tcPr>
            <w:tcW w:w="1080" w:type="dxa"/>
            <w:vAlign w:val="center"/>
          </w:tcPr>
          <w:p w:rsidR="004A4B7D" w:rsidRDefault="00B235F4">
            <w:pPr>
              <w:jc w:val="right"/>
            </w:pPr>
            <w:r>
              <w:rPr>
                <w:color w:val="000000"/>
                <w:szCs w:val="21"/>
              </w:rPr>
              <w:t>-</w:t>
            </w:r>
          </w:p>
        </w:tc>
        <w:tc>
          <w:tcPr>
            <w:tcW w:w="1620" w:type="dxa"/>
            <w:vAlign w:val="center"/>
          </w:tcPr>
          <w:p w:rsidR="004A4B7D" w:rsidRDefault="00B235F4">
            <w:pPr>
              <w:jc w:val="right"/>
            </w:pPr>
            <w:r>
              <w:rPr>
                <w:color w:val="000000"/>
                <w:szCs w:val="21"/>
              </w:rPr>
              <w:t>-</w:t>
            </w:r>
          </w:p>
        </w:tc>
        <w:tc>
          <w:tcPr>
            <w:tcW w:w="1080" w:type="dxa"/>
            <w:vAlign w:val="center"/>
          </w:tcPr>
          <w:p w:rsidR="004A4B7D" w:rsidRDefault="00B235F4">
            <w:pPr>
              <w:jc w:val="right"/>
            </w:pPr>
            <w:r>
              <w:rPr>
                <w:color w:val="000000"/>
                <w:szCs w:val="21"/>
              </w:rPr>
              <w:t>-</w:t>
            </w:r>
          </w:p>
        </w:tc>
        <w:tc>
          <w:tcPr>
            <w:tcW w:w="1080" w:type="dxa"/>
            <w:vAlign w:val="center"/>
          </w:tcPr>
          <w:p w:rsidR="004A4B7D" w:rsidRDefault="00B235F4">
            <w:pPr>
              <w:jc w:val="left"/>
            </w:pPr>
            <w:r>
              <w:rPr>
                <w:color w:val="000000"/>
                <w:szCs w:val="21"/>
              </w:rPr>
              <w:t>-</w:t>
            </w:r>
          </w:p>
        </w:tc>
      </w:tr>
      <w:tr w:rsidR="004A4B7D">
        <w:tc>
          <w:tcPr>
            <w:tcW w:w="1559" w:type="dxa"/>
            <w:vAlign w:val="center"/>
          </w:tcPr>
          <w:p w:rsidR="004A4B7D" w:rsidRDefault="00B235F4">
            <w:pPr>
              <w:jc w:val="left"/>
            </w:pPr>
            <w:r>
              <w:rPr>
                <w:color w:val="000000"/>
                <w:szCs w:val="21"/>
              </w:rPr>
              <w:t>华泰证券股份有限公司</w:t>
            </w:r>
          </w:p>
        </w:tc>
        <w:tc>
          <w:tcPr>
            <w:tcW w:w="779" w:type="dxa"/>
            <w:vAlign w:val="center"/>
          </w:tcPr>
          <w:p w:rsidR="004A4B7D" w:rsidRDefault="00B235F4">
            <w:pPr>
              <w:jc w:val="right"/>
            </w:pPr>
            <w:r>
              <w:rPr>
                <w:color w:val="000000"/>
                <w:szCs w:val="21"/>
              </w:rPr>
              <w:t>2</w:t>
            </w:r>
          </w:p>
        </w:tc>
        <w:tc>
          <w:tcPr>
            <w:tcW w:w="1800" w:type="dxa"/>
            <w:vAlign w:val="center"/>
          </w:tcPr>
          <w:p w:rsidR="004A4B7D" w:rsidRDefault="00B235F4">
            <w:pPr>
              <w:jc w:val="right"/>
            </w:pPr>
            <w:r>
              <w:rPr>
                <w:color w:val="000000"/>
                <w:szCs w:val="21"/>
              </w:rPr>
              <w:t>-</w:t>
            </w:r>
          </w:p>
        </w:tc>
        <w:tc>
          <w:tcPr>
            <w:tcW w:w="1080" w:type="dxa"/>
            <w:vAlign w:val="center"/>
          </w:tcPr>
          <w:p w:rsidR="004A4B7D" w:rsidRDefault="00B235F4">
            <w:pPr>
              <w:jc w:val="right"/>
            </w:pPr>
            <w:r>
              <w:rPr>
                <w:color w:val="000000"/>
                <w:szCs w:val="21"/>
              </w:rPr>
              <w:t>-</w:t>
            </w:r>
          </w:p>
        </w:tc>
        <w:tc>
          <w:tcPr>
            <w:tcW w:w="1620" w:type="dxa"/>
            <w:vAlign w:val="center"/>
          </w:tcPr>
          <w:p w:rsidR="004A4B7D" w:rsidRDefault="00B235F4">
            <w:pPr>
              <w:jc w:val="right"/>
            </w:pPr>
            <w:r>
              <w:rPr>
                <w:color w:val="000000"/>
                <w:szCs w:val="21"/>
              </w:rPr>
              <w:t>-</w:t>
            </w:r>
          </w:p>
        </w:tc>
        <w:tc>
          <w:tcPr>
            <w:tcW w:w="1080" w:type="dxa"/>
            <w:vAlign w:val="center"/>
          </w:tcPr>
          <w:p w:rsidR="004A4B7D" w:rsidRDefault="00B235F4">
            <w:pPr>
              <w:jc w:val="right"/>
            </w:pPr>
            <w:r>
              <w:rPr>
                <w:color w:val="000000"/>
                <w:szCs w:val="21"/>
              </w:rPr>
              <w:t>-</w:t>
            </w:r>
          </w:p>
        </w:tc>
        <w:tc>
          <w:tcPr>
            <w:tcW w:w="1080" w:type="dxa"/>
            <w:vAlign w:val="center"/>
          </w:tcPr>
          <w:p w:rsidR="004A4B7D" w:rsidRDefault="00B235F4">
            <w:pPr>
              <w:jc w:val="left"/>
            </w:pPr>
            <w:r>
              <w:rPr>
                <w:color w:val="000000"/>
                <w:szCs w:val="21"/>
              </w:rPr>
              <w:t>-</w:t>
            </w:r>
          </w:p>
        </w:tc>
      </w:tr>
      <w:tr w:rsidR="004A4B7D">
        <w:tc>
          <w:tcPr>
            <w:tcW w:w="1559" w:type="dxa"/>
            <w:vAlign w:val="center"/>
          </w:tcPr>
          <w:p w:rsidR="004A4B7D" w:rsidRDefault="00B235F4">
            <w:pPr>
              <w:jc w:val="left"/>
            </w:pPr>
            <w:r>
              <w:rPr>
                <w:color w:val="000000"/>
                <w:szCs w:val="21"/>
              </w:rPr>
              <w:t>西藏东方财富证券股份有限公司</w:t>
            </w:r>
          </w:p>
        </w:tc>
        <w:tc>
          <w:tcPr>
            <w:tcW w:w="779" w:type="dxa"/>
            <w:vAlign w:val="center"/>
          </w:tcPr>
          <w:p w:rsidR="004A4B7D" w:rsidRDefault="00B235F4">
            <w:pPr>
              <w:jc w:val="right"/>
            </w:pPr>
            <w:r>
              <w:rPr>
                <w:color w:val="000000"/>
                <w:szCs w:val="21"/>
              </w:rPr>
              <w:t>1</w:t>
            </w:r>
          </w:p>
        </w:tc>
        <w:tc>
          <w:tcPr>
            <w:tcW w:w="1800" w:type="dxa"/>
            <w:vAlign w:val="center"/>
          </w:tcPr>
          <w:p w:rsidR="004A4B7D" w:rsidRDefault="00B235F4">
            <w:pPr>
              <w:jc w:val="right"/>
            </w:pPr>
            <w:r>
              <w:rPr>
                <w:color w:val="000000"/>
                <w:szCs w:val="21"/>
              </w:rPr>
              <w:t>-</w:t>
            </w:r>
          </w:p>
        </w:tc>
        <w:tc>
          <w:tcPr>
            <w:tcW w:w="1080" w:type="dxa"/>
            <w:vAlign w:val="center"/>
          </w:tcPr>
          <w:p w:rsidR="004A4B7D" w:rsidRDefault="00B235F4">
            <w:pPr>
              <w:jc w:val="right"/>
            </w:pPr>
            <w:r>
              <w:rPr>
                <w:color w:val="000000"/>
                <w:szCs w:val="21"/>
              </w:rPr>
              <w:t>-</w:t>
            </w:r>
          </w:p>
        </w:tc>
        <w:tc>
          <w:tcPr>
            <w:tcW w:w="1620" w:type="dxa"/>
            <w:vAlign w:val="center"/>
          </w:tcPr>
          <w:p w:rsidR="004A4B7D" w:rsidRDefault="00B235F4">
            <w:pPr>
              <w:jc w:val="right"/>
            </w:pPr>
            <w:r>
              <w:rPr>
                <w:color w:val="000000"/>
                <w:szCs w:val="21"/>
              </w:rPr>
              <w:t>-</w:t>
            </w:r>
          </w:p>
        </w:tc>
        <w:tc>
          <w:tcPr>
            <w:tcW w:w="1080" w:type="dxa"/>
            <w:vAlign w:val="center"/>
          </w:tcPr>
          <w:p w:rsidR="004A4B7D" w:rsidRDefault="00B235F4">
            <w:pPr>
              <w:jc w:val="right"/>
            </w:pPr>
            <w:r>
              <w:rPr>
                <w:color w:val="000000"/>
                <w:szCs w:val="21"/>
              </w:rPr>
              <w:t>-</w:t>
            </w:r>
          </w:p>
        </w:tc>
        <w:tc>
          <w:tcPr>
            <w:tcW w:w="1080" w:type="dxa"/>
            <w:vAlign w:val="center"/>
          </w:tcPr>
          <w:p w:rsidR="004A4B7D" w:rsidRDefault="00B235F4">
            <w:pPr>
              <w:jc w:val="left"/>
            </w:pPr>
            <w:r>
              <w:rPr>
                <w:color w:val="000000"/>
                <w:szCs w:val="21"/>
              </w:rPr>
              <w:t>-</w:t>
            </w:r>
          </w:p>
        </w:tc>
      </w:tr>
      <w:tr w:rsidR="004A4B7D">
        <w:tc>
          <w:tcPr>
            <w:tcW w:w="1559" w:type="dxa"/>
            <w:vAlign w:val="center"/>
          </w:tcPr>
          <w:p w:rsidR="004A4B7D" w:rsidRDefault="00B235F4">
            <w:pPr>
              <w:jc w:val="left"/>
            </w:pPr>
            <w:r>
              <w:rPr>
                <w:color w:val="000000"/>
                <w:szCs w:val="21"/>
              </w:rPr>
              <w:t>德</w:t>
            </w:r>
            <w:proofErr w:type="gramStart"/>
            <w:r>
              <w:rPr>
                <w:color w:val="000000"/>
                <w:szCs w:val="21"/>
              </w:rPr>
              <w:t>邦</w:t>
            </w:r>
            <w:proofErr w:type="gramEnd"/>
            <w:r>
              <w:rPr>
                <w:color w:val="000000"/>
                <w:szCs w:val="21"/>
              </w:rPr>
              <w:t>证券有限责任公司</w:t>
            </w:r>
          </w:p>
        </w:tc>
        <w:tc>
          <w:tcPr>
            <w:tcW w:w="779" w:type="dxa"/>
            <w:vAlign w:val="center"/>
          </w:tcPr>
          <w:p w:rsidR="004A4B7D" w:rsidRDefault="00B235F4">
            <w:pPr>
              <w:jc w:val="right"/>
            </w:pPr>
            <w:r>
              <w:rPr>
                <w:color w:val="000000"/>
                <w:szCs w:val="21"/>
              </w:rPr>
              <w:t>1</w:t>
            </w:r>
          </w:p>
        </w:tc>
        <w:tc>
          <w:tcPr>
            <w:tcW w:w="1800" w:type="dxa"/>
            <w:vAlign w:val="center"/>
          </w:tcPr>
          <w:p w:rsidR="004A4B7D" w:rsidRDefault="00B235F4">
            <w:pPr>
              <w:jc w:val="right"/>
            </w:pPr>
            <w:r>
              <w:rPr>
                <w:color w:val="000000"/>
                <w:szCs w:val="21"/>
              </w:rPr>
              <w:t>-</w:t>
            </w:r>
          </w:p>
        </w:tc>
        <w:tc>
          <w:tcPr>
            <w:tcW w:w="1080" w:type="dxa"/>
            <w:vAlign w:val="center"/>
          </w:tcPr>
          <w:p w:rsidR="004A4B7D" w:rsidRDefault="00B235F4">
            <w:pPr>
              <w:jc w:val="right"/>
            </w:pPr>
            <w:r>
              <w:rPr>
                <w:color w:val="000000"/>
                <w:szCs w:val="21"/>
              </w:rPr>
              <w:t>-</w:t>
            </w:r>
          </w:p>
        </w:tc>
        <w:tc>
          <w:tcPr>
            <w:tcW w:w="1620" w:type="dxa"/>
            <w:vAlign w:val="center"/>
          </w:tcPr>
          <w:p w:rsidR="004A4B7D" w:rsidRDefault="00B235F4">
            <w:pPr>
              <w:jc w:val="right"/>
            </w:pPr>
            <w:r>
              <w:rPr>
                <w:color w:val="000000"/>
                <w:szCs w:val="21"/>
              </w:rPr>
              <w:t>-</w:t>
            </w:r>
          </w:p>
        </w:tc>
        <w:tc>
          <w:tcPr>
            <w:tcW w:w="1080" w:type="dxa"/>
            <w:vAlign w:val="center"/>
          </w:tcPr>
          <w:p w:rsidR="004A4B7D" w:rsidRDefault="00B235F4">
            <w:pPr>
              <w:jc w:val="right"/>
            </w:pPr>
            <w:r>
              <w:rPr>
                <w:color w:val="000000"/>
                <w:szCs w:val="21"/>
              </w:rPr>
              <w:t>-</w:t>
            </w:r>
          </w:p>
        </w:tc>
        <w:tc>
          <w:tcPr>
            <w:tcW w:w="1080" w:type="dxa"/>
            <w:vAlign w:val="center"/>
          </w:tcPr>
          <w:p w:rsidR="004A4B7D" w:rsidRDefault="00B235F4">
            <w:pPr>
              <w:jc w:val="left"/>
            </w:pPr>
            <w:r>
              <w:rPr>
                <w:color w:val="000000"/>
                <w:szCs w:val="21"/>
              </w:rPr>
              <w:t>-</w:t>
            </w:r>
          </w:p>
        </w:tc>
      </w:tr>
      <w:tr w:rsidR="004A4B7D">
        <w:tc>
          <w:tcPr>
            <w:tcW w:w="1559" w:type="dxa"/>
            <w:vAlign w:val="center"/>
          </w:tcPr>
          <w:p w:rsidR="004A4B7D" w:rsidRDefault="00B235F4">
            <w:pPr>
              <w:jc w:val="left"/>
            </w:pPr>
            <w:r>
              <w:rPr>
                <w:color w:val="000000"/>
                <w:szCs w:val="21"/>
              </w:rPr>
              <w:t>信</w:t>
            </w:r>
            <w:proofErr w:type="gramStart"/>
            <w:r>
              <w:rPr>
                <w:color w:val="000000"/>
                <w:szCs w:val="21"/>
              </w:rPr>
              <w:t>达证券</w:t>
            </w:r>
            <w:proofErr w:type="gramEnd"/>
            <w:r>
              <w:rPr>
                <w:color w:val="000000"/>
                <w:szCs w:val="21"/>
              </w:rPr>
              <w:t>股份有限公司</w:t>
            </w:r>
          </w:p>
        </w:tc>
        <w:tc>
          <w:tcPr>
            <w:tcW w:w="779" w:type="dxa"/>
            <w:vAlign w:val="center"/>
          </w:tcPr>
          <w:p w:rsidR="004A4B7D" w:rsidRDefault="00B235F4">
            <w:pPr>
              <w:jc w:val="right"/>
            </w:pPr>
            <w:r>
              <w:rPr>
                <w:color w:val="000000"/>
                <w:szCs w:val="21"/>
              </w:rPr>
              <w:t>1</w:t>
            </w:r>
          </w:p>
        </w:tc>
        <w:tc>
          <w:tcPr>
            <w:tcW w:w="1800" w:type="dxa"/>
            <w:vAlign w:val="center"/>
          </w:tcPr>
          <w:p w:rsidR="004A4B7D" w:rsidRDefault="00B235F4">
            <w:pPr>
              <w:jc w:val="right"/>
            </w:pPr>
            <w:r>
              <w:rPr>
                <w:color w:val="000000"/>
                <w:szCs w:val="21"/>
              </w:rPr>
              <w:t>-</w:t>
            </w:r>
          </w:p>
        </w:tc>
        <w:tc>
          <w:tcPr>
            <w:tcW w:w="1080" w:type="dxa"/>
            <w:vAlign w:val="center"/>
          </w:tcPr>
          <w:p w:rsidR="004A4B7D" w:rsidRDefault="00B235F4">
            <w:pPr>
              <w:jc w:val="right"/>
            </w:pPr>
            <w:r>
              <w:rPr>
                <w:color w:val="000000"/>
                <w:szCs w:val="21"/>
              </w:rPr>
              <w:t>-</w:t>
            </w:r>
          </w:p>
        </w:tc>
        <w:tc>
          <w:tcPr>
            <w:tcW w:w="1620" w:type="dxa"/>
            <w:vAlign w:val="center"/>
          </w:tcPr>
          <w:p w:rsidR="004A4B7D" w:rsidRDefault="00B235F4">
            <w:pPr>
              <w:jc w:val="right"/>
            </w:pPr>
            <w:r>
              <w:rPr>
                <w:color w:val="000000"/>
                <w:szCs w:val="21"/>
              </w:rPr>
              <w:t>-</w:t>
            </w:r>
          </w:p>
        </w:tc>
        <w:tc>
          <w:tcPr>
            <w:tcW w:w="1080" w:type="dxa"/>
            <w:vAlign w:val="center"/>
          </w:tcPr>
          <w:p w:rsidR="004A4B7D" w:rsidRDefault="00B235F4">
            <w:pPr>
              <w:jc w:val="right"/>
            </w:pPr>
            <w:r>
              <w:rPr>
                <w:color w:val="000000"/>
                <w:szCs w:val="21"/>
              </w:rPr>
              <w:t>-</w:t>
            </w:r>
          </w:p>
        </w:tc>
        <w:tc>
          <w:tcPr>
            <w:tcW w:w="1080" w:type="dxa"/>
            <w:vAlign w:val="center"/>
          </w:tcPr>
          <w:p w:rsidR="004A4B7D" w:rsidRDefault="00B235F4">
            <w:pPr>
              <w:jc w:val="left"/>
            </w:pPr>
            <w:r>
              <w:rPr>
                <w:color w:val="000000"/>
                <w:szCs w:val="21"/>
              </w:rPr>
              <w:t>-</w:t>
            </w:r>
          </w:p>
        </w:tc>
      </w:tr>
    </w:tbl>
    <w:p w:rsidR="004A4B7D" w:rsidRDefault="00B235F4">
      <w:pPr>
        <w:tabs>
          <w:tab w:val="left" w:pos="426"/>
        </w:tabs>
        <w:spacing w:before="29" w:line="288" w:lineRule="auto"/>
        <w:jc w:val="left"/>
        <w:rPr>
          <w:kern w:val="0"/>
          <w:sz w:val="24"/>
        </w:rPr>
      </w:pPr>
      <w:r>
        <w:rPr>
          <w:kern w:val="0"/>
          <w:sz w:val="24"/>
        </w:rPr>
        <w:lastRenderedPageBreak/>
        <w:t>注：</w:t>
      </w:r>
      <w:r>
        <w:rPr>
          <w:kern w:val="0"/>
          <w:sz w:val="24"/>
        </w:rPr>
        <w:t>1</w:t>
      </w:r>
      <w:r>
        <w:rPr>
          <w:kern w:val="0"/>
          <w:sz w:val="24"/>
        </w:rPr>
        <w:t>、报告期内，本基金新增交易单元为西藏东方财富证券股份有限公司，终止交易单位为海通证券股份有限公司</w:t>
      </w:r>
      <w:r w:rsidR="0052698B">
        <w:rPr>
          <w:rFonts w:hint="eastAsia"/>
          <w:kern w:val="0"/>
          <w:sz w:val="24"/>
        </w:rPr>
        <w:t>、</w:t>
      </w:r>
      <w:r>
        <w:rPr>
          <w:kern w:val="0"/>
          <w:sz w:val="24"/>
        </w:rPr>
        <w:t>广发证券股份有限公司</w:t>
      </w:r>
      <w:r w:rsidR="0052698B">
        <w:rPr>
          <w:rFonts w:hint="eastAsia"/>
          <w:kern w:val="0"/>
          <w:sz w:val="24"/>
        </w:rPr>
        <w:t>、</w:t>
      </w:r>
      <w:r>
        <w:rPr>
          <w:kern w:val="0"/>
          <w:sz w:val="24"/>
        </w:rPr>
        <w:t>中信证券股份有限公司，其它交易单元未发生变化；</w:t>
      </w:r>
    </w:p>
    <w:p w:rsidR="004A4B7D" w:rsidRDefault="00B235F4" w:rsidP="007A39C1">
      <w:pPr>
        <w:tabs>
          <w:tab w:val="left" w:pos="426"/>
        </w:tabs>
        <w:spacing w:before="29" w:line="288" w:lineRule="auto"/>
        <w:ind w:firstLineChars="200" w:firstLine="480"/>
        <w:jc w:val="left"/>
        <w:rPr>
          <w:kern w:val="0"/>
          <w:sz w:val="24"/>
        </w:rPr>
      </w:pPr>
      <w:r>
        <w:rPr>
          <w:kern w:val="0"/>
          <w:sz w:val="24"/>
        </w:rPr>
        <w:t>2</w:t>
      </w:r>
      <w:r>
        <w:rPr>
          <w:kern w:val="0"/>
          <w:sz w:val="24"/>
        </w:rPr>
        <w:t>、租用证券公司专用交易单元的选择标准主要包括：券商基本面评价（财务状况和经营状况）、券商研究机构评价（报告质量、及时性和数量）、券商每日信息评价（及时性和有效性）和券商协作表现评价等四个方面；</w:t>
      </w:r>
    </w:p>
    <w:p w:rsidR="001A59F9" w:rsidRPr="00273FD9" w:rsidRDefault="001A59F9" w:rsidP="00273FD9">
      <w:pPr>
        <w:tabs>
          <w:tab w:val="left" w:pos="426"/>
        </w:tabs>
        <w:spacing w:before="29" w:line="288" w:lineRule="auto"/>
        <w:jc w:val="left"/>
        <w:rPr>
          <w:kern w:val="0"/>
          <w:sz w:val="24"/>
        </w:rPr>
      </w:pPr>
      <w:r w:rsidRPr="00273FD9">
        <w:rPr>
          <w:kern w:val="0"/>
          <w:sz w:val="24"/>
        </w:rPr>
        <w:t xml:space="preserve">    3</w:t>
      </w:r>
      <w:r w:rsidRPr="00273FD9">
        <w:rPr>
          <w:kern w:val="0"/>
          <w:sz w:val="24"/>
        </w:rPr>
        <w:t>、租用证券公司专用交易单元的程序：首先根据租用证券公司专用交易单元的选择标准进行综合评价，然后根据评价选择基金专用交易单元。研究部提交方案，并上报公司批准。</w:t>
      </w:r>
    </w:p>
    <w:p w:rsidR="001A59F9" w:rsidRPr="00C51C77" w:rsidRDefault="001A59F9" w:rsidP="00026C9C">
      <w:pPr>
        <w:spacing w:line="360" w:lineRule="auto"/>
        <w:rPr>
          <w:rFonts w:asciiTheme="minorEastAsia" w:eastAsiaTheme="minorEastAsia" w:hAnsiTheme="minorEastAsia"/>
          <w:color w:val="000000"/>
          <w:szCs w:val="21"/>
        </w:rPr>
      </w:pPr>
    </w:p>
    <w:p w:rsidR="001A59F9" w:rsidRPr="00245C29" w:rsidRDefault="001A59F9" w:rsidP="00245C29">
      <w:pPr>
        <w:pStyle w:val="20"/>
        <w:spacing w:before="29" w:after="0" w:line="288" w:lineRule="auto"/>
        <w:rPr>
          <w:rFonts w:ascii="Times New Roman" w:hAnsi="Times New Roman"/>
          <w:kern w:val="0"/>
          <w:szCs w:val="24"/>
        </w:rPr>
      </w:pPr>
      <w:r w:rsidRPr="00245C29">
        <w:rPr>
          <w:rFonts w:ascii="Times New Roman" w:hAnsi="Times New Roman"/>
          <w:kern w:val="0"/>
          <w:szCs w:val="24"/>
        </w:rPr>
        <w:t>11.7.2</w:t>
      </w:r>
      <w:r w:rsidR="009153A3" w:rsidRPr="00245C29">
        <w:rPr>
          <w:rFonts w:ascii="Times New Roman" w:hAnsi="Times New Roman" w:hint="eastAsia"/>
          <w:kern w:val="0"/>
          <w:szCs w:val="24"/>
        </w:rPr>
        <w:t xml:space="preserve"> </w:t>
      </w:r>
      <w:r w:rsidRPr="00245C29">
        <w:rPr>
          <w:rFonts w:ascii="Times New Roman" w:hAnsi="Times New Roman" w:hint="eastAsia"/>
          <w:kern w:val="0"/>
          <w:szCs w:val="24"/>
        </w:rPr>
        <w:t>基金租用证券公司交易单元进行其他证券投资的情况</w:t>
      </w:r>
      <w:bookmarkEnd w:id="95"/>
    </w:p>
    <w:p w:rsidR="009A36E4" w:rsidRDefault="009A36E4" w:rsidP="00273FD9">
      <w:pPr>
        <w:tabs>
          <w:tab w:val="left" w:pos="426"/>
        </w:tabs>
        <w:spacing w:before="29" w:line="288" w:lineRule="auto"/>
        <w:jc w:val="left"/>
        <w:rPr>
          <w:kern w:val="0"/>
          <w:sz w:val="24"/>
        </w:rPr>
      </w:pPr>
      <w:r w:rsidRPr="00273FD9">
        <w:rPr>
          <w:kern w:val="0"/>
          <w:sz w:val="24"/>
        </w:rPr>
        <w:t>无。</w:t>
      </w:r>
    </w:p>
    <w:p w:rsidR="00EA2417" w:rsidRDefault="00EA2417" w:rsidP="00273FD9">
      <w:pPr>
        <w:tabs>
          <w:tab w:val="left" w:pos="426"/>
        </w:tabs>
        <w:spacing w:before="29" w:line="288" w:lineRule="auto"/>
        <w:jc w:val="left"/>
        <w:rPr>
          <w:kern w:val="0"/>
          <w:sz w:val="24"/>
        </w:rPr>
      </w:pPr>
    </w:p>
    <w:p w:rsidR="00A06305" w:rsidRDefault="00A06305" w:rsidP="00273FD9">
      <w:pPr>
        <w:tabs>
          <w:tab w:val="left" w:pos="426"/>
        </w:tabs>
        <w:spacing w:before="29" w:line="288" w:lineRule="auto"/>
        <w:jc w:val="left"/>
        <w:rPr>
          <w:kern w:val="0"/>
          <w:sz w:val="24"/>
        </w:rPr>
      </w:pPr>
    </w:p>
    <w:p w:rsidR="00A06305" w:rsidRDefault="00A06305" w:rsidP="00273FD9">
      <w:pPr>
        <w:tabs>
          <w:tab w:val="left" w:pos="426"/>
        </w:tabs>
        <w:spacing w:before="29" w:line="288" w:lineRule="auto"/>
        <w:jc w:val="left"/>
        <w:rPr>
          <w:kern w:val="0"/>
          <w:sz w:val="24"/>
        </w:rPr>
      </w:pPr>
    </w:p>
    <w:p w:rsidR="00A06305" w:rsidRPr="00273FD9" w:rsidRDefault="00A06305" w:rsidP="00273FD9">
      <w:pPr>
        <w:tabs>
          <w:tab w:val="left" w:pos="426"/>
        </w:tabs>
        <w:spacing w:before="29" w:line="288" w:lineRule="auto"/>
        <w:jc w:val="left"/>
        <w:rPr>
          <w:kern w:val="0"/>
          <w:sz w:val="24"/>
        </w:rPr>
      </w:pPr>
    </w:p>
    <w:p w:rsidR="001A59F9" w:rsidRPr="0014702D" w:rsidRDefault="001A59F9" w:rsidP="0014702D">
      <w:pPr>
        <w:spacing w:before="29" w:line="288" w:lineRule="auto"/>
        <w:ind w:firstLineChars="200" w:firstLine="482"/>
        <w:jc w:val="right"/>
        <w:rPr>
          <w:b/>
          <w:color w:val="000000"/>
          <w:sz w:val="24"/>
        </w:rPr>
      </w:pPr>
      <w:r w:rsidRPr="0014702D">
        <w:rPr>
          <w:b/>
          <w:color w:val="000000"/>
          <w:sz w:val="24"/>
        </w:rPr>
        <w:t>交银施罗德基金管理有限公司</w:t>
      </w:r>
    </w:p>
    <w:p w:rsidR="001A59F9" w:rsidRPr="0014702D" w:rsidRDefault="00A77C51" w:rsidP="0014702D">
      <w:pPr>
        <w:spacing w:before="29" w:line="288" w:lineRule="auto"/>
        <w:ind w:firstLineChars="200" w:firstLine="482"/>
        <w:jc w:val="right"/>
        <w:rPr>
          <w:b/>
          <w:color w:val="000000"/>
          <w:sz w:val="24"/>
        </w:rPr>
      </w:pPr>
      <w:r w:rsidRPr="0014702D">
        <w:rPr>
          <w:b/>
          <w:color w:val="000000"/>
          <w:sz w:val="24"/>
        </w:rPr>
        <w:t>二〇一七年三月二十九日</w:t>
      </w:r>
    </w:p>
    <w:p w:rsidR="001A59F9" w:rsidRPr="0014702D" w:rsidRDefault="001A59F9" w:rsidP="00026C9C">
      <w:pPr>
        <w:spacing w:line="360" w:lineRule="auto"/>
        <w:rPr>
          <w:rFonts w:asciiTheme="minorEastAsia" w:eastAsiaTheme="minorEastAsia" w:hAnsiTheme="minorEastAsia"/>
          <w:b/>
          <w:szCs w:val="21"/>
        </w:rPr>
      </w:pPr>
    </w:p>
    <w:sectPr w:rsidR="001A59F9" w:rsidRPr="0014702D" w:rsidSect="00937AC9">
      <w:footerReference w:type="even" r:id="rId10"/>
      <w:footerReference w:type="default" r:id="rId11"/>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5B9C" w:rsidRDefault="000C5B9C">
      <w:r>
        <w:separator/>
      </w:r>
    </w:p>
  </w:endnote>
  <w:endnote w:type="continuationSeparator" w:id="0">
    <w:p w:rsidR="000C5B9C" w:rsidRDefault="000C5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24E" w:rsidRDefault="0029424E" w:rsidP="00C03B3A">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29424E" w:rsidRDefault="0029424E" w:rsidP="00C03B3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24E" w:rsidRDefault="0029424E" w:rsidP="00C03B3A">
    <w:pPr>
      <w:pStyle w:val="a7"/>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3366EF">
      <w:rPr>
        <w:noProof/>
        <w:kern w:val="0"/>
        <w:szCs w:val="21"/>
      </w:rPr>
      <w:t>30</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3366EF">
      <w:rPr>
        <w:noProof/>
        <w:kern w:val="0"/>
        <w:szCs w:val="21"/>
      </w:rPr>
      <w:t>32</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5B9C" w:rsidRDefault="000C5B9C">
      <w:r>
        <w:separator/>
      </w:r>
    </w:p>
  </w:footnote>
  <w:footnote w:type="continuationSeparator" w:id="0">
    <w:p w:rsidR="000C5B9C" w:rsidRDefault="000C5B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24E" w:rsidRPr="00C2542B" w:rsidRDefault="0029424E" w:rsidP="00C2542B">
    <w:pPr>
      <w:pStyle w:val="aa"/>
      <w:pBdr>
        <w:bottom w:val="single" w:sz="6" w:space="0" w:color="auto"/>
      </w:pBdr>
      <w:jc w:val="right"/>
    </w:pPr>
    <w:r w:rsidRPr="00DB2981">
      <w:rPr>
        <w:rFonts w:hint="eastAsia"/>
        <w:noProof/>
        <w:sz w:val="21"/>
        <w:szCs w:val="21"/>
      </w:rPr>
      <w:drawing>
        <wp:anchor distT="0" distB="0" distL="114300" distR="114300" simplePos="0" relativeHeight="251659264" behindDoc="0" locked="0" layoutInCell="1" allowOverlap="1">
          <wp:simplePos x="0" y="0"/>
          <wp:positionH relativeFrom="column">
            <wp:posOffset>-24130</wp:posOffset>
          </wp:positionH>
          <wp:positionV relativeFrom="paragraph">
            <wp:posOffset>-349885</wp:posOffset>
          </wp:positionV>
          <wp:extent cx="2085975" cy="4572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EBD"/>
    <w:rsid w:val="000019B6"/>
    <w:rsid w:val="00001B39"/>
    <w:rsid w:val="00002644"/>
    <w:rsid w:val="00003577"/>
    <w:rsid w:val="0000403B"/>
    <w:rsid w:val="00004337"/>
    <w:rsid w:val="00005172"/>
    <w:rsid w:val="0000551D"/>
    <w:rsid w:val="00005911"/>
    <w:rsid w:val="00005AA2"/>
    <w:rsid w:val="000102A7"/>
    <w:rsid w:val="00010918"/>
    <w:rsid w:val="00010A83"/>
    <w:rsid w:val="00010A8E"/>
    <w:rsid w:val="00010AC3"/>
    <w:rsid w:val="00010C1F"/>
    <w:rsid w:val="00010F11"/>
    <w:rsid w:val="00011081"/>
    <w:rsid w:val="00011850"/>
    <w:rsid w:val="00011EB5"/>
    <w:rsid w:val="0001280C"/>
    <w:rsid w:val="00013CAE"/>
    <w:rsid w:val="000145E9"/>
    <w:rsid w:val="000162AF"/>
    <w:rsid w:val="00016A50"/>
    <w:rsid w:val="00017581"/>
    <w:rsid w:val="0001767C"/>
    <w:rsid w:val="00020583"/>
    <w:rsid w:val="00021813"/>
    <w:rsid w:val="00021DD4"/>
    <w:rsid w:val="000221FE"/>
    <w:rsid w:val="00023BE7"/>
    <w:rsid w:val="00024200"/>
    <w:rsid w:val="0002453B"/>
    <w:rsid w:val="00024C15"/>
    <w:rsid w:val="00024C62"/>
    <w:rsid w:val="00024CA0"/>
    <w:rsid w:val="00026C9C"/>
    <w:rsid w:val="000274FE"/>
    <w:rsid w:val="000276C9"/>
    <w:rsid w:val="0003228A"/>
    <w:rsid w:val="000322D5"/>
    <w:rsid w:val="0003271C"/>
    <w:rsid w:val="00032ADD"/>
    <w:rsid w:val="00032FE1"/>
    <w:rsid w:val="000331EA"/>
    <w:rsid w:val="00033EC1"/>
    <w:rsid w:val="00034BA5"/>
    <w:rsid w:val="000358FE"/>
    <w:rsid w:val="00036ED5"/>
    <w:rsid w:val="00037267"/>
    <w:rsid w:val="000378BC"/>
    <w:rsid w:val="00037CF2"/>
    <w:rsid w:val="00037FCF"/>
    <w:rsid w:val="000415E6"/>
    <w:rsid w:val="00041BC8"/>
    <w:rsid w:val="000421B8"/>
    <w:rsid w:val="000429DF"/>
    <w:rsid w:val="00042AAD"/>
    <w:rsid w:val="000430CA"/>
    <w:rsid w:val="0004381B"/>
    <w:rsid w:val="00043ABF"/>
    <w:rsid w:val="00044158"/>
    <w:rsid w:val="000445E4"/>
    <w:rsid w:val="00045D10"/>
    <w:rsid w:val="0004616F"/>
    <w:rsid w:val="000471B4"/>
    <w:rsid w:val="0004778D"/>
    <w:rsid w:val="00047D10"/>
    <w:rsid w:val="00050260"/>
    <w:rsid w:val="00050C4A"/>
    <w:rsid w:val="000510AB"/>
    <w:rsid w:val="000514E0"/>
    <w:rsid w:val="00051639"/>
    <w:rsid w:val="00053091"/>
    <w:rsid w:val="00053242"/>
    <w:rsid w:val="00053438"/>
    <w:rsid w:val="0005346A"/>
    <w:rsid w:val="000534CD"/>
    <w:rsid w:val="00053EED"/>
    <w:rsid w:val="0005401D"/>
    <w:rsid w:val="0005448A"/>
    <w:rsid w:val="00054499"/>
    <w:rsid w:val="00055AF1"/>
    <w:rsid w:val="00055D56"/>
    <w:rsid w:val="000573B5"/>
    <w:rsid w:val="00057A1D"/>
    <w:rsid w:val="00060597"/>
    <w:rsid w:val="00060744"/>
    <w:rsid w:val="00060A2C"/>
    <w:rsid w:val="00060CB4"/>
    <w:rsid w:val="00061167"/>
    <w:rsid w:val="00061582"/>
    <w:rsid w:val="00061E30"/>
    <w:rsid w:val="00062997"/>
    <w:rsid w:val="00063D34"/>
    <w:rsid w:val="0006475F"/>
    <w:rsid w:val="00064AE3"/>
    <w:rsid w:val="00064FC8"/>
    <w:rsid w:val="00065208"/>
    <w:rsid w:val="00066524"/>
    <w:rsid w:val="000671A3"/>
    <w:rsid w:val="00067A89"/>
    <w:rsid w:val="00070549"/>
    <w:rsid w:val="00070CD1"/>
    <w:rsid w:val="00070E4D"/>
    <w:rsid w:val="00071022"/>
    <w:rsid w:val="0007171B"/>
    <w:rsid w:val="000717A1"/>
    <w:rsid w:val="00072DE0"/>
    <w:rsid w:val="00072FC7"/>
    <w:rsid w:val="00073DB1"/>
    <w:rsid w:val="00073EA5"/>
    <w:rsid w:val="00073F87"/>
    <w:rsid w:val="00074AAD"/>
    <w:rsid w:val="00075473"/>
    <w:rsid w:val="00075D2A"/>
    <w:rsid w:val="00076397"/>
    <w:rsid w:val="000764CB"/>
    <w:rsid w:val="00076CC5"/>
    <w:rsid w:val="00077FE0"/>
    <w:rsid w:val="000801F4"/>
    <w:rsid w:val="00080423"/>
    <w:rsid w:val="00080BC0"/>
    <w:rsid w:val="0008141B"/>
    <w:rsid w:val="00081A3D"/>
    <w:rsid w:val="00081D05"/>
    <w:rsid w:val="0008226A"/>
    <w:rsid w:val="00082B63"/>
    <w:rsid w:val="00083BAF"/>
    <w:rsid w:val="0008407B"/>
    <w:rsid w:val="000847EE"/>
    <w:rsid w:val="00084ADE"/>
    <w:rsid w:val="0008506D"/>
    <w:rsid w:val="00085F3E"/>
    <w:rsid w:val="000861D6"/>
    <w:rsid w:val="0008624A"/>
    <w:rsid w:val="000863CA"/>
    <w:rsid w:val="00086622"/>
    <w:rsid w:val="000866EC"/>
    <w:rsid w:val="00087011"/>
    <w:rsid w:val="00087272"/>
    <w:rsid w:val="000874BC"/>
    <w:rsid w:val="00087CF7"/>
    <w:rsid w:val="00087D8D"/>
    <w:rsid w:val="0009000C"/>
    <w:rsid w:val="00090120"/>
    <w:rsid w:val="000908ED"/>
    <w:rsid w:val="0009091B"/>
    <w:rsid w:val="000917D5"/>
    <w:rsid w:val="000919B7"/>
    <w:rsid w:val="0009357E"/>
    <w:rsid w:val="00094876"/>
    <w:rsid w:val="000951F7"/>
    <w:rsid w:val="00095912"/>
    <w:rsid w:val="00095CE0"/>
    <w:rsid w:val="000961CE"/>
    <w:rsid w:val="00096563"/>
    <w:rsid w:val="00096566"/>
    <w:rsid w:val="000968C8"/>
    <w:rsid w:val="00096933"/>
    <w:rsid w:val="00096995"/>
    <w:rsid w:val="00096A1F"/>
    <w:rsid w:val="00096B18"/>
    <w:rsid w:val="00097230"/>
    <w:rsid w:val="00097DB0"/>
    <w:rsid w:val="000A1448"/>
    <w:rsid w:val="000A1B00"/>
    <w:rsid w:val="000A1BD6"/>
    <w:rsid w:val="000A1BFB"/>
    <w:rsid w:val="000A3022"/>
    <w:rsid w:val="000A335B"/>
    <w:rsid w:val="000A38DE"/>
    <w:rsid w:val="000A457E"/>
    <w:rsid w:val="000A4672"/>
    <w:rsid w:val="000A4FEF"/>
    <w:rsid w:val="000A53FD"/>
    <w:rsid w:val="000A549A"/>
    <w:rsid w:val="000A578A"/>
    <w:rsid w:val="000A72F2"/>
    <w:rsid w:val="000B0C56"/>
    <w:rsid w:val="000B2B57"/>
    <w:rsid w:val="000B2C8D"/>
    <w:rsid w:val="000B3435"/>
    <w:rsid w:val="000B36CC"/>
    <w:rsid w:val="000B3E43"/>
    <w:rsid w:val="000B417C"/>
    <w:rsid w:val="000B4365"/>
    <w:rsid w:val="000B5CC0"/>
    <w:rsid w:val="000B7754"/>
    <w:rsid w:val="000C01F9"/>
    <w:rsid w:val="000C05AB"/>
    <w:rsid w:val="000C0871"/>
    <w:rsid w:val="000C0A18"/>
    <w:rsid w:val="000C0A9A"/>
    <w:rsid w:val="000C0CA5"/>
    <w:rsid w:val="000C0F55"/>
    <w:rsid w:val="000C127D"/>
    <w:rsid w:val="000C15BE"/>
    <w:rsid w:val="000C1723"/>
    <w:rsid w:val="000C1774"/>
    <w:rsid w:val="000C1B20"/>
    <w:rsid w:val="000C224F"/>
    <w:rsid w:val="000C3CE0"/>
    <w:rsid w:val="000C3FD9"/>
    <w:rsid w:val="000C4107"/>
    <w:rsid w:val="000C45E7"/>
    <w:rsid w:val="000C45F5"/>
    <w:rsid w:val="000C58C9"/>
    <w:rsid w:val="000C5B9C"/>
    <w:rsid w:val="000C5C31"/>
    <w:rsid w:val="000C5E98"/>
    <w:rsid w:val="000C698D"/>
    <w:rsid w:val="000C705C"/>
    <w:rsid w:val="000C7AE4"/>
    <w:rsid w:val="000D01F4"/>
    <w:rsid w:val="000D0B89"/>
    <w:rsid w:val="000D1519"/>
    <w:rsid w:val="000D1889"/>
    <w:rsid w:val="000D2B86"/>
    <w:rsid w:val="000D3145"/>
    <w:rsid w:val="000D36D1"/>
    <w:rsid w:val="000D4AAD"/>
    <w:rsid w:val="000D52B3"/>
    <w:rsid w:val="000D52DC"/>
    <w:rsid w:val="000D6054"/>
    <w:rsid w:val="000D619B"/>
    <w:rsid w:val="000D788B"/>
    <w:rsid w:val="000D7D7C"/>
    <w:rsid w:val="000E34ED"/>
    <w:rsid w:val="000E4456"/>
    <w:rsid w:val="000E4505"/>
    <w:rsid w:val="000E4B9B"/>
    <w:rsid w:val="000E6184"/>
    <w:rsid w:val="000E67FE"/>
    <w:rsid w:val="000E7B5C"/>
    <w:rsid w:val="000F0C0A"/>
    <w:rsid w:val="000F0FF2"/>
    <w:rsid w:val="000F175F"/>
    <w:rsid w:val="000F17D1"/>
    <w:rsid w:val="000F255E"/>
    <w:rsid w:val="000F285F"/>
    <w:rsid w:val="000F2C75"/>
    <w:rsid w:val="000F3506"/>
    <w:rsid w:val="000F5122"/>
    <w:rsid w:val="000F5396"/>
    <w:rsid w:val="000F5704"/>
    <w:rsid w:val="000F593E"/>
    <w:rsid w:val="000F60F3"/>
    <w:rsid w:val="000F60FF"/>
    <w:rsid w:val="000F635F"/>
    <w:rsid w:val="000F6A8A"/>
    <w:rsid w:val="000F6C61"/>
    <w:rsid w:val="000F6F95"/>
    <w:rsid w:val="000F754C"/>
    <w:rsid w:val="00100C12"/>
    <w:rsid w:val="001013A8"/>
    <w:rsid w:val="00101C35"/>
    <w:rsid w:val="00102046"/>
    <w:rsid w:val="001021AD"/>
    <w:rsid w:val="00102CC8"/>
    <w:rsid w:val="001030B5"/>
    <w:rsid w:val="0010352B"/>
    <w:rsid w:val="001046E2"/>
    <w:rsid w:val="001049B6"/>
    <w:rsid w:val="00104DE3"/>
    <w:rsid w:val="001051C6"/>
    <w:rsid w:val="0010577B"/>
    <w:rsid w:val="0010598A"/>
    <w:rsid w:val="00105C9C"/>
    <w:rsid w:val="001069ED"/>
    <w:rsid w:val="00106C1F"/>
    <w:rsid w:val="00106F69"/>
    <w:rsid w:val="001116BA"/>
    <w:rsid w:val="0011177A"/>
    <w:rsid w:val="0011179E"/>
    <w:rsid w:val="00111C71"/>
    <w:rsid w:val="001134F0"/>
    <w:rsid w:val="00113763"/>
    <w:rsid w:val="001141C0"/>
    <w:rsid w:val="00116E31"/>
    <w:rsid w:val="0012065E"/>
    <w:rsid w:val="00120825"/>
    <w:rsid w:val="00120EED"/>
    <w:rsid w:val="001212B4"/>
    <w:rsid w:val="0012304E"/>
    <w:rsid w:val="00123252"/>
    <w:rsid w:val="001239C8"/>
    <w:rsid w:val="00123A56"/>
    <w:rsid w:val="0012478C"/>
    <w:rsid w:val="001248EF"/>
    <w:rsid w:val="001252EA"/>
    <w:rsid w:val="00125565"/>
    <w:rsid w:val="001257C7"/>
    <w:rsid w:val="00126502"/>
    <w:rsid w:val="001268F9"/>
    <w:rsid w:val="00126AF2"/>
    <w:rsid w:val="00126DDF"/>
    <w:rsid w:val="001270BF"/>
    <w:rsid w:val="00127BAC"/>
    <w:rsid w:val="00127FF5"/>
    <w:rsid w:val="00131EC2"/>
    <w:rsid w:val="00132E82"/>
    <w:rsid w:val="0013374F"/>
    <w:rsid w:val="0013437B"/>
    <w:rsid w:val="00134789"/>
    <w:rsid w:val="00135467"/>
    <w:rsid w:val="001364D3"/>
    <w:rsid w:val="001366C4"/>
    <w:rsid w:val="0013686A"/>
    <w:rsid w:val="0013718B"/>
    <w:rsid w:val="00137BB5"/>
    <w:rsid w:val="00137BB9"/>
    <w:rsid w:val="00137D50"/>
    <w:rsid w:val="00140038"/>
    <w:rsid w:val="00140E52"/>
    <w:rsid w:val="00142280"/>
    <w:rsid w:val="0014241E"/>
    <w:rsid w:val="001424C6"/>
    <w:rsid w:val="00142A56"/>
    <w:rsid w:val="00142C11"/>
    <w:rsid w:val="001432A7"/>
    <w:rsid w:val="00143BE5"/>
    <w:rsid w:val="00144AAD"/>
    <w:rsid w:val="00144DF5"/>
    <w:rsid w:val="00145247"/>
    <w:rsid w:val="001455C7"/>
    <w:rsid w:val="00145A97"/>
    <w:rsid w:val="00146153"/>
    <w:rsid w:val="00146485"/>
    <w:rsid w:val="00146A28"/>
    <w:rsid w:val="0014702D"/>
    <w:rsid w:val="001470F0"/>
    <w:rsid w:val="00147492"/>
    <w:rsid w:val="00147D41"/>
    <w:rsid w:val="0015080E"/>
    <w:rsid w:val="00150AD6"/>
    <w:rsid w:val="0015173F"/>
    <w:rsid w:val="00151AAF"/>
    <w:rsid w:val="00151B23"/>
    <w:rsid w:val="00152B88"/>
    <w:rsid w:val="00152EE6"/>
    <w:rsid w:val="00153403"/>
    <w:rsid w:val="001535AE"/>
    <w:rsid w:val="00153B40"/>
    <w:rsid w:val="00153BCF"/>
    <w:rsid w:val="0015433E"/>
    <w:rsid w:val="00154ADA"/>
    <w:rsid w:val="00154B08"/>
    <w:rsid w:val="00154C47"/>
    <w:rsid w:val="0015519C"/>
    <w:rsid w:val="0015531A"/>
    <w:rsid w:val="00157418"/>
    <w:rsid w:val="00157B5A"/>
    <w:rsid w:val="00160039"/>
    <w:rsid w:val="0016050B"/>
    <w:rsid w:val="001622C3"/>
    <w:rsid w:val="00162C6F"/>
    <w:rsid w:val="0016380C"/>
    <w:rsid w:val="00163816"/>
    <w:rsid w:val="00163B27"/>
    <w:rsid w:val="0016425E"/>
    <w:rsid w:val="00164BF7"/>
    <w:rsid w:val="00165317"/>
    <w:rsid w:val="001657AB"/>
    <w:rsid w:val="001657E5"/>
    <w:rsid w:val="0016724C"/>
    <w:rsid w:val="0017073D"/>
    <w:rsid w:val="00170D38"/>
    <w:rsid w:val="00171484"/>
    <w:rsid w:val="00171BAD"/>
    <w:rsid w:val="00171F2C"/>
    <w:rsid w:val="00173AF1"/>
    <w:rsid w:val="001744B4"/>
    <w:rsid w:val="001751EF"/>
    <w:rsid w:val="001756A1"/>
    <w:rsid w:val="001761EE"/>
    <w:rsid w:val="00176E90"/>
    <w:rsid w:val="00176EAA"/>
    <w:rsid w:val="00177030"/>
    <w:rsid w:val="0017725A"/>
    <w:rsid w:val="00177405"/>
    <w:rsid w:val="0017761A"/>
    <w:rsid w:val="00177C4B"/>
    <w:rsid w:val="00177EE2"/>
    <w:rsid w:val="00177F6A"/>
    <w:rsid w:val="00181618"/>
    <w:rsid w:val="001819A8"/>
    <w:rsid w:val="00182A38"/>
    <w:rsid w:val="0018325A"/>
    <w:rsid w:val="00183D7A"/>
    <w:rsid w:val="00184CAE"/>
    <w:rsid w:val="00186199"/>
    <w:rsid w:val="00186F7A"/>
    <w:rsid w:val="0019036C"/>
    <w:rsid w:val="00190AE2"/>
    <w:rsid w:val="00190E27"/>
    <w:rsid w:val="001928F7"/>
    <w:rsid w:val="00193182"/>
    <w:rsid w:val="00193575"/>
    <w:rsid w:val="0019389D"/>
    <w:rsid w:val="00193B62"/>
    <w:rsid w:val="00193B93"/>
    <w:rsid w:val="00194537"/>
    <w:rsid w:val="0019563C"/>
    <w:rsid w:val="001956CA"/>
    <w:rsid w:val="00195781"/>
    <w:rsid w:val="00195B79"/>
    <w:rsid w:val="00197C86"/>
    <w:rsid w:val="001A088E"/>
    <w:rsid w:val="001A0F4A"/>
    <w:rsid w:val="001A1B13"/>
    <w:rsid w:val="001A1D38"/>
    <w:rsid w:val="001A20CE"/>
    <w:rsid w:val="001A21A9"/>
    <w:rsid w:val="001A2A8C"/>
    <w:rsid w:val="001A2A97"/>
    <w:rsid w:val="001A364F"/>
    <w:rsid w:val="001A383E"/>
    <w:rsid w:val="001A39B7"/>
    <w:rsid w:val="001A3AF4"/>
    <w:rsid w:val="001A42FA"/>
    <w:rsid w:val="001A4AEC"/>
    <w:rsid w:val="001A59D8"/>
    <w:rsid w:val="001A59F9"/>
    <w:rsid w:val="001A5FA6"/>
    <w:rsid w:val="001A668F"/>
    <w:rsid w:val="001A71CC"/>
    <w:rsid w:val="001A7F30"/>
    <w:rsid w:val="001B04D4"/>
    <w:rsid w:val="001B0A5D"/>
    <w:rsid w:val="001B179D"/>
    <w:rsid w:val="001B25CD"/>
    <w:rsid w:val="001B261A"/>
    <w:rsid w:val="001B2F0C"/>
    <w:rsid w:val="001B30CA"/>
    <w:rsid w:val="001B3513"/>
    <w:rsid w:val="001B353A"/>
    <w:rsid w:val="001B3A6B"/>
    <w:rsid w:val="001B3D3E"/>
    <w:rsid w:val="001B3F8B"/>
    <w:rsid w:val="001B50CD"/>
    <w:rsid w:val="001B52FE"/>
    <w:rsid w:val="001B7890"/>
    <w:rsid w:val="001C005A"/>
    <w:rsid w:val="001C00CF"/>
    <w:rsid w:val="001C0806"/>
    <w:rsid w:val="001C0A9E"/>
    <w:rsid w:val="001C2F9C"/>
    <w:rsid w:val="001C3399"/>
    <w:rsid w:val="001C37F6"/>
    <w:rsid w:val="001C48BC"/>
    <w:rsid w:val="001C4D9F"/>
    <w:rsid w:val="001C5289"/>
    <w:rsid w:val="001C5FC7"/>
    <w:rsid w:val="001C6288"/>
    <w:rsid w:val="001C67A1"/>
    <w:rsid w:val="001C7C6D"/>
    <w:rsid w:val="001D0538"/>
    <w:rsid w:val="001D0634"/>
    <w:rsid w:val="001D0B81"/>
    <w:rsid w:val="001D0F6A"/>
    <w:rsid w:val="001D1BBC"/>
    <w:rsid w:val="001D21BC"/>
    <w:rsid w:val="001D2E47"/>
    <w:rsid w:val="001D2FA5"/>
    <w:rsid w:val="001D35E0"/>
    <w:rsid w:val="001D38F2"/>
    <w:rsid w:val="001D5045"/>
    <w:rsid w:val="001D5494"/>
    <w:rsid w:val="001D5A44"/>
    <w:rsid w:val="001D5A62"/>
    <w:rsid w:val="001D5AFB"/>
    <w:rsid w:val="001D6213"/>
    <w:rsid w:val="001D699D"/>
    <w:rsid w:val="001D71BA"/>
    <w:rsid w:val="001D724B"/>
    <w:rsid w:val="001E03BE"/>
    <w:rsid w:val="001E040B"/>
    <w:rsid w:val="001E0AAA"/>
    <w:rsid w:val="001E0F28"/>
    <w:rsid w:val="001E11D3"/>
    <w:rsid w:val="001E15F1"/>
    <w:rsid w:val="001E1C4F"/>
    <w:rsid w:val="001E212B"/>
    <w:rsid w:val="001E2683"/>
    <w:rsid w:val="001E287E"/>
    <w:rsid w:val="001E2A6A"/>
    <w:rsid w:val="001E3DC2"/>
    <w:rsid w:val="001E4E2C"/>
    <w:rsid w:val="001E56FF"/>
    <w:rsid w:val="001E5C6B"/>
    <w:rsid w:val="001E60E8"/>
    <w:rsid w:val="001E6EBF"/>
    <w:rsid w:val="001E7ADB"/>
    <w:rsid w:val="001F0307"/>
    <w:rsid w:val="001F03E1"/>
    <w:rsid w:val="001F03EC"/>
    <w:rsid w:val="001F221F"/>
    <w:rsid w:val="001F3653"/>
    <w:rsid w:val="001F3CC6"/>
    <w:rsid w:val="001F3EE3"/>
    <w:rsid w:val="001F3F50"/>
    <w:rsid w:val="001F4530"/>
    <w:rsid w:val="001F493C"/>
    <w:rsid w:val="001F4A84"/>
    <w:rsid w:val="001F4A92"/>
    <w:rsid w:val="001F5CE2"/>
    <w:rsid w:val="001F5DBA"/>
    <w:rsid w:val="001F5DE3"/>
    <w:rsid w:val="001F5F74"/>
    <w:rsid w:val="001F790F"/>
    <w:rsid w:val="002010DE"/>
    <w:rsid w:val="0020150C"/>
    <w:rsid w:val="00201958"/>
    <w:rsid w:val="00201962"/>
    <w:rsid w:val="00201B58"/>
    <w:rsid w:val="00202968"/>
    <w:rsid w:val="00202C32"/>
    <w:rsid w:val="00203973"/>
    <w:rsid w:val="00203AEF"/>
    <w:rsid w:val="00204CB6"/>
    <w:rsid w:val="00210CF1"/>
    <w:rsid w:val="00211520"/>
    <w:rsid w:val="00211615"/>
    <w:rsid w:val="00211A26"/>
    <w:rsid w:val="00212249"/>
    <w:rsid w:val="002125F7"/>
    <w:rsid w:val="00212901"/>
    <w:rsid w:val="00212DFE"/>
    <w:rsid w:val="0021360C"/>
    <w:rsid w:val="002136AC"/>
    <w:rsid w:val="0021397C"/>
    <w:rsid w:val="00214463"/>
    <w:rsid w:val="00214756"/>
    <w:rsid w:val="00215824"/>
    <w:rsid w:val="00215C8E"/>
    <w:rsid w:val="00215CF2"/>
    <w:rsid w:val="00215D9F"/>
    <w:rsid w:val="00216310"/>
    <w:rsid w:val="00216BCE"/>
    <w:rsid w:val="00217867"/>
    <w:rsid w:val="00220542"/>
    <w:rsid w:val="00220D7F"/>
    <w:rsid w:val="002210EB"/>
    <w:rsid w:val="00221174"/>
    <w:rsid w:val="00222B4E"/>
    <w:rsid w:val="00222DE3"/>
    <w:rsid w:val="002233F0"/>
    <w:rsid w:val="0022347C"/>
    <w:rsid w:val="0022498A"/>
    <w:rsid w:val="00225756"/>
    <w:rsid w:val="00225ADC"/>
    <w:rsid w:val="00225CEB"/>
    <w:rsid w:val="00225FC3"/>
    <w:rsid w:val="0022692D"/>
    <w:rsid w:val="00230FFD"/>
    <w:rsid w:val="002310FE"/>
    <w:rsid w:val="002318F3"/>
    <w:rsid w:val="002330CE"/>
    <w:rsid w:val="0023323F"/>
    <w:rsid w:val="002334A5"/>
    <w:rsid w:val="00234202"/>
    <w:rsid w:val="002359EB"/>
    <w:rsid w:val="002363AB"/>
    <w:rsid w:val="00236933"/>
    <w:rsid w:val="0023727B"/>
    <w:rsid w:val="00237579"/>
    <w:rsid w:val="00237675"/>
    <w:rsid w:val="00237C6D"/>
    <w:rsid w:val="002401E6"/>
    <w:rsid w:val="0024096B"/>
    <w:rsid w:val="0024112E"/>
    <w:rsid w:val="00241582"/>
    <w:rsid w:val="00241B45"/>
    <w:rsid w:val="00241E77"/>
    <w:rsid w:val="002424D7"/>
    <w:rsid w:val="0024260D"/>
    <w:rsid w:val="00242657"/>
    <w:rsid w:val="002428F6"/>
    <w:rsid w:val="00242F49"/>
    <w:rsid w:val="00242FA2"/>
    <w:rsid w:val="00243BD8"/>
    <w:rsid w:val="00244740"/>
    <w:rsid w:val="00245012"/>
    <w:rsid w:val="0024504E"/>
    <w:rsid w:val="00245761"/>
    <w:rsid w:val="00245C29"/>
    <w:rsid w:val="002462DE"/>
    <w:rsid w:val="0024651F"/>
    <w:rsid w:val="00246775"/>
    <w:rsid w:val="00247729"/>
    <w:rsid w:val="0025158D"/>
    <w:rsid w:val="00251C7E"/>
    <w:rsid w:val="00252697"/>
    <w:rsid w:val="0025281A"/>
    <w:rsid w:val="00253D3C"/>
    <w:rsid w:val="002544D7"/>
    <w:rsid w:val="002546CC"/>
    <w:rsid w:val="00255292"/>
    <w:rsid w:val="00255A23"/>
    <w:rsid w:val="00257578"/>
    <w:rsid w:val="00257FB4"/>
    <w:rsid w:val="00260200"/>
    <w:rsid w:val="00260B06"/>
    <w:rsid w:val="00261D93"/>
    <w:rsid w:val="00261E26"/>
    <w:rsid w:val="00262029"/>
    <w:rsid w:val="002637E8"/>
    <w:rsid w:val="00263BBD"/>
    <w:rsid w:val="00264709"/>
    <w:rsid w:val="002648D8"/>
    <w:rsid w:val="00264D54"/>
    <w:rsid w:val="00265AFB"/>
    <w:rsid w:val="00267133"/>
    <w:rsid w:val="00267EE3"/>
    <w:rsid w:val="00267F59"/>
    <w:rsid w:val="002700E9"/>
    <w:rsid w:val="00270CE9"/>
    <w:rsid w:val="00270E62"/>
    <w:rsid w:val="0027189F"/>
    <w:rsid w:val="00271B5C"/>
    <w:rsid w:val="00271DCB"/>
    <w:rsid w:val="0027235A"/>
    <w:rsid w:val="00273F86"/>
    <w:rsid w:val="00273FD9"/>
    <w:rsid w:val="002741BE"/>
    <w:rsid w:val="002742D7"/>
    <w:rsid w:val="002752EA"/>
    <w:rsid w:val="00275EAD"/>
    <w:rsid w:val="00276B03"/>
    <w:rsid w:val="002773FB"/>
    <w:rsid w:val="002774F0"/>
    <w:rsid w:val="00277722"/>
    <w:rsid w:val="00280DB6"/>
    <w:rsid w:val="002813C5"/>
    <w:rsid w:val="00282C23"/>
    <w:rsid w:val="0028315D"/>
    <w:rsid w:val="00283687"/>
    <w:rsid w:val="00283885"/>
    <w:rsid w:val="002839A4"/>
    <w:rsid w:val="0028459B"/>
    <w:rsid w:val="00284C5F"/>
    <w:rsid w:val="0028507E"/>
    <w:rsid w:val="00286183"/>
    <w:rsid w:val="002862AE"/>
    <w:rsid w:val="002869EF"/>
    <w:rsid w:val="002873F0"/>
    <w:rsid w:val="00287762"/>
    <w:rsid w:val="00290793"/>
    <w:rsid w:val="00291097"/>
    <w:rsid w:val="002916E3"/>
    <w:rsid w:val="00291A70"/>
    <w:rsid w:val="00291F6F"/>
    <w:rsid w:val="002923B1"/>
    <w:rsid w:val="0029379A"/>
    <w:rsid w:val="00293C97"/>
    <w:rsid w:val="0029424E"/>
    <w:rsid w:val="00294271"/>
    <w:rsid w:val="002942CB"/>
    <w:rsid w:val="00294431"/>
    <w:rsid w:val="00294D8F"/>
    <w:rsid w:val="00295D5A"/>
    <w:rsid w:val="00295E0F"/>
    <w:rsid w:val="002961CF"/>
    <w:rsid w:val="002964F9"/>
    <w:rsid w:val="0029690F"/>
    <w:rsid w:val="002969CC"/>
    <w:rsid w:val="0029732D"/>
    <w:rsid w:val="00297BC2"/>
    <w:rsid w:val="00297D85"/>
    <w:rsid w:val="002A07F4"/>
    <w:rsid w:val="002A090A"/>
    <w:rsid w:val="002A0B47"/>
    <w:rsid w:val="002A1381"/>
    <w:rsid w:val="002A1F14"/>
    <w:rsid w:val="002A2678"/>
    <w:rsid w:val="002A2901"/>
    <w:rsid w:val="002A2A5F"/>
    <w:rsid w:val="002A2E01"/>
    <w:rsid w:val="002A32E5"/>
    <w:rsid w:val="002A362E"/>
    <w:rsid w:val="002A398F"/>
    <w:rsid w:val="002A3DFD"/>
    <w:rsid w:val="002A46A7"/>
    <w:rsid w:val="002A5C6B"/>
    <w:rsid w:val="002A5D31"/>
    <w:rsid w:val="002A5EF1"/>
    <w:rsid w:val="002A6A99"/>
    <w:rsid w:val="002A714F"/>
    <w:rsid w:val="002A75D7"/>
    <w:rsid w:val="002B02AE"/>
    <w:rsid w:val="002B0556"/>
    <w:rsid w:val="002B09C0"/>
    <w:rsid w:val="002B1851"/>
    <w:rsid w:val="002B27FF"/>
    <w:rsid w:val="002B2F4E"/>
    <w:rsid w:val="002B465E"/>
    <w:rsid w:val="002B5C8E"/>
    <w:rsid w:val="002B6793"/>
    <w:rsid w:val="002B6F27"/>
    <w:rsid w:val="002B780B"/>
    <w:rsid w:val="002B7F59"/>
    <w:rsid w:val="002C1260"/>
    <w:rsid w:val="002C1726"/>
    <w:rsid w:val="002C21A6"/>
    <w:rsid w:val="002C26D5"/>
    <w:rsid w:val="002C3EAB"/>
    <w:rsid w:val="002C4E82"/>
    <w:rsid w:val="002C5777"/>
    <w:rsid w:val="002C5889"/>
    <w:rsid w:val="002C65FA"/>
    <w:rsid w:val="002C661D"/>
    <w:rsid w:val="002C6C89"/>
    <w:rsid w:val="002C758F"/>
    <w:rsid w:val="002C7C89"/>
    <w:rsid w:val="002D0054"/>
    <w:rsid w:val="002D174A"/>
    <w:rsid w:val="002D1A0F"/>
    <w:rsid w:val="002D22BF"/>
    <w:rsid w:val="002D237C"/>
    <w:rsid w:val="002D32E3"/>
    <w:rsid w:val="002D33F1"/>
    <w:rsid w:val="002D344B"/>
    <w:rsid w:val="002D353D"/>
    <w:rsid w:val="002D5076"/>
    <w:rsid w:val="002D52AD"/>
    <w:rsid w:val="002D58D8"/>
    <w:rsid w:val="002D5EB1"/>
    <w:rsid w:val="002E0394"/>
    <w:rsid w:val="002E0644"/>
    <w:rsid w:val="002E0FEB"/>
    <w:rsid w:val="002E171B"/>
    <w:rsid w:val="002E2231"/>
    <w:rsid w:val="002E23A0"/>
    <w:rsid w:val="002E2E3E"/>
    <w:rsid w:val="002E319D"/>
    <w:rsid w:val="002E4AD5"/>
    <w:rsid w:val="002E4C2D"/>
    <w:rsid w:val="002E63B8"/>
    <w:rsid w:val="002F0F79"/>
    <w:rsid w:val="002F1C9E"/>
    <w:rsid w:val="002F1EB2"/>
    <w:rsid w:val="002F2359"/>
    <w:rsid w:val="002F25C3"/>
    <w:rsid w:val="002F280E"/>
    <w:rsid w:val="002F2CBB"/>
    <w:rsid w:val="002F3470"/>
    <w:rsid w:val="002F3709"/>
    <w:rsid w:val="002F3A6C"/>
    <w:rsid w:val="002F3F8C"/>
    <w:rsid w:val="002F4296"/>
    <w:rsid w:val="002F4B0F"/>
    <w:rsid w:val="002F5777"/>
    <w:rsid w:val="002F60EA"/>
    <w:rsid w:val="002F6772"/>
    <w:rsid w:val="002F680E"/>
    <w:rsid w:val="002F6FFD"/>
    <w:rsid w:val="002F7DF4"/>
    <w:rsid w:val="00300454"/>
    <w:rsid w:val="00300871"/>
    <w:rsid w:val="00300951"/>
    <w:rsid w:val="00300E8A"/>
    <w:rsid w:val="003023C9"/>
    <w:rsid w:val="00302CA8"/>
    <w:rsid w:val="00302DE9"/>
    <w:rsid w:val="00304860"/>
    <w:rsid w:val="00304E23"/>
    <w:rsid w:val="00305084"/>
    <w:rsid w:val="00306408"/>
    <w:rsid w:val="00307249"/>
    <w:rsid w:val="0031007A"/>
    <w:rsid w:val="00310315"/>
    <w:rsid w:val="003104B9"/>
    <w:rsid w:val="00312122"/>
    <w:rsid w:val="00312C47"/>
    <w:rsid w:val="00312DAE"/>
    <w:rsid w:val="00313000"/>
    <w:rsid w:val="003132DB"/>
    <w:rsid w:val="00313336"/>
    <w:rsid w:val="003137CA"/>
    <w:rsid w:val="00313918"/>
    <w:rsid w:val="003153CB"/>
    <w:rsid w:val="0031604C"/>
    <w:rsid w:val="003166DE"/>
    <w:rsid w:val="003171A3"/>
    <w:rsid w:val="00317226"/>
    <w:rsid w:val="003201F9"/>
    <w:rsid w:val="003204E9"/>
    <w:rsid w:val="0032050A"/>
    <w:rsid w:val="00320AF3"/>
    <w:rsid w:val="00320B7B"/>
    <w:rsid w:val="0032160D"/>
    <w:rsid w:val="00321618"/>
    <w:rsid w:val="00321E8C"/>
    <w:rsid w:val="00321FDA"/>
    <w:rsid w:val="00322318"/>
    <w:rsid w:val="003224FE"/>
    <w:rsid w:val="00322A86"/>
    <w:rsid w:val="00323041"/>
    <w:rsid w:val="00323AE8"/>
    <w:rsid w:val="00323B32"/>
    <w:rsid w:val="00324548"/>
    <w:rsid w:val="003251F4"/>
    <w:rsid w:val="003253A7"/>
    <w:rsid w:val="00325408"/>
    <w:rsid w:val="00325504"/>
    <w:rsid w:val="00326927"/>
    <w:rsid w:val="00326CB3"/>
    <w:rsid w:val="00327090"/>
    <w:rsid w:val="003303E3"/>
    <w:rsid w:val="00330478"/>
    <w:rsid w:val="00330651"/>
    <w:rsid w:val="00331A88"/>
    <w:rsid w:val="003329EA"/>
    <w:rsid w:val="00332C6E"/>
    <w:rsid w:val="00332D73"/>
    <w:rsid w:val="00332F24"/>
    <w:rsid w:val="003338BE"/>
    <w:rsid w:val="00333D8E"/>
    <w:rsid w:val="003366EF"/>
    <w:rsid w:val="00336AA2"/>
    <w:rsid w:val="00337B1B"/>
    <w:rsid w:val="00337FC0"/>
    <w:rsid w:val="003405DA"/>
    <w:rsid w:val="003407A5"/>
    <w:rsid w:val="0034096C"/>
    <w:rsid w:val="003410A1"/>
    <w:rsid w:val="00341188"/>
    <w:rsid w:val="0034147B"/>
    <w:rsid w:val="003424CB"/>
    <w:rsid w:val="003439DB"/>
    <w:rsid w:val="003444EB"/>
    <w:rsid w:val="00344ED6"/>
    <w:rsid w:val="00344FBE"/>
    <w:rsid w:val="003465F9"/>
    <w:rsid w:val="00346759"/>
    <w:rsid w:val="00350238"/>
    <w:rsid w:val="003502AD"/>
    <w:rsid w:val="0035109C"/>
    <w:rsid w:val="00351752"/>
    <w:rsid w:val="00351F0A"/>
    <w:rsid w:val="00352648"/>
    <w:rsid w:val="00352EBB"/>
    <w:rsid w:val="00353AC6"/>
    <w:rsid w:val="003542B7"/>
    <w:rsid w:val="0035432B"/>
    <w:rsid w:val="00354765"/>
    <w:rsid w:val="00354E10"/>
    <w:rsid w:val="00355CDA"/>
    <w:rsid w:val="00357B15"/>
    <w:rsid w:val="00357BA8"/>
    <w:rsid w:val="00357BB3"/>
    <w:rsid w:val="003602EA"/>
    <w:rsid w:val="00360905"/>
    <w:rsid w:val="00360E5D"/>
    <w:rsid w:val="00360F81"/>
    <w:rsid w:val="00361E7E"/>
    <w:rsid w:val="003648F2"/>
    <w:rsid w:val="00364FA1"/>
    <w:rsid w:val="00365873"/>
    <w:rsid w:val="00366B02"/>
    <w:rsid w:val="003671F5"/>
    <w:rsid w:val="00370005"/>
    <w:rsid w:val="00370AA4"/>
    <w:rsid w:val="00370FB7"/>
    <w:rsid w:val="003711F2"/>
    <w:rsid w:val="003717FC"/>
    <w:rsid w:val="00371FF4"/>
    <w:rsid w:val="003723C2"/>
    <w:rsid w:val="0037269C"/>
    <w:rsid w:val="0037275D"/>
    <w:rsid w:val="00372797"/>
    <w:rsid w:val="00373C7E"/>
    <w:rsid w:val="0037470E"/>
    <w:rsid w:val="00375CC4"/>
    <w:rsid w:val="00376103"/>
    <w:rsid w:val="003767B3"/>
    <w:rsid w:val="00376B49"/>
    <w:rsid w:val="00376FC5"/>
    <w:rsid w:val="00377520"/>
    <w:rsid w:val="00380D36"/>
    <w:rsid w:val="00380F49"/>
    <w:rsid w:val="003822D3"/>
    <w:rsid w:val="003828F5"/>
    <w:rsid w:val="0038480C"/>
    <w:rsid w:val="00384DC9"/>
    <w:rsid w:val="003854F4"/>
    <w:rsid w:val="0038566E"/>
    <w:rsid w:val="00385AA6"/>
    <w:rsid w:val="00385C66"/>
    <w:rsid w:val="00386630"/>
    <w:rsid w:val="00386A6C"/>
    <w:rsid w:val="00387876"/>
    <w:rsid w:val="00390379"/>
    <w:rsid w:val="00390741"/>
    <w:rsid w:val="003909FB"/>
    <w:rsid w:val="00390B25"/>
    <w:rsid w:val="00390DD9"/>
    <w:rsid w:val="0039116E"/>
    <w:rsid w:val="0039279A"/>
    <w:rsid w:val="00392958"/>
    <w:rsid w:val="00392AE5"/>
    <w:rsid w:val="00395B3E"/>
    <w:rsid w:val="00395CAA"/>
    <w:rsid w:val="00396588"/>
    <w:rsid w:val="00396863"/>
    <w:rsid w:val="00396EA4"/>
    <w:rsid w:val="00397156"/>
    <w:rsid w:val="00397960"/>
    <w:rsid w:val="003A0663"/>
    <w:rsid w:val="003A0690"/>
    <w:rsid w:val="003A0FD0"/>
    <w:rsid w:val="003A1FE0"/>
    <w:rsid w:val="003A3B3B"/>
    <w:rsid w:val="003A3BC4"/>
    <w:rsid w:val="003A3F9D"/>
    <w:rsid w:val="003A458A"/>
    <w:rsid w:val="003A4FE2"/>
    <w:rsid w:val="003A551D"/>
    <w:rsid w:val="003A5B8B"/>
    <w:rsid w:val="003A7E6F"/>
    <w:rsid w:val="003B05F2"/>
    <w:rsid w:val="003B0D04"/>
    <w:rsid w:val="003B130C"/>
    <w:rsid w:val="003B208E"/>
    <w:rsid w:val="003B2F13"/>
    <w:rsid w:val="003B3353"/>
    <w:rsid w:val="003B405E"/>
    <w:rsid w:val="003B4712"/>
    <w:rsid w:val="003B47EB"/>
    <w:rsid w:val="003B48BA"/>
    <w:rsid w:val="003B5508"/>
    <w:rsid w:val="003B57D3"/>
    <w:rsid w:val="003B59CA"/>
    <w:rsid w:val="003B6067"/>
    <w:rsid w:val="003B6141"/>
    <w:rsid w:val="003B7CF8"/>
    <w:rsid w:val="003C0892"/>
    <w:rsid w:val="003C08E3"/>
    <w:rsid w:val="003C09B5"/>
    <w:rsid w:val="003C0F62"/>
    <w:rsid w:val="003C1176"/>
    <w:rsid w:val="003C1D9A"/>
    <w:rsid w:val="003C1F58"/>
    <w:rsid w:val="003C48B1"/>
    <w:rsid w:val="003C57A7"/>
    <w:rsid w:val="003C5AF2"/>
    <w:rsid w:val="003C5C2B"/>
    <w:rsid w:val="003C6943"/>
    <w:rsid w:val="003C6BD2"/>
    <w:rsid w:val="003C7294"/>
    <w:rsid w:val="003C792F"/>
    <w:rsid w:val="003C7ABD"/>
    <w:rsid w:val="003C7C3D"/>
    <w:rsid w:val="003D0669"/>
    <w:rsid w:val="003D08F8"/>
    <w:rsid w:val="003D124B"/>
    <w:rsid w:val="003D18F3"/>
    <w:rsid w:val="003D2CC1"/>
    <w:rsid w:val="003D4FFC"/>
    <w:rsid w:val="003D51ED"/>
    <w:rsid w:val="003D569B"/>
    <w:rsid w:val="003D637D"/>
    <w:rsid w:val="003D66E3"/>
    <w:rsid w:val="003D746C"/>
    <w:rsid w:val="003D78B5"/>
    <w:rsid w:val="003D7A7D"/>
    <w:rsid w:val="003E04AE"/>
    <w:rsid w:val="003E099F"/>
    <w:rsid w:val="003E17DE"/>
    <w:rsid w:val="003E19FF"/>
    <w:rsid w:val="003E1E98"/>
    <w:rsid w:val="003E244F"/>
    <w:rsid w:val="003E3705"/>
    <w:rsid w:val="003E37AE"/>
    <w:rsid w:val="003E4D87"/>
    <w:rsid w:val="003E5165"/>
    <w:rsid w:val="003E53AD"/>
    <w:rsid w:val="003E62A6"/>
    <w:rsid w:val="003E695F"/>
    <w:rsid w:val="003E6C9B"/>
    <w:rsid w:val="003E6D39"/>
    <w:rsid w:val="003E709C"/>
    <w:rsid w:val="003E712E"/>
    <w:rsid w:val="003E726D"/>
    <w:rsid w:val="003E73C3"/>
    <w:rsid w:val="003E7B89"/>
    <w:rsid w:val="003F0B30"/>
    <w:rsid w:val="003F0FA3"/>
    <w:rsid w:val="003F276B"/>
    <w:rsid w:val="003F3B08"/>
    <w:rsid w:val="003F4241"/>
    <w:rsid w:val="003F4597"/>
    <w:rsid w:val="003F4B8A"/>
    <w:rsid w:val="003F62BB"/>
    <w:rsid w:val="003F6580"/>
    <w:rsid w:val="003F6FEC"/>
    <w:rsid w:val="003F79D5"/>
    <w:rsid w:val="003F7C45"/>
    <w:rsid w:val="00400241"/>
    <w:rsid w:val="00401314"/>
    <w:rsid w:val="0040132C"/>
    <w:rsid w:val="0040141B"/>
    <w:rsid w:val="00401C86"/>
    <w:rsid w:val="0040231A"/>
    <w:rsid w:val="004036C3"/>
    <w:rsid w:val="00403F0C"/>
    <w:rsid w:val="004049BD"/>
    <w:rsid w:val="00404EB5"/>
    <w:rsid w:val="00405085"/>
    <w:rsid w:val="00405D28"/>
    <w:rsid w:val="004066FC"/>
    <w:rsid w:val="004067B4"/>
    <w:rsid w:val="00407481"/>
    <w:rsid w:val="0040762F"/>
    <w:rsid w:val="00407C10"/>
    <w:rsid w:val="00407E90"/>
    <w:rsid w:val="004113B4"/>
    <w:rsid w:val="00413323"/>
    <w:rsid w:val="00414503"/>
    <w:rsid w:val="00414827"/>
    <w:rsid w:val="004153B3"/>
    <w:rsid w:val="004156D3"/>
    <w:rsid w:val="00415772"/>
    <w:rsid w:val="004163FD"/>
    <w:rsid w:val="0041683D"/>
    <w:rsid w:val="00416AEB"/>
    <w:rsid w:val="00416C10"/>
    <w:rsid w:val="00417976"/>
    <w:rsid w:val="00417A0E"/>
    <w:rsid w:val="0042053A"/>
    <w:rsid w:val="004213D6"/>
    <w:rsid w:val="00421C75"/>
    <w:rsid w:val="00422440"/>
    <w:rsid w:val="00422916"/>
    <w:rsid w:val="00422F49"/>
    <w:rsid w:val="00423984"/>
    <w:rsid w:val="00423BA3"/>
    <w:rsid w:val="00424213"/>
    <w:rsid w:val="00424EF3"/>
    <w:rsid w:val="004267DB"/>
    <w:rsid w:val="004268BB"/>
    <w:rsid w:val="00426A4B"/>
    <w:rsid w:val="00427D2F"/>
    <w:rsid w:val="00430724"/>
    <w:rsid w:val="00431047"/>
    <w:rsid w:val="00431B86"/>
    <w:rsid w:val="00431E4A"/>
    <w:rsid w:val="00432B85"/>
    <w:rsid w:val="00433EED"/>
    <w:rsid w:val="004345BA"/>
    <w:rsid w:val="00435BF3"/>
    <w:rsid w:val="00436166"/>
    <w:rsid w:val="00437334"/>
    <w:rsid w:val="00437C96"/>
    <w:rsid w:val="00437F46"/>
    <w:rsid w:val="004408EC"/>
    <w:rsid w:val="004416A4"/>
    <w:rsid w:val="00441E6A"/>
    <w:rsid w:val="00442AEE"/>
    <w:rsid w:val="00443C8F"/>
    <w:rsid w:val="00444105"/>
    <w:rsid w:val="00444C60"/>
    <w:rsid w:val="00444E35"/>
    <w:rsid w:val="0044502D"/>
    <w:rsid w:val="00445F6B"/>
    <w:rsid w:val="00447CEF"/>
    <w:rsid w:val="00447E28"/>
    <w:rsid w:val="00450BA9"/>
    <w:rsid w:val="00451388"/>
    <w:rsid w:val="00452481"/>
    <w:rsid w:val="004528FA"/>
    <w:rsid w:val="00453DC8"/>
    <w:rsid w:val="00455165"/>
    <w:rsid w:val="00455821"/>
    <w:rsid w:val="00456CA2"/>
    <w:rsid w:val="00457804"/>
    <w:rsid w:val="00460304"/>
    <w:rsid w:val="00460AEF"/>
    <w:rsid w:val="00460C52"/>
    <w:rsid w:val="00460EF9"/>
    <w:rsid w:val="00461001"/>
    <w:rsid w:val="00461729"/>
    <w:rsid w:val="00462279"/>
    <w:rsid w:val="004627DD"/>
    <w:rsid w:val="00463035"/>
    <w:rsid w:val="0046389C"/>
    <w:rsid w:val="00463BF5"/>
    <w:rsid w:val="004646BF"/>
    <w:rsid w:val="00464744"/>
    <w:rsid w:val="00465368"/>
    <w:rsid w:val="00465C9F"/>
    <w:rsid w:val="004665E3"/>
    <w:rsid w:val="0046760F"/>
    <w:rsid w:val="0047237D"/>
    <w:rsid w:val="00472561"/>
    <w:rsid w:val="004731F1"/>
    <w:rsid w:val="00473EB5"/>
    <w:rsid w:val="0047456B"/>
    <w:rsid w:val="00475251"/>
    <w:rsid w:val="00475872"/>
    <w:rsid w:val="0047594E"/>
    <w:rsid w:val="00477400"/>
    <w:rsid w:val="00480BC8"/>
    <w:rsid w:val="00481265"/>
    <w:rsid w:val="004814BF"/>
    <w:rsid w:val="00482649"/>
    <w:rsid w:val="00483630"/>
    <w:rsid w:val="004836EA"/>
    <w:rsid w:val="00483F72"/>
    <w:rsid w:val="00485215"/>
    <w:rsid w:val="00485340"/>
    <w:rsid w:val="0048587E"/>
    <w:rsid w:val="00487C2B"/>
    <w:rsid w:val="004900FF"/>
    <w:rsid w:val="0049125B"/>
    <w:rsid w:val="00491C58"/>
    <w:rsid w:val="00491FAB"/>
    <w:rsid w:val="00492081"/>
    <w:rsid w:val="0049227D"/>
    <w:rsid w:val="004926D2"/>
    <w:rsid w:val="0049297D"/>
    <w:rsid w:val="004929F2"/>
    <w:rsid w:val="00492F5E"/>
    <w:rsid w:val="00495A03"/>
    <w:rsid w:val="00495D1C"/>
    <w:rsid w:val="00495E28"/>
    <w:rsid w:val="00497079"/>
    <w:rsid w:val="00497450"/>
    <w:rsid w:val="00497F49"/>
    <w:rsid w:val="004A08B2"/>
    <w:rsid w:val="004A16E8"/>
    <w:rsid w:val="004A1BBA"/>
    <w:rsid w:val="004A207B"/>
    <w:rsid w:val="004A23C2"/>
    <w:rsid w:val="004A2CB1"/>
    <w:rsid w:val="004A3336"/>
    <w:rsid w:val="004A3E3C"/>
    <w:rsid w:val="004A4069"/>
    <w:rsid w:val="004A484E"/>
    <w:rsid w:val="004A4B7D"/>
    <w:rsid w:val="004A4FB6"/>
    <w:rsid w:val="004A6513"/>
    <w:rsid w:val="004B0E6D"/>
    <w:rsid w:val="004B16E8"/>
    <w:rsid w:val="004B25B0"/>
    <w:rsid w:val="004B2CA5"/>
    <w:rsid w:val="004B412E"/>
    <w:rsid w:val="004B51C9"/>
    <w:rsid w:val="004B5B92"/>
    <w:rsid w:val="004B6250"/>
    <w:rsid w:val="004B66F3"/>
    <w:rsid w:val="004B76B1"/>
    <w:rsid w:val="004B7800"/>
    <w:rsid w:val="004C0057"/>
    <w:rsid w:val="004C0541"/>
    <w:rsid w:val="004C0BBF"/>
    <w:rsid w:val="004C1D08"/>
    <w:rsid w:val="004C1D55"/>
    <w:rsid w:val="004C255E"/>
    <w:rsid w:val="004C2836"/>
    <w:rsid w:val="004C2C35"/>
    <w:rsid w:val="004C2C46"/>
    <w:rsid w:val="004C3626"/>
    <w:rsid w:val="004C38F5"/>
    <w:rsid w:val="004C405B"/>
    <w:rsid w:val="004C4550"/>
    <w:rsid w:val="004C51A0"/>
    <w:rsid w:val="004C54CA"/>
    <w:rsid w:val="004C62FD"/>
    <w:rsid w:val="004C7235"/>
    <w:rsid w:val="004C75C5"/>
    <w:rsid w:val="004C7955"/>
    <w:rsid w:val="004D0213"/>
    <w:rsid w:val="004D047F"/>
    <w:rsid w:val="004D0ECC"/>
    <w:rsid w:val="004D1529"/>
    <w:rsid w:val="004D1C3E"/>
    <w:rsid w:val="004D228E"/>
    <w:rsid w:val="004D23E7"/>
    <w:rsid w:val="004D29F1"/>
    <w:rsid w:val="004D29F3"/>
    <w:rsid w:val="004D3D96"/>
    <w:rsid w:val="004D40BB"/>
    <w:rsid w:val="004D45BD"/>
    <w:rsid w:val="004D5316"/>
    <w:rsid w:val="004D575C"/>
    <w:rsid w:val="004D64B9"/>
    <w:rsid w:val="004D650F"/>
    <w:rsid w:val="004D7269"/>
    <w:rsid w:val="004D74EE"/>
    <w:rsid w:val="004D7F01"/>
    <w:rsid w:val="004E08FC"/>
    <w:rsid w:val="004E0ADE"/>
    <w:rsid w:val="004E0B6E"/>
    <w:rsid w:val="004E0F59"/>
    <w:rsid w:val="004E2133"/>
    <w:rsid w:val="004E2BD2"/>
    <w:rsid w:val="004E395B"/>
    <w:rsid w:val="004E3CB2"/>
    <w:rsid w:val="004E5EDB"/>
    <w:rsid w:val="004E60FB"/>
    <w:rsid w:val="004E73A5"/>
    <w:rsid w:val="004E758A"/>
    <w:rsid w:val="004E7BA7"/>
    <w:rsid w:val="004F1010"/>
    <w:rsid w:val="004F1C42"/>
    <w:rsid w:val="004F2340"/>
    <w:rsid w:val="004F23CE"/>
    <w:rsid w:val="004F2C5A"/>
    <w:rsid w:val="004F31EA"/>
    <w:rsid w:val="004F4601"/>
    <w:rsid w:val="004F69D2"/>
    <w:rsid w:val="004F6AA8"/>
    <w:rsid w:val="004F779C"/>
    <w:rsid w:val="004F7846"/>
    <w:rsid w:val="005000A6"/>
    <w:rsid w:val="005000D4"/>
    <w:rsid w:val="005004EE"/>
    <w:rsid w:val="005007AB"/>
    <w:rsid w:val="00500B1E"/>
    <w:rsid w:val="00500B24"/>
    <w:rsid w:val="00500C17"/>
    <w:rsid w:val="00501A91"/>
    <w:rsid w:val="00502416"/>
    <w:rsid w:val="0050264A"/>
    <w:rsid w:val="005027F4"/>
    <w:rsid w:val="00503085"/>
    <w:rsid w:val="005036C2"/>
    <w:rsid w:val="0050492E"/>
    <w:rsid w:val="005051C9"/>
    <w:rsid w:val="005060E7"/>
    <w:rsid w:val="00506389"/>
    <w:rsid w:val="00507000"/>
    <w:rsid w:val="00507FC5"/>
    <w:rsid w:val="00510A69"/>
    <w:rsid w:val="00510CAF"/>
    <w:rsid w:val="0051114C"/>
    <w:rsid w:val="00511597"/>
    <w:rsid w:val="00511915"/>
    <w:rsid w:val="005128C5"/>
    <w:rsid w:val="00512905"/>
    <w:rsid w:val="00512D8B"/>
    <w:rsid w:val="00512E85"/>
    <w:rsid w:val="0051346B"/>
    <w:rsid w:val="005136C7"/>
    <w:rsid w:val="005140E5"/>
    <w:rsid w:val="0051478B"/>
    <w:rsid w:val="00514C1C"/>
    <w:rsid w:val="0051524F"/>
    <w:rsid w:val="00515549"/>
    <w:rsid w:val="0051566A"/>
    <w:rsid w:val="00515D7B"/>
    <w:rsid w:val="00515DD8"/>
    <w:rsid w:val="0051658F"/>
    <w:rsid w:val="005166E9"/>
    <w:rsid w:val="00516B6F"/>
    <w:rsid w:val="00517917"/>
    <w:rsid w:val="0052009E"/>
    <w:rsid w:val="005200F7"/>
    <w:rsid w:val="00520AB5"/>
    <w:rsid w:val="00521568"/>
    <w:rsid w:val="00521596"/>
    <w:rsid w:val="00522066"/>
    <w:rsid w:val="005222FA"/>
    <w:rsid w:val="00522921"/>
    <w:rsid w:val="00524A64"/>
    <w:rsid w:val="00525740"/>
    <w:rsid w:val="00525E59"/>
    <w:rsid w:val="0052698B"/>
    <w:rsid w:val="005278EE"/>
    <w:rsid w:val="00530A21"/>
    <w:rsid w:val="005310DD"/>
    <w:rsid w:val="00531851"/>
    <w:rsid w:val="005318CC"/>
    <w:rsid w:val="0053199E"/>
    <w:rsid w:val="00531D65"/>
    <w:rsid w:val="005334E4"/>
    <w:rsid w:val="005349B1"/>
    <w:rsid w:val="00535AA4"/>
    <w:rsid w:val="00535C00"/>
    <w:rsid w:val="00535DA3"/>
    <w:rsid w:val="005364A6"/>
    <w:rsid w:val="005364AE"/>
    <w:rsid w:val="0053652C"/>
    <w:rsid w:val="0053659B"/>
    <w:rsid w:val="005368A0"/>
    <w:rsid w:val="005374BC"/>
    <w:rsid w:val="00540257"/>
    <w:rsid w:val="0054097B"/>
    <w:rsid w:val="00540A78"/>
    <w:rsid w:val="005427DC"/>
    <w:rsid w:val="00543188"/>
    <w:rsid w:val="005432F0"/>
    <w:rsid w:val="00543367"/>
    <w:rsid w:val="0054384E"/>
    <w:rsid w:val="00543BFA"/>
    <w:rsid w:val="0054655E"/>
    <w:rsid w:val="00546601"/>
    <w:rsid w:val="00547D9C"/>
    <w:rsid w:val="00547DA1"/>
    <w:rsid w:val="005501BC"/>
    <w:rsid w:val="0055068D"/>
    <w:rsid w:val="00551BAB"/>
    <w:rsid w:val="00551C53"/>
    <w:rsid w:val="0055221B"/>
    <w:rsid w:val="005526DC"/>
    <w:rsid w:val="00552CFB"/>
    <w:rsid w:val="005531B6"/>
    <w:rsid w:val="005531DC"/>
    <w:rsid w:val="005535B7"/>
    <w:rsid w:val="00554CAC"/>
    <w:rsid w:val="0055513C"/>
    <w:rsid w:val="0055637C"/>
    <w:rsid w:val="00556B00"/>
    <w:rsid w:val="005573FE"/>
    <w:rsid w:val="0055753F"/>
    <w:rsid w:val="00557618"/>
    <w:rsid w:val="00557782"/>
    <w:rsid w:val="00560C94"/>
    <w:rsid w:val="00560FD5"/>
    <w:rsid w:val="005617A2"/>
    <w:rsid w:val="00561C0A"/>
    <w:rsid w:val="00562765"/>
    <w:rsid w:val="0056283B"/>
    <w:rsid w:val="0056291C"/>
    <w:rsid w:val="0056318B"/>
    <w:rsid w:val="00563E82"/>
    <w:rsid w:val="005646BB"/>
    <w:rsid w:val="005647F9"/>
    <w:rsid w:val="00564B19"/>
    <w:rsid w:val="00564C4B"/>
    <w:rsid w:val="00565A63"/>
    <w:rsid w:val="00566588"/>
    <w:rsid w:val="0056662E"/>
    <w:rsid w:val="00566A26"/>
    <w:rsid w:val="00566B1D"/>
    <w:rsid w:val="00566F6B"/>
    <w:rsid w:val="00567012"/>
    <w:rsid w:val="00567EA5"/>
    <w:rsid w:val="00570050"/>
    <w:rsid w:val="00570514"/>
    <w:rsid w:val="005717F5"/>
    <w:rsid w:val="00571A41"/>
    <w:rsid w:val="005721D0"/>
    <w:rsid w:val="0057275D"/>
    <w:rsid w:val="00572919"/>
    <w:rsid w:val="005734AB"/>
    <w:rsid w:val="00573820"/>
    <w:rsid w:val="00574103"/>
    <w:rsid w:val="00574418"/>
    <w:rsid w:val="00575B68"/>
    <w:rsid w:val="00575DA6"/>
    <w:rsid w:val="00576FEE"/>
    <w:rsid w:val="0057733C"/>
    <w:rsid w:val="0057737F"/>
    <w:rsid w:val="00577C32"/>
    <w:rsid w:val="005800A9"/>
    <w:rsid w:val="00580488"/>
    <w:rsid w:val="0058074D"/>
    <w:rsid w:val="00580FD1"/>
    <w:rsid w:val="00582FAD"/>
    <w:rsid w:val="00583489"/>
    <w:rsid w:val="0058391F"/>
    <w:rsid w:val="00583A80"/>
    <w:rsid w:val="00583E3F"/>
    <w:rsid w:val="00584114"/>
    <w:rsid w:val="00584188"/>
    <w:rsid w:val="00584E33"/>
    <w:rsid w:val="00585100"/>
    <w:rsid w:val="00585AD4"/>
    <w:rsid w:val="00586819"/>
    <w:rsid w:val="00586E9A"/>
    <w:rsid w:val="00587419"/>
    <w:rsid w:val="00590FE4"/>
    <w:rsid w:val="00591D9C"/>
    <w:rsid w:val="0059282D"/>
    <w:rsid w:val="00592B3C"/>
    <w:rsid w:val="005932C1"/>
    <w:rsid w:val="00593440"/>
    <w:rsid w:val="005936BF"/>
    <w:rsid w:val="00593D1E"/>
    <w:rsid w:val="00593DE5"/>
    <w:rsid w:val="0059592B"/>
    <w:rsid w:val="00595AB2"/>
    <w:rsid w:val="005961DD"/>
    <w:rsid w:val="00596617"/>
    <w:rsid w:val="00596CC4"/>
    <w:rsid w:val="00597057"/>
    <w:rsid w:val="005973A6"/>
    <w:rsid w:val="00597AAB"/>
    <w:rsid w:val="00597D8B"/>
    <w:rsid w:val="005A0742"/>
    <w:rsid w:val="005A1C30"/>
    <w:rsid w:val="005A31C9"/>
    <w:rsid w:val="005A3295"/>
    <w:rsid w:val="005A43BE"/>
    <w:rsid w:val="005A46FF"/>
    <w:rsid w:val="005A49A4"/>
    <w:rsid w:val="005A4AFF"/>
    <w:rsid w:val="005A65F0"/>
    <w:rsid w:val="005A724A"/>
    <w:rsid w:val="005A7758"/>
    <w:rsid w:val="005B011E"/>
    <w:rsid w:val="005B028B"/>
    <w:rsid w:val="005B1208"/>
    <w:rsid w:val="005B17ED"/>
    <w:rsid w:val="005B254A"/>
    <w:rsid w:val="005B2E84"/>
    <w:rsid w:val="005B352F"/>
    <w:rsid w:val="005B3C9F"/>
    <w:rsid w:val="005B3E66"/>
    <w:rsid w:val="005B3FE8"/>
    <w:rsid w:val="005B4215"/>
    <w:rsid w:val="005B436C"/>
    <w:rsid w:val="005B47C5"/>
    <w:rsid w:val="005B4B4F"/>
    <w:rsid w:val="005B4F97"/>
    <w:rsid w:val="005B52A4"/>
    <w:rsid w:val="005B5731"/>
    <w:rsid w:val="005B5CA4"/>
    <w:rsid w:val="005B6E01"/>
    <w:rsid w:val="005B7476"/>
    <w:rsid w:val="005B75B3"/>
    <w:rsid w:val="005B7688"/>
    <w:rsid w:val="005B7849"/>
    <w:rsid w:val="005B7B0E"/>
    <w:rsid w:val="005C0DFA"/>
    <w:rsid w:val="005C0FF0"/>
    <w:rsid w:val="005C1282"/>
    <w:rsid w:val="005C1524"/>
    <w:rsid w:val="005C219B"/>
    <w:rsid w:val="005C3618"/>
    <w:rsid w:val="005C3AFB"/>
    <w:rsid w:val="005C492F"/>
    <w:rsid w:val="005C4B4C"/>
    <w:rsid w:val="005C5409"/>
    <w:rsid w:val="005C55D8"/>
    <w:rsid w:val="005C55EF"/>
    <w:rsid w:val="005C628C"/>
    <w:rsid w:val="005C6765"/>
    <w:rsid w:val="005C69AC"/>
    <w:rsid w:val="005C722E"/>
    <w:rsid w:val="005C7576"/>
    <w:rsid w:val="005C7759"/>
    <w:rsid w:val="005D01A4"/>
    <w:rsid w:val="005D072B"/>
    <w:rsid w:val="005D15AE"/>
    <w:rsid w:val="005D1A7B"/>
    <w:rsid w:val="005D1EDD"/>
    <w:rsid w:val="005D2E84"/>
    <w:rsid w:val="005D456F"/>
    <w:rsid w:val="005D45B3"/>
    <w:rsid w:val="005D4AB3"/>
    <w:rsid w:val="005D4CEB"/>
    <w:rsid w:val="005D5344"/>
    <w:rsid w:val="005D5D64"/>
    <w:rsid w:val="005D5DA8"/>
    <w:rsid w:val="005D5E86"/>
    <w:rsid w:val="005D61EB"/>
    <w:rsid w:val="005D6241"/>
    <w:rsid w:val="005D78D1"/>
    <w:rsid w:val="005E0AE0"/>
    <w:rsid w:val="005E4EB2"/>
    <w:rsid w:val="005F04E6"/>
    <w:rsid w:val="005F057B"/>
    <w:rsid w:val="005F17EC"/>
    <w:rsid w:val="005F1C2F"/>
    <w:rsid w:val="005F26A9"/>
    <w:rsid w:val="005F39D5"/>
    <w:rsid w:val="005F3AB5"/>
    <w:rsid w:val="005F3E05"/>
    <w:rsid w:val="005F43B9"/>
    <w:rsid w:val="005F5256"/>
    <w:rsid w:val="005F55D6"/>
    <w:rsid w:val="005F5CA9"/>
    <w:rsid w:val="005F5D03"/>
    <w:rsid w:val="005F68CB"/>
    <w:rsid w:val="005F6BDE"/>
    <w:rsid w:val="005F72CF"/>
    <w:rsid w:val="00600242"/>
    <w:rsid w:val="0060066A"/>
    <w:rsid w:val="0060235D"/>
    <w:rsid w:val="006033E3"/>
    <w:rsid w:val="0060413F"/>
    <w:rsid w:val="00605FC7"/>
    <w:rsid w:val="00606218"/>
    <w:rsid w:val="00606CA3"/>
    <w:rsid w:val="00606E91"/>
    <w:rsid w:val="00607018"/>
    <w:rsid w:val="006073BA"/>
    <w:rsid w:val="006077ED"/>
    <w:rsid w:val="00607823"/>
    <w:rsid w:val="00610412"/>
    <w:rsid w:val="00610954"/>
    <w:rsid w:val="00610A19"/>
    <w:rsid w:val="00610CBE"/>
    <w:rsid w:val="00610E1F"/>
    <w:rsid w:val="0061321C"/>
    <w:rsid w:val="00614CA1"/>
    <w:rsid w:val="00615C2C"/>
    <w:rsid w:val="00620010"/>
    <w:rsid w:val="0062038A"/>
    <w:rsid w:val="006203A8"/>
    <w:rsid w:val="00620E59"/>
    <w:rsid w:val="00621132"/>
    <w:rsid w:val="00622656"/>
    <w:rsid w:val="006234C2"/>
    <w:rsid w:val="0062386E"/>
    <w:rsid w:val="00623D9A"/>
    <w:rsid w:val="00623F01"/>
    <w:rsid w:val="006242FB"/>
    <w:rsid w:val="00624738"/>
    <w:rsid w:val="00626E2D"/>
    <w:rsid w:val="006272DE"/>
    <w:rsid w:val="00627D94"/>
    <w:rsid w:val="00630017"/>
    <w:rsid w:val="006304D3"/>
    <w:rsid w:val="00630AB9"/>
    <w:rsid w:val="00630B42"/>
    <w:rsid w:val="0063104D"/>
    <w:rsid w:val="006310FC"/>
    <w:rsid w:val="00631688"/>
    <w:rsid w:val="006320D8"/>
    <w:rsid w:val="006321F5"/>
    <w:rsid w:val="00632540"/>
    <w:rsid w:val="00632E88"/>
    <w:rsid w:val="0063454C"/>
    <w:rsid w:val="00634DBB"/>
    <w:rsid w:val="00637C26"/>
    <w:rsid w:val="00640732"/>
    <w:rsid w:val="00641BFC"/>
    <w:rsid w:val="00642072"/>
    <w:rsid w:val="00643BA5"/>
    <w:rsid w:val="006440ED"/>
    <w:rsid w:val="0064467C"/>
    <w:rsid w:val="00644AB5"/>
    <w:rsid w:val="00645213"/>
    <w:rsid w:val="00645293"/>
    <w:rsid w:val="00645980"/>
    <w:rsid w:val="006468CB"/>
    <w:rsid w:val="00650E05"/>
    <w:rsid w:val="00651A3C"/>
    <w:rsid w:val="00651B78"/>
    <w:rsid w:val="00651F72"/>
    <w:rsid w:val="00652263"/>
    <w:rsid w:val="0065238F"/>
    <w:rsid w:val="006523FC"/>
    <w:rsid w:val="00652881"/>
    <w:rsid w:val="00652985"/>
    <w:rsid w:val="006533AE"/>
    <w:rsid w:val="0065374C"/>
    <w:rsid w:val="006542A8"/>
    <w:rsid w:val="006551AE"/>
    <w:rsid w:val="00655D85"/>
    <w:rsid w:val="00655F30"/>
    <w:rsid w:val="00657420"/>
    <w:rsid w:val="00657D9D"/>
    <w:rsid w:val="00661974"/>
    <w:rsid w:val="006623E2"/>
    <w:rsid w:val="006624E3"/>
    <w:rsid w:val="006640F9"/>
    <w:rsid w:val="00664551"/>
    <w:rsid w:val="00664685"/>
    <w:rsid w:val="00664B95"/>
    <w:rsid w:val="00665D5F"/>
    <w:rsid w:val="00666372"/>
    <w:rsid w:val="00666D50"/>
    <w:rsid w:val="006676A0"/>
    <w:rsid w:val="006704F3"/>
    <w:rsid w:val="00670857"/>
    <w:rsid w:val="00671124"/>
    <w:rsid w:val="0067271C"/>
    <w:rsid w:val="006727B0"/>
    <w:rsid w:val="00672869"/>
    <w:rsid w:val="00672F43"/>
    <w:rsid w:val="0067307E"/>
    <w:rsid w:val="006739C0"/>
    <w:rsid w:val="00673F6D"/>
    <w:rsid w:val="00674850"/>
    <w:rsid w:val="00675116"/>
    <w:rsid w:val="00675D03"/>
    <w:rsid w:val="00676016"/>
    <w:rsid w:val="00676EA7"/>
    <w:rsid w:val="00680CD4"/>
    <w:rsid w:val="00682AAC"/>
    <w:rsid w:val="00682EFD"/>
    <w:rsid w:val="006833F0"/>
    <w:rsid w:val="00683F61"/>
    <w:rsid w:val="00685E80"/>
    <w:rsid w:val="00686A36"/>
    <w:rsid w:val="0068776C"/>
    <w:rsid w:val="00687AD5"/>
    <w:rsid w:val="0069211A"/>
    <w:rsid w:val="00692B81"/>
    <w:rsid w:val="00692C4F"/>
    <w:rsid w:val="00692F83"/>
    <w:rsid w:val="0069389C"/>
    <w:rsid w:val="006949D2"/>
    <w:rsid w:val="00694C5F"/>
    <w:rsid w:val="00695027"/>
    <w:rsid w:val="00695251"/>
    <w:rsid w:val="006953EF"/>
    <w:rsid w:val="00695498"/>
    <w:rsid w:val="00695689"/>
    <w:rsid w:val="00695ADE"/>
    <w:rsid w:val="00695C0D"/>
    <w:rsid w:val="00695CAE"/>
    <w:rsid w:val="00696356"/>
    <w:rsid w:val="00696586"/>
    <w:rsid w:val="006968EA"/>
    <w:rsid w:val="0069776C"/>
    <w:rsid w:val="006A015D"/>
    <w:rsid w:val="006A1415"/>
    <w:rsid w:val="006A1645"/>
    <w:rsid w:val="006A2EA3"/>
    <w:rsid w:val="006A3CC1"/>
    <w:rsid w:val="006A4899"/>
    <w:rsid w:val="006A4B92"/>
    <w:rsid w:val="006A62E1"/>
    <w:rsid w:val="006A6566"/>
    <w:rsid w:val="006A72C6"/>
    <w:rsid w:val="006A7310"/>
    <w:rsid w:val="006A74F4"/>
    <w:rsid w:val="006A7E68"/>
    <w:rsid w:val="006B02DA"/>
    <w:rsid w:val="006B08FB"/>
    <w:rsid w:val="006B0E37"/>
    <w:rsid w:val="006B2065"/>
    <w:rsid w:val="006B275B"/>
    <w:rsid w:val="006B30BF"/>
    <w:rsid w:val="006B38C6"/>
    <w:rsid w:val="006B3940"/>
    <w:rsid w:val="006B45A6"/>
    <w:rsid w:val="006B6275"/>
    <w:rsid w:val="006B62F0"/>
    <w:rsid w:val="006B686C"/>
    <w:rsid w:val="006B6C6B"/>
    <w:rsid w:val="006B6F85"/>
    <w:rsid w:val="006B77AE"/>
    <w:rsid w:val="006B7D5F"/>
    <w:rsid w:val="006C013C"/>
    <w:rsid w:val="006C09B6"/>
    <w:rsid w:val="006C168D"/>
    <w:rsid w:val="006C2116"/>
    <w:rsid w:val="006C2BF5"/>
    <w:rsid w:val="006C4A40"/>
    <w:rsid w:val="006C4E56"/>
    <w:rsid w:val="006C61CD"/>
    <w:rsid w:val="006C642C"/>
    <w:rsid w:val="006C6491"/>
    <w:rsid w:val="006C6FC6"/>
    <w:rsid w:val="006C7BB9"/>
    <w:rsid w:val="006C7D50"/>
    <w:rsid w:val="006D141C"/>
    <w:rsid w:val="006D2425"/>
    <w:rsid w:val="006D2A81"/>
    <w:rsid w:val="006D2CF3"/>
    <w:rsid w:val="006D2D08"/>
    <w:rsid w:val="006D2F35"/>
    <w:rsid w:val="006D3228"/>
    <w:rsid w:val="006D349E"/>
    <w:rsid w:val="006D41EF"/>
    <w:rsid w:val="006D4A94"/>
    <w:rsid w:val="006D53AA"/>
    <w:rsid w:val="006D6993"/>
    <w:rsid w:val="006D6B92"/>
    <w:rsid w:val="006E0D09"/>
    <w:rsid w:val="006E241F"/>
    <w:rsid w:val="006E24EE"/>
    <w:rsid w:val="006E25BD"/>
    <w:rsid w:val="006E3379"/>
    <w:rsid w:val="006E33C9"/>
    <w:rsid w:val="006E34B7"/>
    <w:rsid w:val="006E36B8"/>
    <w:rsid w:val="006E3874"/>
    <w:rsid w:val="006E50C7"/>
    <w:rsid w:val="006E5585"/>
    <w:rsid w:val="006E5E32"/>
    <w:rsid w:val="006E6196"/>
    <w:rsid w:val="006E633A"/>
    <w:rsid w:val="006E6A14"/>
    <w:rsid w:val="006E6B16"/>
    <w:rsid w:val="006E6DE8"/>
    <w:rsid w:val="006E780C"/>
    <w:rsid w:val="006F0820"/>
    <w:rsid w:val="006F0B8C"/>
    <w:rsid w:val="006F0BA7"/>
    <w:rsid w:val="006F0F01"/>
    <w:rsid w:val="006F174D"/>
    <w:rsid w:val="006F1F41"/>
    <w:rsid w:val="006F32EF"/>
    <w:rsid w:val="006F3615"/>
    <w:rsid w:val="006F3C54"/>
    <w:rsid w:val="006F4CD8"/>
    <w:rsid w:val="006F53D9"/>
    <w:rsid w:val="006F5812"/>
    <w:rsid w:val="006F609A"/>
    <w:rsid w:val="006F69A3"/>
    <w:rsid w:val="007004DC"/>
    <w:rsid w:val="00700C00"/>
    <w:rsid w:val="00701093"/>
    <w:rsid w:val="00701155"/>
    <w:rsid w:val="007013D9"/>
    <w:rsid w:val="007022C4"/>
    <w:rsid w:val="007026E9"/>
    <w:rsid w:val="00703C8B"/>
    <w:rsid w:val="00703E8A"/>
    <w:rsid w:val="00704F60"/>
    <w:rsid w:val="007056F3"/>
    <w:rsid w:val="00705A28"/>
    <w:rsid w:val="00706EA3"/>
    <w:rsid w:val="007078BE"/>
    <w:rsid w:val="00707A3C"/>
    <w:rsid w:val="00707CDD"/>
    <w:rsid w:val="00707FDA"/>
    <w:rsid w:val="00710BF6"/>
    <w:rsid w:val="007113D5"/>
    <w:rsid w:val="00711522"/>
    <w:rsid w:val="007118A6"/>
    <w:rsid w:val="007124FE"/>
    <w:rsid w:val="00712533"/>
    <w:rsid w:val="00713186"/>
    <w:rsid w:val="00713757"/>
    <w:rsid w:val="00713758"/>
    <w:rsid w:val="007137D8"/>
    <w:rsid w:val="00714064"/>
    <w:rsid w:val="0071409E"/>
    <w:rsid w:val="00714192"/>
    <w:rsid w:val="00715E29"/>
    <w:rsid w:val="00717772"/>
    <w:rsid w:val="007200E5"/>
    <w:rsid w:val="00720C17"/>
    <w:rsid w:val="0072139B"/>
    <w:rsid w:val="00721AF1"/>
    <w:rsid w:val="0072280F"/>
    <w:rsid w:val="00722B5E"/>
    <w:rsid w:val="00722BC5"/>
    <w:rsid w:val="00722EBF"/>
    <w:rsid w:val="007235F5"/>
    <w:rsid w:val="007236F8"/>
    <w:rsid w:val="00723B2C"/>
    <w:rsid w:val="00723D38"/>
    <w:rsid w:val="007253CC"/>
    <w:rsid w:val="00726452"/>
    <w:rsid w:val="00726F5A"/>
    <w:rsid w:val="0072708F"/>
    <w:rsid w:val="007279F4"/>
    <w:rsid w:val="00730935"/>
    <w:rsid w:val="00730E81"/>
    <w:rsid w:val="00731000"/>
    <w:rsid w:val="00731204"/>
    <w:rsid w:val="007319BC"/>
    <w:rsid w:val="0073222B"/>
    <w:rsid w:val="00732517"/>
    <w:rsid w:val="00732582"/>
    <w:rsid w:val="00732D1D"/>
    <w:rsid w:val="007332C4"/>
    <w:rsid w:val="0073364B"/>
    <w:rsid w:val="00734381"/>
    <w:rsid w:val="00736034"/>
    <w:rsid w:val="0073681C"/>
    <w:rsid w:val="00736C4E"/>
    <w:rsid w:val="0073725B"/>
    <w:rsid w:val="0074033C"/>
    <w:rsid w:val="0074050E"/>
    <w:rsid w:val="00740B66"/>
    <w:rsid w:val="00741AF8"/>
    <w:rsid w:val="00741EBE"/>
    <w:rsid w:val="00742181"/>
    <w:rsid w:val="007424EC"/>
    <w:rsid w:val="00742EDA"/>
    <w:rsid w:val="00742F5D"/>
    <w:rsid w:val="007440FA"/>
    <w:rsid w:val="00744201"/>
    <w:rsid w:val="0074460E"/>
    <w:rsid w:val="00744A47"/>
    <w:rsid w:val="00744E53"/>
    <w:rsid w:val="00745B3E"/>
    <w:rsid w:val="00745FCE"/>
    <w:rsid w:val="00746130"/>
    <w:rsid w:val="007468E6"/>
    <w:rsid w:val="00746A40"/>
    <w:rsid w:val="00746E6A"/>
    <w:rsid w:val="00747598"/>
    <w:rsid w:val="00750358"/>
    <w:rsid w:val="007520A3"/>
    <w:rsid w:val="007526F5"/>
    <w:rsid w:val="00753C69"/>
    <w:rsid w:val="007540CB"/>
    <w:rsid w:val="00754717"/>
    <w:rsid w:val="00754836"/>
    <w:rsid w:val="00754FB9"/>
    <w:rsid w:val="00755CDF"/>
    <w:rsid w:val="00756AD3"/>
    <w:rsid w:val="00757042"/>
    <w:rsid w:val="007578C3"/>
    <w:rsid w:val="00757A4C"/>
    <w:rsid w:val="00760895"/>
    <w:rsid w:val="00761D02"/>
    <w:rsid w:val="00762ABF"/>
    <w:rsid w:val="00763FE6"/>
    <w:rsid w:val="00764A94"/>
    <w:rsid w:val="00764B26"/>
    <w:rsid w:val="00764DBA"/>
    <w:rsid w:val="00764EA6"/>
    <w:rsid w:val="007651A9"/>
    <w:rsid w:val="007651E5"/>
    <w:rsid w:val="0076524F"/>
    <w:rsid w:val="00765584"/>
    <w:rsid w:val="0076646B"/>
    <w:rsid w:val="007665B2"/>
    <w:rsid w:val="00766709"/>
    <w:rsid w:val="007670DC"/>
    <w:rsid w:val="00767356"/>
    <w:rsid w:val="00767EA9"/>
    <w:rsid w:val="007705D4"/>
    <w:rsid w:val="00770F2A"/>
    <w:rsid w:val="0077111A"/>
    <w:rsid w:val="0077213A"/>
    <w:rsid w:val="00772272"/>
    <w:rsid w:val="0077369F"/>
    <w:rsid w:val="0077463A"/>
    <w:rsid w:val="00774AB3"/>
    <w:rsid w:val="00774D0F"/>
    <w:rsid w:val="00774D7B"/>
    <w:rsid w:val="007756ED"/>
    <w:rsid w:val="0077589D"/>
    <w:rsid w:val="00776075"/>
    <w:rsid w:val="0077617F"/>
    <w:rsid w:val="00776A3D"/>
    <w:rsid w:val="0077707A"/>
    <w:rsid w:val="0077767E"/>
    <w:rsid w:val="007776BF"/>
    <w:rsid w:val="0078060F"/>
    <w:rsid w:val="00780820"/>
    <w:rsid w:val="007819A1"/>
    <w:rsid w:val="007831A4"/>
    <w:rsid w:val="00783BA5"/>
    <w:rsid w:val="00784F9E"/>
    <w:rsid w:val="0078533C"/>
    <w:rsid w:val="007857FB"/>
    <w:rsid w:val="007870FC"/>
    <w:rsid w:val="00787CD0"/>
    <w:rsid w:val="007905A2"/>
    <w:rsid w:val="00791053"/>
    <w:rsid w:val="00791261"/>
    <w:rsid w:val="0079155B"/>
    <w:rsid w:val="007918FE"/>
    <w:rsid w:val="00791A3A"/>
    <w:rsid w:val="0079262D"/>
    <w:rsid w:val="00792A53"/>
    <w:rsid w:val="00792D48"/>
    <w:rsid w:val="00794196"/>
    <w:rsid w:val="00794C47"/>
    <w:rsid w:val="00794FFF"/>
    <w:rsid w:val="00796D4D"/>
    <w:rsid w:val="007971B8"/>
    <w:rsid w:val="00797637"/>
    <w:rsid w:val="007A0018"/>
    <w:rsid w:val="007A020D"/>
    <w:rsid w:val="007A05A7"/>
    <w:rsid w:val="007A0ADE"/>
    <w:rsid w:val="007A1B35"/>
    <w:rsid w:val="007A3680"/>
    <w:rsid w:val="007A39C1"/>
    <w:rsid w:val="007A3BCD"/>
    <w:rsid w:val="007A50C4"/>
    <w:rsid w:val="007A5214"/>
    <w:rsid w:val="007A59B8"/>
    <w:rsid w:val="007A65AF"/>
    <w:rsid w:val="007A7682"/>
    <w:rsid w:val="007A7F42"/>
    <w:rsid w:val="007B0301"/>
    <w:rsid w:val="007B0C38"/>
    <w:rsid w:val="007B2862"/>
    <w:rsid w:val="007B2FD8"/>
    <w:rsid w:val="007B3968"/>
    <w:rsid w:val="007B45AF"/>
    <w:rsid w:val="007B4DD0"/>
    <w:rsid w:val="007B611E"/>
    <w:rsid w:val="007B662A"/>
    <w:rsid w:val="007B71DC"/>
    <w:rsid w:val="007B7743"/>
    <w:rsid w:val="007C04F4"/>
    <w:rsid w:val="007C0DDA"/>
    <w:rsid w:val="007C2139"/>
    <w:rsid w:val="007C27DE"/>
    <w:rsid w:val="007C299E"/>
    <w:rsid w:val="007C3A11"/>
    <w:rsid w:val="007C525F"/>
    <w:rsid w:val="007C5321"/>
    <w:rsid w:val="007C5981"/>
    <w:rsid w:val="007C5E8A"/>
    <w:rsid w:val="007C5F4B"/>
    <w:rsid w:val="007C6AAB"/>
    <w:rsid w:val="007C7B84"/>
    <w:rsid w:val="007D0C4D"/>
    <w:rsid w:val="007D125C"/>
    <w:rsid w:val="007D1336"/>
    <w:rsid w:val="007D167D"/>
    <w:rsid w:val="007D1FE9"/>
    <w:rsid w:val="007D28C9"/>
    <w:rsid w:val="007D326B"/>
    <w:rsid w:val="007D38F0"/>
    <w:rsid w:val="007D3CC8"/>
    <w:rsid w:val="007D430A"/>
    <w:rsid w:val="007D47FB"/>
    <w:rsid w:val="007D4DD3"/>
    <w:rsid w:val="007D576A"/>
    <w:rsid w:val="007D62F9"/>
    <w:rsid w:val="007D63A4"/>
    <w:rsid w:val="007D6542"/>
    <w:rsid w:val="007E0F5E"/>
    <w:rsid w:val="007E1AA2"/>
    <w:rsid w:val="007E1EB2"/>
    <w:rsid w:val="007E1F2C"/>
    <w:rsid w:val="007E279D"/>
    <w:rsid w:val="007E2D69"/>
    <w:rsid w:val="007E3B9A"/>
    <w:rsid w:val="007E3EEF"/>
    <w:rsid w:val="007E41CD"/>
    <w:rsid w:val="007E46E8"/>
    <w:rsid w:val="007E470F"/>
    <w:rsid w:val="007E4C1F"/>
    <w:rsid w:val="007E58AE"/>
    <w:rsid w:val="007F01DE"/>
    <w:rsid w:val="007F0759"/>
    <w:rsid w:val="007F0BCC"/>
    <w:rsid w:val="007F1154"/>
    <w:rsid w:val="007F156E"/>
    <w:rsid w:val="007F1CF3"/>
    <w:rsid w:val="007F25C0"/>
    <w:rsid w:val="007F30BB"/>
    <w:rsid w:val="007F35DC"/>
    <w:rsid w:val="007F3BC1"/>
    <w:rsid w:val="007F5F52"/>
    <w:rsid w:val="007F672A"/>
    <w:rsid w:val="007F6A1D"/>
    <w:rsid w:val="007F77C6"/>
    <w:rsid w:val="007F79D4"/>
    <w:rsid w:val="007F7EB4"/>
    <w:rsid w:val="008003A1"/>
    <w:rsid w:val="0080046C"/>
    <w:rsid w:val="008006B7"/>
    <w:rsid w:val="00800FDB"/>
    <w:rsid w:val="00802081"/>
    <w:rsid w:val="008020F6"/>
    <w:rsid w:val="0080298E"/>
    <w:rsid w:val="008033BA"/>
    <w:rsid w:val="00803833"/>
    <w:rsid w:val="00804316"/>
    <w:rsid w:val="008044EA"/>
    <w:rsid w:val="008044F8"/>
    <w:rsid w:val="00806461"/>
    <w:rsid w:val="008064C1"/>
    <w:rsid w:val="00807CD5"/>
    <w:rsid w:val="0081096D"/>
    <w:rsid w:val="00810EAD"/>
    <w:rsid w:val="00811833"/>
    <w:rsid w:val="00814BDE"/>
    <w:rsid w:val="00814DBC"/>
    <w:rsid w:val="008174D4"/>
    <w:rsid w:val="0082002E"/>
    <w:rsid w:val="0082083C"/>
    <w:rsid w:val="008209AC"/>
    <w:rsid w:val="00820C54"/>
    <w:rsid w:val="00820F37"/>
    <w:rsid w:val="00820FE6"/>
    <w:rsid w:val="00821A66"/>
    <w:rsid w:val="00822476"/>
    <w:rsid w:val="00822882"/>
    <w:rsid w:val="00822A1E"/>
    <w:rsid w:val="008238C7"/>
    <w:rsid w:val="008239AB"/>
    <w:rsid w:val="00825268"/>
    <w:rsid w:val="0082571C"/>
    <w:rsid w:val="00825B94"/>
    <w:rsid w:val="00825BB4"/>
    <w:rsid w:val="00825F68"/>
    <w:rsid w:val="0082600E"/>
    <w:rsid w:val="008273D2"/>
    <w:rsid w:val="00827B52"/>
    <w:rsid w:val="00830E92"/>
    <w:rsid w:val="00831DD0"/>
    <w:rsid w:val="008320ED"/>
    <w:rsid w:val="00832858"/>
    <w:rsid w:val="00832A0F"/>
    <w:rsid w:val="008353D5"/>
    <w:rsid w:val="00835408"/>
    <w:rsid w:val="008358A2"/>
    <w:rsid w:val="008359DA"/>
    <w:rsid w:val="00837CEF"/>
    <w:rsid w:val="00837E2F"/>
    <w:rsid w:val="00840035"/>
    <w:rsid w:val="00841F68"/>
    <w:rsid w:val="00842525"/>
    <w:rsid w:val="00842661"/>
    <w:rsid w:val="008428A9"/>
    <w:rsid w:val="00842925"/>
    <w:rsid w:val="00844112"/>
    <w:rsid w:val="008456C9"/>
    <w:rsid w:val="0084611D"/>
    <w:rsid w:val="00846177"/>
    <w:rsid w:val="0084654D"/>
    <w:rsid w:val="00846C9F"/>
    <w:rsid w:val="00847A83"/>
    <w:rsid w:val="00847BD6"/>
    <w:rsid w:val="00850137"/>
    <w:rsid w:val="00850C62"/>
    <w:rsid w:val="00852116"/>
    <w:rsid w:val="00852B48"/>
    <w:rsid w:val="0085474D"/>
    <w:rsid w:val="0085606B"/>
    <w:rsid w:val="00856481"/>
    <w:rsid w:val="008567A2"/>
    <w:rsid w:val="00856E6C"/>
    <w:rsid w:val="0085740D"/>
    <w:rsid w:val="00857DE1"/>
    <w:rsid w:val="00857EA7"/>
    <w:rsid w:val="0086066A"/>
    <w:rsid w:val="00860793"/>
    <w:rsid w:val="00860AC3"/>
    <w:rsid w:val="00863011"/>
    <w:rsid w:val="00863C5B"/>
    <w:rsid w:val="00863D2E"/>
    <w:rsid w:val="008641F2"/>
    <w:rsid w:val="00864E32"/>
    <w:rsid w:val="00865075"/>
    <w:rsid w:val="0086615F"/>
    <w:rsid w:val="0086748F"/>
    <w:rsid w:val="008725CB"/>
    <w:rsid w:val="00872757"/>
    <w:rsid w:val="00872BA6"/>
    <w:rsid w:val="00872CE4"/>
    <w:rsid w:val="00873AA4"/>
    <w:rsid w:val="00873CA8"/>
    <w:rsid w:val="00873F5D"/>
    <w:rsid w:val="008741AC"/>
    <w:rsid w:val="00875075"/>
    <w:rsid w:val="0087570C"/>
    <w:rsid w:val="008773BA"/>
    <w:rsid w:val="00877B62"/>
    <w:rsid w:val="00881015"/>
    <w:rsid w:val="008810B0"/>
    <w:rsid w:val="00881665"/>
    <w:rsid w:val="008819B6"/>
    <w:rsid w:val="00881AAC"/>
    <w:rsid w:val="008836B7"/>
    <w:rsid w:val="00883F7C"/>
    <w:rsid w:val="008841D3"/>
    <w:rsid w:val="00884987"/>
    <w:rsid w:val="00884A07"/>
    <w:rsid w:val="00884BE0"/>
    <w:rsid w:val="008867EA"/>
    <w:rsid w:val="008870EF"/>
    <w:rsid w:val="00887BF9"/>
    <w:rsid w:val="00887DE6"/>
    <w:rsid w:val="00890C01"/>
    <w:rsid w:val="0089214A"/>
    <w:rsid w:val="00892226"/>
    <w:rsid w:val="008922FA"/>
    <w:rsid w:val="008923CB"/>
    <w:rsid w:val="008927B8"/>
    <w:rsid w:val="00892D3E"/>
    <w:rsid w:val="008936DC"/>
    <w:rsid w:val="00893E53"/>
    <w:rsid w:val="008945EB"/>
    <w:rsid w:val="00894C2A"/>
    <w:rsid w:val="00895389"/>
    <w:rsid w:val="00895DFF"/>
    <w:rsid w:val="0089690B"/>
    <w:rsid w:val="00896A5F"/>
    <w:rsid w:val="0089728F"/>
    <w:rsid w:val="008976C0"/>
    <w:rsid w:val="00897708"/>
    <w:rsid w:val="00897D88"/>
    <w:rsid w:val="008A0029"/>
    <w:rsid w:val="008A0860"/>
    <w:rsid w:val="008A17AF"/>
    <w:rsid w:val="008A1ED9"/>
    <w:rsid w:val="008A2C65"/>
    <w:rsid w:val="008A2F16"/>
    <w:rsid w:val="008A36AE"/>
    <w:rsid w:val="008A3A74"/>
    <w:rsid w:val="008A48C3"/>
    <w:rsid w:val="008A49D2"/>
    <w:rsid w:val="008A4E18"/>
    <w:rsid w:val="008A520C"/>
    <w:rsid w:val="008A5493"/>
    <w:rsid w:val="008A596C"/>
    <w:rsid w:val="008A64C4"/>
    <w:rsid w:val="008A6BF7"/>
    <w:rsid w:val="008A6CC1"/>
    <w:rsid w:val="008A71CC"/>
    <w:rsid w:val="008A72FB"/>
    <w:rsid w:val="008A7F03"/>
    <w:rsid w:val="008B1823"/>
    <w:rsid w:val="008B1B4E"/>
    <w:rsid w:val="008B2975"/>
    <w:rsid w:val="008B2AA9"/>
    <w:rsid w:val="008B2BDF"/>
    <w:rsid w:val="008B2D72"/>
    <w:rsid w:val="008B4198"/>
    <w:rsid w:val="008B4C9F"/>
    <w:rsid w:val="008B586A"/>
    <w:rsid w:val="008B5CC9"/>
    <w:rsid w:val="008B5DEB"/>
    <w:rsid w:val="008B6651"/>
    <w:rsid w:val="008B6E16"/>
    <w:rsid w:val="008B7110"/>
    <w:rsid w:val="008B7A20"/>
    <w:rsid w:val="008C0DD5"/>
    <w:rsid w:val="008C0DF9"/>
    <w:rsid w:val="008C1ED0"/>
    <w:rsid w:val="008C2029"/>
    <w:rsid w:val="008C255B"/>
    <w:rsid w:val="008C267C"/>
    <w:rsid w:val="008C2E44"/>
    <w:rsid w:val="008C3427"/>
    <w:rsid w:val="008C3B7F"/>
    <w:rsid w:val="008C3BC2"/>
    <w:rsid w:val="008C4F76"/>
    <w:rsid w:val="008C55AD"/>
    <w:rsid w:val="008C61D6"/>
    <w:rsid w:val="008C649D"/>
    <w:rsid w:val="008C64F1"/>
    <w:rsid w:val="008C7C1A"/>
    <w:rsid w:val="008D0DC1"/>
    <w:rsid w:val="008D1BB0"/>
    <w:rsid w:val="008D20FF"/>
    <w:rsid w:val="008D22A4"/>
    <w:rsid w:val="008D2B9A"/>
    <w:rsid w:val="008D3DE6"/>
    <w:rsid w:val="008D4223"/>
    <w:rsid w:val="008D44CC"/>
    <w:rsid w:val="008D46E3"/>
    <w:rsid w:val="008D4CED"/>
    <w:rsid w:val="008D50F9"/>
    <w:rsid w:val="008D5CAF"/>
    <w:rsid w:val="008D6709"/>
    <w:rsid w:val="008D78D2"/>
    <w:rsid w:val="008E083A"/>
    <w:rsid w:val="008E0EE9"/>
    <w:rsid w:val="008E12AD"/>
    <w:rsid w:val="008E1883"/>
    <w:rsid w:val="008E1F62"/>
    <w:rsid w:val="008E2152"/>
    <w:rsid w:val="008E22FF"/>
    <w:rsid w:val="008E2450"/>
    <w:rsid w:val="008E29BE"/>
    <w:rsid w:val="008E2DCA"/>
    <w:rsid w:val="008E3F27"/>
    <w:rsid w:val="008E47EF"/>
    <w:rsid w:val="008E4E6E"/>
    <w:rsid w:val="008E5783"/>
    <w:rsid w:val="008E5DB7"/>
    <w:rsid w:val="008E61EB"/>
    <w:rsid w:val="008E7076"/>
    <w:rsid w:val="008E7896"/>
    <w:rsid w:val="008E79C7"/>
    <w:rsid w:val="008E7B6F"/>
    <w:rsid w:val="008E7C9D"/>
    <w:rsid w:val="008E7D8A"/>
    <w:rsid w:val="008F14C7"/>
    <w:rsid w:val="008F1D02"/>
    <w:rsid w:val="008F1E9E"/>
    <w:rsid w:val="008F2165"/>
    <w:rsid w:val="008F2356"/>
    <w:rsid w:val="008F2477"/>
    <w:rsid w:val="008F3879"/>
    <w:rsid w:val="008F5442"/>
    <w:rsid w:val="008F60A3"/>
    <w:rsid w:val="008F653E"/>
    <w:rsid w:val="008F7769"/>
    <w:rsid w:val="009004FE"/>
    <w:rsid w:val="00901014"/>
    <w:rsid w:val="009010F0"/>
    <w:rsid w:val="00901162"/>
    <w:rsid w:val="00901247"/>
    <w:rsid w:val="00901B53"/>
    <w:rsid w:val="0090223A"/>
    <w:rsid w:val="009028E2"/>
    <w:rsid w:val="00902D6A"/>
    <w:rsid w:val="009039FE"/>
    <w:rsid w:val="00903E9A"/>
    <w:rsid w:val="009048A5"/>
    <w:rsid w:val="00905404"/>
    <w:rsid w:val="00906478"/>
    <w:rsid w:val="00906753"/>
    <w:rsid w:val="00907264"/>
    <w:rsid w:val="0090765F"/>
    <w:rsid w:val="00907748"/>
    <w:rsid w:val="009079E4"/>
    <w:rsid w:val="00907B32"/>
    <w:rsid w:val="00911305"/>
    <w:rsid w:val="00912590"/>
    <w:rsid w:val="0091312A"/>
    <w:rsid w:val="00913200"/>
    <w:rsid w:val="009136A4"/>
    <w:rsid w:val="00913EC2"/>
    <w:rsid w:val="00914EAB"/>
    <w:rsid w:val="009152D8"/>
    <w:rsid w:val="009153A3"/>
    <w:rsid w:val="00915A1D"/>
    <w:rsid w:val="0091716F"/>
    <w:rsid w:val="009173E8"/>
    <w:rsid w:val="00917994"/>
    <w:rsid w:val="00922567"/>
    <w:rsid w:val="009228DB"/>
    <w:rsid w:val="00922D37"/>
    <w:rsid w:val="00922D49"/>
    <w:rsid w:val="009236B9"/>
    <w:rsid w:val="00924183"/>
    <w:rsid w:val="00925E37"/>
    <w:rsid w:val="00925EDD"/>
    <w:rsid w:val="00925F20"/>
    <w:rsid w:val="00926B3B"/>
    <w:rsid w:val="00927899"/>
    <w:rsid w:val="00927D0E"/>
    <w:rsid w:val="009309DA"/>
    <w:rsid w:val="00931040"/>
    <w:rsid w:val="00931663"/>
    <w:rsid w:val="00931B45"/>
    <w:rsid w:val="00931D22"/>
    <w:rsid w:val="00932CC7"/>
    <w:rsid w:val="0093355C"/>
    <w:rsid w:val="009338F3"/>
    <w:rsid w:val="00935306"/>
    <w:rsid w:val="0093640D"/>
    <w:rsid w:val="00936688"/>
    <w:rsid w:val="00937683"/>
    <w:rsid w:val="00937AC9"/>
    <w:rsid w:val="00937CFA"/>
    <w:rsid w:val="00940291"/>
    <w:rsid w:val="009406B3"/>
    <w:rsid w:val="009414BB"/>
    <w:rsid w:val="00942286"/>
    <w:rsid w:val="0094275F"/>
    <w:rsid w:val="00943748"/>
    <w:rsid w:val="00943CEE"/>
    <w:rsid w:val="009443C5"/>
    <w:rsid w:val="009444F4"/>
    <w:rsid w:val="00944674"/>
    <w:rsid w:val="00944F2F"/>
    <w:rsid w:val="00945B95"/>
    <w:rsid w:val="00945CC4"/>
    <w:rsid w:val="00945CF5"/>
    <w:rsid w:val="00946437"/>
    <w:rsid w:val="0094691C"/>
    <w:rsid w:val="00947229"/>
    <w:rsid w:val="00947C95"/>
    <w:rsid w:val="00947EED"/>
    <w:rsid w:val="009500A1"/>
    <w:rsid w:val="0095037E"/>
    <w:rsid w:val="00951D97"/>
    <w:rsid w:val="00952230"/>
    <w:rsid w:val="00952266"/>
    <w:rsid w:val="00952A9B"/>
    <w:rsid w:val="00952AAD"/>
    <w:rsid w:val="00953B2B"/>
    <w:rsid w:val="00954567"/>
    <w:rsid w:val="009547B3"/>
    <w:rsid w:val="00954A89"/>
    <w:rsid w:val="00955CB7"/>
    <w:rsid w:val="00956671"/>
    <w:rsid w:val="00957466"/>
    <w:rsid w:val="009576F7"/>
    <w:rsid w:val="00960722"/>
    <w:rsid w:val="00961313"/>
    <w:rsid w:val="0096133D"/>
    <w:rsid w:val="00961356"/>
    <w:rsid w:val="00962401"/>
    <w:rsid w:val="00962510"/>
    <w:rsid w:val="0096260B"/>
    <w:rsid w:val="0096275C"/>
    <w:rsid w:val="009627FF"/>
    <w:rsid w:val="00962A27"/>
    <w:rsid w:val="00962B9D"/>
    <w:rsid w:val="00962EDC"/>
    <w:rsid w:val="00963ACF"/>
    <w:rsid w:val="00963D03"/>
    <w:rsid w:val="00964E3D"/>
    <w:rsid w:val="009664D5"/>
    <w:rsid w:val="0096663A"/>
    <w:rsid w:val="009670C1"/>
    <w:rsid w:val="009671B0"/>
    <w:rsid w:val="00967657"/>
    <w:rsid w:val="00970C69"/>
    <w:rsid w:val="00971F1C"/>
    <w:rsid w:val="0097211D"/>
    <w:rsid w:val="009724F9"/>
    <w:rsid w:val="0097263C"/>
    <w:rsid w:val="00972DF9"/>
    <w:rsid w:val="00972E10"/>
    <w:rsid w:val="009738AD"/>
    <w:rsid w:val="00974694"/>
    <w:rsid w:val="009746CA"/>
    <w:rsid w:val="00974E7C"/>
    <w:rsid w:val="00975B7B"/>
    <w:rsid w:val="00976DCD"/>
    <w:rsid w:val="00977134"/>
    <w:rsid w:val="009778D3"/>
    <w:rsid w:val="00977B69"/>
    <w:rsid w:val="00980013"/>
    <w:rsid w:val="00980E65"/>
    <w:rsid w:val="0098122D"/>
    <w:rsid w:val="00981963"/>
    <w:rsid w:val="009828D7"/>
    <w:rsid w:val="00982FD1"/>
    <w:rsid w:val="009831B9"/>
    <w:rsid w:val="00983C82"/>
    <w:rsid w:val="009844D6"/>
    <w:rsid w:val="00984520"/>
    <w:rsid w:val="0098545C"/>
    <w:rsid w:val="00985506"/>
    <w:rsid w:val="009862F1"/>
    <w:rsid w:val="009871EA"/>
    <w:rsid w:val="00987220"/>
    <w:rsid w:val="00991675"/>
    <w:rsid w:val="00992BA2"/>
    <w:rsid w:val="00992F83"/>
    <w:rsid w:val="0099344F"/>
    <w:rsid w:val="009939A9"/>
    <w:rsid w:val="00993A3C"/>
    <w:rsid w:val="0099449B"/>
    <w:rsid w:val="0099508A"/>
    <w:rsid w:val="00995E53"/>
    <w:rsid w:val="00996BAA"/>
    <w:rsid w:val="00996D7F"/>
    <w:rsid w:val="009974EB"/>
    <w:rsid w:val="009978D5"/>
    <w:rsid w:val="00997A12"/>
    <w:rsid w:val="009A0EB3"/>
    <w:rsid w:val="009A1126"/>
    <w:rsid w:val="009A1232"/>
    <w:rsid w:val="009A36E4"/>
    <w:rsid w:val="009A3C12"/>
    <w:rsid w:val="009A4B06"/>
    <w:rsid w:val="009A5564"/>
    <w:rsid w:val="009A7469"/>
    <w:rsid w:val="009B07EE"/>
    <w:rsid w:val="009B1584"/>
    <w:rsid w:val="009B1B32"/>
    <w:rsid w:val="009B21CA"/>
    <w:rsid w:val="009B2648"/>
    <w:rsid w:val="009B39B1"/>
    <w:rsid w:val="009B424E"/>
    <w:rsid w:val="009B4317"/>
    <w:rsid w:val="009B4EBB"/>
    <w:rsid w:val="009B529C"/>
    <w:rsid w:val="009B5359"/>
    <w:rsid w:val="009B5860"/>
    <w:rsid w:val="009B5C45"/>
    <w:rsid w:val="009B5FD9"/>
    <w:rsid w:val="009B6133"/>
    <w:rsid w:val="009B7332"/>
    <w:rsid w:val="009B7420"/>
    <w:rsid w:val="009B7B46"/>
    <w:rsid w:val="009B7C6D"/>
    <w:rsid w:val="009C0294"/>
    <w:rsid w:val="009C03E5"/>
    <w:rsid w:val="009C08B6"/>
    <w:rsid w:val="009C0920"/>
    <w:rsid w:val="009C1266"/>
    <w:rsid w:val="009C12C3"/>
    <w:rsid w:val="009C196C"/>
    <w:rsid w:val="009C1B5C"/>
    <w:rsid w:val="009C232B"/>
    <w:rsid w:val="009C36E6"/>
    <w:rsid w:val="009C3730"/>
    <w:rsid w:val="009C37BD"/>
    <w:rsid w:val="009C3888"/>
    <w:rsid w:val="009C3AAC"/>
    <w:rsid w:val="009C43E5"/>
    <w:rsid w:val="009C44A1"/>
    <w:rsid w:val="009C4D19"/>
    <w:rsid w:val="009C5F6C"/>
    <w:rsid w:val="009C5FDB"/>
    <w:rsid w:val="009C6919"/>
    <w:rsid w:val="009C693E"/>
    <w:rsid w:val="009C6B2C"/>
    <w:rsid w:val="009C6ED6"/>
    <w:rsid w:val="009C70CB"/>
    <w:rsid w:val="009C7623"/>
    <w:rsid w:val="009D0411"/>
    <w:rsid w:val="009D14EB"/>
    <w:rsid w:val="009D1B18"/>
    <w:rsid w:val="009D1E70"/>
    <w:rsid w:val="009D1EA4"/>
    <w:rsid w:val="009D27AA"/>
    <w:rsid w:val="009D2BFD"/>
    <w:rsid w:val="009D2FF8"/>
    <w:rsid w:val="009D2FFA"/>
    <w:rsid w:val="009D3BF1"/>
    <w:rsid w:val="009D3F20"/>
    <w:rsid w:val="009D428F"/>
    <w:rsid w:val="009D4991"/>
    <w:rsid w:val="009D515C"/>
    <w:rsid w:val="009D597B"/>
    <w:rsid w:val="009D5BB5"/>
    <w:rsid w:val="009D683D"/>
    <w:rsid w:val="009D696D"/>
    <w:rsid w:val="009D6993"/>
    <w:rsid w:val="009D6BB6"/>
    <w:rsid w:val="009D6ED2"/>
    <w:rsid w:val="009E08B3"/>
    <w:rsid w:val="009E0A6A"/>
    <w:rsid w:val="009E0D0F"/>
    <w:rsid w:val="009E0F1A"/>
    <w:rsid w:val="009E140D"/>
    <w:rsid w:val="009E1A86"/>
    <w:rsid w:val="009E43DD"/>
    <w:rsid w:val="009E4465"/>
    <w:rsid w:val="009E5318"/>
    <w:rsid w:val="009E6401"/>
    <w:rsid w:val="009E6C54"/>
    <w:rsid w:val="009E773E"/>
    <w:rsid w:val="009F04C8"/>
    <w:rsid w:val="009F0812"/>
    <w:rsid w:val="009F0E02"/>
    <w:rsid w:val="009F248B"/>
    <w:rsid w:val="009F2A25"/>
    <w:rsid w:val="009F3A1A"/>
    <w:rsid w:val="009F4C7D"/>
    <w:rsid w:val="009F5235"/>
    <w:rsid w:val="009F531A"/>
    <w:rsid w:val="009F6344"/>
    <w:rsid w:val="009F6550"/>
    <w:rsid w:val="009F6927"/>
    <w:rsid w:val="009F6B65"/>
    <w:rsid w:val="009F786E"/>
    <w:rsid w:val="00A00680"/>
    <w:rsid w:val="00A00902"/>
    <w:rsid w:val="00A0098B"/>
    <w:rsid w:val="00A0191A"/>
    <w:rsid w:val="00A0223F"/>
    <w:rsid w:val="00A0294E"/>
    <w:rsid w:val="00A039FF"/>
    <w:rsid w:val="00A04524"/>
    <w:rsid w:val="00A05ACE"/>
    <w:rsid w:val="00A05EAF"/>
    <w:rsid w:val="00A06305"/>
    <w:rsid w:val="00A076E9"/>
    <w:rsid w:val="00A114B9"/>
    <w:rsid w:val="00A1158C"/>
    <w:rsid w:val="00A12107"/>
    <w:rsid w:val="00A13A65"/>
    <w:rsid w:val="00A14589"/>
    <w:rsid w:val="00A14AE3"/>
    <w:rsid w:val="00A15FEA"/>
    <w:rsid w:val="00A16675"/>
    <w:rsid w:val="00A17957"/>
    <w:rsid w:val="00A20404"/>
    <w:rsid w:val="00A20DFB"/>
    <w:rsid w:val="00A21955"/>
    <w:rsid w:val="00A22283"/>
    <w:rsid w:val="00A225D8"/>
    <w:rsid w:val="00A22CD6"/>
    <w:rsid w:val="00A234EC"/>
    <w:rsid w:val="00A24128"/>
    <w:rsid w:val="00A2417A"/>
    <w:rsid w:val="00A25642"/>
    <w:rsid w:val="00A2631B"/>
    <w:rsid w:val="00A26668"/>
    <w:rsid w:val="00A2681F"/>
    <w:rsid w:val="00A27804"/>
    <w:rsid w:val="00A27EED"/>
    <w:rsid w:val="00A3276D"/>
    <w:rsid w:val="00A3283D"/>
    <w:rsid w:val="00A334D1"/>
    <w:rsid w:val="00A34257"/>
    <w:rsid w:val="00A3655D"/>
    <w:rsid w:val="00A3663D"/>
    <w:rsid w:val="00A36822"/>
    <w:rsid w:val="00A36AB5"/>
    <w:rsid w:val="00A37170"/>
    <w:rsid w:val="00A374FD"/>
    <w:rsid w:val="00A3754B"/>
    <w:rsid w:val="00A378AC"/>
    <w:rsid w:val="00A402DD"/>
    <w:rsid w:val="00A4069E"/>
    <w:rsid w:val="00A40BBF"/>
    <w:rsid w:val="00A411D1"/>
    <w:rsid w:val="00A41A09"/>
    <w:rsid w:val="00A42E88"/>
    <w:rsid w:val="00A43389"/>
    <w:rsid w:val="00A434A7"/>
    <w:rsid w:val="00A43E71"/>
    <w:rsid w:val="00A44C11"/>
    <w:rsid w:val="00A4526F"/>
    <w:rsid w:val="00A45753"/>
    <w:rsid w:val="00A457B8"/>
    <w:rsid w:val="00A47B15"/>
    <w:rsid w:val="00A500C1"/>
    <w:rsid w:val="00A5094A"/>
    <w:rsid w:val="00A5103D"/>
    <w:rsid w:val="00A51708"/>
    <w:rsid w:val="00A52F84"/>
    <w:rsid w:val="00A533CC"/>
    <w:rsid w:val="00A54284"/>
    <w:rsid w:val="00A5465A"/>
    <w:rsid w:val="00A54FB5"/>
    <w:rsid w:val="00A560F7"/>
    <w:rsid w:val="00A56B05"/>
    <w:rsid w:val="00A56C06"/>
    <w:rsid w:val="00A56E50"/>
    <w:rsid w:val="00A5726C"/>
    <w:rsid w:val="00A57672"/>
    <w:rsid w:val="00A57678"/>
    <w:rsid w:val="00A57972"/>
    <w:rsid w:val="00A57982"/>
    <w:rsid w:val="00A579F5"/>
    <w:rsid w:val="00A57F83"/>
    <w:rsid w:val="00A60E2F"/>
    <w:rsid w:val="00A627AD"/>
    <w:rsid w:val="00A6320B"/>
    <w:rsid w:val="00A63246"/>
    <w:rsid w:val="00A63284"/>
    <w:rsid w:val="00A63458"/>
    <w:rsid w:val="00A6372D"/>
    <w:rsid w:val="00A6401C"/>
    <w:rsid w:val="00A64CB8"/>
    <w:rsid w:val="00A66065"/>
    <w:rsid w:val="00A66291"/>
    <w:rsid w:val="00A66BDE"/>
    <w:rsid w:val="00A66C69"/>
    <w:rsid w:val="00A67018"/>
    <w:rsid w:val="00A671D2"/>
    <w:rsid w:val="00A67289"/>
    <w:rsid w:val="00A672F3"/>
    <w:rsid w:val="00A673DC"/>
    <w:rsid w:val="00A67F9C"/>
    <w:rsid w:val="00A7076E"/>
    <w:rsid w:val="00A709BE"/>
    <w:rsid w:val="00A70D85"/>
    <w:rsid w:val="00A7162E"/>
    <w:rsid w:val="00A7179D"/>
    <w:rsid w:val="00A72D71"/>
    <w:rsid w:val="00A72EF3"/>
    <w:rsid w:val="00A73112"/>
    <w:rsid w:val="00A73617"/>
    <w:rsid w:val="00A747D2"/>
    <w:rsid w:val="00A75123"/>
    <w:rsid w:val="00A75705"/>
    <w:rsid w:val="00A75F35"/>
    <w:rsid w:val="00A765A9"/>
    <w:rsid w:val="00A765BC"/>
    <w:rsid w:val="00A76E17"/>
    <w:rsid w:val="00A77B30"/>
    <w:rsid w:val="00A77C51"/>
    <w:rsid w:val="00A77C69"/>
    <w:rsid w:val="00A8063F"/>
    <w:rsid w:val="00A812B1"/>
    <w:rsid w:val="00A81E7C"/>
    <w:rsid w:val="00A82AB9"/>
    <w:rsid w:val="00A82C61"/>
    <w:rsid w:val="00A8301B"/>
    <w:rsid w:val="00A83049"/>
    <w:rsid w:val="00A8368D"/>
    <w:rsid w:val="00A83945"/>
    <w:rsid w:val="00A83953"/>
    <w:rsid w:val="00A83CD7"/>
    <w:rsid w:val="00A8400B"/>
    <w:rsid w:val="00A8416A"/>
    <w:rsid w:val="00A846DA"/>
    <w:rsid w:val="00A84956"/>
    <w:rsid w:val="00A853D8"/>
    <w:rsid w:val="00A85BBE"/>
    <w:rsid w:val="00A8661E"/>
    <w:rsid w:val="00A8695A"/>
    <w:rsid w:val="00A86ACF"/>
    <w:rsid w:val="00A8708E"/>
    <w:rsid w:val="00A903B6"/>
    <w:rsid w:val="00A9054B"/>
    <w:rsid w:val="00A90F4F"/>
    <w:rsid w:val="00A92579"/>
    <w:rsid w:val="00A936F9"/>
    <w:rsid w:val="00A9384E"/>
    <w:rsid w:val="00A943D0"/>
    <w:rsid w:val="00A947AA"/>
    <w:rsid w:val="00A94888"/>
    <w:rsid w:val="00A9681C"/>
    <w:rsid w:val="00A96867"/>
    <w:rsid w:val="00A96B3D"/>
    <w:rsid w:val="00A97873"/>
    <w:rsid w:val="00A978B4"/>
    <w:rsid w:val="00AA0214"/>
    <w:rsid w:val="00AA16A6"/>
    <w:rsid w:val="00AA18AB"/>
    <w:rsid w:val="00AA1B53"/>
    <w:rsid w:val="00AA1DEA"/>
    <w:rsid w:val="00AA256D"/>
    <w:rsid w:val="00AA2737"/>
    <w:rsid w:val="00AA2B76"/>
    <w:rsid w:val="00AA311D"/>
    <w:rsid w:val="00AA3556"/>
    <w:rsid w:val="00AA35FD"/>
    <w:rsid w:val="00AA3DB7"/>
    <w:rsid w:val="00AA41D3"/>
    <w:rsid w:val="00AA54E3"/>
    <w:rsid w:val="00AA5B93"/>
    <w:rsid w:val="00AB0039"/>
    <w:rsid w:val="00AB067C"/>
    <w:rsid w:val="00AB0794"/>
    <w:rsid w:val="00AB0828"/>
    <w:rsid w:val="00AB0D96"/>
    <w:rsid w:val="00AB15A3"/>
    <w:rsid w:val="00AB177A"/>
    <w:rsid w:val="00AB216D"/>
    <w:rsid w:val="00AB3012"/>
    <w:rsid w:val="00AB311F"/>
    <w:rsid w:val="00AB321C"/>
    <w:rsid w:val="00AB37D2"/>
    <w:rsid w:val="00AB3A48"/>
    <w:rsid w:val="00AB473F"/>
    <w:rsid w:val="00AB4C91"/>
    <w:rsid w:val="00AB4E3B"/>
    <w:rsid w:val="00AB5381"/>
    <w:rsid w:val="00AB54C1"/>
    <w:rsid w:val="00AB688F"/>
    <w:rsid w:val="00AB75EA"/>
    <w:rsid w:val="00AB7AA2"/>
    <w:rsid w:val="00AC0A22"/>
    <w:rsid w:val="00AC1249"/>
    <w:rsid w:val="00AC1515"/>
    <w:rsid w:val="00AC2234"/>
    <w:rsid w:val="00AC22D8"/>
    <w:rsid w:val="00AC34AE"/>
    <w:rsid w:val="00AC3FF3"/>
    <w:rsid w:val="00AC4BC1"/>
    <w:rsid w:val="00AC5715"/>
    <w:rsid w:val="00AD04BD"/>
    <w:rsid w:val="00AD0765"/>
    <w:rsid w:val="00AD0F00"/>
    <w:rsid w:val="00AD16A3"/>
    <w:rsid w:val="00AD1D73"/>
    <w:rsid w:val="00AD3C7F"/>
    <w:rsid w:val="00AD55A8"/>
    <w:rsid w:val="00AD58D5"/>
    <w:rsid w:val="00AD5CA4"/>
    <w:rsid w:val="00AD6A91"/>
    <w:rsid w:val="00AD7214"/>
    <w:rsid w:val="00AE04DB"/>
    <w:rsid w:val="00AE1066"/>
    <w:rsid w:val="00AE14DD"/>
    <w:rsid w:val="00AE2FA5"/>
    <w:rsid w:val="00AE3486"/>
    <w:rsid w:val="00AE3A4F"/>
    <w:rsid w:val="00AE4513"/>
    <w:rsid w:val="00AE4518"/>
    <w:rsid w:val="00AE5D7F"/>
    <w:rsid w:val="00AE79F0"/>
    <w:rsid w:val="00AF05D4"/>
    <w:rsid w:val="00AF07B0"/>
    <w:rsid w:val="00AF109C"/>
    <w:rsid w:val="00AF1701"/>
    <w:rsid w:val="00AF1752"/>
    <w:rsid w:val="00AF31CF"/>
    <w:rsid w:val="00AF42FC"/>
    <w:rsid w:val="00AF4AC5"/>
    <w:rsid w:val="00AF4C2C"/>
    <w:rsid w:val="00AF597D"/>
    <w:rsid w:val="00AF6EC1"/>
    <w:rsid w:val="00AF784D"/>
    <w:rsid w:val="00AF78DD"/>
    <w:rsid w:val="00AF7BCD"/>
    <w:rsid w:val="00AF7CE9"/>
    <w:rsid w:val="00B00331"/>
    <w:rsid w:val="00B0062E"/>
    <w:rsid w:val="00B0117E"/>
    <w:rsid w:val="00B014A1"/>
    <w:rsid w:val="00B01A80"/>
    <w:rsid w:val="00B046AF"/>
    <w:rsid w:val="00B05374"/>
    <w:rsid w:val="00B06036"/>
    <w:rsid w:val="00B061F1"/>
    <w:rsid w:val="00B06615"/>
    <w:rsid w:val="00B07C27"/>
    <w:rsid w:val="00B07FB2"/>
    <w:rsid w:val="00B10017"/>
    <w:rsid w:val="00B1004A"/>
    <w:rsid w:val="00B101CE"/>
    <w:rsid w:val="00B10531"/>
    <w:rsid w:val="00B10C40"/>
    <w:rsid w:val="00B10DE1"/>
    <w:rsid w:val="00B10FF8"/>
    <w:rsid w:val="00B11E02"/>
    <w:rsid w:val="00B12F0D"/>
    <w:rsid w:val="00B12FCF"/>
    <w:rsid w:val="00B13A85"/>
    <w:rsid w:val="00B13BC7"/>
    <w:rsid w:val="00B13CD4"/>
    <w:rsid w:val="00B153D8"/>
    <w:rsid w:val="00B154DE"/>
    <w:rsid w:val="00B157AB"/>
    <w:rsid w:val="00B15814"/>
    <w:rsid w:val="00B17B14"/>
    <w:rsid w:val="00B203C4"/>
    <w:rsid w:val="00B20863"/>
    <w:rsid w:val="00B20BEC"/>
    <w:rsid w:val="00B20CDD"/>
    <w:rsid w:val="00B22683"/>
    <w:rsid w:val="00B22BC9"/>
    <w:rsid w:val="00B22E81"/>
    <w:rsid w:val="00B232FE"/>
    <w:rsid w:val="00B23423"/>
    <w:rsid w:val="00B235F4"/>
    <w:rsid w:val="00B23996"/>
    <w:rsid w:val="00B23A8A"/>
    <w:rsid w:val="00B23CB2"/>
    <w:rsid w:val="00B23FA6"/>
    <w:rsid w:val="00B240CC"/>
    <w:rsid w:val="00B24E14"/>
    <w:rsid w:val="00B2561A"/>
    <w:rsid w:val="00B256C1"/>
    <w:rsid w:val="00B25A64"/>
    <w:rsid w:val="00B25B94"/>
    <w:rsid w:val="00B271F2"/>
    <w:rsid w:val="00B30B9E"/>
    <w:rsid w:val="00B31884"/>
    <w:rsid w:val="00B31D19"/>
    <w:rsid w:val="00B32AB3"/>
    <w:rsid w:val="00B32DAE"/>
    <w:rsid w:val="00B33825"/>
    <w:rsid w:val="00B34BB2"/>
    <w:rsid w:val="00B34E7C"/>
    <w:rsid w:val="00B35AF6"/>
    <w:rsid w:val="00B36228"/>
    <w:rsid w:val="00B366A3"/>
    <w:rsid w:val="00B368EA"/>
    <w:rsid w:val="00B37EEF"/>
    <w:rsid w:val="00B418AD"/>
    <w:rsid w:val="00B41E3D"/>
    <w:rsid w:val="00B42F1A"/>
    <w:rsid w:val="00B43790"/>
    <w:rsid w:val="00B43829"/>
    <w:rsid w:val="00B443D9"/>
    <w:rsid w:val="00B44531"/>
    <w:rsid w:val="00B4640F"/>
    <w:rsid w:val="00B46521"/>
    <w:rsid w:val="00B46587"/>
    <w:rsid w:val="00B47AD2"/>
    <w:rsid w:val="00B47CF7"/>
    <w:rsid w:val="00B502B0"/>
    <w:rsid w:val="00B50408"/>
    <w:rsid w:val="00B50686"/>
    <w:rsid w:val="00B50C50"/>
    <w:rsid w:val="00B513C0"/>
    <w:rsid w:val="00B535AF"/>
    <w:rsid w:val="00B53708"/>
    <w:rsid w:val="00B53DCB"/>
    <w:rsid w:val="00B5428F"/>
    <w:rsid w:val="00B54370"/>
    <w:rsid w:val="00B54460"/>
    <w:rsid w:val="00B54C9B"/>
    <w:rsid w:val="00B54DEA"/>
    <w:rsid w:val="00B55185"/>
    <w:rsid w:val="00B55C03"/>
    <w:rsid w:val="00B55F0B"/>
    <w:rsid w:val="00B56670"/>
    <w:rsid w:val="00B56A70"/>
    <w:rsid w:val="00B60638"/>
    <w:rsid w:val="00B606F8"/>
    <w:rsid w:val="00B61923"/>
    <w:rsid w:val="00B621D6"/>
    <w:rsid w:val="00B63AF2"/>
    <w:rsid w:val="00B64054"/>
    <w:rsid w:val="00B65747"/>
    <w:rsid w:val="00B65D6F"/>
    <w:rsid w:val="00B65FAD"/>
    <w:rsid w:val="00B66174"/>
    <w:rsid w:val="00B67021"/>
    <w:rsid w:val="00B673C9"/>
    <w:rsid w:val="00B67B37"/>
    <w:rsid w:val="00B67C23"/>
    <w:rsid w:val="00B7079B"/>
    <w:rsid w:val="00B70DC7"/>
    <w:rsid w:val="00B721A4"/>
    <w:rsid w:val="00B72B5B"/>
    <w:rsid w:val="00B72EFF"/>
    <w:rsid w:val="00B73832"/>
    <w:rsid w:val="00B73B26"/>
    <w:rsid w:val="00B73CA9"/>
    <w:rsid w:val="00B750C2"/>
    <w:rsid w:val="00B756CB"/>
    <w:rsid w:val="00B75735"/>
    <w:rsid w:val="00B77142"/>
    <w:rsid w:val="00B80879"/>
    <w:rsid w:val="00B80A2C"/>
    <w:rsid w:val="00B80D3B"/>
    <w:rsid w:val="00B8135C"/>
    <w:rsid w:val="00B814BB"/>
    <w:rsid w:val="00B81730"/>
    <w:rsid w:val="00B81C0E"/>
    <w:rsid w:val="00B81F60"/>
    <w:rsid w:val="00B82123"/>
    <w:rsid w:val="00B823D4"/>
    <w:rsid w:val="00B8314A"/>
    <w:rsid w:val="00B83E61"/>
    <w:rsid w:val="00B841AC"/>
    <w:rsid w:val="00B85869"/>
    <w:rsid w:val="00B85873"/>
    <w:rsid w:val="00B85E95"/>
    <w:rsid w:val="00B865B0"/>
    <w:rsid w:val="00B865DC"/>
    <w:rsid w:val="00B870E8"/>
    <w:rsid w:val="00B875E3"/>
    <w:rsid w:val="00B87C29"/>
    <w:rsid w:val="00B90780"/>
    <w:rsid w:val="00B90968"/>
    <w:rsid w:val="00B90BC6"/>
    <w:rsid w:val="00B91BC2"/>
    <w:rsid w:val="00B9240D"/>
    <w:rsid w:val="00B9358B"/>
    <w:rsid w:val="00B94960"/>
    <w:rsid w:val="00B94AF7"/>
    <w:rsid w:val="00B96F6E"/>
    <w:rsid w:val="00BA0185"/>
    <w:rsid w:val="00BA22A8"/>
    <w:rsid w:val="00BA309F"/>
    <w:rsid w:val="00BA3E48"/>
    <w:rsid w:val="00BA4905"/>
    <w:rsid w:val="00BA4BD3"/>
    <w:rsid w:val="00BA535D"/>
    <w:rsid w:val="00BA6E49"/>
    <w:rsid w:val="00BB0187"/>
    <w:rsid w:val="00BB06E7"/>
    <w:rsid w:val="00BB0E56"/>
    <w:rsid w:val="00BB1EB3"/>
    <w:rsid w:val="00BB2147"/>
    <w:rsid w:val="00BB2678"/>
    <w:rsid w:val="00BB3077"/>
    <w:rsid w:val="00BB33A8"/>
    <w:rsid w:val="00BB3927"/>
    <w:rsid w:val="00BB3D8C"/>
    <w:rsid w:val="00BB4B39"/>
    <w:rsid w:val="00BB53AF"/>
    <w:rsid w:val="00BB5883"/>
    <w:rsid w:val="00BB5C26"/>
    <w:rsid w:val="00BB6A40"/>
    <w:rsid w:val="00BC013A"/>
    <w:rsid w:val="00BC162A"/>
    <w:rsid w:val="00BC2060"/>
    <w:rsid w:val="00BC2343"/>
    <w:rsid w:val="00BC5824"/>
    <w:rsid w:val="00BC584D"/>
    <w:rsid w:val="00BC5CD5"/>
    <w:rsid w:val="00BC702F"/>
    <w:rsid w:val="00BD0ECF"/>
    <w:rsid w:val="00BD1BD7"/>
    <w:rsid w:val="00BD30C8"/>
    <w:rsid w:val="00BD38F4"/>
    <w:rsid w:val="00BD3EB4"/>
    <w:rsid w:val="00BD4C5B"/>
    <w:rsid w:val="00BD50EA"/>
    <w:rsid w:val="00BD5359"/>
    <w:rsid w:val="00BD54DB"/>
    <w:rsid w:val="00BD5C65"/>
    <w:rsid w:val="00BD7BCC"/>
    <w:rsid w:val="00BE0717"/>
    <w:rsid w:val="00BE16E9"/>
    <w:rsid w:val="00BE2730"/>
    <w:rsid w:val="00BE280A"/>
    <w:rsid w:val="00BE2A17"/>
    <w:rsid w:val="00BE31BE"/>
    <w:rsid w:val="00BE3A1D"/>
    <w:rsid w:val="00BE3B33"/>
    <w:rsid w:val="00BE3B92"/>
    <w:rsid w:val="00BE41BF"/>
    <w:rsid w:val="00BE4367"/>
    <w:rsid w:val="00BE487E"/>
    <w:rsid w:val="00BE4E5D"/>
    <w:rsid w:val="00BE6018"/>
    <w:rsid w:val="00BE7086"/>
    <w:rsid w:val="00BE7278"/>
    <w:rsid w:val="00BE7735"/>
    <w:rsid w:val="00BF1F57"/>
    <w:rsid w:val="00BF20FD"/>
    <w:rsid w:val="00BF2239"/>
    <w:rsid w:val="00BF22C6"/>
    <w:rsid w:val="00BF34C2"/>
    <w:rsid w:val="00BF3804"/>
    <w:rsid w:val="00BF3B4E"/>
    <w:rsid w:val="00BF4040"/>
    <w:rsid w:val="00BF4086"/>
    <w:rsid w:val="00BF426C"/>
    <w:rsid w:val="00BF4594"/>
    <w:rsid w:val="00BF4BF3"/>
    <w:rsid w:val="00BF5370"/>
    <w:rsid w:val="00BF577F"/>
    <w:rsid w:val="00BF58D0"/>
    <w:rsid w:val="00BF6027"/>
    <w:rsid w:val="00BF6702"/>
    <w:rsid w:val="00BF6D7A"/>
    <w:rsid w:val="00BF7853"/>
    <w:rsid w:val="00BF787C"/>
    <w:rsid w:val="00BF7952"/>
    <w:rsid w:val="00BF7D0C"/>
    <w:rsid w:val="00BF7D6A"/>
    <w:rsid w:val="00C0021D"/>
    <w:rsid w:val="00C00300"/>
    <w:rsid w:val="00C00A6C"/>
    <w:rsid w:val="00C00B19"/>
    <w:rsid w:val="00C00B8B"/>
    <w:rsid w:val="00C013E1"/>
    <w:rsid w:val="00C01611"/>
    <w:rsid w:val="00C016E9"/>
    <w:rsid w:val="00C02BDB"/>
    <w:rsid w:val="00C02D59"/>
    <w:rsid w:val="00C02FE3"/>
    <w:rsid w:val="00C030B6"/>
    <w:rsid w:val="00C03284"/>
    <w:rsid w:val="00C03B3A"/>
    <w:rsid w:val="00C03CD4"/>
    <w:rsid w:val="00C04694"/>
    <w:rsid w:val="00C050C4"/>
    <w:rsid w:val="00C050D7"/>
    <w:rsid w:val="00C05AAA"/>
    <w:rsid w:val="00C05B5F"/>
    <w:rsid w:val="00C06125"/>
    <w:rsid w:val="00C065C2"/>
    <w:rsid w:val="00C0703A"/>
    <w:rsid w:val="00C10086"/>
    <w:rsid w:val="00C104CC"/>
    <w:rsid w:val="00C106B3"/>
    <w:rsid w:val="00C11521"/>
    <w:rsid w:val="00C13912"/>
    <w:rsid w:val="00C14156"/>
    <w:rsid w:val="00C142AD"/>
    <w:rsid w:val="00C142C1"/>
    <w:rsid w:val="00C14A30"/>
    <w:rsid w:val="00C152FE"/>
    <w:rsid w:val="00C15D1B"/>
    <w:rsid w:val="00C16013"/>
    <w:rsid w:val="00C16739"/>
    <w:rsid w:val="00C168DD"/>
    <w:rsid w:val="00C172F3"/>
    <w:rsid w:val="00C176CC"/>
    <w:rsid w:val="00C21031"/>
    <w:rsid w:val="00C221B9"/>
    <w:rsid w:val="00C225EA"/>
    <w:rsid w:val="00C22CCE"/>
    <w:rsid w:val="00C23035"/>
    <w:rsid w:val="00C232BC"/>
    <w:rsid w:val="00C234F0"/>
    <w:rsid w:val="00C23BA2"/>
    <w:rsid w:val="00C23BEA"/>
    <w:rsid w:val="00C2485F"/>
    <w:rsid w:val="00C248B1"/>
    <w:rsid w:val="00C24B63"/>
    <w:rsid w:val="00C2542B"/>
    <w:rsid w:val="00C25C1B"/>
    <w:rsid w:val="00C262A0"/>
    <w:rsid w:val="00C26A4E"/>
    <w:rsid w:val="00C2755C"/>
    <w:rsid w:val="00C27E4C"/>
    <w:rsid w:val="00C303F3"/>
    <w:rsid w:val="00C31195"/>
    <w:rsid w:val="00C31774"/>
    <w:rsid w:val="00C3180E"/>
    <w:rsid w:val="00C32AF2"/>
    <w:rsid w:val="00C33051"/>
    <w:rsid w:val="00C33204"/>
    <w:rsid w:val="00C338EB"/>
    <w:rsid w:val="00C33F75"/>
    <w:rsid w:val="00C34389"/>
    <w:rsid w:val="00C3465D"/>
    <w:rsid w:val="00C347D5"/>
    <w:rsid w:val="00C371C9"/>
    <w:rsid w:val="00C379E9"/>
    <w:rsid w:val="00C379FD"/>
    <w:rsid w:val="00C37A8A"/>
    <w:rsid w:val="00C403CD"/>
    <w:rsid w:val="00C411C4"/>
    <w:rsid w:val="00C42041"/>
    <w:rsid w:val="00C434C4"/>
    <w:rsid w:val="00C43934"/>
    <w:rsid w:val="00C439FB"/>
    <w:rsid w:val="00C43AA8"/>
    <w:rsid w:val="00C43F23"/>
    <w:rsid w:val="00C441A4"/>
    <w:rsid w:val="00C444F3"/>
    <w:rsid w:val="00C463C9"/>
    <w:rsid w:val="00C466CF"/>
    <w:rsid w:val="00C47648"/>
    <w:rsid w:val="00C47852"/>
    <w:rsid w:val="00C50011"/>
    <w:rsid w:val="00C510DB"/>
    <w:rsid w:val="00C51C77"/>
    <w:rsid w:val="00C5220D"/>
    <w:rsid w:val="00C5254B"/>
    <w:rsid w:val="00C526A2"/>
    <w:rsid w:val="00C54F7F"/>
    <w:rsid w:val="00C55D39"/>
    <w:rsid w:val="00C55FBF"/>
    <w:rsid w:val="00C5718C"/>
    <w:rsid w:val="00C57E68"/>
    <w:rsid w:val="00C601C9"/>
    <w:rsid w:val="00C6200C"/>
    <w:rsid w:val="00C6212F"/>
    <w:rsid w:val="00C623C6"/>
    <w:rsid w:val="00C62AB0"/>
    <w:rsid w:val="00C62F35"/>
    <w:rsid w:val="00C631D3"/>
    <w:rsid w:val="00C645E6"/>
    <w:rsid w:val="00C6464F"/>
    <w:rsid w:val="00C64813"/>
    <w:rsid w:val="00C64D82"/>
    <w:rsid w:val="00C64FBC"/>
    <w:rsid w:val="00C657A6"/>
    <w:rsid w:val="00C65A83"/>
    <w:rsid w:val="00C66A00"/>
    <w:rsid w:val="00C66CBE"/>
    <w:rsid w:val="00C67118"/>
    <w:rsid w:val="00C67276"/>
    <w:rsid w:val="00C67760"/>
    <w:rsid w:val="00C67DDD"/>
    <w:rsid w:val="00C70139"/>
    <w:rsid w:val="00C70A09"/>
    <w:rsid w:val="00C7191D"/>
    <w:rsid w:val="00C72C6F"/>
    <w:rsid w:val="00C73183"/>
    <w:rsid w:val="00C7350B"/>
    <w:rsid w:val="00C73F2D"/>
    <w:rsid w:val="00C74453"/>
    <w:rsid w:val="00C7473A"/>
    <w:rsid w:val="00C75AB0"/>
    <w:rsid w:val="00C7606F"/>
    <w:rsid w:val="00C76166"/>
    <w:rsid w:val="00C76B7B"/>
    <w:rsid w:val="00C76BBD"/>
    <w:rsid w:val="00C76DE2"/>
    <w:rsid w:val="00C772BA"/>
    <w:rsid w:val="00C802D1"/>
    <w:rsid w:val="00C8036C"/>
    <w:rsid w:val="00C80CD8"/>
    <w:rsid w:val="00C80F23"/>
    <w:rsid w:val="00C81151"/>
    <w:rsid w:val="00C82255"/>
    <w:rsid w:val="00C82CC6"/>
    <w:rsid w:val="00C839CB"/>
    <w:rsid w:val="00C840DF"/>
    <w:rsid w:val="00C84593"/>
    <w:rsid w:val="00C850A3"/>
    <w:rsid w:val="00C85C32"/>
    <w:rsid w:val="00C85F45"/>
    <w:rsid w:val="00C86C8C"/>
    <w:rsid w:val="00C87568"/>
    <w:rsid w:val="00C87CA8"/>
    <w:rsid w:val="00C87FD0"/>
    <w:rsid w:val="00C90628"/>
    <w:rsid w:val="00C90DB6"/>
    <w:rsid w:val="00C915A6"/>
    <w:rsid w:val="00C92603"/>
    <w:rsid w:val="00C92652"/>
    <w:rsid w:val="00C9394F"/>
    <w:rsid w:val="00C93B1A"/>
    <w:rsid w:val="00C9444E"/>
    <w:rsid w:val="00C96F5F"/>
    <w:rsid w:val="00C97055"/>
    <w:rsid w:val="00CA194C"/>
    <w:rsid w:val="00CA2596"/>
    <w:rsid w:val="00CA2670"/>
    <w:rsid w:val="00CA2B4F"/>
    <w:rsid w:val="00CA30C3"/>
    <w:rsid w:val="00CA5927"/>
    <w:rsid w:val="00CA635E"/>
    <w:rsid w:val="00CA6BB0"/>
    <w:rsid w:val="00CA70CE"/>
    <w:rsid w:val="00CA74B3"/>
    <w:rsid w:val="00CA79EC"/>
    <w:rsid w:val="00CB002C"/>
    <w:rsid w:val="00CB1E4B"/>
    <w:rsid w:val="00CB24BA"/>
    <w:rsid w:val="00CB259F"/>
    <w:rsid w:val="00CB39C2"/>
    <w:rsid w:val="00CB3E38"/>
    <w:rsid w:val="00CB4C8C"/>
    <w:rsid w:val="00CB4E90"/>
    <w:rsid w:val="00CB5850"/>
    <w:rsid w:val="00CB5C99"/>
    <w:rsid w:val="00CB5DBA"/>
    <w:rsid w:val="00CB633B"/>
    <w:rsid w:val="00CB6782"/>
    <w:rsid w:val="00CB6E3E"/>
    <w:rsid w:val="00CC080A"/>
    <w:rsid w:val="00CC0D0F"/>
    <w:rsid w:val="00CC1275"/>
    <w:rsid w:val="00CC12EE"/>
    <w:rsid w:val="00CC3341"/>
    <w:rsid w:val="00CC3767"/>
    <w:rsid w:val="00CC5767"/>
    <w:rsid w:val="00CC5D2F"/>
    <w:rsid w:val="00CC68CC"/>
    <w:rsid w:val="00CC701E"/>
    <w:rsid w:val="00CC7735"/>
    <w:rsid w:val="00CD0310"/>
    <w:rsid w:val="00CD2E48"/>
    <w:rsid w:val="00CD4491"/>
    <w:rsid w:val="00CD4826"/>
    <w:rsid w:val="00CD4E19"/>
    <w:rsid w:val="00CD6219"/>
    <w:rsid w:val="00CD700F"/>
    <w:rsid w:val="00CD7319"/>
    <w:rsid w:val="00CE027B"/>
    <w:rsid w:val="00CE148E"/>
    <w:rsid w:val="00CE208D"/>
    <w:rsid w:val="00CE2453"/>
    <w:rsid w:val="00CE28F0"/>
    <w:rsid w:val="00CE356D"/>
    <w:rsid w:val="00CE3FA4"/>
    <w:rsid w:val="00CE44F8"/>
    <w:rsid w:val="00CE4942"/>
    <w:rsid w:val="00CE5277"/>
    <w:rsid w:val="00CE57E9"/>
    <w:rsid w:val="00CE5B4D"/>
    <w:rsid w:val="00CE614C"/>
    <w:rsid w:val="00CE6358"/>
    <w:rsid w:val="00CE6686"/>
    <w:rsid w:val="00CE6E97"/>
    <w:rsid w:val="00CE7868"/>
    <w:rsid w:val="00CE796C"/>
    <w:rsid w:val="00CF1B70"/>
    <w:rsid w:val="00CF1DD1"/>
    <w:rsid w:val="00CF2161"/>
    <w:rsid w:val="00CF2307"/>
    <w:rsid w:val="00CF26AE"/>
    <w:rsid w:val="00CF2D54"/>
    <w:rsid w:val="00CF311F"/>
    <w:rsid w:val="00CF5047"/>
    <w:rsid w:val="00CF6911"/>
    <w:rsid w:val="00D000DA"/>
    <w:rsid w:val="00D002E7"/>
    <w:rsid w:val="00D01344"/>
    <w:rsid w:val="00D01B90"/>
    <w:rsid w:val="00D024CD"/>
    <w:rsid w:val="00D034DA"/>
    <w:rsid w:val="00D03538"/>
    <w:rsid w:val="00D03790"/>
    <w:rsid w:val="00D0421D"/>
    <w:rsid w:val="00D046FD"/>
    <w:rsid w:val="00D047F7"/>
    <w:rsid w:val="00D049B8"/>
    <w:rsid w:val="00D04C8A"/>
    <w:rsid w:val="00D0516C"/>
    <w:rsid w:val="00D05B56"/>
    <w:rsid w:val="00D05C2F"/>
    <w:rsid w:val="00D05EE7"/>
    <w:rsid w:val="00D068D0"/>
    <w:rsid w:val="00D06FE0"/>
    <w:rsid w:val="00D07211"/>
    <w:rsid w:val="00D07307"/>
    <w:rsid w:val="00D076A9"/>
    <w:rsid w:val="00D07754"/>
    <w:rsid w:val="00D078D1"/>
    <w:rsid w:val="00D1113D"/>
    <w:rsid w:val="00D1293B"/>
    <w:rsid w:val="00D129A8"/>
    <w:rsid w:val="00D12FB9"/>
    <w:rsid w:val="00D135F2"/>
    <w:rsid w:val="00D13D00"/>
    <w:rsid w:val="00D147C0"/>
    <w:rsid w:val="00D15696"/>
    <w:rsid w:val="00D15C51"/>
    <w:rsid w:val="00D16C68"/>
    <w:rsid w:val="00D200BD"/>
    <w:rsid w:val="00D201AA"/>
    <w:rsid w:val="00D204A7"/>
    <w:rsid w:val="00D20AA5"/>
    <w:rsid w:val="00D22399"/>
    <w:rsid w:val="00D2559A"/>
    <w:rsid w:val="00D2662C"/>
    <w:rsid w:val="00D27FA3"/>
    <w:rsid w:val="00D308D7"/>
    <w:rsid w:val="00D3176C"/>
    <w:rsid w:val="00D31B3F"/>
    <w:rsid w:val="00D33751"/>
    <w:rsid w:val="00D34738"/>
    <w:rsid w:val="00D3486B"/>
    <w:rsid w:val="00D34C2B"/>
    <w:rsid w:val="00D35947"/>
    <w:rsid w:val="00D35D4A"/>
    <w:rsid w:val="00D36F6E"/>
    <w:rsid w:val="00D372B0"/>
    <w:rsid w:val="00D37343"/>
    <w:rsid w:val="00D415F5"/>
    <w:rsid w:val="00D41960"/>
    <w:rsid w:val="00D4205E"/>
    <w:rsid w:val="00D47399"/>
    <w:rsid w:val="00D47475"/>
    <w:rsid w:val="00D478E1"/>
    <w:rsid w:val="00D47BB2"/>
    <w:rsid w:val="00D47D04"/>
    <w:rsid w:val="00D5056A"/>
    <w:rsid w:val="00D508DC"/>
    <w:rsid w:val="00D50EFF"/>
    <w:rsid w:val="00D510A0"/>
    <w:rsid w:val="00D527EE"/>
    <w:rsid w:val="00D529C4"/>
    <w:rsid w:val="00D53929"/>
    <w:rsid w:val="00D539D0"/>
    <w:rsid w:val="00D540DC"/>
    <w:rsid w:val="00D543C0"/>
    <w:rsid w:val="00D55616"/>
    <w:rsid w:val="00D5574C"/>
    <w:rsid w:val="00D55DAC"/>
    <w:rsid w:val="00D6153F"/>
    <w:rsid w:val="00D61982"/>
    <w:rsid w:val="00D61EA9"/>
    <w:rsid w:val="00D61EFF"/>
    <w:rsid w:val="00D62655"/>
    <w:rsid w:val="00D6267A"/>
    <w:rsid w:val="00D62998"/>
    <w:rsid w:val="00D62999"/>
    <w:rsid w:val="00D647DE"/>
    <w:rsid w:val="00D6501F"/>
    <w:rsid w:val="00D65347"/>
    <w:rsid w:val="00D67D12"/>
    <w:rsid w:val="00D705FF"/>
    <w:rsid w:val="00D70B0C"/>
    <w:rsid w:val="00D7145C"/>
    <w:rsid w:val="00D73A88"/>
    <w:rsid w:val="00D744BC"/>
    <w:rsid w:val="00D7489E"/>
    <w:rsid w:val="00D7585A"/>
    <w:rsid w:val="00D77337"/>
    <w:rsid w:val="00D77C53"/>
    <w:rsid w:val="00D77E96"/>
    <w:rsid w:val="00D80618"/>
    <w:rsid w:val="00D807DF"/>
    <w:rsid w:val="00D80862"/>
    <w:rsid w:val="00D82339"/>
    <w:rsid w:val="00D82494"/>
    <w:rsid w:val="00D82FF2"/>
    <w:rsid w:val="00D83774"/>
    <w:rsid w:val="00D83C27"/>
    <w:rsid w:val="00D84A4B"/>
    <w:rsid w:val="00D85686"/>
    <w:rsid w:val="00D877B1"/>
    <w:rsid w:val="00D90A81"/>
    <w:rsid w:val="00D90B7D"/>
    <w:rsid w:val="00D90DCE"/>
    <w:rsid w:val="00D91873"/>
    <w:rsid w:val="00D92168"/>
    <w:rsid w:val="00D9231C"/>
    <w:rsid w:val="00D9264D"/>
    <w:rsid w:val="00D9292C"/>
    <w:rsid w:val="00D92A5E"/>
    <w:rsid w:val="00D935BD"/>
    <w:rsid w:val="00D93F1F"/>
    <w:rsid w:val="00D940B5"/>
    <w:rsid w:val="00D9582D"/>
    <w:rsid w:val="00D95CB0"/>
    <w:rsid w:val="00D9640C"/>
    <w:rsid w:val="00D9654F"/>
    <w:rsid w:val="00D966FE"/>
    <w:rsid w:val="00D97417"/>
    <w:rsid w:val="00D977C0"/>
    <w:rsid w:val="00D97E14"/>
    <w:rsid w:val="00DA00A3"/>
    <w:rsid w:val="00DA13F3"/>
    <w:rsid w:val="00DA199F"/>
    <w:rsid w:val="00DA21E1"/>
    <w:rsid w:val="00DA2DE3"/>
    <w:rsid w:val="00DA3633"/>
    <w:rsid w:val="00DA3B22"/>
    <w:rsid w:val="00DA400B"/>
    <w:rsid w:val="00DA44D6"/>
    <w:rsid w:val="00DA53DE"/>
    <w:rsid w:val="00DA6443"/>
    <w:rsid w:val="00DA64BA"/>
    <w:rsid w:val="00DA6B5E"/>
    <w:rsid w:val="00DA6D55"/>
    <w:rsid w:val="00DA70F5"/>
    <w:rsid w:val="00DA7146"/>
    <w:rsid w:val="00DA716A"/>
    <w:rsid w:val="00DA775D"/>
    <w:rsid w:val="00DA7B82"/>
    <w:rsid w:val="00DB0434"/>
    <w:rsid w:val="00DB1F4F"/>
    <w:rsid w:val="00DB289C"/>
    <w:rsid w:val="00DB2981"/>
    <w:rsid w:val="00DB2B47"/>
    <w:rsid w:val="00DB2CD0"/>
    <w:rsid w:val="00DB347D"/>
    <w:rsid w:val="00DB37EE"/>
    <w:rsid w:val="00DB401F"/>
    <w:rsid w:val="00DB4450"/>
    <w:rsid w:val="00DB4544"/>
    <w:rsid w:val="00DB4EE7"/>
    <w:rsid w:val="00DB521D"/>
    <w:rsid w:val="00DB5971"/>
    <w:rsid w:val="00DB5D51"/>
    <w:rsid w:val="00DB5F53"/>
    <w:rsid w:val="00DB7B69"/>
    <w:rsid w:val="00DC0A2F"/>
    <w:rsid w:val="00DC0DBE"/>
    <w:rsid w:val="00DC0DBF"/>
    <w:rsid w:val="00DC234A"/>
    <w:rsid w:val="00DC2AA0"/>
    <w:rsid w:val="00DC41E4"/>
    <w:rsid w:val="00DC42D9"/>
    <w:rsid w:val="00DC43D0"/>
    <w:rsid w:val="00DC496E"/>
    <w:rsid w:val="00DC5116"/>
    <w:rsid w:val="00DC7C77"/>
    <w:rsid w:val="00DC7FD5"/>
    <w:rsid w:val="00DD02FF"/>
    <w:rsid w:val="00DD24F9"/>
    <w:rsid w:val="00DD26EC"/>
    <w:rsid w:val="00DD2DFB"/>
    <w:rsid w:val="00DD3604"/>
    <w:rsid w:val="00DD39F4"/>
    <w:rsid w:val="00DD3F4D"/>
    <w:rsid w:val="00DD481D"/>
    <w:rsid w:val="00DD5580"/>
    <w:rsid w:val="00DD6F2E"/>
    <w:rsid w:val="00DD72E1"/>
    <w:rsid w:val="00DD7EA2"/>
    <w:rsid w:val="00DD7FA4"/>
    <w:rsid w:val="00DE00F2"/>
    <w:rsid w:val="00DE117F"/>
    <w:rsid w:val="00DE2D17"/>
    <w:rsid w:val="00DE31FD"/>
    <w:rsid w:val="00DE353C"/>
    <w:rsid w:val="00DE401C"/>
    <w:rsid w:val="00DE6E2F"/>
    <w:rsid w:val="00DE6F47"/>
    <w:rsid w:val="00DE7D13"/>
    <w:rsid w:val="00DF1EAE"/>
    <w:rsid w:val="00DF279F"/>
    <w:rsid w:val="00DF2A18"/>
    <w:rsid w:val="00DF3816"/>
    <w:rsid w:val="00DF3818"/>
    <w:rsid w:val="00DF3F94"/>
    <w:rsid w:val="00DF4369"/>
    <w:rsid w:val="00DF49AE"/>
    <w:rsid w:val="00DF5970"/>
    <w:rsid w:val="00DF5B14"/>
    <w:rsid w:val="00DF614E"/>
    <w:rsid w:val="00DF63FA"/>
    <w:rsid w:val="00DF66E2"/>
    <w:rsid w:val="00E001FD"/>
    <w:rsid w:val="00E00A1C"/>
    <w:rsid w:val="00E00D60"/>
    <w:rsid w:val="00E012CC"/>
    <w:rsid w:val="00E0147A"/>
    <w:rsid w:val="00E0220A"/>
    <w:rsid w:val="00E0220E"/>
    <w:rsid w:val="00E02845"/>
    <w:rsid w:val="00E02961"/>
    <w:rsid w:val="00E02A1E"/>
    <w:rsid w:val="00E02B71"/>
    <w:rsid w:val="00E02DEB"/>
    <w:rsid w:val="00E03999"/>
    <w:rsid w:val="00E0399E"/>
    <w:rsid w:val="00E042A1"/>
    <w:rsid w:val="00E056A4"/>
    <w:rsid w:val="00E05CF4"/>
    <w:rsid w:val="00E05E82"/>
    <w:rsid w:val="00E07425"/>
    <w:rsid w:val="00E074BE"/>
    <w:rsid w:val="00E1043E"/>
    <w:rsid w:val="00E104FA"/>
    <w:rsid w:val="00E1082A"/>
    <w:rsid w:val="00E10956"/>
    <w:rsid w:val="00E110B5"/>
    <w:rsid w:val="00E11166"/>
    <w:rsid w:val="00E1223C"/>
    <w:rsid w:val="00E122CE"/>
    <w:rsid w:val="00E12818"/>
    <w:rsid w:val="00E12D39"/>
    <w:rsid w:val="00E13182"/>
    <w:rsid w:val="00E14523"/>
    <w:rsid w:val="00E14972"/>
    <w:rsid w:val="00E14CB9"/>
    <w:rsid w:val="00E151F2"/>
    <w:rsid w:val="00E15383"/>
    <w:rsid w:val="00E15A4E"/>
    <w:rsid w:val="00E15C82"/>
    <w:rsid w:val="00E1738C"/>
    <w:rsid w:val="00E201C0"/>
    <w:rsid w:val="00E20951"/>
    <w:rsid w:val="00E20B2A"/>
    <w:rsid w:val="00E20BB0"/>
    <w:rsid w:val="00E21484"/>
    <w:rsid w:val="00E21ABD"/>
    <w:rsid w:val="00E22775"/>
    <w:rsid w:val="00E22D28"/>
    <w:rsid w:val="00E22F81"/>
    <w:rsid w:val="00E22F87"/>
    <w:rsid w:val="00E230E3"/>
    <w:rsid w:val="00E23C97"/>
    <w:rsid w:val="00E24727"/>
    <w:rsid w:val="00E265A7"/>
    <w:rsid w:val="00E26B61"/>
    <w:rsid w:val="00E27B80"/>
    <w:rsid w:val="00E27FCE"/>
    <w:rsid w:val="00E30E85"/>
    <w:rsid w:val="00E30EDF"/>
    <w:rsid w:val="00E31B43"/>
    <w:rsid w:val="00E31F2B"/>
    <w:rsid w:val="00E31FBA"/>
    <w:rsid w:val="00E32E11"/>
    <w:rsid w:val="00E33513"/>
    <w:rsid w:val="00E33A4F"/>
    <w:rsid w:val="00E33F3E"/>
    <w:rsid w:val="00E341E5"/>
    <w:rsid w:val="00E34315"/>
    <w:rsid w:val="00E35D4B"/>
    <w:rsid w:val="00E35FBC"/>
    <w:rsid w:val="00E36AAE"/>
    <w:rsid w:val="00E3707C"/>
    <w:rsid w:val="00E37198"/>
    <w:rsid w:val="00E3774C"/>
    <w:rsid w:val="00E37F7D"/>
    <w:rsid w:val="00E40620"/>
    <w:rsid w:val="00E41313"/>
    <w:rsid w:val="00E41773"/>
    <w:rsid w:val="00E41ACD"/>
    <w:rsid w:val="00E42C09"/>
    <w:rsid w:val="00E42FE6"/>
    <w:rsid w:val="00E44E78"/>
    <w:rsid w:val="00E460B6"/>
    <w:rsid w:val="00E464D9"/>
    <w:rsid w:val="00E46BD2"/>
    <w:rsid w:val="00E473D4"/>
    <w:rsid w:val="00E474CF"/>
    <w:rsid w:val="00E50BE8"/>
    <w:rsid w:val="00E513F6"/>
    <w:rsid w:val="00E51EC6"/>
    <w:rsid w:val="00E52F3B"/>
    <w:rsid w:val="00E52F80"/>
    <w:rsid w:val="00E536E1"/>
    <w:rsid w:val="00E53D94"/>
    <w:rsid w:val="00E53DEA"/>
    <w:rsid w:val="00E53EAF"/>
    <w:rsid w:val="00E5424B"/>
    <w:rsid w:val="00E544BA"/>
    <w:rsid w:val="00E55B64"/>
    <w:rsid w:val="00E60BE8"/>
    <w:rsid w:val="00E6117A"/>
    <w:rsid w:val="00E616DB"/>
    <w:rsid w:val="00E62442"/>
    <w:rsid w:val="00E627A4"/>
    <w:rsid w:val="00E630ED"/>
    <w:rsid w:val="00E63239"/>
    <w:rsid w:val="00E63CFB"/>
    <w:rsid w:val="00E6437C"/>
    <w:rsid w:val="00E64B66"/>
    <w:rsid w:val="00E65237"/>
    <w:rsid w:val="00E67862"/>
    <w:rsid w:val="00E70ACF"/>
    <w:rsid w:val="00E70D46"/>
    <w:rsid w:val="00E712A9"/>
    <w:rsid w:val="00E713BC"/>
    <w:rsid w:val="00E71F31"/>
    <w:rsid w:val="00E7239C"/>
    <w:rsid w:val="00E72444"/>
    <w:rsid w:val="00E73DEB"/>
    <w:rsid w:val="00E7410F"/>
    <w:rsid w:val="00E74EC5"/>
    <w:rsid w:val="00E75790"/>
    <w:rsid w:val="00E75ED1"/>
    <w:rsid w:val="00E76B86"/>
    <w:rsid w:val="00E77D79"/>
    <w:rsid w:val="00E809F3"/>
    <w:rsid w:val="00E80C21"/>
    <w:rsid w:val="00E80EFF"/>
    <w:rsid w:val="00E8131A"/>
    <w:rsid w:val="00E8167C"/>
    <w:rsid w:val="00E81CA2"/>
    <w:rsid w:val="00E820BD"/>
    <w:rsid w:val="00E8227B"/>
    <w:rsid w:val="00E826BC"/>
    <w:rsid w:val="00E8342F"/>
    <w:rsid w:val="00E84210"/>
    <w:rsid w:val="00E844CD"/>
    <w:rsid w:val="00E847A7"/>
    <w:rsid w:val="00E84FE5"/>
    <w:rsid w:val="00E86682"/>
    <w:rsid w:val="00E86A35"/>
    <w:rsid w:val="00E86A48"/>
    <w:rsid w:val="00E86E79"/>
    <w:rsid w:val="00E90075"/>
    <w:rsid w:val="00E906B4"/>
    <w:rsid w:val="00E9095B"/>
    <w:rsid w:val="00E9145E"/>
    <w:rsid w:val="00E9152D"/>
    <w:rsid w:val="00E918B3"/>
    <w:rsid w:val="00E91B24"/>
    <w:rsid w:val="00E91DEC"/>
    <w:rsid w:val="00E926B8"/>
    <w:rsid w:val="00E927BF"/>
    <w:rsid w:val="00E936DA"/>
    <w:rsid w:val="00E9399B"/>
    <w:rsid w:val="00E939A7"/>
    <w:rsid w:val="00E94008"/>
    <w:rsid w:val="00E94762"/>
    <w:rsid w:val="00E94B75"/>
    <w:rsid w:val="00E956BA"/>
    <w:rsid w:val="00E959E6"/>
    <w:rsid w:val="00E96B52"/>
    <w:rsid w:val="00E97D31"/>
    <w:rsid w:val="00EA0018"/>
    <w:rsid w:val="00EA08BE"/>
    <w:rsid w:val="00EA0A85"/>
    <w:rsid w:val="00EA14B0"/>
    <w:rsid w:val="00EA2244"/>
    <w:rsid w:val="00EA2417"/>
    <w:rsid w:val="00EA2EC5"/>
    <w:rsid w:val="00EA4DDC"/>
    <w:rsid w:val="00EA6FA7"/>
    <w:rsid w:val="00EB067F"/>
    <w:rsid w:val="00EB07BA"/>
    <w:rsid w:val="00EB17BE"/>
    <w:rsid w:val="00EB18B8"/>
    <w:rsid w:val="00EB1A1B"/>
    <w:rsid w:val="00EB1F02"/>
    <w:rsid w:val="00EB2E64"/>
    <w:rsid w:val="00EB3290"/>
    <w:rsid w:val="00EB3D4B"/>
    <w:rsid w:val="00EB5BC5"/>
    <w:rsid w:val="00EB6097"/>
    <w:rsid w:val="00EB6212"/>
    <w:rsid w:val="00EB6BB5"/>
    <w:rsid w:val="00EB6E30"/>
    <w:rsid w:val="00EB7618"/>
    <w:rsid w:val="00EB7B51"/>
    <w:rsid w:val="00EB7F93"/>
    <w:rsid w:val="00EC086C"/>
    <w:rsid w:val="00EC100B"/>
    <w:rsid w:val="00EC1720"/>
    <w:rsid w:val="00EC2DB7"/>
    <w:rsid w:val="00EC337D"/>
    <w:rsid w:val="00EC42D0"/>
    <w:rsid w:val="00EC4784"/>
    <w:rsid w:val="00EC599D"/>
    <w:rsid w:val="00EC638F"/>
    <w:rsid w:val="00EC6F34"/>
    <w:rsid w:val="00EC7927"/>
    <w:rsid w:val="00ED095E"/>
    <w:rsid w:val="00ED0CB9"/>
    <w:rsid w:val="00ED1319"/>
    <w:rsid w:val="00ED1A0B"/>
    <w:rsid w:val="00ED27DD"/>
    <w:rsid w:val="00ED4046"/>
    <w:rsid w:val="00ED5162"/>
    <w:rsid w:val="00ED53EF"/>
    <w:rsid w:val="00ED5669"/>
    <w:rsid w:val="00ED5DF2"/>
    <w:rsid w:val="00ED697C"/>
    <w:rsid w:val="00EE06CA"/>
    <w:rsid w:val="00EE1CF9"/>
    <w:rsid w:val="00EE2F83"/>
    <w:rsid w:val="00EE3319"/>
    <w:rsid w:val="00EE43AD"/>
    <w:rsid w:val="00EE4874"/>
    <w:rsid w:val="00EE48D6"/>
    <w:rsid w:val="00EE4A6E"/>
    <w:rsid w:val="00EE4BAB"/>
    <w:rsid w:val="00EE6D39"/>
    <w:rsid w:val="00EE7922"/>
    <w:rsid w:val="00EE79A6"/>
    <w:rsid w:val="00EF11DF"/>
    <w:rsid w:val="00EF130D"/>
    <w:rsid w:val="00EF30E0"/>
    <w:rsid w:val="00EF3943"/>
    <w:rsid w:val="00EF3D05"/>
    <w:rsid w:val="00EF42CF"/>
    <w:rsid w:val="00EF5403"/>
    <w:rsid w:val="00EF567D"/>
    <w:rsid w:val="00EF5F11"/>
    <w:rsid w:val="00EF6111"/>
    <w:rsid w:val="00EF6D0C"/>
    <w:rsid w:val="00EF79F2"/>
    <w:rsid w:val="00F005A0"/>
    <w:rsid w:val="00F017B1"/>
    <w:rsid w:val="00F01835"/>
    <w:rsid w:val="00F01DE9"/>
    <w:rsid w:val="00F0229D"/>
    <w:rsid w:val="00F02B1B"/>
    <w:rsid w:val="00F032BB"/>
    <w:rsid w:val="00F032C8"/>
    <w:rsid w:val="00F03567"/>
    <w:rsid w:val="00F03DD3"/>
    <w:rsid w:val="00F044C6"/>
    <w:rsid w:val="00F047A3"/>
    <w:rsid w:val="00F04BBE"/>
    <w:rsid w:val="00F05828"/>
    <w:rsid w:val="00F06616"/>
    <w:rsid w:val="00F07001"/>
    <w:rsid w:val="00F07263"/>
    <w:rsid w:val="00F07485"/>
    <w:rsid w:val="00F10BC6"/>
    <w:rsid w:val="00F10C5B"/>
    <w:rsid w:val="00F11352"/>
    <w:rsid w:val="00F11AD0"/>
    <w:rsid w:val="00F12181"/>
    <w:rsid w:val="00F12238"/>
    <w:rsid w:val="00F12313"/>
    <w:rsid w:val="00F13D34"/>
    <w:rsid w:val="00F14602"/>
    <w:rsid w:val="00F1498D"/>
    <w:rsid w:val="00F14DDF"/>
    <w:rsid w:val="00F152AD"/>
    <w:rsid w:val="00F15BA3"/>
    <w:rsid w:val="00F15BB3"/>
    <w:rsid w:val="00F165B7"/>
    <w:rsid w:val="00F20C9C"/>
    <w:rsid w:val="00F20F8D"/>
    <w:rsid w:val="00F21827"/>
    <w:rsid w:val="00F21A00"/>
    <w:rsid w:val="00F2285F"/>
    <w:rsid w:val="00F23155"/>
    <w:rsid w:val="00F23EE4"/>
    <w:rsid w:val="00F24236"/>
    <w:rsid w:val="00F24E0E"/>
    <w:rsid w:val="00F25707"/>
    <w:rsid w:val="00F26693"/>
    <w:rsid w:val="00F26A13"/>
    <w:rsid w:val="00F26ADF"/>
    <w:rsid w:val="00F27B5F"/>
    <w:rsid w:val="00F27D3B"/>
    <w:rsid w:val="00F300C1"/>
    <w:rsid w:val="00F306ED"/>
    <w:rsid w:val="00F31261"/>
    <w:rsid w:val="00F31697"/>
    <w:rsid w:val="00F31BB3"/>
    <w:rsid w:val="00F31C67"/>
    <w:rsid w:val="00F31E27"/>
    <w:rsid w:val="00F323C3"/>
    <w:rsid w:val="00F32A15"/>
    <w:rsid w:val="00F32A89"/>
    <w:rsid w:val="00F32EE6"/>
    <w:rsid w:val="00F32F3C"/>
    <w:rsid w:val="00F339EC"/>
    <w:rsid w:val="00F33A65"/>
    <w:rsid w:val="00F33E17"/>
    <w:rsid w:val="00F3443B"/>
    <w:rsid w:val="00F34FDD"/>
    <w:rsid w:val="00F35279"/>
    <w:rsid w:val="00F35923"/>
    <w:rsid w:val="00F35F1A"/>
    <w:rsid w:val="00F36130"/>
    <w:rsid w:val="00F3644F"/>
    <w:rsid w:val="00F36B71"/>
    <w:rsid w:val="00F373AE"/>
    <w:rsid w:val="00F4032F"/>
    <w:rsid w:val="00F40360"/>
    <w:rsid w:val="00F40444"/>
    <w:rsid w:val="00F40477"/>
    <w:rsid w:val="00F40A4C"/>
    <w:rsid w:val="00F40CE6"/>
    <w:rsid w:val="00F40F15"/>
    <w:rsid w:val="00F410E7"/>
    <w:rsid w:val="00F41B59"/>
    <w:rsid w:val="00F42099"/>
    <w:rsid w:val="00F423BD"/>
    <w:rsid w:val="00F431C5"/>
    <w:rsid w:val="00F432FF"/>
    <w:rsid w:val="00F456D2"/>
    <w:rsid w:val="00F45B08"/>
    <w:rsid w:val="00F46431"/>
    <w:rsid w:val="00F469AD"/>
    <w:rsid w:val="00F4715C"/>
    <w:rsid w:val="00F47C9F"/>
    <w:rsid w:val="00F50CE8"/>
    <w:rsid w:val="00F51256"/>
    <w:rsid w:val="00F51361"/>
    <w:rsid w:val="00F52330"/>
    <w:rsid w:val="00F52407"/>
    <w:rsid w:val="00F535B5"/>
    <w:rsid w:val="00F53C7C"/>
    <w:rsid w:val="00F541F0"/>
    <w:rsid w:val="00F54603"/>
    <w:rsid w:val="00F54772"/>
    <w:rsid w:val="00F54869"/>
    <w:rsid w:val="00F556B2"/>
    <w:rsid w:val="00F55FD4"/>
    <w:rsid w:val="00F565E8"/>
    <w:rsid w:val="00F56CB4"/>
    <w:rsid w:val="00F5754B"/>
    <w:rsid w:val="00F576DE"/>
    <w:rsid w:val="00F57747"/>
    <w:rsid w:val="00F57898"/>
    <w:rsid w:val="00F578BC"/>
    <w:rsid w:val="00F601EF"/>
    <w:rsid w:val="00F606E4"/>
    <w:rsid w:val="00F62584"/>
    <w:rsid w:val="00F633F1"/>
    <w:rsid w:val="00F63BF7"/>
    <w:rsid w:val="00F6453E"/>
    <w:rsid w:val="00F64FAD"/>
    <w:rsid w:val="00F65215"/>
    <w:rsid w:val="00F65617"/>
    <w:rsid w:val="00F65A88"/>
    <w:rsid w:val="00F66494"/>
    <w:rsid w:val="00F710BE"/>
    <w:rsid w:val="00F712C1"/>
    <w:rsid w:val="00F71D7B"/>
    <w:rsid w:val="00F72016"/>
    <w:rsid w:val="00F72D3F"/>
    <w:rsid w:val="00F72DAD"/>
    <w:rsid w:val="00F72FAE"/>
    <w:rsid w:val="00F736D2"/>
    <w:rsid w:val="00F73953"/>
    <w:rsid w:val="00F74F0A"/>
    <w:rsid w:val="00F7564C"/>
    <w:rsid w:val="00F76220"/>
    <w:rsid w:val="00F769BE"/>
    <w:rsid w:val="00F7735C"/>
    <w:rsid w:val="00F77BD5"/>
    <w:rsid w:val="00F8164A"/>
    <w:rsid w:val="00F8216D"/>
    <w:rsid w:val="00F82E6B"/>
    <w:rsid w:val="00F83662"/>
    <w:rsid w:val="00F838C0"/>
    <w:rsid w:val="00F85F83"/>
    <w:rsid w:val="00F86F3C"/>
    <w:rsid w:val="00F91246"/>
    <w:rsid w:val="00F912FD"/>
    <w:rsid w:val="00F91593"/>
    <w:rsid w:val="00F91D43"/>
    <w:rsid w:val="00F9254F"/>
    <w:rsid w:val="00F9367F"/>
    <w:rsid w:val="00F94DDB"/>
    <w:rsid w:val="00F95411"/>
    <w:rsid w:val="00F95642"/>
    <w:rsid w:val="00F95E55"/>
    <w:rsid w:val="00F96339"/>
    <w:rsid w:val="00F97859"/>
    <w:rsid w:val="00F97973"/>
    <w:rsid w:val="00F97B71"/>
    <w:rsid w:val="00FA06A3"/>
    <w:rsid w:val="00FA2CFC"/>
    <w:rsid w:val="00FA2DDA"/>
    <w:rsid w:val="00FA34CA"/>
    <w:rsid w:val="00FA3E3E"/>
    <w:rsid w:val="00FA4A55"/>
    <w:rsid w:val="00FA4D4F"/>
    <w:rsid w:val="00FA54E8"/>
    <w:rsid w:val="00FA5A36"/>
    <w:rsid w:val="00FA5FE8"/>
    <w:rsid w:val="00FA668B"/>
    <w:rsid w:val="00FA67CF"/>
    <w:rsid w:val="00FA6C3E"/>
    <w:rsid w:val="00FA6CFA"/>
    <w:rsid w:val="00FB0D68"/>
    <w:rsid w:val="00FB232C"/>
    <w:rsid w:val="00FB2D17"/>
    <w:rsid w:val="00FB2F69"/>
    <w:rsid w:val="00FB368B"/>
    <w:rsid w:val="00FB3A3A"/>
    <w:rsid w:val="00FB4217"/>
    <w:rsid w:val="00FB4379"/>
    <w:rsid w:val="00FB45FF"/>
    <w:rsid w:val="00FB5D97"/>
    <w:rsid w:val="00FB61EA"/>
    <w:rsid w:val="00FB6C7A"/>
    <w:rsid w:val="00FB732E"/>
    <w:rsid w:val="00FB79F7"/>
    <w:rsid w:val="00FC09E7"/>
    <w:rsid w:val="00FC1A5A"/>
    <w:rsid w:val="00FC1CA5"/>
    <w:rsid w:val="00FC1D8E"/>
    <w:rsid w:val="00FC2733"/>
    <w:rsid w:val="00FC2979"/>
    <w:rsid w:val="00FC45CB"/>
    <w:rsid w:val="00FC6D6C"/>
    <w:rsid w:val="00FD1C3C"/>
    <w:rsid w:val="00FD24F6"/>
    <w:rsid w:val="00FD2D6C"/>
    <w:rsid w:val="00FD2DB1"/>
    <w:rsid w:val="00FD3669"/>
    <w:rsid w:val="00FD38A8"/>
    <w:rsid w:val="00FD3AB2"/>
    <w:rsid w:val="00FD634B"/>
    <w:rsid w:val="00FD6854"/>
    <w:rsid w:val="00FD6AC8"/>
    <w:rsid w:val="00FD772D"/>
    <w:rsid w:val="00FE02F8"/>
    <w:rsid w:val="00FE0A6C"/>
    <w:rsid w:val="00FE1727"/>
    <w:rsid w:val="00FE2F58"/>
    <w:rsid w:val="00FE362F"/>
    <w:rsid w:val="00FE3638"/>
    <w:rsid w:val="00FE3A67"/>
    <w:rsid w:val="00FE3EA1"/>
    <w:rsid w:val="00FE4818"/>
    <w:rsid w:val="00FE4CA4"/>
    <w:rsid w:val="00FE5AE4"/>
    <w:rsid w:val="00FE5D80"/>
    <w:rsid w:val="00FE637F"/>
    <w:rsid w:val="00FE64EE"/>
    <w:rsid w:val="00FE668D"/>
    <w:rsid w:val="00FE73F7"/>
    <w:rsid w:val="00FE745E"/>
    <w:rsid w:val="00FE7865"/>
    <w:rsid w:val="00FF00DE"/>
    <w:rsid w:val="00FF0BB0"/>
    <w:rsid w:val="00FF0E34"/>
    <w:rsid w:val="00FF1342"/>
    <w:rsid w:val="00FF14FA"/>
    <w:rsid w:val="00FF1513"/>
    <w:rsid w:val="00FF1577"/>
    <w:rsid w:val="00FF2145"/>
    <w:rsid w:val="00FF2178"/>
    <w:rsid w:val="00FF2470"/>
    <w:rsid w:val="00FF3334"/>
    <w:rsid w:val="00FF3DF9"/>
    <w:rsid w:val="00FF59BE"/>
    <w:rsid w:val="00FF6ADB"/>
    <w:rsid w:val="00FF6C36"/>
    <w:rsid w:val="00FF70D6"/>
    <w:rsid w:val="00FF7B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DCB62B6-D616-4DFC-9817-1CA7F8F5D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uiPriority w:val="99"/>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uiPriority w:val="99"/>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semiHidden/>
    <w:rsid w:val="00547D9C"/>
    <w:pPr>
      <w:snapToGrid w:val="0"/>
      <w:jc w:val="left"/>
    </w:pPr>
    <w:rPr>
      <w:sz w:val="18"/>
      <w:szCs w:val="18"/>
    </w:rPr>
  </w:style>
  <w:style w:type="character" w:customStyle="1" w:styleId="Chara">
    <w:name w:val="脚注文本 Char"/>
    <w:link w:val="af4"/>
    <w:uiPriority w:val="99"/>
    <w:semiHidden/>
    <w:locked/>
    <w:rsid w:val="006D141C"/>
    <w:rPr>
      <w:rFonts w:cs="Times New Roman"/>
      <w:kern w:val="2"/>
      <w:sz w:val="18"/>
      <w:szCs w:val="18"/>
    </w:rPr>
  </w:style>
  <w:style w:type="character" w:styleId="af5">
    <w:name w:val="footnote reference"/>
    <w:uiPriority w:val="99"/>
    <w:semiHidden/>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uiPriority w:val="99"/>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rsid w:val="00D35D4A"/>
    <w:pPr>
      <w:tabs>
        <w:tab w:val="left" w:pos="1260"/>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rsid w:val="00BE2A17"/>
    <w:pPr>
      <w:tabs>
        <w:tab w:val="right" w:leader="dot" w:pos="9072"/>
      </w:tabs>
    </w:pPr>
  </w:style>
  <w:style w:type="paragraph" w:styleId="32">
    <w:name w:val="toc 3"/>
    <w:basedOn w:val="a"/>
    <w:next w:val="a"/>
    <w:autoRedefine/>
    <w:uiPriority w:val="39"/>
    <w:rsid w:val="00954A89"/>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uiPriority w:val="99"/>
    <w:rsid w:val="005D072B"/>
    <w:pPr>
      <w:widowControl w:val="0"/>
      <w:autoSpaceDE w:val="0"/>
      <w:autoSpaceDN w:val="0"/>
      <w:adjustRightInd w:val="0"/>
    </w:pPr>
    <w:rPr>
      <w:rFonts w:ascii="FangSong" w:hAnsi="FangSong" w:cs="FangSong"/>
      <w:color w:val="000000"/>
      <w:sz w:val="24"/>
      <w:szCs w:val="24"/>
    </w:rPr>
  </w:style>
  <w:style w:type="character" w:styleId="af8">
    <w:name w:val="Strong"/>
    <w:basedOn w:val="a1"/>
    <w:uiPriority w:val="22"/>
    <w:qFormat/>
    <w:locked/>
    <w:rsid w:val="006B6275"/>
    <w:rPr>
      <w:b/>
      <w:bCs/>
    </w:rPr>
  </w:style>
  <w:style w:type="paragraph" w:styleId="23">
    <w:name w:val="Body Text 2"/>
    <w:basedOn w:val="a"/>
    <w:link w:val="2Char1"/>
    <w:uiPriority w:val="99"/>
    <w:semiHidden/>
    <w:unhideWhenUsed/>
    <w:rsid w:val="00F40477"/>
    <w:pPr>
      <w:spacing w:after="120" w:line="480" w:lineRule="auto"/>
    </w:pPr>
  </w:style>
  <w:style w:type="character" w:customStyle="1" w:styleId="2Char1">
    <w:name w:val="正文文本 2 Char"/>
    <w:basedOn w:val="a1"/>
    <w:link w:val="23"/>
    <w:uiPriority w:val="99"/>
    <w:semiHidden/>
    <w:rsid w:val="00F40477"/>
    <w:rPr>
      <w:kern w:val="2"/>
      <w:sz w:val="21"/>
      <w:szCs w:val="24"/>
    </w:rPr>
  </w:style>
  <w:style w:type="paragraph" w:styleId="af9">
    <w:name w:val="List Paragraph"/>
    <w:basedOn w:val="a"/>
    <w:uiPriority w:val="34"/>
    <w:qFormat/>
    <w:rsid w:val="00F40477"/>
    <w:pPr>
      <w:widowControl/>
      <w:ind w:left="720"/>
      <w:contextualSpacing/>
      <w:jc w:val="left"/>
    </w:pPr>
    <w:rPr>
      <w:rFonts w:hAnsi="宋体"/>
      <w:kern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316343669">
      <w:bodyDiv w:val="1"/>
      <w:marLeft w:val="0"/>
      <w:marRight w:val="0"/>
      <w:marTop w:val="0"/>
      <w:marBottom w:val="0"/>
      <w:divBdr>
        <w:top w:val="none" w:sz="0" w:space="0" w:color="auto"/>
        <w:left w:val="none" w:sz="0" w:space="0" w:color="auto"/>
        <w:bottom w:val="none" w:sz="0" w:space="0" w:color="auto"/>
        <w:right w:val="none" w:sz="0" w:space="0" w:color="auto"/>
      </w:divBdr>
    </w:div>
    <w:div w:id="362171279">
      <w:bodyDiv w:val="1"/>
      <w:marLeft w:val="0"/>
      <w:marRight w:val="0"/>
      <w:marTop w:val="0"/>
      <w:marBottom w:val="0"/>
      <w:divBdr>
        <w:top w:val="none" w:sz="0" w:space="0" w:color="auto"/>
        <w:left w:val="none" w:sz="0" w:space="0" w:color="auto"/>
        <w:bottom w:val="none" w:sz="0" w:space="0" w:color="auto"/>
        <w:right w:val="none" w:sz="0" w:space="0" w:color="auto"/>
      </w:divBdr>
    </w:div>
    <w:div w:id="643511383">
      <w:bodyDiv w:val="1"/>
      <w:marLeft w:val="0"/>
      <w:marRight w:val="0"/>
      <w:marTop w:val="0"/>
      <w:marBottom w:val="0"/>
      <w:divBdr>
        <w:top w:val="none" w:sz="0" w:space="0" w:color="auto"/>
        <w:left w:val="none" w:sz="0" w:space="0" w:color="auto"/>
        <w:bottom w:val="none" w:sz="0" w:space="0" w:color="auto"/>
        <w:right w:val="none" w:sz="0" w:space="0" w:color="auto"/>
      </w:divBdr>
    </w:div>
    <w:div w:id="861240251">
      <w:bodyDiv w:val="1"/>
      <w:marLeft w:val="0"/>
      <w:marRight w:val="0"/>
      <w:marTop w:val="0"/>
      <w:marBottom w:val="0"/>
      <w:divBdr>
        <w:top w:val="none" w:sz="0" w:space="0" w:color="auto"/>
        <w:left w:val="none" w:sz="0" w:space="0" w:color="auto"/>
        <w:bottom w:val="none" w:sz="0" w:space="0" w:color="auto"/>
        <w:right w:val="none" w:sz="0" w:space="0" w:color="auto"/>
      </w:divBdr>
    </w:div>
    <w:div w:id="1551767477">
      <w:bodyDiv w:val="1"/>
      <w:marLeft w:val="0"/>
      <w:marRight w:val="0"/>
      <w:marTop w:val="0"/>
      <w:marBottom w:val="0"/>
      <w:divBdr>
        <w:top w:val="none" w:sz="0" w:space="0" w:color="auto"/>
        <w:left w:val="none" w:sz="0" w:space="0" w:color="auto"/>
        <w:bottom w:val="none" w:sz="0" w:space="0" w:color="auto"/>
        <w:right w:val="none" w:sz="0" w:space="0" w:color="auto"/>
      </w:divBdr>
      <w:divsChild>
        <w:div w:id="1983386177">
          <w:marLeft w:val="0"/>
          <w:marRight w:val="0"/>
          <w:marTop w:val="0"/>
          <w:marBottom w:val="0"/>
          <w:divBdr>
            <w:top w:val="none" w:sz="0" w:space="0" w:color="auto"/>
            <w:left w:val="none" w:sz="0" w:space="0" w:color="auto"/>
            <w:bottom w:val="none" w:sz="0" w:space="0" w:color="auto"/>
            <w:right w:val="none" w:sz="0" w:space="0" w:color="auto"/>
          </w:divBdr>
        </w:div>
      </w:divsChild>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658</TotalTime>
  <Pages>32</Pages>
  <Words>3566</Words>
  <Characters>20329</Characters>
  <Application>Microsoft Office Word</Application>
  <DocSecurity>0</DocSecurity>
  <Lines>169</Lines>
  <Paragraphs>47</Paragraphs>
  <ScaleCrop>false</ScaleCrop>
  <Company/>
  <LinksUpToDate>false</LinksUpToDate>
  <CharactersWithSpaces>23848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孙文婷</cp:lastModifiedBy>
  <cp:revision>566</cp:revision>
  <cp:lastPrinted>2007-07-19T00:46:00Z</cp:lastPrinted>
  <dcterms:created xsi:type="dcterms:W3CDTF">2013-10-15T01:57:00Z</dcterms:created>
  <dcterms:modified xsi:type="dcterms:W3CDTF">2017-03-27T12:27:00Z</dcterms:modified>
</cp:coreProperties>
</file>