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r w:rsidRPr="004D2C6A">
        <w:rPr>
          <w:rFonts w:hint="eastAsia"/>
          <w:b/>
          <w:sz w:val="36"/>
          <w:szCs w:val="36"/>
        </w:rPr>
        <w:t>交银施罗德理财</w:t>
      </w:r>
      <w:r w:rsidRPr="004D2C6A">
        <w:rPr>
          <w:rFonts w:hint="eastAsia"/>
          <w:b/>
          <w:sz w:val="36"/>
          <w:szCs w:val="36"/>
        </w:rPr>
        <w:t>60</w:t>
      </w:r>
      <w:r w:rsidRPr="004D2C6A">
        <w:rPr>
          <w:rFonts w:hint="eastAsia"/>
          <w:b/>
          <w:sz w:val="36"/>
          <w:szCs w:val="36"/>
        </w:rPr>
        <w:t>天债券型证券投资基金</w:t>
      </w:r>
    </w:p>
    <w:p w:rsidR="00223DFB" w:rsidRPr="004D2C6A" w:rsidRDefault="00223DFB" w:rsidP="004D2C6A">
      <w:pPr>
        <w:spacing w:before="29" w:line="288" w:lineRule="auto"/>
        <w:jc w:val="center"/>
        <w:rPr>
          <w:b/>
          <w:sz w:val="36"/>
          <w:szCs w:val="36"/>
        </w:rPr>
      </w:pPr>
      <w:r w:rsidRPr="004D2C6A">
        <w:rPr>
          <w:rFonts w:hint="eastAsia"/>
          <w:b/>
          <w:sz w:val="36"/>
          <w:szCs w:val="36"/>
        </w:rPr>
        <w:t>2016</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2016</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基金托管人：中国建设银行股份有限公司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二〇一七年三月二十九日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headerReference w:type="default" r:id="rId8"/>
          <w:pgSz w:w="11926" w:h="15840"/>
          <w:pgMar w:top="1418" w:right="1418" w:bottom="851" w:left="1418" w:header="851" w:footer="992" w:gutter="0"/>
          <w:cols w:space="720"/>
        </w:sectPr>
      </w:pPr>
    </w:p>
    <w:p w:rsidR="00223DFB" w:rsidRDefault="00223DFB" w:rsidP="003F50F3">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中国建设银行股份有限公司</w:t>
      </w:r>
      <w:r w:rsidR="002813BD">
        <w:rPr>
          <w:rFonts w:hint="eastAsia"/>
          <w:color w:val="000000"/>
          <w:sz w:val="24"/>
        </w:rPr>
        <w:t>(</w:t>
      </w:r>
      <w:r w:rsidR="002813BD">
        <w:rPr>
          <w:rFonts w:hint="eastAsia"/>
          <w:color w:val="000000"/>
          <w:sz w:val="24"/>
        </w:rPr>
        <w:t>以下简称“中国建设银行”</w:t>
      </w:r>
      <w:r w:rsidR="002813BD">
        <w:rPr>
          <w:rFonts w:hint="eastAsia"/>
          <w:color w:val="000000"/>
          <w:sz w:val="24"/>
        </w:rPr>
        <w:t>)</w:t>
      </w:r>
      <w:r w:rsidRPr="00F834A5">
        <w:rPr>
          <w:rFonts w:hint="eastAsia"/>
          <w:color w:val="000000"/>
          <w:sz w:val="24"/>
        </w:rPr>
        <w:t>根据本基金合同规定，于</w:t>
      </w:r>
      <w:r w:rsidRPr="00F834A5">
        <w:rPr>
          <w:color w:val="000000"/>
          <w:sz w:val="24"/>
        </w:rPr>
        <w:t>2017</w:t>
      </w:r>
      <w:r w:rsidRPr="00F834A5">
        <w:rPr>
          <w:color w:val="000000"/>
          <w:sz w:val="24"/>
        </w:rPr>
        <w:t>年</w:t>
      </w:r>
      <w:r w:rsidRPr="00F834A5">
        <w:rPr>
          <w:color w:val="000000"/>
          <w:sz w:val="24"/>
        </w:rPr>
        <w:t>3</w:t>
      </w:r>
      <w:r w:rsidRPr="00F834A5">
        <w:rPr>
          <w:color w:val="000000"/>
          <w:sz w:val="24"/>
        </w:rPr>
        <w:t>月</w:t>
      </w:r>
      <w:r w:rsidRPr="00F834A5">
        <w:rPr>
          <w:color w:val="000000"/>
          <w:sz w:val="24"/>
        </w:rPr>
        <w:t>28</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r w:rsidR="00B42C09" w:rsidRPr="00F834A5">
        <w:rPr>
          <w:rFonts w:hint="eastAsia"/>
          <w:color w:val="000000"/>
          <w:sz w:val="24"/>
        </w:rPr>
        <w:t>作</w:t>
      </w:r>
      <w:r w:rsidRPr="00F834A5">
        <w:rPr>
          <w:rFonts w:hint="eastAsia"/>
          <w:color w:val="000000"/>
          <w:sz w:val="24"/>
        </w:rPr>
        <w:t>出投资决策前应仔细阅读本基金的招募说明书及其更新。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2016</w:t>
      </w:r>
      <w:r w:rsidRPr="00F834A5">
        <w:rPr>
          <w:color w:val="000000"/>
          <w:sz w:val="24"/>
        </w:rPr>
        <w:t>年</w:t>
      </w:r>
      <w:r w:rsidRPr="00F834A5">
        <w:rPr>
          <w:color w:val="000000"/>
          <w:sz w:val="24"/>
        </w:rPr>
        <w:t>1</w:t>
      </w:r>
      <w:r w:rsidRPr="00F834A5">
        <w:rPr>
          <w:color w:val="000000"/>
          <w:sz w:val="24"/>
        </w:rPr>
        <w:t>月</w:t>
      </w:r>
      <w:r w:rsidRPr="00F834A5">
        <w:rPr>
          <w:color w:val="000000"/>
          <w:sz w:val="24"/>
        </w:rPr>
        <w:t>1</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223DFB" w:rsidRDefault="00223DFB" w:rsidP="003F50F3">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lastRenderedPageBreak/>
        <w:t>§</w:t>
      </w:r>
      <w:r w:rsidRPr="00EE436E">
        <w:rPr>
          <w:rFonts w:hint="eastAsia"/>
          <w:b/>
          <w:bCs/>
          <w:szCs w:val="24"/>
          <w:lang w:val="en-US"/>
        </w:rPr>
        <w:t xml:space="preserve">2  </w:t>
      </w:r>
      <w:r w:rsidRPr="00EE436E">
        <w:rPr>
          <w:rFonts w:hint="eastAsia"/>
          <w:b/>
          <w:bCs/>
          <w:szCs w:val="24"/>
          <w:lang w:val="en-US"/>
        </w:rPr>
        <w:t>基金简介</w:t>
      </w:r>
    </w:p>
    <w:p w:rsidR="00C067D3" w:rsidRPr="00C067D3" w:rsidRDefault="00C067D3" w:rsidP="00C067D3"/>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交银理财</w:t>
            </w:r>
            <w:r w:rsidRPr="004C79A3">
              <w:rPr>
                <w:rFonts w:hint="eastAsia"/>
                <w:sz w:val="24"/>
              </w:rPr>
              <w:t>60</w:t>
            </w:r>
            <w:r w:rsidRPr="004C79A3">
              <w:rPr>
                <w:rFonts w:hint="eastAsia"/>
                <w:sz w:val="24"/>
              </w:rPr>
              <w:t>天债券</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519721</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2013</w:t>
            </w:r>
            <w:r w:rsidRPr="004C79A3">
              <w:rPr>
                <w:sz w:val="24"/>
              </w:rPr>
              <w:t>年</w:t>
            </w:r>
            <w:r w:rsidRPr="004C79A3">
              <w:rPr>
                <w:sz w:val="24"/>
              </w:rPr>
              <w:t>3</w:t>
            </w:r>
            <w:r w:rsidRPr="004C79A3">
              <w:rPr>
                <w:sz w:val="24"/>
              </w:rPr>
              <w:t>月</w:t>
            </w:r>
            <w:r w:rsidRPr="004C79A3">
              <w:rPr>
                <w:sz w:val="24"/>
              </w:rPr>
              <w:t>13</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中国建设银行股份有限公司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2,008,857,763.36</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交银理财</w:t>
            </w:r>
            <w:r w:rsidRPr="004C79A3">
              <w:rPr>
                <w:rFonts w:hint="eastAsia"/>
                <w:sz w:val="24"/>
              </w:rPr>
              <w:t>60</w:t>
            </w:r>
            <w:r w:rsidRPr="004C79A3">
              <w:rPr>
                <w:rFonts w:hint="eastAsia"/>
                <w:sz w:val="24"/>
              </w:rPr>
              <w:t>天债券</w:t>
            </w:r>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交银理财</w:t>
            </w:r>
            <w:r>
              <w:rPr>
                <w:rFonts w:hint="eastAsia"/>
                <w:sz w:val="24"/>
              </w:rPr>
              <w:t>60</w:t>
            </w:r>
            <w:r>
              <w:rPr>
                <w:rFonts w:hint="eastAsia"/>
                <w:sz w:val="24"/>
              </w:rPr>
              <w:t>天债券</w:t>
            </w:r>
            <w:r>
              <w:rPr>
                <w:rFonts w:hint="eastAsia"/>
                <w:sz w:val="24"/>
              </w:rPr>
              <w:t>B</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519721</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519722</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8,491,238.98</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2,000,366,524.38</w:t>
            </w:r>
            <w:r w:rsidR="00BB5B85"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本基金在追求本金安全、保持资产流动性的基础上，努力追求绝对收益，为基金份额持有人谋求资产的稳定增值。</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人民币七天通知存款税后利率</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本基金属于短期理财债券型证券投资基金，长期风险收益水平低于股票型基金、混合型基金及普通债券型基金，高于货币市场型证券投资基金。</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中国建设银行股份有限公司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lastRenderedPageBreak/>
              <w:t>信息披露负责人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孙艳</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田青</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010-67595096</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tianqing1.zh@ccb.com</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010-67595096</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010-66275853</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www.fund001.com</w:t>
            </w:r>
            <w:r w:rsidRPr="007032E6">
              <w:rPr>
                <w:rFonts w:hint="eastAsia"/>
                <w:sz w:val="24"/>
              </w:rPr>
              <w:t>，</w:t>
            </w:r>
            <w:r w:rsidRPr="007032E6">
              <w:rPr>
                <w:rFonts w:hint="eastAsia"/>
                <w:sz w:val="24"/>
              </w:rPr>
              <w:t>www.bocomschroder.com</w:t>
            </w:r>
          </w:p>
        </w:tc>
      </w:tr>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3F50F3">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223DFB" w:rsidRPr="001C740D" w:rsidRDefault="00223DFB" w:rsidP="001C740D">
      <w:pPr>
        <w:autoSpaceDE w:val="0"/>
        <w:autoSpaceDN w:val="0"/>
        <w:adjustRightInd w:val="0"/>
        <w:spacing w:before="29" w:line="288" w:lineRule="auto"/>
        <w:ind w:left="15"/>
        <w:jc w:val="right"/>
        <w:rPr>
          <w:sz w:val="24"/>
        </w:rPr>
      </w:pPr>
      <w:r w:rsidRPr="001C740D">
        <w:rPr>
          <w:rFonts w:hint="eastAsia"/>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1274"/>
        <w:gridCol w:w="1280"/>
        <w:gridCol w:w="1278"/>
        <w:gridCol w:w="1278"/>
        <w:gridCol w:w="1374"/>
      </w:tblGrid>
      <w:tr w:rsidR="002C233F" w:rsidRPr="00AC0191" w:rsidTr="00D167B3">
        <w:trPr>
          <w:trHeight w:val="487"/>
        </w:trPr>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3.1.1</w:t>
            </w:r>
            <w:r w:rsidRPr="00AC0191">
              <w:rPr>
                <w:rFonts w:hint="eastAsia"/>
                <w:b/>
                <w:szCs w:val="21"/>
              </w:rPr>
              <w:t>期间数据和指标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b/>
                <w:szCs w:val="21"/>
              </w:rPr>
              <w:t>2016</w:t>
            </w:r>
            <w:r w:rsidRPr="00AC0191">
              <w:rPr>
                <w:b/>
                <w:szCs w:val="21"/>
              </w:rPr>
              <w:t>年</w:t>
            </w:r>
          </w:p>
        </w:tc>
        <w:tc>
          <w:tcPr>
            <w:tcW w:w="137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2015</w:t>
            </w:r>
            <w:r w:rsidRPr="00AC0191">
              <w:rPr>
                <w:rFonts w:hint="eastAsia"/>
                <w:b/>
                <w:szCs w:val="21"/>
              </w:rPr>
              <w:t>年</w:t>
            </w:r>
          </w:p>
        </w:tc>
        <w:tc>
          <w:tcPr>
            <w:tcW w:w="1428"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2014</w:t>
            </w:r>
            <w:r w:rsidRPr="00AC0191">
              <w:rPr>
                <w:rFonts w:hint="eastAsia"/>
                <w:b/>
                <w:szCs w:val="21"/>
              </w:rPr>
              <w:t>年</w:t>
            </w:r>
          </w:p>
        </w:tc>
      </w:tr>
      <w:tr w:rsidR="00F93FCE" w:rsidRPr="00AC0191" w:rsidTr="00D167B3">
        <w:trPr>
          <w:trHeight w:val="487"/>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交银理财</w:t>
            </w:r>
            <w:r w:rsidRPr="00AC0191">
              <w:rPr>
                <w:rFonts w:hint="eastAsia"/>
                <w:szCs w:val="21"/>
              </w:rPr>
              <w:t>60</w:t>
            </w:r>
            <w:r w:rsidRPr="00AC0191">
              <w:rPr>
                <w:rFonts w:hint="eastAsia"/>
                <w:szCs w:val="21"/>
              </w:rPr>
              <w:t>天债券</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交银理财</w:t>
            </w:r>
            <w:r w:rsidRPr="00AC0191">
              <w:rPr>
                <w:rFonts w:hint="eastAsia"/>
                <w:szCs w:val="21"/>
              </w:rPr>
              <w:t>60</w:t>
            </w:r>
            <w:r w:rsidRPr="00AC0191">
              <w:rPr>
                <w:rFonts w:hint="eastAsia"/>
                <w:szCs w:val="21"/>
              </w:rPr>
              <w:t>天债券</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交银理财</w:t>
            </w:r>
            <w:r w:rsidRPr="00AC0191">
              <w:rPr>
                <w:rFonts w:hint="eastAsia"/>
                <w:szCs w:val="21"/>
              </w:rPr>
              <w:t>60</w:t>
            </w:r>
            <w:r w:rsidRPr="00AC0191">
              <w:rPr>
                <w:rFonts w:hint="eastAsia"/>
                <w:szCs w:val="21"/>
              </w:rPr>
              <w:t>天债券</w:t>
            </w:r>
            <w:r w:rsidRPr="00AC0191">
              <w:rPr>
                <w:rFonts w:hint="eastAsia"/>
                <w:szCs w:val="21"/>
              </w:rPr>
              <w:t>A</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162,423.86</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12,302,367.51</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412,238.86</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9,995,241.58</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707,366.26</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1,502,900.71</w:t>
            </w:r>
          </w:p>
        </w:tc>
      </w:tr>
      <w:tr w:rsidR="00F93FCE" w:rsidRPr="00AC0191" w:rsidTr="00D167B3">
        <w:trPr>
          <w:trHeight w:val="754"/>
        </w:trPr>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162,423.86</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12,302,367.51</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412,238.86</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9,995,241.58</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707,366.26</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1,502,900.71</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1.78%</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1.54%</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3.40%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3.70%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3.92%</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2.21%</w:t>
            </w:r>
          </w:p>
        </w:tc>
      </w:tr>
      <w:tr w:rsidR="00580C1C" w:rsidRPr="00AC0191" w:rsidTr="00D167B3">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rPr>
                <w:b/>
                <w:szCs w:val="21"/>
              </w:rPr>
            </w:pPr>
            <w:r w:rsidRPr="00AC0191">
              <w:rPr>
                <w:rFonts w:hint="eastAsia"/>
                <w:b/>
                <w:szCs w:val="21"/>
              </w:rPr>
              <w:t>3.1.2</w:t>
            </w:r>
            <w:r w:rsidRPr="00AC0191">
              <w:rPr>
                <w:rFonts w:hint="eastAsia"/>
                <w:b/>
                <w:szCs w:val="21"/>
              </w:rPr>
              <w:t>期末数据和指标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jc w:val="center"/>
              <w:rPr>
                <w:b/>
                <w:szCs w:val="21"/>
              </w:rPr>
            </w:pPr>
            <w:r w:rsidRPr="00AC0191">
              <w:rPr>
                <w:b/>
                <w:szCs w:val="21"/>
              </w:rPr>
              <w:t>2016</w:t>
            </w:r>
            <w:r w:rsidRPr="00AC0191">
              <w:rPr>
                <w:rFonts w:hint="eastAsia"/>
                <w:b/>
                <w:szCs w:val="21"/>
              </w:rPr>
              <w:t>年末</w:t>
            </w:r>
          </w:p>
        </w:tc>
        <w:tc>
          <w:tcPr>
            <w:tcW w:w="1375"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2015</w:t>
            </w:r>
            <w:r w:rsidRPr="00AC0191">
              <w:rPr>
                <w:rFonts w:hint="eastAsia"/>
                <w:b/>
                <w:szCs w:val="21"/>
              </w:rPr>
              <w:t>年末</w:t>
            </w:r>
          </w:p>
        </w:tc>
        <w:tc>
          <w:tcPr>
            <w:tcW w:w="1430"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2014</w:t>
            </w:r>
            <w:r w:rsidRPr="00AC0191">
              <w:rPr>
                <w:rFonts w:hint="eastAsia"/>
                <w:b/>
                <w:szCs w:val="21"/>
              </w:rPr>
              <w:t>年末</w:t>
            </w:r>
          </w:p>
        </w:tc>
      </w:tr>
      <w:tr w:rsidR="00580C1C" w:rsidRPr="00AC0191" w:rsidTr="00D167B3">
        <w:trPr>
          <w:trHeight w:val="373"/>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542B23">
            <w:pPr>
              <w:spacing w:before="29" w:line="288" w:lineRule="auto"/>
              <w:rPr>
                <w:szCs w:val="21"/>
              </w:rPr>
            </w:pPr>
            <w:r w:rsidRPr="00AC0191">
              <w:rPr>
                <w:rFonts w:hint="eastAsia"/>
                <w:szCs w:val="21"/>
              </w:rPr>
              <w:t>交银理财</w:t>
            </w:r>
            <w:r w:rsidRPr="00AC0191">
              <w:rPr>
                <w:rFonts w:hint="eastAsia"/>
                <w:szCs w:val="21"/>
              </w:rPr>
              <w:t>60</w:t>
            </w:r>
            <w:r w:rsidRPr="00AC0191">
              <w:rPr>
                <w:rFonts w:hint="eastAsia"/>
                <w:szCs w:val="21"/>
              </w:rPr>
              <w:t>天债券</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542B23">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交银理财</w:t>
            </w:r>
            <w:r w:rsidRPr="00AC0191">
              <w:rPr>
                <w:rFonts w:hint="eastAsia"/>
                <w:szCs w:val="21"/>
              </w:rPr>
              <w:t>60</w:t>
            </w:r>
            <w:r w:rsidRPr="00AC0191">
              <w:rPr>
                <w:rFonts w:hint="eastAsia"/>
                <w:szCs w:val="21"/>
              </w:rPr>
              <w:t>天债券</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交银理财</w:t>
            </w:r>
            <w:r w:rsidRPr="00AC0191">
              <w:rPr>
                <w:rFonts w:hint="eastAsia"/>
                <w:szCs w:val="21"/>
              </w:rPr>
              <w:t>60</w:t>
            </w:r>
            <w:r w:rsidRPr="00AC0191">
              <w:rPr>
                <w:rFonts w:hint="eastAsia"/>
                <w:szCs w:val="21"/>
              </w:rPr>
              <w:t>天债券</w:t>
            </w:r>
            <w:r w:rsidRPr="00AC0191">
              <w:rPr>
                <w:rFonts w:hint="eastAsia"/>
                <w:szCs w:val="21"/>
              </w:rPr>
              <w:t>A</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8,491,238.98</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2,000,366,524.38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11,104,428.92</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30,352,509.92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14,928,628.72</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221,373,273.42</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r>
    </w:tbl>
    <w:p w:rsidR="00C66612" w:rsidRDefault="00B06F03">
      <w:pPr>
        <w:spacing w:before="29" w:line="288" w:lineRule="auto"/>
        <w:jc w:val="left"/>
        <w:rPr>
          <w:kern w:val="0"/>
          <w:sz w:val="24"/>
        </w:rPr>
      </w:pPr>
      <w:r>
        <w:rPr>
          <w:rFonts w:hint="eastAsia"/>
          <w:kern w:val="0"/>
          <w:sz w:val="24"/>
        </w:rPr>
        <w:lastRenderedPageBreak/>
        <w:t>注：</w:t>
      </w:r>
      <w:r>
        <w:rPr>
          <w:rFonts w:hint="eastAsia"/>
          <w:kern w:val="0"/>
          <w:sz w:val="24"/>
        </w:rPr>
        <w:t>1</w:t>
      </w:r>
      <w:r>
        <w:rPr>
          <w:rFonts w:hint="eastAsia"/>
          <w:kern w:val="0"/>
          <w:sz w:val="24"/>
        </w:rPr>
        <w:t>、本基金申购赎回费为零。</w:t>
      </w:r>
    </w:p>
    <w:p w:rsidR="00C66612" w:rsidRDefault="00B06F03">
      <w:pPr>
        <w:spacing w:before="29" w:line="288" w:lineRule="auto"/>
        <w:jc w:val="left"/>
        <w:rPr>
          <w:kern w:val="0"/>
          <w:sz w:val="24"/>
        </w:rPr>
      </w:pPr>
      <w:r>
        <w:rPr>
          <w:rFonts w:hint="eastAsia"/>
          <w:kern w:val="0"/>
          <w:sz w:val="24"/>
        </w:rPr>
        <w:t xml:space="preserve">    2</w:t>
      </w:r>
      <w:r>
        <w:rPr>
          <w:rFonts w:hint="eastAsia"/>
          <w:kern w:val="0"/>
          <w:sz w:val="24"/>
        </w:rPr>
        <w:t>、本基金收益分配按运作期结转份额。</w:t>
      </w:r>
    </w:p>
    <w:p w:rsidR="00C66612" w:rsidRDefault="00B06F03">
      <w:pPr>
        <w:spacing w:before="29" w:line="288" w:lineRule="auto"/>
        <w:jc w:val="left"/>
        <w:rPr>
          <w:kern w:val="0"/>
          <w:sz w:val="24"/>
        </w:rPr>
      </w:pPr>
      <w:r>
        <w:rPr>
          <w:rFonts w:hint="eastAsia"/>
          <w:kern w:val="0"/>
          <w:sz w:val="24"/>
        </w:rPr>
        <w:t xml:space="preserve">    3</w:t>
      </w:r>
      <w:r>
        <w:rPr>
          <w:rFonts w:hint="eastAsia"/>
          <w:kern w:val="0"/>
          <w:sz w:val="24"/>
        </w:rPr>
        <w:t>、自合同生效日起，本基金实行销售服务费分类收费方式，分设两类基金份额：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B</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B</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0.30%</w:t>
      </w:r>
      <w:r>
        <w:rPr>
          <w:rFonts w:hint="eastAsia"/>
          <w:kern w:val="0"/>
          <w:sz w:val="24"/>
        </w:rPr>
        <w:t>的年费率计提销售服务费，</w:t>
      </w:r>
      <w:r>
        <w:rPr>
          <w:rFonts w:hint="eastAsia"/>
          <w:kern w:val="0"/>
          <w:sz w:val="24"/>
        </w:rPr>
        <w:t>B</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7D254C" w:rsidRDefault="00FF3081" w:rsidP="007D254C">
      <w:pPr>
        <w:spacing w:before="29" w:line="288" w:lineRule="auto"/>
        <w:jc w:val="left"/>
        <w:rPr>
          <w:kern w:val="0"/>
          <w:sz w:val="24"/>
        </w:rPr>
      </w:pPr>
      <w:r w:rsidRPr="007D254C">
        <w:rPr>
          <w:rFonts w:hint="eastAsia"/>
          <w:kern w:val="0"/>
          <w:sz w:val="24"/>
        </w:rPr>
        <w:t xml:space="preserve">    4</w:t>
      </w:r>
      <w:r w:rsidRPr="007D254C">
        <w:rPr>
          <w:rFonts w:hint="eastAsia"/>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r w:rsidRPr="007D254C">
        <w:rPr>
          <w:rFonts w:hint="eastAsia"/>
          <w:kern w:val="0"/>
          <w:sz w:val="24"/>
        </w:rPr>
        <w:t xml:space="preserve"> </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．交银理财</w:t>
      </w:r>
      <w:r w:rsidRPr="00703593">
        <w:rPr>
          <w:rFonts w:ascii="Times New Roman" w:hAnsi="Times New Roman" w:hint="eastAsia"/>
          <w:b/>
          <w:color w:val="auto"/>
        </w:rPr>
        <w:t>60</w:t>
      </w:r>
      <w:r w:rsidRPr="00703593">
        <w:rPr>
          <w:rFonts w:ascii="Times New Roman" w:hAnsi="Times New Roman" w:hint="eastAsia"/>
          <w:b/>
          <w:color w:val="auto"/>
        </w:rPr>
        <w:t>天债券</w:t>
      </w:r>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C66612">
        <w:tc>
          <w:tcPr>
            <w:tcW w:w="1286" w:type="dxa"/>
            <w:vAlign w:val="center"/>
          </w:tcPr>
          <w:p w:rsidR="00C66612" w:rsidRDefault="00B06F03">
            <w:pPr>
              <w:jc w:val="left"/>
            </w:pPr>
            <w:r>
              <w:rPr>
                <w:sz w:val="24"/>
              </w:rPr>
              <w:t>过去三个月</w:t>
            </w:r>
          </w:p>
        </w:tc>
        <w:tc>
          <w:tcPr>
            <w:tcW w:w="1286" w:type="dxa"/>
            <w:vAlign w:val="center"/>
          </w:tcPr>
          <w:p w:rsidR="00C66612" w:rsidRDefault="00B06F03">
            <w:pPr>
              <w:jc w:val="center"/>
            </w:pPr>
            <w:r>
              <w:rPr>
                <w:sz w:val="24"/>
              </w:rPr>
              <w:t>0.6300%</w:t>
            </w:r>
          </w:p>
        </w:tc>
        <w:tc>
          <w:tcPr>
            <w:tcW w:w="1286" w:type="dxa"/>
            <w:vAlign w:val="center"/>
          </w:tcPr>
          <w:p w:rsidR="00C66612" w:rsidRDefault="00B06F03">
            <w:pPr>
              <w:jc w:val="center"/>
            </w:pPr>
            <w:r>
              <w:rPr>
                <w:sz w:val="24"/>
              </w:rPr>
              <w:t>0.0015%</w:t>
            </w:r>
          </w:p>
        </w:tc>
        <w:tc>
          <w:tcPr>
            <w:tcW w:w="1285" w:type="dxa"/>
            <w:vAlign w:val="center"/>
          </w:tcPr>
          <w:p w:rsidR="00C66612" w:rsidRDefault="00B06F03">
            <w:pPr>
              <w:jc w:val="center"/>
            </w:pPr>
            <w:r>
              <w:rPr>
                <w:sz w:val="24"/>
              </w:rPr>
              <w:t>0.3403%</w:t>
            </w:r>
          </w:p>
        </w:tc>
        <w:tc>
          <w:tcPr>
            <w:tcW w:w="1285" w:type="dxa"/>
            <w:vAlign w:val="center"/>
          </w:tcPr>
          <w:p w:rsidR="00C66612" w:rsidRDefault="00B06F03">
            <w:pPr>
              <w:jc w:val="center"/>
            </w:pPr>
            <w:r>
              <w:rPr>
                <w:sz w:val="24"/>
              </w:rPr>
              <w:t>0.0000%</w:t>
            </w:r>
          </w:p>
        </w:tc>
        <w:tc>
          <w:tcPr>
            <w:tcW w:w="1285" w:type="dxa"/>
            <w:vAlign w:val="center"/>
          </w:tcPr>
          <w:p w:rsidR="00C66612" w:rsidRDefault="00B06F03">
            <w:pPr>
              <w:jc w:val="center"/>
            </w:pPr>
            <w:r>
              <w:rPr>
                <w:sz w:val="24"/>
              </w:rPr>
              <w:t>0.2897%</w:t>
            </w:r>
          </w:p>
        </w:tc>
        <w:tc>
          <w:tcPr>
            <w:tcW w:w="1285" w:type="dxa"/>
            <w:vAlign w:val="center"/>
          </w:tcPr>
          <w:p w:rsidR="00C66612" w:rsidRDefault="00B06F03">
            <w:pPr>
              <w:jc w:val="center"/>
            </w:pPr>
            <w:r>
              <w:rPr>
                <w:sz w:val="24"/>
              </w:rPr>
              <w:t>0.0015%</w:t>
            </w:r>
          </w:p>
        </w:tc>
      </w:tr>
      <w:tr w:rsidR="00C66612">
        <w:tc>
          <w:tcPr>
            <w:tcW w:w="1286" w:type="dxa"/>
            <w:vAlign w:val="center"/>
          </w:tcPr>
          <w:p w:rsidR="00C66612" w:rsidRDefault="00B06F03">
            <w:pPr>
              <w:jc w:val="left"/>
            </w:pPr>
            <w:r>
              <w:rPr>
                <w:sz w:val="24"/>
              </w:rPr>
              <w:t>过去六个月</w:t>
            </w:r>
          </w:p>
        </w:tc>
        <w:tc>
          <w:tcPr>
            <w:tcW w:w="1286" w:type="dxa"/>
            <w:vAlign w:val="center"/>
          </w:tcPr>
          <w:p w:rsidR="00C66612" w:rsidRDefault="00B06F03">
            <w:pPr>
              <w:jc w:val="center"/>
            </w:pPr>
            <w:r>
              <w:rPr>
                <w:sz w:val="24"/>
              </w:rPr>
              <w:t>1.0709%</w:t>
            </w:r>
          </w:p>
        </w:tc>
        <w:tc>
          <w:tcPr>
            <w:tcW w:w="1286" w:type="dxa"/>
            <w:vAlign w:val="center"/>
          </w:tcPr>
          <w:p w:rsidR="00C66612" w:rsidRDefault="00B06F03">
            <w:pPr>
              <w:jc w:val="center"/>
            </w:pPr>
            <w:r>
              <w:rPr>
                <w:sz w:val="24"/>
              </w:rPr>
              <w:t>0.0017%</w:t>
            </w:r>
          </w:p>
        </w:tc>
        <w:tc>
          <w:tcPr>
            <w:tcW w:w="1285" w:type="dxa"/>
            <w:vAlign w:val="center"/>
          </w:tcPr>
          <w:p w:rsidR="00C66612" w:rsidRDefault="00B06F03">
            <w:pPr>
              <w:jc w:val="center"/>
            </w:pPr>
            <w:r>
              <w:rPr>
                <w:sz w:val="24"/>
              </w:rPr>
              <w:t>0.6805%</w:t>
            </w:r>
          </w:p>
        </w:tc>
        <w:tc>
          <w:tcPr>
            <w:tcW w:w="1285" w:type="dxa"/>
            <w:vAlign w:val="center"/>
          </w:tcPr>
          <w:p w:rsidR="00C66612" w:rsidRDefault="00B06F03">
            <w:pPr>
              <w:jc w:val="center"/>
            </w:pPr>
            <w:r>
              <w:rPr>
                <w:sz w:val="24"/>
              </w:rPr>
              <w:t>0.0000%</w:t>
            </w:r>
          </w:p>
        </w:tc>
        <w:tc>
          <w:tcPr>
            <w:tcW w:w="1285" w:type="dxa"/>
            <w:vAlign w:val="center"/>
          </w:tcPr>
          <w:p w:rsidR="00C66612" w:rsidRDefault="00B06F03">
            <w:pPr>
              <w:jc w:val="center"/>
            </w:pPr>
            <w:r>
              <w:rPr>
                <w:sz w:val="24"/>
              </w:rPr>
              <w:t>0.3904%</w:t>
            </w:r>
          </w:p>
        </w:tc>
        <w:tc>
          <w:tcPr>
            <w:tcW w:w="1285" w:type="dxa"/>
            <w:vAlign w:val="center"/>
          </w:tcPr>
          <w:p w:rsidR="00C66612" w:rsidRDefault="00B06F03">
            <w:pPr>
              <w:jc w:val="center"/>
            </w:pPr>
            <w:r>
              <w:rPr>
                <w:sz w:val="24"/>
              </w:rPr>
              <w:t>0.0017%</w:t>
            </w:r>
          </w:p>
        </w:tc>
      </w:tr>
      <w:tr w:rsidR="00C66612">
        <w:tc>
          <w:tcPr>
            <w:tcW w:w="1286" w:type="dxa"/>
            <w:vAlign w:val="center"/>
          </w:tcPr>
          <w:p w:rsidR="00C66612" w:rsidRDefault="00B06F03">
            <w:pPr>
              <w:jc w:val="left"/>
            </w:pPr>
            <w:r>
              <w:rPr>
                <w:sz w:val="24"/>
              </w:rPr>
              <w:t>过去一年</w:t>
            </w:r>
          </w:p>
        </w:tc>
        <w:tc>
          <w:tcPr>
            <w:tcW w:w="1286" w:type="dxa"/>
            <w:vAlign w:val="center"/>
          </w:tcPr>
          <w:p w:rsidR="00C66612" w:rsidRDefault="00B06F03">
            <w:pPr>
              <w:jc w:val="center"/>
            </w:pPr>
            <w:r>
              <w:rPr>
                <w:sz w:val="24"/>
              </w:rPr>
              <w:t>1.7834%</w:t>
            </w:r>
          </w:p>
        </w:tc>
        <w:tc>
          <w:tcPr>
            <w:tcW w:w="1286" w:type="dxa"/>
            <w:vAlign w:val="center"/>
          </w:tcPr>
          <w:p w:rsidR="00C66612" w:rsidRDefault="00B06F03">
            <w:pPr>
              <w:jc w:val="center"/>
            </w:pPr>
            <w:r>
              <w:rPr>
                <w:sz w:val="24"/>
              </w:rPr>
              <w:t>0.0021%</w:t>
            </w:r>
          </w:p>
        </w:tc>
        <w:tc>
          <w:tcPr>
            <w:tcW w:w="1285" w:type="dxa"/>
            <w:vAlign w:val="center"/>
          </w:tcPr>
          <w:p w:rsidR="00C66612" w:rsidRDefault="00B06F03">
            <w:pPr>
              <w:jc w:val="center"/>
            </w:pPr>
            <w:r>
              <w:rPr>
                <w:sz w:val="24"/>
              </w:rPr>
              <w:t>1.3537%</w:t>
            </w:r>
          </w:p>
        </w:tc>
        <w:tc>
          <w:tcPr>
            <w:tcW w:w="1285" w:type="dxa"/>
            <w:vAlign w:val="center"/>
          </w:tcPr>
          <w:p w:rsidR="00C66612" w:rsidRDefault="00B06F03">
            <w:pPr>
              <w:jc w:val="center"/>
            </w:pPr>
            <w:r>
              <w:rPr>
                <w:sz w:val="24"/>
              </w:rPr>
              <w:t>0.0000%</w:t>
            </w:r>
          </w:p>
        </w:tc>
        <w:tc>
          <w:tcPr>
            <w:tcW w:w="1285" w:type="dxa"/>
            <w:vAlign w:val="center"/>
          </w:tcPr>
          <w:p w:rsidR="00C66612" w:rsidRDefault="00B06F03">
            <w:pPr>
              <w:jc w:val="center"/>
            </w:pPr>
            <w:r>
              <w:rPr>
                <w:sz w:val="24"/>
              </w:rPr>
              <w:t>0.4297%</w:t>
            </w:r>
          </w:p>
        </w:tc>
        <w:tc>
          <w:tcPr>
            <w:tcW w:w="1285" w:type="dxa"/>
            <w:vAlign w:val="center"/>
          </w:tcPr>
          <w:p w:rsidR="00C66612" w:rsidRDefault="00B06F03">
            <w:pPr>
              <w:jc w:val="center"/>
            </w:pPr>
            <w:r>
              <w:rPr>
                <w:sz w:val="24"/>
              </w:rPr>
              <w:t>0.0021%</w:t>
            </w:r>
          </w:p>
        </w:tc>
      </w:tr>
      <w:tr w:rsidR="00C66612">
        <w:tc>
          <w:tcPr>
            <w:tcW w:w="1286" w:type="dxa"/>
            <w:vAlign w:val="center"/>
          </w:tcPr>
          <w:p w:rsidR="00C66612" w:rsidRDefault="00B06F03">
            <w:pPr>
              <w:jc w:val="left"/>
            </w:pPr>
            <w:r>
              <w:rPr>
                <w:sz w:val="24"/>
              </w:rPr>
              <w:t>过去三年</w:t>
            </w:r>
          </w:p>
        </w:tc>
        <w:tc>
          <w:tcPr>
            <w:tcW w:w="1286" w:type="dxa"/>
            <w:vAlign w:val="center"/>
          </w:tcPr>
          <w:p w:rsidR="00C66612" w:rsidRDefault="00B06F03">
            <w:pPr>
              <w:jc w:val="center"/>
            </w:pPr>
            <w:r>
              <w:rPr>
                <w:sz w:val="24"/>
              </w:rPr>
              <w:t>9.3719%</w:t>
            </w:r>
          </w:p>
        </w:tc>
        <w:tc>
          <w:tcPr>
            <w:tcW w:w="1286" w:type="dxa"/>
            <w:vAlign w:val="center"/>
          </w:tcPr>
          <w:p w:rsidR="00C66612" w:rsidRDefault="00B06F03">
            <w:pPr>
              <w:jc w:val="center"/>
            </w:pPr>
            <w:r>
              <w:rPr>
                <w:sz w:val="24"/>
              </w:rPr>
              <w:t>0.0096%</w:t>
            </w:r>
          </w:p>
        </w:tc>
        <w:tc>
          <w:tcPr>
            <w:tcW w:w="1285" w:type="dxa"/>
            <w:vAlign w:val="center"/>
          </w:tcPr>
          <w:p w:rsidR="00C66612" w:rsidRDefault="00B06F03">
            <w:pPr>
              <w:jc w:val="center"/>
            </w:pPr>
            <w:r>
              <w:rPr>
                <w:sz w:val="24"/>
              </w:rPr>
              <w:t>4.0537%</w:t>
            </w:r>
          </w:p>
        </w:tc>
        <w:tc>
          <w:tcPr>
            <w:tcW w:w="1285" w:type="dxa"/>
            <w:vAlign w:val="center"/>
          </w:tcPr>
          <w:p w:rsidR="00C66612" w:rsidRDefault="00B06F03">
            <w:pPr>
              <w:jc w:val="center"/>
            </w:pPr>
            <w:r>
              <w:rPr>
                <w:sz w:val="24"/>
              </w:rPr>
              <w:t>0.0000%</w:t>
            </w:r>
          </w:p>
        </w:tc>
        <w:tc>
          <w:tcPr>
            <w:tcW w:w="1285" w:type="dxa"/>
            <w:vAlign w:val="center"/>
          </w:tcPr>
          <w:p w:rsidR="00C66612" w:rsidRDefault="00B06F03">
            <w:pPr>
              <w:jc w:val="center"/>
            </w:pPr>
            <w:r>
              <w:rPr>
                <w:sz w:val="24"/>
              </w:rPr>
              <w:t>5.3182%</w:t>
            </w:r>
          </w:p>
        </w:tc>
        <w:tc>
          <w:tcPr>
            <w:tcW w:w="1285" w:type="dxa"/>
            <w:vAlign w:val="center"/>
          </w:tcPr>
          <w:p w:rsidR="00C66612" w:rsidRDefault="00B06F03">
            <w:pPr>
              <w:jc w:val="center"/>
            </w:pPr>
            <w:r>
              <w:rPr>
                <w:sz w:val="24"/>
              </w:rPr>
              <w:t>0.0096%</w:t>
            </w:r>
          </w:p>
        </w:tc>
      </w:tr>
      <w:tr w:rsidR="00C66612">
        <w:tc>
          <w:tcPr>
            <w:tcW w:w="1286" w:type="dxa"/>
            <w:vAlign w:val="center"/>
          </w:tcPr>
          <w:p w:rsidR="00C66612" w:rsidRDefault="00B06F03">
            <w:pPr>
              <w:jc w:val="left"/>
            </w:pPr>
            <w:r>
              <w:rPr>
                <w:sz w:val="24"/>
              </w:rPr>
              <w:t>自基金合同生效起至今</w:t>
            </w:r>
          </w:p>
        </w:tc>
        <w:tc>
          <w:tcPr>
            <w:tcW w:w="1286" w:type="dxa"/>
            <w:vAlign w:val="center"/>
          </w:tcPr>
          <w:p w:rsidR="00C66612" w:rsidRDefault="00B06F03">
            <w:pPr>
              <w:jc w:val="center"/>
            </w:pPr>
            <w:r>
              <w:rPr>
                <w:sz w:val="24"/>
              </w:rPr>
              <w:t>12.5811%</w:t>
            </w:r>
          </w:p>
        </w:tc>
        <w:tc>
          <w:tcPr>
            <w:tcW w:w="1286" w:type="dxa"/>
            <w:vAlign w:val="center"/>
          </w:tcPr>
          <w:p w:rsidR="00C66612" w:rsidRDefault="00B06F03">
            <w:pPr>
              <w:jc w:val="center"/>
            </w:pPr>
            <w:r>
              <w:rPr>
                <w:sz w:val="24"/>
              </w:rPr>
              <w:t>0.0091%</w:t>
            </w:r>
          </w:p>
        </w:tc>
        <w:tc>
          <w:tcPr>
            <w:tcW w:w="1285" w:type="dxa"/>
            <w:vAlign w:val="center"/>
          </w:tcPr>
          <w:p w:rsidR="00C66612" w:rsidRDefault="00B06F03">
            <w:pPr>
              <w:jc w:val="center"/>
            </w:pPr>
            <w:r>
              <w:rPr>
                <w:sz w:val="24"/>
              </w:rPr>
              <w:t>5.1411%</w:t>
            </w:r>
          </w:p>
        </w:tc>
        <w:tc>
          <w:tcPr>
            <w:tcW w:w="1285" w:type="dxa"/>
            <w:vAlign w:val="center"/>
          </w:tcPr>
          <w:p w:rsidR="00C66612" w:rsidRDefault="00B06F03">
            <w:pPr>
              <w:jc w:val="center"/>
            </w:pPr>
            <w:r>
              <w:rPr>
                <w:sz w:val="24"/>
              </w:rPr>
              <w:t>0.0000%</w:t>
            </w:r>
          </w:p>
        </w:tc>
        <w:tc>
          <w:tcPr>
            <w:tcW w:w="1285" w:type="dxa"/>
            <w:vAlign w:val="center"/>
          </w:tcPr>
          <w:p w:rsidR="00C66612" w:rsidRDefault="00B06F03">
            <w:pPr>
              <w:jc w:val="center"/>
            </w:pPr>
            <w:r>
              <w:rPr>
                <w:sz w:val="24"/>
              </w:rPr>
              <w:t>7.4400%</w:t>
            </w:r>
          </w:p>
        </w:tc>
        <w:tc>
          <w:tcPr>
            <w:tcW w:w="1285" w:type="dxa"/>
            <w:vAlign w:val="center"/>
          </w:tcPr>
          <w:p w:rsidR="00C66612" w:rsidRDefault="00B06F03">
            <w:pPr>
              <w:jc w:val="center"/>
            </w:pPr>
            <w:r>
              <w:rPr>
                <w:sz w:val="24"/>
              </w:rPr>
              <w:t>0.0091%</w:t>
            </w:r>
          </w:p>
        </w:tc>
      </w:tr>
    </w:tbl>
    <w:p w:rsidR="00C66612" w:rsidRDefault="00B06F03">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、本表净值收益率数据所取的基金运作周期为基金合同生效日为起始日的运作周期。</w:t>
      </w:r>
    </w:p>
    <w:p w:rsidR="00C66612" w:rsidRDefault="00B06F03">
      <w:pPr>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Default="00063497" w:rsidP="007D254C">
      <w:pPr>
        <w:spacing w:before="29" w:line="288" w:lineRule="auto"/>
        <w:jc w:val="left"/>
        <w:rPr>
          <w:kern w:val="0"/>
          <w:sz w:val="24"/>
        </w:rPr>
      </w:pPr>
      <w:r w:rsidRPr="007D254C">
        <w:rPr>
          <w:rFonts w:hint="eastAsia"/>
          <w:kern w:val="0"/>
          <w:sz w:val="24"/>
        </w:rPr>
        <w:t xml:space="preserve">    3</w:t>
      </w:r>
      <w:r w:rsidRPr="007D254C">
        <w:rPr>
          <w:rFonts w:hint="eastAsia"/>
          <w:kern w:val="0"/>
          <w:sz w:val="24"/>
        </w:rPr>
        <w:t>、本基金的业绩比较基准为人民币七天通知存款税后利率。</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w:t>
      </w:r>
      <w:r w:rsidR="004E65B4">
        <w:rPr>
          <w:rFonts w:ascii="Times New Roman" w:hAnsi="Times New Roman" w:hint="eastAsia"/>
          <w:b/>
          <w:color w:val="auto"/>
        </w:rPr>
        <w:t>交银理财</w:t>
      </w:r>
      <w:r w:rsidR="004E65B4">
        <w:rPr>
          <w:rFonts w:ascii="Times New Roman" w:hAnsi="Times New Roman" w:hint="eastAsia"/>
          <w:b/>
          <w:color w:val="auto"/>
        </w:rPr>
        <w:t>60</w:t>
      </w:r>
      <w:r w:rsidR="004E65B4">
        <w:rPr>
          <w:rFonts w:ascii="Times New Roman" w:hAnsi="Times New Roman" w:hint="eastAsia"/>
          <w:b/>
          <w:color w:val="auto"/>
        </w:rPr>
        <w:t>天债券</w:t>
      </w:r>
      <w:r w:rsidR="004E65B4">
        <w:rPr>
          <w:rFonts w:ascii="Times New Roman" w:hAnsi="Times New Roman" w:hint="eastAsia"/>
          <w:b/>
          <w:color w:val="auto"/>
        </w:rPr>
        <w:t>B</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C66612">
        <w:tc>
          <w:tcPr>
            <w:tcW w:w="1286" w:type="dxa"/>
            <w:vAlign w:val="center"/>
          </w:tcPr>
          <w:p w:rsidR="00C66612" w:rsidRDefault="00B06F03">
            <w:pPr>
              <w:jc w:val="left"/>
            </w:pPr>
            <w:r>
              <w:rPr>
                <w:sz w:val="24"/>
              </w:rPr>
              <w:t>过去三个</w:t>
            </w:r>
            <w:r>
              <w:rPr>
                <w:sz w:val="24"/>
              </w:rPr>
              <w:lastRenderedPageBreak/>
              <w:t>月</w:t>
            </w:r>
          </w:p>
        </w:tc>
        <w:tc>
          <w:tcPr>
            <w:tcW w:w="1286" w:type="dxa"/>
            <w:vAlign w:val="center"/>
          </w:tcPr>
          <w:p w:rsidR="00C66612" w:rsidRDefault="00B06F03">
            <w:pPr>
              <w:jc w:val="center"/>
            </w:pPr>
            <w:r>
              <w:rPr>
                <w:sz w:val="24"/>
              </w:rPr>
              <w:lastRenderedPageBreak/>
              <w:t>0.7031%</w:t>
            </w:r>
          </w:p>
        </w:tc>
        <w:tc>
          <w:tcPr>
            <w:tcW w:w="1286" w:type="dxa"/>
            <w:vAlign w:val="center"/>
          </w:tcPr>
          <w:p w:rsidR="00C66612" w:rsidRDefault="00B06F03">
            <w:pPr>
              <w:jc w:val="center"/>
            </w:pPr>
            <w:r>
              <w:rPr>
                <w:sz w:val="24"/>
              </w:rPr>
              <w:t>0.0015%</w:t>
            </w:r>
          </w:p>
        </w:tc>
        <w:tc>
          <w:tcPr>
            <w:tcW w:w="1285" w:type="dxa"/>
            <w:vAlign w:val="center"/>
          </w:tcPr>
          <w:p w:rsidR="00C66612" w:rsidRDefault="00B06F03">
            <w:pPr>
              <w:jc w:val="center"/>
            </w:pPr>
            <w:r>
              <w:rPr>
                <w:sz w:val="24"/>
              </w:rPr>
              <w:t>0.3403%</w:t>
            </w:r>
          </w:p>
        </w:tc>
        <w:tc>
          <w:tcPr>
            <w:tcW w:w="1285" w:type="dxa"/>
            <w:vAlign w:val="center"/>
          </w:tcPr>
          <w:p w:rsidR="00C66612" w:rsidRDefault="00B06F03">
            <w:pPr>
              <w:jc w:val="center"/>
            </w:pPr>
            <w:r>
              <w:rPr>
                <w:sz w:val="24"/>
              </w:rPr>
              <w:t>0.0000%</w:t>
            </w:r>
          </w:p>
        </w:tc>
        <w:tc>
          <w:tcPr>
            <w:tcW w:w="1285" w:type="dxa"/>
            <w:vAlign w:val="center"/>
          </w:tcPr>
          <w:p w:rsidR="00C66612" w:rsidRDefault="00B06F03">
            <w:pPr>
              <w:jc w:val="center"/>
            </w:pPr>
            <w:r>
              <w:rPr>
                <w:sz w:val="24"/>
              </w:rPr>
              <w:t>0.3628%</w:t>
            </w:r>
          </w:p>
        </w:tc>
        <w:tc>
          <w:tcPr>
            <w:tcW w:w="1285" w:type="dxa"/>
            <w:vAlign w:val="center"/>
          </w:tcPr>
          <w:p w:rsidR="00C66612" w:rsidRDefault="00B06F03">
            <w:pPr>
              <w:jc w:val="center"/>
            </w:pPr>
            <w:r>
              <w:rPr>
                <w:sz w:val="24"/>
              </w:rPr>
              <w:t>0.0015%</w:t>
            </w:r>
          </w:p>
        </w:tc>
      </w:tr>
      <w:tr w:rsidR="00C66612">
        <w:tc>
          <w:tcPr>
            <w:tcW w:w="1286" w:type="dxa"/>
            <w:vAlign w:val="center"/>
          </w:tcPr>
          <w:p w:rsidR="00C66612" w:rsidRDefault="00B06F03">
            <w:pPr>
              <w:jc w:val="left"/>
            </w:pPr>
            <w:r>
              <w:rPr>
                <w:sz w:val="24"/>
              </w:rPr>
              <w:lastRenderedPageBreak/>
              <w:t>过去六个月</w:t>
            </w:r>
          </w:p>
        </w:tc>
        <w:tc>
          <w:tcPr>
            <w:tcW w:w="1286" w:type="dxa"/>
            <w:vAlign w:val="center"/>
          </w:tcPr>
          <w:p w:rsidR="00C66612" w:rsidRDefault="00B06F03">
            <w:pPr>
              <w:jc w:val="center"/>
            </w:pPr>
            <w:r>
              <w:rPr>
                <w:sz w:val="24"/>
              </w:rPr>
              <w:t>1.0456%</w:t>
            </w:r>
          </w:p>
        </w:tc>
        <w:tc>
          <w:tcPr>
            <w:tcW w:w="1286" w:type="dxa"/>
            <w:vAlign w:val="center"/>
          </w:tcPr>
          <w:p w:rsidR="00C66612" w:rsidRDefault="00B06F03">
            <w:pPr>
              <w:jc w:val="center"/>
            </w:pPr>
            <w:r>
              <w:rPr>
                <w:sz w:val="24"/>
              </w:rPr>
              <w:t>0.0032%</w:t>
            </w:r>
          </w:p>
        </w:tc>
        <w:tc>
          <w:tcPr>
            <w:tcW w:w="1285" w:type="dxa"/>
            <w:vAlign w:val="center"/>
          </w:tcPr>
          <w:p w:rsidR="00C66612" w:rsidRDefault="00B06F03">
            <w:pPr>
              <w:jc w:val="center"/>
            </w:pPr>
            <w:r>
              <w:rPr>
                <w:sz w:val="24"/>
              </w:rPr>
              <w:t>0.6805%</w:t>
            </w:r>
          </w:p>
        </w:tc>
        <w:tc>
          <w:tcPr>
            <w:tcW w:w="1285" w:type="dxa"/>
            <w:vAlign w:val="center"/>
          </w:tcPr>
          <w:p w:rsidR="00C66612" w:rsidRDefault="00B06F03">
            <w:pPr>
              <w:jc w:val="center"/>
            </w:pPr>
            <w:r>
              <w:rPr>
                <w:sz w:val="24"/>
              </w:rPr>
              <w:t>0.0000%</w:t>
            </w:r>
          </w:p>
        </w:tc>
        <w:tc>
          <w:tcPr>
            <w:tcW w:w="1285" w:type="dxa"/>
            <w:vAlign w:val="center"/>
          </w:tcPr>
          <w:p w:rsidR="00C66612" w:rsidRDefault="00B06F03">
            <w:pPr>
              <w:jc w:val="center"/>
            </w:pPr>
            <w:r>
              <w:rPr>
                <w:sz w:val="24"/>
              </w:rPr>
              <w:t>0.3651%</w:t>
            </w:r>
          </w:p>
        </w:tc>
        <w:tc>
          <w:tcPr>
            <w:tcW w:w="1285" w:type="dxa"/>
            <w:vAlign w:val="center"/>
          </w:tcPr>
          <w:p w:rsidR="00C66612" w:rsidRDefault="00B06F03">
            <w:pPr>
              <w:jc w:val="center"/>
            </w:pPr>
            <w:r>
              <w:rPr>
                <w:sz w:val="24"/>
              </w:rPr>
              <w:t>0.0032%</w:t>
            </w:r>
          </w:p>
        </w:tc>
      </w:tr>
      <w:tr w:rsidR="00C66612">
        <w:tc>
          <w:tcPr>
            <w:tcW w:w="1286" w:type="dxa"/>
            <w:vAlign w:val="center"/>
          </w:tcPr>
          <w:p w:rsidR="00C66612" w:rsidRDefault="00B06F03">
            <w:pPr>
              <w:jc w:val="left"/>
            </w:pPr>
            <w:r>
              <w:rPr>
                <w:sz w:val="24"/>
              </w:rPr>
              <w:t>过去一年</w:t>
            </w:r>
          </w:p>
        </w:tc>
        <w:tc>
          <w:tcPr>
            <w:tcW w:w="1286" w:type="dxa"/>
            <w:vAlign w:val="center"/>
          </w:tcPr>
          <w:p w:rsidR="00C66612" w:rsidRDefault="00B06F03">
            <w:pPr>
              <w:jc w:val="center"/>
            </w:pPr>
            <w:r>
              <w:rPr>
                <w:sz w:val="24"/>
              </w:rPr>
              <w:t>1.5426%</w:t>
            </w:r>
          </w:p>
        </w:tc>
        <w:tc>
          <w:tcPr>
            <w:tcW w:w="1286" w:type="dxa"/>
            <w:vAlign w:val="center"/>
          </w:tcPr>
          <w:p w:rsidR="00C66612" w:rsidRDefault="00B06F03">
            <w:pPr>
              <w:jc w:val="center"/>
            </w:pPr>
            <w:r>
              <w:rPr>
                <w:sz w:val="24"/>
              </w:rPr>
              <w:t>0.0035%</w:t>
            </w:r>
          </w:p>
        </w:tc>
        <w:tc>
          <w:tcPr>
            <w:tcW w:w="1285" w:type="dxa"/>
            <w:vAlign w:val="center"/>
          </w:tcPr>
          <w:p w:rsidR="00C66612" w:rsidRDefault="00B06F03">
            <w:pPr>
              <w:jc w:val="center"/>
            </w:pPr>
            <w:r>
              <w:rPr>
                <w:sz w:val="24"/>
              </w:rPr>
              <w:t>1.3537%</w:t>
            </w:r>
          </w:p>
        </w:tc>
        <w:tc>
          <w:tcPr>
            <w:tcW w:w="1285" w:type="dxa"/>
            <w:vAlign w:val="center"/>
          </w:tcPr>
          <w:p w:rsidR="00C66612" w:rsidRDefault="00B06F03">
            <w:pPr>
              <w:jc w:val="center"/>
            </w:pPr>
            <w:r>
              <w:rPr>
                <w:sz w:val="24"/>
              </w:rPr>
              <w:t>0.0000%</w:t>
            </w:r>
          </w:p>
        </w:tc>
        <w:tc>
          <w:tcPr>
            <w:tcW w:w="1285" w:type="dxa"/>
            <w:vAlign w:val="center"/>
          </w:tcPr>
          <w:p w:rsidR="00C66612" w:rsidRDefault="00B06F03">
            <w:pPr>
              <w:jc w:val="center"/>
            </w:pPr>
            <w:r>
              <w:rPr>
                <w:sz w:val="24"/>
              </w:rPr>
              <w:t>0.1889%</w:t>
            </w:r>
          </w:p>
        </w:tc>
        <w:tc>
          <w:tcPr>
            <w:tcW w:w="1285" w:type="dxa"/>
            <w:vAlign w:val="center"/>
          </w:tcPr>
          <w:p w:rsidR="00C66612" w:rsidRDefault="00B06F03">
            <w:pPr>
              <w:jc w:val="center"/>
            </w:pPr>
            <w:r>
              <w:rPr>
                <w:sz w:val="24"/>
              </w:rPr>
              <w:t>0.0035%</w:t>
            </w:r>
          </w:p>
        </w:tc>
      </w:tr>
      <w:tr w:rsidR="00C66612">
        <w:tc>
          <w:tcPr>
            <w:tcW w:w="1286" w:type="dxa"/>
            <w:vAlign w:val="center"/>
          </w:tcPr>
          <w:p w:rsidR="00C66612" w:rsidRDefault="00B06F03">
            <w:pPr>
              <w:jc w:val="left"/>
            </w:pPr>
            <w:r>
              <w:rPr>
                <w:sz w:val="24"/>
              </w:rPr>
              <w:t>过去三年</w:t>
            </w:r>
          </w:p>
        </w:tc>
        <w:tc>
          <w:tcPr>
            <w:tcW w:w="1286" w:type="dxa"/>
            <w:vAlign w:val="center"/>
          </w:tcPr>
          <w:p w:rsidR="00C66612" w:rsidRDefault="00B06F03">
            <w:pPr>
              <w:jc w:val="center"/>
            </w:pPr>
            <w:r>
              <w:rPr>
                <w:sz w:val="24"/>
              </w:rPr>
              <w:t>7.6209%</w:t>
            </w:r>
          </w:p>
        </w:tc>
        <w:tc>
          <w:tcPr>
            <w:tcW w:w="1286" w:type="dxa"/>
            <w:vAlign w:val="center"/>
          </w:tcPr>
          <w:p w:rsidR="00C66612" w:rsidRDefault="00B06F03">
            <w:pPr>
              <w:jc w:val="center"/>
            </w:pPr>
            <w:r>
              <w:rPr>
                <w:sz w:val="24"/>
              </w:rPr>
              <w:t>0.0097%</w:t>
            </w:r>
          </w:p>
        </w:tc>
        <w:tc>
          <w:tcPr>
            <w:tcW w:w="1285" w:type="dxa"/>
            <w:vAlign w:val="center"/>
          </w:tcPr>
          <w:p w:rsidR="00C66612" w:rsidRDefault="00B06F03">
            <w:pPr>
              <w:jc w:val="center"/>
            </w:pPr>
            <w:r>
              <w:rPr>
                <w:sz w:val="24"/>
              </w:rPr>
              <w:t>4.0537%</w:t>
            </w:r>
          </w:p>
        </w:tc>
        <w:tc>
          <w:tcPr>
            <w:tcW w:w="1285" w:type="dxa"/>
            <w:vAlign w:val="center"/>
          </w:tcPr>
          <w:p w:rsidR="00C66612" w:rsidRDefault="00B06F03">
            <w:pPr>
              <w:jc w:val="center"/>
            </w:pPr>
            <w:r>
              <w:rPr>
                <w:sz w:val="24"/>
              </w:rPr>
              <w:t>0.0000%</w:t>
            </w:r>
          </w:p>
        </w:tc>
        <w:tc>
          <w:tcPr>
            <w:tcW w:w="1285" w:type="dxa"/>
            <w:vAlign w:val="center"/>
          </w:tcPr>
          <w:p w:rsidR="00C66612" w:rsidRDefault="00B06F03">
            <w:pPr>
              <w:jc w:val="center"/>
            </w:pPr>
            <w:r>
              <w:rPr>
                <w:sz w:val="24"/>
              </w:rPr>
              <w:t>3.5672%</w:t>
            </w:r>
          </w:p>
        </w:tc>
        <w:tc>
          <w:tcPr>
            <w:tcW w:w="1285" w:type="dxa"/>
            <w:vAlign w:val="center"/>
          </w:tcPr>
          <w:p w:rsidR="00C66612" w:rsidRDefault="00B06F03">
            <w:pPr>
              <w:jc w:val="center"/>
            </w:pPr>
            <w:r>
              <w:rPr>
                <w:sz w:val="24"/>
              </w:rPr>
              <w:t>0.0097%</w:t>
            </w:r>
          </w:p>
        </w:tc>
      </w:tr>
      <w:tr w:rsidR="00C66612">
        <w:tc>
          <w:tcPr>
            <w:tcW w:w="1286" w:type="dxa"/>
            <w:vAlign w:val="center"/>
          </w:tcPr>
          <w:p w:rsidR="00C66612" w:rsidRDefault="00B06F03">
            <w:pPr>
              <w:jc w:val="left"/>
            </w:pPr>
            <w:r>
              <w:rPr>
                <w:sz w:val="24"/>
              </w:rPr>
              <w:t>自基金合同生效起至今</w:t>
            </w:r>
          </w:p>
        </w:tc>
        <w:tc>
          <w:tcPr>
            <w:tcW w:w="1286" w:type="dxa"/>
            <w:vAlign w:val="center"/>
          </w:tcPr>
          <w:p w:rsidR="00C66612" w:rsidRDefault="00B06F03">
            <w:pPr>
              <w:jc w:val="center"/>
            </w:pPr>
            <w:r>
              <w:rPr>
                <w:sz w:val="24"/>
              </w:rPr>
              <w:t>10.4075%</w:t>
            </w:r>
          </w:p>
        </w:tc>
        <w:tc>
          <w:tcPr>
            <w:tcW w:w="1286" w:type="dxa"/>
            <w:vAlign w:val="center"/>
          </w:tcPr>
          <w:p w:rsidR="00C66612" w:rsidRDefault="00B06F03">
            <w:pPr>
              <w:jc w:val="center"/>
            </w:pPr>
            <w:r>
              <w:rPr>
                <w:sz w:val="24"/>
              </w:rPr>
              <w:t>0.0091%</w:t>
            </w:r>
          </w:p>
        </w:tc>
        <w:tc>
          <w:tcPr>
            <w:tcW w:w="1285" w:type="dxa"/>
            <w:vAlign w:val="center"/>
          </w:tcPr>
          <w:p w:rsidR="00C66612" w:rsidRDefault="00B06F03">
            <w:pPr>
              <w:jc w:val="center"/>
            </w:pPr>
            <w:r>
              <w:rPr>
                <w:sz w:val="24"/>
              </w:rPr>
              <w:t>5.1411%</w:t>
            </w:r>
          </w:p>
        </w:tc>
        <w:tc>
          <w:tcPr>
            <w:tcW w:w="1285" w:type="dxa"/>
            <w:vAlign w:val="center"/>
          </w:tcPr>
          <w:p w:rsidR="00C66612" w:rsidRDefault="00B06F03">
            <w:pPr>
              <w:jc w:val="center"/>
            </w:pPr>
            <w:r>
              <w:rPr>
                <w:sz w:val="24"/>
              </w:rPr>
              <w:t>0.0000%</w:t>
            </w:r>
          </w:p>
        </w:tc>
        <w:tc>
          <w:tcPr>
            <w:tcW w:w="1285" w:type="dxa"/>
            <w:vAlign w:val="center"/>
          </w:tcPr>
          <w:p w:rsidR="00C66612" w:rsidRDefault="00B06F03">
            <w:pPr>
              <w:jc w:val="center"/>
            </w:pPr>
            <w:r>
              <w:rPr>
                <w:sz w:val="24"/>
              </w:rPr>
              <w:t>5.2664%</w:t>
            </w:r>
          </w:p>
        </w:tc>
        <w:tc>
          <w:tcPr>
            <w:tcW w:w="1285" w:type="dxa"/>
            <w:vAlign w:val="center"/>
          </w:tcPr>
          <w:p w:rsidR="00C66612" w:rsidRDefault="00B06F03">
            <w:pPr>
              <w:jc w:val="center"/>
            </w:pPr>
            <w:r>
              <w:rPr>
                <w:sz w:val="24"/>
              </w:rPr>
              <w:t>0.0091%</w:t>
            </w:r>
          </w:p>
        </w:tc>
      </w:tr>
    </w:tbl>
    <w:p w:rsidR="00C66612" w:rsidRDefault="00B06F03">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、本表净值收益率数据所取的基金运作周期为基金合同生效日为起始日的运作周期。</w:t>
      </w:r>
    </w:p>
    <w:p w:rsidR="00C66612" w:rsidRDefault="00B06F03">
      <w:pPr>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Pr="007D254C" w:rsidRDefault="004E65B4" w:rsidP="007D254C">
      <w:pPr>
        <w:spacing w:before="29" w:line="288" w:lineRule="auto"/>
        <w:jc w:val="left"/>
        <w:rPr>
          <w:kern w:val="0"/>
          <w:sz w:val="24"/>
        </w:rPr>
      </w:pPr>
      <w:r>
        <w:rPr>
          <w:rFonts w:hint="eastAsia"/>
          <w:kern w:val="0"/>
          <w:sz w:val="24"/>
        </w:rPr>
        <w:t xml:space="preserve">    3</w:t>
      </w:r>
      <w:r>
        <w:rPr>
          <w:rFonts w:hint="eastAsia"/>
          <w:kern w:val="0"/>
          <w:sz w:val="24"/>
        </w:rPr>
        <w:t>、本基金的业绩比较基准为人民币七天通知存款税后利率。</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、交银理财</w:t>
      </w:r>
      <w:r w:rsidRPr="003449F7">
        <w:rPr>
          <w:rFonts w:hint="eastAsia"/>
          <w:color w:val="000000"/>
          <w:sz w:val="24"/>
        </w:rPr>
        <w:t>60</w:t>
      </w:r>
      <w:r w:rsidRPr="003449F7">
        <w:rPr>
          <w:rFonts w:hint="eastAsia"/>
          <w:color w:val="000000"/>
          <w:sz w:val="24"/>
        </w:rPr>
        <w:t>天债券</w:t>
      </w:r>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注：本基金建仓期为自基金合同生效日起的</w:t>
      </w:r>
      <w:r w:rsidRPr="007D254C">
        <w:rPr>
          <w:rFonts w:hint="eastAsia"/>
          <w:kern w:val="0"/>
          <w:sz w:val="24"/>
        </w:rPr>
        <w:t>2</w:t>
      </w:r>
      <w:r w:rsidRPr="007D254C">
        <w:rPr>
          <w:rFonts w:hint="eastAsia"/>
          <w:kern w:val="0"/>
          <w:sz w:val="24"/>
        </w:rPr>
        <w:t>个月。截至建仓期结束，本基金各项资产配置比例符合基金合同及招募说明书有关投资比例的约定。</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w:t>
      </w:r>
      <w:r w:rsidR="004E65B4">
        <w:rPr>
          <w:rFonts w:hint="eastAsia"/>
          <w:color w:val="000000"/>
          <w:sz w:val="24"/>
        </w:rPr>
        <w:t>交银理财</w:t>
      </w:r>
      <w:r w:rsidR="004E65B4">
        <w:rPr>
          <w:rFonts w:hint="eastAsia"/>
          <w:color w:val="000000"/>
          <w:sz w:val="24"/>
        </w:rPr>
        <w:t>60</w:t>
      </w:r>
      <w:r w:rsidR="004E65B4">
        <w:rPr>
          <w:rFonts w:hint="eastAsia"/>
          <w:color w:val="000000"/>
          <w:sz w:val="24"/>
        </w:rPr>
        <w:t>天债券</w:t>
      </w:r>
      <w:r w:rsidR="004E65B4">
        <w:rPr>
          <w:rFonts w:hint="eastAsia"/>
          <w:color w:val="000000"/>
          <w:sz w:val="24"/>
        </w:rPr>
        <w:t>B</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注：本基金建仓期为自基金合同生效日起的</w:t>
      </w:r>
      <w:r>
        <w:rPr>
          <w:rFonts w:hint="eastAsia"/>
          <w:kern w:val="0"/>
          <w:sz w:val="24"/>
        </w:rPr>
        <w:t>2</w:t>
      </w:r>
      <w:r>
        <w:rPr>
          <w:rFonts w:hint="eastAsia"/>
          <w:kern w:val="0"/>
          <w:sz w:val="24"/>
        </w:rPr>
        <w:t>个月。截至建仓期结束，本基金各项资产配置比例符合基金合同及招募说明书有关投资比例的约定。</w:t>
      </w:r>
    </w:p>
    <w:p w:rsidR="00A5153D" w:rsidRPr="007D254C" w:rsidRDefault="00A5153D" w:rsidP="007D254C">
      <w:pPr>
        <w:spacing w:before="29" w:line="288" w:lineRule="auto"/>
        <w:jc w:val="left"/>
        <w:rPr>
          <w:kern w:val="0"/>
          <w:sz w:val="24"/>
        </w:rPr>
      </w:pP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自基金合同生效以来</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交银理财</w:t>
      </w:r>
      <w:r w:rsidR="00223DFB" w:rsidRPr="00644949">
        <w:rPr>
          <w:rFonts w:hint="eastAsia"/>
          <w:color w:val="000000"/>
          <w:sz w:val="24"/>
        </w:rPr>
        <w:t>60</w:t>
      </w:r>
      <w:r w:rsidR="00223DFB" w:rsidRPr="00644949">
        <w:rPr>
          <w:rFonts w:hint="eastAsia"/>
          <w:color w:val="000000"/>
          <w:sz w:val="24"/>
        </w:rPr>
        <w:t>天债券</w:t>
      </w:r>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2013</w:t>
      </w:r>
      <w:r w:rsidRPr="007D254C">
        <w:rPr>
          <w:rFonts w:hint="eastAsia"/>
          <w:kern w:val="0"/>
          <w:sz w:val="24"/>
        </w:rPr>
        <w:t>年</w:t>
      </w:r>
      <w:r w:rsidRPr="007D254C">
        <w:rPr>
          <w:rFonts w:hint="eastAsia"/>
          <w:kern w:val="0"/>
          <w:sz w:val="24"/>
        </w:rPr>
        <w:t>3</w:t>
      </w:r>
      <w:r w:rsidRPr="007D254C">
        <w:rPr>
          <w:rFonts w:hint="eastAsia"/>
          <w:kern w:val="0"/>
          <w:sz w:val="24"/>
        </w:rPr>
        <w:t>月</w:t>
      </w:r>
      <w:r w:rsidRPr="007D254C">
        <w:rPr>
          <w:rFonts w:hint="eastAsia"/>
          <w:kern w:val="0"/>
          <w:sz w:val="24"/>
        </w:rPr>
        <w:t>13</w:t>
      </w:r>
      <w:r w:rsidRPr="007D254C">
        <w:rPr>
          <w:rFonts w:hint="eastAsia"/>
          <w:kern w:val="0"/>
          <w:sz w:val="24"/>
        </w:rPr>
        <w:t>日至</w:t>
      </w:r>
      <w:r w:rsidRPr="007D254C">
        <w:rPr>
          <w:rFonts w:hint="eastAsia"/>
          <w:kern w:val="0"/>
          <w:sz w:val="24"/>
        </w:rPr>
        <w:t>2016</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日。基金合同生效当年的净值增长率按照当年实际存续期计算。</w:t>
      </w:r>
    </w:p>
    <w:p w:rsidR="00EB4840" w:rsidRPr="007D254C" w:rsidRDefault="00EB4840"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t>2</w:t>
      </w:r>
      <w:r w:rsidRPr="00644949">
        <w:rPr>
          <w:rFonts w:hint="eastAsia"/>
          <w:color w:val="000000"/>
          <w:sz w:val="24"/>
        </w:rPr>
        <w:t>、</w:t>
      </w:r>
      <w:r w:rsidR="004E65B4">
        <w:rPr>
          <w:rFonts w:hint="eastAsia"/>
          <w:color w:val="000000"/>
          <w:sz w:val="24"/>
        </w:rPr>
        <w:t>交银理财</w:t>
      </w:r>
      <w:r w:rsidR="004E65B4">
        <w:rPr>
          <w:rFonts w:hint="eastAsia"/>
          <w:color w:val="000000"/>
          <w:sz w:val="24"/>
        </w:rPr>
        <w:t>60</w:t>
      </w:r>
      <w:r w:rsidR="004E65B4">
        <w:rPr>
          <w:rFonts w:hint="eastAsia"/>
          <w:color w:val="000000"/>
          <w:sz w:val="24"/>
        </w:rPr>
        <w:t>天债券</w:t>
      </w:r>
      <w:r w:rsidR="004E65B4">
        <w:rPr>
          <w:rFonts w:hint="eastAsia"/>
          <w:color w:val="000000"/>
          <w:sz w:val="24"/>
        </w:rPr>
        <w:t>B</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注：图示日期为</w:t>
      </w:r>
      <w:r>
        <w:rPr>
          <w:rFonts w:hint="eastAsia"/>
          <w:kern w:val="0"/>
          <w:sz w:val="24"/>
        </w:rPr>
        <w:t>2013</w:t>
      </w:r>
      <w:r>
        <w:rPr>
          <w:rFonts w:hint="eastAsia"/>
          <w:kern w:val="0"/>
          <w:sz w:val="24"/>
        </w:rPr>
        <w:t>年</w:t>
      </w:r>
      <w:r>
        <w:rPr>
          <w:rFonts w:hint="eastAsia"/>
          <w:kern w:val="0"/>
          <w:sz w:val="24"/>
        </w:rPr>
        <w:t>3</w:t>
      </w:r>
      <w:r>
        <w:rPr>
          <w:rFonts w:hint="eastAsia"/>
          <w:kern w:val="0"/>
          <w:sz w:val="24"/>
        </w:rPr>
        <w:t>月</w:t>
      </w:r>
      <w:r>
        <w:rPr>
          <w:rFonts w:hint="eastAsia"/>
          <w:kern w:val="0"/>
          <w:sz w:val="24"/>
        </w:rPr>
        <w:t>13</w:t>
      </w:r>
      <w:r>
        <w:rPr>
          <w:rFonts w:hint="eastAsia"/>
          <w:kern w:val="0"/>
          <w:sz w:val="24"/>
        </w:rPr>
        <w:t>日至</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日。基金合同生效当年的净值增长率按照当年实际存续期计算。</w:t>
      </w:r>
    </w:p>
    <w:p w:rsidR="009A1191" w:rsidRPr="00CB1276" w:rsidRDefault="009A1191" w:rsidP="00CB1276">
      <w:pPr>
        <w:adjustRightInd w:val="0"/>
        <w:snapToGrid w:val="0"/>
        <w:spacing w:line="360" w:lineRule="auto"/>
        <w:ind w:firstLineChars="175" w:firstLine="368"/>
        <w:rPr>
          <w:rFonts w:asciiTheme="minorEastAsia" w:eastAsiaTheme="minorEastAsia" w:hAnsiTheme="minorEastAsia"/>
          <w:szCs w:val="21"/>
        </w:rPr>
      </w:pPr>
      <w:bookmarkStart w:id="0" w:name="_GoBack"/>
      <w:bookmarkEnd w:id="0"/>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交银理财</w:t>
      </w:r>
      <w:r w:rsidRPr="0036012E">
        <w:rPr>
          <w:rFonts w:hint="eastAsia"/>
          <w:color w:val="000000"/>
          <w:sz w:val="24"/>
        </w:rPr>
        <w:t>60</w:t>
      </w:r>
      <w:r w:rsidRPr="0036012E">
        <w:rPr>
          <w:rFonts w:hint="eastAsia"/>
          <w:color w:val="000000"/>
          <w:sz w:val="24"/>
        </w:rPr>
        <w:t>天债券</w:t>
      </w:r>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C66612">
        <w:tc>
          <w:tcPr>
            <w:tcW w:w="1499" w:type="dxa"/>
            <w:vAlign w:val="center"/>
          </w:tcPr>
          <w:p w:rsidR="00C66612" w:rsidRDefault="00B06F03">
            <w:pPr>
              <w:jc w:val="center"/>
            </w:pPr>
            <w:r>
              <w:rPr>
                <w:rFonts w:hint="eastAsia"/>
                <w:color w:val="000000"/>
                <w:sz w:val="24"/>
              </w:rPr>
              <w:t>2016</w:t>
            </w:r>
            <w:r>
              <w:rPr>
                <w:rFonts w:hint="eastAsia"/>
                <w:color w:val="000000"/>
                <w:sz w:val="24"/>
              </w:rPr>
              <w:t>年</w:t>
            </w:r>
          </w:p>
        </w:tc>
        <w:tc>
          <w:tcPr>
            <w:tcW w:w="1499" w:type="dxa"/>
            <w:vAlign w:val="center"/>
          </w:tcPr>
          <w:p w:rsidR="00C66612" w:rsidRDefault="00B06F03">
            <w:pPr>
              <w:jc w:val="right"/>
            </w:pPr>
            <w:r>
              <w:rPr>
                <w:rFonts w:hint="eastAsia"/>
                <w:color w:val="000000"/>
                <w:sz w:val="24"/>
              </w:rPr>
              <w:t>148,340.75</w:t>
            </w:r>
          </w:p>
        </w:tc>
        <w:tc>
          <w:tcPr>
            <w:tcW w:w="1500" w:type="dxa"/>
            <w:vAlign w:val="center"/>
          </w:tcPr>
          <w:p w:rsidR="00C66612" w:rsidRDefault="00B06F03">
            <w:pPr>
              <w:jc w:val="right"/>
            </w:pPr>
            <w:r>
              <w:rPr>
                <w:rFonts w:hint="eastAsia"/>
                <w:color w:val="000000"/>
                <w:sz w:val="24"/>
              </w:rPr>
              <w:t>10,364.44</w:t>
            </w:r>
          </w:p>
        </w:tc>
        <w:tc>
          <w:tcPr>
            <w:tcW w:w="1500" w:type="dxa"/>
            <w:vAlign w:val="center"/>
          </w:tcPr>
          <w:p w:rsidR="00C66612" w:rsidRDefault="00B06F03">
            <w:pPr>
              <w:jc w:val="center"/>
            </w:pPr>
            <w:r>
              <w:rPr>
                <w:rFonts w:hint="eastAsia"/>
                <w:color w:val="000000"/>
                <w:sz w:val="24"/>
              </w:rPr>
              <w:t>3,718.67</w:t>
            </w:r>
          </w:p>
        </w:tc>
        <w:tc>
          <w:tcPr>
            <w:tcW w:w="1500" w:type="dxa"/>
            <w:vAlign w:val="center"/>
          </w:tcPr>
          <w:p w:rsidR="00C66612" w:rsidRDefault="00B06F03">
            <w:pPr>
              <w:jc w:val="right"/>
            </w:pPr>
            <w:r>
              <w:rPr>
                <w:rFonts w:hint="eastAsia"/>
                <w:color w:val="000000"/>
                <w:sz w:val="24"/>
              </w:rPr>
              <w:t>162,423.86</w:t>
            </w:r>
          </w:p>
        </w:tc>
        <w:tc>
          <w:tcPr>
            <w:tcW w:w="1500" w:type="dxa"/>
            <w:vAlign w:val="center"/>
          </w:tcPr>
          <w:p w:rsidR="00C66612" w:rsidRDefault="00B06F03">
            <w:pPr>
              <w:jc w:val="left"/>
            </w:pPr>
            <w:r>
              <w:rPr>
                <w:rFonts w:hint="eastAsia"/>
                <w:color w:val="000000"/>
                <w:sz w:val="24"/>
              </w:rPr>
              <w:t>-</w:t>
            </w:r>
          </w:p>
        </w:tc>
      </w:tr>
      <w:tr w:rsidR="00C66612">
        <w:tc>
          <w:tcPr>
            <w:tcW w:w="1499" w:type="dxa"/>
            <w:vAlign w:val="center"/>
          </w:tcPr>
          <w:p w:rsidR="00C66612" w:rsidRDefault="00B06F03">
            <w:pPr>
              <w:jc w:val="center"/>
            </w:pPr>
            <w:r>
              <w:rPr>
                <w:rFonts w:hint="eastAsia"/>
                <w:color w:val="000000"/>
                <w:sz w:val="24"/>
              </w:rPr>
              <w:t>2015</w:t>
            </w:r>
            <w:r>
              <w:rPr>
                <w:rFonts w:hint="eastAsia"/>
                <w:color w:val="000000"/>
                <w:sz w:val="24"/>
              </w:rPr>
              <w:t>年</w:t>
            </w:r>
          </w:p>
        </w:tc>
        <w:tc>
          <w:tcPr>
            <w:tcW w:w="1499" w:type="dxa"/>
            <w:vAlign w:val="center"/>
          </w:tcPr>
          <w:p w:rsidR="00C66612" w:rsidRDefault="00B06F03">
            <w:pPr>
              <w:jc w:val="right"/>
            </w:pPr>
            <w:r>
              <w:rPr>
                <w:rFonts w:hint="eastAsia"/>
                <w:color w:val="000000"/>
                <w:sz w:val="24"/>
              </w:rPr>
              <w:t>381,615.91</w:t>
            </w:r>
          </w:p>
        </w:tc>
        <w:tc>
          <w:tcPr>
            <w:tcW w:w="1500" w:type="dxa"/>
            <w:vAlign w:val="center"/>
          </w:tcPr>
          <w:p w:rsidR="00C66612" w:rsidRDefault="00B06F03">
            <w:pPr>
              <w:jc w:val="right"/>
            </w:pPr>
            <w:r>
              <w:rPr>
                <w:rFonts w:hint="eastAsia"/>
                <w:color w:val="000000"/>
                <w:sz w:val="24"/>
              </w:rPr>
              <w:t>82,329.40</w:t>
            </w:r>
          </w:p>
        </w:tc>
        <w:tc>
          <w:tcPr>
            <w:tcW w:w="1500" w:type="dxa"/>
            <w:vAlign w:val="center"/>
          </w:tcPr>
          <w:p w:rsidR="00C66612" w:rsidRDefault="00B06F03">
            <w:pPr>
              <w:jc w:val="center"/>
            </w:pPr>
            <w:r>
              <w:rPr>
                <w:rFonts w:hint="eastAsia"/>
                <w:color w:val="000000"/>
                <w:sz w:val="24"/>
              </w:rPr>
              <w:t>-51,706.45</w:t>
            </w:r>
          </w:p>
        </w:tc>
        <w:tc>
          <w:tcPr>
            <w:tcW w:w="1500" w:type="dxa"/>
            <w:vAlign w:val="center"/>
          </w:tcPr>
          <w:p w:rsidR="00C66612" w:rsidRDefault="00B06F03">
            <w:pPr>
              <w:jc w:val="right"/>
            </w:pPr>
            <w:r>
              <w:rPr>
                <w:rFonts w:hint="eastAsia"/>
                <w:color w:val="000000"/>
                <w:sz w:val="24"/>
              </w:rPr>
              <w:t>412,238.86</w:t>
            </w:r>
          </w:p>
        </w:tc>
        <w:tc>
          <w:tcPr>
            <w:tcW w:w="1500" w:type="dxa"/>
            <w:vAlign w:val="center"/>
          </w:tcPr>
          <w:p w:rsidR="00C66612" w:rsidRDefault="00B06F03">
            <w:pPr>
              <w:jc w:val="left"/>
            </w:pPr>
            <w:r>
              <w:rPr>
                <w:rFonts w:hint="eastAsia"/>
                <w:color w:val="000000"/>
                <w:sz w:val="24"/>
              </w:rPr>
              <w:t>-</w:t>
            </w:r>
          </w:p>
        </w:tc>
      </w:tr>
      <w:tr w:rsidR="00C66612">
        <w:tc>
          <w:tcPr>
            <w:tcW w:w="1499" w:type="dxa"/>
            <w:vAlign w:val="center"/>
          </w:tcPr>
          <w:p w:rsidR="00C66612" w:rsidRDefault="00B06F03">
            <w:pPr>
              <w:jc w:val="center"/>
            </w:pPr>
            <w:r>
              <w:rPr>
                <w:rFonts w:hint="eastAsia"/>
                <w:color w:val="000000"/>
                <w:sz w:val="24"/>
              </w:rPr>
              <w:t>2014</w:t>
            </w:r>
            <w:r>
              <w:rPr>
                <w:rFonts w:hint="eastAsia"/>
                <w:color w:val="000000"/>
                <w:sz w:val="24"/>
              </w:rPr>
              <w:t>年</w:t>
            </w:r>
          </w:p>
        </w:tc>
        <w:tc>
          <w:tcPr>
            <w:tcW w:w="1499" w:type="dxa"/>
            <w:vAlign w:val="center"/>
          </w:tcPr>
          <w:p w:rsidR="00C66612" w:rsidRDefault="00B06F03">
            <w:pPr>
              <w:jc w:val="right"/>
            </w:pPr>
            <w:r>
              <w:rPr>
                <w:rFonts w:hint="eastAsia"/>
                <w:color w:val="000000"/>
                <w:sz w:val="24"/>
              </w:rPr>
              <w:t>637,956.76</w:t>
            </w:r>
          </w:p>
        </w:tc>
        <w:tc>
          <w:tcPr>
            <w:tcW w:w="1500" w:type="dxa"/>
            <w:vAlign w:val="center"/>
          </w:tcPr>
          <w:p w:rsidR="00C66612" w:rsidRDefault="00B06F03">
            <w:pPr>
              <w:jc w:val="right"/>
            </w:pPr>
            <w:r>
              <w:rPr>
                <w:rFonts w:hint="eastAsia"/>
                <w:color w:val="000000"/>
                <w:sz w:val="24"/>
              </w:rPr>
              <w:t>192,938.37</w:t>
            </w:r>
          </w:p>
        </w:tc>
        <w:tc>
          <w:tcPr>
            <w:tcW w:w="1500" w:type="dxa"/>
            <w:vAlign w:val="center"/>
          </w:tcPr>
          <w:p w:rsidR="00C66612" w:rsidRDefault="00B06F03">
            <w:pPr>
              <w:jc w:val="center"/>
            </w:pPr>
            <w:r>
              <w:rPr>
                <w:rFonts w:hint="eastAsia"/>
                <w:color w:val="000000"/>
                <w:sz w:val="24"/>
              </w:rPr>
              <w:t>-123,528.87</w:t>
            </w:r>
          </w:p>
        </w:tc>
        <w:tc>
          <w:tcPr>
            <w:tcW w:w="1500" w:type="dxa"/>
            <w:vAlign w:val="center"/>
          </w:tcPr>
          <w:p w:rsidR="00C66612" w:rsidRDefault="00B06F03">
            <w:pPr>
              <w:jc w:val="right"/>
            </w:pPr>
            <w:r>
              <w:rPr>
                <w:rFonts w:hint="eastAsia"/>
                <w:color w:val="000000"/>
                <w:sz w:val="24"/>
              </w:rPr>
              <w:t>707,366.26</w:t>
            </w:r>
          </w:p>
        </w:tc>
        <w:tc>
          <w:tcPr>
            <w:tcW w:w="1500" w:type="dxa"/>
            <w:vAlign w:val="center"/>
          </w:tcPr>
          <w:p w:rsidR="00C66612" w:rsidRDefault="00B06F03">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1,167,913.42</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285,632.21</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-171,516.65</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1,282,028.98</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4E65B4" w:rsidP="0036012E">
      <w:pPr>
        <w:snapToGrid w:val="0"/>
        <w:spacing w:before="29" w:line="288" w:lineRule="auto"/>
        <w:rPr>
          <w:color w:val="000000"/>
          <w:sz w:val="24"/>
        </w:rPr>
      </w:pPr>
      <w:r>
        <w:rPr>
          <w:rFonts w:hint="eastAsia"/>
          <w:color w:val="000000"/>
          <w:sz w:val="24"/>
        </w:rPr>
        <w:t>交银理财</w:t>
      </w:r>
      <w:r>
        <w:rPr>
          <w:rFonts w:hint="eastAsia"/>
          <w:color w:val="000000"/>
          <w:sz w:val="24"/>
        </w:rPr>
        <w:t>60</w:t>
      </w:r>
      <w:r>
        <w:rPr>
          <w:rFonts w:hint="eastAsia"/>
          <w:color w:val="000000"/>
          <w:sz w:val="24"/>
        </w:rPr>
        <w:t>天债券</w:t>
      </w:r>
      <w:r>
        <w:rPr>
          <w:rFonts w:hint="eastAsia"/>
          <w:color w:val="000000"/>
          <w:sz w:val="24"/>
        </w:rPr>
        <w:t>B</w:t>
      </w:r>
      <w:r w:rsidR="00223DFB"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C66612">
        <w:tc>
          <w:tcPr>
            <w:tcW w:w="1499" w:type="dxa"/>
            <w:vAlign w:val="center"/>
          </w:tcPr>
          <w:p w:rsidR="00C66612" w:rsidRDefault="00B06F03">
            <w:pPr>
              <w:jc w:val="center"/>
            </w:pPr>
            <w:r>
              <w:rPr>
                <w:rFonts w:hint="eastAsia"/>
                <w:color w:val="000000"/>
                <w:sz w:val="24"/>
              </w:rPr>
              <w:t>2016</w:t>
            </w:r>
            <w:r>
              <w:rPr>
                <w:rFonts w:hint="eastAsia"/>
                <w:color w:val="000000"/>
                <w:sz w:val="24"/>
              </w:rPr>
              <w:t>年</w:t>
            </w:r>
          </w:p>
        </w:tc>
        <w:tc>
          <w:tcPr>
            <w:tcW w:w="1499" w:type="dxa"/>
            <w:vAlign w:val="center"/>
          </w:tcPr>
          <w:p w:rsidR="00C66612" w:rsidRDefault="00B06F03">
            <w:pPr>
              <w:jc w:val="right"/>
            </w:pPr>
            <w:r>
              <w:rPr>
                <w:rFonts w:hint="eastAsia"/>
                <w:color w:val="000000"/>
                <w:sz w:val="24"/>
              </w:rPr>
              <w:t>8,477,941.14</w:t>
            </w:r>
          </w:p>
        </w:tc>
        <w:tc>
          <w:tcPr>
            <w:tcW w:w="1500" w:type="dxa"/>
            <w:vAlign w:val="center"/>
          </w:tcPr>
          <w:p w:rsidR="00C66612" w:rsidRDefault="00B06F03">
            <w:pPr>
              <w:jc w:val="right"/>
            </w:pPr>
            <w:r>
              <w:rPr>
                <w:rFonts w:hint="eastAsia"/>
                <w:color w:val="000000"/>
                <w:sz w:val="24"/>
              </w:rPr>
              <w:t>110,073.18</w:t>
            </w:r>
          </w:p>
        </w:tc>
        <w:tc>
          <w:tcPr>
            <w:tcW w:w="1500" w:type="dxa"/>
            <w:vAlign w:val="center"/>
          </w:tcPr>
          <w:p w:rsidR="00C66612" w:rsidRDefault="00B06F03">
            <w:pPr>
              <w:jc w:val="center"/>
            </w:pPr>
            <w:r>
              <w:rPr>
                <w:rFonts w:hint="eastAsia"/>
                <w:color w:val="000000"/>
                <w:sz w:val="24"/>
              </w:rPr>
              <w:t>3,714,353.19</w:t>
            </w:r>
          </w:p>
        </w:tc>
        <w:tc>
          <w:tcPr>
            <w:tcW w:w="1500" w:type="dxa"/>
            <w:vAlign w:val="center"/>
          </w:tcPr>
          <w:p w:rsidR="00C66612" w:rsidRDefault="00B06F03">
            <w:pPr>
              <w:jc w:val="right"/>
            </w:pPr>
            <w:r>
              <w:rPr>
                <w:rFonts w:hint="eastAsia"/>
                <w:color w:val="000000"/>
                <w:sz w:val="24"/>
              </w:rPr>
              <w:t>12,302,367.5</w:t>
            </w:r>
            <w:r>
              <w:rPr>
                <w:rFonts w:hint="eastAsia"/>
                <w:color w:val="000000"/>
                <w:sz w:val="24"/>
              </w:rPr>
              <w:lastRenderedPageBreak/>
              <w:t>1</w:t>
            </w:r>
          </w:p>
        </w:tc>
        <w:tc>
          <w:tcPr>
            <w:tcW w:w="1500" w:type="dxa"/>
            <w:vAlign w:val="center"/>
          </w:tcPr>
          <w:p w:rsidR="00C66612" w:rsidRDefault="00B06F03">
            <w:pPr>
              <w:jc w:val="left"/>
            </w:pPr>
            <w:r>
              <w:rPr>
                <w:rFonts w:hint="eastAsia"/>
                <w:color w:val="000000"/>
                <w:sz w:val="24"/>
              </w:rPr>
              <w:lastRenderedPageBreak/>
              <w:t>-</w:t>
            </w:r>
          </w:p>
        </w:tc>
      </w:tr>
      <w:tr w:rsidR="00C66612">
        <w:tc>
          <w:tcPr>
            <w:tcW w:w="1499" w:type="dxa"/>
            <w:vAlign w:val="center"/>
          </w:tcPr>
          <w:p w:rsidR="00C66612" w:rsidRDefault="00B06F03">
            <w:pPr>
              <w:jc w:val="center"/>
            </w:pPr>
            <w:r>
              <w:rPr>
                <w:rFonts w:hint="eastAsia"/>
                <w:color w:val="000000"/>
                <w:sz w:val="24"/>
              </w:rPr>
              <w:lastRenderedPageBreak/>
              <w:t>2015</w:t>
            </w:r>
            <w:r>
              <w:rPr>
                <w:rFonts w:hint="eastAsia"/>
                <w:color w:val="000000"/>
                <w:sz w:val="24"/>
              </w:rPr>
              <w:t>年</w:t>
            </w:r>
          </w:p>
        </w:tc>
        <w:tc>
          <w:tcPr>
            <w:tcW w:w="1499" w:type="dxa"/>
            <w:vAlign w:val="center"/>
          </w:tcPr>
          <w:p w:rsidR="00C66612" w:rsidRDefault="00B06F03">
            <w:pPr>
              <w:jc w:val="right"/>
            </w:pPr>
            <w:r>
              <w:rPr>
                <w:rFonts w:hint="eastAsia"/>
                <w:color w:val="000000"/>
                <w:sz w:val="24"/>
              </w:rPr>
              <w:t>4,632,403.22</w:t>
            </w:r>
          </w:p>
        </w:tc>
        <w:tc>
          <w:tcPr>
            <w:tcW w:w="1500" w:type="dxa"/>
            <w:vAlign w:val="center"/>
          </w:tcPr>
          <w:p w:rsidR="00C66612" w:rsidRDefault="00B06F03">
            <w:pPr>
              <w:jc w:val="right"/>
            </w:pPr>
            <w:r>
              <w:rPr>
                <w:rFonts w:hint="eastAsia"/>
                <w:color w:val="000000"/>
                <w:sz w:val="24"/>
              </w:rPr>
              <w:t>5,352,747.51</w:t>
            </w:r>
          </w:p>
        </w:tc>
        <w:tc>
          <w:tcPr>
            <w:tcW w:w="1500" w:type="dxa"/>
            <w:vAlign w:val="center"/>
          </w:tcPr>
          <w:p w:rsidR="00C66612" w:rsidRDefault="00B06F03">
            <w:pPr>
              <w:jc w:val="center"/>
            </w:pPr>
            <w:r>
              <w:rPr>
                <w:rFonts w:hint="eastAsia"/>
                <w:color w:val="000000"/>
                <w:sz w:val="24"/>
              </w:rPr>
              <w:t>10,090.85</w:t>
            </w:r>
          </w:p>
        </w:tc>
        <w:tc>
          <w:tcPr>
            <w:tcW w:w="1500" w:type="dxa"/>
            <w:vAlign w:val="center"/>
          </w:tcPr>
          <w:p w:rsidR="00C66612" w:rsidRDefault="00B06F03">
            <w:pPr>
              <w:jc w:val="right"/>
            </w:pPr>
            <w:r>
              <w:rPr>
                <w:rFonts w:hint="eastAsia"/>
                <w:color w:val="000000"/>
                <w:sz w:val="24"/>
              </w:rPr>
              <w:t>9,995,241.58</w:t>
            </w:r>
          </w:p>
        </w:tc>
        <w:tc>
          <w:tcPr>
            <w:tcW w:w="1500" w:type="dxa"/>
            <w:vAlign w:val="center"/>
          </w:tcPr>
          <w:p w:rsidR="00C66612" w:rsidRDefault="00B06F03">
            <w:pPr>
              <w:jc w:val="left"/>
            </w:pPr>
            <w:r>
              <w:rPr>
                <w:rFonts w:hint="eastAsia"/>
                <w:color w:val="000000"/>
                <w:sz w:val="24"/>
              </w:rPr>
              <w:t>-</w:t>
            </w:r>
          </w:p>
        </w:tc>
      </w:tr>
      <w:tr w:rsidR="00C66612">
        <w:tc>
          <w:tcPr>
            <w:tcW w:w="1499" w:type="dxa"/>
            <w:vAlign w:val="center"/>
          </w:tcPr>
          <w:p w:rsidR="00C66612" w:rsidRDefault="00B06F03">
            <w:pPr>
              <w:jc w:val="center"/>
            </w:pPr>
            <w:r>
              <w:rPr>
                <w:rFonts w:hint="eastAsia"/>
                <w:color w:val="000000"/>
                <w:sz w:val="24"/>
              </w:rPr>
              <w:t>2014</w:t>
            </w:r>
            <w:r>
              <w:rPr>
                <w:rFonts w:hint="eastAsia"/>
                <w:color w:val="000000"/>
                <w:sz w:val="24"/>
              </w:rPr>
              <w:t>年</w:t>
            </w:r>
          </w:p>
        </w:tc>
        <w:tc>
          <w:tcPr>
            <w:tcW w:w="1499" w:type="dxa"/>
            <w:vAlign w:val="center"/>
          </w:tcPr>
          <w:p w:rsidR="00C66612" w:rsidRDefault="00B06F03">
            <w:pPr>
              <w:jc w:val="right"/>
            </w:pPr>
            <w:r>
              <w:rPr>
                <w:rFonts w:hint="eastAsia"/>
                <w:color w:val="000000"/>
                <w:sz w:val="24"/>
              </w:rPr>
              <w:t>1,409,085.10</w:t>
            </w:r>
          </w:p>
        </w:tc>
        <w:tc>
          <w:tcPr>
            <w:tcW w:w="1500" w:type="dxa"/>
            <w:vAlign w:val="center"/>
          </w:tcPr>
          <w:p w:rsidR="00C66612" w:rsidRDefault="00B06F03">
            <w:pPr>
              <w:jc w:val="right"/>
            </w:pPr>
            <w:r>
              <w:rPr>
                <w:rFonts w:hint="eastAsia"/>
                <w:color w:val="000000"/>
                <w:sz w:val="24"/>
              </w:rPr>
              <w:t>399,059.38</w:t>
            </w:r>
          </w:p>
        </w:tc>
        <w:tc>
          <w:tcPr>
            <w:tcW w:w="1500" w:type="dxa"/>
            <w:vAlign w:val="center"/>
          </w:tcPr>
          <w:p w:rsidR="00C66612" w:rsidRDefault="00B06F03">
            <w:pPr>
              <w:jc w:val="center"/>
            </w:pPr>
            <w:r>
              <w:rPr>
                <w:rFonts w:hint="eastAsia"/>
                <w:color w:val="000000"/>
                <w:sz w:val="24"/>
              </w:rPr>
              <w:t>-305,243.77</w:t>
            </w:r>
          </w:p>
        </w:tc>
        <w:tc>
          <w:tcPr>
            <w:tcW w:w="1500" w:type="dxa"/>
            <w:vAlign w:val="center"/>
          </w:tcPr>
          <w:p w:rsidR="00C66612" w:rsidRDefault="00B06F03">
            <w:pPr>
              <w:jc w:val="right"/>
            </w:pPr>
            <w:r>
              <w:rPr>
                <w:rFonts w:hint="eastAsia"/>
                <w:color w:val="000000"/>
                <w:sz w:val="24"/>
              </w:rPr>
              <w:t>1,502,900.71</w:t>
            </w:r>
          </w:p>
        </w:tc>
        <w:tc>
          <w:tcPr>
            <w:tcW w:w="1500" w:type="dxa"/>
            <w:vAlign w:val="center"/>
          </w:tcPr>
          <w:p w:rsidR="00C66612" w:rsidRDefault="00B06F03">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14,519,429.46</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5,861,880.07</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3,419,200.27</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23,800,509.80</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r>
    </w:tbl>
    <w:p w:rsidR="00D75C88" w:rsidRPr="007D254C" w:rsidRDefault="00D75C88" w:rsidP="007D254C">
      <w:pPr>
        <w:spacing w:before="29" w:line="288" w:lineRule="auto"/>
        <w:jc w:val="left"/>
        <w:rPr>
          <w:kern w:val="0"/>
          <w:sz w:val="24"/>
        </w:rPr>
      </w:pPr>
    </w:p>
    <w:p w:rsidR="00223DFB" w:rsidRDefault="00223DFB" w:rsidP="003F50F3">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C66612" w:rsidRDefault="00B06F03">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69</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任本基金的基金经理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C66612">
        <w:tc>
          <w:tcPr>
            <w:tcW w:w="1134" w:type="dxa"/>
            <w:vAlign w:val="center"/>
          </w:tcPr>
          <w:p w:rsidR="00C66612" w:rsidRDefault="00B06F03">
            <w:pPr>
              <w:jc w:val="center"/>
            </w:pPr>
            <w:r>
              <w:rPr>
                <w:rFonts w:hint="eastAsia"/>
                <w:sz w:val="24"/>
              </w:rPr>
              <w:t>连端清</w:t>
            </w:r>
          </w:p>
        </w:tc>
        <w:tc>
          <w:tcPr>
            <w:tcW w:w="1134" w:type="dxa"/>
            <w:vAlign w:val="center"/>
          </w:tcPr>
          <w:p w:rsidR="00C66612" w:rsidRDefault="00B06F03">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w:t>
            </w:r>
            <w:r>
              <w:rPr>
                <w:rFonts w:hint="eastAsia"/>
                <w:sz w:val="24"/>
              </w:rPr>
              <w:lastRenderedPageBreak/>
              <w:t>通货币、交银天利宝货币、交银裕隆纯债债券、交银天鑫宝货币、交银天益宝货币的基金经理</w:t>
            </w:r>
          </w:p>
        </w:tc>
        <w:tc>
          <w:tcPr>
            <w:tcW w:w="1701" w:type="dxa"/>
            <w:vAlign w:val="center"/>
          </w:tcPr>
          <w:p w:rsidR="00C66612" w:rsidRDefault="00B06F03">
            <w:pPr>
              <w:jc w:val="center"/>
            </w:pPr>
            <w:r>
              <w:rPr>
                <w:rFonts w:hint="eastAsia"/>
                <w:sz w:val="24"/>
              </w:rPr>
              <w:lastRenderedPageBreak/>
              <w:t>2015-10-16</w:t>
            </w:r>
          </w:p>
        </w:tc>
        <w:tc>
          <w:tcPr>
            <w:tcW w:w="1560" w:type="dxa"/>
            <w:vAlign w:val="center"/>
          </w:tcPr>
          <w:p w:rsidR="00C66612" w:rsidRDefault="00B06F03">
            <w:pPr>
              <w:jc w:val="center"/>
            </w:pPr>
            <w:r>
              <w:rPr>
                <w:rFonts w:hint="eastAsia"/>
                <w:sz w:val="24"/>
              </w:rPr>
              <w:t>-</w:t>
            </w:r>
          </w:p>
        </w:tc>
        <w:tc>
          <w:tcPr>
            <w:tcW w:w="992" w:type="dxa"/>
            <w:vAlign w:val="center"/>
          </w:tcPr>
          <w:p w:rsidR="00C66612" w:rsidRDefault="00B06F03">
            <w:pPr>
              <w:jc w:val="center"/>
            </w:pPr>
            <w:r>
              <w:rPr>
                <w:rFonts w:hint="eastAsia"/>
                <w:sz w:val="24"/>
              </w:rPr>
              <w:t>5</w:t>
            </w:r>
            <w:r>
              <w:rPr>
                <w:rFonts w:hint="eastAsia"/>
                <w:sz w:val="24"/>
              </w:rPr>
              <w:t>年</w:t>
            </w:r>
          </w:p>
        </w:tc>
        <w:tc>
          <w:tcPr>
            <w:tcW w:w="2477" w:type="dxa"/>
            <w:vAlign w:val="center"/>
          </w:tcPr>
          <w:p w:rsidR="00C66612" w:rsidRDefault="00B06F03">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p>
          <w:p w:rsidR="00C66612" w:rsidRDefault="00C66612"/>
        </w:tc>
      </w:tr>
    </w:tbl>
    <w:p w:rsidR="00C66612" w:rsidRDefault="00B06F03">
      <w:pPr>
        <w:spacing w:before="29" w:line="288" w:lineRule="auto"/>
        <w:jc w:val="left"/>
        <w:rPr>
          <w:rFonts w:asciiTheme="minorEastAsia" w:eastAsiaTheme="minorEastAsia" w:hAnsiTheme="minorEastAsia" w:cs="宋体"/>
          <w:kern w:val="0"/>
          <w:szCs w:val="21"/>
        </w:rPr>
      </w:pPr>
      <w:r>
        <w:rPr>
          <w:rFonts w:hint="eastAsia"/>
          <w:kern w:val="0"/>
          <w:sz w:val="24"/>
        </w:rPr>
        <w:lastRenderedPageBreak/>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C66612" w:rsidRDefault="00B06F03" w:rsidP="00002CBB">
      <w:pPr>
        <w:spacing w:before="29" w:line="288" w:lineRule="auto"/>
        <w:ind w:firstLineChars="200" w:firstLine="480"/>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CB1276" w:rsidRDefault="00223DFB" w:rsidP="00002CBB">
      <w:pPr>
        <w:spacing w:before="29" w:line="288" w:lineRule="auto"/>
        <w:ind w:firstLineChars="200" w:firstLine="480"/>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4.2 </w:t>
      </w:r>
      <w:r w:rsidRPr="006B06B5">
        <w:rPr>
          <w:rFonts w:ascii="Times New Roman" w:hAnsi="Times New Roman" w:cs="Times New Roman" w:hint="eastAsia"/>
          <w:kern w:val="0"/>
          <w:szCs w:val="24"/>
        </w:rPr>
        <w:t>管理人对报告期内本基金运作遵规守信情况的说明</w:t>
      </w:r>
    </w:p>
    <w:p w:rsidR="00C66612" w:rsidRDefault="00B06F03">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C66612" w:rsidRDefault="00B06F03">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66612" w:rsidRDefault="00B06F03">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C66612" w:rsidRDefault="00B06F03">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w:t>
      </w:r>
      <w:r>
        <w:rPr>
          <w:rFonts w:hint="eastAsia"/>
          <w:color w:val="000000"/>
          <w:sz w:val="24"/>
        </w:rPr>
        <w:lastRenderedPageBreak/>
        <w:t>进行比例分配；对于非集中竞价交易、以公司名义进行的场外交易，遵循“价格优先、比例分配”的原则按事前独立确定的投资方案对交易结果进行分配。</w:t>
      </w:r>
    </w:p>
    <w:p w:rsidR="00C66612" w:rsidRDefault="00B06F03">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C66612" w:rsidRDefault="00B06F03">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4.3.2</w:t>
      </w:r>
      <w:r w:rsidRPr="006B06B5">
        <w:rPr>
          <w:rFonts w:ascii="Times New Roman" w:hAnsi="Times New Roman" w:cs="Times New Roman" w:hint="eastAsia"/>
          <w:kern w:val="0"/>
          <w:szCs w:val="24"/>
        </w:rPr>
        <w:t>公平交易制度的执行情况</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本报告期内公司严格执行公平交易制度，公平对待旗下各投资组合。通过投资交易监控、交易数据分析、专项稽核检查等，本基金管理人未发现任何违反公平交易制度的行为。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本基金于本报告期内未发现异常交易行为。本报告期内，本公司管理的所有投资组合参与的交易所公开竞价同日反向交易成交较少的单边交易量超过该证券当日总成交量</w:t>
      </w:r>
      <w:r w:rsidRPr="00C64C58">
        <w:rPr>
          <w:rFonts w:hint="eastAsia"/>
          <w:color w:val="000000"/>
          <w:sz w:val="24"/>
        </w:rPr>
        <w:t>5%</w:t>
      </w:r>
      <w:r w:rsidRPr="00C64C58">
        <w:rPr>
          <w:rFonts w:hint="eastAsia"/>
          <w:color w:val="000000"/>
          <w:sz w:val="24"/>
        </w:rPr>
        <w:t>的情况有</w:t>
      </w:r>
      <w:r w:rsidRPr="00C64C58">
        <w:rPr>
          <w:rFonts w:hint="eastAsia"/>
          <w:color w:val="000000"/>
          <w:sz w:val="24"/>
        </w:rPr>
        <w:t>2</w:t>
      </w:r>
      <w:r w:rsidRPr="00C64C58">
        <w:rPr>
          <w:rFonts w:hint="eastAsia"/>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日内）同向交易的交易价差未发现异常。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C66612" w:rsidRDefault="00B06F03">
      <w:pPr>
        <w:spacing w:before="29" w:line="288" w:lineRule="auto"/>
        <w:ind w:firstLineChars="200" w:firstLine="480"/>
        <w:rPr>
          <w:color w:val="000000"/>
          <w:sz w:val="24"/>
        </w:rPr>
      </w:pPr>
      <w:r>
        <w:rPr>
          <w:rFonts w:hint="eastAsia"/>
          <w:color w:val="000000"/>
          <w:sz w:val="24"/>
        </w:rPr>
        <w:t>2016</w:t>
      </w:r>
      <w:r>
        <w:rPr>
          <w:rFonts w:hint="eastAsia"/>
          <w:color w:val="000000"/>
          <w:sz w:val="24"/>
        </w:rPr>
        <w:t>年，主要受房地产市场回暖以及供给侧改革的影响，国内经济呈现企稳回暖的态势。在去库存政策刺激下，</w:t>
      </w:r>
      <w:r>
        <w:rPr>
          <w:rFonts w:hint="eastAsia"/>
          <w:color w:val="000000"/>
          <w:sz w:val="24"/>
        </w:rPr>
        <w:t>2016</w:t>
      </w:r>
      <w:r>
        <w:rPr>
          <w:rFonts w:hint="eastAsia"/>
          <w:color w:val="000000"/>
          <w:sz w:val="24"/>
        </w:rPr>
        <w:t>年国内一、二线城市楼市火爆，房地产投资结束了</w:t>
      </w:r>
      <w:r>
        <w:rPr>
          <w:rFonts w:hint="eastAsia"/>
          <w:color w:val="000000"/>
          <w:sz w:val="24"/>
        </w:rPr>
        <w:t>2013</w:t>
      </w:r>
      <w:r>
        <w:rPr>
          <w:rFonts w:hint="eastAsia"/>
          <w:color w:val="000000"/>
          <w:sz w:val="24"/>
        </w:rPr>
        <w:t>年以来持续下跌的颓势，在</w:t>
      </w:r>
      <w:r>
        <w:rPr>
          <w:rFonts w:hint="eastAsia"/>
          <w:color w:val="000000"/>
          <w:sz w:val="24"/>
        </w:rPr>
        <w:t>2016</w:t>
      </w:r>
      <w:r>
        <w:rPr>
          <w:rFonts w:hint="eastAsia"/>
          <w:color w:val="000000"/>
          <w:sz w:val="24"/>
        </w:rPr>
        <w:t>年</w:t>
      </w:r>
      <w:r>
        <w:rPr>
          <w:rFonts w:hint="eastAsia"/>
          <w:color w:val="000000"/>
          <w:sz w:val="24"/>
        </w:rPr>
        <w:t>2</w:t>
      </w:r>
      <w:r>
        <w:rPr>
          <w:rFonts w:hint="eastAsia"/>
          <w:color w:val="000000"/>
          <w:sz w:val="24"/>
        </w:rPr>
        <w:t>月份触底反弹。尽管第二、三季度遭遇下行的波折，但</w:t>
      </w:r>
      <w:r>
        <w:rPr>
          <w:rFonts w:hint="eastAsia"/>
          <w:color w:val="000000"/>
          <w:sz w:val="24"/>
        </w:rPr>
        <w:t>9</w:t>
      </w:r>
      <w:r>
        <w:rPr>
          <w:rFonts w:hint="eastAsia"/>
          <w:color w:val="000000"/>
          <w:sz w:val="24"/>
        </w:rPr>
        <w:t>月至</w:t>
      </w:r>
      <w:r>
        <w:rPr>
          <w:rFonts w:hint="eastAsia"/>
          <w:color w:val="000000"/>
          <w:sz w:val="24"/>
        </w:rPr>
        <w:t>11</w:t>
      </w:r>
      <w:r>
        <w:rPr>
          <w:rFonts w:hint="eastAsia"/>
          <w:color w:val="000000"/>
          <w:sz w:val="24"/>
        </w:rPr>
        <w:t>月房地产投资再次企稳反弹。鉴于房地产行业对于中国经济的重要性，</w:t>
      </w:r>
      <w:r>
        <w:rPr>
          <w:rFonts w:hint="eastAsia"/>
          <w:color w:val="000000"/>
          <w:sz w:val="24"/>
        </w:rPr>
        <w:t>2016</w:t>
      </w:r>
      <w:r>
        <w:rPr>
          <w:rFonts w:hint="eastAsia"/>
          <w:color w:val="000000"/>
          <w:sz w:val="24"/>
        </w:rPr>
        <w:t>年前三季度我国</w:t>
      </w:r>
      <w:r>
        <w:rPr>
          <w:rFonts w:hint="eastAsia"/>
          <w:color w:val="000000"/>
          <w:sz w:val="24"/>
        </w:rPr>
        <w:t>GDP</w:t>
      </w:r>
      <w:r>
        <w:rPr>
          <w:rFonts w:hint="eastAsia"/>
          <w:color w:val="000000"/>
          <w:sz w:val="24"/>
        </w:rPr>
        <w:t>增速站稳在</w:t>
      </w:r>
      <w:r>
        <w:rPr>
          <w:rFonts w:hint="eastAsia"/>
          <w:color w:val="000000"/>
          <w:sz w:val="24"/>
        </w:rPr>
        <w:t>6.7%</w:t>
      </w:r>
      <w:r>
        <w:rPr>
          <w:rFonts w:hint="eastAsia"/>
          <w:color w:val="000000"/>
          <w:sz w:val="24"/>
        </w:rPr>
        <w:t>的高度上。伴随着供给侧改革的推进，</w:t>
      </w:r>
      <w:r>
        <w:rPr>
          <w:rFonts w:hint="eastAsia"/>
          <w:color w:val="000000"/>
          <w:sz w:val="24"/>
        </w:rPr>
        <w:t>PPI</w:t>
      </w:r>
      <w:r>
        <w:rPr>
          <w:rFonts w:hint="eastAsia"/>
          <w:color w:val="000000"/>
          <w:sz w:val="24"/>
        </w:rPr>
        <w:t>年内由负转正，煤钢等产能过剩行业盈利显著好转。在西方，社会贫富分化加剧之下飞出两只大“黑天鹅”—</w:t>
      </w:r>
      <w:r>
        <w:rPr>
          <w:rFonts w:hint="eastAsia"/>
          <w:color w:val="000000"/>
          <w:sz w:val="24"/>
        </w:rPr>
        <w:t>6</w:t>
      </w:r>
      <w:r>
        <w:rPr>
          <w:rFonts w:hint="eastAsia"/>
          <w:color w:val="000000"/>
          <w:sz w:val="24"/>
        </w:rPr>
        <w:t>月下旬英国退欧与</w:t>
      </w:r>
      <w:r>
        <w:rPr>
          <w:rFonts w:hint="eastAsia"/>
          <w:color w:val="000000"/>
          <w:sz w:val="24"/>
        </w:rPr>
        <w:t>11</w:t>
      </w:r>
      <w:r>
        <w:rPr>
          <w:rFonts w:hint="eastAsia"/>
          <w:color w:val="000000"/>
          <w:sz w:val="24"/>
        </w:rPr>
        <w:t>月上旬特朗普当选美国总统，大大超</w:t>
      </w:r>
      <w:r>
        <w:rPr>
          <w:rFonts w:hint="eastAsia"/>
          <w:color w:val="000000"/>
          <w:sz w:val="24"/>
        </w:rPr>
        <w:lastRenderedPageBreak/>
        <w:t>出市场预期。</w:t>
      </w:r>
    </w:p>
    <w:p w:rsidR="00C66612" w:rsidRDefault="00B06F03">
      <w:pPr>
        <w:spacing w:before="29" w:line="288" w:lineRule="auto"/>
        <w:ind w:firstLineChars="200" w:firstLine="480"/>
        <w:rPr>
          <w:color w:val="000000"/>
          <w:sz w:val="24"/>
        </w:rPr>
      </w:pPr>
      <w:r>
        <w:rPr>
          <w:rFonts w:hint="eastAsia"/>
          <w:color w:val="000000"/>
          <w:sz w:val="24"/>
        </w:rPr>
        <w:t>货币政策上，鉴于国内经济企稳但一、二线城市楼市泡沫急剧膨胀，央行收缩了货币政策宽松边际，并且随着楼市调控加码，四季度央行货币政策向中性偏紧方向回归。一季度央行公开市场净投放</w:t>
      </w:r>
      <w:r>
        <w:rPr>
          <w:rFonts w:hint="eastAsia"/>
          <w:color w:val="000000"/>
          <w:sz w:val="24"/>
        </w:rPr>
        <w:t>2,750</w:t>
      </w:r>
      <w:r>
        <w:rPr>
          <w:rFonts w:hint="eastAsia"/>
          <w:color w:val="000000"/>
          <w:sz w:val="24"/>
        </w:rPr>
        <w:t>亿且降准一次，二季度净投放</w:t>
      </w:r>
      <w:r>
        <w:rPr>
          <w:rFonts w:hint="eastAsia"/>
          <w:color w:val="000000"/>
          <w:sz w:val="24"/>
        </w:rPr>
        <w:t>6,750</w:t>
      </w:r>
      <w:r>
        <w:rPr>
          <w:rFonts w:hint="eastAsia"/>
          <w:color w:val="000000"/>
          <w:sz w:val="24"/>
        </w:rPr>
        <w:t>亿、三季度净投放</w:t>
      </w:r>
      <w:r>
        <w:rPr>
          <w:rFonts w:hint="eastAsia"/>
          <w:color w:val="000000"/>
          <w:sz w:val="24"/>
        </w:rPr>
        <w:t>4,658</w:t>
      </w:r>
      <w:r>
        <w:rPr>
          <w:rFonts w:hint="eastAsia"/>
          <w:color w:val="000000"/>
          <w:sz w:val="24"/>
        </w:rPr>
        <w:t>亿，四季度净投放仅</w:t>
      </w:r>
      <w:r>
        <w:rPr>
          <w:rFonts w:hint="eastAsia"/>
          <w:color w:val="000000"/>
          <w:sz w:val="24"/>
        </w:rPr>
        <w:t>3,114</w:t>
      </w:r>
      <w:r>
        <w:rPr>
          <w:rFonts w:hint="eastAsia"/>
          <w:color w:val="000000"/>
          <w:sz w:val="24"/>
        </w:rPr>
        <w:t>亿。</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资金面上，受央行货币政策操作及</w:t>
      </w:r>
      <w:r w:rsidRPr="00C64C58">
        <w:rPr>
          <w:rFonts w:hint="eastAsia"/>
          <w:color w:val="000000"/>
          <w:sz w:val="24"/>
        </w:rPr>
        <w:t>MPA</w:t>
      </w:r>
      <w:r w:rsidRPr="00C64C58">
        <w:rPr>
          <w:rFonts w:hint="eastAsia"/>
          <w:color w:val="000000"/>
          <w:sz w:val="24"/>
        </w:rPr>
        <w:t>考核等因素影响，资金价格中枢不断上移，</w:t>
      </w:r>
      <w:r w:rsidRPr="00C64C58">
        <w:rPr>
          <w:rFonts w:hint="eastAsia"/>
          <w:color w:val="000000"/>
          <w:sz w:val="24"/>
        </w:rPr>
        <w:t>12</w:t>
      </w:r>
      <w:r w:rsidRPr="00C64C58">
        <w:rPr>
          <w:rFonts w:hint="eastAsia"/>
          <w:color w:val="000000"/>
          <w:sz w:val="24"/>
        </w:rPr>
        <w:t>月份中旬市场资金面变得异常紧张，</w:t>
      </w:r>
      <w:r w:rsidRPr="00C64C58">
        <w:rPr>
          <w:rFonts w:hint="eastAsia"/>
          <w:color w:val="000000"/>
          <w:sz w:val="24"/>
        </w:rPr>
        <w:t>12</w:t>
      </w:r>
      <w:r w:rsidRPr="00C64C58">
        <w:rPr>
          <w:rFonts w:hint="eastAsia"/>
          <w:color w:val="000000"/>
          <w:sz w:val="24"/>
        </w:rPr>
        <w:t>月底</w:t>
      </w:r>
      <w:r w:rsidRPr="00C64C58">
        <w:rPr>
          <w:rFonts w:hint="eastAsia"/>
          <w:color w:val="000000"/>
          <w:sz w:val="24"/>
        </w:rPr>
        <w:t>R007</w:t>
      </w:r>
      <w:r w:rsidRPr="00C64C58">
        <w:rPr>
          <w:rFonts w:hint="eastAsia"/>
          <w:color w:val="000000"/>
          <w:sz w:val="24"/>
        </w:rPr>
        <w:t>较</w:t>
      </w:r>
      <w:r w:rsidRPr="00C64C58">
        <w:rPr>
          <w:rFonts w:hint="eastAsia"/>
          <w:color w:val="000000"/>
          <w:sz w:val="24"/>
        </w:rPr>
        <w:t>2015</w:t>
      </w:r>
      <w:r w:rsidRPr="00C64C58">
        <w:rPr>
          <w:rFonts w:hint="eastAsia"/>
          <w:color w:val="000000"/>
          <w:sz w:val="24"/>
        </w:rPr>
        <w:t>年底上行</w:t>
      </w:r>
      <w:r w:rsidRPr="00C64C58">
        <w:rPr>
          <w:rFonts w:hint="eastAsia"/>
          <w:color w:val="000000"/>
          <w:sz w:val="24"/>
        </w:rPr>
        <w:t>32</w:t>
      </w:r>
      <w:r w:rsidRPr="00C64C58">
        <w:rPr>
          <w:rFonts w:hint="eastAsia"/>
          <w:color w:val="000000"/>
          <w:sz w:val="24"/>
        </w:rPr>
        <w:t>个</w:t>
      </w:r>
      <w:r w:rsidRPr="00C64C58">
        <w:rPr>
          <w:rFonts w:hint="eastAsia"/>
          <w:color w:val="000000"/>
          <w:sz w:val="24"/>
        </w:rPr>
        <w:t>BP</w:t>
      </w:r>
      <w:r w:rsidRPr="00C64C58">
        <w:rPr>
          <w:rFonts w:hint="eastAsia"/>
          <w:color w:val="000000"/>
          <w:sz w:val="24"/>
        </w:rPr>
        <w:t>以上。受配置需求、经济走势、资金面、信用事件及海外黑天鹅等多重因素冲击的影响，</w:t>
      </w:r>
      <w:r w:rsidRPr="00C64C58">
        <w:rPr>
          <w:rFonts w:hint="eastAsia"/>
          <w:color w:val="000000"/>
          <w:sz w:val="24"/>
        </w:rPr>
        <w:t>2016</w:t>
      </w:r>
      <w:r w:rsidRPr="00C64C58">
        <w:rPr>
          <w:rFonts w:hint="eastAsia"/>
          <w:color w:val="000000"/>
          <w:sz w:val="24"/>
        </w:rPr>
        <w:t>年债市波动较大。</w:t>
      </w:r>
      <w:r w:rsidRPr="00C64C58">
        <w:rPr>
          <w:rFonts w:hint="eastAsia"/>
          <w:color w:val="000000"/>
          <w:sz w:val="24"/>
        </w:rPr>
        <w:t>4</w:t>
      </w:r>
      <w:r w:rsidRPr="00C64C58">
        <w:rPr>
          <w:rFonts w:hint="eastAsia"/>
          <w:color w:val="000000"/>
          <w:sz w:val="24"/>
        </w:rPr>
        <w:t>月份受信用事件超预期冲击，政金债及信用债收益率出现快速大幅回调，但</w:t>
      </w:r>
      <w:r w:rsidRPr="00C64C58">
        <w:rPr>
          <w:rFonts w:hint="eastAsia"/>
          <w:color w:val="000000"/>
          <w:sz w:val="24"/>
        </w:rPr>
        <w:t>6</w:t>
      </w:r>
      <w:r w:rsidRPr="00C64C58">
        <w:rPr>
          <w:rFonts w:hint="eastAsia"/>
          <w:color w:val="000000"/>
          <w:sz w:val="24"/>
        </w:rPr>
        <w:t>月下旬英国退欧引发全球宽松预期，三季度债市再次出现大涨，甚至市场将国庆期间的楼市调整解读为经济下行利好债市的信号，</w:t>
      </w:r>
      <w:r w:rsidRPr="00C64C58">
        <w:rPr>
          <w:rFonts w:hint="eastAsia"/>
          <w:color w:val="000000"/>
          <w:sz w:val="24"/>
        </w:rPr>
        <w:t>10</w:t>
      </w:r>
      <w:r w:rsidRPr="00C64C58">
        <w:rPr>
          <w:rFonts w:hint="eastAsia"/>
          <w:color w:val="000000"/>
          <w:sz w:val="24"/>
        </w:rPr>
        <w:t>月也出现一波上涨行情，但是随后在经济短期平稳依旧，特别是资金面紧张超预期的冲击之下，债市在</w:t>
      </w:r>
      <w:r w:rsidRPr="00C64C58">
        <w:rPr>
          <w:rFonts w:hint="eastAsia"/>
          <w:color w:val="000000"/>
          <w:sz w:val="24"/>
        </w:rPr>
        <w:t>11</w:t>
      </w:r>
      <w:r w:rsidRPr="00C64C58">
        <w:rPr>
          <w:rFonts w:hint="eastAsia"/>
          <w:color w:val="000000"/>
          <w:sz w:val="24"/>
        </w:rPr>
        <w:t>月与</w:t>
      </w:r>
      <w:r w:rsidRPr="00C64C58">
        <w:rPr>
          <w:rFonts w:hint="eastAsia"/>
          <w:color w:val="000000"/>
          <w:sz w:val="24"/>
        </w:rPr>
        <w:t>12</w:t>
      </w:r>
      <w:r w:rsidRPr="00C64C58">
        <w:rPr>
          <w:rFonts w:hint="eastAsia"/>
          <w:color w:val="000000"/>
          <w:sz w:val="24"/>
        </w:rPr>
        <w:t>月遭遇大幅调整。基金操作方面，报告期内本基金规模较大幅提升，主要投资于同业存单、同业存款及短金债，尽力控制信用风险，积极防控</w:t>
      </w:r>
      <w:r w:rsidRPr="00C64C58">
        <w:rPr>
          <w:rFonts w:hint="eastAsia"/>
          <w:color w:val="000000"/>
          <w:sz w:val="24"/>
        </w:rPr>
        <w:t>12</w:t>
      </w:r>
      <w:r w:rsidRPr="00C64C58">
        <w:rPr>
          <w:rFonts w:hint="eastAsia"/>
          <w:color w:val="000000"/>
          <w:sz w:val="24"/>
        </w:rPr>
        <w:t>月份的债市大幅调整，努力为份额持有人创造较为稳健的回报。</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本报告期内，交银理财</w:t>
      </w:r>
      <w:r w:rsidRPr="00C64C58">
        <w:rPr>
          <w:rFonts w:hint="eastAsia"/>
          <w:color w:val="000000"/>
          <w:sz w:val="24"/>
        </w:rPr>
        <w:t>60</w:t>
      </w:r>
      <w:r w:rsidRPr="00C64C58">
        <w:rPr>
          <w:rFonts w:hint="eastAsia"/>
          <w:color w:val="000000"/>
          <w:sz w:val="24"/>
        </w:rPr>
        <w:t>天债券</w:t>
      </w:r>
      <w:r w:rsidRPr="00C64C58">
        <w:rPr>
          <w:rFonts w:hint="eastAsia"/>
          <w:color w:val="000000"/>
          <w:sz w:val="24"/>
        </w:rPr>
        <w:t>A</w:t>
      </w:r>
      <w:r w:rsidRPr="00C64C58">
        <w:rPr>
          <w:rFonts w:hint="eastAsia"/>
          <w:color w:val="000000"/>
          <w:sz w:val="24"/>
        </w:rPr>
        <w:t>净值收益率为</w:t>
      </w:r>
      <w:r w:rsidRPr="00C64C58">
        <w:rPr>
          <w:rFonts w:hint="eastAsia"/>
          <w:color w:val="000000"/>
          <w:sz w:val="24"/>
        </w:rPr>
        <w:t>1.7834%</w:t>
      </w:r>
      <w:r w:rsidRPr="00C64C58">
        <w:rPr>
          <w:rFonts w:hint="eastAsia"/>
          <w:color w:val="000000"/>
          <w:sz w:val="24"/>
        </w:rPr>
        <w:t>，交银理财</w:t>
      </w:r>
      <w:r w:rsidRPr="00C64C58">
        <w:rPr>
          <w:rFonts w:hint="eastAsia"/>
          <w:color w:val="000000"/>
          <w:sz w:val="24"/>
        </w:rPr>
        <w:t>60</w:t>
      </w:r>
      <w:r w:rsidRPr="00C64C58">
        <w:rPr>
          <w:rFonts w:hint="eastAsia"/>
          <w:color w:val="000000"/>
          <w:sz w:val="24"/>
        </w:rPr>
        <w:t>天债券</w:t>
      </w:r>
      <w:r w:rsidRPr="00C64C58">
        <w:rPr>
          <w:rFonts w:hint="eastAsia"/>
          <w:color w:val="000000"/>
          <w:sz w:val="24"/>
        </w:rPr>
        <w:t>B</w:t>
      </w:r>
      <w:r w:rsidRPr="00C64C58">
        <w:rPr>
          <w:rFonts w:hint="eastAsia"/>
          <w:color w:val="000000"/>
          <w:sz w:val="24"/>
        </w:rPr>
        <w:t>净值收益率</w:t>
      </w:r>
      <w:r w:rsidRPr="00C64C58">
        <w:rPr>
          <w:rFonts w:hint="eastAsia"/>
          <w:color w:val="000000"/>
          <w:sz w:val="24"/>
        </w:rPr>
        <w:t>1.5426%</w:t>
      </w:r>
      <w:r w:rsidRPr="00C64C58">
        <w:rPr>
          <w:rFonts w:hint="eastAsia"/>
          <w:color w:val="000000"/>
          <w:sz w:val="24"/>
        </w:rPr>
        <w:t>，同期业绩比较基准增长率为</w:t>
      </w:r>
      <w:r w:rsidRPr="00C64C58">
        <w:rPr>
          <w:rFonts w:hint="eastAsia"/>
          <w:color w:val="000000"/>
          <w:sz w:val="24"/>
        </w:rPr>
        <w:t>1.3537%</w:t>
      </w:r>
      <w:r w:rsidRPr="00C64C58">
        <w:rPr>
          <w:rFonts w:hint="eastAsia"/>
          <w:color w:val="000000"/>
          <w:sz w:val="24"/>
        </w:rPr>
        <w:t>。</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1" w:name="_Toc361324859"/>
      <w:bookmarkStart w:id="2"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1"/>
      <w:bookmarkEnd w:id="2"/>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展望</w:t>
      </w:r>
      <w:r w:rsidRPr="00C64C58">
        <w:rPr>
          <w:rFonts w:hint="eastAsia"/>
          <w:color w:val="000000"/>
          <w:sz w:val="24"/>
        </w:rPr>
        <w:t>2017</w:t>
      </w:r>
      <w:r w:rsidRPr="00C64C58">
        <w:rPr>
          <w:rFonts w:hint="eastAsia"/>
          <w:color w:val="000000"/>
          <w:sz w:val="24"/>
        </w:rPr>
        <w:t>年，国内楼市调控以及英美等西方社会右翼化延续的概率较大，因此，如果</w:t>
      </w:r>
      <w:r w:rsidRPr="00C64C58">
        <w:rPr>
          <w:rFonts w:hint="eastAsia"/>
          <w:color w:val="000000"/>
          <w:sz w:val="24"/>
        </w:rPr>
        <w:t>2017</w:t>
      </w:r>
      <w:r w:rsidRPr="00C64C58">
        <w:rPr>
          <w:rFonts w:hint="eastAsia"/>
          <w:color w:val="000000"/>
          <w:sz w:val="24"/>
        </w:rPr>
        <w:t>年楼市调控进一步加码影响，那么国内经济可能将会面临一定的下行压力。在海外，美国特朗普逆全球化与贸易保护主义倾向、英国硬退欧风险、</w:t>
      </w:r>
      <w:r w:rsidRPr="00C64C58">
        <w:rPr>
          <w:rFonts w:hint="eastAsia"/>
          <w:color w:val="000000"/>
          <w:sz w:val="24"/>
        </w:rPr>
        <w:t>4</w:t>
      </w:r>
      <w:r w:rsidRPr="00C64C58">
        <w:rPr>
          <w:rFonts w:hint="eastAsia"/>
          <w:color w:val="000000"/>
          <w:sz w:val="24"/>
        </w:rPr>
        <w:t>月法国大选右势力上台可能性上升等海外风险点均增加了</w:t>
      </w:r>
      <w:r w:rsidRPr="00C64C58">
        <w:rPr>
          <w:rFonts w:hint="eastAsia"/>
          <w:color w:val="000000"/>
          <w:sz w:val="24"/>
        </w:rPr>
        <w:t>2017</w:t>
      </w:r>
      <w:r w:rsidRPr="00C64C58">
        <w:rPr>
          <w:rFonts w:hint="eastAsia"/>
          <w:color w:val="000000"/>
          <w:sz w:val="24"/>
        </w:rPr>
        <w:t>年国内经济的下行风险。但是，短期上，国内经济依旧弱势平稳，</w:t>
      </w:r>
      <w:r w:rsidRPr="00C64C58">
        <w:rPr>
          <w:rFonts w:hint="eastAsia"/>
          <w:color w:val="000000"/>
          <w:sz w:val="24"/>
        </w:rPr>
        <w:t>2016</w:t>
      </w:r>
      <w:r w:rsidRPr="00C64C58">
        <w:rPr>
          <w:rFonts w:hint="eastAsia"/>
          <w:color w:val="000000"/>
          <w:sz w:val="24"/>
        </w:rPr>
        <w:t>年</w:t>
      </w:r>
      <w:r w:rsidRPr="00C64C58">
        <w:rPr>
          <w:rFonts w:hint="eastAsia"/>
          <w:color w:val="000000"/>
          <w:sz w:val="24"/>
        </w:rPr>
        <w:t>12</w:t>
      </w:r>
      <w:r w:rsidRPr="00C64C58">
        <w:rPr>
          <w:rFonts w:hint="eastAsia"/>
          <w:color w:val="000000"/>
          <w:sz w:val="24"/>
        </w:rPr>
        <w:t>月中央经济工作会议已明确提出“货币政策要保持稳健中性……要把防控金融风险放到更加重要的位置……着力防控资产泡沫……既抑制房地产泡沫，又防止出现大起大落。”短期内，在宏观经济相对平稳且政策诉求明确的背景下，央行货币政策更倾向于抑制资产价格泡沫为主。除非经济下行风险超预期，否则预计短期内央行将以稳健偏紧的货币政策为主。但是，倘若</w:t>
      </w:r>
      <w:r w:rsidRPr="00C64C58">
        <w:rPr>
          <w:rFonts w:hint="eastAsia"/>
          <w:color w:val="000000"/>
          <w:sz w:val="24"/>
        </w:rPr>
        <w:t>2017</w:t>
      </w:r>
      <w:r w:rsidRPr="00C64C58">
        <w:rPr>
          <w:rFonts w:hint="eastAsia"/>
          <w:color w:val="000000"/>
          <w:sz w:val="24"/>
        </w:rPr>
        <w:t>年经济下行压力较大，不排除央行货币政策再次转向相对宽松的可能。另外，</w:t>
      </w:r>
      <w:r w:rsidRPr="00C64C58">
        <w:rPr>
          <w:rFonts w:hint="eastAsia"/>
          <w:color w:val="000000"/>
          <w:sz w:val="24"/>
        </w:rPr>
        <w:t>2017</w:t>
      </w:r>
      <w:r w:rsidRPr="00C64C58">
        <w:rPr>
          <w:rFonts w:hint="eastAsia"/>
          <w:color w:val="000000"/>
          <w:sz w:val="24"/>
        </w:rPr>
        <w:t>年仍需警惕企业信用风险。组合管理方面，本基金将密切关注经济走势与央行货币政策操作动态，在保持较好流动性的同时力求把握市场机会，尽力控制信用风险，努力为份额持有人创造较为稳健的回报。</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3" w:name="_Toc361324861"/>
      <w:bookmarkStart w:id="4" w:name="_Toc225570083"/>
      <w:bookmarkStart w:id="5" w:name="_Toc247959457"/>
      <w:r w:rsidRPr="006B06B5">
        <w:rPr>
          <w:rFonts w:ascii="Times New Roman" w:hAnsi="Times New Roman" w:cs="Times New Roman" w:hint="eastAsia"/>
          <w:kern w:val="0"/>
          <w:szCs w:val="24"/>
        </w:rPr>
        <w:lastRenderedPageBreak/>
        <w:t xml:space="preserve">4.6 </w:t>
      </w:r>
      <w:r w:rsidRPr="006B06B5">
        <w:rPr>
          <w:rFonts w:ascii="Times New Roman" w:hAnsi="Times New Roman" w:cs="Times New Roman" w:hint="eastAsia"/>
          <w:kern w:val="0"/>
          <w:szCs w:val="24"/>
        </w:rPr>
        <w:t>管理人对报告期内基金估值程序等事项的说明</w:t>
      </w:r>
      <w:bookmarkEnd w:id="3"/>
      <w:bookmarkEnd w:id="4"/>
      <w:bookmarkEnd w:id="5"/>
    </w:p>
    <w:p w:rsidR="00C66612" w:rsidRDefault="00B06F03">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66612" w:rsidRDefault="00B06F03">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6" w:name="_Toc361324862"/>
      <w:bookmarkStart w:id="7" w:name="_Toc225570084"/>
      <w:bookmarkStart w:id="8" w:name="_Toc247959458"/>
      <w:r w:rsidRPr="006B06B5">
        <w:rPr>
          <w:rFonts w:ascii="Times New Roman" w:hAnsi="Times New Roman" w:cs="Times New Roman" w:hint="eastAsia"/>
          <w:kern w:val="0"/>
          <w:szCs w:val="24"/>
        </w:rPr>
        <w:t xml:space="preserve">4.7 </w:t>
      </w:r>
      <w:r w:rsidRPr="006B06B5">
        <w:rPr>
          <w:rFonts w:ascii="Times New Roman" w:hAnsi="Times New Roman" w:cs="Times New Roman" w:hint="eastAsia"/>
          <w:kern w:val="0"/>
          <w:szCs w:val="24"/>
        </w:rPr>
        <w:t>管理人对报告期内基金利润分配情况的说明</w:t>
      </w:r>
      <w:bookmarkEnd w:id="6"/>
      <w:bookmarkEnd w:id="7"/>
      <w:bookmarkEnd w:id="8"/>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遵照法律法规及基金合同的约定，本基金每日分配收益，按运作期结转份额。本基金本报告期内利润分配情况参见</w:t>
      </w:r>
      <w:r w:rsidR="00B06F03" w:rsidRPr="00B06F03">
        <w:rPr>
          <w:rFonts w:hint="eastAsia"/>
          <w:color w:val="000000"/>
          <w:sz w:val="24"/>
        </w:rPr>
        <w:t>年度报告正文</w:t>
      </w:r>
      <w:r w:rsidRPr="00C64C58">
        <w:rPr>
          <w:rFonts w:hint="eastAsia"/>
          <w:color w:val="000000"/>
          <w:sz w:val="24"/>
        </w:rPr>
        <w:t>7.4.7.10</w:t>
      </w:r>
      <w:r w:rsidRPr="00C64C58">
        <w:rPr>
          <w:rFonts w:hint="eastAsia"/>
          <w:color w:val="000000"/>
          <w:sz w:val="24"/>
        </w:rPr>
        <w:t>。</w:t>
      </w:r>
    </w:p>
    <w:p w:rsidR="0016754F" w:rsidRPr="00CB1276"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t>本基金本报告期内曾连续六十个工作日以上出现基金资产净值低于五千万元、连续二十个工作日以上出现基金份额持有人数量不满二百人的情形，但截至本报告期末，本基金基金资产净值已高于五千万元，本基金基金份额持有人数量已超过二百人。</w:t>
      </w:r>
    </w:p>
    <w:p w:rsidR="005942E7" w:rsidRPr="00C64C58" w:rsidRDefault="005942E7" w:rsidP="00C64C58">
      <w:pPr>
        <w:spacing w:before="29" w:line="288" w:lineRule="auto"/>
        <w:ind w:firstLineChars="200" w:firstLine="480"/>
        <w:rPr>
          <w:color w:val="000000"/>
          <w:sz w:val="24"/>
        </w:rPr>
      </w:pPr>
    </w:p>
    <w:p w:rsidR="00223DFB" w:rsidRDefault="00223DFB" w:rsidP="003F50F3">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C66612" w:rsidRDefault="00B06F03">
      <w:pPr>
        <w:spacing w:before="29" w:line="288" w:lineRule="auto"/>
        <w:ind w:firstLineChars="200" w:firstLine="480"/>
        <w:rPr>
          <w:color w:val="000000"/>
          <w:sz w:val="24"/>
        </w:rPr>
      </w:pPr>
      <w:r>
        <w:rPr>
          <w:rFonts w:hint="eastAsia"/>
          <w:color w:val="000000"/>
          <w:sz w:val="24"/>
        </w:rPr>
        <w:t>本报告期，本托管人按照国家有关规定、基金合同、托管协议和其他有关规定，对</w:t>
      </w:r>
      <w:r>
        <w:rPr>
          <w:rFonts w:hint="eastAsia"/>
          <w:color w:val="000000"/>
          <w:sz w:val="24"/>
        </w:rPr>
        <w:lastRenderedPageBreak/>
        <w:t>本基金的基金资产净值计算、基金费用开支等方面进行了认真的复核，对本基金的投资运作方面进行了监督，未发现基金管理人有损害基金份额持有人利益的行为。</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报告期内，本基金实施利润分配的金额为</w:t>
      </w:r>
      <w:r w:rsidRPr="00C64C58">
        <w:rPr>
          <w:rFonts w:hint="eastAsia"/>
          <w:color w:val="000000"/>
          <w:sz w:val="24"/>
        </w:rPr>
        <w:t>A</w:t>
      </w:r>
      <w:r w:rsidRPr="00C64C58">
        <w:rPr>
          <w:rFonts w:hint="eastAsia"/>
          <w:color w:val="000000"/>
          <w:sz w:val="24"/>
        </w:rPr>
        <w:t>类</w:t>
      </w:r>
      <w:r w:rsidRPr="00C64C58">
        <w:rPr>
          <w:rFonts w:hint="eastAsia"/>
          <w:color w:val="000000"/>
          <w:sz w:val="24"/>
        </w:rPr>
        <w:t>162,423.86</w:t>
      </w:r>
      <w:r w:rsidRPr="00C64C58">
        <w:rPr>
          <w:rFonts w:hint="eastAsia"/>
          <w:color w:val="000000"/>
          <w:sz w:val="24"/>
        </w:rPr>
        <w:t>元，</w:t>
      </w:r>
      <w:r w:rsidRPr="00C64C58">
        <w:rPr>
          <w:rFonts w:hint="eastAsia"/>
          <w:color w:val="000000"/>
          <w:sz w:val="24"/>
        </w:rPr>
        <w:t>B</w:t>
      </w:r>
      <w:r w:rsidRPr="00C64C58">
        <w:rPr>
          <w:rFonts w:hint="eastAsia"/>
          <w:color w:val="000000"/>
          <w:sz w:val="24"/>
        </w:rPr>
        <w:t>类</w:t>
      </w:r>
      <w:r w:rsidRPr="00C64C58">
        <w:rPr>
          <w:rFonts w:hint="eastAsia"/>
          <w:color w:val="000000"/>
          <w:sz w:val="24"/>
        </w:rPr>
        <w:t>12,302,367.51</w:t>
      </w:r>
      <w:r w:rsidRPr="00C64C58">
        <w:rPr>
          <w:rFonts w:hint="eastAsia"/>
          <w:color w:val="000000"/>
          <w:sz w:val="24"/>
        </w:rPr>
        <w:t>元。</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本托管人复核审查了本报告中的财务指标、净值表现、利润分配情况、财务会计报告、投资组合报告等内容，保证复核内容不存在虚假记载、误导性陈述或者重大遗漏。</w:t>
      </w:r>
    </w:p>
    <w:p w:rsidR="009C46E0" w:rsidRPr="00C64C58" w:rsidRDefault="009C46E0" w:rsidP="00C64C58">
      <w:pPr>
        <w:spacing w:before="29" w:line="288" w:lineRule="auto"/>
        <w:ind w:firstLineChars="200" w:firstLine="480"/>
        <w:rPr>
          <w:color w:val="000000"/>
          <w:sz w:val="24"/>
        </w:rPr>
      </w:pPr>
    </w:p>
    <w:p w:rsidR="00223DFB" w:rsidRDefault="00223DFB" w:rsidP="003F50F3">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Default="004D46CD" w:rsidP="004D46CD">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交银施罗德理财</w:t>
      </w:r>
      <w:r w:rsidRPr="003C6BFD">
        <w:rPr>
          <w:color w:val="000000"/>
          <w:sz w:val="24"/>
        </w:rPr>
        <w:t>60</w:t>
      </w:r>
      <w:r w:rsidRPr="003C6BFD">
        <w:rPr>
          <w:color w:val="000000"/>
          <w:sz w:val="24"/>
        </w:rPr>
        <w:t>天债券型证券投资基金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726E40">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20189</w:t>
      </w:r>
      <w:r w:rsidRPr="001F3653">
        <w:rPr>
          <w:color w:val="000000"/>
          <w:sz w:val="24"/>
        </w:rPr>
        <w:t>号</w:t>
      </w:r>
      <w:r w:rsidR="00726E40">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E67124" w:rsidRPr="004D46CD" w:rsidRDefault="00E67124" w:rsidP="00E67124">
      <w:pPr>
        <w:spacing w:before="29" w:line="288" w:lineRule="auto"/>
        <w:ind w:firstLineChars="200" w:firstLine="480"/>
        <w:rPr>
          <w:color w:val="000000"/>
          <w:sz w:val="24"/>
        </w:rPr>
      </w:pPr>
    </w:p>
    <w:p w:rsidR="00223DFB" w:rsidRDefault="00223DFB" w:rsidP="003F50F3">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会计主体：交银施罗德理财</w:t>
      </w:r>
      <w:r w:rsidRPr="00E67124">
        <w:rPr>
          <w:rFonts w:hint="eastAsia"/>
          <w:color w:val="000000"/>
          <w:sz w:val="24"/>
        </w:rPr>
        <w:t>60</w:t>
      </w:r>
      <w:r w:rsidRPr="00E67124">
        <w:rPr>
          <w:rFonts w:hint="eastAsia"/>
          <w:color w:val="000000"/>
          <w:sz w:val="24"/>
        </w:rPr>
        <w:t>天债券型证券投资基金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2016</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7"/>
      </w:tblGrid>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2016</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上年度末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b/>
                <w:color w:val="000000"/>
              </w:rPr>
              <w:t>2015</w:t>
            </w:r>
            <w:r w:rsidRPr="003F7E3F">
              <w:rPr>
                <w:rFonts w:ascii="Times New Roman" w:hAnsi="Times New Roman"/>
                <w:b/>
                <w:color w:val="000000"/>
              </w:rPr>
              <w:t>年</w:t>
            </w:r>
            <w:r w:rsidRPr="003F7E3F">
              <w:rPr>
                <w:rFonts w:ascii="Times New Roman" w:hAnsi="Times New Roman"/>
                <w:b/>
                <w:color w:val="000000"/>
              </w:rPr>
              <w:t>12</w:t>
            </w:r>
            <w:r w:rsidRPr="003F7E3F">
              <w:rPr>
                <w:rFonts w:ascii="Times New Roman" w:hAnsi="Times New Roman"/>
                <w:b/>
                <w:color w:val="000000"/>
              </w:rPr>
              <w:t>月</w:t>
            </w:r>
            <w:r w:rsidRPr="003F7E3F">
              <w:rPr>
                <w:rFonts w:ascii="Times New Roman" w:hAnsi="Times New Roman"/>
                <w:b/>
                <w:color w:val="000000"/>
              </w:rPr>
              <w:t>31</w:t>
            </w:r>
            <w:r w:rsidRPr="003F7E3F">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14,618,194.76</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3,243,615.32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1,995,489,408.43</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23,022,655.64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1,995,489,408.43</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23,022,655.64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lastRenderedPageBreak/>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C71574"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4E65B4">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14,000,000.00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15,000,142.50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3,032,494.59</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352,635.44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600.00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2,027,140,697.78</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41,619,048.90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2016</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上年度末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b/>
                <w:color w:val="000000"/>
              </w:rPr>
              <w:t>2015</w:t>
            </w:r>
            <w:r w:rsidRPr="00DA7531">
              <w:rPr>
                <w:rFonts w:ascii="Times New Roman" w:hAnsi="Times New Roman"/>
                <w:b/>
                <w:color w:val="000000"/>
              </w:rPr>
              <w:t>年</w:t>
            </w:r>
            <w:r w:rsidRPr="00DA7531">
              <w:rPr>
                <w:rFonts w:ascii="Times New Roman" w:hAnsi="Times New Roman"/>
                <w:b/>
                <w:color w:val="000000"/>
              </w:rPr>
              <w:t>12</w:t>
            </w:r>
            <w:r w:rsidRPr="00DA7531">
              <w:rPr>
                <w:rFonts w:ascii="Times New Roman" w:hAnsi="Times New Roman"/>
                <w:b/>
                <w:color w:val="000000"/>
              </w:rPr>
              <w:t>月</w:t>
            </w:r>
            <w:r w:rsidRPr="00DA7531">
              <w:rPr>
                <w:rFonts w:ascii="Times New Roman" w:hAnsi="Times New Roman"/>
                <w:b/>
                <w:color w:val="000000"/>
              </w:rPr>
              <w:t>31</w:t>
            </w:r>
            <w:r w:rsidRPr="00DA7531">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14,000,000.00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应付赎回款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269,465.50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14,086.47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107,786.18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4,173.79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15,590.37</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3,257.42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24,618.00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3,189.87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3,776,174.37</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58,102.51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89,300.00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79,300.00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18,282,934.42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162,110.06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2,008,857,763.36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41,456,938.84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2,008,857,763.36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41,456,938.84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lastRenderedPageBreak/>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2,027,140,697.78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41,619,048.90</w:t>
            </w:r>
          </w:p>
        </w:tc>
      </w:tr>
    </w:tbl>
    <w:p w:rsidR="00223DFB" w:rsidRPr="005124D4" w:rsidRDefault="00DA7531" w:rsidP="005124D4">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223DFB" w:rsidRPr="005124D4">
        <w:rPr>
          <w:rFonts w:hint="eastAsia"/>
          <w:kern w:val="0"/>
          <w:sz w:val="24"/>
        </w:rPr>
        <w:t>报告截止日</w:t>
      </w:r>
      <w:r w:rsidR="00223DFB" w:rsidRPr="005124D4">
        <w:rPr>
          <w:rFonts w:hint="eastAsia"/>
          <w:kern w:val="0"/>
          <w:sz w:val="24"/>
        </w:rPr>
        <w:t>2016</w:t>
      </w:r>
      <w:r w:rsidR="00223DFB" w:rsidRPr="005124D4">
        <w:rPr>
          <w:rFonts w:hint="eastAsia"/>
          <w:kern w:val="0"/>
          <w:sz w:val="24"/>
        </w:rPr>
        <w:t>年</w:t>
      </w:r>
      <w:r w:rsidR="00223DFB" w:rsidRPr="005124D4">
        <w:rPr>
          <w:rFonts w:hint="eastAsia"/>
          <w:kern w:val="0"/>
          <w:sz w:val="24"/>
        </w:rPr>
        <w:t>12</w:t>
      </w:r>
      <w:r w:rsidR="00223DFB" w:rsidRPr="005124D4">
        <w:rPr>
          <w:rFonts w:hint="eastAsia"/>
          <w:kern w:val="0"/>
          <w:sz w:val="24"/>
        </w:rPr>
        <w:t>月</w:t>
      </w:r>
      <w:r w:rsidR="00223DFB" w:rsidRPr="005124D4">
        <w:rPr>
          <w:rFonts w:hint="eastAsia"/>
          <w:kern w:val="0"/>
          <w:sz w:val="24"/>
        </w:rPr>
        <w:t>31</w:t>
      </w:r>
      <w:r w:rsidR="00223DFB" w:rsidRPr="005124D4">
        <w:rPr>
          <w:rFonts w:hint="eastAsia"/>
          <w:kern w:val="0"/>
          <w:sz w:val="24"/>
        </w:rPr>
        <w:t>日，基金份额净值</w:t>
      </w:r>
      <w:r w:rsidR="00223DFB" w:rsidRPr="005124D4">
        <w:rPr>
          <w:rFonts w:hint="eastAsia"/>
          <w:kern w:val="0"/>
          <w:sz w:val="24"/>
        </w:rPr>
        <w:t>1.0000</w:t>
      </w:r>
      <w:r w:rsidR="00223DFB" w:rsidRPr="005124D4">
        <w:rPr>
          <w:rFonts w:hint="eastAsia"/>
          <w:kern w:val="0"/>
          <w:sz w:val="24"/>
        </w:rPr>
        <w:t>元，基金份额总额</w:t>
      </w:r>
      <w:r w:rsidR="00223DFB" w:rsidRPr="005124D4">
        <w:rPr>
          <w:rFonts w:hint="eastAsia"/>
          <w:kern w:val="0"/>
          <w:sz w:val="24"/>
        </w:rPr>
        <w:t>2,008,857,763.36</w:t>
      </w:r>
      <w:r w:rsidR="00223DFB" w:rsidRPr="005124D4">
        <w:rPr>
          <w:rFonts w:hint="eastAsia"/>
          <w:kern w:val="0"/>
          <w:sz w:val="24"/>
        </w:rPr>
        <w:t>份，其中</w:t>
      </w:r>
      <w:r w:rsidR="00223DFB" w:rsidRPr="005124D4">
        <w:rPr>
          <w:rFonts w:hint="eastAsia"/>
          <w:kern w:val="0"/>
          <w:sz w:val="24"/>
        </w:rPr>
        <w:t>A</w:t>
      </w:r>
      <w:r w:rsidR="00223DFB" w:rsidRPr="005124D4">
        <w:rPr>
          <w:rFonts w:hint="eastAsia"/>
          <w:kern w:val="0"/>
          <w:sz w:val="24"/>
        </w:rPr>
        <w:t>类基金份额：</w:t>
      </w:r>
      <w:r w:rsidR="00223DFB" w:rsidRPr="005124D4">
        <w:rPr>
          <w:rFonts w:hint="eastAsia"/>
          <w:kern w:val="0"/>
          <w:sz w:val="24"/>
        </w:rPr>
        <w:t>8,491,238.98</w:t>
      </w:r>
      <w:r w:rsidR="00223DFB" w:rsidRPr="005124D4">
        <w:rPr>
          <w:rFonts w:hint="eastAsia"/>
          <w:kern w:val="0"/>
          <w:sz w:val="24"/>
        </w:rPr>
        <w:t>份，</w:t>
      </w:r>
      <w:r w:rsidR="00223DFB" w:rsidRPr="005124D4">
        <w:rPr>
          <w:rFonts w:hint="eastAsia"/>
          <w:kern w:val="0"/>
          <w:sz w:val="24"/>
        </w:rPr>
        <w:t>B</w:t>
      </w:r>
      <w:r w:rsidR="00223DFB" w:rsidRPr="005124D4">
        <w:rPr>
          <w:rFonts w:hint="eastAsia"/>
          <w:kern w:val="0"/>
          <w:sz w:val="24"/>
        </w:rPr>
        <w:t>类基金份额：</w:t>
      </w:r>
      <w:r w:rsidR="00223DFB" w:rsidRPr="005124D4">
        <w:rPr>
          <w:rFonts w:hint="eastAsia"/>
          <w:kern w:val="0"/>
          <w:sz w:val="24"/>
        </w:rPr>
        <w:t>2,000,366,524.38</w:t>
      </w:r>
      <w:r w:rsidR="00223DFB" w:rsidRPr="005124D4">
        <w:rPr>
          <w:rFonts w:hint="eastAsia"/>
          <w:kern w:val="0"/>
          <w:sz w:val="24"/>
        </w:rPr>
        <w:t>份。</w:t>
      </w:r>
    </w:p>
    <w:p w:rsidR="00223DFB" w:rsidRDefault="00DA7531" w:rsidP="00DA7531">
      <w:pPr>
        <w:spacing w:line="360" w:lineRule="auto"/>
        <w:ind w:firstLineChars="200" w:firstLine="480"/>
        <w:rPr>
          <w:kern w:val="0"/>
          <w:sz w:val="24"/>
        </w:rPr>
      </w:pPr>
      <w:r w:rsidRPr="0061644B">
        <w:rPr>
          <w:kern w:val="0"/>
          <w:sz w:val="24"/>
        </w:rPr>
        <w:t>2</w:t>
      </w:r>
      <w:r w:rsidRPr="0061644B">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7.2 </w:t>
      </w:r>
      <w:r w:rsidRPr="006B06B5">
        <w:rPr>
          <w:rFonts w:ascii="Times New Roman" w:hAnsi="Times New Roman" w:cs="Times New Roman" w:hint="eastAsia"/>
          <w:kern w:val="0"/>
          <w:szCs w:val="24"/>
        </w:rPr>
        <w:t>利润表</w:t>
      </w:r>
    </w:p>
    <w:p w:rsidR="00223DFB" w:rsidRPr="007172E2" w:rsidRDefault="00223DFB" w:rsidP="007172E2">
      <w:pPr>
        <w:spacing w:before="29" w:line="288" w:lineRule="auto"/>
        <w:rPr>
          <w:color w:val="000000"/>
          <w:sz w:val="24"/>
        </w:rPr>
      </w:pPr>
      <w:r w:rsidRPr="007172E2">
        <w:rPr>
          <w:rFonts w:hint="eastAsia"/>
          <w:color w:val="000000"/>
          <w:sz w:val="24"/>
        </w:rPr>
        <w:t>会计主体：交银施罗德理财</w:t>
      </w:r>
      <w:r w:rsidRPr="007172E2">
        <w:rPr>
          <w:rFonts w:hint="eastAsia"/>
          <w:color w:val="000000"/>
          <w:sz w:val="24"/>
        </w:rPr>
        <w:t>60</w:t>
      </w:r>
      <w:r w:rsidRPr="007172E2">
        <w:rPr>
          <w:rFonts w:hint="eastAsia"/>
          <w:color w:val="000000"/>
          <w:sz w:val="24"/>
        </w:rPr>
        <w:t>天债券型证券投资基金</w:t>
      </w:r>
    </w:p>
    <w:p w:rsidR="00223DFB" w:rsidRPr="007172E2" w:rsidRDefault="00223DFB" w:rsidP="007172E2">
      <w:pPr>
        <w:spacing w:before="29" w:line="288" w:lineRule="auto"/>
        <w:rPr>
          <w:color w:val="000000"/>
          <w:sz w:val="24"/>
        </w:rPr>
      </w:pPr>
      <w:r w:rsidRPr="007172E2">
        <w:rPr>
          <w:rFonts w:hint="eastAsia"/>
          <w:color w:val="000000"/>
          <w:sz w:val="24"/>
        </w:rPr>
        <w:t>本报告期：</w:t>
      </w:r>
      <w:r w:rsidRPr="007172E2">
        <w:rPr>
          <w:rFonts w:hint="eastAsia"/>
          <w:color w:val="000000"/>
          <w:sz w:val="24"/>
        </w:rPr>
        <w:t>2016</w:t>
      </w:r>
      <w:r w:rsidRPr="007172E2">
        <w:rPr>
          <w:rFonts w:hint="eastAsia"/>
          <w:color w:val="000000"/>
          <w:sz w:val="24"/>
        </w:rPr>
        <w:t>年</w:t>
      </w:r>
      <w:r w:rsidRPr="007172E2">
        <w:rPr>
          <w:rFonts w:hint="eastAsia"/>
          <w:color w:val="000000"/>
          <w:sz w:val="24"/>
        </w:rPr>
        <w:t>1</w:t>
      </w:r>
      <w:r w:rsidRPr="007172E2">
        <w:rPr>
          <w:rFonts w:hint="eastAsia"/>
          <w:color w:val="000000"/>
          <w:sz w:val="24"/>
        </w:rPr>
        <w:t>月</w:t>
      </w:r>
      <w:r w:rsidRPr="007172E2">
        <w:rPr>
          <w:rFonts w:hint="eastAsia"/>
          <w:color w:val="000000"/>
          <w:sz w:val="24"/>
        </w:rPr>
        <w:t>1</w:t>
      </w:r>
      <w:r w:rsidRPr="007172E2">
        <w:rPr>
          <w:rFonts w:hint="eastAsia"/>
          <w:color w:val="000000"/>
          <w:sz w:val="24"/>
        </w:rPr>
        <w:t>日至</w:t>
      </w:r>
      <w:r w:rsidRPr="007172E2">
        <w:rPr>
          <w:rFonts w:hint="eastAsia"/>
          <w:color w:val="000000"/>
          <w:sz w:val="24"/>
        </w:rPr>
        <w:t>2016</w:t>
      </w:r>
      <w:r w:rsidRPr="007172E2">
        <w:rPr>
          <w:rFonts w:hint="eastAsia"/>
          <w:color w:val="000000"/>
          <w:sz w:val="24"/>
        </w:rPr>
        <w:t>年</w:t>
      </w:r>
      <w:r w:rsidRPr="007172E2">
        <w:rPr>
          <w:rFonts w:hint="eastAsia"/>
          <w:color w:val="000000"/>
          <w:sz w:val="24"/>
        </w:rPr>
        <w:t>12</w:t>
      </w:r>
      <w:r w:rsidRPr="007172E2">
        <w:rPr>
          <w:rFonts w:hint="eastAsia"/>
          <w:color w:val="000000"/>
          <w:sz w:val="24"/>
        </w:rPr>
        <w:t>月</w:t>
      </w:r>
      <w:r w:rsidRPr="007172E2">
        <w:rPr>
          <w:rFonts w:hint="eastAsia"/>
          <w:color w:val="000000"/>
          <w:sz w:val="24"/>
        </w:rPr>
        <w:t>31</w:t>
      </w:r>
      <w:r w:rsidRPr="007172E2">
        <w:rPr>
          <w:rFonts w:hint="eastAsia"/>
          <w:color w:val="000000"/>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5"/>
      </w:tblGrid>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上年度可比期间</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2015</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2015</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14,163,512.99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12,026,723.97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14,231,321.79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10,878,938.64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315,546.12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8,714,226.24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12,745,719.26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1,934,551.30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1,170,056.41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230,161.10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-67,808.80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1,147,785.33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-67,808.80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1,147,785.33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354B6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4E65B4">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1,698,721.62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1,619,243.53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lastRenderedPageBreak/>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1,121,672.43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634,937.79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368,900.70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188,129.71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72,967.07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60,321.11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10,021.59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608,160.22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10,021.59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608,160.22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6</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125,159.83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127,694.70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三、利润总额（亏损总额以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12,464,791.37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10,407,480.44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四、净利润（净亏损以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12,464,791.37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10,407,480.44</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0452E1" w:rsidRDefault="00223DFB" w:rsidP="000452E1">
      <w:pPr>
        <w:spacing w:before="29" w:line="288" w:lineRule="auto"/>
        <w:rPr>
          <w:sz w:val="24"/>
        </w:rPr>
      </w:pPr>
      <w:r w:rsidRPr="000452E1">
        <w:rPr>
          <w:rFonts w:hint="eastAsia"/>
          <w:sz w:val="24"/>
        </w:rPr>
        <w:t>会计主体：交银施罗德理财</w:t>
      </w:r>
      <w:r w:rsidRPr="000452E1">
        <w:rPr>
          <w:rFonts w:hint="eastAsia"/>
          <w:sz w:val="24"/>
        </w:rPr>
        <w:t>60</w:t>
      </w:r>
      <w:r w:rsidRPr="000452E1">
        <w:rPr>
          <w:rFonts w:hint="eastAsia"/>
          <w:sz w:val="24"/>
        </w:rPr>
        <w:t>天债券型证券投资基金</w:t>
      </w:r>
    </w:p>
    <w:p w:rsidR="00223DFB" w:rsidRPr="000452E1" w:rsidRDefault="00223DFB" w:rsidP="000452E1">
      <w:pPr>
        <w:spacing w:before="29" w:line="288" w:lineRule="auto"/>
        <w:rPr>
          <w:sz w:val="24"/>
        </w:rPr>
      </w:pPr>
      <w:r w:rsidRPr="000452E1">
        <w:rPr>
          <w:rFonts w:hint="eastAsia"/>
          <w:sz w:val="24"/>
        </w:rPr>
        <w:t>本报告期：</w:t>
      </w:r>
      <w:r w:rsidRPr="000452E1">
        <w:rPr>
          <w:rFonts w:hint="eastAsia"/>
          <w:sz w:val="24"/>
        </w:rPr>
        <w:t>2016</w:t>
      </w:r>
      <w:r w:rsidRPr="000452E1">
        <w:rPr>
          <w:rFonts w:hint="eastAsia"/>
          <w:sz w:val="24"/>
        </w:rPr>
        <w:t>年</w:t>
      </w:r>
      <w:r w:rsidRPr="000452E1">
        <w:rPr>
          <w:rFonts w:hint="eastAsia"/>
          <w:sz w:val="24"/>
        </w:rPr>
        <w:t>1</w:t>
      </w:r>
      <w:r w:rsidRPr="000452E1">
        <w:rPr>
          <w:rFonts w:hint="eastAsia"/>
          <w:sz w:val="24"/>
        </w:rPr>
        <w:t>月</w:t>
      </w:r>
      <w:r w:rsidRPr="000452E1">
        <w:rPr>
          <w:rFonts w:hint="eastAsia"/>
          <w:sz w:val="24"/>
        </w:rPr>
        <w:t>1</w:t>
      </w:r>
      <w:r w:rsidRPr="000452E1">
        <w:rPr>
          <w:rFonts w:hint="eastAsia"/>
          <w:sz w:val="24"/>
        </w:rPr>
        <w:t>日至</w:t>
      </w:r>
      <w:r w:rsidRPr="000452E1">
        <w:rPr>
          <w:rFonts w:hint="eastAsia"/>
          <w:sz w:val="24"/>
        </w:rPr>
        <w:t>2016</w:t>
      </w:r>
      <w:r w:rsidRPr="000452E1">
        <w:rPr>
          <w:rFonts w:hint="eastAsia"/>
          <w:sz w:val="24"/>
        </w:rPr>
        <w:t>年</w:t>
      </w:r>
      <w:r w:rsidRPr="000452E1">
        <w:rPr>
          <w:rFonts w:hint="eastAsia"/>
          <w:sz w:val="24"/>
        </w:rPr>
        <w:t>12</w:t>
      </w:r>
      <w:r w:rsidRPr="000452E1">
        <w:rPr>
          <w:rFonts w:hint="eastAsia"/>
          <w:sz w:val="24"/>
        </w:rPr>
        <w:t>月</w:t>
      </w:r>
      <w:r w:rsidRPr="000452E1">
        <w:rPr>
          <w:rFonts w:hint="eastAsia"/>
          <w:sz w:val="24"/>
        </w:rPr>
        <w:t>31</w:t>
      </w:r>
      <w:r w:rsidRPr="000452E1">
        <w:rPr>
          <w:rFonts w:hint="eastAsia"/>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t>2016</w:t>
            </w:r>
            <w:r w:rsidRPr="000452E1">
              <w:rPr>
                <w:rFonts w:ascii="Times New Roman" w:hAnsi="Times New Roman" w:hint="eastAsia"/>
                <w:b/>
                <w:kern w:val="2"/>
              </w:rPr>
              <w:t>年</w:t>
            </w:r>
            <w:r w:rsidRPr="000452E1">
              <w:rPr>
                <w:rFonts w:ascii="Times New Roman" w:hAnsi="Times New Roman" w:hint="eastAsia"/>
                <w:b/>
                <w:kern w:val="2"/>
              </w:rPr>
              <w:t>1</w:t>
            </w:r>
            <w:r w:rsidRPr="000452E1">
              <w:rPr>
                <w:rFonts w:ascii="Times New Roman" w:hAnsi="Times New Roman" w:hint="eastAsia"/>
                <w:b/>
                <w:kern w:val="2"/>
              </w:rPr>
              <w:t>月</w:t>
            </w:r>
            <w:r w:rsidRPr="000452E1">
              <w:rPr>
                <w:rFonts w:ascii="Times New Roman" w:hAnsi="Times New Roman" w:hint="eastAsia"/>
                <w:b/>
                <w:kern w:val="2"/>
              </w:rPr>
              <w:t>1</w:t>
            </w:r>
            <w:r w:rsidRPr="000452E1">
              <w:rPr>
                <w:rFonts w:ascii="Times New Roman" w:hAnsi="Times New Roman" w:hint="eastAsia"/>
                <w:b/>
                <w:kern w:val="2"/>
              </w:rPr>
              <w:t>日至</w:t>
            </w:r>
            <w:r w:rsidRPr="000452E1">
              <w:rPr>
                <w:rFonts w:ascii="Times New Roman" w:hAnsi="Times New Roman" w:hint="eastAsia"/>
                <w:b/>
                <w:kern w:val="2"/>
              </w:rPr>
              <w:t>2016</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41,456,938.84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41,456,938.84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12,464,791.37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12,464,791.37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1,967,400,824.52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1,967,400,824.52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3,009,771,266.28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3,009,771,266.28</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-1,042,370,441.76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-1,042,370,441.76</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lastRenderedPageBreak/>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lastRenderedPageBreak/>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-12,464,791.37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-12,464,791.37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lastRenderedPageBreak/>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2,008,857,763.36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2,008,857,763.36</w:t>
            </w:r>
          </w:p>
        </w:tc>
      </w:tr>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上年度可比期间</w:t>
            </w:r>
          </w:p>
          <w:p w:rsidR="00223DFB" w:rsidRPr="00A96CD0" w:rsidRDefault="00D953F0" w:rsidP="00A96CD0">
            <w:pPr>
              <w:pStyle w:val="af6"/>
              <w:spacing w:before="29" w:beforeAutospacing="0" w:after="0" w:afterAutospacing="0" w:line="288" w:lineRule="auto"/>
              <w:jc w:val="center"/>
              <w:rPr>
                <w:rFonts w:ascii="Times New Roman" w:hAnsi="Times New Roman"/>
                <w:b/>
                <w:kern w:val="2"/>
              </w:rPr>
            </w:pPr>
            <w:r w:rsidRPr="00A96CD0">
              <w:rPr>
                <w:rFonts w:ascii="Times New Roman" w:hAnsi="Times New Roman" w:hint="eastAsia"/>
                <w:b/>
                <w:kern w:val="2"/>
              </w:rPr>
              <w:t>2015</w:t>
            </w:r>
            <w:r w:rsidRPr="00A96CD0">
              <w:rPr>
                <w:rFonts w:ascii="Times New Roman" w:hAnsi="Times New Roman" w:hint="eastAsia"/>
                <w:b/>
                <w:kern w:val="2"/>
              </w:rPr>
              <w:t>年</w:t>
            </w:r>
            <w:r w:rsidRPr="00A96CD0">
              <w:rPr>
                <w:rFonts w:ascii="Times New Roman" w:hAnsi="Times New Roman" w:hint="eastAsia"/>
                <w:b/>
                <w:kern w:val="2"/>
              </w:rPr>
              <w:t>1</w:t>
            </w:r>
            <w:r w:rsidRPr="00A96CD0">
              <w:rPr>
                <w:rFonts w:ascii="Times New Roman" w:hAnsi="Times New Roman" w:hint="eastAsia"/>
                <w:b/>
                <w:kern w:val="2"/>
              </w:rPr>
              <w:t>月</w:t>
            </w:r>
            <w:r w:rsidRPr="00A96CD0">
              <w:rPr>
                <w:rFonts w:ascii="Times New Roman" w:hAnsi="Times New Roman" w:hint="eastAsia"/>
                <w:b/>
                <w:kern w:val="2"/>
              </w:rPr>
              <w:t>1</w:t>
            </w:r>
            <w:r w:rsidRPr="00A96CD0">
              <w:rPr>
                <w:rFonts w:ascii="Times New Roman" w:hAnsi="Times New Roman" w:hint="eastAsia"/>
                <w:b/>
                <w:kern w:val="2"/>
              </w:rPr>
              <w:t>日至</w:t>
            </w:r>
            <w:r w:rsidRPr="00A96CD0">
              <w:rPr>
                <w:rFonts w:ascii="Times New Roman" w:hAnsi="Times New Roman" w:hint="eastAsia"/>
                <w:b/>
                <w:kern w:val="2"/>
              </w:rPr>
              <w:t>2015</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31</w:t>
            </w:r>
            <w:r w:rsidRPr="00A96CD0">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236,301,902.14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236,301,902.14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10,407,480.44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10,407,480.44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-194,844,963.30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-194,844,963.30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其中：</w:t>
            </w:r>
            <w:r w:rsidR="006251B3" w:rsidRPr="000452E1">
              <w:rPr>
                <w:rFonts w:hint="eastAsia"/>
                <w:sz w:val="24"/>
              </w:rPr>
              <w:t>1</w:t>
            </w:r>
            <w:r w:rsidRPr="000452E1">
              <w:rPr>
                <w:rFonts w:hint="eastAsia"/>
                <w:sz w:val="24"/>
              </w:rPr>
              <w:t>.</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496,210,370.67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496,210,370.67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E80C56" w:rsidP="000452E1">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-691,055,333.97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-691,055,333.97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-10,407,480.44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-10,407,480.44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41,456,938.84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41,456,938.84</w:t>
            </w:r>
          </w:p>
        </w:tc>
      </w:tr>
    </w:tbl>
    <w:p w:rsidR="00223DFB" w:rsidRPr="00CB1276" w:rsidRDefault="00223DFB" w:rsidP="00CB1276">
      <w:pPr>
        <w:spacing w:line="360" w:lineRule="auto"/>
        <w:ind w:firstLineChars="200" w:firstLine="420"/>
        <w:jc w:val="left"/>
        <w:rPr>
          <w:rFonts w:asciiTheme="minorEastAsia" w:eastAsiaTheme="minorEastAsia" w:hAnsiTheme="minorEastAsia"/>
          <w:kern w:val="0"/>
          <w:szCs w:val="21"/>
        </w:rPr>
      </w:pPr>
    </w:p>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负责人：阮红，主管会计工作负责人：夏华龙，会计机构负责人：单江</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9" w:name="_Toc331410100"/>
      <w:bookmarkStart w:id="10" w:name="_Toc225498271"/>
      <w:r w:rsidRPr="006B06B5">
        <w:rPr>
          <w:rFonts w:ascii="Times New Roman" w:hAnsi="Times New Roman" w:cs="Times New Roman" w:hint="eastAsia"/>
          <w:kern w:val="0"/>
          <w:szCs w:val="24"/>
        </w:rPr>
        <w:t xml:space="preserve">7.4 </w:t>
      </w:r>
      <w:r w:rsidRPr="006B06B5">
        <w:rPr>
          <w:rFonts w:ascii="Times New Roman" w:hAnsi="Times New Roman" w:cs="Times New Roman" w:hint="eastAsia"/>
          <w:kern w:val="0"/>
          <w:szCs w:val="24"/>
        </w:rPr>
        <w:t>报表附注</w:t>
      </w:r>
      <w:bookmarkEnd w:id="9"/>
      <w:bookmarkEnd w:id="10"/>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C66612" w:rsidRDefault="00B06F03">
      <w:pPr>
        <w:spacing w:before="29" w:line="288" w:lineRule="auto"/>
        <w:ind w:firstLineChars="200" w:firstLine="480"/>
        <w:rPr>
          <w:color w:val="000000"/>
          <w:sz w:val="24"/>
        </w:rPr>
      </w:pPr>
      <w:r>
        <w:rPr>
          <w:rFonts w:hint="eastAsia"/>
          <w:color w:val="000000"/>
          <w:sz w:val="24"/>
        </w:rPr>
        <w:t>交银施罗德理财</w:t>
      </w:r>
      <w:r>
        <w:rPr>
          <w:rFonts w:hint="eastAsia"/>
          <w:color w:val="000000"/>
          <w:sz w:val="24"/>
        </w:rPr>
        <w:t>60</w:t>
      </w:r>
      <w:r>
        <w:rPr>
          <w:rFonts w:hint="eastAsia"/>
          <w:color w:val="000000"/>
          <w:sz w:val="24"/>
        </w:rPr>
        <w:t>天债券型证券投资基金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证监许可</w:t>
      </w:r>
      <w:r>
        <w:rPr>
          <w:rFonts w:hint="eastAsia"/>
          <w:color w:val="000000"/>
          <w:sz w:val="24"/>
        </w:rPr>
        <w:t>[2012]1768</w:t>
      </w:r>
      <w:r>
        <w:rPr>
          <w:rFonts w:hint="eastAsia"/>
          <w:color w:val="000000"/>
          <w:sz w:val="24"/>
        </w:rPr>
        <w:t>号《关于核准交银施罗德理财</w:t>
      </w:r>
      <w:r>
        <w:rPr>
          <w:rFonts w:hint="eastAsia"/>
          <w:color w:val="000000"/>
          <w:sz w:val="24"/>
        </w:rPr>
        <w:t>60</w:t>
      </w:r>
      <w:r>
        <w:rPr>
          <w:rFonts w:hint="eastAsia"/>
          <w:color w:val="000000"/>
          <w:sz w:val="24"/>
        </w:rPr>
        <w:t>天债券型证券投资基金募集的批复》核准，由交银施罗德基金管理有限公司依照《中华人民共和国证券投资基金法》和《交银施罗德理财</w:t>
      </w:r>
      <w:r>
        <w:rPr>
          <w:rFonts w:hint="eastAsia"/>
          <w:color w:val="000000"/>
          <w:sz w:val="24"/>
        </w:rPr>
        <w:t>60</w:t>
      </w:r>
      <w:r>
        <w:rPr>
          <w:rFonts w:hint="eastAsia"/>
          <w:color w:val="000000"/>
          <w:sz w:val="24"/>
        </w:rPr>
        <w:t>天债券型证券投资基金基金合</w:t>
      </w:r>
      <w:r>
        <w:rPr>
          <w:rFonts w:hint="eastAsia"/>
          <w:color w:val="000000"/>
          <w:sz w:val="24"/>
        </w:rPr>
        <w:lastRenderedPageBreak/>
        <w:t>同》负责公开募集。本基金为契约型开放式证券投资基金，存续期限不定。首次设立募集不包括认购资金利息共募集人民币</w:t>
      </w:r>
      <w:r>
        <w:rPr>
          <w:rFonts w:hint="eastAsia"/>
          <w:color w:val="000000"/>
          <w:sz w:val="24"/>
        </w:rPr>
        <w:t>777,735,040.55</w:t>
      </w:r>
      <w:r>
        <w:rPr>
          <w:rFonts w:hint="eastAsia"/>
          <w:color w:val="000000"/>
          <w:sz w:val="24"/>
        </w:rPr>
        <w:t>元，业经普华永道中天会计师事务所有限公司普华永道中天验字</w:t>
      </w:r>
      <w:r>
        <w:rPr>
          <w:rFonts w:hint="eastAsia"/>
          <w:color w:val="000000"/>
          <w:sz w:val="24"/>
        </w:rPr>
        <w:t>(2013)</w:t>
      </w:r>
      <w:r>
        <w:rPr>
          <w:rFonts w:hint="eastAsia"/>
          <w:color w:val="000000"/>
          <w:sz w:val="24"/>
        </w:rPr>
        <w:t>第</w:t>
      </w:r>
      <w:r>
        <w:rPr>
          <w:rFonts w:hint="eastAsia"/>
          <w:color w:val="000000"/>
          <w:sz w:val="24"/>
        </w:rPr>
        <w:t>131</w:t>
      </w:r>
      <w:r>
        <w:rPr>
          <w:rFonts w:hint="eastAsia"/>
          <w:color w:val="000000"/>
          <w:sz w:val="24"/>
        </w:rPr>
        <w:t>号验资报告予以验证。经向中国证监会备案，《交银施罗德理财</w:t>
      </w:r>
      <w:r>
        <w:rPr>
          <w:rFonts w:hint="eastAsia"/>
          <w:color w:val="000000"/>
          <w:sz w:val="24"/>
        </w:rPr>
        <w:t>60</w:t>
      </w:r>
      <w:r>
        <w:rPr>
          <w:rFonts w:hint="eastAsia"/>
          <w:color w:val="000000"/>
          <w:sz w:val="24"/>
        </w:rPr>
        <w:t>天债券型证券投资基金基金合同》于</w:t>
      </w:r>
      <w:r>
        <w:rPr>
          <w:rFonts w:hint="eastAsia"/>
          <w:color w:val="000000"/>
          <w:sz w:val="24"/>
        </w:rPr>
        <w:t>2013</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13</w:t>
      </w:r>
      <w:r>
        <w:rPr>
          <w:rFonts w:hint="eastAsia"/>
          <w:color w:val="000000"/>
          <w:sz w:val="24"/>
        </w:rPr>
        <w:t>日正式生效，基金合同生效日的基金份额总额为</w:t>
      </w:r>
      <w:r>
        <w:rPr>
          <w:rFonts w:hint="eastAsia"/>
          <w:color w:val="000000"/>
          <w:sz w:val="24"/>
        </w:rPr>
        <w:t>777,917,201.14</w:t>
      </w:r>
      <w:r>
        <w:rPr>
          <w:rFonts w:hint="eastAsia"/>
          <w:color w:val="000000"/>
          <w:sz w:val="24"/>
        </w:rPr>
        <w:t>份基金份额，其中认购资金利息折合</w:t>
      </w:r>
      <w:r>
        <w:rPr>
          <w:rFonts w:hint="eastAsia"/>
          <w:color w:val="000000"/>
          <w:sz w:val="24"/>
        </w:rPr>
        <w:t>182,160.59</w:t>
      </w:r>
      <w:r>
        <w:rPr>
          <w:rFonts w:hint="eastAsia"/>
          <w:color w:val="000000"/>
          <w:sz w:val="24"/>
        </w:rPr>
        <w:t>份基金份额。本基金的基金管理人为交银施罗德基金管理有限公司，基金托管人为中国建设银行股份有限公司。</w:t>
      </w:r>
    </w:p>
    <w:p w:rsidR="00C66612" w:rsidRDefault="00B06F03">
      <w:pPr>
        <w:spacing w:before="29" w:line="288" w:lineRule="auto"/>
        <w:ind w:firstLineChars="200" w:firstLine="480"/>
        <w:rPr>
          <w:color w:val="000000"/>
          <w:sz w:val="24"/>
        </w:rPr>
      </w:pPr>
      <w:r>
        <w:rPr>
          <w:rFonts w:hint="eastAsia"/>
          <w:color w:val="000000"/>
          <w:sz w:val="24"/>
        </w:rPr>
        <w:t>根据《交银施罗德理财</w:t>
      </w:r>
      <w:r>
        <w:rPr>
          <w:rFonts w:hint="eastAsia"/>
          <w:color w:val="000000"/>
          <w:sz w:val="24"/>
        </w:rPr>
        <w:t>60</w:t>
      </w:r>
      <w:r>
        <w:rPr>
          <w:rFonts w:hint="eastAsia"/>
          <w:color w:val="000000"/>
          <w:sz w:val="24"/>
        </w:rPr>
        <w:t>天债券型证券投资基金基金合同》和《交银施罗德理财</w:t>
      </w:r>
      <w:r>
        <w:rPr>
          <w:rFonts w:hint="eastAsia"/>
          <w:color w:val="000000"/>
          <w:sz w:val="24"/>
        </w:rPr>
        <w:t>60</w:t>
      </w:r>
      <w:r>
        <w:rPr>
          <w:rFonts w:hint="eastAsia"/>
          <w:color w:val="000000"/>
          <w:sz w:val="24"/>
        </w:rPr>
        <w:t>天债券型证券投资基金招募说明书》，本基金根据投资人持有本基金的份额数量，对投资人持有的基金份额按照不同的费率计提销售服务费用，因此形成</w:t>
      </w:r>
      <w:r>
        <w:rPr>
          <w:rFonts w:hint="eastAsia"/>
          <w:color w:val="000000"/>
          <w:sz w:val="24"/>
        </w:rPr>
        <w:t>A</w:t>
      </w:r>
      <w:r>
        <w:rPr>
          <w:rFonts w:hint="eastAsia"/>
          <w:color w:val="000000"/>
          <w:sz w:val="24"/>
        </w:rPr>
        <w:t>类和</w:t>
      </w:r>
      <w:r>
        <w:rPr>
          <w:rFonts w:hint="eastAsia"/>
          <w:color w:val="000000"/>
          <w:sz w:val="24"/>
        </w:rPr>
        <w:t>B</w:t>
      </w:r>
      <w:r>
        <w:rPr>
          <w:rFonts w:hint="eastAsia"/>
          <w:color w:val="000000"/>
          <w:sz w:val="24"/>
        </w:rPr>
        <w:t>类两类基金份额。两类基金份额分别公布每万份基金净收益和七日年化收益率。</w:t>
      </w:r>
    </w:p>
    <w:p w:rsidR="00C66612" w:rsidRDefault="00B06F03">
      <w:pPr>
        <w:spacing w:before="29" w:line="288" w:lineRule="auto"/>
        <w:ind w:firstLineChars="200" w:firstLine="480"/>
        <w:rPr>
          <w:color w:val="000000"/>
          <w:sz w:val="24"/>
        </w:rPr>
      </w:pPr>
      <w:r>
        <w:rPr>
          <w:rFonts w:hint="eastAsia"/>
          <w:color w:val="000000"/>
          <w:sz w:val="24"/>
        </w:rPr>
        <w:t>根据《中华人民共和国证券投资基金法》和《交银施罗德理财</w:t>
      </w:r>
      <w:r>
        <w:rPr>
          <w:rFonts w:hint="eastAsia"/>
          <w:color w:val="000000"/>
          <w:sz w:val="24"/>
        </w:rPr>
        <w:t>60</w:t>
      </w:r>
      <w:r>
        <w:rPr>
          <w:rFonts w:hint="eastAsia"/>
          <w:color w:val="000000"/>
          <w:sz w:val="24"/>
        </w:rPr>
        <w:t>天债券型证券投资基金基金合同》的有关规定，本基金的投资范围为具有良好流动性的金融工具，包括现金，通知存款，一年以内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的银行定期存款和大额存单，剩余期限</w:t>
      </w:r>
      <w:r>
        <w:rPr>
          <w:rFonts w:hint="eastAsia"/>
          <w:color w:val="000000"/>
          <w:sz w:val="24"/>
        </w:rPr>
        <w:t>(</w:t>
      </w:r>
      <w:r>
        <w:rPr>
          <w:rFonts w:hint="eastAsia"/>
          <w:color w:val="000000"/>
          <w:sz w:val="24"/>
        </w:rPr>
        <w:t>或回售期限</w:t>
      </w:r>
      <w:r>
        <w:rPr>
          <w:rFonts w:hint="eastAsia"/>
          <w:color w:val="000000"/>
          <w:sz w:val="24"/>
        </w:rPr>
        <w:t>)</w:t>
      </w:r>
      <w:r>
        <w:rPr>
          <w:rFonts w:hint="eastAsia"/>
          <w:color w:val="000000"/>
          <w:sz w:val="24"/>
        </w:rPr>
        <w:t>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的债券、资产支持证券和中期票据，期限在一年以内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的债券回购，期限在一年以内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的中央银行票据和短期融资券，以及法律法规或中国证监会允许本基金投资的其他固定收益类金融工具及相关衍生工具</w:t>
      </w:r>
      <w:r>
        <w:rPr>
          <w:rFonts w:hint="eastAsia"/>
          <w:color w:val="000000"/>
          <w:sz w:val="24"/>
        </w:rPr>
        <w:t>(</w:t>
      </w:r>
      <w:r>
        <w:rPr>
          <w:rFonts w:hint="eastAsia"/>
          <w:color w:val="000000"/>
          <w:sz w:val="24"/>
        </w:rPr>
        <w:t>但须符合中国证监会相关规定</w:t>
      </w:r>
      <w:r>
        <w:rPr>
          <w:rFonts w:hint="eastAsia"/>
          <w:color w:val="000000"/>
          <w:sz w:val="24"/>
        </w:rPr>
        <w:t>)</w:t>
      </w:r>
      <w:r>
        <w:rPr>
          <w:rFonts w:hint="eastAsia"/>
          <w:color w:val="000000"/>
          <w:sz w:val="24"/>
        </w:rPr>
        <w:t>。如法律法规或监管机构以后允许本基金投资其他品种，基金管理人在履行适当程序后，可以将其纳入投资范围，其投资比例遵循届时有效法律法规或相关规定。本基金的业绩比较基准为：人民币七天通知存款税后利率。</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2017</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24</w:t>
      </w:r>
      <w:r w:rsidRPr="00FE0F8A">
        <w:rPr>
          <w:rFonts w:hint="eastAsia"/>
          <w:color w:val="000000"/>
          <w:sz w:val="24"/>
        </w:rPr>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C66612" w:rsidRDefault="00B06F03">
      <w:pPr>
        <w:spacing w:before="29" w:line="288" w:lineRule="auto"/>
        <w:ind w:firstLineChars="200" w:firstLine="480"/>
        <w:rPr>
          <w:color w:val="000000"/>
          <w:sz w:val="24"/>
        </w:rPr>
      </w:pPr>
      <w:r>
        <w:rPr>
          <w:rFonts w:hint="eastAsia"/>
          <w:color w:val="000000"/>
          <w:sz w:val="24"/>
        </w:rPr>
        <w:t>本基金的财务报表按照财政部于</w:t>
      </w:r>
      <w:r>
        <w:rPr>
          <w:rFonts w:hint="eastAsia"/>
          <w:color w:val="000000"/>
          <w:sz w:val="24"/>
        </w:rPr>
        <w:t>2006</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15</w:t>
      </w:r>
      <w:r>
        <w:rPr>
          <w:rFonts w:hint="eastAsia"/>
          <w:color w:val="000000"/>
          <w:sz w:val="24"/>
        </w:rPr>
        <w:t>日及以后期间颁布的《企业会计准则－基本准则》、各项具体会计准则及相关规定</w:t>
      </w:r>
      <w:r>
        <w:rPr>
          <w:rFonts w:hint="eastAsia"/>
          <w:color w:val="000000"/>
          <w:sz w:val="24"/>
        </w:rPr>
        <w:t>(</w:t>
      </w:r>
      <w:r>
        <w:rPr>
          <w:rFonts w:hint="eastAsia"/>
          <w:color w:val="000000"/>
          <w:sz w:val="24"/>
        </w:rPr>
        <w:t>以下合称“企业会计准则”</w:t>
      </w:r>
      <w:r>
        <w:rPr>
          <w:rFonts w:hint="eastAsia"/>
          <w:color w:val="000000"/>
          <w:sz w:val="24"/>
        </w:rPr>
        <w:t>)</w:t>
      </w:r>
      <w:r>
        <w:rPr>
          <w:rFonts w:hint="eastAsia"/>
          <w:color w:val="000000"/>
          <w:sz w:val="24"/>
        </w:rPr>
        <w:t>、中国证监会颁布的《证券投资基金信息披露</w:t>
      </w:r>
      <w:r>
        <w:rPr>
          <w:rFonts w:hint="eastAsia"/>
          <w:color w:val="000000"/>
          <w:sz w:val="24"/>
        </w:rPr>
        <w:t>XBRL</w:t>
      </w:r>
      <w:r>
        <w:rPr>
          <w:rFonts w:hint="eastAsia"/>
          <w:color w:val="000000"/>
          <w:sz w:val="24"/>
        </w:rPr>
        <w:t>模板第</w:t>
      </w:r>
      <w:r>
        <w:rPr>
          <w:rFonts w:hint="eastAsia"/>
          <w:color w:val="000000"/>
          <w:sz w:val="24"/>
        </w:rPr>
        <w:t>3</w:t>
      </w:r>
      <w:r>
        <w:rPr>
          <w:rFonts w:hint="eastAsia"/>
          <w:color w:val="000000"/>
          <w:sz w:val="24"/>
        </w:rPr>
        <w:t>号</w:t>
      </w:r>
      <w:r>
        <w:rPr>
          <w:rFonts w:hint="eastAsia"/>
          <w:color w:val="000000"/>
          <w:sz w:val="24"/>
        </w:rPr>
        <w:t>&lt;</w:t>
      </w:r>
      <w:r>
        <w:rPr>
          <w:rFonts w:hint="eastAsia"/>
          <w:color w:val="000000"/>
          <w:sz w:val="24"/>
        </w:rPr>
        <w:t>年度报告和半年度报告</w:t>
      </w:r>
      <w:r>
        <w:rPr>
          <w:rFonts w:hint="eastAsia"/>
          <w:color w:val="000000"/>
          <w:sz w:val="24"/>
        </w:rPr>
        <w:t>&gt;</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颁布的《证券投资基金会计核算业务指引》、《交银施罗德理财</w:t>
      </w:r>
      <w:r>
        <w:rPr>
          <w:rFonts w:hint="eastAsia"/>
          <w:color w:val="000000"/>
          <w:sz w:val="24"/>
        </w:rPr>
        <w:t>60</w:t>
      </w:r>
      <w:r>
        <w:rPr>
          <w:rFonts w:hint="eastAsia"/>
          <w:color w:val="000000"/>
          <w:sz w:val="24"/>
        </w:rPr>
        <w:t>天债券型证券投资基金基金合同》和在财务报表附注</w:t>
      </w:r>
      <w:r>
        <w:rPr>
          <w:rFonts w:hint="eastAsia"/>
          <w:color w:val="000000"/>
          <w:sz w:val="24"/>
        </w:rPr>
        <w:t>7.4.4</w:t>
      </w:r>
      <w:r>
        <w:rPr>
          <w:rFonts w:hint="eastAsia"/>
          <w:color w:val="000000"/>
          <w:sz w:val="24"/>
        </w:rPr>
        <w:t>所列示的中国证监会、中国基金业协会发布的有关规定及允许的基金行业实务操作编制。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w:t>
      </w:r>
      <w:r w:rsidRPr="00FE0F8A">
        <w:rPr>
          <w:rFonts w:hint="eastAsia"/>
          <w:color w:val="000000"/>
          <w:sz w:val="24"/>
        </w:rPr>
        <w:t>2016</w:t>
      </w:r>
      <w:r w:rsidRPr="00FE0F8A">
        <w:rPr>
          <w:rFonts w:hint="eastAsia"/>
          <w:color w:val="000000"/>
          <w:sz w:val="24"/>
        </w:rPr>
        <w:t>年度财务报表符合企业会计准则的要求，真实、完整地反映了本基金</w:t>
      </w:r>
      <w:r w:rsidRPr="00FE0F8A">
        <w:rPr>
          <w:rFonts w:hint="eastAsia"/>
          <w:color w:val="000000"/>
          <w:sz w:val="24"/>
        </w:rPr>
        <w:t>2016</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2016</w:t>
      </w:r>
      <w:r w:rsidRPr="00FE0F8A">
        <w:rPr>
          <w:rFonts w:hint="eastAsia"/>
          <w:color w:val="000000"/>
          <w:sz w:val="24"/>
        </w:rPr>
        <w:t>年度的经营成果和基金净值变动情况等有关信息。</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lastRenderedPageBreak/>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本报告期所采用的会计政策、会计估计与最近一期年度报告相一致的说明</w:t>
      </w:r>
    </w:p>
    <w:p w:rsidR="00223DFB" w:rsidRDefault="00223DFB" w:rsidP="00FE0F8A">
      <w:pPr>
        <w:spacing w:before="29" w:line="288" w:lineRule="auto"/>
        <w:ind w:firstLineChars="200" w:firstLine="480"/>
        <w:rPr>
          <w:color w:val="000000"/>
          <w:sz w:val="24"/>
        </w:rPr>
      </w:pPr>
      <w:r w:rsidRPr="00FE0F8A">
        <w:rPr>
          <w:rFonts w:hint="eastAsia"/>
          <w:color w:val="000000"/>
          <w:sz w:val="24"/>
        </w:rPr>
        <w:t>本报告期所采用的会计政策、会计估计与最近一期年度报告相一致。</w:t>
      </w:r>
    </w:p>
    <w:p w:rsidR="002D71DA" w:rsidRPr="002D71DA" w:rsidRDefault="002D71DA" w:rsidP="00FE0F8A">
      <w:pPr>
        <w:spacing w:before="29" w:line="288" w:lineRule="auto"/>
        <w:ind w:firstLineChars="200" w:firstLine="480"/>
        <w:rPr>
          <w:color w:val="000000"/>
          <w:sz w:val="24"/>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本基金本报告期未发生会计政策变更。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本基金本报告期未发生会计估计变更。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本基金在本报告期间无需说明的会计差错更正。</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C66612" w:rsidRDefault="00B06F03">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[2004]78</w:t>
      </w:r>
      <w:r>
        <w:rPr>
          <w:rFonts w:hint="eastAsia"/>
          <w:color w:val="000000"/>
          <w:sz w:val="24"/>
        </w:rPr>
        <w:t>号《财政部、国家税务总局关于证券投资基金税收政策的通知》</w:t>
      </w:r>
      <w:r>
        <w:rPr>
          <w:rFonts w:hint="eastAsia"/>
          <w:color w:val="000000"/>
          <w:sz w:val="24"/>
        </w:rPr>
        <w:t xml:space="preserve"> </w:t>
      </w:r>
      <w:r>
        <w:rPr>
          <w:rFonts w:hint="eastAsia"/>
          <w:color w:val="000000"/>
          <w:sz w:val="24"/>
        </w:rPr>
        <w:t>、财税</w:t>
      </w:r>
      <w:r>
        <w:rPr>
          <w:rFonts w:hint="eastAsia"/>
          <w:color w:val="000000"/>
          <w:sz w:val="24"/>
        </w:rPr>
        <w:t>[2008]1</w:t>
      </w:r>
      <w:r>
        <w:rPr>
          <w:rFonts w:hint="eastAsia"/>
          <w:color w:val="000000"/>
          <w:sz w:val="24"/>
        </w:rPr>
        <w:t>号《关于企业所得税若干优惠政策的通知》、财税</w:t>
      </w:r>
      <w:r>
        <w:rPr>
          <w:rFonts w:hint="eastAsia"/>
          <w:color w:val="000000"/>
          <w:sz w:val="24"/>
        </w:rPr>
        <w:t>[2016]36</w:t>
      </w:r>
      <w:r>
        <w:rPr>
          <w:rFonts w:hint="eastAsia"/>
          <w:color w:val="000000"/>
          <w:sz w:val="24"/>
        </w:rPr>
        <w:t>号《关于全面推开营业税改征增值税试点的通知》、财税</w:t>
      </w:r>
      <w:r>
        <w:rPr>
          <w:rFonts w:hint="eastAsia"/>
          <w:color w:val="000000"/>
          <w:sz w:val="24"/>
        </w:rPr>
        <w:t>[2016]46</w:t>
      </w:r>
      <w:r>
        <w:rPr>
          <w:rFonts w:hint="eastAsia"/>
          <w:color w:val="000000"/>
          <w:sz w:val="24"/>
        </w:rPr>
        <w:t>号《关于进一步明确全面推开营改增试点金融业有关政策的通知》、财税</w:t>
      </w:r>
      <w:r>
        <w:rPr>
          <w:rFonts w:hint="eastAsia"/>
          <w:color w:val="000000"/>
          <w:sz w:val="24"/>
        </w:rPr>
        <w:t>[2016]70</w:t>
      </w:r>
      <w:r>
        <w:rPr>
          <w:rFonts w:hint="eastAsia"/>
          <w:color w:val="000000"/>
          <w:sz w:val="24"/>
        </w:rPr>
        <w:t>号《关于金融机构同业往来等增值税政策的补充通知》及其他相关财税法规和实务操作，主要税项列示如下：</w:t>
      </w:r>
    </w:p>
    <w:p w:rsidR="00C66612" w:rsidRDefault="00B06F03">
      <w:pPr>
        <w:spacing w:before="29" w:line="288" w:lineRule="auto"/>
        <w:ind w:firstLineChars="200" w:firstLine="480"/>
        <w:rPr>
          <w:color w:val="000000"/>
          <w:sz w:val="24"/>
        </w:rPr>
      </w:pPr>
      <w:r>
        <w:rPr>
          <w:rFonts w:hint="eastAsia"/>
          <w:color w:val="000000"/>
          <w:sz w:val="24"/>
        </w:rPr>
        <w:t>(1)</w:t>
      </w:r>
      <w:r>
        <w:rPr>
          <w:rFonts w:hint="eastAsia"/>
          <w:color w:val="000000"/>
          <w:sz w:val="24"/>
        </w:rPr>
        <w:t>于</w:t>
      </w:r>
      <w:r>
        <w:rPr>
          <w:rFonts w:hint="eastAsia"/>
          <w:color w:val="000000"/>
          <w:sz w:val="24"/>
        </w:rPr>
        <w:t>2016</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1</w:t>
      </w:r>
      <w:r>
        <w:rPr>
          <w:rFonts w:hint="eastAsia"/>
          <w:color w:val="000000"/>
          <w:sz w:val="24"/>
        </w:rPr>
        <w:t>日前，以发行基金方式募集资金不属于营业税征收范围，不征收营业税。对证券投资基金管理人运用基金买卖债券的差价收入免征营业税。自</w:t>
      </w:r>
      <w:r>
        <w:rPr>
          <w:rFonts w:hint="eastAsia"/>
          <w:color w:val="000000"/>
          <w:sz w:val="24"/>
        </w:rPr>
        <w:t>2016</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1</w:t>
      </w:r>
      <w:r>
        <w:rPr>
          <w:rFonts w:hint="eastAsia"/>
          <w:color w:val="000000"/>
          <w:sz w:val="24"/>
        </w:rPr>
        <w:t>日起，金融业由缴纳营业税改为缴纳增值税。对证券投资基金管理人运用基金买卖债券的转让收入免征增值税，对国债、地方政府债以及金融同业往来利息收入亦免征增值税</w:t>
      </w:r>
      <w:r>
        <w:rPr>
          <w:rFonts w:hint="eastAsia"/>
          <w:color w:val="000000"/>
          <w:sz w:val="24"/>
        </w:rPr>
        <w:t xml:space="preserve"> </w:t>
      </w:r>
      <w:r>
        <w:rPr>
          <w:rFonts w:hint="eastAsia"/>
          <w:color w:val="000000"/>
          <w:sz w:val="24"/>
        </w:rPr>
        <w:t>。</w:t>
      </w:r>
    </w:p>
    <w:p w:rsidR="00C66612" w:rsidRDefault="00B06F03">
      <w:pPr>
        <w:spacing w:before="29" w:line="288" w:lineRule="auto"/>
        <w:ind w:firstLineChars="200" w:firstLine="480"/>
        <w:rPr>
          <w:color w:val="000000"/>
          <w:sz w:val="24"/>
        </w:rPr>
      </w:pPr>
      <w:r>
        <w:rPr>
          <w:rFonts w:hint="eastAsia"/>
          <w:color w:val="000000"/>
          <w:sz w:val="24"/>
        </w:rPr>
        <w:t>(2)</w:t>
      </w:r>
      <w:r>
        <w:rPr>
          <w:rFonts w:hint="eastAsia"/>
          <w:color w:val="000000"/>
          <w:sz w:val="24"/>
        </w:rPr>
        <w:t>对基金从证券市场中取得的收入，包括买卖债券的差价收入，债券的利息收入及其他收入，暂不征收企业所得税。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(3)</w:t>
      </w:r>
      <w:r w:rsidRPr="00FE0F8A">
        <w:rPr>
          <w:rFonts w:hint="eastAsia"/>
          <w:color w:val="000000"/>
          <w:sz w:val="24"/>
        </w:rPr>
        <w:t>对基金取得的企业债券利息收入，应由发行债券的企业在向基金支付利息时代扣代缴</w:t>
      </w:r>
      <w:r w:rsidRPr="00FE0F8A">
        <w:rPr>
          <w:rFonts w:hint="eastAsia"/>
          <w:color w:val="000000"/>
          <w:sz w:val="24"/>
        </w:rPr>
        <w:t>20%</w:t>
      </w:r>
      <w:r w:rsidRPr="00FE0F8A">
        <w:rPr>
          <w:rFonts w:hint="eastAsia"/>
          <w:color w:val="000000"/>
          <w:sz w:val="24"/>
        </w:rPr>
        <w:t>的个人所得税。</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C66612">
        <w:tc>
          <w:tcPr>
            <w:tcW w:w="4499" w:type="dxa"/>
            <w:vAlign w:val="center"/>
          </w:tcPr>
          <w:p w:rsidR="00C66612" w:rsidRDefault="00B06F03">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C66612" w:rsidRDefault="00B06F03">
            <w:pPr>
              <w:jc w:val="left"/>
            </w:pPr>
            <w:r>
              <w:rPr>
                <w:rFonts w:hint="eastAsia"/>
                <w:color w:val="000000"/>
                <w:sz w:val="24"/>
              </w:rPr>
              <w:t>基金管理人、基金销售机构</w:t>
            </w:r>
          </w:p>
        </w:tc>
      </w:tr>
      <w:tr w:rsidR="00C66612">
        <w:tc>
          <w:tcPr>
            <w:tcW w:w="4499" w:type="dxa"/>
            <w:vAlign w:val="center"/>
          </w:tcPr>
          <w:p w:rsidR="00C66612" w:rsidRDefault="00B06F03">
            <w:pPr>
              <w:jc w:val="left"/>
            </w:pPr>
            <w:r>
              <w:rPr>
                <w:rFonts w:hint="eastAsia"/>
                <w:color w:val="000000"/>
                <w:sz w:val="24"/>
              </w:rPr>
              <w:t>中国建设银行股份有限公司</w:t>
            </w:r>
            <w:r>
              <w:rPr>
                <w:rFonts w:hint="eastAsia"/>
                <w:color w:val="000000"/>
                <w:sz w:val="24"/>
              </w:rPr>
              <w:t>(</w:t>
            </w:r>
            <w:r>
              <w:rPr>
                <w:rFonts w:hint="eastAsia"/>
                <w:color w:val="000000"/>
                <w:sz w:val="24"/>
              </w:rPr>
              <w:t>“中国建设银行”</w:t>
            </w:r>
            <w:r>
              <w:rPr>
                <w:rFonts w:hint="eastAsia"/>
                <w:color w:val="000000"/>
                <w:sz w:val="24"/>
              </w:rPr>
              <w:t>)</w:t>
            </w:r>
          </w:p>
        </w:tc>
        <w:tc>
          <w:tcPr>
            <w:tcW w:w="4499" w:type="dxa"/>
            <w:vAlign w:val="center"/>
          </w:tcPr>
          <w:p w:rsidR="00C66612" w:rsidRDefault="00B06F03">
            <w:pPr>
              <w:jc w:val="left"/>
            </w:pPr>
            <w:r>
              <w:rPr>
                <w:rFonts w:hint="eastAsia"/>
                <w:color w:val="000000"/>
                <w:sz w:val="24"/>
              </w:rPr>
              <w:t>基金托管人、基金销售机构</w:t>
            </w:r>
          </w:p>
        </w:tc>
      </w:tr>
      <w:tr w:rsidR="00C66612">
        <w:tc>
          <w:tcPr>
            <w:tcW w:w="4499" w:type="dxa"/>
            <w:vAlign w:val="center"/>
          </w:tcPr>
          <w:p w:rsidR="00C66612" w:rsidRDefault="00B06F03">
            <w:pPr>
              <w:jc w:val="left"/>
            </w:pPr>
            <w:r>
              <w:rPr>
                <w:rFonts w:hint="eastAsia"/>
                <w:color w:val="000000"/>
                <w:sz w:val="24"/>
              </w:rPr>
              <w:lastRenderedPageBreak/>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4499" w:type="dxa"/>
            <w:vAlign w:val="center"/>
          </w:tcPr>
          <w:p w:rsidR="00C66612" w:rsidRDefault="00B06F03">
            <w:pPr>
              <w:jc w:val="left"/>
            </w:pPr>
            <w:r>
              <w:rPr>
                <w:rFonts w:hint="eastAsia"/>
                <w:color w:val="000000"/>
                <w:sz w:val="24"/>
              </w:rPr>
              <w:t>基金管理人的股东、基金销售机构</w:t>
            </w:r>
          </w:p>
        </w:tc>
      </w:tr>
      <w:tr w:rsidR="00C66612">
        <w:tc>
          <w:tcPr>
            <w:tcW w:w="4499" w:type="dxa"/>
            <w:vAlign w:val="center"/>
          </w:tcPr>
          <w:p w:rsidR="00C66612" w:rsidRDefault="00B06F03">
            <w:pPr>
              <w:jc w:val="left"/>
            </w:pPr>
            <w:r>
              <w:rPr>
                <w:rFonts w:hint="eastAsia"/>
                <w:color w:val="000000"/>
                <w:sz w:val="24"/>
              </w:rPr>
              <w:t>施罗德投资管理有限公司</w:t>
            </w:r>
          </w:p>
        </w:tc>
        <w:tc>
          <w:tcPr>
            <w:tcW w:w="4499" w:type="dxa"/>
            <w:vAlign w:val="center"/>
          </w:tcPr>
          <w:p w:rsidR="00C66612" w:rsidRDefault="00B06F03">
            <w:pPr>
              <w:jc w:val="left"/>
            </w:pPr>
            <w:r>
              <w:rPr>
                <w:rFonts w:hint="eastAsia"/>
                <w:color w:val="000000"/>
                <w:sz w:val="24"/>
              </w:rPr>
              <w:t>基金管理人的股东</w:t>
            </w:r>
          </w:p>
        </w:tc>
      </w:tr>
      <w:tr w:rsidR="00C66612">
        <w:tc>
          <w:tcPr>
            <w:tcW w:w="4499" w:type="dxa"/>
            <w:vAlign w:val="center"/>
          </w:tcPr>
          <w:p w:rsidR="00C66612" w:rsidRDefault="00B06F03">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C66612" w:rsidRDefault="00B06F03">
            <w:pPr>
              <w:jc w:val="left"/>
            </w:pPr>
            <w:r>
              <w:rPr>
                <w:rFonts w:hint="eastAsia"/>
                <w:color w:val="000000"/>
                <w:sz w:val="24"/>
              </w:rPr>
              <w:t>基金管理人的股东</w:t>
            </w:r>
          </w:p>
        </w:tc>
      </w:tr>
      <w:tr w:rsidR="00C66612">
        <w:tc>
          <w:tcPr>
            <w:tcW w:w="4499" w:type="dxa"/>
            <w:vAlign w:val="center"/>
          </w:tcPr>
          <w:p w:rsidR="00C66612" w:rsidRDefault="00B06F03">
            <w:pPr>
              <w:jc w:val="left"/>
            </w:pPr>
            <w:r>
              <w:rPr>
                <w:rFonts w:hint="eastAsia"/>
                <w:color w:val="000000"/>
                <w:sz w:val="24"/>
              </w:rPr>
              <w:t>交银施罗德资产管理有限公司</w:t>
            </w:r>
          </w:p>
        </w:tc>
        <w:tc>
          <w:tcPr>
            <w:tcW w:w="4499" w:type="dxa"/>
            <w:vAlign w:val="center"/>
          </w:tcPr>
          <w:p w:rsidR="00C66612" w:rsidRDefault="00B06F03">
            <w:pPr>
              <w:jc w:val="left"/>
            </w:pPr>
            <w:r>
              <w:rPr>
                <w:rFonts w:hint="eastAsia"/>
                <w:color w:val="000000"/>
                <w:sz w:val="24"/>
              </w:rPr>
              <w:t>基金管理人的子公司</w:t>
            </w:r>
          </w:p>
        </w:tc>
      </w:tr>
      <w:tr w:rsidR="00C66612">
        <w:tc>
          <w:tcPr>
            <w:tcW w:w="4499" w:type="dxa"/>
            <w:vAlign w:val="center"/>
          </w:tcPr>
          <w:p w:rsidR="00C66612" w:rsidRDefault="00B06F03">
            <w:pPr>
              <w:jc w:val="left"/>
            </w:pPr>
            <w:r>
              <w:rPr>
                <w:rFonts w:hint="eastAsia"/>
                <w:color w:val="000000"/>
                <w:sz w:val="24"/>
              </w:rPr>
              <w:t>上海直源投资管理有限公司</w:t>
            </w:r>
          </w:p>
        </w:tc>
        <w:tc>
          <w:tcPr>
            <w:tcW w:w="4499" w:type="dxa"/>
            <w:vAlign w:val="center"/>
          </w:tcPr>
          <w:p w:rsidR="00C66612" w:rsidRDefault="00B06F03">
            <w:pPr>
              <w:jc w:val="left"/>
            </w:pPr>
            <w:r>
              <w:rPr>
                <w:rFonts w:hint="eastAsia"/>
                <w:color w:val="000000"/>
                <w:sz w:val="24"/>
              </w:rPr>
              <w:t>受基金管理人控制的公司</w:t>
            </w:r>
          </w:p>
        </w:tc>
      </w:tr>
      <w:tr w:rsidR="00C66612">
        <w:tc>
          <w:tcPr>
            <w:tcW w:w="4499" w:type="dxa"/>
            <w:vAlign w:val="center"/>
          </w:tcPr>
          <w:p w:rsidR="00C66612" w:rsidRDefault="00B06F03">
            <w:pPr>
              <w:jc w:val="left"/>
            </w:pPr>
            <w:r>
              <w:rPr>
                <w:rFonts w:hint="eastAsia"/>
                <w:color w:val="000000"/>
                <w:sz w:val="24"/>
              </w:rPr>
              <w:t>交烨投资管理</w:t>
            </w:r>
            <w:r>
              <w:rPr>
                <w:rFonts w:hint="eastAsia"/>
                <w:color w:val="000000"/>
                <w:sz w:val="24"/>
              </w:rPr>
              <w:t>(</w:t>
            </w:r>
            <w:r>
              <w:rPr>
                <w:rFonts w:hint="eastAsia"/>
                <w:color w:val="000000"/>
                <w:sz w:val="24"/>
              </w:rPr>
              <w:t>上海</w:t>
            </w:r>
            <w:r>
              <w:rPr>
                <w:rFonts w:hint="eastAsia"/>
                <w:color w:val="000000"/>
                <w:sz w:val="24"/>
              </w:rPr>
              <w:t>)</w:t>
            </w:r>
            <w:r>
              <w:rPr>
                <w:rFonts w:hint="eastAsia"/>
                <w:color w:val="000000"/>
                <w:sz w:val="24"/>
              </w:rPr>
              <w:t>有限公司</w:t>
            </w:r>
          </w:p>
        </w:tc>
        <w:tc>
          <w:tcPr>
            <w:tcW w:w="4499" w:type="dxa"/>
            <w:vAlign w:val="center"/>
          </w:tcPr>
          <w:p w:rsidR="00C66612" w:rsidRDefault="00B06F03">
            <w:pPr>
              <w:jc w:val="left"/>
            </w:pPr>
            <w:r>
              <w:rPr>
                <w:rFonts w:hint="eastAsia"/>
                <w:color w:val="000000"/>
                <w:sz w:val="24"/>
              </w:rPr>
              <w:t>受基金管理人控制的公司</w:t>
            </w:r>
          </w:p>
        </w:tc>
      </w:tr>
    </w:tbl>
    <w:p w:rsidR="006D141C" w:rsidRPr="005124D4" w:rsidRDefault="006D141C" w:rsidP="005124D4">
      <w:pPr>
        <w:spacing w:before="29" w:line="288" w:lineRule="auto"/>
        <w:jc w:val="left"/>
        <w:rPr>
          <w:kern w:val="0"/>
          <w:sz w:val="24"/>
        </w:rPr>
      </w:pPr>
      <w:r w:rsidRPr="005124D4">
        <w:rPr>
          <w:rFonts w:hint="eastAsia"/>
          <w:kern w:val="0"/>
          <w:sz w:val="24"/>
        </w:rPr>
        <w:t>注：下述关联交易均在正常业务范围内按一般商业条款订立。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本基金本报告期内及上年度可比期间无通过关联方交易单元进行的交易。</w:t>
      </w:r>
      <w:r w:rsidRPr="00A6019D">
        <w:rPr>
          <w:rFonts w:hint="eastAsia"/>
          <w:color w:val="000000"/>
          <w:sz w:val="24"/>
        </w:rPr>
        <w:t xml:space="preserve"> </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2015</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2015</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1,121,672.43</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634,937.79</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5,960.04</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11,867.86</w:t>
            </w:r>
          </w:p>
        </w:tc>
      </w:tr>
    </w:tbl>
    <w:p w:rsidR="00C66612" w:rsidRDefault="00B06F03">
      <w:pPr>
        <w:spacing w:before="29" w:line="288" w:lineRule="auto"/>
        <w:jc w:val="left"/>
        <w:rPr>
          <w:kern w:val="0"/>
          <w:sz w:val="24"/>
        </w:rPr>
      </w:pPr>
      <w:r>
        <w:rPr>
          <w:rFonts w:hint="eastAsia"/>
          <w:kern w:val="0"/>
          <w:sz w:val="24"/>
        </w:rPr>
        <w:t>注：</w:t>
      </w:r>
      <w:r>
        <w:rPr>
          <w:rFonts w:hint="eastAsia"/>
          <w:kern w:val="0"/>
          <w:sz w:val="24"/>
        </w:rPr>
        <w:t>1. 2016</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日到</w:t>
      </w:r>
      <w:r>
        <w:rPr>
          <w:rFonts w:hint="eastAsia"/>
          <w:kern w:val="0"/>
          <w:sz w:val="24"/>
        </w:rPr>
        <w:t>2016</w:t>
      </w:r>
      <w:r>
        <w:rPr>
          <w:rFonts w:hint="eastAsia"/>
          <w:kern w:val="0"/>
          <w:sz w:val="24"/>
        </w:rPr>
        <w:t>年</w:t>
      </w:r>
      <w:r>
        <w:rPr>
          <w:rFonts w:hint="eastAsia"/>
          <w:kern w:val="0"/>
          <w:sz w:val="24"/>
        </w:rPr>
        <w:t>11</w:t>
      </w:r>
      <w:r>
        <w:rPr>
          <w:rFonts w:hint="eastAsia"/>
          <w:kern w:val="0"/>
          <w:sz w:val="24"/>
        </w:rPr>
        <w:t>月</w:t>
      </w:r>
      <w:r>
        <w:rPr>
          <w:rFonts w:hint="eastAsia"/>
          <w:kern w:val="0"/>
          <w:sz w:val="24"/>
        </w:rPr>
        <w:t>15</w:t>
      </w:r>
      <w:r>
        <w:rPr>
          <w:rFonts w:hint="eastAsia"/>
          <w:kern w:val="0"/>
          <w:sz w:val="24"/>
        </w:rPr>
        <w:t>日，支付基金管理人的管理人报酬按前一日基金资产净值</w:t>
      </w:r>
      <w:r>
        <w:rPr>
          <w:rFonts w:hint="eastAsia"/>
          <w:kern w:val="0"/>
          <w:sz w:val="24"/>
        </w:rPr>
        <w:t>0.27%</w:t>
      </w:r>
      <w:r>
        <w:rPr>
          <w:rFonts w:hint="eastAsia"/>
          <w:kern w:val="0"/>
          <w:sz w:val="24"/>
        </w:rPr>
        <w:t>的年费率计提，逐日累计至每月月底，按月支付。其计算公式为：</w:t>
      </w:r>
    </w:p>
    <w:p w:rsidR="00C66612" w:rsidRDefault="00B06F03">
      <w:pPr>
        <w:spacing w:before="29" w:line="288" w:lineRule="auto"/>
        <w:jc w:val="left"/>
        <w:rPr>
          <w:kern w:val="0"/>
          <w:sz w:val="24"/>
        </w:rPr>
      </w:pPr>
      <w:r>
        <w:rPr>
          <w:rFonts w:hint="eastAsia"/>
          <w:kern w:val="0"/>
          <w:sz w:val="24"/>
        </w:rPr>
        <w:t>日管理人报酬＝前一日基金资产净值×</w:t>
      </w:r>
      <w:r>
        <w:rPr>
          <w:rFonts w:hint="eastAsia"/>
          <w:kern w:val="0"/>
          <w:sz w:val="24"/>
        </w:rPr>
        <w:t>0.27%</w:t>
      </w:r>
      <w:r>
        <w:rPr>
          <w:rFonts w:hint="eastAsia"/>
          <w:kern w:val="0"/>
          <w:sz w:val="24"/>
        </w:rPr>
        <w:t>÷当年天数；</w:t>
      </w:r>
    </w:p>
    <w:p w:rsidR="00C66612" w:rsidRDefault="00B06F03">
      <w:pPr>
        <w:spacing w:before="29" w:line="288" w:lineRule="auto"/>
        <w:jc w:val="left"/>
        <w:rPr>
          <w:kern w:val="0"/>
          <w:sz w:val="24"/>
        </w:rPr>
      </w:pPr>
      <w:r>
        <w:rPr>
          <w:rFonts w:hint="eastAsia"/>
          <w:kern w:val="0"/>
          <w:sz w:val="24"/>
        </w:rPr>
        <w:t xml:space="preserve">    2. 2016</w:t>
      </w:r>
      <w:r>
        <w:rPr>
          <w:rFonts w:hint="eastAsia"/>
          <w:kern w:val="0"/>
          <w:sz w:val="24"/>
        </w:rPr>
        <w:t>年</w:t>
      </w:r>
      <w:r>
        <w:rPr>
          <w:rFonts w:hint="eastAsia"/>
          <w:kern w:val="0"/>
          <w:sz w:val="24"/>
        </w:rPr>
        <w:t>11</w:t>
      </w:r>
      <w:r>
        <w:rPr>
          <w:rFonts w:hint="eastAsia"/>
          <w:kern w:val="0"/>
          <w:sz w:val="24"/>
        </w:rPr>
        <w:t>月</w:t>
      </w:r>
      <w:r>
        <w:rPr>
          <w:rFonts w:hint="eastAsia"/>
          <w:kern w:val="0"/>
          <w:sz w:val="24"/>
        </w:rPr>
        <w:t>16</w:t>
      </w:r>
      <w:r>
        <w:rPr>
          <w:rFonts w:hint="eastAsia"/>
          <w:kern w:val="0"/>
          <w:sz w:val="24"/>
        </w:rPr>
        <w:t>日到</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日，支付基金管理人的管理人报酬按前一日基金资产净值</w:t>
      </w:r>
      <w:r>
        <w:rPr>
          <w:rFonts w:hint="eastAsia"/>
          <w:kern w:val="0"/>
          <w:sz w:val="24"/>
        </w:rPr>
        <w:t>0.20%</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日管理人报酬＝前一日基金资产净值×</w:t>
      </w:r>
      <w:r w:rsidRPr="005124D4">
        <w:rPr>
          <w:rFonts w:hint="eastAsia"/>
          <w:kern w:val="0"/>
          <w:sz w:val="24"/>
        </w:rPr>
        <w:t>0.20%</w:t>
      </w:r>
      <w:r w:rsidRPr="005124D4">
        <w:rPr>
          <w:rFonts w:hint="eastAsia"/>
          <w:kern w:val="0"/>
          <w:sz w:val="24"/>
        </w:rPr>
        <w:t>÷当年天数。</w:t>
      </w:r>
    </w:p>
    <w:p w:rsidR="006D141C" w:rsidRPr="00CB1276"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2015</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2015</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368,900.70</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188,129.71</w:t>
            </w:r>
          </w:p>
        </w:tc>
      </w:tr>
    </w:tbl>
    <w:p w:rsidR="00C66612" w:rsidRDefault="00B06F03">
      <w:pPr>
        <w:spacing w:before="29" w:line="288" w:lineRule="auto"/>
        <w:jc w:val="left"/>
        <w:rPr>
          <w:kern w:val="0"/>
          <w:sz w:val="24"/>
        </w:rPr>
      </w:pPr>
      <w:r>
        <w:rPr>
          <w:rFonts w:hint="eastAsia"/>
          <w:kern w:val="0"/>
          <w:sz w:val="24"/>
        </w:rPr>
        <w:lastRenderedPageBreak/>
        <w:t>注：支付基金托管人的托管费按前一日基金资产净值</w:t>
      </w:r>
      <w:r>
        <w:rPr>
          <w:rFonts w:hint="eastAsia"/>
          <w:kern w:val="0"/>
          <w:sz w:val="24"/>
        </w:rPr>
        <w:t>0.08%</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日托管费＝前一日基金资产净值×</w:t>
      </w:r>
      <w:r w:rsidRPr="005124D4">
        <w:rPr>
          <w:rFonts w:hint="eastAsia"/>
          <w:kern w:val="0"/>
          <w:sz w:val="24"/>
        </w:rPr>
        <w:t>0.08%</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本期</w:t>
            </w:r>
          </w:p>
          <w:p w:rsidR="00296268" w:rsidRPr="008D3C85" w:rsidRDefault="00296268" w:rsidP="004E65B4">
            <w:pPr>
              <w:autoSpaceDE w:val="0"/>
              <w:autoSpaceDN w:val="0"/>
              <w:spacing w:before="29" w:line="288" w:lineRule="auto"/>
              <w:jc w:val="center"/>
              <w:textAlignment w:val="bottom"/>
              <w:rPr>
                <w:sz w:val="24"/>
              </w:rPr>
            </w:pPr>
            <w:r w:rsidRPr="008D3C85">
              <w:rPr>
                <w:sz w:val="24"/>
              </w:rPr>
              <w:t>2016</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2016</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交银理财</w:t>
            </w:r>
            <w:r w:rsidRPr="008D3C85">
              <w:rPr>
                <w:sz w:val="24"/>
              </w:rPr>
              <w:t>60</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spacing w:before="29" w:line="288" w:lineRule="auto"/>
              <w:ind w:leftChars="-51" w:left="-107" w:rightChars="-51" w:right="-107"/>
              <w:jc w:val="center"/>
              <w:rPr>
                <w:sz w:val="24"/>
              </w:rPr>
            </w:pPr>
            <w:r>
              <w:rPr>
                <w:sz w:val="24"/>
              </w:rPr>
              <w:t>交银理财</w:t>
            </w:r>
            <w:r>
              <w:rPr>
                <w:sz w:val="24"/>
              </w:rPr>
              <w:t>60</w:t>
            </w:r>
            <w:r>
              <w:rPr>
                <w:sz w:val="24"/>
              </w:rPr>
              <w:t>天债券</w:t>
            </w:r>
            <w:r>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合计</w:t>
            </w:r>
          </w:p>
        </w:tc>
      </w:tr>
      <w:tr w:rsidR="00C66612">
        <w:tc>
          <w:tcPr>
            <w:tcW w:w="2000" w:type="dxa"/>
            <w:vAlign w:val="center"/>
          </w:tcPr>
          <w:p w:rsidR="00C66612" w:rsidRDefault="00B06F03">
            <w:pPr>
              <w:jc w:val="left"/>
            </w:pPr>
            <w:r>
              <w:rPr>
                <w:sz w:val="24"/>
              </w:rPr>
              <w:t>交通银行</w:t>
            </w:r>
          </w:p>
        </w:tc>
        <w:tc>
          <w:tcPr>
            <w:tcW w:w="1766" w:type="dxa"/>
            <w:vAlign w:val="center"/>
          </w:tcPr>
          <w:p w:rsidR="00C66612" w:rsidRDefault="00B06F03">
            <w:pPr>
              <w:jc w:val="right"/>
            </w:pPr>
            <w:r>
              <w:rPr>
                <w:sz w:val="24"/>
              </w:rPr>
              <w:t>5,609.53</w:t>
            </w:r>
          </w:p>
        </w:tc>
        <w:tc>
          <w:tcPr>
            <w:tcW w:w="2162" w:type="dxa"/>
            <w:vAlign w:val="center"/>
          </w:tcPr>
          <w:p w:rsidR="00C66612" w:rsidRDefault="00B06F03">
            <w:pPr>
              <w:jc w:val="right"/>
            </w:pPr>
            <w:r>
              <w:rPr>
                <w:sz w:val="24"/>
              </w:rPr>
              <w:t>-</w:t>
            </w:r>
          </w:p>
        </w:tc>
        <w:tc>
          <w:tcPr>
            <w:tcW w:w="3070" w:type="dxa"/>
            <w:vAlign w:val="center"/>
          </w:tcPr>
          <w:p w:rsidR="00C66612" w:rsidRDefault="00B06F03">
            <w:pPr>
              <w:jc w:val="right"/>
            </w:pPr>
            <w:r>
              <w:rPr>
                <w:sz w:val="24"/>
              </w:rPr>
              <w:t>5,609.53</w:t>
            </w:r>
          </w:p>
        </w:tc>
      </w:tr>
      <w:tr w:rsidR="00C66612">
        <w:tc>
          <w:tcPr>
            <w:tcW w:w="2000" w:type="dxa"/>
            <w:vAlign w:val="center"/>
          </w:tcPr>
          <w:p w:rsidR="00C66612" w:rsidRDefault="00B06F03">
            <w:pPr>
              <w:jc w:val="left"/>
            </w:pPr>
            <w:r>
              <w:rPr>
                <w:sz w:val="24"/>
              </w:rPr>
              <w:t>中国建设银行</w:t>
            </w:r>
          </w:p>
        </w:tc>
        <w:tc>
          <w:tcPr>
            <w:tcW w:w="1766" w:type="dxa"/>
            <w:vAlign w:val="center"/>
          </w:tcPr>
          <w:p w:rsidR="00C66612" w:rsidRDefault="00B06F03">
            <w:pPr>
              <w:jc w:val="right"/>
            </w:pPr>
            <w:r>
              <w:rPr>
                <w:sz w:val="24"/>
              </w:rPr>
              <w:t>7,841.57</w:t>
            </w:r>
          </w:p>
        </w:tc>
        <w:tc>
          <w:tcPr>
            <w:tcW w:w="2162" w:type="dxa"/>
            <w:vAlign w:val="center"/>
          </w:tcPr>
          <w:p w:rsidR="00C66612" w:rsidRDefault="00B06F03">
            <w:pPr>
              <w:jc w:val="right"/>
            </w:pPr>
            <w:r>
              <w:rPr>
                <w:sz w:val="24"/>
              </w:rPr>
              <w:t>-</w:t>
            </w:r>
          </w:p>
        </w:tc>
        <w:tc>
          <w:tcPr>
            <w:tcW w:w="3070" w:type="dxa"/>
            <w:vAlign w:val="center"/>
          </w:tcPr>
          <w:p w:rsidR="00C66612" w:rsidRDefault="00B06F03">
            <w:pPr>
              <w:jc w:val="right"/>
            </w:pPr>
            <w:r>
              <w:rPr>
                <w:sz w:val="24"/>
              </w:rPr>
              <w:t>7,841.57</w:t>
            </w:r>
          </w:p>
        </w:tc>
      </w:tr>
      <w:tr w:rsidR="00C66612">
        <w:tc>
          <w:tcPr>
            <w:tcW w:w="2000" w:type="dxa"/>
            <w:vAlign w:val="center"/>
          </w:tcPr>
          <w:p w:rsidR="00C66612" w:rsidRDefault="00B06F03">
            <w:pPr>
              <w:jc w:val="left"/>
            </w:pPr>
            <w:r>
              <w:rPr>
                <w:sz w:val="24"/>
              </w:rPr>
              <w:t>交银施罗德基金公司</w:t>
            </w:r>
          </w:p>
        </w:tc>
        <w:tc>
          <w:tcPr>
            <w:tcW w:w="1766" w:type="dxa"/>
            <w:vAlign w:val="center"/>
          </w:tcPr>
          <w:p w:rsidR="00C66612" w:rsidRDefault="00B06F03">
            <w:pPr>
              <w:jc w:val="right"/>
            </w:pPr>
            <w:r>
              <w:rPr>
                <w:sz w:val="24"/>
              </w:rPr>
              <w:t>12,217.85</w:t>
            </w:r>
          </w:p>
        </w:tc>
        <w:tc>
          <w:tcPr>
            <w:tcW w:w="2162" w:type="dxa"/>
            <w:vAlign w:val="center"/>
          </w:tcPr>
          <w:p w:rsidR="00C66612" w:rsidRDefault="00B06F03">
            <w:pPr>
              <w:jc w:val="right"/>
            </w:pPr>
            <w:r>
              <w:rPr>
                <w:sz w:val="24"/>
              </w:rPr>
              <w:t>45,186.24</w:t>
            </w:r>
          </w:p>
        </w:tc>
        <w:tc>
          <w:tcPr>
            <w:tcW w:w="3070" w:type="dxa"/>
            <w:vAlign w:val="center"/>
          </w:tcPr>
          <w:p w:rsidR="00C66612" w:rsidRDefault="00B06F03">
            <w:pPr>
              <w:jc w:val="right"/>
            </w:pPr>
            <w:r>
              <w:rPr>
                <w:sz w:val="24"/>
              </w:rPr>
              <w:t>57,404.09</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25,668.95</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4E65B4" w:rsidP="004E65B4">
            <w:pPr>
              <w:spacing w:before="29" w:line="288" w:lineRule="auto"/>
              <w:jc w:val="center"/>
              <w:rPr>
                <w:sz w:val="24"/>
              </w:rPr>
            </w:pPr>
            <w:r>
              <w:rPr>
                <w:sz w:val="24"/>
              </w:rPr>
              <w:t>45,186.24</w:t>
            </w:r>
          </w:p>
        </w:tc>
        <w:tc>
          <w:tcPr>
            <w:tcW w:w="3247"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70,855.19</w:t>
            </w:r>
          </w:p>
        </w:tc>
      </w:tr>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上年度可比期间</w:t>
            </w:r>
          </w:p>
          <w:p w:rsidR="00296268" w:rsidRPr="008D3C85" w:rsidRDefault="00296268" w:rsidP="004E65B4">
            <w:pPr>
              <w:autoSpaceDE w:val="0"/>
              <w:autoSpaceDN w:val="0"/>
              <w:spacing w:before="29" w:line="288" w:lineRule="auto"/>
              <w:jc w:val="center"/>
              <w:textAlignment w:val="bottom"/>
              <w:rPr>
                <w:sz w:val="24"/>
              </w:rPr>
            </w:pPr>
            <w:r w:rsidRPr="008D3C85">
              <w:rPr>
                <w:sz w:val="24"/>
              </w:rPr>
              <w:t>2015</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2015</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交银理财</w:t>
            </w:r>
            <w:r w:rsidRPr="008D3C85">
              <w:rPr>
                <w:sz w:val="24"/>
              </w:rPr>
              <w:t>60</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autoSpaceDE w:val="0"/>
              <w:autoSpaceDN w:val="0"/>
              <w:spacing w:before="29" w:line="288" w:lineRule="auto"/>
              <w:ind w:leftChars="-51" w:left="-107" w:rightChars="-51" w:right="-107"/>
              <w:jc w:val="center"/>
              <w:textAlignment w:val="bottom"/>
              <w:rPr>
                <w:sz w:val="24"/>
              </w:rPr>
            </w:pPr>
            <w:r>
              <w:rPr>
                <w:sz w:val="24"/>
              </w:rPr>
              <w:t>交银理财</w:t>
            </w:r>
            <w:r>
              <w:rPr>
                <w:sz w:val="24"/>
              </w:rPr>
              <w:t>60</w:t>
            </w:r>
            <w:r>
              <w:rPr>
                <w:sz w:val="24"/>
              </w:rPr>
              <w:t>天债券</w:t>
            </w:r>
            <w:r>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C66612">
        <w:tc>
          <w:tcPr>
            <w:tcW w:w="2000" w:type="dxa"/>
            <w:vAlign w:val="center"/>
          </w:tcPr>
          <w:p w:rsidR="00C66612" w:rsidRDefault="00B06F03">
            <w:pPr>
              <w:jc w:val="left"/>
            </w:pPr>
            <w:r>
              <w:rPr>
                <w:sz w:val="24"/>
              </w:rPr>
              <w:t>交通银行</w:t>
            </w:r>
          </w:p>
        </w:tc>
        <w:tc>
          <w:tcPr>
            <w:tcW w:w="1766" w:type="dxa"/>
            <w:vAlign w:val="center"/>
          </w:tcPr>
          <w:p w:rsidR="00C66612" w:rsidRDefault="00B06F03">
            <w:pPr>
              <w:jc w:val="right"/>
            </w:pPr>
            <w:r>
              <w:rPr>
                <w:sz w:val="24"/>
              </w:rPr>
              <w:t>12,758.08</w:t>
            </w:r>
          </w:p>
        </w:tc>
        <w:tc>
          <w:tcPr>
            <w:tcW w:w="2162" w:type="dxa"/>
            <w:vAlign w:val="center"/>
          </w:tcPr>
          <w:p w:rsidR="00C66612" w:rsidRDefault="00B06F03">
            <w:pPr>
              <w:jc w:val="right"/>
            </w:pPr>
            <w:r>
              <w:rPr>
                <w:sz w:val="24"/>
              </w:rPr>
              <w:t>-</w:t>
            </w:r>
          </w:p>
        </w:tc>
        <w:tc>
          <w:tcPr>
            <w:tcW w:w="3070" w:type="dxa"/>
            <w:vAlign w:val="center"/>
          </w:tcPr>
          <w:p w:rsidR="00C66612" w:rsidRDefault="00B06F03">
            <w:pPr>
              <w:jc w:val="right"/>
            </w:pPr>
            <w:r>
              <w:rPr>
                <w:sz w:val="24"/>
              </w:rPr>
              <w:t>12,758.08</w:t>
            </w:r>
          </w:p>
        </w:tc>
      </w:tr>
      <w:tr w:rsidR="00C66612">
        <w:tc>
          <w:tcPr>
            <w:tcW w:w="2000" w:type="dxa"/>
            <w:vAlign w:val="center"/>
          </w:tcPr>
          <w:p w:rsidR="00C66612" w:rsidRDefault="00B06F03">
            <w:pPr>
              <w:jc w:val="left"/>
            </w:pPr>
            <w:r>
              <w:rPr>
                <w:sz w:val="24"/>
              </w:rPr>
              <w:t>中国建设银行</w:t>
            </w:r>
          </w:p>
        </w:tc>
        <w:tc>
          <w:tcPr>
            <w:tcW w:w="1766" w:type="dxa"/>
            <w:vAlign w:val="center"/>
          </w:tcPr>
          <w:p w:rsidR="00C66612" w:rsidRDefault="00B06F03">
            <w:pPr>
              <w:jc w:val="right"/>
            </w:pPr>
            <w:r>
              <w:rPr>
                <w:sz w:val="24"/>
              </w:rPr>
              <w:t>10,959.18</w:t>
            </w:r>
          </w:p>
        </w:tc>
        <w:tc>
          <w:tcPr>
            <w:tcW w:w="2162" w:type="dxa"/>
            <w:vAlign w:val="center"/>
          </w:tcPr>
          <w:p w:rsidR="00C66612" w:rsidRDefault="00B06F03">
            <w:pPr>
              <w:jc w:val="right"/>
            </w:pPr>
            <w:r>
              <w:rPr>
                <w:sz w:val="24"/>
              </w:rPr>
              <w:t>-</w:t>
            </w:r>
          </w:p>
        </w:tc>
        <w:tc>
          <w:tcPr>
            <w:tcW w:w="3070" w:type="dxa"/>
            <w:vAlign w:val="center"/>
          </w:tcPr>
          <w:p w:rsidR="00C66612" w:rsidRDefault="00B06F03">
            <w:pPr>
              <w:jc w:val="right"/>
            </w:pPr>
            <w:r>
              <w:rPr>
                <w:sz w:val="24"/>
              </w:rPr>
              <w:t>10,959.18</w:t>
            </w:r>
          </w:p>
        </w:tc>
      </w:tr>
      <w:tr w:rsidR="00C66612">
        <w:tc>
          <w:tcPr>
            <w:tcW w:w="2000" w:type="dxa"/>
            <w:vAlign w:val="center"/>
          </w:tcPr>
          <w:p w:rsidR="00C66612" w:rsidRDefault="00B06F03">
            <w:pPr>
              <w:jc w:val="left"/>
            </w:pPr>
            <w:r>
              <w:rPr>
                <w:sz w:val="24"/>
              </w:rPr>
              <w:t>交银施罗德基金公司</w:t>
            </w:r>
          </w:p>
        </w:tc>
        <w:tc>
          <w:tcPr>
            <w:tcW w:w="1766" w:type="dxa"/>
            <w:vAlign w:val="center"/>
          </w:tcPr>
          <w:p w:rsidR="00C66612" w:rsidRDefault="00B06F03">
            <w:pPr>
              <w:jc w:val="right"/>
            </w:pPr>
            <w:r>
              <w:rPr>
                <w:sz w:val="24"/>
              </w:rPr>
              <w:t>8,202.05</w:t>
            </w:r>
          </w:p>
        </w:tc>
        <w:tc>
          <w:tcPr>
            <w:tcW w:w="2162" w:type="dxa"/>
            <w:vAlign w:val="center"/>
          </w:tcPr>
          <w:p w:rsidR="00C66612" w:rsidRDefault="00B06F03">
            <w:pPr>
              <w:jc w:val="right"/>
            </w:pPr>
            <w:r>
              <w:rPr>
                <w:sz w:val="24"/>
              </w:rPr>
              <w:t>22,247.73</w:t>
            </w:r>
          </w:p>
        </w:tc>
        <w:tc>
          <w:tcPr>
            <w:tcW w:w="3070" w:type="dxa"/>
            <w:vAlign w:val="center"/>
          </w:tcPr>
          <w:p w:rsidR="00C66612" w:rsidRDefault="00B06F03">
            <w:pPr>
              <w:jc w:val="right"/>
            </w:pPr>
            <w:r>
              <w:rPr>
                <w:sz w:val="24"/>
              </w:rPr>
              <w:t>30,449.78</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31,919.31</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22,247.73</w:t>
            </w:r>
          </w:p>
        </w:tc>
        <w:tc>
          <w:tcPr>
            <w:tcW w:w="3244"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54,167.04</w:t>
            </w:r>
          </w:p>
        </w:tc>
      </w:tr>
    </w:tbl>
    <w:p w:rsidR="00C66612" w:rsidRDefault="00B06F03">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C66612" w:rsidRDefault="00B06F03">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296268" w:rsidRPr="006159B2" w:rsidRDefault="00296268" w:rsidP="00296268">
      <w:pPr>
        <w:tabs>
          <w:tab w:val="left" w:pos="426"/>
        </w:tabs>
        <w:spacing w:before="29" w:line="288" w:lineRule="auto"/>
        <w:jc w:val="left"/>
        <w:rPr>
          <w:kern w:val="0"/>
          <w:sz w:val="24"/>
        </w:rPr>
      </w:pPr>
      <w:r w:rsidRPr="006159B2">
        <w:rPr>
          <w:kern w:val="0"/>
          <w:sz w:val="24"/>
        </w:rPr>
        <w:t>B</w:t>
      </w:r>
      <w:r w:rsidRPr="006159B2">
        <w:rPr>
          <w:kern w:val="0"/>
          <w:sz w:val="24"/>
        </w:rPr>
        <w:t>类基金日销售服务费＝前一日</w:t>
      </w:r>
      <w:r w:rsidRPr="006159B2">
        <w:rPr>
          <w:kern w:val="0"/>
          <w:sz w:val="24"/>
        </w:rPr>
        <w:t>B</w:t>
      </w:r>
      <w:r w:rsidRPr="006159B2">
        <w:rPr>
          <w:kern w:val="0"/>
          <w:sz w:val="24"/>
        </w:rPr>
        <w:t>类基金份额对应的资产净值</w:t>
      </w:r>
      <w:r w:rsidRPr="006159B2">
        <w:rPr>
          <w:kern w:val="0"/>
          <w:sz w:val="24"/>
        </w:rPr>
        <w:t>×0.01%÷</w:t>
      </w:r>
      <w:r w:rsidRPr="006159B2">
        <w:rPr>
          <w:kern w:val="0"/>
          <w:sz w:val="24"/>
        </w:rPr>
        <w:t>当年天数。</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5124D4" w:rsidRDefault="00F601C7" w:rsidP="005124D4">
      <w:pPr>
        <w:spacing w:before="29" w:line="288" w:lineRule="auto"/>
        <w:jc w:val="left"/>
        <w:rPr>
          <w:kern w:val="0"/>
          <w:sz w:val="24"/>
        </w:rPr>
      </w:pPr>
      <w:r w:rsidRPr="005124D4">
        <w:rPr>
          <w:kern w:val="0"/>
          <w:sz w:val="24"/>
        </w:rPr>
        <w:t>本基金本报告期内及上年度可比期间未与关联方进行银行间同业市场的债券</w:t>
      </w:r>
      <w:r w:rsidRPr="005124D4">
        <w:rPr>
          <w:kern w:val="0"/>
          <w:sz w:val="24"/>
        </w:rPr>
        <w:t>(</w:t>
      </w:r>
      <w:r w:rsidRPr="005124D4">
        <w:rPr>
          <w:kern w:val="0"/>
          <w:sz w:val="24"/>
        </w:rPr>
        <w:t>含回购</w:t>
      </w:r>
      <w:r w:rsidRPr="005124D4">
        <w:rPr>
          <w:kern w:val="0"/>
          <w:sz w:val="24"/>
        </w:rPr>
        <w:t>)</w:t>
      </w:r>
      <w:r w:rsidRPr="005124D4">
        <w:rPr>
          <w:kern w:val="0"/>
          <w:sz w:val="24"/>
        </w:rPr>
        <w:t>交易。</w:t>
      </w:r>
    </w:p>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4</w:t>
      </w:r>
      <w:r w:rsidRPr="00FB19E8">
        <w:rPr>
          <w:rFonts w:ascii="Times New Roman" w:hAnsi="Times New Roman" w:cs="Times New Roman" w:hint="eastAsia"/>
          <w:kern w:val="0"/>
          <w:szCs w:val="24"/>
        </w:rPr>
        <w:t>各关联方投资本基金的情况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报告期内基金管理人运用固有资金投资本基金的情况</w:t>
      </w:r>
    </w:p>
    <w:p w:rsidR="006D141C" w:rsidRDefault="006D141C" w:rsidP="005124D4">
      <w:pPr>
        <w:spacing w:before="29" w:line="288" w:lineRule="auto"/>
        <w:jc w:val="left"/>
        <w:rPr>
          <w:kern w:val="0"/>
          <w:sz w:val="24"/>
        </w:rPr>
      </w:pPr>
      <w:r w:rsidRPr="005124D4">
        <w:rPr>
          <w:rFonts w:hint="eastAsia"/>
          <w:kern w:val="0"/>
          <w:sz w:val="24"/>
        </w:rPr>
        <w:t>本报告期内及上年度可比期间未发生基金管理人运用固有资金投资本基金的情况。</w:t>
      </w:r>
    </w:p>
    <w:p w:rsidR="00002CBB" w:rsidRPr="005124D4" w:rsidRDefault="00002CBB" w:rsidP="005124D4">
      <w:pPr>
        <w:spacing w:before="29" w:line="288" w:lineRule="auto"/>
        <w:jc w:val="left"/>
        <w:rPr>
          <w:rFonts w:hint="eastAsia"/>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F35CA1" w:rsidRDefault="00F35CA1" w:rsidP="005124D4">
      <w:pPr>
        <w:spacing w:before="29" w:line="288" w:lineRule="auto"/>
        <w:jc w:val="left"/>
        <w:rPr>
          <w:kern w:val="0"/>
          <w:sz w:val="24"/>
        </w:rPr>
      </w:pPr>
      <w:r w:rsidRPr="005124D4">
        <w:rPr>
          <w:rFonts w:hint="eastAsia"/>
          <w:kern w:val="0"/>
          <w:sz w:val="24"/>
        </w:rPr>
        <w:t>本报告期末及上年度末除基金管理人之外的其他关联方未持有本基金。</w:t>
      </w:r>
    </w:p>
    <w:p w:rsidR="00002CBB" w:rsidRPr="005124D4" w:rsidRDefault="00002CBB" w:rsidP="005124D4">
      <w:pPr>
        <w:spacing w:before="29" w:line="288" w:lineRule="auto"/>
        <w:jc w:val="left"/>
        <w:rPr>
          <w:rFonts w:hint="eastAsia"/>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D141C" w:rsidRPr="00795DF9" w:rsidRDefault="006D141C"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上年度可比期间</w:t>
            </w:r>
          </w:p>
          <w:p w:rsidR="006D141C" w:rsidRPr="00795DF9" w:rsidRDefault="006D64C2"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2015</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2015</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2C233F"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C66612">
        <w:tc>
          <w:tcPr>
            <w:tcW w:w="1799" w:type="dxa"/>
            <w:vAlign w:val="center"/>
          </w:tcPr>
          <w:p w:rsidR="00C66612" w:rsidRDefault="00B06F03">
            <w:pPr>
              <w:jc w:val="center"/>
            </w:pPr>
            <w:r>
              <w:rPr>
                <w:rFonts w:hint="eastAsia"/>
                <w:szCs w:val="21"/>
              </w:rPr>
              <w:t>中国建设银行</w:t>
            </w:r>
          </w:p>
        </w:tc>
        <w:tc>
          <w:tcPr>
            <w:tcW w:w="1799" w:type="dxa"/>
            <w:vAlign w:val="center"/>
          </w:tcPr>
          <w:p w:rsidR="00C66612" w:rsidRDefault="00B06F03">
            <w:pPr>
              <w:jc w:val="center"/>
            </w:pPr>
            <w:r>
              <w:rPr>
                <w:rFonts w:hint="eastAsia"/>
                <w:szCs w:val="21"/>
              </w:rPr>
              <w:t>14,618,194.76</w:t>
            </w:r>
          </w:p>
        </w:tc>
        <w:tc>
          <w:tcPr>
            <w:tcW w:w="1800" w:type="dxa"/>
            <w:vAlign w:val="center"/>
          </w:tcPr>
          <w:p w:rsidR="00C66612" w:rsidRDefault="00B06F03">
            <w:pPr>
              <w:jc w:val="center"/>
            </w:pPr>
            <w:r>
              <w:rPr>
                <w:rFonts w:hint="eastAsia"/>
                <w:szCs w:val="21"/>
              </w:rPr>
              <w:t>77,033.60</w:t>
            </w:r>
          </w:p>
        </w:tc>
        <w:tc>
          <w:tcPr>
            <w:tcW w:w="1800" w:type="dxa"/>
            <w:vAlign w:val="center"/>
          </w:tcPr>
          <w:p w:rsidR="00C66612" w:rsidRDefault="00B06F03">
            <w:pPr>
              <w:jc w:val="center"/>
            </w:pPr>
            <w:r>
              <w:rPr>
                <w:rFonts w:hint="eastAsia"/>
                <w:szCs w:val="21"/>
              </w:rPr>
              <w:t>3,243,615.32</w:t>
            </w:r>
          </w:p>
        </w:tc>
        <w:tc>
          <w:tcPr>
            <w:tcW w:w="1800" w:type="dxa"/>
            <w:vAlign w:val="center"/>
          </w:tcPr>
          <w:p w:rsidR="00C66612" w:rsidRDefault="00B06F03">
            <w:pPr>
              <w:jc w:val="center"/>
            </w:pPr>
            <w:r>
              <w:rPr>
                <w:rFonts w:hint="eastAsia"/>
                <w:szCs w:val="21"/>
              </w:rPr>
              <w:t>66,216.86</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注：本基金的银行存款由基金托管人保管，按银行同业利率计息。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本基金本报告期内及上年度可比期间未在承销期内参与关联方承销证券。</w:t>
      </w:r>
    </w:p>
    <w:p w:rsidR="006D141C" w:rsidRPr="00CB1276"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本基金本报告期内及上年度可比期间无其他关联交易事项。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2016</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Default="007A07D1" w:rsidP="005124D4">
      <w:pPr>
        <w:spacing w:before="29" w:line="288" w:lineRule="auto"/>
        <w:jc w:val="left"/>
        <w:rPr>
          <w:kern w:val="0"/>
          <w:sz w:val="24"/>
        </w:rPr>
      </w:pPr>
      <w:r w:rsidRPr="005124D4">
        <w:rPr>
          <w:rFonts w:hint="eastAsia"/>
          <w:kern w:val="0"/>
          <w:sz w:val="24"/>
        </w:rPr>
        <w:t>本基金本报告期末未持有因认购新发</w:t>
      </w:r>
      <w:r w:rsidRPr="005124D4">
        <w:rPr>
          <w:rFonts w:hint="eastAsia"/>
          <w:kern w:val="0"/>
          <w:sz w:val="24"/>
        </w:rPr>
        <w:t>/</w:t>
      </w:r>
      <w:r w:rsidRPr="005124D4">
        <w:rPr>
          <w:rFonts w:hint="eastAsia"/>
          <w:kern w:val="0"/>
          <w:sz w:val="24"/>
        </w:rPr>
        <w:t>增发证券而流通受限的证券。</w:t>
      </w:r>
    </w:p>
    <w:p w:rsidR="00002CBB" w:rsidRPr="005124D4" w:rsidRDefault="00002CBB" w:rsidP="005124D4">
      <w:pPr>
        <w:spacing w:before="29" w:line="288" w:lineRule="auto"/>
        <w:jc w:val="left"/>
        <w:rPr>
          <w:rFonts w:hint="eastAsia"/>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期末持有的暂时停牌等流通受限股票</w:t>
      </w:r>
    </w:p>
    <w:p w:rsidR="006D141C" w:rsidRDefault="006D141C" w:rsidP="005124D4">
      <w:pPr>
        <w:spacing w:before="29" w:line="288" w:lineRule="auto"/>
        <w:jc w:val="left"/>
        <w:rPr>
          <w:kern w:val="0"/>
          <w:sz w:val="24"/>
        </w:rPr>
      </w:pPr>
      <w:r w:rsidRPr="005124D4">
        <w:rPr>
          <w:rFonts w:hint="eastAsia"/>
          <w:kern w:val="0"/>
          <w:sz w:val="24"/>
        </w:rPr>
        <w:t>本基金本报告期末未持有暂时停牌等流通受限股票。</w:t>
      </w:r>
    </w:p>
    <w:p w:rsidR="00002CBB" w:rsidRPr="005124D4" w:rsidRDefault="00002CBB" w:rsidP="005124D4">
      <w:pPr>
        <w:spacing w:before="29" w:line="288" w:lineRule="auto"/>
        <w:jc w:val="left"/>
        <w:rPr>
          <w:rFonts w:hint="eastAsia"/>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Default="006D141C" w:rsidP="00002CBB">
      <w:pPr>
        <w:spacing w:before="29" w:line="288" w:lineRule="auto"/>
        <w:rPr>
          <w:color w:val="000000"/>
          <w:sz w:val="24"/>
        </w:rPr>
      </w:pPr>
      <w:r w:rsidRPr="002D470E">
        <w:rPr>
          <w:rFonts w:hint="eastAsia"/>
          <w:color w:val="000000"/>
          <w:sz w:val="24"/>
        </w:rPr>
        <w:t>本基金本报告期末无从事债券正回购交易形成的卖出回购证券款余额。</w:t>
      </w:r>
    </w:p>
    <w:p w:rsidR="00002CBB" w:rsidRPr="002D470E" w:rsidRDefault="00002CBB" w:rsidP="002D470E">
      <w:pPr>
        <w:spacing w:before="29" w:line="288" w:lineRule="auto"/>
        <w:ind w:firstLineChars="200" w:firstLine="480"/>
        <w:rPr>
          <w:rFonts w:hint="eastAsia"/>
          <w:color w:val="00000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C66612" w:rsidRDefault="00B06F03">
      <w:pPr>
        <w:spacing w:before="29" w:line="288" w:lineRule="auto"/>
        <w:rPr>
          <w:color w:val="000000"/>
          <w:sz w:val="24"/>
        </w:rPr>
      </w:pPr>
      <w:r>
        <w:rPr>
          <w:rFonts w:hint="eastAsia"/>
          <w:color w:val="000000"/>
          <w:sz w:val="24"/>
        </w:rPr>
        <w:t xml:space="preserve">(1) </w:t>
      </w:r>
      <w:r>
        <w:rPr>
          <w:rFonts w:hint="eastAsia"/>
          <w:color w:val="000000"/>
          <w:sz w:val="24"/>
        </w:rPr>
        <w:t>公允价值</w:t>
      </w:r>
    </w:p>
    <w:p w:rsidR="00C66612" w:rsidRDefault="00B06F03">
      <w:pPr>
        <w:spacing w:before="29" w:line="288" w:lineRule="auto"/>
        <w:rPr>
          <w:color w:val="000000"/>
          <w:sz w:val="24"/>
        </w:rPr>
      </w:pPr>
      <w:r>
        <w:rPr>
          <w:rFonts w:hint="eastAsia"/>
          <w:color w:val="000000"/>
          <w:sz w:val="24"/>
        </w:rPr>
        <w:lastRenderedPageBreak/>
        <w:t xml:space="preserve">(a) </w:t>
      </w:r>
      <w:r>
        <w:rPr>
          <w:rFonts w:hint="eastAsia"/>
          <w:color w:val="000000"/>
          <w:sz w:val="24"/>
        </w:rPr>
        <w:t>金融工具公允价值计量的方法</w:t>
      </w:r>
    </w:p>
    <w:p w:rsidR="00C66612" w:rsidRDefault="00B06F03">
      <w:pPr>
        <w:spacing w:before="29" w:line="288" w:lineRule="auto"/>
        <w:rPr>
          <w:color w:val="000000"/>
          <w:sz w:val="24"/>
        </w:rPr>
      </w:pPr>
      <w:r>
        <w:rPr>
          <w:rFonts w:hint="eastAsia"/>
          <w:color w:val="000000"/>
          <w:sz w:val="24"/>
        </w:rPr>
        <w:t>公允价值计量结果所属的层次，由对公允价值计量整体而言具有重要意义的输入值所属的最低层次决定：</w:t>
      </w:r>
    </w:p>
    <w:p w:rsidR="00C66612" w:rsidRDefault="00B06F03">
      <w:pPr>
        <w:spacing w:before="29" w:line="288" w:lineRule="auto"/>
        <w:rPr>
          <w:color w:val="000000"/>
          <w:sz w:val="24"/>
        </w:rPr>
      </w:pPr>
      <w:r>
        <w:rPr>
          <w:rFonts w:hint="eastAsia"/>
          <w:color w:val="000000"/>
          <w:sz w:val="24"/>
        </w:rPr>
        <w:t>第一层次：相同资产或负债在活跃市场上未经调整的报价。</w:t>
      </w:r>
    </w:p>
    <w:p w:rsidR="00C66612" w:rsidRDefault="00B06F03">
      <w:pPr>
        <w:spacing w:before="29" w:line="288" w:lineRule="auto"/>
        <w:rPr>
          <w:color w:val="000000"/>
          <w:sz w:val="24"/>
        </w:rPr>
      </w:pPr>
      <w:r>
        <w:rPr>
          <w:rFonts w:hint="eastAsia"/>
          <w:color w:val="000000"/>
          <w:sz w:val="24"/>
        </w:rPr>
        <w:t>第二层次：除第一层次输入值外相关资产或负债直接或间接可观察的输入值。</w:t>
      </w:r>
    </w:p>
    <w:p w:rsidR="00C66612" w:rsidRDefault="00B06F03">
      <w:pPr>
        <w:spacing w:before="29" w:line="288" w:lineRule="auto"/>
        <w:rPr>
          <w:color w:val="000000"/>
          <w:sz w:val="24"/>
        </w:rPr>
      </w:pPr>
      <w:r>
        <w:rPr>
          <w:rFonts w:hint="eastAsia"/>
          <w:color w:val="000000"/>
          <w:sz w:val="24"/>
        </w:rPr>
        <w:t>第三层次：相关资产或负债的不可观察输入值。</w:t>
      </w:r>
    </w:p>
    <w:p w:rsidR="00C66612" w:rsidRDefault="00B06F03">
      <w:pPr>
        <w:spacing w:before="29" w:line="288" w:lineRule="auto"/>
        <w:rPr>
          <w:color w:val="000000"/>
          <w:sz w:val="24"/>
        </w:rPr>
      </w:pPr>
      <w:r>
        <w:rPr>
          <w:rFonts w:hint="eastAsia"/>
          <w:color w:val="000000"/>
          <w:sz w:val="24"/>
        </w:rPr>
        <w:t xml:space="preserve"> </w:t>
      </w:r>
    </w:p>
    <w:p w:rsidR="00C66612" w:rsidRDefault="00B06F03">
      <w:pPr>
        <w:spacing w:before="29" w:line="288" w:lineRule="auto"/>
        <w:rPr>
          <w:color w:val="000000"/>
          <w:sz w:val="24"/>
        </w:rPr>
      </w:pPr>
      <w:r>
        <w:rPr>
          <w:rFonts w:hint="eastAsia"/>
          <w:color w:val="000000"/>
          <w:sz w:val="24"/>
        </w:rPr>
        <w:t xml:space="preserve"> (b)</w:t>
      </w:r>
      <w:r>
        <w:rPr>
          <w:rFonts w:hint="eastAsia"/>
          <w:color w:val="000000"/>
          <w:sz w:val="24"/>
        </w:rPr>
        <w:tab/>
      </w:r>
      <w:r>
        <w:rPr>
          <w:rFonts w:hint="eastAsia"/>
          <w:color w:val="000000"/>
          <w:sz w:val="24"/>
        </w:rPr>
        <w:t>持续的以公允价值计量的金融工具</w:t>
      </w:r>
    </w:p>
    <w:p w:rsidR="00C66612" w:rsidRDefault="00B06F03">
      <w:pPr>
        <w:spacing w:before="29" w:line="288" w:lineRule="auto"/>
        <w:rPr>
          <w:color w:val="000000"/>
          <w:sz w:val="24"/>
        </w:rPr>
      </w:pPr>
      <w:r>
        <w:rPr>
          <w:rFonts w:hint="eastAsia"/>
          <w:color w:val="000000"/>
          <w:sz w:val="24"/>
        </w:rPr>
        <w:t xml:space="preserve">(i) </w:t>
      </w:r>
      <w:r>
        <w:rPr>
          <w:rFonts w:hint="eastAsia"/>
          <w:color w:val="000000"/>
          <w:sz w:val="24"/>
        </w:rPr>
        <w:t>各层次金融工具公允价值</w:t>
      </w:r>
    </w:p>
    <w:p w:rsidR="00C66612" w:rsidRDefault="00B06F03">
      <w:pPr>
        <w:spacing w:before="29" w:line="288" w:lineRule="auto"/>
        <w:rPr>
          <w:color w:val="000000"/>
          <w:sz w:val="24"/>
        </w:rPr>
      </w:pPr>
      <w:r>
        <w:rPr>
          <w:rFonts w:hint="eastAsia"/>
          <w:color w:val="000000"/>
          <w:sz w:val="24"/>
        </w:rPr>
        <w:t>于</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日，本基金持有的以公允价值计量且其变动计入当期损益的金融工具中属于第二层次的余额为</w:t>
      </w:r>
      <w:r>
        <w:rPr>
          <w:rFonts w:hint="eastAsia"/>
          <w:color w:val="000000"/>
          <w:sz w:val="24"/>
        </w:rPr>
        <w:t>1,995,489,408.43</w:t>
      </w:r>
      <w:r>
        <w:rPr>
          <w:rFonts w:hint="eastAsia"/>
          <w:color w:val="000000"/>
          <w:sz w:val="24"/>
        </w:rPr>
        <w:t>元，无属于第一层次和第三层次的余额</w:t>
      </w:r>
      <w:r>
        <w:rPr>
          <w:rFonts w:hint="eastAsia"/>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日：第二层次</w:t>
      </w:r>
      <w:r>
        <w:rPr>
          <w:rFonts w:hint="eastAsia"/>
          <w:color w:val="000000"/>
          <w:sz w:val="24"/>
        </w:rPr>
        <w:t>23,022,655.64</w:t>
      </w:r>
      <w:r>
        <w:rPr>
          <w:rFonts w:hint="eastAsia"/>
          <w:color w:val="000000"/>
          <w:sz w:val="24"/>
        </w:rPr>
        <w:t>元，无第一层次及第三层次</w:t>
      </w:r>
      <w:r>
        <w:rPr>
          <w:rFonts w:hint="eastAsia"/>
          <w:color w:val="000000"/>
          <w:sz w:val="24"/>
        </w:rPr>
        <w:t>)</w:t>
      </w:r>
      <w:r>
        <w:rPr>
          <w:rFonts w:hint="eastAsia"/>
          <w:color w:val="000000"/>
          <w:sz w:val="24"/>
        </w:rPr>
        <w:t>。</w:t>
      </w:r>
    </w:p>
    <w:p w:rsidR="00C66612" w:rsidRDefault="00B06F03">
      <w:pPr>
        <w:spacing w:before="29" w:line="288" w:lineRule="auto"/>
        <w:rPr>
          <w:color w:val="000000"/>
          <w:sz w:val="24"/>
        </w:rPr>
      </w:pPr>
      <w:r>
        <w:rPr>
          <w:rFonts w:hint="eastAsia"/>
          <w:color w:val="000000"/>
          <w:sz w:val="24"/>
        </w:rPr>
        <w:t xml:space="preserve">(ii) </w:t>
      </w:r>
      <w:r>
        <w:rPr>
          <w:rFonts w:hint="eastAsia"/>
          <w:color w:val="000000"/>
          <w:sz w:val="24"/>
        </w:rPr>
        <w:t>公允价值所属层次间的重大变动</w:t>
      </w:r>
    </w:p>
    <w:p w:rsidR="00C66612" w:rsidRDefault="00B06F03">
      <w:pPr>
        <w:spacing w:before="29" w:line="288" w:lineRule="auto"/>
        <w:rPr>
          <w:color w:val="000000"/>
          <w:sz w:val="24"/>
        </w:rPr>
      </w:pPr>
      <w:r>
        <w:rPr>
          <w:rFonts w:hint="eastAsia"/>
          <w:color w:val="000000"/>
          <w:sz w:val="24"/>
        </w:rPr>
        <w:t>本基金本期及上年度可比期间持有的以公允价值计量的金融工具的公允价值所属层次未发生重大变动。</w:t>
      </w:r>
    </w:p>
    <w:p w:rsidR="00C66612" w:rsidRDefault="00B06F03">
      <w:pPr>
        <w:spacing w:before="29" w:line="288" w:lineRule="auto"/>
        <w:rPr>
          <w:color w:val="000000"/>
          <w:sz w:val="24"/>
        </w:rPr>
      </w:pPr>
      <w:r>
        <w:rPr>
          <w:rFonts w:hint="eastAsia"/>
          <w:color w:val="000000"/>
          <w:sz w:val="24"/>
        </w:rPr>
        <w:t xml:space="preserve">(iii) </w:t>
      </w:r>
      <w:r>
        <w:rPr>
          <w:rFonts w:hint="eastAsia"/>
          <w:color w:val="000000"/>
          <w:sz w:val="24"/>
        </w:rPr>
        <w:t>第三层次公允价值余额和本期变动金额</w:t>
      </w:r>
    </w:p>
    <w:p w:rsidR="00C66612" w:rsidRDefault="00B06F03">
      <w:pPr>
        <w:spacing w:before="29" w:line="288" w:lineRule="auto"/>
        <w:rPr>
          <w:color w:val="000000"/>
          <w:sz w:val="24"/>
        </w:rPr>
      </w:pPr>
      <w:r>
        <w:rPr>
          <w:rFonts w:hint="eastAsia"/>
          <w:color w:val="000000"/>
          <w:sz w:val="24"/>
        </w:rPr>
        <w:t>无。</w:t>
      </w:r>
    </w:p>
    <w:p w:rsidR="00C66612" w:rsidRDefault="00B06F03">
      <w:pPr>
        <w:spacing w:before="29" w:line="288" w:lineRule="auto"/>
        <w:rPr>
          <w:color w:val="000000"/>
          <w:sz w:val="24"/>
        </w:rPr>
      </w:pPr>
      <w:r>
        <w:rPr>
          <w:rFonts w:hint="eastAsia"/>
          <w:color w:val="000000"/>
          <w:sz w:val="24"/>
        </w:rPr>
        <w:t xml:space="preserve">(c) </w:t>
      </w:r>
      <w:r>
        <w:rPr>
          <w:rFonts w:hint="eastAsia"/>
          <w:color w:val="000000"/>
          <w:sz w:val="24"/>
        </w:rPr>
        <w:t>非持续的以公允价值计量的金融工具</w:t>
      </w:r>
    </w:p>
    <w:p w:rsidR="00C66612" w:rsidRDefault="00B06F03">
      <w:pPr>
        <w:spacing w:before="29" w:line="288" w:lineRule="auto"/>
        <w:rPr>
          <w:color w:val="000000"/>
          <w:sz w:val="24"/>
        </w:rPr>
      </w:pPr>
      <w:r>
        <w:rPr>
          <w:rFonts w:hint="eastAsia"/>
          <w:color w:val="000000"/>
          <w:sz w:val="24"/>
        </w:rPr>
        <w:t>于</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日，本基金未持有非持续的以公允价值计量的金融资产</w:t>
      </w:r>
      <w:r>
        <w:rPr>
          <w:rFonts w:hint="eastAsia"/>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日：同</w:t>
      </w:r>
      <w:r>
        <w:rPr>
          <w:rFonts w:hint="eastAsia"/>
          <w:color w:val="000000"/>
          <w:sz w:val="24"/>
        </w:rPr>
        <w:t>)</w:t>
      </w:r>
      <w:r>
        <w:rPr>
          <w:rFonts w:hint="eastAsia"/>
          <w:color w:val="000000"/>
          <w:sz w:val="24"/>
        </w:rPr>
        <w:t>。</w:t>
      </w:r>
    </w:p>
    <w:p w:rsidR="00C66612" w:rsidRDefault="00B06F03">
      <w:pPr>
        <w:spacing w:before="29" w:line="288" w:lineRule="auto"/>
        <w:rPr>
          <w:color w:val="000000"/>
          <w:sz w:val="24"/>
        </w:rPr>
      </w:pPr>
      <w:r>
        <w:rPr>
          <w:rFonts w:hint="eastAsia"/>
          <w:color w:val="000000"/>
          <w:sz w:val="24"/>
        </w:rPr>
        <w:t xml:space="preserve">(d) </w:t>
      </w:r>
      <w:r>
        <w:rPr>
          <w:rFonts w:hint="eastAsia"/>
          <w:color w:val="000000"/>
          <w:sz w:val="24"/>
        </w:rPr>
        <w:t>不以公允价值计量的金融工具</w:t>
      </w:r>
    </w:p>
    <w:p w:rsidR="00C66612" w:rsidRDefault="00B06F03">
      <w:pPr>
        <w:spacing w:before="29" w:line="288" w:lineRule="auto"/>
        <w:rPr>
          <w:color w:val="000000"/>
          <w:sz w:val="24"/>
        </w:rPr>
      </w:pPr>
      <w:r>
        <w:rPr>
          <w:rFonts w:hint="eastAsia"/>
          <w:color w:val="000000"/>
          <w:sz w:val="24"/>
        </w:rPr>
        <w:t>不以公允价值计量的金融资产和负债主要包括应收款项和其他金融负债，其账面价值与公允价值相差很小。</w:t>
      </w:r>
    </w:p>
    <w:p w:rsidR="006D141C" w:rsidRDefault="006D141C" w:rsidP="000A3DDA">
      <w:pPr>
        <w:spacing w:before="29" w:line="288" w:lineRule="auto"/>
        <w:rPr>
          <w:color w:val="000000"/>
          <w:sz w:val="24"/>
        </w:rPr>
      </w:pPr>
      <w:r w:rsidRPr="000A3DDA">
        <w:rPr>
          <w:rFonts w:hint="eastAsia"/>
          <w:color w:val="000000"/>
          <w:sz w:val="24"/>
        </w:rPr>
        <w:t xml:space="preserve">(2) </w:t>
      </w:r>
      <w:r w:rsidRPr="000A3DDA">
        <w:rPr>
          <w:rFonts w:hint="eastAsia"/>
          <w:color w:val="000000"/>
          <w:sz w:val="24"/>
        </w:rPr>
        <w:t>除公允价值外，截至资产负债表日本基金无需要说明的其他重要事项。</w:t>
      </w:r>
    </w:p>
    <w:p w:rsidR="001E7B94" w:rsidRPr="000A3DDA" w:rsidRDefault="001E7B94" w:rsidP="000A3DDA">
      <w:pPr>
        <w:spacing w:before="29" w:line="288" w:lineRule="auto"/>
        <w:rPr>
          <w:color w:val="000000"/>
          <w:sz w:val="24"/>
        </w:rPr>
      </w:pPr>
    </w:p>
    <w:p w:rsidR="006D141C" w:rsidRDefault="006D141C" w:rsidP="003F50F3">
      <w:pPr>
        <w:pStyle w:val="1"/>
        <w:keepNext/>
        <w:keepLines/>
        <w:widowControl w:val="0"/>
        <w:spacing w:beforeLines="100" w:before="312" w:afterLines="100" w:after="312" w:line="288" w:lineRule="auto"/>
        <w:jc w:val="center"/>
        <w:rPr>
          <w:b/>
          <w:bCs/>
          <w:szCs w:val="24"/>
          <w:lang w:val="en-US"/>
        </w:rPr>
      </w:pPr>
      <w:bookmarkStart w:id="11" w:name="_Toc331410101"/>
      <w:bookmarkStart w:id="12" w:name="_Toc225498272"/>
      <w:r w:rsidRPr="009F7B03">
        <w:rPr>
          <w:rFonts w:hint="eastAsia"/>
          <w:b/>
          <w:bCs/>
          <w:szCs w:val="24"/>
          <w:lang w:val="en-US"/>
        </w:rPr>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1"/>
      <w:bookmarkEnd w:id="12"/>
    </w:p>
    <w:p w:rsidR="006D141C" w:rsidRPr="00FB19E8" w:rsidRDefault="006D141C" w:rsidP="00FB19E8">
      <w:pPr>
        <w:pStyle w:val="20"/>
        <w:spacing w:before="29" w:after="0" w:line="288" w:lineRule="auto"/>
        <w:rPr>
          <w:rFonts w:ascii="Times New Roman" w:hAnsi="Times New Roman" w:cs="Times New Roman"/>
          <w:kern w:val="0"/>
          <w:szCs w:val="24"/>
        </w:rPr>
      </w:pPr>
      <w:bookmarkStart w:id="13" w:name="_Toc331410102"/>
      <w:bookmarkStart w:id="14"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3"/>
      <w:bookmarkEnd w:id="14"/>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249"/>
        <w:gridCol w:w="55"/>
        <w:gridCol w:w="2194"/>
      </w:tblGrid>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占基金总资产的比例（</w:t>
            </w:r>
            <w:r w:rsidRPr="002137A0">
              <w:rPr>
                <w:rFonts w:hint="eastAsia"/>
                <w:sz w:val="24"/>
              </w:rPr>
              <w:t>%</w:t>
            </w:r>
            <w:r w:rsidRPr="002137A0">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1,995,489,408.43</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98.44</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1,995,489,408.43</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98.44</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460672" w:rsidP="007B4F6E">
            <w:pPr>
              <w:spacing w:before="29" w:line="288" w:lineRule="auto"/>
              <w:ind w:leftChars="50" w:left="105"/>
              <w:rPr>
                <w:sz w:val="24"/>
              </w:rPr>
            </w:pPr>
            <w:r w:rsidRPr="007B4F6E">
              <w:rPr>
                <w:rFonts w:hint="eastAsia"/>
                <w:sz w:val="24"/>
              </w:rPr>
              <w:t xml:space="preserve">      </w:t>
            </w:r>
            <w:r w:rsidRPr="007B4F6E">
              <w:rPr>
                <w:sz w:val="24"/>
              </w:rPr>
              <w:t>资产支持证券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lastRenderedPageBreak/>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14,000,000.00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0.69</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14,618,194.76</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0.72</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3,033,094.59</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0.15</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2,027,140,697.78</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5" w:name="_Toc331410103"/>
      <w:bookmarkStart w:id="16" w:name="_Toc225498274"/>
      <w:r w:rsidRPr="00FB19E8">
        <w:rPr>
          <w:rFonts w:ascii="Times New Roman" w:hAnsi="Times New Roman" w:cs="Times New Roman" w:hint="eastAsia"/>
          <w:kern w:val="0"/>
          <w:szCs w:val="24"/>
        </w:rPr>
        <w:t>8.2</w:t>
      </w:r>
      <w:bookmarkEnd w:id="15"/>
      <w:bookmarkEnd w:id="16"/>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0.06</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7" w:name="_Toc247957040"/>
      <w:bookmarkStart w:id="18"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7"/>
      <w:bookmarkEnd w:id="18"/>
    </w:p>
    <w:p w:rsidR="002313DE" w:rsidRPr="005124D4" w:rsidRDefault="00985B68" w:rsidP="005124D4">
      <w:pPr>
        <w:spacing w:before="29" w:line="288" w:lineRule="auto"/>
        <w:jc w:val="left"/>
        <w:rPr>
          <w:kern w:val="0"/>
          <w:sz w:val="24"/>
        </w:rPr>
      </w:pPr>
      <w:r w:rsidRPr="005124D4">
        <w:rPr>
          <w:rFonts w:hint="eastAsia"/>
          <w:kern w:val="0"/>
          <w:sz w:val="24"/>
        </w:rPr>
        <w:t>本基金合同约定：“本基金进入全国银行间同业市场进行债券回购的资金余额不得超过基金资产净值的</w:t>
      </w:r>
      <w:r w:rsidRPr="005124D4">
        <w:rPr>
          <w:rFonts w:hint="eastAsia"/>
          <w:kern w:val="0"/>
          <w:sz w:val="24"/>
        </w:rPr>
        <w:t>40%</w:t>
      </w:r>
      <w:r w:rsidRPr="005124D4">
        <w:rPr>
          <w:rFonts w:hint="eastAsia"/>
          <w:kern w:val="0"/>
          <w:sz w:val="24"/>
        </w:rPr>
        <w:t>”。本报告期内，本基金未发生超标情况。</w:t>
      </w:r>
    </w:p>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275523745"/>
      <w:r w:rsidRPr="00FB19E8">
        <w:rPr>
          <w:rFonts w:ascii="Times New Roman" w:hAnsi="Times New Roman" w:cs="Times New Roman" w:hint="eastAsia"/>
          <w:kern w:val="0"/>
          <w:szCs w:val="24"/>
        </w:rPr>
        <w:t>8.3</w:t>
      </w:r>
      <w:bookmarkEnd w:id="19"/>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B631B7">
        <w:trPr>
          <w:trHeight w:val="375"/>
        </w:trPr>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报告期末投资组合平均剩余期限</w:t>
            </w:r>
            <w:r w:rsidRPr="004E5990">
              <w:rPr>
                <w:sz w:val="24"/>
              </w:rPr>
              <w:t xml:space="preserve"> </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119</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162</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2</w:t>
            </w:r>
          </w:p>
        </w:tc>
      </w:tr>
    </w:tbl>
    <w:p w:rsidR="006D141C" w:rsidRDefault="006D141C" w:rsidP="004B36C2">
      <w:pPr>
        <w:spacing w:line="360" w:lineRule="auto"/>
        <w:rPr>
          <w:rFonts w:asciiTheme="minorEastAsia" w:eastAsiaTheme="minorEastAsia" w:hAnsiTheme="minorEastAsia"/>
          <w:szCs w:val="21"/>
        </w:rPr>
      </w:pPr>
    </w:p>
    <w:p w:rsidR="00906C3D" w:rsidRPr="000E4C40" w:rsidRDefault="00906C3D" w:rsidP="00906C3D">
      <w:pPr>
        <w:spacing w:before="29" w:line="288" w:lineRule="auto"/>
        <w:rPr>
          <w:b/>
          <w:color w:val="000000"/>
          <w:kern w:val="0"/>
          <w:sz w:val="24"/>
        </w:rPr>
      </w:pPr>
      <w:r w:rsidRPr="000E4C40">
        <w:rPr>
          <w:rFonts w:hAnsi="宋体"/>
          <w:b/>
          <w:color w:val="000000"/>
          <w:kern w:val="0"/>
          <w:sz w:val="24"/>
        </w:rPr>
        <w:t>报告期内投资组合平均剩余期限超过</w:t>
      </w:r>
      <w:r>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906C3D" w:rsidRDefault="00906C3D" w:rsidP="00906C3D">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本基金投资组合的平均剩余期限控制在</w:t>
      </w:r>
      <w:r w:rsidRPr="000E5695">
        <w:rPr>
          <w:kern w:val="0"/>
          <w:sz w:val="24"/>
        </w:rPr>
        <w:t xml:space="preserve">180 </w:t>
      </w:r>
      <w:r w:rsidRPr="000E5695">
        <w:rPr>
          <w:kern w:val="0"/>
          <w:sz w:val="24"/>
        </w:rPr>
        <w:t>天（含）以内。</w:t>
      </w:r>
      <w:r w:rsidRPr="000E5695">
        <w:rPr>
          <w:kern w:val="0"/>
          <w:sz w:val="24"/>
        </w:rPr>
        <w:t>”</w:t>
      </w:r>
      <w:r w:rsidRPr="000E5695">
        <w:rPr>
          <w:kern w:val="0"/>
          <w:sz w:val="24"/>
        </w:rPr>
        <w:t>本基金本报告期内投资组合平均剩余期限未超过</w:t>
      </w:r>
      <w:r w:rsidRPr="000E5695">
        <w:rPr>
          <w:kern w:val="0"/>
          <w:sz w:val="24"/>
        </w:rPr>
        <w:t>180</w:t>
      </w:r>
      <w:r w:rsidRPr="000E5695">
        <w:rPr>
          <w:kern w:val="0"/>
          <w:sz w:val="24"/>
        </w:rPr>
        <w:t>天。</w:t>
      </w:r>
    </w:p>
    <w:p w:rsidR="00906C3D" w:rsidRPr="00906C3D" w:rsidRDefault="00906C3D" w:rsidP="004B36C2">
      <w:pPr>
        <w:spacing w:line="360" w:lineRule="auto"/>
        <w:rPr>
          <w:rFonts w:asciiTheme="minorEastAsia" w:eastAsiaTheme="minorEastAsia" w:hAnsiTheme="minorEastAsia"/>
          <w:szCs w:val="21"/>
        </w:rPr>
      </w:pP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lastRenderedPageBreak/>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t>各期限负债占基金资产净值的比例（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1.57</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0.70</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12.41</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9.42</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00157CB3">
              <w:rPr>
                <w:sz w:val="24"/>
              </w:rPr>
              <w:t>2</w:t>
            </w:r>
            <w:r w:rsidRPr="001B7D43">
              <w:rPr>
                <w:sz w:val="24"/>
              </w:rPr>
              <w:t>0</w:t>
            </w:r>
            <w:r w:rsidRPr="001B7D43">
              <w:rPr>
                <w:sz w:val="24"/>
              </w:rPr>
              <w:t>天</w:t>
            </w:r>
          </w:p>
        </w:tc>
        <w:tc>
          <w:tcPr>
            <w:tcW w:w="2268" w:type="dxa"/>
            <w:vAlign w:val="center"/>
          </w:tcPr>
          <w:p w:rsidR="004339AD" w:rsidRPr="001B7D43" w:rsidRDefault="00157CB3" w:rsidP="00C371BF">
            <w:pPr>
              <w:spacing w:before="29" w:line="288" w:lineRule="auto"/>
              <w:jc w:val="right"/>
              <w:rPr>
                <w:sz w:val="24"/>
              </w:rPr>
            </w:pPr>
            <w:r w:rsidRPr="00157CB3">
              <w:rPr>
                <w:sz w:val="24"/>
              </w:rPr>
              <w:t>14.23</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157CB3">
              <w:rPr>
                <w:sz w:val="24"/>
              </w:rPr>
              <w:t>2</w:t>
            </w:r>
            <w:r w:rsidR="004339AD" w:rsidRPr="001B7D43">
              <w:rPr>
                <w:sz w:val="24"/>
              </w:rPr>
              <w:t>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157CB3" w:rsidP="00C371BF">
            <w:pPr>
              <w:spacing w:before="29" w:line="288" w:lineRule="auto"/>
              <w:jc w:val="right"/>
              <w:rPr>
                <w:sz w:val="24"/>
              </w:rPr>
            </w:pPr>
            <w:r w:rsidRPr="00157CB3">
              <w:rPr>
                <w:sz w:val="24"/>
              </w:rPr>
              <w:t>63.12</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100.76</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0.70</w:t>
            </w:r>
          </w:p>
        </w:tc>
      </w:tr>
    </w:tbl>
    <w:p w:rsidR="00157CB3" w:rsidRPr="005124D4" w:rsidRDefault="00157CB3" w:rsidP="005124D4">
      <w:pPr>
        <w:spacing w:before="29" w:line="288" w:lineRule="auto"/>
        <w:jc w:val="left"/>
        <w:rPr>
          <w:kern w:val="0"/>
          <w:sz w:val="24"/>
        </w:rPr>
      </w:pPr>
    </w:p>
    <w:p w:rsidR="00157CB3" w:rsidRPr="00157CB3" w:rsidRDefault="00157CB3" w:rsidP="003F50F3">
      <w:pPr>
        <w:pStyle w:val="20"/>
        <w:spacing w:beforeLines="100" w:before="312" w:after="0"/>
        <w:rPr>
          <w:rFonts w:ascii="Times New Roman" w:hAnsi="Times New Roman" w:cs="Times New Roman"/>
          <w:kern w:val="0"/>
          <w:szCs w:val="24"/>
        </w:rPr>
      </w:pPr>
      <w:r w:rsidRPr="00157CB3">
        <w:rPr>
          <w:rFonts w:ascii="Times New Roman" w:hAnsi="Times New Roman" w:cs="Times New Roman"/>
          <w:kern w:val="0"/>
          <w:szCs w:val="24"/>
        </w:rPr>
        <w:t>8.4</w:t>
      </w:r>
      <w:r w:rsidRPr="00157CB3">
        <w:rPr>
          <w:rFonts w:ascii="Times New Roman" w:hAnsi="Times New Roman" w:cs="Times New Roman" w:hint="eastAsia"/>
          <w:kern w:val="0"/>
          <w:szCs w:val="24"/>
        </w:rPr>
        <w:t>报告期内投资组合平均剩余存续期超过</w:t>
      </w:r>
      <w:r w:rsidRPr="00157CB3">
        <w:rPr>
          <w:rFonts w:ascii="Times New Roman" w:hAnsi="Times New Roman" w:cs="Times New Roman" w:hint="eastAsia"/>
          <w:kern w:val="0"/>
          <w:szCs w:val="24"/>
        </w:rPr>
        <w:t>240</w:t>
      </w:r>
      <w:r w:rsidRPr="00157CB3">
        <w:rPr>
          <w:rFonts w:ascii="宋体" w:hAnsi="宋体" w:cs="Times New Roman" w:hint="eastAsia"/>
          <w:kern w:val="0"/>
          <w:szCs w:val="24"/>
        </w:rPr>
        <w:t>天情况说明</w:t>
      </w:r>
    </w:p>
    <w:p w:rsidR="00157CB3" w:rsidRPr="00157CB3" w:rsidRDefault="00157CB3" w:rsidP="00157CB3">
      <w:pPr>
        <w:spacing w:line="360" w:lineRule="auto"/>
        <w:ind w:firstLineChars="200" w:firstLine="480"/>
        <w:jc w:val="left"/>
        <w:rPr>
          <w:sz w:val="24"/>
        </w:rPr>
      </w:pPr>
      <w:r w:rsidRPr="00157CB3">
        <w:rPr>
          <w:rFonts w:hint="eastAsia"/>
          <w:sz w:val="24"/>
        </w:rPr>
        <w:t>本基金本报告期内投资组合平均剩余存续期未超过</w:t>
      </w:r>
      <w:r w:rsidRPr="00157CB3">
        <w:rPr>
          <w:rFonts w:hint="eastAsia"/>
          <w:sz w:val="24"/>
        </w:rPr>
        <w:t>240</w:t>
      </w:r>
      <w:r w:rsidRPr="00157CB3">
        <w:rPr>
          <w:rFonts w:hint="eastAsia"/>
          <w:sz w:val="24"/>
        </w:rPr>
        <w:t>天。</w:t>
      </w:r>
    </w:p>
    <w:p w:rsidR="006D141C" w:rsidRPr="00157CB3" w:rsidRDefault="006D141C" w:rsidP="004B36C2">
      <w:pPr>
        <w:spacing w:line="360" w:lineRule="auto"/>
        <w:rPr>
          <w:rFonts w:asciiTheme="minorEastAsia" w:eastAsiaTheme="minorEastAsia" w:hAnsiTheme="minorEastAsia"/>
          <w:b/>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0" w:name="_Toc331410106"/>
      <w:bookmarkStart w:id="21" w:name="_Toc234814104"/>
      <w:r w:rsidRPr="00FB19E8">
        <w:rPr>
          <w:rFonts w:ascii="Times New Roman" w:hAnsi="Times New Roman" w:cs="Times New Roman" w:hint="eastAsia"/>
          <w:kern w:val="0"/>
          <w:szCs w:val="24"/>
        </w:rPr>
        <w:t>8.5</w:t>
      </w:r>
      <w:r w:rsidRPr="00FB19E8">
        <w:rPr>
          <w:rFonts w:ascii="Times New Roman" w:hAnsi="Times New Roman" w:cs="Times New Roman" w:hint="eastAsia"/>
          <w:kern w:val="0"/>
          <w:szCs w:val="24"/>
        </w:rPr>
        <w:t>期末按债券品种分类的债券投资组合</w:t>
      </w:r>
      <w:bookmarkEnd w:id="20"/>
      <w:bookmarkEnd w:id="21"/>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摊余成本</w:t>
            </w:r>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100,244,098.33</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4.99</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2,999,876.82</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0.15</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2,999,876.82</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0.15</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r w:rsidR="00827EC3" w:rsidRPr="00042E1F">
              <w:rPr>
                <w:rFonts w:hint="eastAsia"/>
                <w:sz w:val="24"/>
              </w:rPr>
              <w:t>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7148A5" w:rsidRPr="00B628A9" w:rsidTr="004E65B4">
        <w:trPr>
          <w:trHeight w:val="315"/>
        </w:trPr>
        <w:tc>
          <w:tcPr>
            <w:tcW w:w="915" w:type="dxa"/>
            <w:shd w:val="clear" w:color="auto" w:fill="auto"/>
            <w:vAlign w:val="center"/>
          </w:tcPr>
          <w:p w:rsidR="007148A5" w:rsidRPr="00B628A9" w:rsidRDefault="007148A5" w:rsidP="004E65B4">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7148A5" w:rsidRPr="00042E1F" w:rsidRDefault="007148A5" w:rsidP="004E65B4">
            <w:pPr>
              <w:spacing w:before="29" w:line="288" w:lineRule="auto"/>
              <w:ind w:left="17"/>
              <w:jc w:val="left"/>
              <w:rPr>
                <w:sz w:val="24"/>
              </w:rPr>
            </w:pPr>
            <w:r w:rsidRPr="00042E1F">
              <w:rPr>
                <w:rFonts w:hint="eastAsia"/>
                <w:sz w:val="24"/>
              </w:rPr>
              <w:t>中期票据</w:t>
            </w:r>
          </w:p>
        </w:tc>
        <w:tc>
          <w:tcPr>
            <w:tcW w:w="2268"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shd w:val="clear" w:color="auto" w:fill="auto"/>
            <w:vAlign w:val="center"/>
          </w:tcPr>
          <w:p w:rsidR="007148A5" w:rsidRPr="004B6D45" w:rsidRDefault="007148A5" w:rsidP="007148A5">
            <w:pPr>
              <w:spacing w:before="29" w:line="288" w:lineRule="auto"/>
              <w:ind w:left="17"/>
              <w:jc w:val="center"/>
              <w:rPr>
                <w:color w:val="000000"/>
                <w:sz w:val="24"/>
              </w:rPr>
            </w:pPr>
            <w:r>
              <w:rPr>
                <w:color w:val="000000"/>
                <w:sz w:val="24"/>
              </w:rPr>
              <w:t>7</w:t>
            </w:r>
          </w:p>
        </w:tc>
        <w:tc>
          <w:tcPr>
            <w:tcW w:w="3543" w:type="dxa"/>
            <w:shd w:val="clear" w:color="auto" w:fill="auto"/>
            <w:vAlign w:val="center"/>
          </w:tcPr>
          <w:p w:rsidR="007148A5" w:rsidRPr="004B6D45" w:rsidRDefault="007148A5" w:rsidP="007148A5">
            <w:pPr>
              <w:spacing w:before="29" w:line="288" w:lineRule="auto"/>
              <w:ind w:left="17"/>
              <w:jc w:val="left"/>
              <w:rPr>
                <w:color w:val="000000"/>
                <w:sz w:val="24"/>
              </w:rPr>
            </w:pPr>
            <w:r w:rsidRPr="004B6D45">
              <w:rPr>
                <w:rFonts w:hint="eastAsia"/>
                <w:color w:val="000000"/>
                <w:sz w:val="24"/>
              </w:rPr>
              <w:t>同业存单</w:t>
            </w:r>
          </w:p>
        </w:tc>
        <w:tc>
          <w:tcPr>
            <w:tcW w:w="2268"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1,892,245,433.28</w:t>
            </w:r>
          </w:p>
        </w:tc>
        <w:tc>
          <w:tcPr>
            <w:tcW w:w="2272"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94.20</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8</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其他</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9</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合计</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1,995,489,408.43</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99.33</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10</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bl>
    <w:p w:rsidR="006D141C" w:rsidRPr="007148A5"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7"/>
      <w:r w:rsidRPr="00FB19E8">
        <w:rPr>
          <w:rFonts w:ascii="Times New Roman" w:hAnsi="Times New Roman" w:cs="Times New Roman" w:hint="eastAsia"/>
          <w:kern w:val="0"/>
          <w:szCs w:val="24"/>
        </w:rPr>
        <w:t>8.6</w:t>
      </w:r>
      <w:bookmarkEnd w:id="22"/>
      <w:r w:rsidR="003A0E36" w:rsidRPr="00FB19E8">
        <w:rPr>
          <w:rFonts w:ascii="Times New Roman" w:hAnsi="Times New Roman" w:cs="Times New Roman"/>
          <w:kern w:val="0"/>
          <w:szCs w:val="24"/>
        </w:rPr>
        <w:t>期末按摊余成本占基金资产净值比例大小排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摊余成本</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t>值比例（％）</w:t>
            </w:r>
          </w:p>
        </w:tc>
      </w:tr>
      <w:tr w:rsidR="00C66612">
        <w:tc>
          <w:tcPr>
            <w:tcW w:w="1493" w:type="dxa"/>
            <w:vAlign w:val="center"/>
          </w:tcPr>
          <w:p w:rsidR="00C66612" w:rsidRDefault="00B06F03">
            <w:pPr>
              <w:jc w:val="center"/>
            </w:pPr>
            <w:r>
              <w:rPr>
                <w:rFonts w:hint="eastAsia"/>
                <w:sz w:val="24"/>
              </w:rPr>
              <w:t>1</w:t>
            </w:r>
          </w:p>
        </w:tc>
        <w:tc>
          <w:tcPr>
            <w:tcW w:w="1493" w:type="dxa"/>
            <w:vAlign w:val="center"/>
          </w:tcPr>
          <w:p w:rsidR="00C66612" w:rsidRDefault="00B06F03">
            <w:pPr>
              <w:jc w:val="center"/>
            </w:pPr>
            <w:r>
              <w:rPr>
                <w:rFonts w:hint="eastAsia"/>
                <w:sz w:val="24"/>
              </w:rPr>
              <w:t>140004</w:t>
            </w:r>
          </w:p>
        </w:tc>
        <w:tc>
          <w:tcPr>
            <w:tcW w:w="1503" w:type="dxa"/>
            <w:vAlign w:val="center"/>
          </w:tcPr>
          <w:p w:rsidR="00C66612" w:rsidRDefault="00B06F03">
            <w:pPr>
              <w:jc w:val="center"/>
            </w:pPr>
            <w:r>
              <w:rPr>
                <w:rFonts w:hint="eastAsia"/>
                <w:sz w:val="24"/>
              </w:rPr>
              <w:t>14</w:t>
            </w:r>
            <w:r>
              <w:rPr>
                <w:rFonts w:hint="eastAsia"/>
                <w:sz w:val="24"/>
              </w:rPr>
              <w:t>附息国债</w:t>
            </w:r>
            <w:r>
              <w:rPr>
                <w:rFonts w:hint="eastAsia"/>
                <w:sz w:val="24"/>
              </w:rPr>
              <w:t>04</w:t>
            </w:r>
          </w:p>
        </w:tc>
        <w:tc>
          <w:tcPr>
            <w:tcW w:w="1503" w:type="dxa"/>
            <w:vAlign w:val="center"/>
          </w:tcPr>
          <w:p w:rsidR="00C66612" w:rsidRDefault="00B06F03">
            <w:pPr>
              <w:jc w:val="center"/>
            </w:pPr>
            <w:r>
              <w:rPr>
                <w:rFonts w:hint="eastAsia"/>
                <w:sz w:val="24"/>
              </w:rPr>
              <w:t>1,000,000</w:t>
            </w:r>
          </w:p>
        </w:tc>
        <w:tc>
          <w:tcPr>
            <w:tcW w:w="1503" w:type="dxa"/>
            <w:vAlign w:val="center"/>
          </w:tcPr>
          <w:p w:rsidR="00C66612" w:rsidRDefault="00B06F03">
            <w:pPr>
              <w:jc w:val="center"/>
            </w:pPr>
            <w:r>
              <w:rPr>
                <w:rFonts w:hint="eastAsia"/>
                <w:sz w:val="24"/>
              </w:rPr>
              <w:t>100,244,098.33</w:t>
            </w:r>
          </w:p>
        </w:tc>
        <w:tc>
          <w:tcPr>
            <w:tcW w:w="1503" w:type="dxa"/>
            <w:vAlign w:val="center"/>
          </w:tcPr>
          <w:p w:rsidR="00C66612" w:rsidRDefault="00B06F03">
            <w:pPr>
              <w:jc w:val="center"/>
            </w:pPr>
            <w:r>
              <w:rPr>
                <w:rFonts w:hint="eastAsia"/>
                <w:sz w:val="24"/>
              </w:rPr>
              <w:t>4.99</w:t>
            </w:r>
          </w:p>
        </w:tc>
      </w:tr>
      <w:tr w:rsidR="00C66612">
        <w:tc>
          <w:tcPr>
            <w:tcW w:w="1493" w:type="dxa"/>
            <w:vAlign w:val="center"/>
          </w:tcPr>
          <w:p w:rsidR="00C66612" w:rsidRDefault="00B06F03">
            <w:pPr>
              <w:jc w:val="center"/>
            </w:pPr>
            <w:r>
              <w:rPr>
                <w:rFonts w:hint="eastAsia"/>
                <w:sz w:val="24"/>
              </w:rPr>
              <w:t>2</w:t>
            </w:r>
          </w:p>
        </w:tc>
        <w:tc>
          <w:tcPr>
            <w:tcW w:w="1493" w:type="dxa"/>
            <w:vAlign w:val="center"/>
          </w:tcPr>
          <w:p w:rsidR="00C66612" w:rsidRDefault="00B06F03">
            <w:pPr>
              <w:jc w:val="center"/>
            </w:pPr>
            <w:r>
              <w:rPr>
                <w:rFonts w:hint="eastAsia"/>
                <w:sz w:val="24"/>
              </w:rPr>
              <w:t>111699171</w:t>
            </w:r>
          </w:p>
        </w:tc>
        <w:tc>
          <w:tcPr>
            <w:tcW w:w="1503" w:type="dxa"/>
            <w:vAlign w:val="center"/>
          </w:tcPr>
          <w:p w:rsidR="00C66612" w:rsidRDefault="00B06F03">
            <w:pPr>
              <w:jc w:val="center"/>
            </w:pPr>
            <w:r>
              <w:rPr>
                <w:rFonts w:hint="eastAsia"/>
                <w:sz w:val="24"/>
              </w:rPr>
              <w:t>16</w:t>
            </w:r>
            <w:r>
              <w:rPr>
                <w:rFonts w:hint="eastAsia"/>
                <w:sz w:val="24"/>
              </w:rPr>
              <w:t>江苏江南农村商业银行</w:t>
            </w:r>
            <w:r>
              <w:rPr>
                <w:rFonts w:hint="eastAsia"/>
                <w:sz w:val="24"/>
              </w:rPr>
              <w:t>CD138</w:t>
            </w:r>
          </w:p>
        </w:tc>
        <w:tc>
          <w:tcPr>
            <w:tcW w:w="1503" w:type="dxa"/>
            <w:vAlign w:val="center"/>
          </w:tcPr>
          <w:p w:rsidR="00C66612" w:rsidRDefault="00B06F03">
            <w:pPr>
              <w:jc w:val="center"/>
            </w:pPr>
            <w:r>
              <w:rPr>
                <w:rFonts w:hint="eastAsia"/>
                <w:sz w:val="24"/>
              </w:rPr>
              <w:t>1,000,000</w:t>
            </w:r>
          </w:p>
        </w:tc>
        <w:tc>
          <w:tcPr>
            <w:tcW w:w="1503" w:type="dxa"/>
            <w:vAlign w:val="center"/>
          </w:tcPr>
          <w:p w:rsidR="00C66612" w:rsidRDefault="00B06F03">
            <w:pPr>
              <w:jc w:val="center"/>
            </w:pPr>
            <w:r>
              <w:rPr>
                <w:rFonts w:hint="eastAsia"/>
                <w:sz w:val="24"/>
              </w:rPr>
              <w:t>98,564,756.74</w:t>
            </w:r>
          </w:p>
        </w:tc>
        <w:tc>
          <w:tcPr>
            <w:tcW w:w="1503" w:type="dxa"/>
            <w:vAlign w:val="center"/>
          </w:tcPr>
          <w:p w:rsidR="00C66612" w:rsidRDefault="00B06F03">
            <w:pPr>
              <w:jc w:val="center"/>
            </w:pPr>
            <w:r>
              <w:rPr>
                <w:rFonts w:hint="eastAsia"/>
                <w:sz w:val="24"/>
              </w:rPr>
              <w:t>4.91</w:t>
            </w:r>
          </w:p>
        </w:tc>
      </w:tr>
      <w:tr w:rsidR="00C66612">
        <w:tc>
          <w:tcPr>
            <w:tcW w:w="1493" w:type="dxa"/>
            <w:vAlign w:val="center"/>
          </w:tcPr>
          <w:p w:rsidR="00C66612" w:rsidRDefault="00B06F03">
            <w:pPr>
              <w:jc w:val="center"/>
            </w:pPr>
            <w:r>
              <w:rPr>
                <w:rFonts w:hint="eastAsia"/>
                <w:sz w:val="24"/>
              </w:rPr>
              <w:t>3</w:t>
            </w:r>
          </w:p>
        </w:tc>
        <w:tc>
          <w:tcPr>
            <w:tcW w:w="1493" w:type="dxa"/>
            <w:vAlign w:val="center"/>
          </w:tcPr>
          <w:p w:rsidR="00C66612" w:rsidRDefault="00B06F03">
            <w:pPr>
              <w:jc w:val="center"/>
            </w:pPr>
            <w:r>
              <w:rPr>
                <w:rFonts w:hint="eastAsia"/>
                <w:sz w:val="24"/>
              </w:rPr>
              <w:t>111699155</w:t>
            </w:r>
          </w:p>
        </w:tc>
        <w:tc>
          <w:tcPr>
            <w:tcW w:w="1503" w:type="dxa"/>
            <w:vAlign w:val="center"/>
          </w:tcPr>
          <w:p w:rsidR="00C66612" w:rsidRDefault="00B06F03">
            <w:pPr>
              <w:jc w:val="center"/>
            </w:pPr>
            <w:r>
              <w:rPr>
                <w:rFonts w:hint="eastAsia"/>
                <w:sz w:val="24"/>
              </w:rPr>
              <w:t>16</w:t>
            </w:r>
            <w:r>
              <w:rPr>
                <w:rFonts w:hint="eastAsia"/>
                <w:sz w:val="24"/>
              </w:rPr>
              <w:t>包商银行</w:t>
            </w:r>
            <w:r>
              <w:rPr>
                <w:rFonts w:hint="eastAsia"/>
                <w:sz w:val="24"/>
              </w:rPr>
              <w:t>CD060</w:t>
            </w:r>
          </w:p>
        </w:tc>
        <w:tc>
          <w:tcPr>
            <w:tcW w:w="1503" w:type="dxa"/>
            <w:vAlign w:val="center"/>
          </w:tcPr>
          <w:p w:rsidR="00C66612" w:rsidRDefault="00B06F03">
            <w:pPr>
              <w:jc w:val="center"/>
            </w:pPr>
            <w:r>
              <w:rPr>
                <w:rFonts w:hint="eastAsia"/>
                <w:sz w:val="24"/>
              </w:rPr>
              <w:t>1,000,000</w:t>
            </w:r>
          </w:p>
        </w:tc>
        <w:tc>
          <w:tcPr>
            <w:tcW w:w="1503" w:type="dxa"/>
            <w:vAlign w:val="center"/>
          </w:tcPr>
          <w:p w:rsidR="00C66612" w:rsidRDefault="00B06F03">
            <w:pPr>
              <w:jc w:val="center"/>
            </w:pPr>
            <w:r>
              <w:rPr>
                <w:rFonts w:hint="eastAsia"/>
                <w:sz w:val="24"/>
              </w:rPr>
              <w:t>98,530,555.96</w:t>
            </w:r>
          </w:p>
        </w:tc>
        <w:tc>
          <w:tcPr>
            <w:tcW w:w="1503" w:type="dxa"/>
            <w:vAlign w:val="center"/>
          </w:tcPr>
          <w:p w:rsidR="00C66612" w:rsidRDefault="00B06F03">
            <w:pPr>
              <w:jc w:val="center"/>
            </w:pPr>
            <w:r>
              <w:rPr>
                <w:rFonts w:hint="eastAsia"/>
                <w:sz w:val="24"/>
              </w:rPr>
              <w:t>4.90</w:t>
            </w:r>
          </w:p>
        </w:tc>
      </w:tr>
      <w:tr w:rsidR="00C66612">
        <w:tc>
          <w:tcPr>
            <w:tcW w:w="1493" w:type="dxa"/>
            <w:vAlign w:val="center"/>
          </w:tcPr>
          <w:p w:rsidR="00C66612" w:rsidRDefault="00B06F03">
            <w:pPr>
              <w:jc w:val="center"/>
            </w:pPr>
            <w:r>
              <w:rPr>
                <w:rFonts w:hint="eastAsia"/>
                <w:sz w:val="24"/>
              </w:rPr>
              <w:t>4</w:t>
            </w:r>
          </w:p>
        </w:tc>
        <w:tc>
          <w:tcPr>
            <w:tcW w:w="1493" w:type="dxa"/>
            <w:vAlign w:val="center"/>
          </w:tcPr>
          <w:p w:rsidR="00C66612" w:rsidRDefault="00B06F03">
            <w:pPr>
              <w:jc w:val="center"/>
            </w:pPr>
            <w:r>
              <w:rPr>
                <w:rFonts w:hint="eastAsia"/>
                <w:sz w:val="24"/>
              </w:rPr>
              <w:t>111699830</w:t>
            </w:r>
          </w:p>
        </w:tc>
        <w:tc>
          <w:tcPr>
            <w:tcW w:w="1503" w:type="dxa"/>
            <w:vAlign w:val="center"/>
          </w:tcPr>
          <w:p w:rsidR="00C66612" w:rsidRDefault="00B06F03">
            <w:pPr>
              <w:jc w:val="center"/>
            </w:pPr>
            <w:r>
              <w:rPr>
                <w:rFonts w:hint="eastAsia"/>
                <w:sz w:val="24"/>
              </w:rPr>
              <w:t>16</w:t>
            </w:r>
            <w:r>
              <w:rPr>
                <w:rFonts w:hint="eastAsia"/>
                <w:sz w:val="24"/>
              </w:rPr>
              <w:t>浙江泰隆商行</w:t>
            </w:r>
            <w:r>
              <w:rPr>
                <w:rFonts w:hint="eastAsia"/>
                <w:sz w:val="24"/>
              </w:rPr>
              <w:t>CD046</w:t>
            </w:r>
          </w:p>
        </w:tc>
        <w:tc>
          <w:tcPr>
            <w:tcW w:w="1503" w:type="dxa"/>
            <w:vAlign w:val="center"/>
          </w:tcPr>
          <w:p w:rsidR="00C66612" w:rsidRDefault="00B06F03">
            <w:pPr>
              <w:jc w:val="center"/>
            </w:pPr>
            <w:r>
              <w:rPr>
                <w:rFonts w:hint="eastAsia"/>
                <w:sz w:val="24"/>
              </w:rPr>
              <w:t>1,000,000</w:t>
            </w:r>
          </w:p>
        </w:tc>
        <w:tc>
          <w:tcPr>
            <w:tcW w:w="1503" w:type="dxa"/>
            <w:vAlign w:val="center"/>
          </w:tcPr>
          <w:p w:rsidR="00C66612" w:rsidRDefault="00B06F03">
            <w:pPr>
              <w:jc w:val="center"/>
            </w:pPr>
            <w:r>
              <w:rPr>
                <w:rFonts w:hint="eastAsia"/>
                <w:sz w:val="24"/>
              </w:rPr>
              <w:t>98,492,079.45</w:t>
            </w:r>
          </w:p>
        </w:tc>
        <w:tc>
          <w:tcPr>
            <w:tcW w:w="1503" w:type="dxa"/>
            <w:vAlign w:val="center"/>
          </w:tcPr>
          <w:p w:rsidR="00C66612" w:rsidRDefault="00B06F03">
            <w:pPr>
              <w:jc w:val="center"/>
            </w:pPr>
            <w:r>
              <w:rPr>
                <w:rFonts w:hint="eastAsia"/>
                <w:sz w:val="24"/>
              </w:rPr>
              <w:t>4.90</w:t>
            </w:r>
          </w:p>
        </w:tc>
      </w:tr>
      <w:tr w:rsidR="00C66612">
        <w:tc>
          <w:tcPr>
            <w:tcW w:w="1493" w:type="dxa"/>
            <w:vAlign w:val="center"/>
          </w:tcPr>
          <w:p w:rsidR="00C66612" w:rsidRDefault="00B06F03">
            <w:pPr>
              <w:jc w:val="center"/>
            </w:pPr>
            <w:r>
              <w:rPr>
                <w:rFonts w:hint="eastAsia"/>
                <w:sz w:val="24"/>
              </w:rPr>
              <w:t>5</w:t>
            </w:r>
          </w:p>
        </w:tc>
        <w:tc>
          <w:tcPr>
            <w:tcW w:w="1493" w:type="dxa"/>
            <w:vAlign w:val="center"/>
          </w:tcPr>
          <w:p w:rsidR="00C66612" w:rsidRDefault="00B06F03">
            <w:pPr>
              <w:jc w:val="center"/>
            </w:pPr>
            <w:r>
              <w:rPr>
                <w:rFonts w:hint="eastAsia"/>
                <w:sz w:val="24"/>
              </w:rPr>
              <w:t>111699172</w:t>
            </w:r>
          </w:p>
        </w:tc>
        <w:tc>
          <w:tcPr>
            <w:tcW w:w="1503" w:type="dxa"/>
            <w:vAlign w:val="center"/>
          </w:tcPr>
          <w:p w:rsidR="00C66612" w:rsidRDefault="00B06F03">
            <w:pPr>
              <w:jc w:val="center"/>
            </w:pPr>
            <w:r>
              <w:rPr>
                <w:rFonts w:hint="eastAsia"/>
                <w:sz w:val="24"/>
              </w:rPr>
              <w:t>16</w:t>
            </w:r>
            <w:r>
              <w:rPr>
                <w:rFonts w:hint="eastAsia"/>
                <w:sz w:val="24"/>
              </w:rPr>
              <w:t>九江银行</w:t>
            </w:r>
            <w:r>
              <w:rPr>
                <w:rFonts w:hint="eastAsia"/>
                <w:sz w:val="24"/>
              </w:rPr>
              <w:t>CD093</w:t>
            </w:r>
          </w:p>
        </w:tc>
        <w:tc>
          <w:tcPr>
            <w:tcW w:w="1503" w:type="dxa"/>
            <w:vAlign w:val="center"/>
          </w:tcPr>
          <w:p w:rsidR="00C66612" w:rsidRDefault="00B06F03">
            <w:pPr>
              <w:jc w:val="center"/>
            </w:pPr>
            <w:r>
              <w:rPr>
                <w:rFonts w:hint="eastAsia"/>
                <w:sz w:val="24"/>
              </w:rPr>
              <w:t>1,000,000</w:t>
            </w:r>
          </w:p>
        </w:tc>
        <w:tc>
          <w:tcPr>
            <w:tcW w:w="1503" w:type="dxa"/>
            <w:vAlign w:val="center"/>
          </w:tcPr>
          <w:p w:rsidR="00C66612" w:rsidRDefault="00B06F03">
            <w:pPr>
              <w:jc w:val="center"/>
            </w:pPr>
            <w:r>
              <w:rPr>
                <w:rFonts w:hint="eastAsia"/>
                <w:sz w:val="24"/>
              </w:rPr>
              <w:t>98,478,573.47</w:t>
            </w:r>
          </w:p>
        </w:tc>
        <w:tc>
          <w:tcPr>
            <w:tcW w:w="1503" w:type="dxa"/>
            <w:vAlign w:val="center"/>
          </w:tcPr>
          <w:p w:rsidR="00C66612" w:rsidRDefault="00B06F03">
            <w:pPr>
              <w:jc w:val="center"/>
            </w:pPr>
            <w:r>
              <w:rPr>
                <w:rFonts w:hint="eastAsia"/>
                <w:sz w:val="24"/>
              </w:rPr>
              <w:t>4.90</w:t>
            </w:r>
          </w:p>
        </w:tc>
      </w:tr>
      <w:tr w:rsidR="00C66612">
        <w:tc>
          <w:tcPr>
            <w:tcW w:w="1493" w:type="dxa"/>
            <w:vAlign w:val="center"/>
          </w:tcPr>
          <w:p w:rsidR="00C66612" w:rsidRDefault="00B06F03">
            <w:pPr>
              <w:jc w:val="center"/>
            </w:pPr>
            <w:r>
              <w:rPr>
                <w:rFonts w:hint="eastAsia"/>
                <w:sz w:val="24"/>
              </w:rPr>
              <w:t>6</w:t>
            </w:r>
          </w:p>
        </w:tc>
        <w:tc>
          <w:tcPr>
            <w:tcW w:w="1493" w:type="dxa"/>
            <w:vAlign w:val="center"/>
          </w:tcPr>
          <w:p w:rsidR="00C66612" w:rsidRDefault="00B06F03">
            <w:pPr>
              <w:jc w:val="center"/>
            </w:pPr>
            <w:r>
              <w:rPr>
                <w:rFonts w:hint="eastAsia"/>
                <w:sz w:val="24"/>
              </w:rPr>
              <w:t>111699750</w:t>
            </w:r>
          </w:p>
        </w:tc>
        <w:tc>
          <w:tcPr>
            <w:tcW w:w="1503" w:type="dxa"/>
            <w:vAlign w:val="center"/>
          </w:tcPr>
          <w:p w:rsidR="00C66612" w:rsidRDefault="00B06F03">
            <w:pPr>
              <w:jc w:val="center"/>
            </w:pPr>
            <w:r>
              <w:rPr>
                <w:rFonts w:hint="eastAsia"/>
                <w:sz w:val="24"/>
              </w:rPr>
              <w:t>16</w:t>
            </w:r>
            <w:r>
              <w:rPr>
                <w:rFonts w:hint="eastAsia"/>
                <w:sz w:val="24"/>
              </w:rPr>
              <w:t>秦农农商银行</w:t>
            </w:r>
            <w:r>
              <w:rPr>
                <w:rFonts w:hint="eastAsia"/>
                <w:sz w:val="24"/>
              </w:rPr>
              <w:t>CD003</w:t>
            </w:r>
          </w:p>
        </w:tc>
        <w:tc>
          <w:tcPr>
            <w:tcW w:w="1503" w:type="dxa"/>
            <w:vAlign w:val="center"/>
          </w:tcPr>
          <w:p w:rsidR="00C66612" w:rsidRDefault="00B06F03">
            <w:pPr>
              <w:jc w:val="center"/>
            </w:pPr>
            <w:r>
              <w:rPr>
                <w:rFonts w:hint="eastAsia"/>
                <w:sz w:val="24"/>
              </w:rPr>
              <w:t>1,000,000</w:t>
            </w:r>
          </w:p>
        </w:tc>
        <w:tc>
          <w:tcPr>
            <w:tcW w:w="1503" w:type="dxa"/>
            <w:vAlign w:val="center"/>
          </w:tcPr>
          <w:p w:rsidR="00C66612" w:rsidRDefault="00B06F03">
            <w:pPr>
              <w:jc w:val="center"/>
            </w:pPr>
            <w:r>
              <w:rPr>
                <w:rFonts w:hint="eastAsia"/>
                <w:sz w:val="24"/>
              </w:rPr>
              <w:t>98,473,272.88</w:t>
            </w:r>
          </w:p>
        </w:tc>
        <w:tc>
          <w:tcPr>
            <w:tcW w:w="1503" w:type="dxa"/>
            <w:vAlign w:val="center"/>
          </w:tcPr>
          <w:p w:rsidR="00C66612" w:rsidRDefault="00B06F03">
            <w:pPr>
              <w:jc w:val="center"/>
            </w:pPr>
            <w:r>
              <w:rPr>
                <w:rFonts w:hint="eastAsia"/>
                <w:sz w:val="24"/>
              </w:rPr>
              <w:t>4.90</w:t>
            </w:r>
          </w:p>
        </w:tc>
      </w:tr>
      <w:tr w:rsidR="00C66612">
        <w:tc>
          <w:tcPr>
            <w:tcW w:w="1493" w:type="dxa"/>
            <w:vAlign w:val="center"/>
          </w:tcPr>
          <w:p w:rsidR="00C66612" w:rsidRDefault="00B06F03">
            <w:pPr>
              <w:jc w:val="center"/>
            </w:pPr>
            <w:r>
              <w:rPr>
                <w:rFonts w:hint="eastAsia"/>
                <w:sz w:val="24"/>
              </w:rPr>
              <w:t>7</w:t>
            </w:r>
          </w:p>
        </w:tc>
        <w:tc>
          <w:tcPr>
            <w:tcW w:w="1493" w:type="dxa"/>
            <w:vAlign w:val="center"/>
          </w:tcPr>
          <w:p w:rsidR="00C66612" w:rsidRDefault="00B06F03">
            <w:pPr>
              <w:jc w:val="center"/>
            </w:pPr>
            <w:r>
              <w:rPr>
                <w:rFonts w:hint="eastAsia"/>
                <w:sz w:val="24"/>
              </w:rPr>
              <w:t>111699192</w:t>
            </w:r>
          </w:p>
        </w:tc>
        <w:tc>
          <w:tcPr>
            <w:tcW w:w="1503" w:type="dxa"/>
            <w:vAlign w:val="center"/>
          </w:tcPr>
          <w:p w:rsidR="00C66612" w:rsidRDefault="00B06F03">
            <w:pPr>
              <w:jc w:val="center"/>
            </w:pPr>
            <w:r>
              <w:rPr>
                <w:rFonts w:hint="eastAsia"/>
                <w:sz w:val="24"/>
              </w:rPr>
              <w:t>16</w:t>
            </w:r>
            <w:r>
              <w:rPr>
                <w:rFonts w:hint="eastAsia"/>
                <w:sz w:val="24"/>
              </w:rPr>
              <w:t>中原银行</w:t>
            </w:r>
            <w:r>
              <w:rPr>
                <w:rFonts w:hint="eastAsia"/>
                <w:sz w:val="24"/>
              </w:rPr>
              <w:t>CD135</w:t>
            </w:r>
          </w:p>
        </w:tc>
        <w:tc>
          <w:tcPr>
            <w:tcW w:w="1503" w:type="dxa"/>
            <w:vAlign w:val="center"/>
          </w:tcPr>
          <w:p w:rsidR="00C66612" w:rsidRDefault="00B06F03">
            <w:pPr>
              <w:jc w:val="center"/>
            </w:pPr>
            <w:r>
              <w:rPr>
                <w:rFonts w:hint="eastAsia"/>
                <w:sz w:val="24"/>
              </w:rPr>
              <w:t>1,000,000</w:t>
            </w:r>
          </w:p>
        </w:tc>
        <w:tc>
          <w:tcPr>
            <w:tcW w:w="1503" w:type="dxa"/>
            <w:vAlign w:val="center"/>
          </w:tcPr>
          <w:p w:rsidR="00C66612" w:rsidRDefault="00B06F03">
            <w:pPr>
              <w:jc w:val="center"/>
            </w:pPr>
            <w:r>
              <w:rPr>
                <w:rFonts w:hint="eastAsia"/>
                <w:sz w:val="24"/>
              </w:rPr>
              <w:t>98,472,922.47</w:t>
            </w:r>
          </w:p>
        </w:tc>
        <w:tc>
          <w:tcPr>
            <w:tcW w:w="1503" w:type="dxa"/>
            <w:vAlign w:val="center"/>
          </w:tcPr>
          <w:p w:rsidR="00C66612" w:rsidRDefault="00B06F03">
            <w:pPr>
              <w:jc w:val="center"/>
            </w:pPr>
            <w:r>
              <w:rPr>
                <w:rFonts w:hint="eastAsia"/>
                <w:sz w:val="24"/>
              </w:rPr>
              <w:t>4.90</w:t>
            </w:r>
          </w:p>
        </w:tc>
      </w:tr>
      <w:tr w:rsidR="00C66612">
        <w:tc>
          <w:tcPr>
            <w:tcW w:w="1493" w:type="dxa"/>
            <w:vAlign w:val="center"/>
          </w:tcPr>
          <w:p w:rsidR="00C66612" w:rsidRDefault="00B06F03">
            <w:pPr>
              <w:jc w:val="center"/>
            </w:pPr>
            <w:r>
              <w:rPr>
                <w:rFonts w:hint="eastAsia"/>
                <w:sz w:val="24"/>
              </w:rPr>
              <w:t>8</w:t>
            </w:r>
          </w:p>
        </w:tc>
        <w:tc>
          <w:tcPr>
            <w:tcW w:w="1493" w:type="dxa"/>
            <w:vAlign w:val="center"/>
          </w:tcPr>
          <w:p w:rsidR="00C66612" w:rsidRDefault="00B06F03">
            <w:pPr>
              <w:jc w:val="center"/>
            </w:pPr>
            <w:r>
              <w:rPr>
                <w:rFonts w:hint="eastAsia"/>
                <w:sz w:val="24"/>
              </w:rPr>
              <w:t>111681067</w:t>
            </w:r>
          </w:p>
        </w:tc>
        <w:tc>
          <w:tcPr>
            <w:tcW w:w="1503" w:type="dxa"/>
            <w:vAlign w:val="center"/>
          </w:tcPr>
          <w:p w:rsidR="00C66612" w:rsidRDefault="00B06F03">
            <w:pPr>
              <w:jc w:val="center"/>
            </w:pPr>
            <w:r>
              <w:rPr>
                <w:rFonts w:hint="eastAsia"/>
                <w:sz w:val="24"/>
              </w:rPr>
              <w:t>16</w:t>
            </w:r>
            <w:r>
              <w:rPr>
                <w:rFonts w:hint="eastAsia"/>
                <w:sz w:val="24"/>
              </w:rPr>
              <w:t>邯郸银行</w:t>
            </w:r>
            <w:r>
              <w:rPr>
                <w:rFonts w:hint="eastAsia"/>
                <w:sz w:val="24"/>
              </w:rPr>
              <w:t>CD217</w:t>
            </w:r>
          </w:p>
        </w:tc>
        <w:tc>
          <w:tcPr>
            <w:tcW w:w="1503" w:type="dxa"/>
            <w:vAlign w:val="center"/>
          </w:tcPr>
          <w:p w:rsidR="00C66612" w:rsidRDefault="00B06F03">
            <w:pPr>
              <w:jc w:val="center"/>
            </w:pPr>
            <w:r>
              <w:rPr>
                <w:rFonts w:hint="eastAsia"/>
                <w:sz w:val="24"/>
              </w:rPr>
              <w:t>1,000,000</w:t>
            </w:r>
          </w:p>
        </w:tc>
        <w:tc>
          <w:tcPr>
            <w:tcW w:w="1503" w:type="dxa"/>
            <w:vAlign w:val="center"/>
          </w:tcPr>
          <w:p w:rsidR="00C66612" w:rsidRDefault="00B06F03">
            <w:pPr>
              <w:jc w:val="center"/>
            </w:pPr>
            <w:r>
              <w:rPr>
                <w:rFonts w:hint="eastAsia"/>
                <w:sz w:val="24"/>
              </w:rPr>
              <w:t>98,317,910.80</w:t>
            </w:r>
          </w:p>
        </w:tc>
        <w:tc>
          <w:tcPr>
            <w:tcW w:w="1503" w:type="dxa"/>
            <w:vAlign w:val="center"/>
          </w:tcPr>
          <w:p w:rsidR="00C66612" w:rsidRDefault="00B06F03">
            <w:pPr>
              <w:jc w:val="center"/>
            </w:pPr>
            <w:r>
              <w:rPr>
                <w:rFonts w:hint="eastAsia"/>
                <w:sz w:val="24"/>
              </w:rPr>
              <w:t>4.89</w:t>
            </w:r>
          </w:p>
        </w:tc>
      </w:tr>
      <w:tr w:rsidR="00C66612">
        <w:tc>
          <w:tcPr>
            <w:tcW w:w="1493" w:type="dxa"/>
            <w:vAlign w:val="center"/>
          </w:tcPr>
          <w:p w:rsidR="00C66612" w:rsidRDefault="00B06F03">
            <w:pPr>
              <w:jc w:val="center"/>
            </w:pPr>
            <w:r>
              <w:rPr>
                <w:rFonts w:hint="eastAsia"/>
                <w:sz w:val="24"/>
              </w:rPr>
              <w:t>9</w:t>
            </w:r>
          </w:p>
        </w:tc>
        <w:tc>
          <w:tcPr>
            <w:tcW w:w="1493" w:type="dxa"/>
            <w:vAlign w:val="center"/>
          </w:tcPr>
          <w:p w:rsidR="00C66612" w:rsidRDefault="00B06F03">
            <w:pPr>
              <w:jc w:val="center"/>
            </w:pPr>
            <w:r>
              <w:rPr>
                <w:rFonts w:hint="eastAsia"/>
                <w:sz w:val="24"/>
              </w:rPr>
              <w:t>111681115</w:t>
            </w:r>
          </w:p>
        </w:tc>
        <w:tc>
          <w:tcPr>
            <w:tcW w:w="1503" w:type="dxa"/>
            <w:vAlign w:val="center"/>
          </w:tcPr>
          <w:p w:rsidR="00C66612" w:rsidRDefault="00B06F03">
            <w:pPr>
              <w:jc w:val="center"/>
            </w:pPr>
            <w:r>
              <w:rPr>
                <w:rFonts w:hint="eastAsia"/>
                <w:sz w:val="24"/>
              </w:rPr>
              <w:t>16</w:t>
            </w:r>
            <w:r>
              <w:rPr>
                <w:rFonts w:hint="eastAsia"/>
                <w:sz w:val="24"/>
              </w:rPr>
              <w:t>唐山银行</w:t>
            </w:r>
            <w:r>
              <w:rPr>
                <w:rFonts w:hint="eastAsia"/>
                <w:sz w:val="24"/>
              </w:rPr>
              <w:t>CD043</w:t>
            </w:r>
          </w:p>
        </w:tc>
        <w:tc>
          <w:tcPr>
            <w:tcW w:w="1503" w:type="dxa"/>
            <w:vAlign w:val="center"/>
          </w:tcPr>
          <w:p w:rsidR="00C66612" w:rsidRDefault="00B06F03">
            <w:pPr>
              <w:jc w:val="center"/>
            </w:pPr>
            <w:r>
              <w:rPr>
                <w:rFonts w:hint="eastAsia"/>
                <w:sz w:val="24"/>
              </w:rPr>
              <w:t>1,000,000</w:t>
            </w:r>
          </w:p>
        </w:tc>
        <w:tc>
          <w:tcPr>
            <w:tcW w:w="1503" w:type="dxa"/>
            <w:vAlign w:val="center"/>
          </w:tcPr>
          <w:p w:rsidR="00C66612" w:rsidRDefault="00B06F03">
            <w:pPr>
              <w:jc w:val="center"/>
            </w:pPr>
            <w:r>
              <w:rPr>
                <w:rFonts w:hint="eastAsia"/>
                <w:sz w:val="24"/>
              </w:rPr>
              <w:t>98,298,789.68</w:t>
            </w:r>
          </w:p>
        </w:tc>
        <w:tc>
          <w:tcPr>
            <w:tcW w:w="1503" w:type="dxa"/>
            <w:vAlign w:val="center"/>
          </w:tcPr>
          <w:p w:rsidR="00C66612" w:rsidRDefault="00B06F03">
            <w:pPr>
              <w:jc w:val="center"/>
            </w:pPr>
            <w:r>
              <w:rPr>
                <w:rFonts w:hint="eastAsia"/>
                <w:sz w:val="24"/>
              </w:rPr>
              <w:t>4.89</w:t>
            </w:r>
          </w:p>
        </w:tc>
      </w:tr>
      <w:tr w:rsidR="00C66612">
        <w:tc>
          <w:tcPr>
            <w:tcW w:w="1493" w:type="dxa"/>
            <w:vAlign w:val="center"/>
          </w:tcPr>
          <w:p w:rsidR="00C66612" w:rsidRDefault="00B06F03">
            <w:pPr>
              <w:jc w:val="center"/>
            </w:pPr>
            <w:r>
              <w:rPr>
                <w:rFonts w:hint="eastAsia"/>
                <w:sz w:val="24"/>
              </w:rPr>
              <w:t>10</w:t>
            </w:r>
          </w:p>
        </w:tc>
        <w:tc>
          <w:tcPr>
            <w:tcW w:w="1493" w:type="dxa"/>
            <w:vAlign w:val="center"/>
          </w:tcPr>
          <w:p w:rsidR="00C66612" w:rsidRDefault="00B06F03">
            <w:pPr>
              <w:jc w:val="center"/>
            </w:pPr>
            <w:r>
              <w:rPr>
                <w:rFonts w:hint="eastAsia"/>
                <w:sz w:val="24"/>
              </w:rPr>
              <w:t>111681816</w:t>
            </w:r>
          </w:p>
        </w:tc>
        <w:tc>
          <w:tcPr>
            <w:tcW w:w="1503" w:type="dxa"/>
            <w:vAlign w:val="center"/>
          </w:tcPr>
          <w:p w:rsidR="00C66612" w:rsidRDefault="00B06F03">
            <w:pPr>
              <w:jc w:val="center"/>
            </w:pPr>
            <w:r>
              <w:rPr>
                <w:rFonts w:hint="eastAsia"/>
                <w:sz w:val="24"/>
              </w:rPr>
              <w:t>16</w:t>
            </w:r>
            <w:r>
              <w:rPr>
                <w:rFonts w:hint="eastAsia"/>
                <w:sz w:val="24"/>
              </w:rPr>
              <w:t>合肥科技农村商行</w:t>
            </w:r>
            <w:r>
              <w:rPr>
                <w:rFonts w:hint="eastAsia"/>
                <w:sz w:val="24"/>
              </w:rPr>
              <w:t>CD045</w:t>
            </w:r>
          </w:p>
        </w:tc>
        <w:tc>
          <w:tcPr>
            <w:tcW w:w="1503" w:type="dxa"/>
            <w:vAlign w:val="center"/>
          </w:tcPr>
          <w:p w:rsidR="00C66612" w:rsidRDefault="00B06F03">
            <w:pPr>
              <w:jc w:val="center"/>
            </w:pPr>
            <w:r>
              <w:rPr>
                <w:rFonts w:hint="eastAsia"/>
                <w:sz w:val="24"/>
              </w:rPr>
              <w:t>1,000,000</w:t>
            </w:r>
          </w:p>
        </w:tc>
        <w:tc>
          <w:tcPr>
            <w:tcW w:w="1503" w:type="dxa"/>
            <w:vAlign w:val="center"/>
          </w:tcPr>
          <w:p w:rsidR="00C66612" w:rsidRDefault="00B06F03">
            <w:pPr>
              <w:jc w:val="center"/>
            </w:pPr>
            <w:r>
              <w:rPr>
                <w:rFonts w:hint="eastAsia"/>
                <w:sz w:val="24"/>
              </w:rPr>
              <w:t>98,019,432.84</w:t>
            </w:r>
          </w:p>
        </w:tc>
        <w:tc>
          <w:tcPr>
            <w:tcW w:w="1503" w:type="dxa"/>
            <w:vAlign w:val="center"/>
          </w:tcPr>
          <w:p w:rsidR="00C66612" w:rsidRDefault="00B06F03">
            <w:pPr>
              <w:jc w:val="center"/>
            </w:pPr>
            <w:r>
              <w:rPr>
                <w:rFonts w:hint="eastAsia"/>
                <w:sz w:val="24"/>
              </w:rPr>
              <w:t>4.88</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8"/>
      <w:r w:rsidRPr="00FB19E8">
        <w:rPr>
          <w:rFonts w:ascii="Times New Roman" w:hAnsi="Times New Roman" w:cs="Times New Roman" w:hint="eastAsia"/>
          <w:kern w:val="0"/>
          <w:szCs w:val="24"/>
        </w:rPr>
        <w:t>8.7</w:t>
      </w:r>
      <w:bookmarkEnd w:id="23"/>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lastRenderedPageBreak/>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0.0864%</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-0.2366%</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0.0476%</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报告期内负偏离度的绝对值达到0.25%情况说明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本基金本报告期内未存在负偏离度的绝对值达到</w:t>
      </w:r>
      <w:r w:rsidRPr="00157CB3">
        <w:rPr>
          <w:rFonts w:hint="eastAsia"/>
          <w:sz w:val="24"/>
        </w:rPr>
        <w:t>0.25%</w:t>
      </w:r>
      <w:r w:rsidRPr="00157CB3">
        <w:rPr>
          <w:rFonts w:hint="eastAsia"/>
          <w:sz w:val="24"/>
        </w:rPr>
        <w:t>情况。</w:t>
      </w:r>
    </w:p>
    <w:p w:rsidR="00157CB3" w:rsidRPr="00157CB3" w:rsidRDefault="00157CB3" w:rsidP="00157CB3">
      <w:pPr>
        <w:autoSpaceDE w:val="0"/>
        <w:autoSpaceDN w:val="0"/>
        <w:adjustRightInd w:val="0"/>
        <w:spacing w:line="360" w:lineRule="auto"/>
        <w:ind w:firstLineChars="100" w:firstLine="240"/>
        <w:jc w:val="left"/>
        <w:rPr>
          <w:sz w:val="24"/>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报告期内正偏离度的绝对值达到0.5%情况说明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本基金本报告期内未存在正偏离度的绝对值达到</w:t>
      </w:r>
      <w:r w:rsidRPr="00157CB3">
        <w:rPr>
          <w:rFonts w:hint="eastAsia"/>
          <w:sz w:val="24"/>
        </w:rPr>
        <w:t>0.5%</w:t>
      </w:r>
      <w:r w:rsidRPr="00157CB3">
        <w:rPr>
          <w:rFonts w:hint="eastAsia"/>
          <w:sz w:val="24"/>
        </w:rPr>
        <w:t>情况。</w:t>
      </w:r>
    </w:p>
    <w:p w:rsidR="00157CB3" w:rsidRPr="00157CB3" w:rsidRDefault="00157CB3"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4" w:name="_Toc331410109"/>
      <w:r w:rsidRPr="00FB19E8">
        <w:rPr>
          <w:rFonts w:ascii="Times New Roman" w:hAnsi="Times New Roman" w:cs="Times New Roman" w:hint="eastAsia"/>
          <w:kern w:val="0"/>
          <w:szCs w:val="24"/>
        </w:rPr>
        <w:t>8.8</w:t>
      </w:r>
      <w:bookmarkEnd w:id="24"/>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Default="006D141C" w:rsidP="005124D4">
      <w:pPr>
        <w:spacing w:before="29" w:line="288" w:lineRule="auto"/>
        <w:jc w:val="left"/>
        <w:rPr>
          <w:kern w:val="0"/>
          <w:sz w:val="24"/>
        </w:rPr>
      </w:pPr>
      <w:r w:rsidRPr="005124D4">
        <w:rPr>
          <w:rFonts w:hint="eastAsia"/>
          <w:kern w:val="0"/>
          <w:sz w:val="24"/>
        </w:rPr>
        <w:t>本基金本报告期末未持有资产支持证券。</w:t>
      </w:r>
    </w:p>
    <w:p w:rsidR="00002CBB" w:rsidRPr="00002CBB" w:rsidRDefault="00002CBB" w:rsidP="005124D4">
      <w:pPr>
        <w:spacing w:before="29" w:line="288" w:lineRule="auto"/>
        <w:jc w:val="left"/>
        <w:rPr>
          <w:rFonts w:asciiTheme="minorEastAsia" w:eastAsiaTheme="minorEastAsia" w:hAnsiTheme="minorEastAsia" w:cs="宋体" w:hint="eastAsia"/>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5" w:name="_Toc331410110"/>
      <w:r w:rsidRPr="00FB19E8">
        <w:rPr>
          <w:rFonts w:ascii="Times New Roman" w:hAnsi="Times New Roman" w:cs="Times New Roman" w:hint="eastAsia"/>
          <w:kern w:val="0"/>
          <w:szCs w:val="24"/>
        </w:rPr>
        <w:t xml:space="preserve">8.9 </w:t>
      </w:r>
      <w:r w:rsidRPr="00FB19E8">
        <w:rPr>
          <w:rFonts w:ascii="Times New Roman" w:hAnsi="Times New Roman" w:cs="Times New Roman" w:hint="eastAsia"/>
          <w:kern w:val="0"/>
          <w:szCs w:val="24"/>
        </w:rPr>
        <w:t>投资组合报告附注</w:t>
      </w:r>
      <w:bookmarkEnd w:id="25"/>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6D141C" w:rsidRPr="00704580" w:rsidRDefault="006D141C" w:rsidP="00704580">
      <w:pPr>
        <w:spacing w:before="29" w:line="288" w:lineRule="auto"/>
        <w:ind w:firstLineChars="200" w:firstLine="480"/>
        <w:rPr>
          <w:color w:val="000000"/>
          <w:sz w:val="24"/>
        </w:rPr>
      </w:pPr>
      <w:r w:rsidRPr="00704580">
        <w:rPr>
          <w:rFonts w:hint="eastAsia"/>
          <w:color w:val="000000"/>
          <w:sz w:val="24"/>
        </w:rPr>
        <w:t>本基金采用摊余成本法计价，即计价对象以买入成本列示，按票面利率或商定利率并考虑其买入时的溢价与折价，在其剩余期限内按照实际利率和摊余成本逐日摊销计算损益。</w:t>
      </w:r>
    </w:p>
    <w:p w:rsidR="00024F04" w:rsidRPr="00CB1276" w:rsidRDefault="00024F04" w:rsidP="00157CB3">
      <w:pPr>
        <w:spacing w:line="360" w:lineRule="auto"/>
        <w:rPr>
          <w:rFonts w:asciiTheme="minorEastAsia" w:eastAsiaTheme="minorEastAsia" w:hAnsiTheme="minorEastAsia"/>
          <w:szCs w:val="21"/>
        </w:rPr>
      </w:pPr>
    </w:p>
    <w:p w:rsidR="006D141C" w:rsidRPr="00781B15" w:rsidRDefault="006D141C" w:rsidP="00CB1276">
      <w:pPr>
        <w:spacing w:line="360" w:lineRule="auto"/>
        <w:rPr>
          <w:sz w:val="24"/>
        </w:rPr>
      </w:pPr>
      <w:r w:rsidRPr="00781B15">
        <w:rPr>
          <w:rFonts w:hint="eastAsia"/>
          <w:b/>
          <w:sz w:val="24"/>
        </w:rPr>
        <w:t>8.9.</w:t>
      </w:r>
      <w:r w:rsidR="008A28D4" w:rsidRPr="00781B15">
        <w:rPr>
          <w:rFonts w:hint="eastAsia"/>
          <w:b/>
          <w:sz w:val="24"/>
        </w:rPr>
        <w:t>2</w:t>
      </w:r>
      <w:r w:rsidR="001C2813" w:rsidRPr="00781B15">
        <w:rPr>
          <w:rFonts w:hint="eastAsia"/>
          <w:sz w:val="24"/>
        </w:rPr>
        <w:t>报告期内本基金投资的前十名证券的发行主体未被监管部门立案调查，在本报告编制日前一年内本基金投资的前十名证券的发行主体未受到公开谴责和处罚。</w:t>
      </w:r>
    </w:p>
    <w:p w:rsidR="00CE77DD" w:rsidRPr="00781B15" w:rsidRDefault="00CE77DD" w:rsidP="00CB1276">
      <w:pPr>
        <w:spacing w:line="360" w:lineRule="auto"/>
        <w:rPr>
          <w:sz w:val="24"/>
        </w:rPr>
      </w:pP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3</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3,032,494.59</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600.00</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lastRenderedPageBreak/>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3,033,094.59</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4</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3F50F3">
      <w:pPr>
        <w:pStyle w:val="1"/>
        <w:keepNext/>
        <w:keepLines/>
        <w:widowControl w:val="0"/>
        <w:spacing w:beforeLines="100" w:before="312" w:afterLines="100" w:after="312" w:line="288" w:lineRule="auto"/>
        <w:jc w:val="center"/>
        <w:rPr>
          <w:b/>
          <w:bCs/>
          <w:szCs w:val="24"/>
          <w:lang w:val="en-US"/>
        </w:rPr>
      </w:pPr>
      <w:bookmarkStart w:id="26" w:name="_Toc331410111"/>
      <w:bookmarkStart w:id="27"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6"/>
      <w:bookmarkEnd w:id="27"/>
    </w:p>
    <w:p w:rsidR="00A66BB5" w:rsidRPr="00FB19E8" w:rsidRDefault="00A66BB5" w:rsidP="00FB19E8">
      <w:pPr>
        <w:pStyle w:val="20"/>
        <w:spacing w:before="29" w:after="0" w:line="288" w:lineRule="auto"/>
        <w:rPr>
          <w:rFonts w:ascii="Times New Roman" w:hAnsi="Times New Roman" w:cs="Times New Roman"/>
          <w:kern w:val="0"/>
          <w:szCs w:val="24"/>
        </w:rPr>
      </w:pPr>
      <w:bookmarkStart w:id="28" w:name="_Toc331410112"/>
      <w:bookmarkStart w:id="29"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8"/>
      <w:bookmarkEnd w:id="29"/>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A85DBF" w:rsidRPr="00947C5B"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持有人结构</w:t>
            </w:r>
          </w:p>
        </w:tc>
      </w:tr>
      <w:tr w:rsidR="00A85DBF" w:rsidRPr="00947C5B" w:rsidTr="00654D9C">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654D9C">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交银理财</w:t>
            </w:r>
            <w:r w:rsidRPr="00947C5B">
              <w:rPr>
                <w:szCs w:val="21"/>
              </w:rPr>
              <w:t>60</w:t>
            </w:r>
            <w:r w:rsidRPr="00947C5B">
              <w:rPr>
                <w:szCs w:val="21"/>
              </w:rPr>
              <w:t>天债券</w:t>
            </w:r>
            <w:r w:rsidRPr="00947C5B">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198</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42,885.05</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3,966,349.44</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46.71%</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4,524,889.54</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53.29%</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交银理财</w:t>
            </w:r>
            <w:r w:rsidRPr="00947C5B">
              <w:rPr>
                <w:szCs w:val="21"/>
              </w:rPr>
              <w:t>60</w:t>
            </w:r>
            <w:r w:rsidRPr="00947C5B">
              <w:rPr>
                <w:szCs w:val="21"/>
              </w:rPr>
              <w:t>天债券</w:t>
            </w:r>
            <w:r w:rsidRPr="00947C5B">
              <w:rPr>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1</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2,000,366,524.38</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2,000,366,524.38</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w:t>
            </w:r>
          </w:p>
        </w:tc>
      </w:tr>
      <w:tr w:rsidR="00A85DBF" w:rsidRPr="00947C5B"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199</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10,094,762.63</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2,004,332,873.82</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99.77%</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4,524,889.54</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0.23%</w:t>
            </w:r>
          </w:p>
        </w:tc>
      </w:tr>
    </w:tbl>
    <w:p w:rsidR="00A66BB5" w:rsidRPr="00A85DBF" w:rsidRDefault="00A66BB5" w:rsidP="004B36C2">
      <w:pPr>
        <w:spacing w:line="360" w:lineRule="auto"/>
        <w:rPr>
          <w:rFonts w:asciiTheme="minorEastAsia" w:eastAsiaTheme="minorEastAsia" w:hAnsiTheme="minorEastAsia"/>
          <w:szCs w:val="21"/>
        </w:rPr>
      </w:pPr>
    </w:p>
    <w:p w:rsidR="006D141C" w:rsidRDefault="00A66BB5" w:rsidP="00F02139">
      <w:pPr>
        <w:pStyle w:val="20"/>
        <w:spacing w:before="29" w:after="0" w:line="288" w:lineRule="auto"/>
        <w:rPr>
          <w:rFonts w:asciiTheme="minorEastAsia" w:eastAsiaTheme="minorEastAsia" w:hAnsiTheme="minorEastAsia"/>
          <w:szCs w:val="21"/>
        </w:rPr>
      </w:pPr>
      <w:bookmarkStart w:id="30" w:name="_Toc331410113"/>
      <w:r w:rsidRPr="00FB19E8">
        <w:rPr>
          <w:rFonts w:ascii="Times New Roman" w:hAnsi="Times New Roman" w:cs="Times New Roman" w:hint="eastAsia"/>
          <w:kern w:val="0"/>
          <w:szCs w:val="24"/>
        </w:rPr>
        <w:t>9.2</w:t>
      </w:r>
      <w:r w:rsidRPr="00FB19E8">
        <w:rPr>
          <w:rFonts w:ascii="Times New Roman" w:hAnsi="Times New Roman" w:cs="Times New Roman" w:hint="eastAsia"/>
          <w:kern w:val="0"/>
          <w:szCs w:val="24"/>
        </w:rPr>
        <w:t>期末基金管理人的从业人员持有本基金的情况</w:t>
      </w:r>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F02139" w:rsidRPr="00D564C7" w:rsidTr="004E65B4">
        <w:trPr>
          <w:trHeight w:val="285"/>
        </w:trPr>
        <w:tc>
          <w:tcPr>
            <w:tcW w:w="2268"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F02139" w:rsidRPr="00D564C7" w:rsidTr="004E65B4">
        <w:trPr>
          <w:trHeight w:val="285"/>
        </w:trPr>
        <w:tc>
          <w:tcPr>
            <w:tcW w:w="2268" w:type="dxa"/>
            <w:vMerge w:val="restart"/>
            <w:noWrap/>
            <w:vAlign w:val="center"/>
          </w:tcPr>
          <w:p w:rsidR="00F02139" w:rsidRPr="00D0515B" w:rsidRDefault="00F02139" w:rsidP="004E65B4">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F02139" w:rsidRPr="00BF1B19" w:rsidRDefault="00F02139" w:rsidP="004E65B4">
            <w:pPr>
              <w:spacing w:before="29" w:line="288" w:lineRule="auto"/>
              <w:rPr>
                <w:sz w:val="24"/>
              </w:rPr>
            </w:pPr>
            <w:r w:rsidRPr="00BF1B19">
              <w:rPr>
                <w:rFonts w:hint="eastAsia"/>
                <w:sz w:val="24"/>
              </w:rPr>
              <w:t>交银理财</w:t>
            </w:r>
            <w:r w:rsidRPr="00BF1B19">
              <w:rPr>
                <w:rFonts w:hint="eastAsia"/>
                <w:sz w:val="24"/>
              </w:rPr>
              <w:t>60</w:t>
            </w:r>
            <w:r w:rsidRPr="00BF1B19">
              <w:rPr>
                <w:rFonts w:hint="eastAsia"/>
                <w:sz w:val="24"/>
              </w:rPr>
              <w:t>天债券</w:t>
            </w:r>
            <w:r w:rsidRPr="00BF1B19">
              <w:rPr>
                <w:rFonts w:hint="eastAsia"/>
                <w:sz w:val="24"/>
              </w:rPr>
              <w:t>A</w:t>
            </w:r>
          </w:p>
        </w:tc>
        <w:tc>
          <w:tcPr>
            <w:tcW w:w="2126"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1,730.00</w:t>
            </w:r>
          </w:p>
        </w:tc>
        <w:tc>
          <w:tcPr>
            <w:tcW w:w="1910"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0.02%</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4E65B4" w:rsidP="004E65B4">
            <w:pPr>
              <w:spacing w:before="29" w:line="288" w:lineRule="auto"/>
              <w:rPr>
                <w:color w:val="000000"/>
                <w:kern w:val="0"/>
                <w:sz w:val="24"/>
              </w:rPr>
            </w:pPr>
            <w:r>
              <w:rPr>
                <w:rFonts w:hint="eastAsia"/>
                <w:sz w:val="24"/>
              </w:rPr>
              <w:t>交银理财</w:t>
            </w:r>
            <w:r>
              <w:rPr>
                <w:rFonts w:hint="eastAsia"/>
                <w:sz w:val="24"/>
              </w:rPr>
              <w:t>60</w:t>
            </w:r>
            <w:r>
              <w:rPr>
                <w:rFonts w:hint="eastAsia"/>
                <w:sz w:val="24"/>
              </w:rPr>
              <w:t>天债券</w:t>
            </w:r>
            <w:r>
              <w:rPr>
                <w:rFonts w:hint="eastAsia"/>
                <w:sz w:val="24"/>
              </w:rPr>
              <w:t>B</w:t>
            </w:r>
          </w:p>
        </w:tc>
        <w:tc>
          <w:tcPr>
            <w:tcW w:w="2126"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c>
          <w:tcPr>
            <w:tcW w:w="1910"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F02139" w:rsidP="004E65B4">
            <w:pPr>
              <w:spacing w:before="29" w:line="288" w:lineRule="auto"/>
              <w:jc w:val="center"/>
              <w:rPr>
                <w:color w:val="000000"/>
                <w:kern w:val="0"/>
                <w:sz w:val="24"/>
              </w:rPr>
            </w:pPr>
            <w:r w:rsidRPr="00BF1B19">
              <w:rPr>
                <w:rFonts w:hint="eastAsia"/>
                <w:sz w:val="24"/>
              </w:rPr>
              <w:t>合计</w:t>
            </w:r>
          </w:p>
        </w:tc>
        <w:tc>
          <w:tcPr>
            <w:tcW w:w="2126"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1,730.00</w:t>
            </w:r>
          </w:p>
        </w:tc>
        <w:tc>
          <w:tcPr>
            <w:tcW w:w="1910"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0.00%</w:t>
            </w:r>
          </w:p>
        </w:tc>
      </w:tr>
    </w:tbl>
    <w:p w:rsidR="00F02139" w:rsidRPr="00F02139" w:rsidRDefault="00F02139" w:rsidP="004B36C2">
      <w:pPr>
        <w:spacing w:line="360" w:lineRule="auto"/>
        <w:rPr>
          <w:rFonts w:asciiTheme="minorEastAsia" w:eastAsiaTheme="minorEastAsia" w:hAnsiTheme="minorEastAsia"/>
          <w:szCs w:val="21"/>
        </w:rPr>
      </w:pPr>
    </w:p>
    <w:p w:rsidR="00CD1658" w:rsidRPr="00FB19E8" w:rsidRDefault="00CD1658"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9.3</w:t>
      </w:r>
      <w:r w:rsidRPr="00FB19E8">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01"/>
        <w:gridCol w:w="2977"/>
        <w:gridCol w:w="4320"/>
      </w:tblGrid>
      <w:tr w:rsidR="00CD1658" w:rsidRPr="00CF4F4B" w:rsidTr="009D3A6F">
        <w:trPr>
          <w:trHeight w:val="285"/>
        </w:trPr>
        <w:tc>
          <w:tcPr>
            <w:tcW w:w="1701"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项目</w:t>
            </w:r>
          </w:p>
        </w:tc>
        <w:tc>
          <w:tcPr>
            <w:tcW w:w="2977"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份额级别</w:t>
            </w:r>
          </w:p>
        </w:tc>
        <w:tc>
          <w:tcPr>
            <w:tcW w:w="4320"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持有基金份额总量的数量区间（万份）</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本公司高级管理人员、基金</w:t>
            </w:r>
            <w:r w:rsidRPr="004F0CC7">
              <w:rPr>
                <w:rFonts w:hint="eastAsia"/>
                <w:sz w:val="24"/>
              </w:rPr>
              <w:lastRenderedPageBreak/>
              <w:t>投资和研究部门负责人持有本开放式基金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lastRenderedPageBreak/>
              <w:t>交银理财</w:t>
            </w:r>
            <w:r w:rsidRPr="005B286F">
              <w:rPr>
                <w:rFonts w:hint="eastAsia"/>
                <w:sz w:val="24"/>
              </w:rPr>
              <w:t>60</w:t>
            </w:r>
            <w:r w:rsidRPr="005B286F">
              <w:rPr>
                <w:rFonts w:hint="eastAsia"/>
                <w:sz w:val="24"/>
              </w:rPr>
              <w:t>天债券</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60</w:t>
            </w:r>
            <w:r w:rsidRPr="005B286F">
              <w:rPr>
                <w:rFonts w:hint="eastAsia"/>
                <w:sz w:val="24"/>
              </w:rPr>
              <w:t>天债券</w:t>
            </w:r>
            <w:r w:rsidRPr="005B286F">
              <w:rPr>
                <w:rFonts w:hint="eastAsia"/>
                <w:sz w:val="24"/>
              </w:rPr>
              <w:t>B</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D4A46">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lastRenderedPageBreak/>
              <w:t>本基金基金经理持有本开放式基金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60</w:t>
            </w:r>
            <w:r w:rsidRPr="005B286F">
              <w:rPr>
                <w:rFonts w:hint="eastAsia"/>
                <w:sz w:val="24"/>
              </w:rPr>
              <w:t>天债券</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525"/>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60</w:t>
            </w:r>
            <w:r w:rsidRPr="005B286F">
              <w:rPr>
                <w:rFonts w:hint="eastAsia"/>
                <w:sz w:val="24"/>
              </w:rPr>
              <w:t>天债券</w:t>
            </w:r>
            <w:r w:rsidRPr="005B286F">
              <w:rPr>
                <w:rFonts w:hint="eastAsia"/>
                <w:sz w:val="24"/>
              </w:rPr>
              <w:t>B</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653"/>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E5ACF">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bl>
    <w:p w:rsidR="00CD1658" w:rsidRPr="00CB1276" w:rsidRDefault="00CD1658" w:rsidP="004B36C2">
      <w:pPr>
        <w:spacing w:line="360" w:lineRule="auto"/>
        <w:rPr>
          <w:rFonts w:asciiTheme="minorEastAsia" w:eastAsiaTheme="minorEastAsia" w:hAnsiTheme="minorEastAsia"/>
          <w:szCs w:val="21"/>
        </w:rPr>
      </w:pPr>
    </w:p>
    <w:p w:rsidR="006D141C" w:rsidRDefault="006D141C" w:rsidP="003F50F3">
      <w:pPr>
        <w:pStyle w:val="1"/>
        <w:keepNext/>
        <w:keepLines/>
        <w:widowControl w:val="0"/>
        <w:spacing w:beforeLines="100" w:before="312" w:afterLines="100" w:after="312" w:line="288" w:lineRule="auto"/>
        <w:jc w:val="center"/>
        <w:rPr>
          <w:b/>
          <w:bCs/>
          <w:szCs w:val="24"/>
          <w:lang w:val="en-US"/>
        </w:rPr>
      </w:pPr>
      <w:bookmarkStart w:id="31" w:name="_Toc331410115"/>
      <w:bookmarkStart w:id="32" w:name="_Toc225500053"/>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1"/>
      <w:bookmarkEnd w:id="32"/>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交银理财</w:t>
            </w:r>
            <w:r w:rsidRPr="0031518D">
              <w:rPr>
                <w:rFonts w:hint="eastAsia"/>
                <w:sz w:val="24"/>
              </w:rPr>
              <w:t>60</w:t>
            </w:r>
            <w:r w:rsidRPr="0031518D">
              <w:rPr>
                <w:rFonts w:hint="eastAsia"/>
                <w:sz w:val="24"/>
              </w:rPr>
              <w:t>天债券</w:t>
            </w:r>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E65B4" w:rsidP="0031518D">
            <w:pPr>
              <w:spacing w:before="29" w:line="288" w:lineRule="auto"/>
              <w:jc w:val="center"/>
              <w:rPr>
                <w:sz w:val="24"/>
              </w:rPr>
            </w:pPr>
            <w:r>
              <w:rPr>
                <w:rFonts w:hint="eastAsia"/>
                <w:sz w:val="24"/>
              </w:rPr>
              <w:t>交银理财</w:t>
            </w:r>
            <w:r>
              <w:rPr>
                <w:rFonts w:hint="eastAsia"/>
                <w:sz w:val="24"/>
              </w:rPr>
              <w:t>60</w:t>
            </w:r>
            <w:r>
              <w:rPr>
                <w:rFonts w:hint="eastAsia"/>
                <w:sz w:val="24"/>
              </w:rPr>
              <w:t>天债券</w:t>
            </w:r>
            <w:r>
              <w:rPr>
                <w:rFonts w:hint="eastAsia"/>
                <w:sz w:val="24"/>
              </w:rPr>
              <w:t>B</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基金合同生效日（</w:t>
            </w:r>
            <w:r w:rsidRPr="0031518D">
              <w:rPr>
                <w:rFonts w:hint="eastAsia"/>
                <w:sz w:val="24"/>
              </w:rPr>
              <w:t>2013</w:t>
            </w:r>
            <w:r w:rsidRPr="0031518D">
              <w:rPr>
                <w:rFonts w:hint="eastAsia"/>
                <w:sz w:val="24"/>
              </w:rPr>
              <w:t>年</w:t>
            </w:r>
            <w:r w:rsidRPr="0031518D">
              <w:rPr>
                <w:rFonts w:hint="eastAsia"/>
                <w:sz w:val="24"/>
              </w:rPr>
              <w:t>3</w:t>
            </w:r>
            <w:r w:rsidRPr="0031518D">
              <w:rPr>
                <w:rFonts w:hint="eastAsia"/>
                <w:sz w:val="24"/>
              </w:rPr>
              <w:t>月</w:t>
            </w:r>
            <w:r w:rsidRPr="0031518D">
              <w:rPr>
                <w:rFonts w:hint="eastAsia"/>
                <w:sz w:val="24"/>
              </w:rPr>
              <w:t>13</w:t>
            </w:r>
            <w:r w:rsidRPr="0031518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756,744,683.05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21,172,518.09</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11,104,428.92</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30,352,509.92</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1,001,009,825.14</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2,008,761,441.14</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本报告期</w:t>
            </w:r>
            <w:r w:rsidRPr="0031518D">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1,003,623,015.08</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38,747,426.68</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8,491,238.98</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2,000,366,524.38</w:t>
            </w:r>
          </w:p>
        </w:tc>
      </w:tr>
    </w:tbl>
    <w:p w:rsidR="00C66612" w:rsidRDefault="00B06F03">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、如果本报告期间发生转换入、份额类别调整、红利再投业务，则总申购份额中包含该业务；</w:t>
      </w:r>
    </w:p>
    <w:p w:rsidR="00D03082" w:rsidRDefault="00D03082" w:rsidP="005124D4">
      <w:pPr>
        <w:spacing w:before="29" w:line="288" w:lineRule="auto"/>
        <w:jc w:val="left"/>
        <w:rPr>
          <w:kern w:val="0"/>
          <w:sz w:val="24"/>
        </w:rPr>
      </w:pPr>
      <w:r w:rsidRPr="005124D4">
        <w:rPr>
          <w:rFonts w:hint="eastAsia"/>
          <w:kern w:val="0"/>
          <w:sz w:val="24"/>
        </w:rPr>
        <w:t xml:space="preserve">    2</w:t>
      </w:r>
      <w:r w:rsidRPr="005124D4">
        <w:rPr>
          <w:rFonts w:hint="eastAsia"/>
          <w:kern w:val="0"/>
          <w:sz w:val="24"/>
        </w:rPr>
        <w:t>、如果本报告期间发生转换出业务，则总赎回份额中包含该业务。</w:t>
      </w:r>
    </w:p>
    <w:p w:rsidR="005D5C49" w:rsidRPr="005124D4" w:rsidRDefault="005D5C49" w:rsidP="005124D4">
      <w:pPr>
        <w:spacing w:before="29" w:line="288" w:lineRule="auto"/>
        <w:jc w:val="left"/>
        <w:rPr>
          <w:kern w:val="0"/>
          <w:sz w:val="24"/>
        </w:rPr>
      </w:pPr>
    </w:p>
    <w:p w:rsidR="006D141C" w:rsidRDefault="006D141C" w:rsidP="003F50F3">
      <w:pPr>
        <w:pStyle w:val="1"/>
        <w:keepNext/>
        <w:keepLines/>
        <w:widowControl w:val="0"/>
        <w:spacing w:beforeLines="100" w:before="312" w:afterLines="100" w:after="312" w:line="288" w:lineRule="auto"/>
        <w:jc w:val="center"/>
        <w:rPr>
          <w:b/>
          <w:bCs/>
          <w:szCs w:val="24"/>
          <w:lang w:val="en-US"/>
        </w:rPr>
      </w:pPr>
      <w:bookmarkStart w:id="33" w:name="_Toc331410116"/>
      <w:bookmarkStart w:id="34" w:name="_Toc225500054"/>
      <w:r w:rsidRPr="0081565E">
        <w:rPr>
          <w:rFonts w:hint="eastAsia"/>
          <w:b/>
          <w:bCs/>
          <w:szCs w:val="24"/>
          <w:lang w:val="en-US"/>
        </w:rPr>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3"/>
      <w:bookmarkEnd w:id="34"/>
    </w:p>
    <w:p w:rsidR="00C067D3" w:rsidRPr="00C067D3" w:rsidRDefault="00C067D3" w:rsidP="00C067D3"/>
    <w:p w:rsidR="006D141C" w:rsidRPr="00FB19E8" w:rsidRDefault="00EE1CF9" w:rsidP="00FB19E8">
      <w:pPr>
        <w:pStyle w:val="20"/>
        <w:spacing w:before="29" w:after="0" w:line="288" w:lineRule="auto"/>
        <w:rPr>
          <w:rFonts w:ascii="Times New Roman" w:hAnsi="Times New Roman" w:cs="Times New Roman"/>
          <w:kern w:val="0"/>
          <w:szCs w:val="24"/>
        </w:rPr>
      </w:pPr>
      <w:bookmarkStart w:id="35"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5"/>
    </w:p>
    <w:p w:rsidR="006D141C" w:rsidRDefault="006D141C" w:rsidP="0081565E">
      <w:pPr>
        <w:spacing w:before="29" w:line="288" w:lineRule="auto"/>
        <w:ind w:firstLineChars="200" w:firstLine="480"/>
        <w:rPr>
          <w:color w:val="000000"/>
          <w:sz w:val="24"/>
        </w:rPr>
      </w:pPr>
      <w:bookmarkStart w:id="36" w:name="_Toc331410118"/>
      <w:r w:rsidRPr="0081565E">
        <w:rPr>
          <w:rFonts w:hint="eastAsia"/>
          <w:color w:val="000000"/>
          <w:sz w:val="24"/>
        </w:rPr>
        <w:t>本基金本报告期内已于</w:t>
      </w:r>
      <w:r w:rsidRPr="0081565E">
        <w:rPr>
          <w:rFonts w:hint="eastAsia"/>
          <w:color w:val="000000"/>
          <w:sz w:val="24"/>
        </w:rPr>
        <w:t>2016</w:t>
      </w:r>
      <w:r w:rsidRPr="0081565E">
        <w:rPr>
          <w:rFonts w:hint="eastAsia"/>
          <w:color w:val="000000"/>
          <w:sz w:val="24"/>
        </w:rPr>
        <w:t>年</w:t>
      </w:r>
      <w:r w:rsidRPr="0081565E">
        <w:rPr>
          <w:rFonts w:hint="eastAsia"/>
          <w:color w:val="000000"/>
          <w:sz w:val="24"/>
        </w:rPr>
        <w:t>10</w:t>
      </w:r>
      <w:r w:rsidRPr="0081565E">
        <w:rPr>
          <w:rFonts w:hint="eastAsia"/>
          <w:color w:val="000000"/>
          <w:sz w:val="24"/>
        </w:rPr>
        <w:t>月</w:t>
      </w:r>
      <w:r w:rsidRPr="0081565E">
        <w:rPr>
          <w:rFonts w:hint="eastAsia"/>
          <w:color w:val="000000"/>
          <w:sz w:val="24"/>
        </w:rPr>
        <w:t>20</w:t>
      </w:r>
      <w:r w:rsidRPr="0081565E">
        <w:rPr>
          <w:rFonts w:hint="eastAsia"/>
          <w:color w:val="000000"/>
          <w:sz w:val="24"/>
        </w:rPr>
        <w:t>日起至</w:t>
      </w:r>
      <w:r w:rsidRPr="0081565E">
        <w:rPr>
          <w:rFonts w:hint="eastAsia"/>
          <w:color w:val="000000"/>
          <w:sz w:val="24"/>
        </w:rPr>
        <w:t>2016</w:t>
      </w:r>
      <w:r w:rsidRPr="0081565E">
        <w:rPr>
          <w:rFonts w:hint="eastAsia"/>
          <w:color w:val="000000"/>
          <w:sz w:val="24"/>
        </w:rPr>
        <w:t>年</w:t>
      </w:r>
      <w:r w:rsidRPr="0081565E">
        <w:rPr>
          <w:rFonts w:hint="eastAsia"/>
          <w:color w:val="000000"/>
          <w:sz w:val="24"/>
        </w:rPr>
        <w:t>11</w:t>
      </w:r>
      <w:r w:rsidRPr="0081565E">
        <w:rPr>
          <w:rFonts w:hint="eastAsia"/>
          <w:color w:val="000000"/>
          <w:sz w:val="24"/>
        </w:rPr>
        <w:t>月</w:t>
      </w:r>
      <w:r w:rsidRPr="0081565E">
        <w:rPr>
          <w:rFonts w:hint="eastAsia"/>
          <w:color w:val="000000"/>
          <w:sz w:val="24"/>
        </w:rPr>
        <w:t>14</w:t>
      </w:r>
      <w:r w:rsidRPr="0081565E">
        <w:rPr>
          <w:rFonts w:hint="eastAsia"/>
          <w:color w:val="000000"/>
          <w:sz w:val="24"/>
        </w:rPr>
        <w:t>日以通讯方式召开了交银施罗德理财</w:t>
      </w:r>
      <w:r w:rsidRPr="0081565E">
        <w:rPr>
          <w:rFonts w:hint="eastAsia"/>
          <w:color w:val="000000"/>
          <w:sz w:val="24"/>
        </w:rPr>
        <w:t>60</w:t>
      </w:r>
      <w:r w:rsidRPr="0081565E">
        <w:rPr>
          <w:rFonts w:hint="eastAsia"/>
          <w:color w:val="000000"/>
          <w:sz w:val="24"/>
        </w:rPr>
        <w:t>天债券型证券投资基金的基金份额持有人大会，会议审议并通过了《关于交银施罗德理财</w:t>
      </w:r>
      <w:r w:rsidRPr="0081565E">
        <w:rPr>
          <w:rFonts w:hint="eastAsia"/>
          <w:color w:val="000000"/>
          <w:sz w:val="24"/>
        </w:rPr>
        <w:t>60</w:t>
      </w:r>
      <w:r w:rsidRPr="0081565E">
        <w:rPr>
          <w:rFonts w:hint="eastAsia"/>
          <w:color w:val="000000"/>
          <w:sz w:val="24"/>
        </w:rPr>
        <w:t>天债券型证券投资基金调整管理费率及基金合同修改有关事项的议案》，根据基金份额持有人大会的决议，本基金管理费由</w:t>
      </w:r>
      <w:r w:rsidRPr="0081565E">
        <w:rPr>
          <w:rFonts w:hint="eastAsia"/>
          <w:color w:val="000000"/>
          <w:sz w:val="24"/>
        </w:rPr>
        <w:t>0.27%</w:t>
      </w:r>
      <w:r w:rsidRPr="0081565E">
        <w:rPr>
          <w:rFonts w:hint="eastAsia"/>
          <w:color w:val="000000"/>
          <w:sz w:val="24"/>
        </w:rPr>
        <w:t>调整为</w:t>
      </w:r>
      <w:r w:rsidRPr="0081565E">
        <w:rPr>
          <w:rFonts w:hint="eastAsia"/>
          <w:color w:val="000000"/>
          <w:sz w:val="24"/>
        </w:rPr>
        <w:t>0.20%</w:t>
      </w:r>
      <w:r w:rsidRPr="0081565E">
        <w:rPr>
          <w:rFonts w:hint="eastAsia"/>
          <w:color w:val="000000"/>
          <w:sz w:val="24"/>
        </w:rPr>
        <w:t>并相应修改基金合同和托管协议。本次基金份额持有人大会决议于</w:t>
      </w:r>
      <w:r w:rsidRPr="0081565E">
        <w:rPr>
          <w:rFonts w:hint="eastAsia"/>
          <w:color w:val="000000"/>
          <w:sz w:val="24"/>
        </w:rPr>
        <w:t>2016</w:t>
      </w:r>
      <w:r w:rsidRPr="0081565E">
        <w:rPr>
          <w:rFonts w:hint="eastAsia"/>
          <w:color w:val="000000"/>
          <w:sz w:val="24"/>
        </w:rPr>
        <w:t>年</w:t>
      </w:r>
      <w:r w:rsidRPr="0081565E">
        <w:rPr>
          <w:rFonts w:hint="eastAsia"/>
          <w:color w:val="000000"/>
          <w:sz w:val="24"/>
        </w:rPr>
        <w:t>11</w:t>
      </w:r>
      <w:r w:rsidRPr="0081565E">
        <w:rPr>
          <w:rFonts w:hint="eastAsia"/>
          <w:color w:val="000000"/>
          <w:sz w:val="24"/>
        </w:rPr>
        <w:t>月</w:t>
      </w:r>
      <w:r w:rsidRPr="0081565E">
        <w:rPr>
          <w:rFonts w:hint="eastAsia"/>
          <w:color w:val="000000"/>
          <w:sz w:val="24"/>
        </w:rPr>
        <w:t>15</w:t>
      </w:r>
      <w:r w:rsidRPr="0081565E">
        <w:rPr>
          <w:rFonts w:hint="eastAsia"/>
          <w:color w:val="000000"/>
          <w:sz w:val="24"/>
        </w:rPr>
        <w:t>日生效，自本次基金份额持有人大会决议公告之日即</w:t>
      </w:r>
      <w:r w:rsidRPr="0081565E">
        <w:rPr>
          <w:rFonts w:hint="eastAsia"/>
          <w:color w:val="000000"/>
          <w:sz w:val="24"/>
        </w:rPr>
        <w:t>2016</w:t>
      </w:r>
      <w:r w:rsidRPr="0081565E">
        <w:rPr>
          <w:rFonts w:hint="eastAsia"/>
          <w:color w:val="000000"/>
          <w:sz w:val="24"/>
        </w:rPr>
        <w:t>年</w:t>
      </w:r>
      <w:r w:rsidRPr="0081565E">
        <w:rPr>
          <w:rFonts w:hint="eastAsia"/>
          <w:color w:val="000000"/>
          <w:sz w:val="24"/>
        </w:rPr>
        <w:t>11</w:t>
      </w:r>
      <w:r w:rsidRPr="0081565E">
        <w:rPr>
          <w:rFonts w:hint="eastAsia"/>
          <w:color w:val="000000"/>
          <w:sz w:val="24"/>
        </w:rPr>
        <w:t>月</w:t>
      </w:r>
      <w:r w:rsidRPr="0081565E">
        <w:rPr>
          <w:rFonts w:hint="eastAsia"/>
          <w:color w:val="000000"/>
          <w:sz w:val="24"/>
        </w:rPr>
        <w:t>16</w:t>
      </w:r>
      <w:r w:rsidRPr="0081565E">
        <w:rPr>
          <w:rFonts w:hint="eastAsia"/>
          <w:color w:val="000000"/>
          <w:sz w:val="24"/>
        </w:rPr>
        <w:t>日起，本基金执行调整后的管理费率。</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lastRenderedPageBreak/>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36"/>
    </w:p>
    <w:p w:rsidR="00C66612" w:rsidRDefault="00B06F03">
      <w:pPr>
        <w:spacing w:before="29" w:line="288" w:lineRule="auto"/>
        <w:ind w:firstLineChars="200" w:firstLine="480"/>
        <w:rPr>
          <w:color w:val="000000"/>
          <w:sz w:val="24"/>
        </w:rPr>
      </w:pPr>
      <w:r>
        <w:rPr>
          <w:rFonts w:hint="eastAsia"/>
          <w:color w:val="000000"/>
          <w:sz w:val="24"/>
        </w:rPr>
        <w:t>1</w:t>
      </w:r>
      <w:r>
        <w:rPr>
          <w:rFonts w:hint="eastAsia"/>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rFonts w:hint="eastAsia"/>
          <w:color w:val="000000"/>
          <w:sz w:val="24"/>
        </w:rPr>
        <w:t xml:space="preserve"> </w:t>
      </w:r>
    </w:p>
    <w:p w:rsidR="006D141C" w:rsidRDefault="006D141C" w:rsidP="0081565E">
      <w:pPr>
        <w:spacing w:before="29" w:line="288" w:lineRule="auto"/>
        <w:ind w:firstLineChars="200" w:firstLine="480"/>
        <w:rPr>
          <w:color w:val="000000"/>
          <w:sz w:val="24"/>
        </w:rPr>
      </w:pPr>
      <w:bookmarkStart w:id="37" w:name="_Toc331410119"/>
      <w:r w:rsidRPr="0081565E">
        <w:rPr>
          <w:rFonts w:hint="eastAsia"/>
          <w:color w:val="000000"/>
          <w:sz w:val="24"/>
        </w:rPr>
        <w:t>2</w:t>
      </w:r>
      <w:r w:rsidRPr="0081565E">
        <w:rPr>
          <w:rFonts w:hint="eastAsia"/>
          <w:color w:val="000000"/>
          <w:sz w:val="24"/>
        </w:rPr>
        <w:t>、基金托管人的基金托管部门的重大人事变动：本基金托管人的专门基金托管部门本报告期内未发生重大人事变动。</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37"/>
    </w:p>
    <w:p w:rsidR="006D141C" w:rsidRDefault="006D141C" w:rsidP="0081565E">
      <w:pPr>
        <w:spacing w:before="29" w:line="288" w:lineRule="auto"/>
        <w:ind w:firstLineChars="200" w:firstLine="480"/>
        <w:rPr>
          <w:color w:val="000000"/>
          <w:sz w:val="24"/>
        </w:rPr>
      </w:pPr>
      <w:bookmarkStart w:id="38"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38"/>
    </w:p>
    <w:p w:rsidR="006D141C" w:rsidRDefault="006D141C" w:rsidP="0081565E">
      <w:pPr>
        <w:spacing w:before="29" w:line="288" w:lineRule="auto"/>
        <w:ind w:firstLineChars="200" w:firstLine="480"/>
        <w:rPr>
          <w:color w:val="000000"/>
          <w:sz w:val="24"/>
        </w:rPr>
      </w:pPr>
      <w:bookmarkStart w:id="39" w:name="_Toc331410121"/>
      <w:r w:rsidRPr="0081565E">
        <w:rPr>
          <w:rFonts w:hint="eastAsia"/>
          <w:color w:val="000000"/>
          <w:sz w:val="24"/>
        </w:rPr>
        <w:t>本基金本报告期内投资策略未发生改变。</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39"/>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40" w:name="OLE_LINK3"/>
      <w:bookmarkStart w:id="41" w:name="_Toc331410122"/>
      <w:r w:rsidRPr="0081565E">
        <w:rPr>
          <w:rFonts w:hint="eastAsia"/>
          <w:color w:val="000000"/>
          <w:sz w:val="24"/>
        </w:rPr>
        <w:t>本报告期内，为本基金提供审计服务的会计师事务所为普华永道中天会计师事务所（特殊普通合伙），本期审计费用为</w:t>
      </w:r>
      <w:r w:rsidRPr="0081565E">
        <w:rPr>
          <w:rFonts w:hint="eastAsia"/>
          <w:color w:val="000000"/>
          <w:sz w:val="24"/>
        </w:rPr>
        <w:t>40,000.00</w:t>
      </w:r>
      <w:r w:rsidRPr="0081565E">
        <w:rPr>
          <w:rFonts w:hint="eastAsia"/>
          <w:color w:val="000000"/>
          <w:sz w:val="24"/>
        </w:rPr>
        <w:t>元。自本基金基金合同生效以来，本基金未改聘为其审计的会计师事务所。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40"/>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1"/>
    </w:p>
    <w:p w:rsidR="00C66612" w:rsidRDefault="00B06F03">
      <w:pPr>
        <w:spacing w:before="29" w:line="288" w:lineRule="auto"/>
        <w:ind w:firstLineChars="200" w:firstLine="480"/>
        <w:rPr>
          <w:color w:val="000000"/>
          <w:sz w:val="24"/>
        </w:rPr>
      </w:pPr>
      <w:r>
        <w:rPr>
          <w:rFonts w:hint="eastAsia"/>
          <w:color w:val="000000"/>
          <w:sz w:val="24"/>
        </w:rPr>
        <w:t>1</w:t>
      </w:r>
      <w:r>
        <w:rPr>
          <w:rFonts w:hint="eastAsia"/>
          <w:color w:val="000000"/>
          <w:sz w:val="24"/>
        </w:rPr>
        <w:t>、管理人及其高级管理人员受稽查或处罚等情况</w:t>
      </w:r>
    </w:p>
    <w:p w:rsidR="00C66612" w:rsidRDefault="00B06F03">
      <w:pPr>
        <w:spacing w:before="29" w:line="288" w:lineRule="auto"/>
        <w:ind w:firstLineChars="200" w:firstLine="480"/>
        <w:rPr>
          <w:color w:val="000000"/>
          <w:sz w:val="24"/>
        </w:rPr>
      </w:pPr>
      <w:r>
        <w:rPr>
          <w:rFonts w:hint="eastAsia"/>
          <w:color w:val="000000"/>
          <w:sz w:val="24"/>
        </w:rPr>
        <w:t>公司于</w:t>
      </w:r>
      <w:r>
        <w:rPr>
          <w:rFonts w:hint="eastAsia"/>
          <w:color w:val="000000"/>
          <w:sz w:val="24"/>
        </w:rPr>
        <w:t>2016</w:t>
      </w:r>
      <w:r>
        <w:rPr>
          <w:rFonts w:hint="eastAsia"/>
          <w:color w:val="000000"/>
          <w:sz w:val="24"/>
        </w:rPr>
        <w:t>年</w:t>
      </w:r>
      <w:r>
        <w:rPr>
          <w:rFonts w:hint="eastAsia"/>
          <w:color w:val="000000"/>
          <w:sz w:val="24"/>
        </w:rPr>
        <w:t>1</w:t>
      </w:r>
      <w:r>
        <w:rPr>
          <w:rFonts w:hint="eastAsia"/>
          <w:color w:val="000000"/>
          <w:sz w:val="24"/>
        </w:rPr>
        <w:t>月和</w:t>
      </w:r>
      <w:r>
        <w:rPr>
          <w:rFonts w:hint="eastAsia"/>
          <w:color w:val="000000"/>
          <w:sz w:val="24"/>
        </w:rPr>
        <w:t>10</w:t>
      </w:r>
      <w:r>
        <w:rPr>
          <w:rFonts w:hint="eastAsia"/>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C66612" w:rsidRDefault="00B06F03">
      <w:pPr>
        <w:spacing w:before="29" w:line="288" w:lineRule="auto"/>
        <w:ind w:firstLineChars="200" w:firstLine="480"/>
        <w:rPr>
          <w:color w:val="000000"/>
          <w:sz w:val="24"/>
        </w:rPr>
      </w:pPr>
      <w:r>
        <w:rPr>
          <w:rFonts w:hint="eastAsia"/>
          <w:color w:val="000000"/>
          <w:sz w:val="24"/>
        </w:rPr>
        <w:t>2</w:t>
      </w:r>
      <w:r>
        <w:rPr>
          <w:rFonts w:hint="eastAsia"/>
          <w:color w:val="000000"/>
          <w:sz w:val="24"/>
        </w:rPr>
        <w:t>、托管人及其高级管理人员受稽查或处罚等情况</w:t>
      </w:r>
    </w:p>
    <w:p w:rsidR="006D141C" w:rsidRDefault="006D141C" w:rsidP="0081565E">
      <w:pPr>
        <w:spacing w:before="29" w:line="288" w:lineRule="auto"/>
        <w:ind w:firstLineChars="200" w:firstLine="480"/>
        <w:rPr>
          <w:color w:val="000000"/>
          <w:sz w:val="24"/>
        </w:rPr>
      </w:pPr>
      <w:bookmarkStart w:id="42" w:name="_Toc331410123"/>
      <w:r w:rsidRPr="0081565E">
        <w:rPr>
          <w:rFonts w:hint="eastAsia"/>
          <w:color w:val="000000"/>
          <w:sz w:val="24"/>
        </w:rPr>
        <w:t>基金托管人及其高级管理人员本报告期内未受监管部门稽查或处罚。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2"/>
    </w:p>
    <w:p w:rsidR="006D141C" w:rsidRPr="00FB19E8" w:rsidRDefault="00EE1CF9" w:rsidP="00FB19E8">
      <w:pPr>
        <w:pStyle w:val="20"/>
        <w:spacing w:before="29" w:after="0" w:line="288" w:lineRule="auto"/>
        <w:rPr>
          <w:rFonts w:ascii="Times New Roman" w:hAnsi="Times New Roman" w:cs="Times New Roman"/>
          <w:kern w:val="0"/>
          <w:szCs w:val="24"/>
        </w:rPr>
      </w:pPr>
      <w:bookmarkStart w:id="43"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3"/>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4" w:name="_Toc249760071"/>
            <w:r w:rsidRPr="00745B0B">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C66612">
        <w:tc>
          <w:tcPr>
            <w:tcW w:w="1286" w:type="dxa"/>
            <w:vAlign w:val="center"/>
          </w:tcPr>
          <w:p w:rsidR="00C66612" w:rsidRDefault="00B06F03">
            <w:pPr>
              <w:jc w:val="center"/>
            </w:pPr>
            <w:r>
              <w:rPr>
                <w:rFonts w:hint="eastAsia"/>
                <w:szCs w:val="21"/>
              </w:rPr>
              <w:t>申万宏源证</w:t>
            </w:r>
            <w:r>
              <w:rPr>
                <w:rFonts w:hint="eastAsia"/>
                <w:szCs w:val="21"/>
              </w:rPr>
              <w:lastRenderedPageBreak/>
              <w:t>券股份有限公司</w:t>
            </w:r>
          </w:p>
        </w:tc>
        <w:tc>
          <w:tcPr>
            <w:tcW w:w="1286" w:type="dxa"/>
            <w:vAlign w:val="center"/>
          </w:tcPr>
          <w:p w:rsidR="00C66612" w:rsidRDefault="00B06F03">
            <w:pPr>
              <w:jc w:val="right"/>
            </w:pPr>
            <w:r>
              <w:rPr>
                <w:rFonts w:hint="eastAsia"/>
                <w:szCs w:val="21"/>
              </w:rPr>
              <w:lastRenderedPageBreak/>
              <w:t>1</w:t>
            </w:r>
          </w:p>
        </w:tc>
        <w:tc>
          <w:tcPr>
            <w:tcW w:w="1286" w:type="dxa"/>
            <w:vAlign w:val="center"/>
          </w:tcPr>
          <w:p w:rsidR="00C66612" w:rsidRDefault="00B06F03">
            <w:pPr>
              <w:jc w:val="right"/>
            </w:pPr>
            <w:r>
              <w:rPr>
                <w:rFonts w:hint="eastAsia"/>
                <w:szCs w:val="21"/>
              </w:rPr>
              <w:t>-</w:t>
            </w:r>
          </w:p>
        </w:tc>
        <w:tc>
          <w:tcPr>
            <w:tcW w:w="1285" w:type="dxa"/>
            <w:vAlign w:val="center"/>
          </w:tcPr>
          <w:p w:rsidR="00C66612" w:rsidRDefault="00B06F03">
            <w:pPr>
              <w:jc w:val="right"/>
            </w:pPr>
            <w:r>
              <w:rPr>
                <w:rFonts w:hint="eastAsia"/>
                <w:szCs w:val="21"/>
              </w:rPr>
              <w:t>-</w:t>
            </w:r>
          </w:p>
        </w:tc>
        <w:tc>
          <w:tcPr>
            <w:tcW w:w="1285" w:type="dxa"/>
            <w:vAlign w:val="center"/>
          </w:tcPr>
          <w:p w:rsidR="00C66612" w:rsidRDefault="00B06F03">
            <w:pPr>
              <w:jc w:val="right"/>
            </w:pPr>
            <w:r>
              <w:rPr>
                <w:rFonts w:hint="eastAsia"/>
                <w:szCs w:val="21"/>
              </w:rPr>
              <w:t>-</w:t>
            </w:r>
          </w:p>
        </w:tc>
        <w:tc>
          <w:tcPr>
            <w:tcW w:w="1285" w:type="dxa"/>
            <w:vAlign w:val="center"/>
          </w:tcPr>
          <w:p w:rsidR="00C66612" w:rsidRDefault="00B06F03">
            <w:pPr>
              <w:jc w:val="right"/>
            </w:pPr>
            <w:r>
              <w:rPr>
                <w:rFonts w:hint="eastAsia"/>
                <w:szCs w:val="21"/>
              </w:rPr>
              <w:t>-</w:t>
            </w:r>
          </w:p>
        </w:tc>
        <w:tc>
          <w:tcPr>
            <w:tcW w:w="1285" w:type="dxa"/>
            <w:vAlign w:val="center"/>
          </w:tcPr>
          <w:p w:rsidR="00C66612" w:rsidRDefault="00B06F03">
            <w:pPr>
              <w:jc w:val="left"/>
            </w:pPr>
            <w:r>
              <w:rPr>
                <w:rFonts w:hint="eastAsia"/>
                <w:szCs w:val="21"/>
              </w:rPr>
              <w:t>-</w:t>
            </w:r>
          </w:p>
        </w:tc>
      </w:tr>
      <w:tr w:rsidR="00C66612">
        <w:tc>
          <w:tcPr>
            <w:tcW w:w="1286" w:type="dxa"/>
            <w:vAlign w:val="center"/>
          </w:tcPr>
          <w:p w:rsidR="00C66612" w:rsidRDefault="00B06F03">
            <w:pPr>
              <w:jc w:val="center"/>
            </w:pPr>
            <w:r>
              <w:rPr>
                <w:rFonts w:hint="eastAsia"/>
                <w:szCs w:val="21"/>
              </w:rPr>
              <w:lastRenderedPageBreak/>
              <w:t>中信建投证券股份有限公司</w:t>
            </w:r>
          </w:p>
        </w:tc>
        <w:tc>
          <w:tcPr>
            <w:tcW w:w="1286" w:type="dxa"/>
            <w:vAlign w:val="center"/>
          </w:tcPr>
          <w:p w:rsidR="00C66612" w:rsidRDefault="00B06F03">
            <w:pPr>
              <w:jc w:val="right"/>
            </w:pPr>
            <w:r>
              <w:rPr>
                <w:rFonts w:hint="eastAsia"/>
                <w:szCs w:val="21"/>
              </w:rPr>
              <w:t>1</w:t>
            </w:r>
          </w:p>
        </w:tc>
        <w:tc>
          <w:tcPr>
            <w:tcW w:w="1286" w:type="dxa"/>
            <w:vAlign w:val="center"/>
          </w:tcPr>
          <w:p w:rsidR="00C66612" w:rsidRDefault="00B06F03">
            <w:pPr>
              <w:jc w:val="right"/>
            </w:pPr>
            <w:r>
              <w:rPr>
                <w:rFonts w:hint="eastAsia"/>
                <w:szCs w:val="21"/>
              </w:rPr>
              <w:t>-</w:t>
            </w:r>
          </w:p>
        </w:tc>
        <w:tc>
          <w:tcPr>
            <w:tcW w:w="1285" w:type="dxa"/>
            <w:vAlign w:val="center"/>
          </w:tcPr>
          <w:p w:rsidR="00C66612" w:rsidRDefault="00B06F03">
            <w:pPr>
              <w:jc w:val="right"/>
            </w:pPr>
            <w:r>
              <w:rPr>
                <w:rFonts w:hint="eastAsia"/>
                <w:szCs w:val="21"/>
              </w:rPr>
              <w:t>-</w:t>
            </w:r>
          </w:p>
        </w:tc>
        <w:tc>
          <w:tcPr>
            <w:tcW w:w="1285" w:type="dxa"/>
            <w:vAlign w:val="center"/>
          </w:tcPr>
          <w:p w:rsidR="00C66612" w:rsidRDefault="00B06F03">
            <w:pPr>
              <w:jc w:val="right"/>
            </w:pPr>
            <w:r>
              <w:rPr>
                <w:rFonts w:hint="eastAsia"/>
                <w:szCs w:val="21"/>
              </w:rPr>
              <w:t>-</w:t>
            </w:r>
          </w:p>
        </w:tc>
        <w:tc>
          <w:tcPr>
            <w:tcW w:w="1285" w:type="dxa"/>
            <w:vAlign w:val="center"/>
          </w:tcPr>
          <w:p w:rsidR="00C66612" w:rsidRDefault="00B06F03">
            <w:pPr>
              <w:jc w:val="right"/>
            </w:pPr>
            <w:r>
              <w:rPr>
                <w:rFonts w:hint="eastAsia"/>
                <w:szCs w:val="21"/>
              </w:rPr>
              <w:t>-</w:t>
            </w:r>
          </w:p>
        </w:tc>
        <w:tc>
          <w:tcPr>
            <w:tcW w:w="1285" w:type="dxa"/>
            <w:vAlign w:val="center"/>
          </w:tcPr>
          <w:p w:rsidR="00C66612" w:rsidRDefault="00B06F03">
            <w:pPr>
              <w:jc w:val="left"/>
            </w:pPr>
            <w:r>
              <w:rPr>
                <w:rFonts w:hint="eastAsia"/>
                <w:szCs w:val="21"/>
              </w:rPr>
              <w:t>-</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4"/>
    </w:p>
    <w:p w:rsidR="006D141C" w:rsidRPr="006A1080" w:rsidRDefault="00644AB5" w:rsidP="006A1080">
      <w:pPr>
        <w:spacing w:before="29" w:line="288" w:lineRule="auto"/>
        <w:ind w:right="105"/>
        <w:jc w:val="right"/>
        <w:rPr>
          <w:color w:val="000000"/>
          <w:sz w:val="24"/>
        </w:rPr>
      </w:pPr>
      <w:bookmarkStart w:id="45" w:name="_Toc249707408"/>
      <w:r w:rsidRPr="006A1080">
        <w:rPr>
          <w:rFonts w:hint="eastAsia"/>
          <w:color w:val="000000"/>
          <w:sz w:val="24"/>
        </w:rPr>
        <w:t>金额单位</w:t>
      </w:r>
      <w:r w:rsidR="006D141C" w:rsidRPr="006A1080">
        <w:rPr>
          <w:rFonts w:hint="eastAsia"/>
          <w:color w:val="000000"/>
          <w:sz w:val="24"/>
        </w:rPr>
        <w:t>：人民币元</w:t>
      </w:r>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444BE7">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券商名称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债券交易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回购交易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权证交易</w:t>
            </w:r>
          </w:p>
        </w:tc>
      </w:tr>
      <w:tr w:rsidR="002C233F" w:rsidRPr="00745B0B" w:rsidTr="00444BE7">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占当期债券成交总额的比例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占当期回购成交总额的比例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占当期权证成交总额的比例</w:t>
            </w:r>
          </w:p>
        </w:tc>
      </w:tr>
      <w:tr w:rsidR="00C66612">
        <w:tc>
          <w:tcPr>
            <w:tcW w:w="1286" w:type="dxa"/>
            <w:vAlign w:val="center"/>
          </w:tcPr>
          <w:p w:rsidR="00C66612" w:rsidRDefault="00B06F03">
            <w:pPr>
              <w:jc w:val="left"/>
            </w:pPr>
            <w:r>
              <w:rPr>
                <w:rFonts w:hint="eastAsia"/>
                <w:szCs w:val="21"/>
              </w:rPr>
              <w:t>申万宏源证券股份有限公司</w:t>
            </w:r>
          </w:p>
        </w:tc>
        <w:tc>
          <w:tcPr>
            <w:tcW w:w="1286" w:type="dxa"/>
            <w:vAlign w:val="center"/>
          </w:tcPr>
          <w:p w:rsidR="00C66612" w:rsidRDefault="00B06F03">
            <w:pPr>
              <w:jc w:val="right"/>
            </w:pPr>
            <w:r>
              <w:rPr>
                <w:rFonts w:hint="eastAsia"/>
                <w:szCs w:val="21"/>
              </w:rPr>
              <w:t>-</w:t>
            </w:r>
          </w:p>
        </w:tc>
        <w:tc>
          <w:tcPr>
            <w:tcW w:w="1286" w:type="dxa"/>
            <w:vAlign w:val="center"/>
          </w:tcPr>
          <w:p w:rsidR="00C66612" w:rsidRDefault="00B06F03">
            <w:pPr>
              <w:jc w:val="right"/>
            </w:pPr>
            <w:r>
              <w:rPr>
                <w:rFonts w:hint="eastAsia"/>
                <w:szCs w:val="21"/>
              </w:rPr>
              <w:t>-</w:t>
            </w:r>
          </w:p>
        </w:tc>
        <w:tc>
          <w:tcPr>
            <w:tcW w:w="1285" w:type="dxa"/>
            <w:vAlign w:val="center"/>
          </w:tcPr>
          <w:p w:rsidR="00C66612" w:rsidRDefault="00B06F03">
            <w:pPr>
              <w:jc w:val="right"/>
            </w:pPr>
            <w:r>
              <w:rPr>
                <w:rFonts w:hint="eastAsia"/>
                <w:szCs w:val="21"/>
              </w:rPr>
              <w:t>2,734,000,000.00</w:t>
            </w:r>
          </w:p>
        </w:tc>
        <w:tc>
          <w:tcPr>
            <w:tcW w:w="1285" w:type="dxa"/>
            <w:vAlign w:val="center"/>
          </w:tcPr>
          <w:p w:rsidR="00C66612" w:rsidRDefault="00B06F03">
            <w:pPr>
              <w:jc w:val="right"/>
            </w:pPr>
            <w:r>
              <w:rPr>
                <w:rFonts w:hint="eastAsia"/>
                <w:szCs w:val="21"/>
              </w:rPr>
              <w:t>100.00%</w:t>
            </w:r>
          </w:p>
        </w:tc>
        <w:tc>
          <w:tcPr>
            <w:tcW w:w="1285" w:type="dxa"/>
            <w:vAlign w:val="center"/>
          </w:tcPr>
          <w:p w:rsidR="00C66612" w:rsidRDefault="00B06F03">
            <w:pPr>
              <w:jc w:val="right"/>
            </w:pPr>
            <w:r>
              <w:rPr>
                <w:rFonts w:hint="eastAsia"/>
                <w:szCs w:val="21"/>
              </w:rPr>
              <w:t>-</w:t>
            </w:r>
          </w:p>
        </w:tc>
        <w:tc>
          <w:tcPr>
            <w:tcW w:w="1285" w:type="dxa"/>
            <w:vAlign w:val="center"/>
          </w:tcPr>
          <w:p w:rsidR="00C66612" w:rsidRDefault="00B06F03">
            <w:pPr>
              <w:jc w:val="right"/>
            </w:pPr>
            <w:r>
              <w:rPr>
                <w:rFonts w:hint="eastAsia"/>
                <w:szCs w:val="21"/>
              </w:rPr>
              <w:t>-</w:t>
            </w:r>
          </w:p>
        </w:tc>
      </w:tr>
    </w:tbl>
    <w:p w:rsidR="00C66612" w:rsidRDefault="00B06F03">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C66612" w:rsidRDefault="00B06F03">
      <w:pPr>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124D4" w:rsidRDefault="006D141C"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B1276" w:rsidRDefault="006D141C" w:rsidP="004B36C2">
      <w:pPr>
        <w:spacing w:line="360" w:lineRule="auto"/>
        <w:rPr>
          <w:rFonts w:asciiTheme="minorEastAsia" w:eastAsiaTheme="minorEastAsia" w:hAnsiTheme="minorEastAsia"/>
          <w:szCs w:val="21"/>
        </w:rPr>
      </w:pP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444BE7" w:rsidRPr="005124D4" w:rsidRDefault="00444BE7" w:rsidP="005124D4">
      <w:pPr>
        <w:spacing w:before="29" w:line="288" w:lineRule="auto"/>
        <w:jc w:val="left"/>
        <w:rPr>
          <w:kern w:val="0"/>
          <w:sz w:val="24"/>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B4537E" w:rsidRDefault="006D141C" w:rsidP="00B4537E">
      <w:pPr>
        <w:spacing w:before="29" w:line="288" w:lineRule="auto"/>
        <w:ind w:firstLineChars="200" w:firstLine="482"/>
        <w:jc w:val="right"/>
        <w:rPr>
          <w:b/>
          <w:color w:val="000000"/>
          <w:sz w:val="24"/>
        </w:rPr>
      </w:pPr>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二〇一七年三月二十九日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9E2" w:rsidRDefault="008379E2">
      <w:r>
        <w:separator/>
      </w:r>
    </w:p>
  </w:endnote>
  <w:endnote w:type="continuationSeparator" w:id="0">
    <w:p w:rsidR="008379E2" w:rsidRDefault="0083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D2375E" w:rsidP="00C03B3A">
    <w:pPr>
      <w:pStyle w:val="a6"/>
      <w:framePr w:wrap="around" w:vAnchor="text" w:hAnchor="margin" w:xAlign="right" w:y="1"/>
      <w:rPr>
        <w:rStyle w:val="a7"/>
      </w:rPr>
    </w:pPr>
    <w:r>
      <w:rPr>
        <w:rStyle w:val="a7"/>
      </w:rPr>
      <w:fldChar w:fldCharType="begin"/>
    </w:r>
    <w:r w:rsidR="004E65B4">
      <w:rPr>
        <w:rStyle w:val="a7"/>
      </w:rPr>
      <w:instrText xml:space="preserve">PAGE  </w:instrText>
    </w:r>
    <w:r>
      <w:rPr>
        <w:rStyle w:val="a7"/>
      </w:rPr>
      <w:fldChar w:fldCharType="end"/>
    </w:r>
  </w:p>
  <w:p w:rsidR="004E65B4" w:rsidRDefault="004E65B4"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4E65B4" w:rsidP="00C03B3A">
    <w:pPr>
      <w:pStyle w:val="a6"/>
      <w:ind w:right="360"/>
      <w:jc w:val="center"/>
    </w:pPr>
    <w:r>
      <w:rPr>
        <w:rFonts w:hint="eastAsia"/>
        <w:kern w:val="0"/>
        <w:szCs w:val="21"/>
      </w:rPr>
      <w:t>第</w:t>
    </w:r>
    <w:r>
      <w:rPr>
        <w:rFonts w:hint="eastAsia"/>
        <w:kern w:val="0"/>
        <w:szCs w:val="21"/>
      </w:rPr>
      <w:t xml:space="preserve"> </w:t>
    </w:r>
    <w:r w:rsidR="00D2375E">
      <w:rPr>
        <w:kern w:val="0"/>
        <w:szCs w:val="21"/>
      </w:rPr>
      <w:fldChar w:fldCharType="begin"/>
    </w:r>
    <w:r>
      <w:rPr>
        <w:kern w:val="0"/>
        <w:szCs w:val="21"/>
      </w:rPr>
      <w:instrText xml:space="preserve"> PAGE </w:instrText>
    </w:r>
    <w:r w:rsidR="00D2375E">
      <w:rPr>
        <w:kern w:val="0"/>
        <w:szCs w:val="21"/>
      </w:rPr>
      <w:fldChar w:fldCharType="separate"/>
    </w:r>
    <w:r w:rsidR="00002CBB">
      <w:rPr>
        <w:noProof/>
        <w:kern w:val="0"/>
        <w:szCs w:val="21"/>
      </w:rPr>
      <w:t>2</w:t>
    </w:r>
    <w:r w:rsidR="00D2375E">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D2375E">
      <w:rPr>
        <w:kern w:val="0"/>
        <w:szCs w:val="21"/>
      </w:rPr>
      <w:fldChar w:fldCharType="begin"/>
    </w:r>
    <w:r>
      <w:rPr>
        <w:kern w:val="0"/>
        <w:szCs w:val="21"/>
      </w:rPr>
      <w:instrText xml:space="preserve"> NUMPAGES </w:instrText>
    </w:r>
    <w:r w:rsidR="00D2375E">
      <w:rPr>
        <w:kern w:val="0"/>
        <w:szCs w:val="21"/>
      </w:rPr>
      <w:fldChar w:fldCharType="separate"/>
    </w:r>
    <w:r w:rsidR="00002CBB">
      <w:rPr>
        <w:noProof/>
        <w:kern w:val="0"/>
        <w:szCs w:val="21"/>
      </w:rPr>
      <w:t>32</w:t>
    </w:r>
    <w:r w:rsidR="00D2375E">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9E2" w:rsidRDefault="008379E2">
      <w:r>
        <w:separator/>
      </w:r>
    </w:p>
  </w:footnote>
  <w:footnote w:type="continuationSeparator" w:id="0">
    <w:p w:rsidR="008379E2" w:rsidRDefault="00837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Pr="00F163BF" w:rsidRDefault="004E65B4" w:rsidP="00B56BD2">
    <w:pPr>
      <w:pStyle w:val="a9"/>
      <w:pBdr>
        <w:bottom w:val="single" w:sz="6" w:space="0" w:color="auto"/>
      </w:pBdr>
      <w:jc w:val="right"/>
    </w:pPr>
    <w:r w:rsidRPr="004D2C6A">
      <w:rPr>
        <w:rFonts w:hint="eastAsia"/>
        <w:noProof/>
        <w:sz w:val="21"/>
        <w:szCs w:val="21"/>
      </w:rPr>
      <w:drawing>
        <wp:anchor distT="0" distB="0" distL="114300" distR="114300" simplePos="0" relativeHeight="251659264" behindDoc="0" locked="0" layoutInCell="1" allowOverlap="1">
          <wp:simplePos x="0" y="0"/>
          <wp:positionH relativeFrom="column">
            <wp:posOffset>-3283</wp:posOffset>
          </wp:positionH>
          <wp:positionV relativeFrom="paragraph">
            <wp:posOffset>-307472</wp:posOffset>
          </wp:positionV>
          <wp:extent cx="2087593"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474"/>
    <w:rsid w:val="00002644"/>
    <w:rsid w:val="00002CBB"/>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346A"/>
    <w:rsid w:val="000534CD"/>
    <w:rsid w:val="00053EED"/>
    <w:rsid w:val="00054067"/>
    <w:rsid w:val="0005448A"/>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500"/>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57CB3"/>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E2"/>
    <w:rsid w:val="00190E27"/>
    <w:rsid w:val="0019215E"/>
    <w:rsid w:val="0019272B"/>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24D7"/>
    <w:rsid w:val="0024260D"/>
    <w:rsid w:val="00242657"/>
    <w:rsid w:val="002428F6"/>
    <w:rsid w:val="00242FA2"/>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7254"/>
    <w:rsid w:val="002C7C89"/>
    <w:rsid w:val="002D0054"/>
    <w:rsid w:val="002D1A0F"/>
    <w:rsid w:val="002D22BF"/>
    <w:rsid w:val="002D237C"/>
    <w:rsid w:val="002D32E3"/>
    <w:rsid w:val="002D33F1"/>
    <w:rsid w:val="002D353D"/>
    <w:rsid w:val="002D3A47"/>
    <w:rsid w:val="002D3BA0"/>
    <w:rsid w:val="002D470E"/>
    <w:rsid w:val="002D52AD"/>
    <w:rsid w:val="002D58D8"/>
    <w:rsid w:val="002D5EB1"/>
    <w:rsid w:val="002D71DA"/>
    <w:rsid w:val="002D758D"/>
    <w:rsid w:val="002D7CE0"/>
    <w:rsid w:val="002E0394"/>
    <w:rsid w:val="002E0644"/>
    <w:rsid w:val="002E0FEB"/>
    <w:rsid w:val="002E171B"/>
    <w:rsid w:val="002E17D8"/>
    <w:rsid w:val="002E2E3E"/>
    <w:rsid w:val="002E319D"/>
    <w:rsid w:val="002E4AD5"/>
    <w:rsid w:val="002E4C2D"/>
    <w:rsid w:val="002E7410"/>
    <w:rsid w:val="002F0F79"/>
    <w:rsid w:val="002F1C9E"/>
    <w:rsid w:val="002F1EB2"/>
    <w:rsid w:val="002F25C3"/>
    <w:rsid w:val="002F280E"/>
    <w:rsid w:val="002F2CBB"/>
    <w:rsid w:val="002F3470"/>
    <w:rsid w:val="002F3709"/>
    <w:rsid w:val="002F3A6C"/>
    <w:rsid w:val="002F4296"/>
    <w:rsid w:val="002F5777"/>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8A4"/>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50F3"/>
    <w:rsid w:val="003F62BB"/>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7DC0"/>
    <w:rsid w:val="004B0E6D"/>
    <w:rsid w:val="004B0FE5"/>
    <w:rsid w:val="004B16E8"/>
    <w:rsid w:val="004B171B"/>
    <w:rsid w:val="004B2CA5"/>
    <w:rsid w:val="004B36C2"/>
    <w:rsid w:val="004B3D72"/>
    <w:rsid w:val="004B412E"/>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B3E"/>
    <w:rsid w:val="004E5990"/>
    <w:rsid w:val="004E5EDB"/>
    <w:rsid w:val="004E60FB"/>
    <w:rsid w:val="004E65B4"/>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0CFF"/>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B19"/>
    <w:rsid w:val="00564C4B"/>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8B"/>
    <w:rsid w:val="005A0742"/>
    <w:rsid w:val="005A1C30"/>
    <w:rsid w:val="005A21D6"/>
    <w:rsid w:val="005A2893"/>
    <w:rsid w:val="005A31C9"/>
    <w:rsid w:val="005A3295"/>
    <w:rsid w:val="005A46FF"/>
    <w:rsid w:val="005A4AFF"/>
    <w:rsid w:val="005A65F0"/>
    <w:rsid w:val="005A69CF"/>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821"/>
    <w:rsid w:val="0062203B"/>
    <w:rsid w:val="00622656"/>
    <w:rsid w:val="0062291D"/>
    <w:rsid w:val="0062386E"/>
    <w:rsid w:val="00623D9A"/>
    <w:rsid w:val="00623F01"/>
    <w:rsid w:val="006242FB"/>
    <w:rsid w:val="0062449D"/>
    <w:rsid w:val="00624738"/>
    <w:rsid w:val="006251B3"/>
    <w:rsid w:val="00626E2D"/>
    <w:rsid w:val="006272DE"/>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755"/>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BF6"/>
    <w:rsid w:val="007112BE"/>
    <w:rsid w:val="00711522"/>
    <w:rsid w:val="007118A6"/>
    <w:rsid w:val="00711C48"/>
    <w:rsid w:val="007124FE"/>
    <w:rsid w:val="00712533"/>
    <w:rsid w:val="0071300D"/>
    <w:rsid w:val="00713186"/>
    <w:rsid w:val="00713757"/>
    <w:rsid w:val="00713758"/>
    <w:rsid w:val="007137D8"/>
    <w:rsid w:val="00714064"/>
    <w:rsid w:val="0071409E"/>
    <w:rsid w:val="007148A5"/>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D58"/>
    <w:rsid w:val="007A7F42"/>
    <w:rsid w:val="007B2862"/>
    <w:rsid w:val="007B2FD8"/>
    <w:rsid w:val="007B33E3"/>
    <w:rsid w:val="007B3844"/>
    <w:rsid w:val="007B3968"/>
    <w:rsid w:val="007B45AF"/>
    <w:rsid w:val="007B4DD0"/>
    <w:rsid w:val="007B4F6E"/>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564B"/>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9E2"/>
    <w:rsid w:val="00837CEF"/>
    <w:rsid w:val="00837E2F"/>
    <w:rsid w:val="00840035"/>
    <w:rsid w:val="008407D5"/>
    <w:rsid w:val="00842661"/>
    <w:rsid w:val="008428A9"/>
    <w:rsid w:val="00844112"/>
    <w:rsid w:val="00844911"/>
    <w:rsid w:val="00844D3D"/>
    <w:rsid w:val="0084547F"/>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6C3D"/>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1356"/>
    <w:rsid w:val="00962401"/>
    <w:rsid w:val="00962510"/>
    <w:rsid w:val="0096260B"/>
    <w:rsid w:val="0096275C"/>
    <w:rsid w:val="009627FF"/>
    <w:rsid w:val="00962A27"/>
    <w:rsid w:val="00962B9D"/>
    <w:rsid w:val="00962EDC"/>
    <w:rsid w:val="009631D5"/>
    <w:rsid w:val="00964E3D"/>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E7C"/>
    <w:rsid w:val="00977134"/>
    <w:rsid w:val="00980013"/>
    <w:rsid w:val="00980E65"/>
    <w:rsid w:val="00981242"/>
    <w:rsid w:val="00981963"/>
    <w:rsid w:val="009831B9"/>
    <w:rsid w:val="00983C82"/>
    <w:rsid w:val="0098422A"/>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C85"/>
    <w:rsid w:val="00A136E8"/>
    <w:rsid w:val="00A13A65"/>
    <w:rsid w:val="00A14589"/>
    <w:rsid w:val="00A14AE3"/>
    <w:rsid w:val="00A16675"/>
    <w:rsid w:val="00A21955"/>
    <w:rsid w:val="00A22CD6"/>
    <w:rsid w:val="00A23105"/>
    <w:rsid w:val="00A234EC"/>
    <w:rsid w:val="00A23F83"/>
    <w:rsid w:val="00A24128"/>
    <w:rsid w:val="00A2417A"/>
    <w:rsid w:val="00A2469D"/>
    <w:rsid w:val="00A25642"/>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56D"/>
    <w:rsid w:val="00AA311D"/>
    <w:rsid w:val="00AA3556"/>
    <w:rsid w:val="00AA35FD"/>
    <w:rsid w:val="00AA3DB7"/>
    <w:rsid w:val="00AA41D3"/>
    <w:rsid w:val="00AA643F"/>
    <w:rsid w:val="00AB0039"/>
    <w:rsid w:val="00AB0D96"/>
    <w:rsid w:val="00AB15A3"/>
    <w:rsid w:val="00AB177A"/>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6F03"/>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F57"/>
    <w:rsid w:val="00BF20FD"/>
    <w:rsid w:val="00BF2239"/>
    <w:rsid w:val="00BF22C6"/>
    <w:rsid w:val="00BF2CD7"/>
    <w:rsid w:val="00BF34C2"/>
    <w:rsid w:val="00BF3804"/>
    <w:rsid w:val="00BF38AE"/>
    <w:rsid w:val="00BF3B4E"/>
    <w:rsid w:val="00BF4086"/>
    <w:rsid w:val="00BF426C"/>
    <w:rsid w:val="00BF4594"/>
    <w:rsid w:val="00BF4AA2"/>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57C3"/>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612"/>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9CB"/>
    <w:rsid w:val="00C84593"/>
    <w:rsid w:val="00C850A3"/>
    <w:rsid w:val="00C85C32"/>
    <w:rsid w:val="00C85F45"/>
    <w:rsid w:val="00C86197"/>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1276"/>
    <w:rsid w:val="00CB1E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375E"/>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510"/>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67A1"/>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0AF6"/>
    <w:rsid w:val="00ED1A0B"/>
    <w:rsid w:val="00ED1EF0"/>
    <w:rsid w:val="00ED27DD"/>
    <w:rsid w:val="00ED3706"/>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5E1"/>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4BAC"/>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49382C-9212-44E4-A929-6C5AEA02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57308385">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09584202">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10084160">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53133197">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5923029">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8051227">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83979184">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76738229">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753304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0718183">
      <w:bodyDiv w:val="1"/>
      <w:marLeft w:val="0"/>
      <w:marRight w:val="0"/>
      <w:marTop w:val="0"/>
      <w:marBottom w:val="0"/>
      <w:divBdr>
        <w:top w:val="none" w:sz="0" w:space="0" w:color="auto"/>
        <w:left w:val="none" w:sz="0" w:space="0" w:color="auto"/>
        <w:bottom w:val="none" w:sz="0" w:space="0" w:color="auto"/>
        <w:right w:val="none" w:sz="0" w:space="0" w:color="auto"/>
      </w:divBdr>
    </w:div>
    <w:div w:id="1716923860">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254192">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4064280">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FBFE0-D847-4E0E-AC77-A4EEEFA91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32</Pages>
  <Words>3441</Words>
  <Characters>19616</Characters>
  <Application>Microsoft Office Word</Application>
  <DocSecurity>0</DocSecurity>
  <Lines>163</Lines>
  <Paragraphs>46</Paragraphs>
  <ScaleCrop>false</ScaleCrop>
  <Company/>
  <LinksUpToDate>false</LinksUpToDate>
  <CharactersWithSpaces>23011</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729</cp:revision>
  <cp:lastPrinted>2007-07-19T00:46:00Z</cp:lastPrinted>
  <dcterms:created xsi:type="dcterms:W3CDTF">2013-06-22T02:32:00Z</dcterms:created>
  <dcterms:modified xsi:type="dcterms:W3CDTF">2017-03-27T12:28:00Z</dcterms:modified>
</cp:coreProperties>
</file>