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交银施罗德增利债券证券投资基金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2016</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2016</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中国建设银行股份有限公司</w:t>
      </w:r>
    </w:p>
    <w:p w:rsidR="001A59F9" w:rsidRPr="00F352AD" w:rsidRDefault="001A59F9" w:rsidP="00F352AD">
      <w:pPr>
        <w:spacing w:before="29" w:line="288" w:lineRule="auto"/>
        <w:ind w:firstLineChars="900" w:firstLine="2168"/>
        <w:rPr>
          <w:b/>
          <w:color w:val="000000"/>
          <w:sz w:val="24"/>
        </w:rPr>
        <w:sectPr w:rsidR="001A59F9" w:rsidRPr="00F352AD">
          <w:headerReference w:type="default" r:id="rId8"/>
          <w:pgSz w:w="11926" w:h="15840"/>
          <w:pgMar w:top="1418" w:right="1418" w:bottom="851" w:left="1418" w:header="851" w:footer="992" w:gutter="0"/>
          <w:cols w:space="720"/>
        </w:sectPr>
      </w:pPr>
      <w:r w:rsidRPr="00F352AD">
        <w:rPr>
          <w:rFonts w:hint="eastAsia"/>
          <w:b/>
          <w:color w:val="000000"/>
          <w:sz w:val="24"/>
        </w:rPr>
        <w:t>报告送出日期：</w:t>
      </w:r>
      <w:r w:rsidRPr="00F352AD">
        <w:rPr>
          <w:b/>
          <w:color w:val="000000"/>
          <w:sz w:val="24"/>
        </w:rPr>
        <w:t>二〇一七年三月二十九日</w:t>
      </w: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236511"/>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478236512"/>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A46313" w:rsidRDefault="00125795">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A46313" w:rsidRDefault="00125795">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2017</w:t>
      </w:r>
      <w:r>
        <w:rPr>
          <w:color w:val="000000"/>
          <w:sz w:val="24"/>
        </w:rPr>
        <w:t>年</w:t>
      </w:r>
      <w:r>
        <w:rPr>
          <w:color w:val="000000"/>
          <w:sz w:val="24"/>
        </w:rPr>
        <w:t>3</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A46313" w:rsidRDefault="00125795">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46313" w:rsidRDefault="00125795">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2016</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1004C3" w:rsidRDefault="003335BB">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478236511" w:history="1">
        <w:r w:rsidR="001004C3" w:rsidRPr="002321C7">
          <w:rPr>
            <w:rStyle w:val="a9"/>
            <w:b/>
            <w:bCs/>
            <w:noProof/>
          </w:rPr>
          <w:t xml:space="preserve">§1  </w:t>
        </w:r>
        <w:r w:rsidR="001004C3" w:rsidRPr="002321C7">
          <w:rPr>
            <w:rStyle w:val="a9"/>
            <w:rFonts w:hint="eastAsia"/>
            <w:b/>
            <w:bCs/>
            <w:noProof/>
          </w:rPr>
          <w:t>重要提示及目录</w:t>
        </w:r>
        <w:r w:rsidR="001004C3">
          <w:rPr>
            <w:noProof/>
            <w:webHidden/>
          </w:rPr>
          <w:tab/>
        </w:r>
        <w:r w:rsidR="001004C3">
          <w:rPr>
            <w:noProof/>
            <w:webHidden/>
          </w:rPr>
          <w:fldChar w:fldCharType="begin"/>
        </w:r>
        <w:r w:rsidR="001004C3">
          <w:rPr>
            <w:noProof/>
            <w:webHidden/>
          </w:rPr>
          <w:instrText xml:space="preserve"> PAGEREF _Toc478236511 \h </w:instrText>
        </w:r>
        <w:r w:rsidR="001004C3">
          <w:rPr>
            <w:noProof/>
            <w:webHidden/>
          </w:rPr>
        </w:r>
        <w:r w:rsidR="001004C3">
          <w:rPr>
            <w:noProof/>
            <w:webHidden/>
          </w:rPr>
          <w:fldChar w:fldCharType="separate"/>
        </w:r>
        <w:r w:rsidR="001004C3">
          <w:rPr>
            <w:noProof/>
            <w:webHidden/>
          </w:rPr>
          <w:t>2</w:t>
        </w:r>
        <w:r w:rsidR="001004C3">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12" w:history="1">
        <w:r w:rsidRPr="002321C7">
          <w:rPr>
            <w:rStyle w:val="a9"/>
            <w:noProof/>
          </w:rPr>
          <w:t xml:space="preserve">1.1 </w:t>
        </w:r>
        <w:r w:rsidRPr="002321C7">
          <w:rPr>
            <w:rStyle w:val="a9"/>
            <w:rFonts w:hint="eastAsia"/>
            <w:noProof/>
          </w:rPr>
          <w:t>重要提示</w:t>
        </w:r>
        <w:r>
          <w:rPr>
            <w:noProof/>
            <w:webHidden/>
          </w:rPr>
          <w:tab/>
        </w:r>
        <w:r>
          <w:rPr>
            <w:noProof/>
            <w:webHidden/>
          </w:rPr>
          <w:fldChar w:fldCharType="begin"/>
        </w:r>
        <w:r>
          <w:rPr>
            <w:noProof/>
            <w:webHidden/>
          </w:rPr>
          <w:instrText xml:space="preserve"> PAGEREF _Toc478236512 \h </w:instrText>
        </w:r>
        <w:r>
          <w:rPr>
            <w:noProof/>
            <w:webHidden/>
          </w:rPr>
        </w:r>
        <w:r>
          <w:rPr>
            <w:noProof/>
            <w:webHidden/>
          </w:rPr>
          <w:fldChar w:fldCharType="separate"/>
        </w:r>
        <w:r>
          <w:rPr>
            <w:noProof/>
            <w:webHidden/>
          </w:rPr>
          <w:t>2</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13" w:history="1">
        <w:r w:rsidRPr="002321C7">
          <w:rPr>
            <w:rStyle w:val="a9"/>
            <w:b/>
            <w:bCs/>
            <w:noProof/>
          </w:rPr>
          <w:t xml:space="preserve">§2  </w:t>
        </w:r>
        <w:r w:rsidRPr="002321C7">
          <w:rPr>
            <w:rStyle w:val="a9"/>
            <w:rFonts w:hint="eastAsia"/>
            <w:b/>
            <w:bCs/>
            <w:noProof/>
          </w:rPr>
          <w:t>基金简介</w:t>
        </w:r>
        <w:r>
          <w:rPr>
            <w:noProof/>
            <w:webHidden/>
          </w:rPr>
          <w:tab/>
        </w:r>
        <w:r>
          <w:rPr>
            <w:noProof/>
            <w:webHidden/>
          </w:rPr>
          <w:fldChar w:fldCharType="begin"/>
        </w:r>
        <w:r>
          <w:rPr>
            <w:noProof/>
            <w:webHidden/>
          </w:rPr>
          <w:instrText xml:space="preserve"> PAGEREF _Toc478236513 \h </w:instrText>
        </w:r>
        <w:r>
          <w:rPr>
            <w:noProof/>
            <w:webHidden/>
          </w:rPr>
        </w:r>
        <w:r>
          <w:rPr>
            <w:noProof/>
            <w:webHidden/>
          </w:rPr>
          <w:fldChar w:fldCharType="separate"/>
        </w:r>
        <w:r>
          <w:rPr>
            <w:noProof/>
            <w:webHidden/>
          </w:rPr>
          <w:t>5</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14" w:history="1">
        <w:r w:rsidRPr="002321C7">
          <w:rPr>
            <w:rStyle w:val="a9"/>
            <w:noProof/>
          </w:rPr>
          <w:t xml:space="preserve">2.1 </w:t>
        </w:r>
        <w:r w:rsidRPr="002321C7">
          <w:rPr>
            <w:rStyle w:val="a9"/>
            <w:rFonts w:hint="eastAsia"/>
            <w:noProof/>
          </w:rPr>
          <w:t>基金基本情况</w:t>
        </w:r>
        <w:r>
          <w:rPr>
            <w:noProof/>
            <w:webHidden/>
          </w:rPr>
          <w:tab/>
        </w:r>
        <w:r>
          <w:rPr>
            <w:noProof/>
            <w:webHidden/>
          </w:rPr>
          <w:fldChar w:fldCharType="begin"/>
        </w:r>
        <w:r>
          <w:rPr>
            <w:noProof/>
            <w:webHidden/>
          </w:rPr>
          <w:instrText xml:space="preserve"> PAGEREF _Toc478236514 \h </w:instrText>
        </w:r>
        <w:r>
          <w:rPr>
            <w:noProof/>
            <w:webHidden/>
          </w:rPr>
        </w:r>
        <w:r>
          <w:rPr>
            <w:noProof/>
            <w:webHidden/>
          </w:rPr>
          <w:fldChar w:fldCharType="separate"/>
        </w:r>
        <w:r>
          <w:rPr>
            <w:noProof/>
            <w:webHidden/>
          </w:rPr>
          <w:t>5</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15" w:history="1">
        <w:r w:rsidRPr="002321C7">
          <w:rPr>
            <w:rStyle w:val="a9"/>
            <w:noProof/>
          </w:rPr>
          <w:t xml:space="preserve">2.2 </w:t>
        </w:r>
        <w:r w:rsidRPr="002321C7">
          <w:rPr>
            <w:rStyle w:val="a9"/>
            <w:rFonts w:hint="eastAsia"/>
            <w:noProof/>
          </w:rPr>
          <w:t>基金产品说明</w:t>
        </w:r>
        <w:r>
          <w:rPr>
            <w:noProof/>
            <w:webHidden/>
          </w:rPr>
          <w:tab/>
        </w:r>
        <w:r>
          <w:rPr>
            <w:noProof/>
            <w:webHidden/>
          </w:rPr>
          <w:fldChar w:fldCharType="begin"/>
        </w:r>
        <w:r>
          <w:rPr>
            <w:noProof/>
            <w:webHidden/>
          </w:rPr>
          <w:instrText xml:space="preserve"> PAGEREF _Toc478236515 \h </w:instrText>
        </w:r>
        <w:r>
          <w:rPr>
            <w:noProof/>
            <w:webHidden/>
          </w:rPr>
        </w:r>
        <w:r>
          <w:rPr>
            <w:noProof/>
            <w:webHidden/>
          </w:rPr>
          <w:fldChar w:fldCharType="separate"/>
        </w:r>
        <w:r>
          <w:rPr>
            <w:noProof/>
            <w:webHidden/>
          </w:rPr>
          <w:t>5</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16" w:history="1">
        <w:r w:rsidRPr="002321C7">
          <w:rPr>
            <w:rStyle w:val="a9"/>
            <w:noProof/>
          </w:rPr>
          <w:t xml:space="preserve">2.3 </w:t>
        </w:r>
        <w:r w:rsidRPr="002321C7">
          <w:rPr>
            <w:rStyle w:val="a9"/>
            <w:rFonts w:hint="eastAsia"/>
            <w:noProof/>
          </w:rPr>
          <w:t>基金管理人和基金托管人</w:t>
        </w:r>
        <w:r>
          <w:rPr>
            <w:noProof/>
            <w:webHidden/>
          </w:rPr>
          <w:tab/>
        </w:r>
        <w:r>
          <w:rPr>
            <w:noProof/>
            <w:webHidden/>
          </w:rPr>
          <w:fldChar w:fldCharType="begin"/>
        </w:r>
        <w:r>
          <w:rPr>
            <w:noProof/>
            <w:webHidden/>
          </w:rPr>
          <w:instrText xml:space="preserve"> PAGEREF _Toc478236516 \h </w:instrText>
        </w:r>
        <w:r>
          <w:rPr>
            <w:noProof/>
            <w:webHidden/>
          </w:rPr>
        </w:r>
        <w:r>
          <w:rPr>
            <w:noProof/>
            <w:webHidden/>
          </w:rPr>
          <w:fldChar w:fldCharType="separate"/>
        </w:r>
        <w:r>
          <w:rPr>
            <w:noProof/>
            <w:webHidden/>
          </w:rPr>
          <w:t>6</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17" w:history="1">
        <w:r w:rsidRPr="002321C7">
          <w:rPr>
            <w:rStyle w:val="a9"/>
            <w:noProof/>
          </w:rPr>
          <w:t xml:space="preserve">2.4 </w:t>
        </w:r>
        <w:r w:rsidRPr="002321C7">
          <w:rPr>
            <w:rStyle w:val="a9"/>
            <w:rFonts w:hint="eastAsia"/>
            <w:noProof/>
          </w:rPr>
          <w:t>信息披露方式</w:t>
        </w:r>
        <w:r>
          <w:rPr>
            <w:noProof/>
            <w:webHidden/>
          </w:rPr>
          <w:tab/>
        </w:r>
        <w:r>
          <w:rPr>
            <w:noProof/>
            <w:webHidden/>
          </w:rPr>
          <w:fldChar w:fldCharType="begin"/>
        </w:r>
        <w:r>
          <w:rPr>
            <w:noProof/>
            <w:webHidden/>
          </w:rPr>
          <w:instrText xml:space="preserve"> PAGEREF _Toc478236517 \h </w:instrText>
        </w:r>
        <w:r>
          <w:rPr>
            <w:noProof/>
            <w:webHidden/>
          </w:rPr>
        </w:r>
        <w:r>
          <w:rPr>
            <w:noProof/>
            <w:webHidden/>
          </w:rPr>
          <w:fldChar w:fldCharType="separate"/>
        </w:r>
        <w:r>
          <w:rPr>
            <w:noProof/>
            <w:webHidden/>
          </w:rPr>
          <w:t>6</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18" w:history="1">
        <w:r w:rsidRPr="002321C7">
          <w:rPr>
            <w:rStyle w:val="a9"/>
            <w:noProof/>
          </w:rPr>
          <w:t xml:space="preserve">2.5 </w:t>
        </w:r>
        <w:r w:rsidRPr="002321C7">
          <w:rPr>
            <w:rStyle w:val="a9"/>
            <w:rFonts w:hint="eastAsia"/>
            <w:noProof/>
          </w:rPr>
          <w:t>其他相关资料</w:t>
        </w:r>
        <w:r>
          <w:rPr>
            <w:noProof/>
            <w:webHidden/>
          </w:rPr>
          <w:tab/>
        </w:r>
        <w:r>
          <w:rPr>
            <w:noProof/>
            <w:webHidden/>
          </w:rPr>
          <w:fldChar w:fldCharType="begin"/>
        </w:r>
        <w:r>
          <w:rPr>
            <w:noProof/>
            <w:webHidden/>
          </w:rPr>
          <w:instrText xml:space="preserve"> PAGEREF _Toc478236518 \h </w:instrText>
        </w:r>
        <w:r>
          <w:rPr>
            <w:noProof/>
            <w:webHidden/>
          </w:rPr>
        </w:r>
        <w:r>
          <w:rPr>
            <w:noProof/>
            <w:webHidden/>
          </w:rPr>
          <w:fldChar w:fldCharType="separate"/>
        </w:r>
        <w:r>
          <w:rPr>
            <w:noProof/>
            <w:webHidden/>
          </w:rPr>
          <w:t>6</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19" w:history="1">
        <w:r w:rsidRPr="002321C7">
          <w:rPr>
            <w:rStyle w:val="a9"/>
            <w:b/>
            <w:bCs/>
            <w:noProof/>
          </w:rPr>
          <w:t xml:space="preserve">§3  </w:t>
        </w:r>
        <w:r w:rsidRPr="002321C7">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_Toc478236519 \h </w:instrText>
        </w:r>
        <w:r>
          <w:rPr>
            <w:noProof/>
            <w:webHidden/>
          </w:rPr>
        </w:r>
        <w:r>
          <w:rPr>
            <w:noProof/>
            <w:webHidden/>
          </w:rPr>
          <w:fldChar w:fldCharType="separate"/>
        </w:r>
        <w:r>
          <w:rPr>
            <w:noProof/>
            <w:webHidden/>
          </w:rPr>
          <w:t>7</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20" w:history="1">
        <w:r w:rsidRPr="002321C7">
          <w:rPr>
            <w:rStyle w:val="a9"/>
            <w:noProof/>
          </w:rPr>
          <w:t xml:space="preserve">3.1 </w:t>
        </w:r>
        <w:r w:rsidRPr="002321C7">
          <w:rPr>
            <w:rStyle w:val="a9"/>
            <w:rFonts w:hint="eastAsia"/>
            <w:noProof/>
          </w:rPr>
          <w:t>主要会计数据和财务指标</w:t>
        </w:r>
        <w:r>
          <w:rPr>
            <w:noProof/>
            <w:webHidden/>
          </w:rPr>
          <w:tab/>
        </w:r>
        <w:r>
          <w:rPr>
            <w:noProof/>
            <w:webHidden/>
          </w:rPr>
          <w:fldChar w:fldCharType="begin"/>
        </w:r>
        <w:r>
          <w:rPr>
            <w:noProof/>
            <w:webHidden/>
          </w:rPr>
          <w:instrText xml:space="preserve"> PAGEREF _Toc478236520 \h </w:instrText>
        </w:r>
        <w:r>
          <w:rPr>
            <w:noProof/>
            <w:webHidden/>
          </w:rPr>
        </w:r>
        <w:r>
          <w:rPr>
            <w:noProof/>
            <w:webHidden/>
          </w:rPr>
          <w:fldChar w:fldCharType="separate"/>
        </w:r>
        <w:r>
          <w:rPr>
            <w:noProof/>
            <w:webHidden/>
          </w:rPr>
          <w:t>7</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1" w:history="1">
        <w:r w:rsidRPr="002321C7">
          <w:rPr>
            <w:rStyle w:val="a9"/>
            <w:noProof/>
          </w:rPr>
          <w:t xml:space="preserve">3.2 </w:t>
        </w:r>
        <w:r w:rsidRPr="002321C7">
          <w:rPr>
            <w:rStyle w:val="a9"/>
            <w:rFonts w:hint="eastAsia"/>
            <w:noProof/>
          </w:rPr>
          <w:t>基金净值表现</w:t>
        </w:r>
        <w:r>
          <w:rPr>
            <w:noProof/>
            <w:webHidden/>
          </w:rPr>
          <w:tab/>
        </w:r>
        <w:r>
          <w:rPr>
            <w:noProof/>
            <w:webHidden/>
          </w:rPr>
          <w:fldChar w:fldCharType="begin"/>
        </w:r>
        <w:r>
          <w:rPr>
            <w:noProof/>
            <w:webHidden/>
          </w:rPr>
          <w:instrText xml:space="preserve"> PAGEREF _Toc478236521 \h </w:instrText>
        </w:r>
        <w:r>
          <w:rPr>
            <w:noProof/>
            <w:webHidden/>
          </w:rPr>
        </w:r>
        <w:r>
          <w:rPr>
            <w:noProof/>
            <w:webHidden/>
          </w:rPr>
          <w:fldChar w:fldCharType="separate"/>
        </w:r>
        <w:r>
          <w:rPr>
            <w:noProof/>
            <w:webHidden/>
          </w:rPr>
          <w:t>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2" w:history="1">
        <w:r w:rsidRPr="002321C7">
          <w:rPr>
            <w:rStyle w:val="a9"/>
            <w:noProof/>
          </w:rPr>
          <w:t xml:space="preserve">3.3 </w:t>
        </w:r>
        <w:r w:rsidRPr="002321C7">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_Toc478236522 \h </w:instrText>
        </w:r>
        <w:r>
          <w:rPr>
            <w:noProof/>
            <w:webHidden/>
          </w:rPr>
        </w:r>
        <w:r>
          <w:rPr>
            <w:noProof/>
            <w:webHidden/>
          </w:rPr>
          <w:fldChar w:fldCharType="separate"/>
        </w:r>
        <w:r>
          <w:rPr>
            <w:noProof/>
            <w:webHidden/>
          </w:rPr>
          <w:t>11</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23" w:history="1">
        <w:r w:rsidRPr="002321C7">
          <w:rPr>
            <w:rStyle w:val="a9"/>
            <w:b/>
            <w:bCs/>
            <w:noProof/>
          </w:rPr>
          <w:t xml:space="preserve">§4  </w:t>
        </w:r>
        <w:r w:rsidRPr="002321C7">
          <w:rPr>
            <w:rStyle w:val="a9"/>
            <w:rFonts w:hint="eastAsia"/>
            <w:b/>
            <w:bCs/>
            <w:noProof/>
          </w:rPr>
          <w:t>管理人报告</w:t>
        </w:r>
        <w:r>
          <w:rPr>
            <w:noProof/>
            <w:webHidden/>
          </w:rPr>
          <w:tab/>
        </w:r>
        <w:r>
          <w:rPr>
            <w:noProof/>
            <w:webHidden/>
          </w:rPr>
          <w:fldChar w:fldCharType="begin"/>
        </w:r>
        <w:r>
          <w:rPr>
            <w:noProof/>
            <w:webHidden/>
          </w:rPr>
          <w:instrText xml:space="preserve"> PAGEREF _Toc478236523 \h </w:instrText>
        </w:r>
        <w:r>
          <w:rPr>
            <w:noProof/>
            <w:webHidden/>
          </w:rPr>
        </w:r>
        <w:r>
          <w:rPr>
            <w:noProof/>
            <w:webHidden/>
          </w:rPr>
          <w:fldChar w:fldCharType="separate"/>
        </w:r>
        <w:r>
          <w:rPr>
            <w:noProof/>
            <w:webHidden/>
          </w:rPr>
          <w:t>11</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24" w:history="1">
        <w:r w:rsidRPr="002321C7">
          <w:rPr>
            <w:rStyle w:val="a9"/>
            <w:noProof/>
          </w:rPr>
          <w:t xml:space="preserve">4.1 </w:t>
        </w:r>
        <w:r w:rsidRPr="002321C7">
          <w:rPr>
            <w:rStyle w:val="a9"/>
            <w:rFonts w:hint="eastAsia"/>
            <w:noProof/>
          </w:rPr>
          <w:t>基金管理人及基金经理情况</w:t>
        </w:r>
        <w:r>
          <w:rPr>
            <w:noProof/>
            <w:webHidden/>
          </w:rPr>
          <w:tab/>
        </w:r>
        <w:r>
          <w:rPr>
            <w:noProof/>
            <w:webHidden/>
          </w:rPr>
          <w:fldChar w:fldCharType="begin"/>
        </w:r>
        <w:r>
          <w:rPr>
            <w:noProof/>
            <w:webHidden/>
          </w:rPr>
          <w:instrText xml:space="preserve"> PAGEREF _Toc478236524 \h </w:instrText>
        </w:r>
        <w:r>
          <w:rPr>
            <w:noProof/>
            <w:webHidden/>
          </w:rPr>
        </w:r>
        <w:r>
          <w:rPr>
            <w:noProof/>
            <w:webHidden/>
          </w:rPr>
          <w:fldChar w:fldCharType="separate"/>
        </w:r>
        <w:r>
          <w:rPr>
            <w:noProof/>
            <w:webHidden/>
          </w:rPr>
          <w:t>11</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5" w:history="1">
        <w:r w:rsidRPr="002321C7">
          <w:rPr>
            <w:rStyle w:val="a9"/>
            <w:noProof/>
          </w:rPr>
          <w:t xml:space="preserve">4.2 </w:t>
        </w:r>
        <w:r w:rsidRPr="002321C7">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_Toc478236525 \h </w:instrText>
        </w:r>
        <w:r>
          <w:rPr>
            <w:noProof/>
            <w:webHidden/>
          </w:rPr>
        </w:r>
        <w:r>
          <w:rPr>
            <w:noProof/>
            <w:webHidden/>
          </w:rPr>
          <w:fldChar w:fldCharType="separate"/>
        </w:r>
        <w:r>
          <w:rPr>
            <w:noProof/>
            <w:webHidden/>
          </w:rPr>
          <w:t>13</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6" w:history="1">
        <w:r w:rsidRPr="002321C7">
          <w:rPr>
            <w:rStyle w:val="a9"/>
            <w:noProof/>
          </w:rPr>
          <w:t xml:space="preserve">4.3 </w:t>
        </w:r>
        <w:r w:rsidRPr="002321C7">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_Toc478236526 \h </w:instrText>
        </w:r>
        <w:r>
          <w:rPr>
            <w:noProof/>
            <w:webHidden/>
          </w:rPr>
        </w:r>
        <w:r>
          <w:rPr>
            <w:noProof/>
            <w:webHidden/>
          </w:rPr>
          <w:fldChar w:fldCharType="separate"/>
        </w:r>
        <w:r>
          <w:rPr>
            <w:noProof/>
            <w:webHidden/>
          </w:rPr>
          <w:t>13</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7" w:history="1">
        <w:r w:rsidRPr="002321C7">
          <w:rPr>
            <w:rStyle w:val="a9"/>
            <w:noProof/>
          </w:rPr>
          <w:t xml:space="preserve">4.4 </w:t>
        </w:r>
        <w:r w:rsidRPr="002321C7">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_Toc478236527 \h </w:instrText>
        </w:r>
        <w:r>
          <w:rPr>
            <w:noProof/>
            <w:webHidden/>
          </w:rPr>
        </w:r>
        <w:r>
          <w:rPr>
            <w:noProof/>
            <w:webHidden/>
          </w:rPr>
          <w:fldChar w:fldCharType="separate"/>
        </w:r>
        <w:r>
          <w:rPr>
            <w:noProof/>
            <w:webHidden/>
          </w:rPr>
          <w:t>14</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8" w:history="1">
        <w:r w:rsidRPr="002321C7">
          <w:rPr>
            <w:rStyle w:val="a9"/>
            <w:noProof/>
          </w:rPr>
          <w:t xml:space="preserve">4.5 </w:t>
        </w:r>
        <w:r w:rsidRPr="002321C7">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_Toc478236528 \h </w:instrText>
        </w:r>
        <w:r>
          <w:rPr>
            <w:noProof/>
            <w:webHidden/>
          </w:rPr>
        </w:r>
        <w:r>
          <w:rPr>
            <w:noProof/>
            <w:webHidden/>
          </w:rPr>
          <w:fldChar w:fldCharType="separate"/>
        </w:r>
        <w:r>
          <w:rPr>
            <w:noProof/>
            <w:webHidden/>
          </w:rPr>
          <w:t>15</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29" w:history="1">
        <w:r w:rsidRPr="002321C7">
          <w:rPr>
            <w:rStyle w:val="a9"/>
            <w:noProof/>
          </w:rPr>
          <w:t xml:space="preserve">4.6 </w:t>
        </w:r>
        <w:r w:rsidRPr="002321C7">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_Toc478236529 \h </w:instrText>
        </w:r>
        <w:r>
          <w:rPr>
            <w:noProof/>
            <w:webHidden/>
          </w:rPr>
        </w:r>
        <w:r>
          <w:rPr>
            <w:noProof/>
            <w:webHidden/>
          </w:rPr>
          <w:fldChar w:fldCharType="separate"/>
        </w:r>
        <w:r>
          <w:rPr>
            <w:noProof/>
            <w:webHidden/>
          </w:rPr>
          <w:t>16</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30" w:history="1">
        <w:r w:rsidRPr="002321C7">
          <w:rPr>
            <w:rStyle w:val="a9"/>
            <w:noProof/>
          </w:rPr>
          <w:t xml:space="preserve">4.7 </w:t>
        </w:r>
        <w:r w:rsidRPr="002321C7">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_Toc478236530 \h </w:instrText>
        </w:r>
        <w:r>
          <w:rPr>
            <w:noProof/>
            <w:webHidden/>
          </w:rPr>
        </w:r>
        <w:r>
          <w:rPr>
            <w:noProof/>
            <w:webHidden/>
          </w:rPr>
          <w:fldChar w:fldCharType="separate"/>
        </w:r>
        <w:r>
          <w:rPr>
            <w:noProof/>
            <w:webHidden/>
          </w:rPr>
          <w:t>16</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31" w:history="1">
        <w:r w:rsidRPr="002321C7">
          <w:rPr>
            <w:rStyle w:val="a9"/>
            <w:noProof/>
          </w:rPr>
          <w:t xml:space="preserve">4.8 </w:t>
        </w:r>
        <w:r w:rsidRPr="002321C7">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_Toc478236531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32" w:history="1">
        <w:r w:rsidRPr="002321C7">
          <w:rPr>
            <w:rStyle w:val="a9"/>
            <w:noProof/>
          </w:rPr>
          <w:t xml:space="preserve">4.9 </w:t>
        </w:r>
        <w:r w:rsidRPr="002321C7">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_Toc478236532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33" w:history="1">
        <w:r w:rsidRPr="002321C7">
          <w:rPr>
            <w:rStyle w:val="a9"/>
            <w:b/>
            <w:bCs/>
            <w:noProof/>
          </w:rPr>
          <w:t xml:space="preserve">§5  </w:t>
        </w:r>
        <w:r w:rsidRPr="002321C7">
          <w:rPr>
            <w:rStyle w:val="a9"/>
            <w:rFonts w:hint="eastAsia"/>
            <w:b/>
            <w:bCs/>
            <w:noProof/>
          </w:rPr>
          <w:t>托管人报告</w:t>
        </w:r>
        <w:r>
          <w:rPr>
            <w:noProof/>
            <w:webHidden/>
          </w:rPr>
          <w:tab/>
        </w:r>
        <w:r>
          <w:rPr>
            <w:noProof/>
            <w:webHidden/>
          </w:rPr>
          <w:fldChar w:fldCharType="begin"/>
        </w:r>
        <w:r>
          <w:rPr>
            <w:noProof/>
            <w:webHidden/>
          </w:rPr>
          <w:instrText xml:space="preserve"> PAGEREF _Toc478236533 \h </w:instrText>
        </w:r>
        <w:r>
          <w:rPr>
            <w:noProof/>
            <w:webHidden/>
          </w:rPr>
        </w:r>
        <w:r>
          <w:rPr>
            <w:noProof/>
            <w:webHidden/>
          </w:rPr>
          <w:fldChar w:fldCharType="separate"/>
        </w:r>
        <w:r>
          <w:rPr>
            <w:noProof/>
            <w:webHidden/>
          </w:rPr>
          <w:t>17</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34" w:history="1">
        <w:r w:rsidRPr="002321C7">
          <w:rPr>
            <w:rStyle w:val="a9"/>
            <w:noProof/>
          </w:rPr>
          <w:t xml:space="preserve">5.1 </w:t>
        </w:r>
        <w:r w:rsidRPr="002321C7">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_Toc478236534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35" w:history="1">
        <w:r w:rsidRPr="002321C7">
          <w:rPr>
            <w:rStyle w:val="a9"/>
            <w:noProof/>
          </w:rPr>
          <w:t xml:space="preserve">5.2 </w:t>
        </w:r>
        <w:r w:rsidRPr="002321C7">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_Toc478236535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36" w:history="1">
        <w:r w:rsidRPr="002321C7">
          <w:rPr>
            <w:rStyle w:val="a9"/>
            <w:noProof/>
          </w:rPr>
          <w:t xml:space="preserve">5.3 </w:t>
        </w:r>
        <w:r w:rsidRPr="002321C7">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_Toc478236536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37" w:history="1">
        <w:r w:rsidRPr="002321C7">
          <w:rPr>
            <w:rStyle w:val="a9"/>
            <w:b/>
            <w:bCs/>
            <w:noProof/>
          </w:rPr>
          <w:t xml:space="preserve">§6  </w:t>
        </w:r>
        <w:r w:rsidRPr="002321C7">
          <w:rPr>
            <w:rStyle w:val="a9"/>
            <w:rFonts w:hint="eastAsia"/>
            <w:b/>
            <w:bCs/>
            <w:noProof/>
          </w:rPr>
          <w:t>审计报告</w:t>
        </w:r>
        <w:r>
          <w:rPr>
            <w:noProof/>
            <w:webHidden/>
          </w:rPr>
          <w:tab/>
        </w:r>
        <w:r>
          <w:rPr>
            <w:noProof/>
            <w:webHidden/>
          </w:rPr>
          <w:fldChar w:fldCharType="begin"/>
        </w:r>
        <w:r>
          <w:rPr>
            <w:noProof/>
            <w:webHidden/>
          </w:rPr>
          <w:instrText xml:space="preserve"> PAGEREF _Toc478236537 \h </w:instrText>
        </w:r>
        <w:r>
          <w:rPr>
            <w:noProof/>
            <w:webHidden/>
          </w:rPr>
        </w:r>
        <w:r>
          <w:rPr>
            <w:noProof/>
            <w:webHidden/>
          </w:rPr>
          <w:fldChar w:fldCharType="separate"/>
        </w:r>
        <w:r>
          <w:rPr>
            <w:noProof/>
            <w:webHidden/>
          </w:rPr>
          <w:t>17</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38" w:history="1">
        <w:r w:rsidRPr="002321C7">
          <w:rPr>
            <w:rStyle w:val="a9"/>
            <w:b/>
            <w:bCs/>
            <w:noProof/>
          </w:rPr>
          <w:t xml:space="preserve">§7  </w:t>
        </w:r>
        <w:r w:rsidRPr="002321C7">
          <w:rPr>
            <w:rStyle w:val="a9"/>
            <w:rFonts w:hint="eastAsia"/>
            <w:b/>
            <w:bCs/>
            <w:noProof/>
          </w:rPr>
          <w:t>年度财务报表</w:t>
        </w:r>
        <w:r>
          <w:rPr>
            <w:noProof/>
            <w:webHidden/>
          </w:rPr>
          <w:tab/>
        </w:r>
        <w:r>
          <w:rPr>
            <w:noProof/>
            <w:webHidden/>
          </w:rPr>
          <w:fldChar w:fldCharType="begin"/>
        </w:r>
        <w:r>
          <w:rPr>
            <w:noProof/>
            <w:webHidden/>
          </w:rPr>
          <w:instrText xml:space="preserve"> PAGEREF _Toc478236538 \h </w:instrText>
        </w:r>
        <w:r>
          <w:rPr>
            <w:noProof/>
            <w:webHidden/>
          </w:rPr>
        </w:r>
        <w:r>
          <w:rPr>
            <w:noProof/>
            <w:webHidden/>
          </w:rPr>
          <w:fldChar w:fldCharType="separate"/>
        </w:r>
        <w:r>
          <w:rPr>
            <w:noProof/>
            <w:webHidden/>
          </w:rPr>
          <w:t>19</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39" w:history="1">
        <w:r w:rsidRPr="002321C7">
          <w:rPr>
            <w:rStyle w:val="a9"/>
            <w:noProof/>
          </w:rPr>
          <w:t xml:space="preserve">7.1 </w:t>
        </w:r>
        <w:r w:rsidRPr="002321C7">
          <w:rPr>
            <w:rStyle w:val="a9"/>
            <w:rFonts w:hint="eastAsia"/>
            <w:noProof/>
          </w:rPr>
          <w:t>资产负债表</w:t>
        </w:r>
        <w:r>
          <w:rPr>
            <w:noProof/>
            <w:webHidden/>
          </w:rPr>
          <w:tab/>
        </w:r>
        <w:r>
          <w:rPr>
            <w:noProof/>
            <w:webHidden/>
          </w:rPr>
          <w:fldChar w:fldCharType="begin"/>
        </w:r>
        <w:r>
          <w:rPr>
            <w:noProof/>
            <w:webHidden/>
          </w:rPr>
          <w:instrText xml:space="preserve"> PAGEREF _Toc478236539 \h </w:instrText>
        </w:r>
        <w:r>
          <w:rPr>
            <w:noProof/>
            <w:webHidden/>
          </w:rPr>
        </w:r>
        <w:r>
          <w:rPr>
            <w:noProof/>
            <w:webHidden/>
          </w:rPr>
          <w:fldChar w:fldCharType="separate"/>
        </w:r>
        <w:r>
          <w:rPr>
            <w:noProof/>
            <w:webHidden/>
          </w:rPr>
          <w:t>19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0" w:history="1">
        <w:r w:rsidRPr="002321C7">
          <w:rPr>
            <w:rStyle w:val="a9"/>
            <w:noProof/>
          </w:rPr>
          <w:t xml:space="preserve">7.2 </w:t>
        </w:r>
        <w:r w:rsidRPr="002321C7">
          <w:rPr>
            <w:rStyle w:val="a9"/>
            <w:rFonts w:hint="eastAsia"/>
            <w:noProof/>
          </w:rPr>
          <w:t>利润表</w:t>
        </w:r>
        <w:r>
          <w:rPr>
            <w:noProof/>
            <w:webHidden/>
          </w:rPr>
          <w:tab/>
        </w:r>
        <w:r>
          <w:rPr>
            <w:noProof/>
            <w:webHidden/>
          </w:rPr>
          <w:fldChar w:fldCharType="begin"/>
        </w:r>
        <w:r>
          <w:rPr>
            <w:noProof/>
            <w:webHidden/>
          </w:rPr>
          <w:instrText xml:space="preserve"> PAGEREF _Toc478236540 \h </w:instrText>
        </w:r>
        <w:r>
          <w:rPr>
            <w:noProof/>
            <w:webHidden/>
          </w:rPr>
        </w:r>
        <w:r>
          <w:rPr>
            <w:noProof/>
            <w:webHidden/>
          </w:rPr>
          <w:fldChar w:fldCharType="separate"/>
        </w:r>
        <w:r>
          <w:rPr>
            <w:noProof/>
            <w:webHidden/>
          </w:rPr>
          <w:t>20</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1" w:history="1">
        <w:r w:rsidRPr="002321C7">
          <w:rPr>
            <w:rStyle w:val="a9"/>
            <w:noProof/>
          </w:rPr>
          <w:t xml:space="preserve">7.3 </w:t>
        </w:r>
        <w:r w:rsidRPr="002321C7">
          <w:rPr>
            <w:rStyle w:val="a9"/>
            <w:rFonts w:hint="eastAsia"/>
            <w:noProof/>
          </w:rPr>
          <w:t>所有者权益（基金净值）变动表</w:t>
        </w:r>
        <w:r>
          <w:rPr>
            <w:noProof/>
            <w:webHidden/>
          </w:rPr>
          <w:tab/>
        </w:r>
        <w:r>
          <w:rPr>
            <w:noProof/>
            <w:webHidden/>
          </w:rPr>
          <w:fldChar w:fldCharType="begin"/>
        </w:r>
        <w:r>
          <w:rPr>
            <w:noProof/>
            <w:webHidden/>
          </w:rPr>
          <w:instrText xml:space="preserve"> PAGEREF _Toc478236541 \h </w:instrText>
        </w:r>
        <w:r>
          <w:rPr>
            <w:noProof/>
            <w:webHidden/>
          </w:rPr>
        </w:r>
        <w:r>
          <w:rPr>
            <w:noProof/>
            <w:webHidden/>
          </w:rPr>
          <w:fldChar w:fldCharType="separate"/>
        </w:r>
        <w:r>
          <w:rPr>
            <w:noProof/>
            <w:webHidden/>
          </w:rPr>
          <w:t>21</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2" w:history="1">
        <w:r w:rsidRPr="002321C7">
          <w:rPr>
            <w:rStyle w:val="a9"/>
            <w:noProof/>
          </w:rPr>
          <w:t xml:space="preserve">7.4 </w:t>
        </w:r>
        <w:r w:rsidRPr="002321C7">
          <w:rPr>
            <w:rStyle w:val="a9"/>
            <w:rFonts w:hint="eastAsia"/>
            <w:noProof/>
          </w:rPr>
          <w:t>报表附注</w:t>
        </w:r>
        <w:r>
          <w:rPr>
            <w:noProof/>
            <w:webHidden/>
          </w:rPr>
          <w:tab/>
        </w:r>
        <w:r>
          <w:rPr>
            <w:noProof/>
            <w:webHidden/>
          </w:rPr>
          <w:fldChar w:fldCharType="begin"/>
        </w:r>
        <w:r>
          <w:rPr>
            <w:noProof/>
            <w:webHidden/>
          </w:rPr>
          <w:instrText xml:space="preserve"> PAGEREF _Toc478236542 \h </w:instrText>
        </w:r>
        <w:r>
          <w:rPr>
            <w:noProof/>
            <w:webHidden/>
          </w:rPr>
        </w:r>
        <w:r>
          <w:rPr>
            <w:noProof/>
            <w:webHidden/>
          </w:rPr>
          <w:fldChar w:fldCharType="separate"/>
        </w:r>
        <w:r>
          <w:rPr>
            <w:noProof/>
            <w:webHidden/>
          </w:rPr>
          <w:t>23</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43" w:history="1">
        <w:r w:rsidRPr="002321C7">
          <w:rPr>
            <w:rStyle w:val="a9"/>
            <w:b/>
            <w:bCs/>
            <w:noProof/>
          </w:rPr>
          <w:t xml:space="preserve">§8  </w:t>
        </w:r>
        <w:r w:rsidRPr="002321C7">
          <w:rPr>
            <w:rStyle w:val="a9"/>
            <w:rFonts w:hint="eastAsia"/>
            <w:b/>
            <w:bCs/>
            <w:noProof/>
          </w:rPr>
          <w:t>投资组合报告</w:t>
        </w:r>
        <w:r>
          <w:rPr>
            <w:noProof/>
            <w:webHidden/>
          </w:rPr>
          <w:tab/>
        </w:r>
        <w:r>
          <w:rPr>
            <w:noProof/>
            <w:webHidden/>
          </w:rPr>
          <w:fldChar w:fldCharType="begin"/>
        </w:r>
        <w:r>
          <w:rPr>
            <w:noProof/>
            <w:webHidden/>
          </w:rPr>
          <w:instrText xml:space="preserve"> PAGEREF _Toc478236543 \h </w:instrText>
        </w:r>
        <w:r>
          <w:rPr>
            <w:noProof/>
            <w:webHidden/>
          </w:rPr>
        </w:r>
        <w:r>
          <w:rPr>
            <w:noProof/>
            <w:webHidden/>
          </w:rPr>
          <w:fldChar w:fldCharType="separate"/>
        </w:r>
        <w:r>
          <w:rPr>
            <w:noProof/>
            <w:webHidden/>
          </w:rPr>
          <w:t>47</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44" w:history="1">
        <w:r w:rsidRPr="002321C7">
          <w:rPr>
            <w:rStyle w:val="a9"/>
            <w:noProof/>
          </w:rPr>
          <w:t xml:space="preserve">8.1 </w:t>
        </w:r>
        <w:r w:rsidRPr="002321C7">
          <w:rPr>
            <w:rStyle w:val="a9"/>
            <w:rFonts w:hint="eastAsia"/>
            <w:noProof/>
          </w:rPr>
          <w:t>期末基金资产组合情况</w:t>
        </w:r>
        <w:r>
          <w:rPr>
            <w:noProof/>
            <w:webHidden/>
          </w:rPr>
          <w:tab/>
        </w:r>
        <w:r>
          <w:rPr>
            <w:noProof/>
            <w:webHidden/>
          </w:rPr>
          <w:fldChar w:fldCharType="begin"/>
        </w:r>
        <w:r>
          <w:rPr>
            <w:noProof/>
            <w:webHidden/>
          </w:rPr>
          <w:instrText xml:space="preserve"> PAGEREF _Toc478236544 \h </w:instrText>
        </w:r>
        <w:r>
          <w:rPr>
            <w:noProof/>
            <w:webHidden/>
          </w:rPr>
        </w:r>
        <w:r>
          <w:rPr>
            <w:noProof/>
            <w:webHidden/>
          </w:rPr>
          <w:fldChar w:fldCharType="separate"/>
        </w:r>
        <w:r>
          <w:rPr>
            <w:noProof/>
            <w:webHidden/>
          </w:rPr>
          <w:t>47</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5" w:history="1">
        <w:r w:rsidRPr="002321C7">
          <w:rPr>
            <w:rStyle w:val="a9"/>
            <w:noProof/>
          </w:rPr>
          <w:t xml:space="preserve">8.2 </w:t>
        </w:r>
        <w:r w:rsidRPr="002321C7">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_Toc478236545 \h </w:instrText>
        </w:r>
        <w:r>
          <w:rPr>
            <w:noProof/>
            <w:webHidden/>
          </w:rPr>
        </w:r>
        <w:r>
          <w:rPr>
            <w:noProof/>
            <w:webHidden/>
          </w:rPr>
          <w:fldChar w:fldCharType="separate"/>
        </w:r>
        <w:r>
          <w:rPr>
            <w:noProof/>
            <w:webHidden/>
          </w:rPr>
          <w:t>48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6" w:history="1">
        <w:r w:rsidRPr="002321C7">
          <w:rPr>
            <w:rStyle w:val="a9"/>
            <w:noProof/>
          </w:rPr>
          <w:t xml:space="preserve">8.3 </w:t>
        </w:r>
        <w:r w:rsidRPr="002321C7">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_Toc478236546 \h </w:instrText>
        </w:r>
        <w:r>
          <w:rPr>
            <w:noProof/>
            <w:webHidden/>
          </w:rPr>
        </w:r>
        <w:r>
          <w:rPr>
            <w:noProof/>
            <w:webHidden/>
          </w:rPr>
          <w:fldChar w:fldCharType="separate"/>
        </w:r>
        <w:r>
          <w:rPr>
            <w:noProof/>
            <w:webHidden/>
          </w:rPr>
          <w:t>48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7" w:history="1">
        <w:r w:rsidRPr="002321C7">
          <w:rPr>
            <w:rStyle w:val="a9"/>
            <w:noProof/>
          </w:rPr>
          <w:t xml:space="preserve">8.4 </w:t>
        </w:r>
        <w:r w:rsidRPr="002321C7">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_Toc478236547 \h </w:instrText>
        </w:r>
        <w:r>
          <w:rPr>
            <w:noProof/>
            <w:webHidden/>
          </w:rPr>
        </w:r>
        <w:r>
          <w:rPr>
            <w:noProof/>
            <w:webHidden/>
          </w:rPr>
          <w:fldChar w:fldCharType="separate"/>
        </w:r>
        <w:r>
          <w:rPr>
            <w:noProof/>
            <w:webHidden/>
          </w:rPr>
          <w:t>48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8" w:history="1">
        <w:r w:rsidRPr="002321C7">
          <w:rPr>
            <w:rStyle w:val="a9"/>
            <w:noProof/>
          </w:rPr>
          <w:t xml:space="preserve">8.5 </w:t>
        </w:r>
        <w:r w:rsidRPr="002321C7">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_Toc478236548 \h </w:instrText>
        </w:r>
        <w:r>
          <w:rPr>
            <w:noProof/>
            <w:webHidden/>
          </w:rPr>
        </w:r>
        <w:r>
          <w:rPr>
            <w:noProof/>
            <w:webHidden/>
          </w:rPr>
          <w:fldChar w:fldCharType="separate"/>
        </w:r>
        <w:r>
          <w:rPr>
            <w:noProof/>
            <w:webHidden/>
          </w:rPr>
          <w:t>48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49" w:history="1">
        <w:r w:rsidRPr="002321C7">
          <w:rPr>
            <w:rStyle w:val="a9"/>
            <w:noProof/>
          </w:rPr>
          <w:t xml:space="preserve">8.6 </w:t>
        </w:r>
        <w:r w:rsidRPr="002321C7">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_Toc478236549 \h </w:instrText>
        </w:r>
        <w:r>
          <w:rPr>
            <w:noProof/>
            <w:webHidden/>
          </w:rPr>
        </w:r>
        <w:r>
          <w:rPr>
            <w:noProof/>
            <w:webHidden/>
          </w:rPr>
          <w:fldChar w:fldCharType="separate"/>
        </w:r>
        <w:r>
          <w:rPr>
            <w:noProof/>
            <w:webHidden/>
          </w:rPr>
          <w:t>48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0" w:history="1">
        <w:r w:rsidRPr="002321C7">
          <w:rPr>
            <w:rStyle w:val="a9"/>
            <w:noProof/>
          </w:rPr>
          <w:t xml:space="preserve">8.7 </w:t>
        </w:r>
        <w:r w:rsidRPr="002321C7">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_Toc478236550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1" w:history="1">
        <w:r w:rsidRPr="002321C7">
          <w:rPr>
            <w:rStyle w:val="a9"/>
            <w:noProof/>
          </w:rPr>
          <w:t xml:space="preserve">8.8 </w:t>
        </w:r>
        <w:r w:rsidRPr="002321C7">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_Toc478236551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2" w:history="1">
        <w:r w:rsidRPr="002321C7">
          <w:rPr>
            <w:rStyle w:val="a9"/>
            <w:noProof/>
          </w:rPr>
          <w:t xml:space="preserve">8.9 </w:t>
        </w:r>
        <w:r w:rsidRPr="002321C7">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_Toc478236552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3" w:history="1">
        <w:r w:rsidRPr="002321C7">
          <w:rPr>
            <w:rStyle w:val="a9"/>
            <w:noProof/>
          </w:rPr>
          <w:t xml:space="preserve">8.10 </w:t>
        </w:r>
        <w:r w:rsidRPr="002321C7">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_Toc478236553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4" w:history="1">
        <w:r w:rsidRPr="002321C7">
          <w:rPr>
            <w:rStyle w:val="a9"/>
            <w:noProof/>
          </w:rPr>
          <w:t>8.11</w:t>
        </w:r>
        <w:r w:rsidR="004211FD">
          <w:rPr>
            <w:rStyle w:val="a9"/>
            <w:noProof/>
          </w:rPr>
          <w:t xml:space="preserve"> </w:t>
        </w:r>
        <w:r w:rsidRPr="002321C7">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_Toc478236554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5" w:history="1">
        <w:r w:rsidRPr="002321C7">
          <w:rPr>
            <w:rStyle w:val="a9"/>
            <w:noProof/>
          </w:rPr>
          <w:t xml:space="preserve">8.12 </w:t>
        </w:r>
        <w:r w:rsidRPr="002321C7">
          <w:rPr>
            <w:rStyle w:val="a9"/>
            <w:rFonts w:hint="eastAsia"/>
            <w:noProof/>
          </w:rPr>
          <w:t>投资组合报告附注</w:t>
        </w:r>
        <w:r>
          <w:rPr>
            <w:noProof/>
            <w:webHidden/>
          </w:rPr>
          <w:tab/>
        </w:r>
        <w:r>
          <w:rPr>
            <w:noProof/>
            <w:webHidden/>
          </w:rPr>
          <w:fldChar w:fldCharType="begin"/>
        </w:r>
        <w:r>
          <w:rPr>
            <w:noProof/>
            <w:webHidden/>
          </w:rPr>
          <w:instrText xml:space="preserve"> PAGEREF _Toc478236555 \h </w:instrText>
        </w:r>
        <w:r>
          <w:rPr>
            <w:noProof/>
            <w:webHidden/>
          </w:rPr>
        </w:r>
        <w:r>
          <w:rPr>
            <w:noProof/>
            <w:webHidden/>
          </w:rPr>
          <w:fldChar w:fldCharType="separate"/>
        </w:r>
        <w:r>
          <w:rPr>
            <w:noProof/>
            <w:webHidden/>
          </w:rPr>
          <w:t>49</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56" w:history="1">
        <w:r w:rsidRPr="002321C7">
          <w:rPr>
            <w:rStyle w:val="a9"/>
            <w:b/>
            <w:bCs/>
            <w:noProof/>
          </w:rPr>
          <w:t xml:space="preserve">§9  </w:t>
        </w:r>
        <w:r w:rsidRPr="002321C7">
          <w:rPr>
            <w:rStyle w:val="a9"/>
            <w:rFonts w:hint="eastAsia"/>
            <w:b/>
            <w:bCs/>
            <w:noProof/>
          </w:rPr>
          <w:t>基金份额持有人信息</w:t>
        </w:r>
        <w:r>
          <w:rPr>
            <w:noProof/>
            <w:webHidden/>
          </w:rPr>
          <w:tab/>
        </w:r>
        <w:r>
          <w:rPr>
            <w:noProof/>
            <w:webHidden/>
          </w:rPr>
          <w:fldChar w:fldCharType="begin"/>
        </w:r>
        <w:r>
          <w:rPr>
            <w:noProof/>
            <w:webHidden/>
          </w:rPr>
          <w:instrText xml:space="preserve"> PAGEREF _Toc478236556 \h </w:instrText>
        </w:r>
        <w:r>
          <w:rPr>
            <w:noProof/>
            <w:webHidden/>
          </w:rPr>
        </w:r>
        <w:r>
          <w:rPr>
            <w:noProof/>
            <w:webHidden/>
          </w:rPr>
          <w:fldChar w:fldCharType="separate"/>
        </w:r>
        <w:r>
          <w:rPr>
            <w:noProof/>
            <w:webHidden/>
          </w:rPr>
          <w:t>50</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57" w:history="1">
        <w:r w:rsidRPr="002321C7">
          <w:rPr>
            <w:rStyle w:val="a9"/>
            <w:noProof/>
          </w:rPr>
          <w:t xml:space="preserve">9.1 </w:t>
        </w:r>
        <w:r w:rsidRPr="002321C7">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_Toc478236557 \h </w:instrText>
        </w:r>
        <w:r>
          <w:rPr>
            <w:noProof/>
            <w:webHidden/>
          </w:rPr>
        </w:r>
        <w:r>
          <w:rPr>
            <w:noProof/>
            <w:webHidden/>
          </w:rPr>
          <w:fldChar w:fldCharType="separate"/>
        </w:r>
        <w:r>
          <w:rPr>
            <w:noProof/>
            <w:webHidden/>
          </w:rPr>
          <w:t>50</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8" w:history="1">
        <w:r w:rsidRPr="002321C7">
          <w:rPr>
            <w:rStyle w:val="a9"/>
            <w:noProof/>
          </w:rPr>
          <w:t xml:space="preserve">9.2 </w:t>
        </w:r>
        <w:r w:rsidRPr="002321C7">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_Toc478236558 \h </w:instrText>
        </w:r>
        <w:r>
          <w:rPr>
            <w:noProof/>
            <w:webHidden/>
          </w:rPr>
        </w:r>
        <w:r>
          <w:rPr>
            <w:noProof/>
            <w:webHidden/>
          </w:rPr>
          <w:fldChar w:fldCharType="separate"/>
        </w:r>
        <w:r>
          <w:rPr>
            <w:noProof/>
            <w:webHidden/>
          </w:rPr>
          <w:t>51</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59" w:history="1">
        <w:r w:rsidRPr="002321C7">
          <w:rPr>
            <w:rStyle w:val="a9"/>
            <w:noProof/>
          </w:rPr>
          <w:t>9.3</w:t>
        </w:r>
        <w:r>
          <w:rPr>
            <w:rStyle w:val="a9"/>
            <w:rFonts w:hint="eastAsia"/>
            <w:noProof/>
          </w:rPr>
          <w:t xml:space="preserve"> </w:t>
        </w:r>
        <w:r w:rsidRPr="002321C7">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_Toc478236559 \h </w:instrText>
        </w:r>
        <w:r>
          <w:rPr>
            <w:noProof/>
            <w:webHidden/>
          </w:rPr>
        </w:r>
        <w:r>
          <w:rPr>
            <w:noProof/>
            <w:webHidden/>
          </w:rPr>
          <w:fldChar w:fldCharType="separate"/>
        </w:r>
        <w:r>
          <w:rPr>
            <w:noProof/>
            <w:webHidden/>
          </w:rPr>
          <w:t>51</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60" w:history="1">
        <w:r w:rsidRPr="002321C7">
          <w:rPr>
            <w:rStyle w:val="a9"/>
            <w:b/>
            <w:bCs/>
            <w:noProof/>
          </w:rPr>
          <w:t xml:space="preserve">§10  </w:t>
        </w:r>
        <w:r w:rsidRPr="002321C7">
          <w:rPr>
            <w:rStyle w:val="a9"/>
            <w:rFonts w:hint="eastAsia"/>
            <w:b/>
            <w:bCs/>
            <w:noProof/>
          </w:rPr>
          <w:t>开放式基金份额变动</w:t>
        </w:r>
        <w:r>
          <w:rPr>
            <w:noProof/>
            <w:webHidden/>
          </w:rPr>
          <w:tab/>
        </w:r>
        <w:r>
          <w:rPr>
            <w:noProof/>
            <w:webHidden/>
          </w:rPr>
          <w:fldChar w:fldCharType="begin"/>
        </w:r>
        <w:r>
          <w:rPr>
            <w:noProof/>
            <w:webHidden/>
          </w:rPr>
          <w:instrText xml:space="preserve"> PAGEREF _Toc478236560 \h </w:instrText>
        </w:r>
        <w:r>
          <w:rPr>
            <w:noProof/>
            <w:webHidden/>
          </w:rPr>
        </w:r>
        <w:r>
          <w:rPr>
            <w:noProof/>
            <w:webHidden/>
          </w:rPr>
          <w:fldChar w:fldCharType="separate"/>
        </w:r>
        <w:r>
          <w:rPr>
            <w:noProof/>
            <w:webHidden/>
          </w:rPr>
          <w:t>51</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61" w:history="1">
        <w:r w:rsidRPr="002321C7">
          <w:rPr>
            <w:rStyle w:val="a9"/>
            <w:b/>
            <w:bCs/>
            <w:noProof/>
          </w:rPr>
          <w:t xml:space="preserve">§11  </w:t>
        </w:r>
        <w:r w:rsidRPr="002321C7">
          <w:rPr>
            <w:rStyle w:val="a9"/>
            <w:rFonts w:hint="eastAsia"/>
            <w:b/>
            <w:bCs/>
            <w:noProof/>
          </w:rPr>
          <w:t>重大事件揭示</w:t>
        </w:r>
        <w:r>
          <w:rPr>
            <w:noProof/>
            <w:webHidden/>
          </w:rPr>
          <w:tab/>
        </w:r>
        <w:r>
          <w:rPr>
            <w:noProof/>
            <w:webHidden/>
          </w:rPr>
          <w:fldChar w:fldCharType="begin"/>
        </w:r>
        <w:r>
          <w:rPr>
            <w:noProof/>
            <w:webHidden/>
          </w:rPr>
          <w:instrText xml:space="preserve"> PAGEREF _Toc478236561 \h </w:instrText>
        </w:r>
        <w:r>
          <w:rPr>
            <w:noProof/>
            <w:webHidden/>
          </w:rPr>
        </w:r>
        <w:r>
          <w:rPr>
            <w:noProof/>
            <w:webHidden/>
          </w:rPr>
          <w:fldChar w:fldCharType="separate"/>
        </w:r>
        <w:r>
          <w:rPr>
            <w:noProof/>
            <w:webHidden/>
          </w:rPr>
          <w:t>52</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62" w:history="1">
        <w:r w:rsidRPr="002321C7">
          <w:rPr>
            <w:rStyle w:val="a9"/>
            <w:noProof/>
          </w:rPr>
          <w:t>11.1</w:t>
        </w:r>
        <w:r>
          <w:rPr>
            <w:rStyle w:val="a9"/>
            <w:rFonts w:hint="eastAsia"/>
            <w:noProof/>
          </w:rPr>
          <w:t xml:space="preserve"> </w:t>
        </w:r>
        <w:r w:rsidRPr="002321C7">
          <w:rPr>
            <w:rStyle w:val="a9"/>
            <w:rFonts w:hint="eastAsia"/>
            <w:noProof/>
          </w:rPr>
          <w:t>基金份额持有人大会决议</w:t>
        </w:r>
        <w:r>
          <w:rPr>
            <w:noProof/>
            <w:webHidden/>
          </w:rPr>
          <w:tab/>
        </w:r>
        <w:r>
          <w:rPr>
            <w:noProof/>
            <w:webHidden/>
          </w:rPr>
          <w:fldChar w:fldCharType="begin"/>
        </w:r>
        <w:r>
          <w:rPr>
            <w:noProof/>
            <w:webHidden/>
          </w:rPr>
          <w:instrText xml:space="preserve"> PAGEREF _Toc478236562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3" w:history="1">
        <w:r w:rsidRPr="002321C7">
          <w:rPr>
            <w:rStyle w:val="a9"/>
            <w:noProof/>
          </w:rPr>
          <w:t xml:space="preserve">11.2 </w:t>
        </w:r>
        <w:r w:rsidRPr="002321C7">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_Toc478236563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4" w:history="1">
        <w:r w:rsidRPr="002321C7">
          <w:rPr>
            <w:rStyle w:val="a9"/>
            <w:noProof/>
          </w:rPr>
          <w:t xml:space="preserve">11.3 </w:t>
        </w:r>
        <w:r w:rsidRPr="002321C7">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_Toc478236564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5" w:history="1">
        <w:r w:rsidRPr="002321C7">
          <w:rPr>
            <w:rStyle w:val="a9"/>
            <w:noProof/>
          </w:rPr>
          <w:t xml:space="preserve">11.4 </w:t>
        </w:r>
        <w:r w:rsidRPr="002321C7">
          <w:rPr>
            <w:rStyle w:val="a9"/>
            <w:rFonts w:hint="eastAsia"/>
            <w:noProof/>
          </w:rPr>
          <w:t>基金投资策略的改变</w:t>
        </w:r>
        <w:r>
          <w:rPr>
            <w:noProof/>
            <w:webHidden/>
          </w:rPr>
          <w:tab/>
        </w:r>
        <w:r>
          <w:rPr>
            <w:noProof/>
            <w:webHidden/>
          </w:rPr>
          <w:fldChar w:fldCharType="begin"/>
        </w:r>
        <w:r>
          <w:rPr>
            <w:noProof/>
            <w:webHidden/>
          </w:rPr>
          <w:instrText xml:space="preserve"> PAGEREF _Toc478236565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6" w:history="1">
        <w:r w:rsidRPr="002321C7">
          <w:rPr>
            <w:rStyle w:val="a9"/>
            <w:noProof/>
          </w:rPr>
          <w:t>11.5</w:t>
        </w:r>
        <w:r>
          <w:rPr>
            <w:rStyle w:val="a9"/>
            <w:rFonts w:hint="eastAsia"/>
            <w:noProof/>
          </w:rPr>
          <w:t xml:space="preserve"> </w:t>
        </w:r>
        <w:r w:rsidRPr="002321C7">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_Toc478236566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7" w:history="1">
        <w:r w:rsidRPr="002321C7">
          <w:rPr>
            <w:rStyle w:val="a9"/>
            <w:noProof/>
          </w:rPr>
          <w:t xml:space="preserve">11.6 </w:t>
        </w:r>
        <w:r w:rsidRPr="002321C7">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_Toc478236567 \h </w:instrText>
        </w:r>
        <w:r>
          <w:rPr>
            <w:noProof/>
            <w:webHidden/>
          </w:rPr>
        </w:r>
        <w:r>
          <w:rPr>
            <w:noProof/>
            <w:webHidden/>
          </w:rPr>
          <w:fldChar w:fldCharType="separate"/>
        </w:r>
        <w:r>
          <w:rPr>
            <w:noProof/>
            <w:webHidden/>
          </w:rPr>
          <w:t>52</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8" w:history="1">
        <w:r w:rsidRPr="002321C7">
          <w:rPr>
            <w:rStyle w:val="a9"/>
            <w:noProof/>
          </w:rPr>
          <w:t xml:space="preserve">11.7 </w:t>
        </w:r>
        <w:r w:rsidRPr="002321C7">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_Toc478236568 \h </w:instrText>
        </w:r>
        <w:r>
          <w:rPr>
            <w:noProof/>
            <w:webHidden/>
          </w:rPr>
        </w:r>
        <w:r>
          <w:rPr>
            <w:noProof/>
            <w:webHidden/>
          </w:rPr>
          <w:fldChar w:fldCharType="separate"/>
        </w:r>
        <w:r>
          <w:rPr>
            <w:noProof/>
            <w:webHidden/>
          </w:rPr>
          <w:t>53</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69" w:history="1">
        <w:r w:rsidRPr="002321C7">
          <w:rPr>
            <w:rStyle w:val="a9"/>
            <w:noProof/>
          </w:rPr>
          <w:t xml:space="preserve">11.8 </w:t>
        </w:r>
        <w:r w:rsidRPr="002321C7">
          <w:rPr>
            <w:rStyle w:val="a9"/>
            <w:rFonts w:hint="eastAsia"/>
            <w:noProof/>
          </w:rPr>
          <w:t>其他重大事件</w:t>
        </w:r>
        <w:r>
          <w:rPr>
            <w:noProof/>
            <w:webHidden/>
          </w:rPr>
          <w:tab/>
        </w:r>
        <w:r>
          <w:rPr>
            <w:noProof/>
            <w:webHidden/>
          </w:rPr>
          <w:fldChar w:fldCharType="begin"/>
        </w:r>
        <w:r>
          <w:rPr>
            <w:noProof/>
            <w:webHidden/>
          </w:rPr>
          <w:instrText xml:space="preserve"> PAGEREF _Toc478236569 \h </w:instrText>
        </w:r>
        <w:r>
          <w:rPr>
            <w:noProof/>
            <w:webHidden/>
          </w:rPr>
        </w:r>
        <w:r>
          <w:rPr>
            <w:noProof/>
            <w:webHidden/>
          </w:rPr>
          <w:fldChar w:fldCharType="separate"/>
        </w:r>
        <w:r>
          <w:rPr>
            <w:noProof/>
            <w:webHidden/>
          </w:rPr>
          <w:t>55</w:t>
        </w:r>
        <w:r>
          <w:rPr>
            <w:noProof/>
            <w:webHidden/>
          </w:rPr>
          <w:fldChar w:fldCharType="end"/>
        </w:r>
      </w:hyperlink>
    </w:p>
    <w:p w:rsidR="001004C3" w:rsidRDefault="001004C3">
      <w:pPr>
        <w:pStyle w:val="11"/>
        <w:rPr>
          <w:rFonts w:asciiTheme="minorHAnsi" w:eastAsiaTheme="minorEastAsia" w:hAnsiTheme="minorHAnsi" w:cstheme="minorBidi"/>
          <w:noProof/>
          <w:szCs w:val="22"/>
        </w:rPr>
      </w:pPr>
      <w:hyperlink w:anchor="_Toc478236570" w:history="1">
        <w:r w:rsidRPr="002321C7">
          <w:rPr>
            <w:rStyle w:val="a9"/>
            <w:b/>
            <w:bCs/>
            <w:noProof/>
          </w:rPr>
          <w:t xml:space="preserve">§12  </w:t>
        </w:r>
        <w:r w:rsidRPr="002321C7">
          <w:rPr>
            <w:rStyle w:val="a9"/>
            <w:rFonts w:hint="eastAsia"/>
            <w:b/>
            <w:bCs/>
            <w:noProof/>
          </w:rPr>
          <w:t>备查文件目录</w:t>
        </w:r>
        <w:r>
          <w:rPr>
            <w:noProof/>
            <w:webHidden/>
          </w:rPr>
          <w:tab/>
        </w:r>
        <w:r>
          <w:rPr>
            <w:noProof/>
            <w:webHidden/>
          </w:rPr>
          <w:fldChar w:fldCharType="begin"/>
        </w:r>
        <w:r>
          <w:rPr>
            <w:noProof/>
            <w:webHidden/>
          </w:rPr>
          <w:instrText xml:space="preserve"> PAGEREF _Toc478236570 \h </w:instrText>
        </w:r>
        <w:r>
          <w:rPr>
            <w:noProof/>
            <w:webHidden/>
          </w:rPr>
        </w:r>
        <w:r>
          <w:rPr>
            <w:noProof/>
            <w:webHidden/>
          </w:rPr>
          <w:fldChar w:fldCharType="separate"/>
        </w:r>
        <w:r>
          <w:rPr>
            <w:noProof/>
            <w:webHidden/>
          </w:rPr>
          <w:t>58</w:t>
        </w:r>
        <w:r>
          <w:rPr>
            <w:noProof/>
            <w:webHidden/>
          </w:rPr>
          <w:fldChar w:fldCharType="end"/>
        </w:r>
      </w:hyperlink>
    </w:p>
    <w:p w:rsidR="001004C3" w:rsidRDefault="001004C3" w:rsidP="001004C3">
      <w:pPr>
        <w:pStyle w:val="22"/>
        <w:ind w:left="420"/>
        <w:rPr>
          <w:rFonts w:asciiTheme="minorHAnsi" w:eastAsiaTheme="minorEastAsia" w:hAnsiTheme="minorHAnsi" w:cstheme="minorBidi"/>
          <w:noProof/>
          <w:kern w:val="2"/>
          <w:szCs w:val="22"/>
        </w:rPr>
      </w:pPr>
      <w:hyperlink w:anchor="_Toc478236571" w:history="1">
        <w:r w:rsidRPr="002321C7">
          <w:rPr>
            <w:rStyle w:val="a9"/>
            <w:noProof/>
          </w:rPr>
          <w:t xml:space="preserve">12.1 </w:t>
        </w:r>
        <w:r w:rsidRPr="002321C7">
          <w:rPr>
            <w:rStyle w:val="a9"/>
            <w:rFonts w:hint="eastAsia"/>
            <w:noProof/>
          </w:rPr>
          <w:t>备查文件目录</w:t>
        </w:r>
        <w:r>
          <w:rPr>
            <w:noProof/>
            <w:webHidden/>
          </w:rPr>
          <w:tab/>
        </w:r>
        <w:r>
          <w:rPr>
            <w:noProof/>
            <w:webHidden/>
          </w:rPr>
          <w:fldChar w:fldCharType="begin"/>
        </w:r>
        <w:r>
          <w:rPr>
            <w:noProof/>
            <w:webHidden/>
          </w:rPr>
          <w:instrText xml:space="preserve"> PAGEREF _Toc478236571 \h </w:instrText>
        </w:r>
        <w:r>
          <w:rPr>
            <w:noProof/>
            <w:webHidden/>
          </w:rPr>
        </w:r>
        <w:r>
          <w:rPr>
            <w:noProof/>
            <w:webHidden/>
          </w:rPr>
          <w:fldChar w:fldCharType="separate"/>
        </w:r>
        <w:r>
          <w:rPr>
            <w:noProof/>
            <w:webHidden/>
          </w:rPr>
          <w:t>58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72" w:history="1">
        <w:r w:rsidRPr="002321C7">
          <w:rPr>
            <w:rStyle w:val="a9"/>
            <w:noProof/>
          </w:rPr>
          <w:t xml:space="preserve">12.2 </w:t>
        </w:r>
        <w:r w:rsidRPr="002321C7">
          <w:rPr>
            <w:rStyle w:val="a9"/>
            <w:rFonts w:hint="eastAsia"/>
            <w:noProof/>
          </w:rPr>
          <w:t>存放地点</w:t>
        </w:r>
        <w:r>
          <w:rPr>
            <w:noProof/>
            <w:webHidden/>
          </w:rPr>
          <w:tab/>
        </w:r>
        <w:r>
          <w:rPr>
            <w:noProof/>
            <w:webHidden/>
          </w:rPr>
          <w:fldChar w:fldCharType="begin"/>
        </w:r>
        <w:r>
          <w:rPr>
            <w:noProof/>
            <w:webHidden/>
          </w:rPr>
          <w:instrText xml:space="preserve"> PAGEREF _Toc478236572 \h </w:instrText>
        </w:r>
        <w:r>
          <w:rPr>
            <w:noProof/>
            <w:webHidden/>
          </w:rPr>
        </w:r>
        <w:r>
          <w:rPr>
            <w:noProof/>
            <w:webHidden/>
          </w:rPr>
          <w:fldChar w:fldCharType="separate"/>
        </w:r>
        <w:r>
          <w:rPr>
            <w:noProof/>
            <w:webHidden/>
          </w:rPr>
          <w:t>58</w:t>
        </w:r>
        <w:r>
          <w:rPr>
            <w:noProof/>
            <w:webHidden/>
          </w:rPr>
          <w:fldChar w:fldCharType="end"/>
        </w:r>
      </w:hyperlink>
    </w:p>
    <w:p w:rsidR="001004C3" w:rsidRDefault="001004C3">
      <w:pPr>
        <w:pStyle w:val="22"/>
        <w:ind w:left="420"/>
        <w:rPr>
          <w:rFonts w:asciiTheme="minorHAnsi" w:eastAsiaTheme="minorEastAsia" w:hAnsiTheme="minorHAnsi" w:cstheme="minorBidi"/>
          <w:noProof/>
          <w:kern w:val="2"/>
          <w:szCs w:val="22"/>
        </w:rPr>
      </w:pPr>
      <w:hyperlink w:anchor="_Toc478236573" w:history="1">
        <w:r w:rsidRPr="002321C7">
          <w:rPr>
            <w:rStyle w:val="a9"/>
            <w:noProof/>
          </w:rPr>
          <w:t xml:space="preserve">12.3 </w:t>
        </w:r>
        <w:r w:rsidRPr="002321C7">
          <w:rPr>
            <w:rStyle w:val="a9"/>
            <w:rFonts w:hint="eastAsia"/>
            <w:noProof/>
          </w:rPr>
          <w:t>查阅方式</w:t>
        </w:r>
        <w:r>
          <w:rPr>
            <w:noProof/>
            <w:webHidden/>
          </w:rPr>
          <w:tab/>
        </w:r>
        <w:r>
          <w:rPr>
            <w:noProof/>
            <w:webHidden/>
          </w:rPr>
          <w:fldChar w:fldCharType="begin"/>
        </w:r>
        <w:r>
          <w:rPr>
            <w:noProof/>
            <w:webHidden/>
          </w:rPr>
          <w:instrText xml:space="preserve"> PAGEREF _Toc478236573 \h </w:instrText>
        </w:r>
        <w:r>
          <w:rPr>
            <w:noProof/>
            <w:webHidden/>
          </w:rPr>
        </w:r>
        <w:r>
          <w:rPr>
            <w:noProof/>
            <w:webHidden/>
          </w:rPr>
          <w:fldChar w:fldCharType="separate"/>
        </w:r>
        <w:r>
          <w:rPr>
            <w:noProof/>
            <w:webHidden/>
          </w:rPr>
          <w:t>58</w:t>
        </w:r>
        <w:r>
          <w:rPr>
            <w:noProof/>
            <w:webHidden/>
          </w:rPr>
          <w:fldChar w:fldCharType="end"/>
        </w:r>
      </w:hyperlink>
    </w:p>
    <w:p w:rsidR="001A59F9" w:rsidRPr="00D564C7" w:rsidRDefault="003335BB"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478236513"/>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478236514"/>
      <w:r w:rsidRPr="00EC5D69">
        <w:rPr>
          <w:rFonts w:ascii="Times New Roman" w:hAnsi="Times New Roman"/>
          <w:kern w:val="0"/>
          <w:szCs w:val="24"/>
        </w:rPr>
        <w:t>2.1</w:t>
      </w:r>
      <w:r w:rsidR="00057665" w:rsidRPr="00EC5D69">
        <w:rPr>
          <w:rFonts w:ascii="Times New Roman" w:hAnsi="Times New Roman" w:hint="eastAsia"/>
          <w:kern w:val="0"/>
          <w:szCs w:val="24"/>
        </w:rPr>
        <w:t xml:space="preserve"> </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交银施罗德增利债券证券投资基金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交银增利债券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519680</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2008</w:t>
            </w:r>
            <w:r w:rsidRPr="00400137">
              <w:rPr>
                <w:sz w:val="24"/>
              </w:rPr>
              <w:t>年</w:t>
            </w:r>
            <w:r w:rsidRPr="00400137">
              <w:rPr>
                <w:sz w:val="24"/>
              </w:rPr>
              <w:t>3</w:t>
            </w:r>
            <w:r w:rsidRPr="00400137">
              <w:rPr>
                <w:sz w:val="24"/>
              </w:rPr>
              <w:t>月</w:t>
            </w:r>
            <w:r w:rsidRPr="00400137">
              <w:rPr>
                <w:sz w:val="24"/>
              </w:rPr>
              <w:t>31</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中国建设银行股份有限公司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545,009,455.79</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交银增利债券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r w:rsidRPr="00400137">
              <w:rPr>
                <w:sz w:val="24"/>
              </w:rPr>
              <w:t>交银增利债券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519680</w:t>
            </w:r>
            <w:r w:rsidRPr="009C503F">
              <w:rPr>
                <w:color w:val="000000" w:themeColor="text1"/>
                <w:sz w:val="24"/>
              </w:rPr>
              <w:t>（前端）、</w:t>
            </w:r>
            <w:r w:rsidRPr="009C503F">
              <w:rPr>
                <w:color w:val="000000" w:themeColor="text1"/>
                <w:sz w:val="24"/>
              </w:rPr>
              <w:t>519681</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519682</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430,434,305.12</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114,575,150.67</w:t>
            </w:r>
            <w:r w:rsidRPr="00400137">
              <w:rPr>
                <w:rFonts w:hint="eastAsia"/>
                <w:sz w:val="24"/>
              </w:rPr>
              <w:t>份</w:t>
            </w:r>
          </w:p>
        </w:tc>
      </w:tr>
    </w:tbl>
    <w:p w:rsidR="001A59F9" w:rsidRPr="00400137" w:rsidRDefault="001A59F9" w:rsidP="00360776">
      <w:pPr>
        <w:tabs>
          <w:tab w:val="left" w:pos="60"/>
        </w:tabs>
        <w:spacing w:before="29" w:line="288" w:lineRule="auto"/>
        <w:jc w:val="left"/>
        <w:rPr>
          <w:kern w:val="0"/>
          <w:sz w:val="24"/>
        </w:rPr>
      </w:pPr>
      <w:r w:rsidRPr="00400137">
        <w:rPr>
          <w:kern w:val="0"/>
          <w:sz w:val="24"/>
        </w:rPr>
        <w:tab/>
      </w: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p>
    <w:p w:rsidR="00EC5D69" w:rsidRPr="007F57C2" w:rsidRDefault="00EC5D69" w:rsidP="007F57C2">
      <w:pPr>
        <w:spacing w:before="29" w:line="288" w:lineRule="auto"/>
        <w:rPr>
          <w:rFonts w:eastAsiaTheme="minorEastAsia"/>
          <w:b/>
          <w:sz w:val="24"/>
        </w:rPr>
      </w:pPr>
    </w:p>
    <w:p w:rsidR="001A59F9" w:rsidRPr="004211FD" w:rsidRDefault="001A59F9" w:rsidP="004211FD">
      <w:pPr>
        <w:pStyle w:val="20"/>
        <w:spacing w:before="29" w:after="0" w:line="288" w:lineRule="auto"/>
        <w:rPr>
          <w:b w:val="0"/>
          <w:kern w:val="0"/>
        </w:rPr>
      </w:pPr>
      <w:bookmarkStart w:id="13" w:name="_Toc361324846"/>
      <w:bookmarkStart w:id="14" w:name="_Toc478236515"/>
      <w:r w:rsidRPr="004211FD">
        <w:rPr>
          <w:rFonts w:ascii="Times New Roman" w:hAnsi="Times New Roman"/>
          <w:kern w:val="0"/>
          <w:szCs w:val="24"/>
        </w:rPr>
        <w:t xml:space="preserve">2.2 </w:t>
      </w:r>
      <w:r w:rsidRPr="004211FD">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根据宏观经济运行状况和金融市场的运行趋势，自上而下进行宏观分析，自下而上精选个券，在控制信用风险、利率风险、流动性风险前提下，主要通过投资承担一定信用风险、具有较高息票率的债券，实现基金资产的长期稳定增长。</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本基金在分析和判断宏观经济运行状况和金融市场运行趋势的基础上，动态调整大类金融资产比例，自上而下决定债券组合久期、期限结构配置及债券类别配置，自下而上地配置债券类属和精选个券。</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中债企业债总指数</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本基金是一只债券型基金，在证券投资基金中属于中等风险的品种，其长期平均风险和预期收益高于货币市场基金，低于股票型基金。</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4211FD" w:rsidRDefault="001A59F9" w:rsidP="004211FD">
      <w:pPr>
        <w:pStyle w:val="20"/>
        <w:spacing w:before="29" w:after="0" w:line="288" w:lineRule="auto"/>
        <w:rPr>
          <w:b w:val="0"/>
          <w:kern w:val="0"/>
        </w:rPr>
      </w:pPr>
      <w:bookmarkStart w:id="15" w:name="_Toc225498247"/>
      <w:bookmarkStart w:id="16" w:name="_Toc361324847"/>
      <w:bookmarkStart w:id="17" w:name="_Toc478236516"/>
      <w:r w:rsidRPr="004211FD">
        <w:rPr>
          <w:rFonts w:ascii="Times New Roman" w:hAnsi="Times New Roman"/>
          <w:kern w:val="0"/>
          <w:szCs w:val="24"/>
        </w:rPr>
        <w:t xml:space="preserve">2.3 </w:t>
      </w:r>
      <w:r w:rsidRPr="004211FD">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中国建设银行股份有限公司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孙艳</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田青</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tianqing1.zh@ccb.com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010-66275853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北京市西城区金融大街</w:t>
            </w:r>
            <w:r w:rsidRPr="00400137">
              <w:rPr>
                <w:color w:val="000000"/>
                <w:kern w:val="0"/>
                <w:sz w:val="24"/>
              </w:rPr>
              <w:t>25</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北京市西城区闹市口大街</w:t>
            </w:r>
            <w:r w:rsidRPr="00400137">
              <w:rPr>
                <w:color w:val="000000"/>
                <w:kern w:val="0"/>
                <w:sz w:val="24"/>
              </w:rPr>
              <w:t>1</w:t>
            </w:r>
            <w:r w:rsidRPr="00400137">
              <w:rPr>
                <w:color w:val="000000"/>
                <w:kern w:val="0"/>
                <w:sz w:val="24"/>
              </w:rPr>
              <w:t>号院</w:t>
            </w:r>
            <w:r w:rsidRPr="00400137">
              <w:rPr>
                <w:color w:val="000000"/>
                <w:kern w:val="0"/>
                <w:sz w:val="24"/>
              </w:rPr>
              <w:t>1</w:t>
            </w:r>
            <w:r w:rsidRPr="00400137">
              <w:rPr>
                <w:color w:val="000000"/>
                <w:kern w:val="0"/>
                <w:sz w:val="24"/>
              </w:rPr>
              <w:t>号楼</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于亚利</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王洪章</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8" w:name="_Toc225498248"/>
      <w:bookmarkStart w:id="19" w:name="_Toc361324848"/>
      <w:bookmarkStart w:id="20" w:name="_Toc478236517"/>
      <w:r w:rsidRPr="004211FD">
        <w:rPr>
          <w:rFonts w:ascii="Times New Roman" w:hAnsi="Times New Roman"/>
          <w:kern w:val="0"/>
          <w:szCs w:val="24"/>
        </w:rPr>
        <w:t xml:space="preserve">2.4 </w:t>
      </w:r>
      <w:r w:rsidRPr="004211FD">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r w:rsidRPr="00400137">
              <w:rPr>
                <w:color w:val="000000"/>
                <w:sz w:val="24"/>
              </w:rPr>
              <w:t>，</w:t>
            </w:r>
            <w:r w:rsidRPr="00400137">
              <w:rPr>
                <w:color w:val="000000"/>
                <w:sz w:val="24"/>
              </w:rPr>
              <w:t>www.bocomschroder.com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21" w:name="_Toc225498249"/>
      <w:bookmarkStart w:id="22" w:name="_Toc361324849"/>
      <w:bookmarkStart w:id="23" w:name="_Toc478236518"/>
      <w:r w:rsidRPr="004211FD">
        <w:rPr>
          <w:rFonts w:ascii="Times New Roman" w:hAnsi="Times New Roman"/>
          <w:kern w:val="0"/>
          <w:szCs w:val="24"/>
        </w:rPr>
        <w:t xml:space="preserve">2.5 </w:t>
      </w:r>
      <w:r w:rsidRPr="004211FD">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651650">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651650">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w:t>
            </w:r>
            <w:r w:rsidRPr="00400137">
              <w:rPr>
                <w:color w:val="000000"/>
                <w:sz w:val="24"/>
              </w:rPr>
              <w:t>(</w:t>
            </w:r>
            <w:r w:rsidRPr="00400137">
              <w:rPr>
                <w:color w:val="000000"/>
                <w:sz w:val="24"/>
              </w:rPr>
              <w:t>特殊普通合伙</w:t>
            </w:r>
            <w:r w:rsidRPr="00400137">
              <w:rPr>
                <w:color w:val="000000"/>
                <w:sz w:val="24"/>
              </w:rPr>
              <w:t>)</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651650">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78236519"/>
      <w:bookmarkStart w:id="27" w:name="_Toc194312019"/>
      <w:bookmarkStart w:id="28" w:name="_Toc193947512"/>
      <w:r w:rsidRPr="00F717A8">
        <w:rPr>
          <w:rFonts w:hint="eastAsia"/>
          <w:b/>
          <w:bCs/>
          <w:szCs w:val="24"/>
          <w:lang w:val="en-US"/>
        </w:rPr>
        <w:lastRenderedPageBreak/>
        <w:t>§</w:t>
      </w:r>
      <w:r w:rsidRPr="00F717A8">
        <w:rPr>
          <w:b/>
          <w:bCs/>
          <w:szCs w:val="24"/>
          <w:lang w:val="en-US"/>
        </w:rPr>
        <w:t xml:space="preserve">3 </w:t>
      </w:r>
      <w:r w:rsidR="009153A3" w:rsidRPr="00F717A8">
        <w:rPr>
          <w:rFonts w:hint="eastAsia"/>
          <w:b/>
          <w:bCs/>
          <w:szCs w:val="24"/>
          <w:lang w:val="en-US"/>
        </w:rPr>
        <w:t xml:space="preserve">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4211FD" w:rsidRDefault="001A59F9" w:rsidP="004211FD">
      <w:pPr>
        <w:pStyle w:val="20"/>
        <w:spacing w:before="29" w:after="0" w:line="288" w:lineRule="auto"/>
        <w:rPr>
          <w:b w:val="0"/>
          <w:kern w:val="0"/>
        </w:rPr>
      </w:pPr>
      <w:bookmarkStart w:id="29" w:name="_Toc286996129"/>
      <w:bookmarkStart w:id="30" w:name="_Toc361324851"/>
      <w:bookmarkStart w:id="31" w:name="_Toc478236520"/>
      <w:r w:rsidRPr="004211FD">
        <w:rPr>
          <w:rFonts w:ascii="Times New Roman" w:hAnsi="Times New Roman"/>
          <w:kern w:val="0"/>
          <w:szCs w:val="24"/>
        </w:rPr>
        <w:t xml:space="preserve">3.1 </w:t>
      </w:r>
      <w:r w:rsidRPr="004211FD">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8"/>
        <w:gridCol w:w="1276"/>
        <w:gridCol w:w="1276"/>
        <w:gridCol w:w="1278"/>
        <w:gridCol w:w="1278"/>
        <w:gridCol w:w="1278"/>
        <w:gridCol w:w="1372"/>
      </w:tblGrid>
      <w:tr w:rsidR="00F523C2" w:rsidRPr="005C7DCF" w:rsidTr="00E471FA">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2015</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2014</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A/B</w:t>
            </w:r>
          </w:p>
        </w:tc>
        <w:tc>
          <w:tcPr>
            <w:tcW w:w="686"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C</w:t>
            </w:r>
          </w:p>
        </w:tc>
        <w:tc>
          <w:tcPr>
            <w:tcW w:w="687"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A/B</w:t>
            </w:r>
          </w:p>
        </w:tc>
        <w:tc>
          <w:tcPr>
            <w:tcW w:w="687"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A/B</w:t>
            </w:r>
          </w:p>
        </w:tc>
        <w:tc>
          <w:tcPr>
            <w:tcW w:w="744" w:type="pct"/>
            <w:vAlign w:val="center"/>
          </w:tcPr>
          <w:p w:rsidR="00FB7A99" w:rsidRPr="005C7DCF" w:rsidRDefault="00F523C2" w:rsidP="00E471FA">
            <w:pPr>
              <w:spacing w:before="29" w:line="288" w:lineRule="auto"/>
              <w:rPr>
                <w:szCs w:val="21"/>
              </w:rPr>
            </w:pPr>
            <w:r w:rsidRPr="005C7DCF">
              <w:rPr>
                <w:szCs w:val="21"/>
              </w:rPr>
              <w:t>交银增利债券</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19,626,125.59</w:t>
            </w:r>
          </w:p>
        </w:tc>
        <w:tc>
          <w:tcPr>
            <w:tcW w:w="686" w:type="pct"/>
            <w:vAlign w:val="center"/>
          </w:tcPr>
          <w:p w:rsidR="001A59F9" w:rsidRPr="005C7DCF" w:rsidRDefault="001A59F9" w:rsidP="00704789">
            <w:pPr>
              <w:spacing w:before="29" w:line="288" w:lineRule="auto"/>
              <w:jc w:val="right"/>
              <w:rPr>
                <w:szCs w:val="21"/>
              </w:rPr>
            </w:pPr>
            <w:r w:rsidRPr="005C7DCF">
              <w:rPr>
                <w:szCs w:val="21"/>
              </w:rPr>
              <w:t>4,354,382.91</w:t>
            </w:r>
          </w:p>
        </w:tc>
        <w:tc>
          <w:tcPr>
            <w:tcW w:w="687" w:type="pct"/>
            <w:vAlign w:val="center"/>
          </w:tcPr>
          <w:p w:rsidR="001A59F9" w:rsidRPr="005C7DCF" w:rsidRDefault="00AB54C1" w:rsidP="00704789">
            <w:pPr>
              <w:spacing w:before="29" w:line="288" w:lineRule="auto"/>
              <w:jc w:val="right"/>
              <w:rPr>
                <w:szCs w:val="21"/>
              </w:rPr>
            </w:pPr>
            <w:r w:rsidRPr="005C7DCF">
              <w:rPr>
                <w:szCs w:val="21"/>
              </w:rPr>
              <w:t>83,153,624.16</w:t>
            </w:r>
          </w:p>
        </w:tc>
        <w:tc>
          <w:tcPr>
            <w:tcW w:w="687" w:type="pct"/>
            <w:vAlign w:val="center"/>
          </w:tcPr>
          <w:p w:rsidR="001A59F9" w:rsidRPr="005C7DCF" w:rsidRDefault="00AB54C1" w:rsidP="00704789">
            <w:pPr>
              <w:spacing w:before="29" w:line="288" w:lineRule="auto"/>
              <w:jc w:val="right"/>
              <w:rPr>
                <w:szCs w:val="21"/>
              </w:rPr>
            </w:pPr>
            <w:r w:rsidRPr="005C7DCF">
              <w:rPr>
                <w:szCs w:val="21"/>
              </w:rPr>
              <w:t>28,134,197.62</w:t>
            </w:r>
          </w:p>
        </w:tc>
        <w:tc>
          <w:tcPr>
            <w:tcW w:w="688" w:type="pct"/>
            <w:vAlign w:val="center"/>
          </w:tcPr>
          <w:p w:rsidR="001A59F9" w:rsidRPr="005C7DCF" w:rsidRDefault="00AB54C1" w:rsidP="00704789">
            <w:pPr>
              <w:spacing w:before="29" w:line="288" w:lineRule="auto"/>
              <w:jc w:val="right"/>
              <w:rPr>
                <w:szCs w:val="21"/>
              </w:rPr>
            </w:pPr>
            <w:r w:rsidRPr="005C7DCF">
              <w:rPr>
                <w:szCs w:val="21"/>
              </w:rPr>
              <w:t>104,635,086.95</w:t>
            </w:r>
          </w:p>
        </w:tc>
        <w:tc>
          <w:tcPr>
            <w:tcW w:w="744" w:type="pct"/>
            <w:vAlign w:val="center"/>
          </w:tcPr>
          <w:p w:rsidR="001A59F9" w:rsidRPr="005C7DCF" w:rsidRDefault="00AB54C1" w:rsidP="00704789">
            <w:pPr>
              <w:spacing w:before="29" w:line="288" w:lineRule="auto"/>
              <w:jc w:val="right"/>
              <w:rPr>
                <w:szCs w:val="21"/>
              </w:rPr>
            </w:pPr>
            <w:r w:rsidRPr="005C7DCF">
              <w:rPr>
                <w:szCs w:val="21"/>
              </w:rPr>
              <w:t>26,974,431.32</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-6,823,400.26</w:t>
            </w:r>
          </w:p>
        </w:tc>
        <w:tc>
          <w:tcPr>
            <w:tcW w:w="686" w:type="pct"/>
            <w:vAlign w:val="center"/>
          </w:tcPr>
          <w:p w:rsidR="001A59F9" w:rsidRPr="005C7DCF" w:rsidRDefault="001A59F9" w:rsidP="00704789">
            <w:pPr>
              <w:spacing w:before="29" w:line="288" w:lineRule="auto"/>
              <w:jc w:val="right"/>
              <w:rPr>
                <w:szCs w:val="21"/>
              </w:rPr>
            </w:pPr>
            <w:r w:rsidRPr="005C7DCF">
              <w:rPr>
                <w:szCs w:val="21"/>
              </w:rPr>
              <w:t>-2,248,944.16</w:t>
            </w:r>
          </w:p>
        </w:tc>
        <w:tc>
          <w:tcPr>
            <w:tcW w:w="687" w:type="pct"/>
            <w:vAlign w:val="center"/>
          </w:tcPr>
          <w:p w:rsidR="001A59F9" w:rsidRPr="005C7DCF" w:rsidRDefault="00AB54C1" w:rsidP="00704789">
            <w:pPr>
              <w:spacing w:before="29" w:line="288" w:lineRule="auto"/>
              <w:jc w:val="right"/>
              <w:rPr>
                <w:szCs w:val="21"/>
              </w:rPr>
            </w:pPr>
            <w:r w:rsidRPr="005C7DCF">
              <w:rPr>
                <w:szCs w:val="21"/>
              </w:rPr>
              <w:t>91,192,631.09</w:t>
            </w:r>
          </w:p>
        </w:tc>
        <w:tc>
          <w:tcPr>
            <w:tcW w:w="687" w:type="pct"/>
            <w:vAlign w:val="center"/>
          </w:tcPr>
          <w:p w:rsidR="001A59F9" w:rsidRPr="005C7DCF" w:rsidRDefault="00AB54C1" w:rsidP="00704789">
            <w:pPr>
              <w:spacing w:before="29" w:line="288" w:lineRule="auto"/>
              <w:jc w:val="right"/>
              <w:rPr>
                <w:szCs w:val="21"/>
              </w:rPr>
            </w:pPr>
            <w:r w:rsidRPr="005C7DCF">
              <w:rPr>
                <w:szCs w:val="21"/>
              </w:rPr>
              <w:t>25,829,399.53</w:t>
            </w:r>
          </w:p>
        </w:tc>
        <w:tc>
          <w:tcPr>
            <w:tcW w:w="688" w:type="pct"/>
            <w:vAlign w:val="center"/>
          </w:tcPr>
          <w:p w:rsidR="001A59F9" w:rsidRPr="005C7DCF" w:rsidRDefault="00AB54C1" w:rsidP="00704789">
            <w:pPr>
              <w:spacing w:before="29" w:line="288" w:lineRule="auto"/>
              <w:jc w:val="right"/>
              <w:rPr>
                <w:szCs w:val="21"/>
              </w:rPr>
            </w:pPr>
            <w:r w:rsidRPr="005C7DCF">
              <w:rPr>
                <w:szCs w:val="21"/>
              </w:rPr>
              <w:t>186,520,316.01</w:t>
            </w:r>
          </w:p>
        </w:tc>
        <w:tc>
          <w:tcPr>
            <w:tcW w:w="744" w:type="pct"/>
            <w:vAlign w:val="center"/>
          </w:tcPr>
          <w:p w:rsidR="001A59F9" w:rsidRPr="005C7DCF" w:rsidRDefault="00AB54C1" w:rsidP="00704789">
            <w:pPr>
              <w:spacing w:before="29" w:line="288" w:lineRule="auto"/>
              <w:jc w:val="right"/>
              <w:rPr>
                <w:szCs w:val="21"/>
              </w:rPr>
            </w:pPr>
            <w:r w:rsidRPr="005C7DCF">
              <w:rPr>
                <w:szCs w:val="21"/>
              </w:rPr>
              <w:t>47,714,782.10</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-0.0085</w:t>
            </w:r>
          </w:p>
        </w:tc>
        <w:tc>
          <w:tcPr>
            <w:tcW w:w="686" w:type="pct"/>
            <w:vAlign w:val="center"/>
          </w:tcPr>
          <w:p w:rsidR="001A59F9" w:rsidRPr="005C7DCF" w:rsidRDefault="001A59F9" w:rsidP="00704789">
            <w:pPr>
              <w:spacing w:before="29" w:line="288" w:lineRule="auto"/>
              <w:jc w:val="right"/>
              <w:rPr>
                <w:szCs w:val="21"/>
              </w:rPr>
            </w:pPr>
            <w:r w:rsidRPr="005C7DCF">
              <w:rPr>
                <w:szCs w:val="21"/>
              </w:rPr>
              <w:t>-0.0111</w:t>
            </w:r>
          </w:p>
        </w:tc>
        <w:tc>
          <w:tcPr>
            <w:tcW w:w="687" w:type="pct"/>
            <w:vAlign w:val="center"/>
          </w:tcPr>
          <w:p w:rsidR="001A59F9" w:rsidRPr="005C7DCF" w:rsidRDefault="00AB54C1" w:rsidP="00704789">
            <w:pPr>
              <w:spacing w:before="29" w:line="288" w:lineRule="auto"/>
              <w:jc w:val="right"/>
              <w:rPr>
                <w:szCs w:val="21"/>
              </w:rPr>
            </w:pPr>
            <w:r w:rsidRPr="005C7DCF">
              <w:rPr>
                <w:szCs w:val="21"/>
              </w:rPr>
              <w:t>0.0845</w:t>
            </w:r>
          </w:p>
        </w:tc>
        <w:tc>
          <w:tcPr>
            <w:tcW w:w="687" w:type="pct"/>
            <w:vAlign w:val="center"/>
          </w:tcPr>
          <w:p w:rsidR="001A59F9" w:rsidRPr="005C7DCF" w:rsidRDefault="00AB54C1" w:rsidP="00704789">
            <w:pPr>
              <w:spacing w:before="29" w:line="288" w:lineRule="auto"/>
              <w:jc w:val="right"/>
              <w:rPr>
                <w:szCs w:val="21"/>
              </w:rPr>
            </w:pPr>
            <w:r w:rsidRPr="005C7DCF">
              <w:rPr>
                <w:szCs w:val="21"/>
              </w:rPr>
              <w:t>0.0798</w:t>
            </w:r>
          </w:p>
        </w:tc>
        <w:tc>
          <w:tcPr>
            <w:tcW w:w="688" w:type="pct"/>
            <w:vAlign w:val="center"/>
          </w:tcPr>
          <w:p w:rsidR="001A59F9" w:rsidRPr="005C7DCF" w:rsidRDefault="00AB54C1" w:rsidP="00704789">
            <w:pPr>
              <w:spacing w:before="29" w:line="288" w:lineRule="auto"/>
              <w:jc w:val="right"/>
              <w:rPr>
                <w:szCs w:val="21"/>
              </w:rPr>
            </w:pPr>
            <w:r w:rsidRPr="005C7DCF">
              <w:rPr>
                <w:szCs w:val="21"/>
              </w:rPr>
              <w:t>0.1734</w:t>
            </w:r>
          </w:p>
        </w:tc>
        <w:tc>
          <w:tcPr>
            <w:tcW w:w="744" w:type="pct"/>
            <w:vAlign w:val="center"/>
          </w:tcPr>
          <w:p w:rsidR="001A59F9" w:rsidRPr="005C7DCF" w:rsidRDefault="00AB54C1" w:rsidP="00704789">
            <w:pPr>
              <w:spacing w:before="29" w:line="288" w:lineRule="auto"/>
              <w:jc w:val="right"/>
              <w:rPr>
                <w:szCs w:val="21"/>
              </w:rPr>
            </w:pPr>
            <w:r w:rsidRPr="005C7DCF">
              <w:rPr>
                <w:szCs w:val="21"/>
              </w:rPr>
              <w:t>0.1779</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-0.84%</w:t>
            </w:r>
          </w:p>
        </w:tc>
        <w:tc>
          <w:tcPr>
            <w:tcW w:w="686" w:type="pct"/>
            <w:vAlign w:val="center"/>
          </w:tcPr>
          <w:p w:rsidR="001A59F9" w:rsidRPr="005C7DCF" w:rsidRDefault="001A59F9" w:rsidP="00704789">
            <w:pPr>
              <w:spacing w:before="29" w:line="288" w:lineRule="auto"/>
              <w:jc w:val="right"/>
              <w:rPr>
                <w:szCs w:val="21"/>
              </w:rPr>
            </w:pPr>
            <w:r w:rsidRPr="005C7DCF">
              <w:rPr>
                <w:szCs w:val="21"/>
              </w:rPr>
              <w:t>-1.10%</w:t>
            </w:r>
          </w:p>
        </w:tc>
        <w:tc>
          <w:tcPr>
            <w:tcW w:w="687" w:type="pct"/>
            <w:vAlign w:val="center"/>
          </w:tcPr>
          <w:p w:rsidR="001A59F9" w:rsidRPr="005C7DCF" w:rsidRDefault="00AB54C1" w:rsidP="00704789">
            <w:pPr>
              <w:spacing w:before="29" w:line="288" w:lineRule="auto"/>
              <w:jc w:val="right"/>
              <w:rPr>
                <w:szCs w:val="21"/>
              </w:rPr>
            </w:pPr>
            <w:r w:rsidRPr="005C7DCF">
              <w:rPr>
                <w:szCs w:val="21"/>
              </w:rPr>
              <w:t>8.19%</w:t>
            </w:r>
          </w:p>
        </w:tc>
        <w:tc>
          <w:tcPr>
            <w:tcW w:w="687" w:type="pct"/>
            <w:vAlign w:val="center"/>
          </w:tcPr>
          <w:p w:rsidR="001A59F9" w:rsidRPr="005C7DCF" w:rsidRDefault="00AB54C1" w:rsidP="00704789">
            <w:pPr>
              <w:spacing w:before="29" w:line="288" w:lineRule="auto"/>
              <w:jc w:val="right"/>
              <w:rPr>
                <w:szCs w:val="21"/>
              </w:rPr>
            </w:pPr>
            <w:r w:rsidRPr="005C7DCF">
              <w:rPr>
                <w:szCs w:val="21"/>
              </w:rPr>
              <w:t>7.76%</w:t>
            </w:r>
          </w:p>
        </w:tc>
        <w:tc>
          <w:tcPr>
            <w:tcW w:w="688" w:type="pct"/>
            <w:vAlign w:val="center"/>
          </w:tcPr>
          <w:p w:rsidR="001A59F9" w:rsidRPr="005C7DCF" w:rsidRDefault="00AB54C1" w:rsidP="00704789">
            <w:pPr>
              <w:spacing w:before="29" w:line="288" w:lineRule="auto"/>
              <w:jc w:val="right"/>
              <w:rPr>
                <w:szCs w:val="21"/>
              </w:rPr>
            </w:pPr>
            <w:r w:rsidRPr="005C7DCF">
              <w:rPr>
                <w:szCs w:val="21"/>
              </w:rPr>
              <w:t>17.02%</w:t>
            </w:r>
          </w:p>
        </w:tc>
        <w:tc>
          <w:tcPr>
            <w:tcW w:w="744" w:type="pct"/>
            <w:vAlign w:val="center"/>
          </w:tcPr>
          <w:p w:rsidR="001A59F9" w:rsidRPr="005C7DCF" w:rsidRDefault="00AB54C1" w:rsidP="00704789">
            <w:pPr>
              <w:spacing w:before="29" w:line="288" w:lineRule="auto"/>
              <w:jc w:val="right"/>
              <w:rPr>
                <w:szCs w:val="21"/>
              </w:rPr>
            </w:pPr>
            <w:r w:rsidRPr="005C7DCF">
              <w:rPr>
                <w:szCs w:val="21"/>
              </w:rPr>
              <w:t>17.45%</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-1.72%</w:t>
            </w:r>
          </w:p>
        </w:tc>
        <w:tc>
          <w:tcPr>
            <w:tcW w:w="686" w:type="pct"/>
            <w:vAlign w:val="center"/>
          </w:tcPr>
          <w:p w:rsidR="001A59F9" w:rsidRPr="005C7DCF" w:rsidRDefault="001A59F9" w:rsidP="00704789">
            <w:pPr>
              <w:spacing w:before="29" w:line="288" w:lineRule="auto"/>
              <w:jc w:val="right"/>
              <w:rPr>
                <w:szCs w:val="21"/>
              </w:rPr>
            </w:pPr>
            <w:r w:rsidRPr="005C7DCF">
              <w:rPr>
                <w:szCs w:val="21"/>
              </w:rPr>
              <w:t>-2.13%</w:t>
            </w:r>
          </w:p>
        </w:tc>
        <w:tc>
          <w:tcPr>
            <w:tcW w:w="687" w:type="pct"/>
            <w:vAlign w:val="center"/>
          </w:tcPr>
          <w:p w:rsidR="001A59F9" w:rsidRPr="005C7DCF" w:rsidRDefault="00AB54C1" w:rsidP="00704789">
            <w:pPr>
              <w:spacing w:before="29" w:line="288" w:lineRule="auto"/>
              <w:jc w:val="right"/>
              <w:rPr>
                <w:szCs w:val="21"/>
              </w:rPr>
            </w:pPr>
            <w:r w:rsidRPr="005C7DCF">
              <w:rPr>
                <w:szCs w:val="21"/>
              </w:rPr>
              <w:t>9.60%</w:t>
            </w:r>
          </w:p>
        </w:tc>
        <w:tc>
          <w:tcPr>
            <w:tcW w:w="687" w:type="pct"/>
            <w:vAlign w:val="center"/>
          </w:tcPr>
          <w:p w:rsidR="001A59F9" w:rsidRPr="005C7DCF" w:rsidRDefault="00AB54C1" w:rsidP="00704789">
            <w:pPr>
              <w:spacing w:before="29" w:line="288" w:lineRule="auto"/>
              <w:jc w:val="right"/>
              <w:rPr>
                <w:szCs w:val="21"/>
              </w:rPr>
            </w:pPr>
            <w:r w:rsidRPr="005C7DCF">
              <w:rPr>
                <w:szCs w:val="21"/>
              </w:rPr>
              <w:t>9.13%</w:t>
            </w:r>
          </w:p>
        </w:tc>
        <w:tc>
          <w:tcPr>
            <w:tcW w:w="688" w:type="pct"/>
            <w:vAlign w:val="center"/>
          </w:tcPr>
          <w:p w:rsidR="001A59F9" w:rsidRPr="005C7DCF" w:rsidRDefault="00AB54C1" w:rsidP="00704789">
            <w:pPr>
              <w:spacing w:before="29" w:line="288" w:lineRule="auto"/>
              <w:jc w:val="right"/>
              <w:rPr>
                <w:szCs w:val="21"/>
              </w:rPr>
            </w:pPr>
            <w:r w:rsidRPr="005C7DCF">
              <w:rPr>
                <w:szCs w:val="21"/>
              </w:rPr>
              <w:t>19.84%</w:t>
            </w:r>
          </w:p>
        </w:tc>
        <w:tc>
          <w:tcPr>
            <w:tcW w:w="744" w:type="pct"/>
            <w:vAlign w:val="center"/>
          </w:tcPr>
          <w:p w:rsidR="001A59F9" w:rsidRPr="005C7DCF" w:rsidRDefault="00AB54C1" w:rsidP="00704789">
            <w:pPr>
              <w:spacing w:before="29" w:line="288" w:lineRule="auto"/>
              <w:jc w:val="right"/>
              <w:rPr>
                <w:szCs w:val="21"/>
              </w:rPr>
            </w:pPr>
            <w:r w:rsidRPr="005C7DCF">
              <w:rPr>
                <w:szCs w:val="21"/>
              </w:rPr>
              <w:t>19.35%</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交银增利债券</w:t>
            </w:r>
            <w:r w:rsidRPr="005C7DCF">
              <w:rPr>
                <w:szCs w:val="21"/>
              </w:rPr>
              <w:t>A/B</w:t>
            </w:r>
          </w:p>
        </w:tc>
        <w:tc>
          <w:tcPr>
            <w:tcW w:w="687" w:type="pct"/>
            <w:vAlign w:val="center"/>
          </w:tcPr>
          <w:p w:rsidR="001A59F9" w:rsidRPr="005C7DCF" w:rsidRDefault="001A59F9" w:rsidP="00C179C7">
            <w:pPr>
              <w:spacing w:before="29" w:line="288" w:lineRule="auto"/>
              <w:rPr>
                <w:szCs w:val="21"/>
              </w:rPr>
            </w:pPr>
            <w:r w:rsidRPr="005C7DCF">
              <w:rPr>
                <w:szCs w:val="21"/>
              </w:rPr>
              <w:t>交银增利债券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交银增利债券</w:t>
            </w:r>
            <w:r w:rsidRPr="005C7DCF">
              <w:rPr>
                <w:szCs w:val="21"/>
              </w:rPr>
              <w:t>A/B</w:t>
            </w:r>
          </w:p>
        </w:tc>
        <w:tc>
          <w:tcPr>
            <w:tcW w:w="688" w:type="pct"/>
            <w:vAlign w:val="center"/>
          </w:tcPr>
          <w:p w:rsidR="001A59F9" w:rsidRPr="005C7DCF" w:rsidRDefault="00AB54C1" w:rsidP="00C179C7">
            <w:pPr>
              <w:spacing w:before="29" w:line="288" w:lineRule="auto"/>
              <w:rPr>
                <w:szCs w:val="21"/>
              </w:rPr>
            </w:pPr>
            <w:r w:rsidRPr="005C7DCF">
              <w:rPr>
                <w:szCs w:val="21"/>
              </w:rPr>
              <w:t>交银增利债券</w:t>
            </w:r>
            <w:r w:rsidRPr="005C7DCF">
              <w:rPr>
                <w:szCs w:val="21"/>
              </w:rPr>
              <w:t>C</w:t>
            </w:r>
          </w:p>
        </w:tc>
        <w:tc>
          <w:tcPr>
            <w:tcW w:w="684" w:type="pct"/>
            <w:vAlign w:val="center"/>
          </w:tcPr>
          <w:p w:rsidR="001A59F9" w:rsidRPr="005C7DCF" w:rsidRDefault="00AB54C1" w:rsidP="00C179C7">
            <w:pPr>
              <w:spacing w:before="29" w:line="288" w:lineRule="auto"/>
              <w:rPr>
                <w:szCs w:val="21"/>
              </w:rPr>
            </w:pPr>
            <w:r w:rsidRPr="005C7DCF">
              <w:rPr>
                <w:szCs w:val="21"/>
              </w:rPr>
              <w:t>交银增利债券</w:t>
            </w:r>
            <w:r w:rsidRPr="005C7DCF">
              <w:rPr>
                <w:szCs w:val="21"/>
              </w:rPr>
              <w:t>A/B</w:t>
            </w:r>
          </w:p>
        </w:tc>
        <w:tc>
          <w:tcPr>
            <w:tcW w:w="744" w:type="pct"/>
            <w:vAlign w:val="center"/>
          </w:tcPr>
          <w:p w:rsidR="001A59F9" w:rsidRPr="005C7DCF" w:rsidRDefault="00AB54C1" w:rsidP="00C179C7">
            <w:pPr>
              <w:spacing w:before="29" w:line="288" w:lineRule="auto"/>
              <w:rPr>
                <w:szCs w:val="21"/>
              </w:rPr>
            </w:pPr>
            <w:r w:rsidRPr="005C7DCF">
              <w:rPr>
                <w:szCs w:val="21"/>
              </w:rPr>
              <w:t>交银增利债券</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-13,810,626.01</w:t>
            </w:r>
          </w:p>
        </w:tc>
        <w:tc>
          <w:tcPr>
            <w:tcW w:w="687" w:type="pct"/>
            <w:vAlign w:val="center"/>
          </w:tcPr>
          <w:p w:rsidR="001A59F9" w:rsidRPr="005C7DCF" w:rsidRDefault="001A59F9" w:rsidP="0078762A">
            <w:pPr>
              <w:spacing w:before="29" w:line="288" w:lineRule="auto"/>
              <w:jc w:val="right"/>
              <w:rPr>
                <w:szCs w:val="21"/>
              </w:rPr>
            </w:pPr>
            <w:r w:rsidRPr="005C7DCF">
              <w:rPr>
                <w:szCs w:val="21"/>
              </w:rPr>
              <w:t>-3,900,989.57</w:t>
            </w:r>
          </w:p>
        </w:tc>
        <w:tc>
          <w:tcPr>
            <w:tcW w:w="688" w:type="pct"/>
            <w:vAlign w:val="center"/>
          </w:tcPr>
          <w:p w:rsidR="001A59F9" w:rsidRPr="005C7DCF" w:rsidRDefault="00AB54C1" w:rsidP="0078762A">
            <w:pPr>
              <w:spacing w:before="29" w:line="288" w:lineRule="auto"/>
              <w:jc w:val="right"/>
              <w:rPr>
                <w:szCs w:val="21"/>
              </w:rPr>
            </w:pPr>
            <w:r w:rsidRPr="005C7DCF">
              <w:rPr>
                <w:szCs w:val="21"/>
              </w:rPr>
              <w:t>45,916,338.10</w:t>
            </w:r>
          </w:p>
        </w:tc>
        <w:tc>
          <w:tcPr>
            <w:tcW w:w="688" w:type="pct"/>
            <w:vAlign w:val="center"/>
          </w:tcPr>
          <w:p w:rsidR="001A59F9" w:rsidRPr="005C7DCF" w:rsidRDefault="00AB54C1" w:rsidP="0078762A">
            <w:pPr>
              <w:spacing w:before="29" w:line="288" w:lineRule="auto"/>
              <w:jc w:val="right"/>
              <w:rPr>
                <w:szCs w:val="21"/>
              </w:rPr>
            </w:pPr>
            <w:r w:rsidRPr="005C7DCF">
              <w:rPr>
                <w:szCs w:val="21"/>
              </w:rPr>
              <w:t>15,561,196.99</w:t>
            </w:r>
          </w:p>
        </w:tc>
        <w:tc>
          <w:tcPr>
            <w:tcW w:w="684" w:type="pct"/>
            <w:vAlign w:val="center"/>
          </w:tcPr>
          <w:p w:rsidR="001A59F9" w:rsidRPr="005C7DCF" w:rsidRDefault="00AB54C1" w:rsidP="0078762A">
            <w:pPr>
              <w:spacing w:before="29" w:line="288" w:lineRule="auto"/>
              <w:jc w:val="right"/>
              <w:rPr>
                <w:szCs w:val="21"/>
              </w:rPr>
            </w:pPr>
            <w:r w:rsidRPr="005C7DCF">
              <w:rPr>
                <w:szCs w:val="21"/>
              </w:rPr>
              <w:t>84,480,717.41</w:t>
            </w:r>
          </w:p>
        </w:tc>
        <w:tc>
          <w:tcPr>
            <w:tcW w:w="744" w:type="pct"/>
            <w:vAlign w:val="center"/>
          </w:tcPr>
          <w:p w:rsidR="001A59F9" w:rsidRPr="005C7DCF" w:rsidRDefault="00AB54C1" w:rsidP="0078762A">
            <w:pPr>
              <w:spacing w:before="29" w:line="288" w:lineRule="auto"/>
              <w:jc w:val="right"/>
              <w:rPr>
                <w:szCs w:val="21"/>
              </w:rPr>
            </w:pPr>
            <w:r w:rsidRPr="005C7DCF">
              <w:rPr>
                <w:szCs w:val="21"/>
              </w:rPr>
              <w:t>17,260,211.84</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-0.0321</w:t>
            </w:r>
          </w:p>
        </w:tc>
        <w:tc>
          <w:tcPr>
            <w:tcW w:w="687" w:type="pct"/>
            <w:vAlign w:val="center"/>
          </w:tcPr>
          <w:p w:rsidR="001A59F9" w:rsidRPr="005C7DCF" w:rsidRDefault="001A59F9" w:rsidP="0078762A">
            <w:pPr>
              <w:spacing w:before="29" w:line="288" w:lineRule="auto"/>
              <w:jc w:val="right"/>
              <w:rPr>
                <w:szCs w:val="21"/>
              </w:rPr>
            </w:pPr>
            <w:r w:rsidRPr="005C7DCF">
              <w:rPr>
                <w:szCs w:val="21"/>
              </w:rPr>
              <w:t>-0.0340</w:t>
            </w:r>
          </w:p>
        </w:tc>
        <w:tc>
          <w:tcPr>
            <w:tcW w:w="688" w:type="pct"/>
            <w:vAlign w:val="center"/>
          </w:tcPr>
          <w:p w:rsidR="001A59F9" w:rsidRPr="005C7DCF" w:rsidRDefault="00AB54C1" w:rsidP="0078762A">
            <w:pPr>
              <w:spacing w:before="29" w:line="288" w:lineRule="auto"/>
              <w:jc w:val="right"/>
              <w:rPr>
                <w:szCs w:val="21"/>
              </w:rPr>
            </w:pPr>
            <w:r w:rsidRPr="005C7DCF">
              <w:rPr>
                <w:szCs w:val="21"/>
              </w:rPr>
              <w:t>0.0483</w:t>
            </w:r>
          </w:p>
        </w:tc>
        <w:tc>
          <w:tcPr>
            <w:tcW w:w="688" w:type="pct"/>
            <w:vAlign w:val="center"/>
          </w:tcPr>
          <w:p w:rsidR="001A59F9" w:rsidRPr="005C7DCF" w:rsidRDefault="00AB54C1" w:rsidP="0078762A">
            <w:pPr>
              <w:spacing w:before="29" w:line="288" w:lineRule="auto"/>
              <w:jc w:val="right"/>
              <w:rPr>
                <w:szCs w:val="21"/>
              </w:rPr>
            </w:pPr>
            <w:r w:rsidRPr="005C7DCF">
              <w:rPr>
                <w:szCs w:val="21"/>
              </w:rPr>
              <w:t>0.0457</w:t>
            </w:r>
          </w:p>
        </w:tc>
        <w:tc>
          <w:tcPr>
            <w:tcW w:w="684" w:type="pct"/>
            <w:vAlign w:val="center"/>
          </w:tcPr>
          <w:p w:rsidR="001A59F9" w:rsidRPr="005C7DCF" w:rsidRDefault="00AB54C1" w:rsidP="0078762A">
            <w:pPr>
              <w:spacing w:before="29" w:line="288" w:lineRule="auto"/>
              <w:jc w:val="right"/>
              <w:rPr>
                <w:szCs w:val="21"/>
              </w:rPr>
            </w:pPr>
            <w:r w:rsidRPr="005C7DCF">
              <w:rPr>
                <w:szCs w:val="21"/>
              </w:rPr>
              <w:t>0.0835</w:t>
            </w:r>
          </w:p>
        </w:tc>
        <w:tc>
          <w:tcPr>
            <w:tcW w:w="744" w:type="pct"/>
            <w:vAlign w:val="center"/>
          </w:tcPr>
          <w:p w:rsidR="001A59F9" w:rsidRPr="005C7DCF" w:rsidRDefault="00AB54C1" w:rsidP="0078762A">
            <w:pPr>
              <w:spacing w:before="29" w:line="288" w:lineRule="auto"/>
              <w:jc w:val="right"/>
              <w:rPr>
                <w:szCs w:val="21"/>
              </w:rPr>
            </w:pPr>
            <w:r w:rsidRPr="005C7DCF">
              <w:rPr>
                <w:szCs w:val="21"/>
              </w:rPr>
              <w:t>0.0814</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416,623,679.11</w:t>
            </w:r>
          </w:p>
        </w:tc>
        <w:tc>
          <w:tcPr>
            <w:tcW w:w="687" w:type="pct"/>
            <w:vAlign w:val="center"/>
          </w:tcPr>
          <w:p w:rsidR="001A59F9" w:rsidRPr="005C7DCF" w:rsidRDefault="001A59F9" w:rsidP="0078762A">
            <w:pPr>
              <w:spacing w:before="29" w:line="288" w:lineRule="auto"/>
              <w:jc w:val="right"/>
              <w:rPr>
                <w:szCs w:val="21"/>
              </w:rPr>
            </w:pPr>
            <w:r w:rsidRPr="005C7DCF">
              <w:rPr>
                <w:szCs w:val="21"/>
              </w:rPr>
              <w:t>110,674,161.10</w:t>
            </w:r>
          </w:p>
        </w:tc>
        <w:tc>
          <w:tcPr>
            <w:tcW w:w="688" w:type="pct"/>
            <w:vAlign w:val="center"/>
          </w:tcPr>
          <w:p w:rsidR="001A59F9" w:rsidRPr="005C7DCF" w:rsidRDefault="00AB54C1" w:rsidP="0078762A">
            <w:pPr>
              <w:spacing w:before="29" w:line="288" w:lineRule="auto"/>
              <w:jc w:val="right"/>
              <w:rPr>
                <w:szCs w:val="21"/>
              </w:rPr>
            </w:pPr>
            <w:r w:rsidRPr="005C7DCF">
              <w:rPr>
                <w:szCs w:val="21"/>
              </w:rPr>
              <w:t>996,213,367.30</w:t>
            </w:r>
          </w:p>
        </w:tc>
        <w:tc>
          <w:tcPr>
            <w:tcW w:w="688" w:type="pct"/>
            <w:vAlign w:val="center"/>
          </w:tcPr>
          <w:p w:rsidR="001A59F9" w:rsidRPr="005C7DCF" w:rsidRDefault="00AB54C1" w:rsidP="0078762A">
            <w:pPr>
              <w:spacing w:before="29" w:line="288" w:lineRule="auto"/>
              <w:jc w:val="right"/>
              <w:rPr>
                <w:szCs w:val="21"/>
              </w:rPr>
            </w:pPr>
            <w:r w:rsidRPr="005C7DCF">
              <w:rPr>
                <w:szCs w:val="21"/>
              </w:rPr>
              <w:t>356,087,946.82</w:t>
            </w:r>
          </w:p>
        </w:tc>
        <w:tc>
          <w:tcPr>
            <w:tcW w:w="684" w:type="pct"/>
            <w:vAlign w:val="center"/>
          </w:tcPr>
          <w:p w:rsidR="001A59F9" w:rsidRPr="005C7DCF" w:rsidRDefault="00AB54C1" w:rsidP="0078762A">
            <w:pPr>
              <w:spacing w:before="29" w:line="288" w:lineRule="auto"/>
              <w:jc w:val="right"/>
              <w:rPr>
                <w:szCs w:val="21"/>
              </w:rPr>
            </w:pPr>
            <w:r w:rsidRPr="005C7DCF">
              <w:rPr>
                <w:szCs w:val="21"/>
              </w:rPr>
              <w:t>1,096,370,858.68</w:t>
            </w:r>
          </w:p>
        </w:tc>
        <w:tc>
          <w:tcPr>
            <w:tcW w:w="744" w:type="pct"/>
            <w:vAlign w:val="center"/>
          </w:tcPr>
          <w:p w:rsidR="001A59F9" w:rsidRPr="005C7DCF" w:rsidRDefault="00AB54C1" w:rsidP="0078762A">
            <w:pPr>
              <w:spacing w:before="29" w:line="288" w:lineRule="auto"/>
              <w:jc w:val="right"/>
              <w:rPr>
                <w:szCs w:val="21"/>
              </w:rPr>
            </w:pPr>
            <w:r w:rsidRPr="005C7DCF">
              <w:rPr>
                <w:szCs w:val="21"/>
              </w:rPr>
              <w:t>229,314,997.23</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0.9679</w:t>
            </w:r>
          </w:p>
        </w:tc>
        <w:tc>
          <w:tcPr>
            <w:tcW w:w="687" w:type="pct"/>
            <w:vAlign w:val="center"/>
          </w:tcPr>
          <w:p w:rsidR="001A59F9" w:rsidRPr="005C7DCF" w:rsidRDefault="001A59F9" w:rsidP="0078762A">
            <w:pPr>
              <w:spacing w:before="29" w:line="288" w:lineRule="auto"/>
              <w:jc w:val="right"/>
              <w:rPr>
                <w:szCs w:val="21"/>
              </w:rPr>
            </w:pPr>
            <w:r w:rsidRPr="005C7DCF">
              <w:rPr>
                <w:szCs w:val="21"/>
              </w:rPr>
              <w:t>0.9660</w:t>
            </w:r>
          </w:p>
        </w:tc>
        <w:tc>
          <w:tcPr>
            <w:tcW w:w="688" w:type="pct"/>
            <w:vAlign w:val="center"/>
          </w:tcPr>
          <w:p w:rsidR="001A59F9" w:rsidRPr="005C7DCF" w:rsidRDefault="00AB54C1" w:rsidP="0078762A">
            <w:pPr>
              <w:spacing w:before="29" w:line="288" w:lineRule="auto"/>
              <w:jc w:val="right"/>
              <w:rPr>
                <w:szCs w:val="21"/>
              </w:rPr>
            </w:pPr>
            <w:r w:rsidRPr="005C7DCF">
              <w:rPr>
                <w:szCs w:val="21"/>
              </w:rPr>
              <w:t>1.0483</w:t>
            </w:r>
          </w:p>
        </w:tc>
        <w:tc>
          <w:tcPr>
            <w:tcW w:w="688" w:type="pct"/>
            <w:vAlign w:val="center"/>
          </w:tcPr>
          <w:p w:rsidR="001A59F9" w:rsidRPr="005C7DCF" w:rsidRDefault="00AB54C1" w:rsidP="0078762A">
            <w:pPr>
              <w:spacing w:before="29" w:line="288" w:lineRule="auto"/>
              <w:jc w:val="right"/>
              <w:rPr>
                <w:szCs w:val="21"/>
              </w:rPr>
            </w:pPr>
            <w:r w:rsidRPr="005C7DCF">
              <w:rPr>
                <w:szCs w:val="21"/>
              </w:rPr>
              <w:t>1.0457</w:t>
            </w:r>
          </w:p>
        </w:tc>
        <w:tc>
          <w:tcPr>
            <w:tcW w:w="684" w:type="pct"/>
            <w:vAlign w:val="center"/>
          </w:tcPr>
          <w:p w:rsidR="001A59F9" w:rsidRPr="005C7DCF" w:rsidRDefault="00AB54C1" w:rsidP="0078762A">
            <w:pPr>
              <w:spacing w:before="29" w:line="288" w:lineRule="auto"/>
              <w:jc w:val="right"/>
              <w:rPr>
                <w:szCs w:val="21"/>
              </w:rPr>
            </w:pPr>
            <w:r w:rsidRPr="005C7DCF">
              <w:rPr>
                <w:szCs w:val="21"/>
              </w:rPr>
              <w:t>1.0835</w:t>
            </w:r>
          </w:p>
        </w:tc>
        <w:tc>
          <w:tcPr>
            <w:tcW w:w="744" w:type="pct"/>
            <w:vAlign w:val="center"/>
          </w:tcPr>
          <w:p w:rsidR="001A59F9" w:rsidRPr="005C7DCF" w:rsidRDefault="00AB54C1" w:rsidP="0078762A">
            <w:pPr>
              <w:spacing w:before="29" w:line="288" w:lineRule="auto"/>
              <w:jc w:val="right"/>
              <w:rPr>
                <w:szCs w:val="21"/>
              </w:rPr>
            </w:pPr>
            <w:r w:rsidRPr="005C7DCF">
              <w:rPr>
                <w:szCs w:val="21"/>
              </w:rPr>
              <w:t>1.0814</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2015</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交银增利债券</w:t>
            </w:r>
            <w:r w:rsidRPr="005C7DCF">
              <w:rPr>
                <w:szCs w:val="21"/>
              </w:rPr>
              <w:t>A/B</w:t>
            </w:r>
          </w:p>
        </w:tc>
        <w:tc>
          <w:tcPr>
            <w:tcW w:w="687" w:type="pct"/>
            <w:vAlign w:val="center"/>
          </w:tcPr>
          <w:p w:rsidR="001A59F9" w:rsidRPr="005C7DCF" w:rsidRDefault="001A59F9" w:rsidP="002C1FC6">
            <w:pPr>
              <w:spacing w:before="29" w:line="288" w:lineRule="auto"/>
              <w:rPr>
                <w:szCs w:val="21"/>
              </w:rPr>
            </w:pPr>
            <w:r w:rsidRPr="005C7DCF">
              <w:rPr>
                <w:szCs w:val="21"/>
              </w:rPr>
              <w:t>交银增利债券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交银增利债券</w:t>
            </w:r>
            <w:r w:rsidRPr="005C7DCF">
              <w:rPr>
                <w:szCs w:val="21"/>
              </w:rPr>
              <w:t>A/B</w:t>
            </w:r>
          </w:p>
        </w:tc>
        <w:tc>
          <w:tcPr>
            <w:tcW w:w="688" w:type="pct"/>
            <w:vAlign w:val="center"/>
          </w:tcPr>
          <w:p w:rsidR="001A59F9" w:rsidRPr="005C7DCF" w:rsidRDefault="00AB54C1" w:rsidP="002C1FC6">
            <w:pPr>
              <w:spacing w:before="29" w:line="288" w:lineRule="auto"/>
              <w:rPr>
                <w:szCs w:val="21"/>
              </w:rPr>
            </w:pPr>
            <w:r w:rsidRPr="005C7DCF">
              <w:rPr>
                <w:szCs w:val="21"/>
              </w:rPr>
              <w:t>交银增利债券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交银增利债券</w:t>
            </w:r>
            <w:r w:rsidRPr="005C7DCF">
              <w:rPr>
                <w:szCs w:val="21"/>
              </w:rPr>
              <w:t>A/B</w:t>
            </w:r>
          </w:p>
        </w:tc>
        <w:tc>
          <w:tcPr>
            <w:tcW w:w="743" w:type="pct"/>
            <w:vAlign w:val="center"/>
          </w:tcPr>
          <w:p w:rsidR="001A59F9" w:rsidRPr="005C7DCF" w:rsidRDefault="00AB54C1" w:rsidP="002C1FC6">
            <w:pPr>
              <w:spacing w:before="29" w:line="288" w:lineRule="auto"/>
              <w:rPr>
                <w:szCs w:val="21"/>
              </w:rPr>
            </w:pPr>
            <w:r w:rsidRPr="005C7DCF">
              <w:rPr>
                <w:szCs w:val="21"/>
              </w:rPr>
              <w:t>交银增利债券</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72.43%</w:t>
            </w:r>
          </w:p>
        </w:tc>
        <w:tc>
          <w:tcPr>
            <w:tcW w:w="687" w:type="pct"/>
            <w:vAlign w:val="center"/>
          </w:tcPr>
          <w:p w:rsidR="001A59F9" w:rsidRPr="005C7DCF" w:rsidRDefault="001A59F9" w:rsidP="00704789">
            <w:pPr>
              <w:spacing w:before="29" w:line="288" w:lineRule="auto"/>
              <w:jc w:val="right"/>
              <w:rPr>
                <w:szCs w:val="21"/>
              </w:rPr>
            </w:pPr>
            <w:r w:rsidRPr="005C7DCF">
              <w:rPr>
                <w:szCs w:val="21"/>
              </w:rPr>
              <w:t>65.99%</w:t>
            </w:r>
          </w:p>
        </w:tc>
        <w:tc>
          <w:tcPr>
            <w:tcW w:w="687" w:type="pct"/>
            <w:vAlign w:val="center"/>
          </w:tcPr>
          <w:p w:rsidR="001A59F9" w:rsidRPr="005C7DCF" w:rsidRDefault="00AB54C1" w:rsidP="00704789">
            <w:pPr>
              <w:spacing w:before="29" w:line="288" w:lineRule="auto"/>
              <w:jc w:val="right"/>
              <w:rPr>
                <w:szCs w:val="21"/>
              </w:rPr>
            </w:pPr>
            <w:r w:rsidRPr="005C7DCF">
              <w:rPr>
                <w:szCs w:val="21"/>
              </w:rPr>
              <w:t>75.44%</w:t>
            </w:r>
          </w:p>
        </w:tc>
        <w:tc>
          <w:tcPr>
            <w:tcW w:w="688" w:type="pct"/>
            <w:vAlign w:val="center"/>
          </w:tcPr>
          <w:p w:rsidR="001A59F9" w:rsidRPr="005C7DCF" w:rsidRDefault="00AB54C1" w:rsidP="00704789">
            <w:pPr>
              <w:spacing w:before="29" w:line="288" w:lineRule="auto"/>
              <w:jc w:val="right"/>
              <w:rPr>
                <w:szCs w:val="21"/>
              </w:rPr>
            </w:pPr>
            <w:r w:rsidRPr="005C7DCF">
              <w:rPr>
                <w:szCs w:val="21"/>
              </w:rPr>
              <w:t>69.61%</w:t>
            </w:r>
          </w:p>
        </w:tc>
        <w:tc>
          <w:tcPr>
            <w:tcW w:w="687" w:type="pct"/>
            <w:vAlign w:val="center"/>
          </w:tcPr>
          <w:p w:rsidR="001A59F9" w:rsidRPr="005C7DCF" w:rsidRDefault="00AB54C1" w:rsidP="00704789">
            <w:pPr>
              <w:spacing w:before="29" w:line="288" w:lineRule="auto"/>
              <w:jc w:val="right"/>
              <w:rPr>
                <w:szCs w:val="21"/>
              </w:rPr>
            </w:pPr>
            <w:r w:rsidRPr="005C7DCF">
              <w:rPr>
                <w:szCs w:val="21"/>
              </w:rPr>
              <w:t>60.07%</w:t>
            </w:r>
          </w:p>
        </w:tc>
        <w:tc>
          <w:tcPr>
            <w:tcW w:w="743" w:type="pct"/>
            <w:vAlign w:val="center"/>
          </w:tcPr>
          <w:p w:rsidR="001A59F9" w:rsidRPr="005C7DCF" w:rsidRDefault="00AB54C1" w:rsidP="00704789">
            <w:pPr>
              <w:spacing w:before="29" w:line="288" w:lineRule="auto"/>
              <w:jc w:val="right"/>
              <w:rPr>
                <w:szCs w:val="21"/>
              </w:rPr>
            </w:pPr>
            <w:r w:rsidRPr="005C7DCF">
              <w:rPr>
                <w:szCs w:val="21"/>
              </w:rPr>
              <w:t>55.43%</w:t>
            </w:r>
          </w:p>
        </w:tc>
      </w:tr>
    </w:tbl>
    <w:p w:rsidR="00A46313" w:rsidRDefault="0012579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w:t>
      </w:r>
      <w:r>
        <w:rPr>
          <w:kern w:val="0"/>
          <w:sz w:val="24"/>
        </w:rPr>
        <w:t xml:space="preserve"> </w:t>
      </w:r>
      <w:r>
        <w:rPr>
          <w:kern w:val="0"/>
          <w:sz w:val="24"/>
        </w:rPr>
        <w:t>实际收益水平要低于所列数字；</w:t>
      </w:r>
    </w:p>
    <w:p w:rsidR="001A59F9" w:rsidRPr="00400137" w:rsidRDefault="001A59F9" w:rsidP="00400137">
      <w:pPr>
        <w:tabs>
          <w:tab w:val="left" w:pos="426"/>
        </w:tabs>
        <w:spacing w:before="29" w:line="288" w:lineRule="auto"/>
        <w:jc w:val="left"/>
        <w:rPr>
          <w:kern w:val="0"/>
          <w:sz w:val="24"/>
        </w:rPr>
      </w:pPr>
      <w:r w:rsidRPr="00400137">
        <w:rPr>
          <w:kern w:val="0"/>
          <w:sz w:val="24"/>
        </w:rPr>
        <w:lastRenderedPageBreak/>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32" w:name="_Toc225498252"/>
      <w:bookmarkStart w:id="33" w:name="_Toc361324852"/>
      <w:bookmarkStart w:id="34" w:name="_Toc478236521"/>
      <w:r w:rsidRPr="004211FD">
        <w:rPr>
          <w:rFonts w:ascii="Times New Roman" w:hAnsi="Times New Roman"/>
          <w:kern w:val="0"/>
          <w:szCs w:val="24"/>
        </w:rPr>
        <w:t xml:space="preserve">3.2 </w:t>
      </w:r>
      <w:r w:rsidRPr="004211FD">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交银增利债券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A46313">
        <w:tc>
          <w:tcPr>
            <w:tcW w:w="1286" w:type="dxa"/>
            <w:vAlign w:val="center"/>
          </w:tcPr>
          <w:p w:rsidR="00A46313" w:rsidRDefault="00125795">
            <w:pPr>
              <w:jc w:val="left"/>
            </w:pPr>
            <w:r>
              <w:rPr>
                <w:color w:val="000000"/>
                <w:sz w:val="24"/>
              </w:rPr>
              <w:t>过去三个月</w:t>
            </w:r>
          </w:p>
        </w:tc>
        <w:tc>
          <w:tcPr>
            <w:tcW w:w="1286" w:type="dxa"/>
            <w:vAlign w:val="center"/>
          </w:tcPr>
          <w:p w:rsidR="00A46313" w:rsidRDefault="00125795">
            <w:pPr>
              <w:jc w:val="center"/>
            </w:pPr>
            <w:r>
              <w:rPr>
                <w:color w:val="000000"/>
                <w:sz w:val="24"/>
              </w:rPr>
              <w:t>-3.30%</w:t>
            </w:r>
          </w:p>
        </w:tc>
        <w:tc>
          <w:tcPr>
            <w:tcW w:w="1286" w:type="dxa"/>
            <w:vAlign w:val="center"/>
          </w:tcPr>
          <w:p w:rsidR="00A46313" w:rsidRDefault="00125795">
            <w:pPr>
              <w:jc w:val="center"/>
            </w:pPr>
            <w:r>
              <w:rPr>
                <w:color w:val="000000"/>
                <w:sz w:val="24"/>
              </w:rPr>
              <w:t>0.19%</w:t>
            </w:r>
          </w:p>
        </w:tc>
        <w:tc>
          <w:tcPr>
            <w:tcW w:w="1285" w:type="dxa"/>
            <w:vAlign w:val="center"/>
          </w:tcPr>
          <w:p w:rsidR="00A46313" w:rsidRDefault="00125795">
            <w:pPr>
              <w:jc w:val="center"/>
            </w:pPr>
            <w:r>
              <w:rPr>
                <w:color w:val="000000"/>
                <w:sz w:val="24"/>
              </w:rPr>
              <w:t>-4.97%</w:t>
            </w:r>
          </w:p>
        </w:tc>
        <w:tc>
          <w:tcPr>
            <w:tcW w:w="1285" w:type="dxa"/>
            <w:vAlign w:val="center"/>
          </w:tcPr>
          <w:p w:rsidR="00A46313" w:rsidRDefault="00125795">
            <w:pPr>
              <w:jc w:val="center"/>
            </w:pPr>
            <w:r>
              <w:rPr>
                <w:color w:val="000000"/>
                <w:sz w:val="24"/>
              </w:rPr>
              <w:t>0.15%</w:t>
            </w:r>
          </w:p>
        </w:tc>
        <w:tc>
          <w:tcPr>
            <w:tcW w:w="1285" w:type="dxa"/>
            <w:vAlign w:val="center"/>
          </w:tcPr>
          <w:p w:rsidR="00A46313" w:rsidRDefault="00125795">
            <w:pPr>
              <w:jc w:val="center"/>
            </w:pPr>
            <w:r>
              <w:rPr>
                <w:color w:val="000000"/>
                <w:sz w:val="24"/>
              </w:rPr>
              <w:t>1.67%</w:t>
            </w:r>
          </w:p>
        </w:tc>
        <w:tc>
          <w:tcPr>
            <w:tcW w:w="1285" w:type="dxa"/>
            <w:vAlign w:val="center"/>
          </w:tcPr>
          <w:p w:rsidR="00A46313" w:rsidRDefault="00125795">
            <w:pPr>
              <w:jc w:val="center"/>
            </w:pPr>
            <w:r>
              <w:rPr>
                <w:color w:val="000000"/>
                <w:sz w:val="24"/>
              </w:rPr>
              <w:t>0.04%</w:t>
            </w:r>
          </w:p>
        </w:tc>
      </w:tr>
      <w:tr w:rsidR="00A46313">
        <w:tc>
          <w:tcPr>
            <w:tcW w:w="1286" w:type="dxa"/>
            <w:vAlign w:val="center"/>
          </w:tcPr>
          <w:p w:rsidR="00A46313" w:rsidRDefault="00125795">
            <w:pPr>
              <w:jc w:val="left"/>
            </w:pPr>
            <w:r>
              <w:rPr>
                <w:color w:val="000000"/>
                <w:sz w:val="24"/>
              </w:rPr>
              <w:t>过去六个月</w:t>
            </w:r>
          </w:p>
        </w:tc>
        <w:tc>
          <w:tcPr>
            <w:tcW w:w="1286" w:type="dxa"/>
            <w:vAlign w:val="center"/>
          </w:tcPr>
          <w:p w:rsidR="00A46313" w:rsidRDefault="00125795">
            <w:pPr>
              <w:jc w:val="center"/>
            </w:pPr>
            <w:r>
              <w:rPr>
                <w:color w:val="000000"/>
                <w:sz w:val="24"/>
              </w:rPr>
              <w:t>-1.58%</w:t>
            </w:r>
          </w:p>
        </w:tc>
        <w:tc>
          <w:tcPr>
            <w:tcW w:w="1286" w:type="dxa"/>
            <w:vAlign w:val="center"/>
          </w:tcPr>
          <w:p w:rsidR="00A46313" w:rsidRDefault="00125795">
            <w:pPr>
              <w:jc w:val="center"/>
            </w:pPr>
            <w:r>
              <w:rPr>
                <w:color w:val="000000"/>
                <w:sz w:val="24"/>
              </w:rPr>
              <w:t>0.14%</w:t>
            </w:r>
          </w:p>
        </w:tc>
        <w:tc>
          <w:tcPr>
            <w:tcW w:w="1285" w:type="dxa"/>
            <w:vAlign w:val="center"/>
          </w:tcPr>
          <w:p w:rsidR="00A46313" w:rsidRDefault="00125795">
            <w:pPr>
              <w:jc w:val="center"/>
            </w:pPr>
            <w:r>
              <w:rPr>
                <w:color w:val="000000"/>
                <w:sz w:val="24"/>
              </w:rPr>
              <w:t>-4.71%</w:t>
            </w:r>
          </w:p>
        </w:tc>
        <w:tc>
          <w:tcPr>
            <w:tcW w:w="1285" w:type="dxa"/>
            <w:vAlign w:val="center"/>
          </w:tcPr>
          <w:p w:rsidR="00A46313" w:rsidRDefault="00125795">
            <w:pPr>
              <w:jc w:val="center"/>
            </w:pPr>
            <w:r>
              <w:rPr>
                <w:color w:val="000000"/>
                <w:sz w:val="24"/>
              </w:rPr>
              <w:t>0.12%</w:t>
            </w:r>
          </w:p>
        </w:tc>
        <w:tc>
          <w:tcPr>
            <w:tcW w:w="1285" w:type="dxa"/>
            <w:vAlign w:val="center"/>
          </w:tcPr>
          <w:p w:rsidR="00A46313" w:rsidRDefault="00125795">
            <w:pPr>
              <w:jc w:val="center"/>
            </w:pPr>
            <w:r>
              <w:rPr>
                <w:color w:val="000000"/>
                <w:sz w:val="24"/>
              </w:rPr>
              <w:t>3.13%</w:t>
            </w:r>
          </w:p>
        </w:tc>
        <w:tc>
          <w:tcPr>
            <w:tcW w:w="1285" w:type="dxa"/>
            <w:vAlign w:val="center"/>
          </w:tcPr>
          <w:p w:rsidR="00A46313" w:rsidRDefault="00125795">
            <w:pPr>
              <w:jc w:val="center"/>
            </w:pPr>
            <w:r>
              <w:rPr>
                <w:color w:val="000000"/>
                <w:sz w:val="24"/>
              </w:rPr>
              <w:t>0.02%</w:t>
            </w:r>
          </w:p>
        </w:tc>
      </w:tr>
      <w:tr w:rsidR="00A46313">
        <w:tc>
          <w:tcPr>
            <w:tcW w:w="1286" w:type="dxa"/>
            <w:vAlign w:val="center"/>
          </w:tcPr>
          <w:p w:rsidR="00A46313" w:rsidRDefault="00125795">
            <w:pPr>
              <w:jc w:val="left"/>
            </w:pPr>
            <w:r>
              <w:rPr>
                <w:color w:val="000000"/>
                <w:sz w:val="24"/>
              </w:rPr>
              <w:t>过去一年</w:t>
            </w:r>
          </w:p>
        </w:tc>
        <w:tc>
          <w:tcPr>
            <w:tcW w:w="1286" w:type="dxa"/>
            <w:vAlign w:val="center"/>
          </w:tcPr>
          <w:p w:rsidR="00A46313" w:rsidRDefault="00125795">
            <w:pPr>
              <w:jc w:val="center"/>
            </w:pPr>
            <w:r>
              <w:rPr>
                <w:color w:val="000000"/>
                <w:sz w:val="24"/>
              </w:rPr>
              <w:t>-1.72%</w:t>
            </w:r>
          </w:p>
        </w:tc>
        <w:tc>
          <w:tcPr>
            <w:tcW w:w="1286" w:type="dxa"/>
            <w:vAlign w:val="center"/>
          </w:tcPr>
          <w:p w:rsidR="00A46313" w:rsidRDefault="00125795">
            <w:pPr>
              <w:jc w:val="center"/>
            </w:pPr>
            <w:r>
              <w:rPr>
                <w:color w:val="000000"/>
                <w:sz w:val="24"/>
              </w:rPr>
              <w:t>0.12%</w:t>
            </w:r>
          </w:p>
        </w:tc>
        <w:tc>
          <w:tcPr>
            <w:tcW w:w="1285" w:type="dxa"/>
            <w:vAlign w:val="center"/>
          </w:tcPr>
          <w:p w:rsidR="00A46313" w:rsidRDefault="00125795">
            <w:pPr>
              <w:jc w:val="center"/>
            </w:pPr>
            <w:r>
              <w:rPr>
                <w:color w:val="000000"/>
                <w:sz w:val="24"/>
              </w:rPr>
              <w:t>-7.89%</w:t>
            </w:r>
          </w:p>
        </w:tc>
        <w:tc>
          <w:tcPr>
            <w:tcW w:w="1285" w:type="dxa"/>
            <w:vAlign w:val="center"/>
          </w:tcPr>
          <w:p w:rsidR="00A46313" w:rsidRDefault="00125795">
            <w:pPr>
              <w:jc w:val="center"/>
            </w:pPr>
            <w:r>
              <w:rPr>
                <w:color w:val="000000"/>
                <w:sz w:val="24"/>
              </w:rPr>
              <w:t>0.11%</w:t>
            </w:r>
          </w:p>
        </w:tc>
        <w:tc>
          <w:tcPr>
            <w:tcW w:w="1285" w:type="dxa"/>
            <w:vAlign w:val="center"/>
          </w:tcPr>
          <w:p w:rsidR="00A46313" w:rsidRDefault="00125795">
            <w:pPr>
              <w:jc w:val="center"/>
            </w:pPr>
            <w:r>
              <w:rPr>
                <w:color w:val="000000"/>
                <w:sz w:val="24"/>
              </w:rPr>
              <w:t>6.17%</w:t>
            </w:r>
          </w:p>
        </w:tc>
        <w:tc>
          <w:tcPr>
            <w:tcW w:w="1285" w:type="dxa"/>
            <w:vAlign w:val="center"/>
          </w:tcPr>
          <w:p w:rsidR="00A46313" w:rsidRDefault="00125795">
            <w:pPr>
              <w:jc w:val="center"/>
            </w:pPr>
            <w:r>
              <w:rPr>
                <w:color w:val="000000"/>
                <w:sz w:val="24"/>
              </w:rPr>
              <w:t>0.01%</w:t>
            </w:r>
          </w:p>
        </w:tc>
      </w:tr>
      <w:tr w:rsidR="00A46313">
        <w:tc>
          <w:tcPr>
            <w:tcW w:w="1286" w:type="dxa"/>
            <w:vAlign w:val="center"/>
          </w:tcPr>
          <w:p w:rsidR="00A46313" w:rsidRDefault="00125795">
            <w:pPr>
              <w:jc w:val="left"/>
            </w:pPr>
            <w:r>
              <w:rPr>
                <w:color w:val="000000"/>
                <w:sz w:val="24"/>
              </w:rPr>
              <w:t>过去三年</w:t>
            </w:r>
          </w:p>
        </w:tc>
        <w:tc>
          <w:tcPr>
            <w:tcW w:w="1286" w:type="dxa"/>
            <w:vAlign w:val="center"/>
          </w:tcPr>
          <w:p w:rsidR="00A46313" w:rsidRDefault="00125795">
            <w:pPr>
              <w:jc w:val="center"/>
            </w:pPr>
            <w:r>
              <w:rPr>
                <w:color w:val="000000"/>
                <w:sz w:val="24"/>
              </w:rPr>
              <w:t>29.09%</w:t>
            </w:r>
          </w:p>
        </w:tc>
        <w:tc>
          <w:tcPr>
            <w:tcW w:w="1286" w:type="dxa"/>
            <w:vAlign w:val="center"/>
          </w:tcPr>
          <w:p w:rsidR="00A46313" w:rsidRDefault="00125795">
            <w:pPr>
              <w:jc w:val="center"/>
            </w:pPr>
            <w:r>
              <w:rPr>
                <w:color w:val="000000"/>
                <w:sz w:val="24"/>
              </w:rPr>
              <w:t>0.20%</w:t>
            </w:r>
          </w:p>
        </w:tc>
        <w:tc>
          <w:tcPr>
            <w:tcW w:w="1285" w:type="dxa"/>
            <w:vAlign w:val="center"/>
          </w:tcPr>
          <w:p w:rsidR="00A46313" w:rsidRDefault="00125795">
            <w:pPr>
              <w:jc w:val="center"/>
            </w:pPr>
            <w:r>
              <w:rPr>
                <w:color w:val="000000"/>
                <w:sz w:val="24"/>
              </w:rPr>
              <w:t>-0.91%</w:t>
            </w:r>
          </w:p>
        </w:tc>
        <w:tc>
          <w:tcPr>
            <w:tcW w:w="1285" w:type="dxa"/>
            <w:vAlign w:val="center"/>
          </w:tcPr>
          <w:p w:rsidR="00A46313" w:rsidRDefault="00125795">
            <w:pPr>
              <w:jc w:val="center"/>
            </w:pPr>
            <w:r>
              <w:rPr>
                <w:color w:val="000000"/>
                <w:sz w:val="24"/>
              </w:rPr>
              <w:t>0.11%</w:t>
            </w:r>
          </w:p>
        </w:tc>
        <w:tc>
          <w:tcPr>
            <w:tcW w:w="1285" w:type="dxa"/>
            <w:vAlign w:val="center"/>
          </w:tcPr>
          <w:p w:rsidR="00A46313" w:rsidRDefault="00125795">
            <w:pPr>
              <w:jc w:val="center"/>
            </w:pPr>
            <w:r>
              <w:rPr>
                <w:color w:val="000000"/>
                <w:sz w:val="24"/>
              </w:rPr>
              <w:t>30.00%</w:t>
            </w:r>
          </w:p>
        </w:tc>
        <w:tc>
          <w:tcPr>
            <w:tcW w:w="1285" w:type="dxa"/>
            <w:vAlign w:val="center"/>
          </w:tcPr>
          <w:p w:rsidR="00A46313" w:rsidRDefault="00125795">
            <w:pPr>
              <w:jc w:val="center"/>
            </w:pPr>
            <w:r>
              <w:rPr>
                <w:color w:val="000000"/>
                <w:sz w:val="24"/>
              </w:rPr>
              <w:t>0.09%</w:t>
            </w:r>
          </w:p>
        </w:tc>
      </w:tr>
      <w:tr w:rsidR="00A46313">
        <w:tc>
          <w:tcPr>
            <w:tcW w:w="1286" w:type="dxa"/>
            <w:vAlign w:val="center"/>
          </w:tcPr>
          <w:p w:rsidR="00A46313" w:rsidRDefault="00125795">
            <w:pPr>
              <w:jc w:val="left"/>
            </w:pPr>
            <w:r>
              <w:rPr>
                <w:color w:val="000000"/>
                <w:sz w:val="24"/>
              </w:rPr>
              <w:t>过去五年</w:t>
            </w:r>
          </w:p>
        </w:tc>
        <w:tc>
          <w:tcPr>
            <w:tcW w:w="1286" w:type="dxa"/>
            <w:vAlign w:val="center"/>
          </w:tcPr>
          <w:p w:rsidR="00A46313" w:rsidRDefault="00125795">
            <w:pPr>
              <w:jc w:val="center"/>
            </w:pPr>
            <w:r>
              <w:rPr>
                <w:color w:val="000000"/>
                <w:sz w:val="24"/>
              </w:rPr>
              <w:t>43.29%</w:t>
            </w:r>
          </w:p>
        </w:tc>
        <w:tc>
          <w:tcPr>
            <w:tcW w:w="1286" w:type="dxa"/>
            <w:vAlign w:val="center"/>
          </w:tcPr>
          <w:p w:rsidR="00A46313" w:rsidRDefault="00125795">
            <w:pPr>
              <w:jc w:val="center"/>
            </w:pPr>
            <w:r>
              <w:rPr>
                <w:color w:val="000000"/>
                <w:sz w:val="24"/>
              </w:rPr>
              <w:t>0.23%</w:t>
            </w:r>
          </w:p>
        </w:tc>
        <w:tc>
          <w:tcPr>
            <w:tcW w:w="1285" w:type="dxa"/>
            <w:vAlign w:val="center"/>
          </w:tcPr>
          <w:p w:rsidR="00A46313" w:rsidRDefault="00125795">
            <w:pPr>
              <w:jc w:val="center"/>
            </w:pPr>
            <w:r>
              <w:rPr>
                <w:color w:val="000000"/>
                <w:sz w:val="24"/>
              </w:rPr>
              <w:t>-1.05%</w:t>
            </w:r>
          </w:p>
        </w:tc>
        <w:tc>
          <w:tcPr>
            <w:tcW w:w="1285" w:type="dxa"/>
            <w:vAlign w:val="center"/>
          </w:tcPr>
          <w:p w:rsidR="00A46313" w:rsidRDefault="00125795">
            <w:pPr>
              <w:jc w:val="center"/>
            </w:pPr>
            <w:r>
              <w:rPr>
                <w:color w:val="000000"/>
                <w:sz w:val="24"/>
              </w:rPr>
              <w:t>0.10%</w:t>
            </w:r>
          </w:p>
        </w:tc>
        <w:tc>
          <w:tcPr>
            <w:tcW w:w="1285" w:type="dxa"/>
            <w:vAlign w:val="center"/>
          </w:tcPr>
          <w:p w:rsidR="00A46313" w:rsidRDefault="00125795">
            <w:pPr>
              <w:jc w:val="center"/>
            </w:pPr>
            <w:r>
              <w:rPr>
                <w:color w:val="000000"/>
                <w:sz w:val="24"/>
              </w:rPr>
              <w:t>44.34%</w:t>
            </w:r>
          </w:p>
        </w:tc>
        <w:tc>
          <w:tcPr>
            <w:tcW w:w="1285" w:type="dxa"/>
            <w:vAlign w:val="center"/>
          </w:tcPr>
          <w:p w:rsidR="00A46313" w:rsidRDefault="00125795">
            <w:pPr>
              <w:jc w:val="center"/>
            </w:pPr>
            <w:r>
              <w:rPr>
                <w:color w:val="000000"/>
                <w:sz w:val="24"/>
              </w:rPr>
              <w:t>0.13%</w:t>
            </w:r>
          </w:p>
        </w:tc>
      </w:tr>
      <w:tr w:rsidR="00A46313">
        <w:tc>
          <w:tcPr>
            <w:tcW w:w="1286" w:type="dxa"/>
            <w:vAlign w:val="center"/>
          </w:tcPr>
          <w:p w:rsidR="00A46313" w:rsidRDefault="00125795">
            <w:pPr>
              <w:jc w:val="left"/>
            </w:pPr>
            <w:r>
              <w:rPr>
                <w:color w:val="000000"/>
                <w:sz w:val="24"/>
              </w:rPr>
              <w:t>自基金合同生效起至今</w:t>
            </w:r>
          </w:p>
        </w:tc>
        <w:tc>
          <w:tcPr>
            <w:tcW w:w="1286" w:type="dxa"/>
            <w:vAlign w:val="center"/>
          </w:tcPr>
          <w:p w:rsidR="00A46313" w:rsidRDefault="00125795">
            <w:pPr>
              <w:jc w:val="center"/>
            </w:pPr>
            <w:r>
              <w:rPr>
                <w:color w:val="000000"/>
                <w:sz w:val="24"/>
              </w:rPr>
              <w:t>72.43%</w:t>
            </w:r>
          </w:p>
        </w:tc>
        <w:tc>
          <w:tcPr>
            <w:tcW w:w="1286" w:type="dxa"/>
            <w:vAlign w:val="center"/>
          </w:tcPr>
          <w:p w:rsidR="00A46313" w:rsidRDefault="00125795">
            <w:pPr>
              <w:jc w:val="center"/>
            </w:pPr>
            <w:r>
              <w:rPr>
                <w:color w:val="000000"/>
                <w:sz w:val="24"/>
              </w:rPr>
              <w:t>0.28%</w:t>
            </w:r>
          </w:p>
        </w:tc>
        <w:tc>
          <w:tcPr>
            <w:tcW w:w="1285" w:type="dxa"/>
            <w:vAlign w:val="center"/>
          </w:tcPr>
          <w:p w:rsidR="00A46313" w:rsidRDefault="00125795">
            <w:pPr>
              <w:jc w:val="center"/>
            </w:pPr>
            <w:r>
              <w:rPr>
                <w:color w:val="000000"/>
                <w:sz w:val="24"/>
              </w:rPr>
              <w:t>4.66%</w:t>
            </w:r>
          </w:p>
        </w:tc>
        <w:tc>
          <w:tcPr>
            <w:tcW w:w="1285" w:type="dxa"/>
            <w:vAlign w:val="center"/>
          </w:tcPr>
          <w:p w:rsidR="00A46313" w:rsidRDefault="00125795">
            <w:pPr>
              <w:jc w:val="center"/>
            </w:pPr>
            <w:r>
              <w:rPr>
                <w:color w:val="000000"/>
                <w:sz w:val="24"/>
              </w:rPr>
              <w:t>0.13%</w:t>
            </w:r>
          </w:p>
        </w:tc>
        <w:tc>
          <w:tcPr>
            <w:tcW w:w="1285" w:type="dxa"/>
            <w:vAlign w:val="center"/>
          </w:tcPr>
          <w:p w:rsidR="00A46313" w:rsidRDefault="00125795">
            <w:pPr>
              <w:jc w:val="center"/>
            </w:pPr>
            <w:r>
              <w:rPr>
                <w:color w:val="000000"/>
                <w:sz w:val="24"/>
              </w:rPr>
              <w:t>67.77%</w:t>
            </w:r>
          </w:p>
        </w:tc>
        <w:tc>
          <w:tcPr>
            <w:tcW w:w="1285" w:type="dxa"/>
            <w:vAlign w:val="center"/>
          </w:tcPr>
          <w:p w:rsidR="00A46313" w:rsidRDefault="00125795">
            <w:pPr>
              <w:jc w:val="center"/>
            </w:pPr>
            <w:r>
              <w:rPr>
                <w:color w:val="000000"/>
                <w:sz w:val="24"/>
              </w:rPr>
              <w:t>0.15%</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注：本基金的业绩比较基准为中债企业债总指数。</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交银增利债券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A46313">
        <w:tc>
          <w:tcPr>
            <w:tcW w:w="1286" w:type="dxa"/>
            <w:vAlign w:val="center"/>
          </w:tcPr>
          <w:p w:rsidR="00A46313" w:rsidRDefault="00125795">
            <w:pPr>
              <w:jc w:val="left"/>
            </w:pPr>
            <w:r>
              <w:rPr>
                <w:color w:val="000000"/>
                <w:sz w:val="24"/>
              </w:rPr>
              <w:t>过去三个月</w:t>
            </w:r>
          </w:p>
        </w:tc>
        <w:tc>
          <w:tcPr>
            <w:tcW w:w="1286" w:type="dxa"/>
            <w:vAlign w:val="center"/>
          </w:tcPr>
          <w:p w:rsidR="00A46313" w:rsidRDefault="00125795">
            <w:pPr>
              <w:jc w:val="center"/>
            </w:pPr>
            <w:r>
              <w:rPr>
                <w:color w:val="000000"/>
                <w:sz w:val="24"/>
              </w:rPr>
              <w:t>-3.40%</w:t>
            </w:r>
          </w:p>
        </w:tc>
        <w:tc>
          <w:tcPr>
            <w:tcW w:w="1286" w:type="dxa"/>
            <w:vAlign w:val="center"/>
          </w:tcPr>
          <w:p w:rsidR="00A46313" w:rsidRDefault="00125795">
            <w:pPr>
              <w:jc w:val="center"/>
            </w:pPr>
            <w:r>
              <w:rPr>
                <w:color w:val="000000"/>
                <w:sz w:val="24"/>
              </w:rPr>
              <w:t>0.19%</w:t>
            </w:r>
          </w:p>
        </w:tc>
        <w:tc>
          <w:tcPr>
            <w:tcW w:w="1285" w:type="dxa"/>
            <w:vAlign w:val="center"/>
          </w:tcPr>
          <w:p w:rsidR="00A46313" w:rsidRDefault="00125795">
            <w:pPr>
              <w:jc w:val="center"/>
            </w:pPr>
            <w:r>
              <w:rPr>
                <w:color w:val="000000"/>
                <w:sz w:val="24"/>
              </w:rPr>
              <w:t>-4.97%</w:t>
            </w:r>
          </w:p>
        </w:tc>
        <w:tc>
          <w:tcPr>
            <w:tcW w:w="1285" w:type="dxa"/>
            <w:vAlign w:val="center"/>
          </w:tcPr>
          <w:p w:rsidR="00A46313" w:rsidRDefault="00125795">
            <w:pPr>
              <w:jc w:val="center"/>
            </w:pPr>
            <w:r>
              <w:rPr>
                <w:color w:val="000000"/>
                <w:sz w:val="24"/>
              </w:rPr>
              <w:t>0.15%</w:t>
            </w:r>
          </w:p>
        </w:tc>
        <w:tc>
          <w:tcPr>
            <w:tcW w:w="1285" w:type="dxa"/>
            <w:vAlign w:val="center"/>
          </w:tcPr>
          <w:p w:rsidR="00A46313" w:rsidRDefault="00125795">
            <w:pPr>
              <w:jc w:val="center"/>
            </w:pPr>
            <w:r>
              <w:rPr>
                <w:color w:val="000000"/>
                <w:sz w:val="24"/>
              </w:rPr>
              <w:t>1.57%</w:t>
            </w:r>
          </w:p>
        </w:tc>
        <w:tc>
          <w:tcPr>
            <w:tcW w:w="1285" w:type="dxa"/>
            <w:vAlign w:val="center"/>
          </w:tcPr>
          <w:p w:rsidR="00A46313" w:rsidRDefault="00125795">
            <w:pPr>
              <w:jc w:val="center"/>
            </w:pPr>
            <w:r>
              <w:rPr>
                <w:color w:val="000000"/>
                <w:sz w:val="24"/>
              </w:rPr>
              <w:t>0.04%</w:t>
            </w:r>
          </w:p>
        </w:tc>
      </w:tr>
      <w:tr w:rsidR="00A46313">
        <w:tc>
          <w:tcPr>
            <w:tcW w:w="1286" w:type="dxa"/>
            <w:vAlign w:val="center"/>
          </w:tcPr>
          <w:p w:rsidR="00A46313" w:rsidRDefault="00125795">
            <w:pPr>
              <w:jc w:val="left"/>
            </w:pPr>
            <w:r>
              <w:rPr>
                <w:color w:val="000000"/>
                <w:sz w:val="24"/>
              </w:rPr>
              <w:t>过去六个月</w:t>
            </w:r>
          </w:p>
        </w:tc>
        <w:tc>
          <w:tcPr>
            <w:tcW w:w="1286" w:type="dxa"/>
            <w:vAlign w:val="center"/>
          </w:tcPr>
          <w:p w:rsidR="00A46313" w:rsidRDefault="00125795">
            <w:pPr>
              <w:jc w:val="center"/>
            </w:pPr>
            <w:r>
              <w:rPr>
                <w:color w:val="000000"/>
                <w:sz w:val="24"/>
              </w:rPr>
              <w:t>-1.80%</w:t>
            </w:r>
          </w:p>
        </w:tc>
        <w:tc>
          <w:tcPr>
            <w:tcW w:w="1286" w:type="dxa"/>
            <w:vAlign w:val="center"/>
          </w:tcPr>
          <w:p w:rsidR="00A46313" w:rsidRDefault="00125795">
            <w:pPr>
              <w:jc w:val="center"/>
            </w:pPr>
            <w:r>
              <w:rPr>
                <w:color w:val="000000"/>
                <w:sz w:val="24"/>
              </w:rPr>
              <w:t>0.14%</w:t>
            </w:r>
          </w:p>
        </w:tc>
        <w:tc>
          <w:tcPr>
            <w:tcW w:w="1285" w:type="dxa"/>
            <w:vAlign w:val="center"/>
          </w:tcPr>
          <w:p w:rsidR="00A46313" w:rsidRDefault="00125795">
            <w:pPr>
              <w:jc w:val="center"/>
            </w:pPr>
            <w:r>
              <w:rPr>
                <w:color w:val="000000"/>
                <w:sz w:val="24"/>
              </w:rPr>
              <w:t>-4.71%</w:t>
            </w:r>
          </w:p>
        </w:tc>
        <w:tc>
          <w:tcPr>
            <w:tcW w:w="1285" w:type="dxa"/>
            <w:vAlign w:val="center"/>
          </w:tcPr>
          <w:p w:rsidR="00A46313" w:rsidRDefault="00125795">
            <w:pPr>
              <w:jc w:val="center"/>
            </w:pPr>
            <w:r>
              <w:rPr>
                <w:color w:val="000000"/>
                <w:sz w:val="24"/>
              </w:rPr>
              <w:t>0.12%</w:t>
            </w:r>
          </w:p>
        </w:tc>
        <w:tc>
          <w:tcPr>
            <w:tcW w:w="1285" w:type="dxa"/>
            <w:vAlign w:val="center"/>
          </w:tcPr>
          <w:p w:rsidR="00A46313" w:rsidRDefault="00125795">
            <w:pPr>
              <w:jc w:val="center"/>
            </w:pPr>
            <w:r>
              <w:rPr>
                <w:color w:val="000000"/>
                <w:sz w:val="24"/>
              </w:rPr>
              <w:t>2.91%</w:t>
            </w:r>
          </w:p>
        </w:tc>
        <w:tc>
          <w:tcPr>
            <w:tcW w:w="1285" w:type="dxa"/>
            <w:vAlign w:val="center"/>
          </w:tcPr>
          <w:p w:rsidR="00A46313" w:rsidRDefault="00125795">
            <w:pPr>
              <w:jc w:val="center"/>
            </w:pPr>
            <w:r>
              <w:rPr>
                <w:color w:val="000000"/>
                <w:sz w:val="24"/>
              </w:rPr>
              <w:t>0.02%</w:t>
            </w:r>
          </w:p>
        </w:tc>
      </w:tr>
      <w:tr w:rsidR="00A46313">
        <w:tc>
          <w:tcPr>
            <w:tcW w:w="1286" w:type="dxa"/>
            <w:vAlign w:val="center"/>
          </w:tcPr>
          <w:p w:rsidR="00A46313" w:rsidRDefault="00125795">
            <w:pPr>
              <w:jc w:val="left"/>
            </w:pPr>
            <w:r>
              <w:rPr>
                <w:color w:val="000000"/>
                <w:sz w:val="24"/>
              </w:rPr>
              <w:t>过去一年</w:t>
            </w:r>
          </w:p>
        </w:tc>
        <w:tc>
          <w:tcPr>
            <w:tcW w:w="1286" w:type="dxa"/>
            <w:vAlign w:val="center"/>
          </w:tcPr>
          <w:p w:rsidR="00A46313" w:rsidRDefault="00125795">
            <w:pPr>
              <w:jc w:val="center"/>
            </w:pPr>
            <w:r>
              <w:rPr>
                <w:color w:val="000000"/>
                <w:sz w:val="24"/>
              </w:rPr>
              <w:t>-2.13%</w:t>
            </w:r>
          </w:p>
        </w:tc>
        <w:tc>
          <w:tcPr>
            <w:tcW w:w="1286" w:type="dxa"/>
            <w:vAlign w:val="center"/>
          </w:tcPr>
          <w:p w:rsidR="00A46313" w:rsidRDefault="00125795">
            <w:pPr>
              <w:jc w:val="center"/>
            </w:pPr>
            <w:r>
              <w:rPr>
                <w:color w:val="000000"/>
                <w:sz w:val="24"/>
              </w:rPr>
              <w:t>0.12%</w:t>
            </w:r>
          </w:p>
        </w:tc>
        <w:tc>
          <w:tcPr>
            <w:tcW w:w="1285" w:type="dxa"/>
            <w:vAlign w:val="center"/>
          </w:tcPr>
          <w:p w:rsidR="00A46313" w:rsidRDefault="00125795">
            <w:pPr>
              <w:jc w:val="center"/>
            </w:pPr>
            <w:r>
              <w:rPr>
                <w:color w:val="000000"/>
                <w:sz w:val="24"/>
              </w:rPr>
              <w:t>-7.89%</w:t>
            </w:r>
          </w:p>
        </w:tc>
        <w:tc>
          <w:tcPr>
            <w:tcW w:w="1285" w:type="dxa"/>
            <w:vAlign w:val="center"/>
          </w:tcPr>
          <w:p w:rsidR="00A46313" w:rsidRDefault="00125795">
            <w:pPr>
              <w:jc w:val="center"/>
            </w:pPr>
            <w:r>
              <w:rPr>
                <w:color w:val="000000"/>
                <w:sz w:val="24"/>
              </w:rPr>
              <w:t>0.11%</w:t>
            </w:r>
          </w:p>
        </w:tc>
        <w:tc>
          <w:tcPr>
            <w:tcW w:w="1285" w:type="dxa"/>
            <w:vAlign w:val="center"/>
          </w:tcPr>
          <w:p w:rsidR="00A46313" w:rsidRDefault="00125795">
            <w:pPr>
              <w:jc w:val="center"/>
            </w:pPr>
            <w:r>
              <w:rPr>
                <w:color w:val="000000"/>
                <w:sz w:val="24"/>
              </w:rPr>
              <w:t>5.76%</w:t>
            </w:r>
          </w:p>
        </w:tc>
        <w:tc>
          <w:tcPr>
            <w:tcW w:w="1285" w:type="dxa"/>
            <w:vAlign w:val="center"/>
          </w:tcPr>
          <w:p w:rsidR="00A46313" w:rsidRDefault="00125795">
            <w:pPr>
              <w:jc w:val="center"/>
            </w:pPr>
            <w:r>
              <w:rPr>
                <w:color w:val="000000"/>
                <w:sz w:val="24"/>
              </w:rPr>
              <w:t>0.01%</w:t>
            </w:r>
          </w:p>
        </w:tc>
      </w:tr>
      <w:tr w:rsidR="00A46313">
        <w:tc>
          <w:tcPr>
            <w:tcW w:w="1286" w:type="dxa"/>
            <w:vAlign w:val="center"/>
          </w:tcPr>
          <w:p w:rsidR="00A46313" w:rsidRDefault="00125795">
            <w:pPr>
              <w:jc w:val="left"/>
            </w:pPr>
            <w:r>
              <w:rPr>
                <w:color w:val="000000"/>
                <w:sz w:val="24"/>
              </w:rPr>
              <w:t>过去三年</w:t>
            </w:r>
          </w:p>
        </w:tc>
        <w:tc>
          <w:tcPr>
            <w:tcW w:w="1286" w:type="dxa"/>
            <w:vAlign w:val="center"/>
          </w:tcPr>
          <w:p w:rsidR="00A46313" w:rsidRDefault="00125795">
            <w:pPr>
              <w:jc w:val="center"/>
            </w:pPr>
            <w:r>
              <w:rPr>
                <w:color w:val="000000"/>
                <w:sz w:val="24"/>
              </w:rPr>
              <w:t>27.46%</w:t>
            </w:r>
          </w:p>
        </w:tc>
        <w:tc>
          <w:tcPr>
            <w:tcW w:w="1286" w:type="dxa"/>
            <w:vAlign w:val="center"/>
          </w:tcPr>
          <w:p w:rsidR="00A46313" w:rsidRDefault="00125795">
            <w:pPr>
              <w:jc w:val="center"/>
            </w:pPr>
            <w:r>
              <w:rPr>
                <w:color w:val="000000"/>
                <w:sz w:val="24"/>
              </w:rPr>
              <w:t>0.20%</w:t>
            </w:r>
          </w:p>
        </w:tc>
        <w:tc>
          <w:tcPr>
            <w:tcW w:w="1285" w:type="dxa"/>
            <w:vAlign w:val="center"/>
          </w:tcPr>
          <w:p w:rsidR="00A46313" w:rsidRDefault="00125795">
            <w:pPr>
              <w:jc w:val="center"/>
            </w:pPr>
            <w:r>
              <w:rPr>
                <w:color w:val="000000"/>
                <w:sz w:val="24"/>
              </w:rPr>
              <w:t>-0.91%</w:t>
            </w:r>
          </w:p>
        </w:tc>
        <w:tc>
          <w:tcPr>
            <w:tcW w:w="1285" w:type="dxa"/>
            <w:vAlign w:val="center"/>
          </w:tcPr>
          <w:p w:rsidR="00A46313" w:rsidRDefault="00125795">
            <w:pPr>
              <w:jc w:val="center"/>
            </w:pPr>
            <w:r>
              <w:rPr>
                <w:color w:val="000000"/>
                <w:sz w:val="24"/>
              </w:rPr>
              <w:t>0.11%</w:t>
            </w:r>
          </w:p>
        </w:tc>
        <w:tc>
          <w:tcPr>
            <w:tcW w:w="1285" w:type="dxa"/>
            <w:vAlign w:val="center"/>
          </w:tcPr>
          <w:p w:rsidR="00A46313" w:rsidRDefault="00125795">
            <w:pPr>
              <w:jc w:val="center"/>
            </w:pPr>
            <w:r>
              <w:rPr>
                <w:color w:val="000000"/>
                <w:sz w:val="24"/>
              </w:rPr>
              <w:t>28.37%</w:t>
            </w:r>
          </w:p>
        </w:tc>
        <w:tc>
          <w:tcPr>
            <w:tcW w:w="1285" w:type="dxa"/>
            <w:vAlign w:val="center"/>
          </w:tcPr>
          <w:p w:rsidR="00A46313" w:rsidRDefault="00125795">
            <w:pPr>
              <w:jc w:val="center"/>
            </w:pPr>
            <w:r>
              <w:rPr>
                <w:color w:val="000000"/>
                <w:sz w:val="24"/>
              </w:rPr>
              <w:t>0.09%</w:t>
            </w:r>
          </w:p>
        </w:tc>
      </w:tr>
      <w:tr w:rsidR="00A46313">
        <w:tc>
          <w:tcPr>
            <w:tcW w:w="1286" w:type="dxa"/>
            <w:vAlign w:val="center"/>
          </w:tcPr>
          <w:p w:rsidR="00A46313" w:rsidRDefault="00125795">
            <w:pPr>
              <w:jc w:val="left"/>
            </w:pPr>
            <w:r>
              <w:rPr>
                <w:color w:val="000000"/>
                <w:sz w:val="24"/>
              </w:rPr>
              <w:t>过去五年</w:t>
            </w:r>
          </w:p>
        </w:tc>
        <w:tc>
          <w:tcPr>
            <w:tcW w:w="1286" w:type="dxa"/>
            <w:vAlign w:val="center"/>
          </w:tcPr>
          <w:p w:rsidR="00A46313" w:rsidRDefault="00125795">
            <w:pPr>
              <w:jc w:val="center"/>
            </w:pPr>
            <w:r>
              <w:rPr>
                <w:color w:val="000000"/>
                <w:sz w:val="24"/>
              </w:rPr>
              <w:t>40.23%</w:t>
            </w:r>
          </w:p>
        </w:tc>
        <w:tc>
          <w:tcPr>
            <w:tcW w:w="1286" w:type="dxa"/>
            <w:vAlign w:val="center"/>
          </w:tcPr>
          <w:p w:rsidR="00A46313" w:rsidRDefault="00125795">
            <w:pPr>
              <w:jc w:val="center"/>
            </w:pPr>
            <w:r>
              <w:rPr>
                <w:color w:val="000000"/>
                <w:sz w:val="24"/>
              </w:rPr>
              <w:t>0.23%</w:t>
            </w:r>
          </w:p>
        </w:tc>
        <w:tc>
          <w:tcPr>
            <w:tcW w:w="1285" w:type="dxa"/>
            <w:vAlign w:val="center"/>
          </w:tcPr>
          <w:p w:rsidR="00A46313" w:rsidRDefault="00125795">
            <w:pPr>
              <w:jc w:val="center"/>
            </w:pPr>
            <w:r>
              <w:rPr>
                <w:color w:val="000000"/>
                <w:sz w:val="24"/>
              </w:rPr>
              <w:t>-1.05%</w:t>
            </w:r>
          </w:p>
        </w:tc>
        <w:tc>
          <w:tcPr>
            <w:tcW w:w="1285" w:type="dxa"/>
            <w:vAlign w:val="center"/>
          </w:tcPr>
          <w:p w:rsidR="00A46313" w:rsidRDefault="00125795">
            <w:pPr>
              <w:jc w:val="center"/>
            </w:pPr>
            <w:r>
              <w:rPr>
                <w:color w:val="000000"/>
                <w:sz w:val="24"/>
              </w:rPr>
              <w:t>0.10%</w:t>
            </w:r>
          </w:p>
        </w:tc>
        <w:tc>
          <w:tcPr>
            <w:tcW w:w="1285" w:type="dxa"/>
            <w:vAlign w:val="center"/>
          </w:tcPr>
          <w:p w:rsidR="00A46313" w:rsidRDefault="00125795">
            <w:pPr>
              <w:jc w:val="center"/>
            </w:pPr>
            <w:r>
              <w:rPr>
                <w:color w:val="000000"/>
                <w:sz w:val="24"/>
              </w:rPr>
              <w:t>41.28%</w:t>
            </w:r>
          </w:p>
        </w:tc>
        <w:tc>
          <w:tcPr>
            <w:tcW w:w="1285" w:type="dxa"/>
            <w:vAlign w:val="center"/>
          </w:tcPr>
          <w:p w:rsidR="00A46313" w:rsidRDefault="00125795">
            <w:pPr>
              <w:jc w:val="center"/>
            </w:pPr>
            <w:r>
              <w:rPr>
                <w:color w:val="000000"/>
                <w:sz w:val="24"/>
              </w:rPr>
              <w:t>0.13%</w:t>
            </w:r>
          </w:p>
        </w:tc>
      </w:tr>
      <w:tr w:rsidR="00A46313">
        <w:tc>
          <w:tcPr>
            <w:tcW w:w="1286" w:type="dxa"/>
            <w:vAlign w:val="center"/>
          </w:tcPr>
          <w:p w:rsidR="00A46313" w:rsidRDefault="00125795">
            <w:pPr>
              <w:jc w:val="left"/>
            </w:pPr>
            <w:r>
              <w:rPr>
                <w:color w:val="000000"/>
                <w:sz w:val="24"/>
              </w:rPr>
              <w:t>自基金合同生效起至今</w:t>
            </w:r>
          </w:p>
        </w:tc>
        <w:tc>
          <w:tcPr>
            <w:tcW w:w="1286" w:type="dxa"/>
            <w:vAlign w:val="center"/>
          </w:tcPr>
          <w:p w:rsidR="00A46313" w:rsidRDefault="00125795">
            <w:pPr>
              <w:jc w:val="center"/>
            </w:pPr>
            <w:r>
              <w:rPr>
                <w:color w:val="000000"/>
                <w:sz w:val="24"/>
              </w:rPr>
              <w:t>65.99%</w:t>
            </w:r>
          </w:p>
        </w:tc>
        <w:tc>
          <w:tcPr>
            <w:tcW w:w="1286" w:type="dxa"/>
            <w:vAlign w:val="center"/>
          </w:tcPr>
          <w:p w:rsidR="00A46313" w:rsidRDefault="00125795">
            <w:pPr>
              <w:jc w:val="center"/>
            </w:pPr>
            <w:r>
              <w:rPr>
                <w:color w:val="000000"/>
                <w:sz w:val="24"/>
              </w:rPr>
              <w:t>0.28%</w:t>
            </w:r>
          </w:p>
        </w:tc>
        <w:tc>
          <w:tcPr>
            <w:tcW w:w="1285" w:type="dxa"/>
            <w:vAlign w:val="center"/>
          </w:tcPr>
          <w:p w:rsidR="00A46313" w:rsidRDefault="00125795">
            <w:pPr>
              <w:jc w:val="center"/>
            </w:pPr>
            <w:r>
              <w:rPr>
                <w:color w:val="000000"/>
                <w:sz w:val="24"/>
              </w:rPr>
              <w:t>4.66%</w:t>
            </w:r>
          </w:p>
        </w:tc>
        <w:tc>
          <w:tcPr>
            <w:tcW w:w="1285" w:type="dxa"/>
            <w:vAlign w:val="center"/>
          </w:tcPr>
          <w:p w:rsidR="00A46313" w:rsidRDefault="00125795">
            <w:pPr>
              <w:jc w:val="center"/>
            </w:pPr>
            <w:r>
              <w:rPr>
                <w:color w:val="000000"/>
                <w:sz w:val="24"/>
              </w:rPr>
              <w:t>0.13%</w:t>
            </w:r>
          </w:p>
        </w:tc>
        <w:tc>
          <w:tcPr>
            <w:tcW w:w="1285" w:type="dxa"/>
            <w:vAlign w:val="center"/>
          </w:tcPr>
          <w:p w:rsidR="00A46313" w:rsidRDefault="00125795">
            <w:pPr>
              <w:jc w:val="center"/>
            </w:pPr>
            <w:r>
              <w:rPr>
                <w:color w:val="000000"/>
                <w:sz w:val="24"/>
              </w:rPr>
              <w:t>61.33%</w:t>
            </w:r>
          </w:p>
        </w:tc>
        <w:tc>
          <w:tcPr>
            <w:tcW w:w="1285" w:type="dxa"/>
            <w:vAlign w:val="center"/>
          </w:tcPr>
          <w:p w:rsidR="00A46313" w:rsidRDefault="00125795">
            <w:pPr>
              <w:jc w:val="center"/>
            </w:pPr>
            <w:r>
              <w:rPr>
                <w:color w:val="000000"/>
                <w:sz w:val="24"/>
              </w:rPr>
              <w:t>0.15%</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注：本基金的业绩比较基准为中债企业债总指数。</w:t>
      </w:r>
    </w:p>
    <w:p w:rsidR="002F066F" w:rsidRDefault="002F066F" w:rsidP="007F57C2">
      <w:pPr>
        <w:spacing w:before="29" w:line="288" w:lineRule="auto"/>
        <w:rPr>
          <w:rFonts w:eastAsiaTheme="minorEastAsia"/>
          <w:b/>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r w:rsidRPr="007F57C2">
        <w:rPr>
          <w:rFonts w:eastAsiaTheme="minorEastAsia"/>
          <w:b/>
          <w:sz w:val="24"/>
        </w:rPr>
        <w:t xml:space="preserve"> </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交银增利债券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1B78782C" wp14:editId="77A6EA5A">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交银增利债券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59796BA4" wp14:editId="2223509E">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lastRenderedPageBreak/>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交银增利债券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3FD86F4D" wp14:editId="6D32B5C3">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交银增利债券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4D73DD0B" wp14:editId="70F3DBB7">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4211FD" w:rsidRDefault="000B2C76" w:rsidP="004211FD">
      <w:pPr>
        <w:pStyle w:val="20"/>
        <w:spacing w:before="29" w:after="0" w:line="288" w:lineRule="auto"/>
        <w:rPr>
          <w:b w:val="0"/>
          <w:kern w:val="0"/>
        </w:rPr>
      </w:pPr>
      <w:bookmarkStart w:id="35" w:name="_Toc249760033"/>
      <w:bookmarkStart w:id="36" w:name="_Toc361324853"/>
      <w:bookmarkStart w:id="37" w:name="_Toc478236522"/>
      <w:r w:rsidRPr="004211FD">
        <w:rPr>
          <w:rFonts w:ascii="Times New Roman" w:hAnsi="Times New Roman"/>
          <w:kern w:val="0"/>
          <w:szCs w:val="24"/>
        </w:rPr>
        <w:lastRenderedPageBreak/>
        <w:t xml:space="preserve">3.3 </w:t>
      </w:r>
      <w:r w:rsidRPr="004211FD">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交银增利债券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A46313">
        <w:trPr>
          <w:jc w:val="center"/>
        </w:trPr>
        <w:tc>
          <w:tcPr>
            <w:tcW w:w="1157" w:type="dxa"/>
            <w:vAlign w:val="center"/>
          </w:tcPr>
          <w:p w:rsidR="00A46313" w:rsidRDefault="00125795">
            <w:pPr>
              <w:jc w:val="center"/>
            </w:pPr>
            <w:r>
              <w:rPr>
                <w:color w:val="000000"/>
                <w:sz w:val="24"/>
              </w:rPr>
              <w:t>2016</w:t>
            </w:r>
            <w:r>
              <w:rPr>
                <w:color w:val="000000"/>
                <w:sz w:val="24"/>
              </w:rPr>
              <w:t>年</w:t>
            </w:r>
          </w:p>
        </w:tc>
        <w:tc>
          <w:tcPr>
            <w:tcW w:w="1378" w:type="dxa"/>
            <w:vAlign w:val="center"/>
          </w:tcPr>
          <w:p w:rsidR="00A46313" w:rsidRDefault="00125795">
            <w:pPr>
              <w:jc w:val="right"/>
            </w:pPr>
            <w:r>
              <w:rPr>
                <w:color w:val="000000"/>
                <w:sz w:val="24"/>
              </w:rPr>
              <w:t>0.640</w:t>
            </w:r>
          </w:p>
        </w:tc>
        <w:tc>
          <w:tcPr>
            <w:tcW w:w="1839" w:type="dxa"/>
            <w:vAlign w:val="center"/>
          </w:tcPr>
          <w:p w:rsidR="00A46313" w:rsidRDefault="00125795">
            <w:pPr>
              <w:jc w:val="right"/>
            </w:pPr>
            <w:r>
              <w:rPr>
                <w:color w:val="000000"/>
                <w:sz w:val="24"/>
              </w:rPr>
              <w:t>49,751,302.75</w:t>
            </w:r>
          </w:p>
        </w:tc>
        <w:tc>
          <w:tcPr>
            <w:tcW w:w="1950" w:type="dxa"/>
            <w:vAlign w:val="center"/>
          </w:tcPr>
          <w:p w:rsidR="00A46313" w:rsidRDefault="00125795">
            <w:pPr>
              <w:jc w:val="right"/>
            </w:pPr>
            <w:r>
              <w:rPr>
                <w:color w:val="000000"/>
                <w:sz w:val="24"/>
              </w:rPr>
              <w:t>7,847,102.99</w:t>
            </w:r>
          </w:p>
        </w:tc>
        <w:tc>
          <w:tcPr>
            <w:tcW w:w="1894" w:type="dxa"/>
            <w:vAlign w:val="center"/>
          </w:tcPr>
          <w:p w:rsidR="00A46313" w:rsidRDefault="00125795">
            <w:pPr>
              <w:jc w:val="right"/>
            </w:pPr>
            <w:r>
              <w:rPr>
                <w:color w:val="000000"/>
                <w:sz w:val="24"/>
              </w:rPr>
              <w:t>57,598,405.74</w:t>
            </w:r>
          </w:p>
        </w:tc>
        <w:tc>
          <w:tcPr>
            <w:tcW w:w="1068" w:type="dxa"/>
            <w:vAlign w:val="center"/>
          </w:tcPr>
          <w:p w:rsidR="00A46313" w:rsidRDefault="00125795">
            <w:pPr>
              <w:jc w:val="left"/>
            </w:pPr>
            <w:r>
              <w:rPr>
                <w:color w:val="000000"/>
                <w:sz w:val="24"/>
              </w:rPr>
              <w:t>-</w:t>
            </w:r>
          </w:p>
        </w:tc>
      </w:tr>
      <w:tr w:rsidR="00A46313">
        <w:trPr>
          <w:jc w:val="center"/>
        </w:trPr>
        <w:tc>
          <w:tcPr>
            <w:tcW w:w="1157" w:type="dxa"/>
            <w:vAlign w:val="center"/>
          </w:tcPr>
          <w:p w:rsidR="00A46313" w:rsidRDefault="00125795">
            <w:pPr>
              <w:jc w:val="center"/>
            </w:pPr>
            <w:r>
              <w:rPr>
                <w:color w:val="000000"/>
                <w:sz w:val="24"/>
              </w:rPr>
              <w:t>2015</w:t>
            </w:r>
            <w:r>
              <w:rPr>
                <w:color w:val="000000"/>
                <w:sz w:val="24"/>
              </w:rPr>
              <w:t>年</w:t>
            </w:r>
          </w:p>
        </w:tc>
        <w:tc>
          <w:tcPr>
            <w:tcW w:w="1378" w:type="dxa"/>
            <w:vAlign w:val="center"/>
          </w:tcPr>
          <w:p w:rsidR="00A46313" w:rsidRDefault="00125795">
            <w:pPr>
              <w:jc w:val="right"/>
            </w:pPr>
            <w:r>
              <w:rPr>
                <w:color w:val="000000"/>
                <w:sz w:val="24"/>
              </w:rPr>
              <w:t>1.300</w:t>
            </w:r>
          </w:p>
        </w:tc>
        <w:tc>
          <w:tcPr>
            <w:tcW w:w="1839" w:type="dxa"/>
            <w:vAlign w:val="center"/>
          </w:tcPr>
          <w:p w:rsidR="00A46313" w:rsidRDefault="00125795">
            <w:pPr>
              <w:jc w:val="right"/>
            </w:pPr>
            <w:r>
              <w:rPr>
                <w:color w:val="000000"/>
                <w:sz w:val="24"/>
              </w:rPr>
              <w:t>111,251,137.55</w:t>
            </w:r>
          </w:p>
        </w:tc>
        <w:tc>
          <w:tcPr>
            <w:tcW w:w="1950" w:type="dxa"/>
            <w:vAlign w:val="center"/>
          </w:tcPr>
          <w:p w:rsidR="00A46313" w:rsidRDefault="00125795">
            <w:pPr>
              <w:jc w:val="right"/>
            </w:pPr>
            <w:r>
              <w:rPr>
                <w:color w:val="000000"/>
                <w:sz w:val="24"/>
              </w:rPr>
              <w:t>21,239,039.76</w:t>
            </w:r>
          </w:p>
        </w:tc>
        <w:tc>
          <w:tcPr>
            <w:tcW w:w="1894" w:type="dxa"/>
            <w:vAlign w:val="center"/>
          </w:tcPr>
          <w:p w:rsidR="00A46313" w:rsidRDefault="00125795">
            <w:pPr>
              <w:jc w:val="right"/>
            </w:pPr>
            <w:r>
              <w:rPr>
                <w:color w:val="000000"/>
                <w:sz w:val="24"/>
              </w:rPr>
              <w:t>132,490,177.31</w:t>
            </w:r>
          </w:p>
        </w:tc>
        <w:tc>
          <w:tcPr>
            <w:tcW w:w="1068" w:type="dxa"/>
            <w:vAlign w:val="center"/>
          </w:tcPr>
          <w:p w:rsidR="00A46313" w:rsidRDefault="00125795">
            <w:pPr>
              <w:jc w:val="left"/>
            </w:pPr>
            <w:r>
              <w:rPr>
                <w:color w:val="000000"/>
                <w:sz w:val="24"/>
              </w:rPr>
              <w:t>-</w:t>
            </w:r>
          </w:p>
        </w:tc>
      </w:tr>
      <w:tr w:rsidR="00A46313" w:rsidTr="007955F6">
        <w:trPr>
          <w:jc w:val="center"/>
        </w:trPr>
        <w:tc>
          <w:tcPr>
            <w:tcW w:w="1157" w:type="dxa"/>
            <w:tcBorders>
              <w:bottom w:val="single" w:sz="4" w:space="0" w:color="auto"/>
            </w:tcBorders>
            <w:vAlign w:val="center"/>
          </w:tcPr>
          <w:p w:rsidR="00A46313" w:rsidRDefault="00125795">
            <w:pPr>
              <w:jc w:val="center"/>
            </w:pPr>
            <w:r>
              <w:rPr>
                <w:color w:val="000000"/>
                <w:sz w:val="24"/>
              </w:rPr>
              <w:t>2014</w:t>
            </w:r>
            <w:r>
              <w:rPr>
                <w:color w:val="000000"/>
                <w:sz w:val="24"/>
              </w:rPr>
              <w:t>年</w:t>
            </w:r>
          </w:p>
        </w:tc>
        <w:tc>
          <w:tcPr>
            <w:tcW w:w="1378" w:type="dxa"/>
            <w:tcBorders>
              <w:bottom w:val="single" w:sz="4" w:space="0" w:color="auto"/>
            </w:tcBorders>
            <w:vAlign w:val="center"/>
          </w:tcPr>
          <w:p w:rsidR="00A46313" w:rsidRDefault="00125795">
            <w:pPr>
              <w:jc w:val="right"/>
            </w:pPr>
            <w:r>
              <w:rPr>
                <w:color w:val="000000"/>
                <w:sz w:val="24"/>
              </w:rPr>
              <w:t>0.720</w:t>
            </w:r>
          </w:p>
        </w:tc>
        <w:tc>
          <w:tcPr>
            <w:tcW w:w="1839" w:type="dxa"/>
            <w:tcBorders>
              <w:bottom w:val="single" w:sz="4" w:space="0" w:color="auto"/>
            </w:tcBorders>
            <w:vAlign w:val="center"/>
          </w:tcPr>
          <w:p w:rsidR="00A46313" w:rsidRDefault="00125795">
            <w:pPr>
              <w:jc w:val="right"/>
            </w:pPr>
            <w:r>
              <w:rPr>
                <w:color w:val="000000"/>
                <w:sz w:val="24"/>
              </w:rPr>
              <w:t>38,266,908.25</w:t>
            </w:r>
          </w:p>
        </w:tc>
        <w:tc>
          <w:tcPr>
            <w:tcW w:w="1950" w:type="dxa"/>
            <w:tcBorders>
              <w:bottom w:val="single" w:sz="4" w:space="0" w:color="auto"/>
            </w:tcBorders>
            <w:vAlign w:val="center"/>
          </w:tcPr>
          <w:p w:rsidR="00A46313" w:rsidRDefault="00125795">
            <w:pPr>
              <w:jc w:val="right"/>
            </w:pPr>
            <w:r>
              <w:rPr>
                <w:color w:val="000000"/>
                <w:sz w:val="24"/>
              </w:rPr>
              <w:t>14,251,488.30</w:t>
            </w:r>
          </w:p>
        </w:tc>
        <w:tc>
          <w:tcPr>
            <w:tcW w:w="1894" w:type="dxa"/>
            <w:tcBorders>
              <w:bottom w:val="single" w:sz="4" w:space="0" w:color="auto"/>
            </w:tcBorders>
            <w:vAlign w:val="center"/>
          </w:tcPr>
          <w:p w:rsidR="00A46313" w:rsidRDefault="00125795">
            <w:pPr>
              <w:jc w:val="right"/>
            </w:pPr>
            <w:r>
              <w:rPr>
                <w:color w:val="000000"/>
                <w:sz w:val="24"/>
              </w:rPr>
              <w:t>52,518,396.55</w:t>
            </w:r>
          </w:p>
        </w:tc>
        <w:tc>
          <w:tcPr>
            <w:tcW w:w="1068" w:type="dxa"/>
            <w:tcBorders>
              <w:bottom w:val="single" w:sz="4" w:space="0" w:color="auto"/>
            </w:tcBorders>
            <w:vAlign w:val="center"/>
          </w:tcPr>
          <w:p w:rsidR="00A46313" w:rsidRDefault="00125795">
            <w:pPr>
              <w:jc w:val="left"/>
            </w:pPr>
            <w:r>
              <w:rPr>
                <w:color w:val="000000"/>
                <w:sz w:val="24"/>
              </w:rPr>
              <w:t>-</w:t>
            </w:r>
          </w:p>
        </w:tc>
      </w:tr>
      <w:tr w:rsidR="006C3415" w:rsidRPr="00D564C7" w:rsidTr="007955F6">
        <w:trPr>
          <w:jc w:val="center"/>
        </w:trPr>
        <w:tc>
          <w:tcPr>
            <w:tcW w:w="1157" w:type="dxa"/>
            <w:tcBorders>
              <w:bottom w:val="single" w:sz="4" w:space="0" w:color="auto"/>
            </w:tcBorders>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tcBorders>
              <w:bottom w:val="single" w:sz="4" w:space="0" w:color="auto"/>
            </w:tcBorders>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2.660</w:t>
            </w:r>
          </w:p>
        </w:tc>
        <w:tc>
          <w:tcPr>
            <w:tcW w:w="1839" w:type="dxa"/>
            <w:tcBorders>
              <w:bottom w:val="single" w:sz="4" w:space="0" w:color="auto"/>
            </w:tcBorders>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199,269,348.55</w:t>
            </w:r>
          </w:p>
        </w:tc>
        <w:tc>
          <w:tcPr>
            <w:tcW w:w="1950" w:type="dxa"/>
            <w:tcBorders>
              <w:bottom w:val="single" w:sz="4" w:space="0" w:color="auto"/>
            </w:tcBorders>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43,337,631.05</w:t>
            </w:r>
          </w:p>
        </w:tc>
        <w:tc>
          <w:tcPr>
            <w:tcW w:w="1894" w:type="dxa"/>
            <w:tcBorders>
              <w:bottom w:val="single" w:sz="4" w:space="0" w:color="auto"/>
            </w:tcBorders>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242,606,979.60</w:t>
            </w:r>
          </w:p>
        </w:tc>
        <w:tc>
          <w:tcPr>
            <w:tcW w:w="1068" w:type="dxa"/>
            <w:tcBorders>
              <w:bottom w:val="single" w:sz="4" w:space="0" w:color="auto"/>
            </w:tcBorders>
            <w:vAlign w:val="center"/>
          </w:tcPr>
          <w:p w:rsidR="00651650" w:rsidRDefault="00B355C5" w:rsidP="004211FD">
            <w:pPr>
              <w:autoSpaceDE w:val="0"/>
              <w:autoSpaceDN w:val="0"/>
              <w:adjustRightInd w:val="0"/>
              <w:spacing w:before="29" w:line="288" w:lineRule="auto"/>
              <w:ind w:left="15"/>
              <w:jc w:val="left"/>
              <w:rPr>
                <w:b/>
                <w:bCs/>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交银增利债券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A46313">
        <w:trPr>
          <w:jc w:val="center"/>
        </w:trPr>
        <w:tc>
          <w:tcPr>
            <w:tcW w:w="1157" w:type="dxa"/>
            <w:vAlign w:val="center"/>
          </w:tcPr>
          <w:p w:rsidR="00A46313" w:rsidRDefault="00125795">
            <w:pPr>
              <w:jc w:val="center"/>
            </w:pPr>
            <w:r>
              <w:rPr>
                <w:color w:val="000000"/>
                <w:sz w:val="24"/>
              </w:rPr>
              <w:t>2016</w:t>
            </w:r>
            <w:r>
              <w:rPr>
                <w:color w:val="000000"/>
                <w:sz w:val="24"/>
              </w:rPr>
              <w:t>年</w:t>
            </w:r>
          </w:p>
        </w:tc>
        <w:tc>
          <w:tcPr>
            <w:tcW w:w="1378" w:type="dxa"/>
            <w:vAlign w:val="center"/>
          </w:tcPr>
          <w:p w:rsidR="00A46313" w:rsidRDefault="00125795">
            <w:pPr>
              <w:jc w:val="right"/>
            </w:pPr>
            <w:r>
              <w:rPr>
                <w:color w:val="000000"/>
                <w:sz w:val="24"/>
              </w:rPr>
              <w:t>0.590</w:t>
            </w:r>
          </w:p>
        </w:tc>
        <w:tc>
          <w:tcPr>
            <w:tcW w:w="1839" w:type="dxa"/>
            <w:vAlign w:val="center"/>
          </w:tcPr>
          <w:p w:rsidR="00A46313" w:rsidRDefault="00125795">
            <w:pPr>
              <w:jc w:val="right"/>
            </w:pPr>
            <w:r>
              <w:rPr>
                <w:color w:val="000000"/>
                <w:sz w:val="24"/>
              </w:rPr>
              <w:t>12,201,657.01</w:t>
            </w:r>
          </w:p>
        </w:tc>
        <w:tc>
          <w:tcPr>
            <w:tcW w:w="1950" w:type="dxa"/>
            <w:vAlign w:val="center"/>
          </w:tcPr>
          <w:p w:rsidR="00A46313" w:rsidRDefault="00125795">
            <w:pPr>
              <w:jc w:val="right"/>
            </w:pPr>
            <w:r>
              <w:rPr>
                <w:color w:val="000000"/>
                <w:sz w:val="24"/>
              </w:rPr>
              <w:t>3,757,238.67</w:t>
            </w:r>
          </w:p>
        </w:tc>
        <w:tc>
          <w:tcPr>
            <w:tcW w:w="1894" w:type="dxa"/>
            <w:vAlign w:val="center"/>
          </w:tcPr>
          <w:p w:rsidR="00A46313" w:rsidRDefault="00125795">
            <w:pPr>
              <w:jc w:val="right"/>
            </w:pPr>
            <w:r>
              <w:rPr>
                <w:color w:val="000000"/>
                <w:sz w:val="24"/>
              </w:rPr>
              <w:t>15,958,895.68</w:t>
            </w:r>
          </w:p>
        </w:tc>
        <w:tc>
          <w:tcPr>
            <w:tcW w:w="1068" w:type="dxa"/>
            <w:vAlign w:val="center"/>
          </w:tcPr>
          <w:p w:rsidR="00A46313" w:rsidRDefault="00125795">
            <w:pPr>
              <w:jc w:val="left"/>
            </w:pPr>
            <w:r>
              <w:rPr>
                <w:color w:val="000000"/>
                <w:sz w:val="24"/>
              </w:rPr>
              <w:t>-</w:t>
            </w:r>
          </w:p>
        </w:tc>
      </w:tr>
      <w:tr w:rsidR="00A46313">
        <w:trPr>
          <w:jc w:val="center"/>
        </w:trPr>
        <w:tc>
          <w:tcPr>
            <w:tcW w:w="1157" w:type="dxa"/>
            <w:vAlign w:val="center"/>
          </w:tcPr>
          <w:p w:rsidR="00A46313" w:rsidRDefault="00125795">
            <w:pPr>
              <w:jc w:val="center"/>
            </w:pPr>
            <w:r>
              <w:rPr>
                <w:color w:val="000000"/>
                <w:sz w:val="24"/>
              </w:rPr>
              <w:t>2015</w:t>
            </w:r>
            <w:r>
              <w:rPr>
                <w:color w:val="000000"/>
                <w:sz w:val="24"/>
              </w:rPr>
              <w:t>年</w:t>
            </w:r>
          </w:p>
        </w:tc>
        <w:tc>
          <w:tcPr>
            <w:tcW w:w="1378" w:type="dxa"/>
            <w:vAlign w:val="center"/>
          </w:tcPr>
          <w:p w:rsidR="00A46313" w:rsidRDefault="00125795">
            <w:pPr>
              <w:jc w:val="right"/>
            </w:pPr>
            <w:r>
              <w:rPr>
                <w:color w:val="000000"/>
                <w:sz w:val="24"/>
              </w:rPr>
              <w:t>1.260</w:t>
            </w:r>
          </w:p>
        </w:tc>
        <w:tc>
          <w:tcPr>
            <w:tcW w:w="1839" w:type="dxa"/>
            <w:vAlign w:val="center"/>
          </w:tcPr>
          <w:p w:rsidR="00A46313" w:rsidRDefault="00125795">
            <w:pPr>
              <w:jc w:val="right"/>
            </w:pPr>
            <w:r>
              <w:rPr>
                <w:color w:val="000000"/>
                <w:sz w:val="24"/>
              </w:rPr>
              <w:t>12,762,746.26</w:t>
            </w:r>
          </w:p>
        </w:tc>
        <w:tc>
          <w:tcPr>
            <w:tcW w:w="1950" w:type="dxa"/>
            <w:vAlign w:val="center"/>
          </w:tcPr>
          <w:p w:rsidR="00A46313" w:rsidRDefault="00125795">
            <w:pPr>
              <w:jc w:val="right"/>
            </w:pPr>
            <w:r>
              <w:rPr>
                <w:color w:val="000000"/>
                <w:sz w:val="24"/>
              </w:rPr>
              <w:t>16,995,651.89</w:t>
            </w:r>
          </w:p>
        </w:tc>
        <w:tc>
          <w:tcPr>
            <w:tcW w:w="1894" w:type="dxa"/>
            <w:vAlign w:val="center"/>
          </w:tcPr>
          <w:p w:rsidR="00A46313" w:rsidRDefault="00125795">
            <w:pPr>
              <w:jc w:val="right"/>
            </w:pPr>
            <w:r>
              <w:rPr>
                <w:color w:val="000000"/>
                <w:sz w:val="24"/>
              </w:rPr>
              <w:t>29,758,398.15</w:t>
            </w:r>
          </w:p>
        </w:tc>
        <w:tc>
          <w:tcPr>
            <w:tcW w:w="1068" w:type="dxa"/>
            <w:vAlign w:val="center"/>
          </w:tcPr>
          <w:p w:rsidR="00A46313" w:rsidRDefault="00125795">
            <w:pPr>
              <w:jc w:val="left"/>
            </w:pPr>
            <w:r>
              <w:rPr>
                <w:color w:val="000000"/>
                <w:sz w:val="24"/>
              </w:rPr>
              <w:t>-</w:t>
            </w:r>
          </w:p>
        </w:tc>
      </w:tr>
      <w:tr w:rsidR="00A46313">
        <w:trPr>
          <w:jc w:val="center"/>
        </w:trPr>
        <w:tc>
          <w:tcPr>
            <w:tcW w:w="1157" w:type="dxa"/>
            <w:vAlign w:val="center"/>
          </w:tcPr>
          <w:p w:rsidR="00A46313" w:rsidRDefault="00125795">
            <w:pPr>
              <w:jc w:val="center"/>
            </w:pPr>
            <w:r>
              <w:rPr>
                <w:color w:val="000000"/>
                <w:sz w:val="24"/>
              </w:rPr>
              <w:t>2014</w:t>
            </w:r>
            <w:r>
              <w:rPr>
                <w:color w:val="000000"/>
                <w:sz w:val="24"/>
              </w:rPr>
              <w:t>年</w:t>
            </w:r>
          </w:p>
        </w:tc>
        <w:tc>
          <w:tcPr>
            <w:tcW w:w="1378" w:type="dxa"/>
            <w:vAlign w:val="center"/>
          </w:tcPr>
          <w:p w:rsidR="00A46313" w:rsidRDefault="00125795">
            <w:pPr>
              <w:jc w:val="right"/>
            </w:pPr>
            <w:r>
              <w:rPr>
                <w:color w:val="000000"/>
                <w:sz w:val="24"/>
              </w:rPr>
              <w:t>0.640</w:t>
            </w:r>
          </w:p>
        </w:tc>
        <w:tc>
          <w:tcPr>
            <w:tcW w:w="1839" w:type="dxa"/>
            <w:vAlign w:val="center"/>
          </w:tcPr>
          <w:p w:rsidR="00A46313" w:rsidRDefault="00125795">
            <w:pPr>
              <w:jc w:val="right"/>
            </w:pPr>
            <w:r>
              <w:rPr>
                <w:color w:val="000000"/>
                <w:sz w:val="24"/>
              </w:rPr>
              <w:t>10,579,577.14</w:t>
            </w:r>
          </w:p>
        </w:tc>
        <w:tc>
          <w:tcPr>
            <w:tcW w:w="1950" w:type="dxa"/>
            <w:vAlign w:val="center"/>
          </w:tcPr>
          <w:p w:rsidR="00A46313" w:rsidRDefault="00125795">
            <w:pPr>
              <w:jc w:val="right"/>
            </w:pPr>
            <w:r>
              <w:rPr>
                <w:color w:val="000000"/>
                <w:sz w:val="24"/>
              </w:rPr>
              <w:t>6,543,797.50</w:t>
            </w:r>
          </w:p>
        </w:tc>
        <w:tc>
          <w:tcPr>
            <w:tcW w:w="1894" w:type="dxa"/>
            <w:vAlign w:val="center"/>
          </w:tcPr>
          <w:p w:rsidR="00A46313" w:rsidRDefault="00125795">
            <w:pPr>
              <w:jc w:val="right"/>
            </w:pPr>
            <w:r>
              <w:rPr>
                <w:color w:val="000000"/>
                <w:sz w:val="24"/>
              </w:rPr>
              <w:t>17,123,374.64</w:t>
            </w:r>
          </w:p>
        </w:tc>
        <w:tc>
          <w:tcPr>
            <w:tcW w:w="1068" w:type="dxa"/>
            <w:vAlign w:val="center"/>
          </w:tcPr>
          <w:p w:rsidR="00A46313" w:rsidRDefault="00125795">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2.490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35,543,980.41</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27,296,688.06</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62,840,668.47</w:t>
            </w:r>
          </w:p>
        </w:tc>
        <w:tc>
          <w:tcPr>
            <w:tcW w:w="1068" w:type="dxa"/>
            <w:vAlign w:val="center"/>
          </w:tcPr>
          <w:p w:rsidR="00651650" w:rsidRDefault="00B355C5" w:rsidP="004211FD">
            <w:pPr>
              <w:autoSpaceDE w:val="0"/>
              <w:autoSpaceDN w:val="0"/>
              <w:adjustRightInd w:val="0"/>
              <w:spacing w:before="29" w:line="288" w:lineRule="auto"/>
              <w:ind w:left="15"/>
              <w:jc w:val="left"/>
              <w:rPr>
                <w:b/>
                <w:bCs/>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78236523"/>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4211FD" w:rsidRDefault="001A59F9" w:rsidP="004211FD">
      <w:pPr>
        <w:pStyle w:val="20"/>
        <w:spacing w:before="29" w:after="0" w:line="288" w:lineRule="auto"/>
        <w:rPr>
          <w:b w:val="0"/>
          <w:kern w:val="0"/>
        </w:rPr>
      </w:pPr>
      <w:bookmarkStart w:id="41" w:name="_Toc361324855"/>
      <w:bookmarkStart w:id="42" w:name="_Toc478236524"/>
      <w:r w:rsidRPr="004211FD">
        <w:rPr>
          <w:rFonts w:ascii="Times New Roman" w:hAnsi="Times New Roman"/>
          <w:kern w:val="0"/>
          <w:szCs w:val="24"/>
        </w:rPr>
        <w:t xml:space="preserve">4.1 </w:t>
      </w:r>
      <w:r w:rsidRPr="004211FD">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0067271C" w:rsidRPr="007F57C2">
        <w:rPr>
          <w:rFonts w:eastAsiaTheme="minorEastAsia" w:hint="eastAsia"/>
          <w:b/>
          <w:sz w:val="24"/>
        </w:rPr>
        <w:t xml:space="preserve"> </w:t>
      </w:r>
      <w:r w:rsidRPr="007F57C2">
        <w:rPr>
          <w:rFonts w:eastAsiaTheme="minorEastAsia" w:hint="eastAsia"/>
          <w:b/>
          <w:sz w:val="24"/>
        </w:rPr>
        <w:t>基金管理人及其管理基金的经验</w:t>
      </w:r>
    </w:p>
    <w:p w:rsidR="00A46313" w:rsidRDefault="00125795">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69</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lastRenderedPageBreak/>
        <w:t>4.1.2</w:t>
      </w:r>
      <w:r w:rsidR="0067271C" w:rsidRPr="007F57C2">
        <w:rPr>
          <w:rFonts w:eastAsiaTheme="minorEastAsia" w:hint="eastAsia"/>
          <w:b/>
          <w:sz w:val="24"/>
        </w:rPr>
        <w:t xml:space="preserve"> </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A46313">
        <w:tc>
          <w:tcPr>
            <w:tcW w:w="1276" w:type="dxa"/>
            <w:vAlign w:val="center"/>
          </w:tcPr>
          <w:p w:rsidR="00A46313" w:rsidRDefault="00125795">
            <w:pPr>
              <w:jc w:val="center"/>
            </w:pPr>
            <w:r>
              <w:rPr>
                <w:color w:val="000000"/>
                <w:sz w:val="24"/>
              </w:rPr>
              <w:t>孙超</w:t>
            </w:r>
          </w:p>
        </w:tc>
        <w:tc>
          <w:tcPr>
            <w:tcW w:w="1134" w:type="dxa"/>
            <w:vAlign w:val="center"/>
          </w:tcPr>
          <w:p w:rsidR="00A46313" w:rsidRDefault="00125795">
            <w:pPr>
              <w:jc w:val="center"/>
            </w:pPr>
            <w:r>
              <w:rPr>
                <w:color w:val="000000"/>
                <w:sz w:val="24"/>
              </w:rPr>
              <w:t>交银增利债券、交银纯债债券发起、交银荣祥保本混合、交银定期支付月月丰债券、交银增强收益债券、交银强化回报债券、交银丰润收益债券、交银丰享收益债券、交银丰泽收益债券、交银丰硕收益债券、交银荣鑫保本混合的基金经理，公司固定收益部助理总经理</w:t>
            </w:r>
          </w:p>
        </w:tc>
        <w:tc>
          <w:tcPr>
            <w:tcW w:w="1418" w:type="dxa"/>
            <w:vAlign w:val="center"/>
          </w:tcPr>
          <w:p w:rsidR="00A46313" w:rsidRDefault="00125795">
            <w:pPr>
              <w:jc w:val="center"/>
            </w:pPr>
            <w:r>
              <w:rPr>
                <w:color w:val="000000"/>
                <w:sz w:val="24"/>
              </w:rPr>
              <w:t>2015-07-18</w:t>
            </w:r>
          </w:p>
        </w:tc>
        <w:tc>
          <w:tcPr>
            <w:tcW w:w="1275" w:type="dxa"/>
            <w:vAlign w:val="center"/>
          </w:tcPr>
          <w:p w:rsidR="00A46313" w:rsidRDefault="00125795">
            <w:pPr>
              <w:jc w:val="center"/>
            </w:pPr>
            <w:r>
              <w:rPr>
                <w:color w:val="000000"/>
                <w:sz w:val="24"/>
              </w:rPr>
              <w:t>-</w:t>
            </w:r>
          </w:p>
        </w:tc>
        <w:tc>
          <w:tcPr>
            <w:tcW w:w="993" w:type="dxa"/>
            <w:vAlign w:val="center"/>
          </w:tcPr>
          <w:p w:rsidR="00A46313" w:rsidRDefault="00125795">
            <w:pPr>
              <w:jc w:val="center"/>
            </w:pPr>
            <w:r>
              <w:rPr>
                <w:color w:val="000000"/>
                <w:sz w:val="24"/>
              </w:rPr>
              <w:t>5</w:t>
            </w:r>
            <w:r>
              <w:rPr>
                <w:color w:val="000000"/>
                <w:sz w:val="24"/>
              </w:rPr>
              <w:t>年</w:t>
            </w:r>
          </w:p>
        </w:tc>
        <w:tc>
          <w:tcPr>
            <w:tcW w:w="2902" w:type="dxa"/>
            <w:vAlign w:val="center"/>
          </w:tcPr>
          <w:p w:rsidR="00A46313" w:rsidRDefault="00125795">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Pr>
                <w:color w:val="000000"/>
                <w:sz w:val="24"/>
              </w:rPr>
              <w:t>17</w:t>
            </w:r>
            <w:r>
              <w:rPr>
                <w:color w:val="000000"/>
                <w:sz w:val="24"/>
              </w:rPr>
              <w:t>日担任交银施罗德双轮动债券型证券投资基金基金经理，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2016</w:t>
            </w:r>
            <w:r>
              <w:rPr>
                <w:color w:val="000000"/>
                <w:sz w:val="24"/>
              </w:rPr>
              <w:t>年</w:t>
            </w:r>
            <w:r>
              <w:rPr>
                <w:color w:val="000000"/>
                <w:sz w:val="24"/>
              </w:rPr>
              <w:t>12</w:t>
            </w:r>
            <w:r>
              <w:rPr>
                <w:color w:val="000000"/>
                <w:sz w:val="24"/>
              </w:rPr>
              <w:t>月</w:t>
            </w:r>
            <w:r>
              <w:rPr>
                <w:color w:val="000000"/>
                <w:sz w:val="24"/>
              </w:rPr>
              <w:t>29</w:t>
            </w:r>
            <w:r>
              <w:rPr>
                <w:color w:val="000000"/>
                <w:sz w:val="24"/>
              </w:rPr>
              <w:t>日担任交银施罗德荣泰保本混合型证券投资基金</w:t>
            </w:r>
            <w:r w:rsidR="00EA31C7">
              <w:rPr>
                <w:rFonts w:hint="eastAsia"/>
                <w:color w:val="000000"/>
                <w:sz w:val="24"/>
              </w:rPr>
              <w:t>的</w:t>
            </w:r>
            <w:r w:rsidR="00CE01C2">
              <w:rPr>
                <w:rFonts w:hint="eastAsia"/>
                <w:color w:val="000000"/>
                <w:sz w:val="24"/>
              </w:rPr>
              <w:t>基金</w:t>
            </w:r>
            <w:r w:rsidR="00CE01C2">
              <w:rPr>
                <w:color w:val="000000"/>
                <w:sz w:val="24"/>
              </w:rPr>
              <w:t>经理</w:t>
            </w:r>
            <w:r>
              <w:rPr>
                <w:color w:val="000000"/>
                <w:sz w:val="24"/>
              </w:rPr>
              <w:t>。</w:t>
            </w:r>
          </w:p>
        </w:tc>
      </w:tr>
    </w:tbl>
    <w:p w:rsidR="00A46313" w:rsidRDefault="00125795">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A46313" w:rsidRDefault="00125795">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w:t>
      </w:r>
      <w:r>
        <w:rPr>
          <w:kern w:val="0"/>
          <w:sz w:val="24"/>
        </w:rPr>
        <w:lastRenderedPageBreak/>
        <w:t>会《证券业从业人员资格管理办法》的相关规定；</w:t>
      </w:r>
      <w:r>
        <w:rPr>
          <w:kern w:val="0"/>
          <w:sz w:val="24"/>
        </w:rPr>
        <w:t xml:space="preserve"> </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7F57C2" w:rsidRDefault="001A59F9" w:rsidP="004211FD">
      <w:pPr>
        <w:pStyle w:val="20"/>
        <w:spacing w:before="29" w:after="0" w:line="288" w:lineRule="auto"/>
        <w:rPr>
          <w:rFonts w:eastAsiaTheme="minorEastAsia"/>
        </w:rPr>
      </w:pPr>
      <w:bookmarkStart w:id="43" w:name="_Toc225498256"/>
      <w:bookmarkStart w:id="44" w:name="_Toc361324856"/>
      <w:bookmarkStart w:id="45" w:name="_Toc478236525"/>
      <w:r w:rsidRPr="004211FD">
        <w:rPr>
          <w:rFonts w:ascii="Times New Roman" w:hAnsi="Times New Roman"/>
          <w:kern w:val="0"/>
          <w:szCs w:val="24"/>
        </w:rPr>
        <w:t xml:space="preserve">4.2 </w:t>
      </w:r>
      <w:r w:rsidRPr="004211FD">
        <w:rPr>
          <w:rFonts w:ascii="Times New Roman" w:hAnsi="Times New Roman" w:hint="eastAsia"/>
          <w:kern w:val="0"/>
          <w:szCs w:val="24"/>
        </w:rPr>
        <w:t>管理人对报告期内本基金运作遵规守信情况的说明</w:t>
      </w:r>
      <w:bookmarkEnd w:id="43"/>
      <w:bookmarkEnd w:id="44"/>
      <w:bookmarkEnd w:id="45"/>
    </w:p>
    <w:p w:rsidR="00A46313" w:rsidRDefault="00125795">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40DA7" w:rsidRDefault="001A59F9" w:rsidP="00A40DA7">
      <w:pPr>
        <w:spacing w:before="29" w:line="288" w:lineRule="auto"/>
        <w:ind w:firstLineChars="200" w:firstLine="480"/>
        <w:rPr>
          <w:kern w:val="0"/>
          <w:sz w:val="24"/>
        </w:rPr>
      </w:pPr>
      <w:r w:rsidRPr="00A40DA7">
        <w:rPr>
          <w:kern w:val="0"/>
          <w:sz w:val="24"/>
        </w:rPr>
        <w:t>本报告期内，本基金整体运作合规合法，无不当内幕交易和关联交易，基金投资范围、投资比例及投资组合符合有关法律法规及基金合同的约定，未发生损害基金持有人利益的行为。</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46" w:name="_Toc225498257"/>
      <w:bookmarkStart w:id="47" w:name="_Toc361324857"/>
      <w:bookmarkStart w:id="48" w:name="_Toc478236526"/>
      <w:r w:rsidRPr="004211FD">
        <w:rPr>
          <w:rFonts w:ascii="Times New Roman" w:hAnsi="Times New Roman"/>
          <w:kern w:val="0"/>
          <w:szCs w:val="24"/>
        </w:rPr>
        <w:t xml:space="preserve">4.3 </w:t>
      </w:r>
      <w:r w:rsidRPr="004211FD">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0067271C" w:rsidRPr="007F57C2">
        <w:rPr>
          <w:rFonts w:eastAsiaTheme="minorEastAsia" w:hint="eastAsia"/>
          <w:b/>
          <w:sz w:val="24"/>
        </w:rPr>
        <w:t xml:space="preserve"> </w:t>
      </w:r>
      <w:r w:rsidRPr="007F57C2">
        <w:rPr>
          <w:rFonts w:eastAsiaTheme="minorEastAsia" w:hint="eastAsia"/>
          <w:b/>
          <w:sz w:val="24"/>
        </w:rPr>
        <w:t>公平交易制度和控制方法</w:t>
      </w:r>
    </w:p>
    <w:p w:rsidR="00A46313" w:rsidRDefault="00125795">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A46313" w:rsidRDefault="0012579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A46313" w:rsidRDefault="0012579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A46313" w:rsidRDefault="0012579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A46313" w:rsidRDefault="0012579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0067271C" w:rsidRPr="007F57C2">
        <w:rPr>
          <w:rFonts w:eastAsiaTheme="minorEastAsia" w:hint="eastAsia"/>
          <w:b/>
          <w:sz w:val="24"/>
        </w:rPr>
        <w:t xml:space="preserve"> </w:t>
      </w:r>
      <w:r w:rsidRPr="007F57C2">
        <w:rPr>
          <w:rFonts w:eastAsiaTheme="minorEastAsia" w:hint="eastAsia"/>
          <w:b/>
          <w:sz w:val="24"/>
        </w:rPr>
        <w:t>公平交易制度的执行情况</w:t>
      </w:r>
    </w:p>
    <w:p w:rsidR="001A59F9" w:rsidRPr="00A40DA7" w:rsidRDefault="001A59F9" w:rsidP="00A40DA7">
      <w:pPr>
        <w:spacing w:before="29" w:line="288" w:lineRule="auto"/>
        <w:ind w:firstLineChars="200" w:firstLine="480"/>
        <w:rPr>
          <w:kern w:val="0"/>
          <w:sz w:val="24"/>
        </w:rPr>
      </w:pPr>
      <w:r w:rsidRPr="00A40DA7">
        <w:rPr>
          <w:kern w:val="0"/>
          <w:sz w:val="24"/>
        </w:rPr>
        <w:t>本报告期内公司严格执行公平交易制度，公平对待旗下各投资组合。通过投资交易监控、交易数据分析、专项稽核检查等，本基金管理人未发现任何违反公平交易制度的行为。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0067271C" w:rsidRPr="007F57C2">
        <w:rPr>
          <w:rFonts w:eastAsiaTheme="minorEastAsia" w:hint="eastAsia"/>
          <w:b/>
          <w:sz w:val="24"/>
        </w:rPr>
        <w:t xml:space="preserve"> </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本基金于本报告期内未发现异常交易行为。本报告期内，本公司管理的所有投资组合参与的交易所公开竞价同日反向交易成交较少的单边交易量超过该证券当日总成交量</w:t>
      </w:r>
      <w:r w:rsidRPr="00A40DA7">
        <w:rPr>
          <w:kern w:val="0"/>
          <w:sz w:val="24"/>
        </w:rPr>
        <w:t>5%</w:t>
      </w:r>
      <w:r w:rsidRPr="00A40DA7">
        <w:rPr>
          <w:kern w:val="0"/>
          <w:sz w:val="24"/>
        </w:rPr>
        <w:t>的情况有</w:t>
      </w:r>
      <w:r w:rsidRPr="00A40DA7">
        <w:rPr>
          <w:kern w:val="0"/>
          <w:sz w:val="24"/>
        </w:rPr>
        <w:t>2</w:t>
      </w:r>
      <w:r w:rsidRPr="00A40DA7">
        <w:rPr>
          <w:kern w:val="0"/>
          <w:sz w:val="24"/>
        </w:rPr>
        <w:t>次，是投资组合因投资策略或在合规范围内因被动超标调整需要而发生同日反向交易，未发现不公平交易和利益输送的情况。本基金与本公司管理的其他投资组合在不同时间窗下（如日内、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日内）同向交易的交易价差未发现异常。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49" w:name="_Toc225498258"/>
      <w:bookmarkStart w:id="50" w:name="_Toc361324858"/>
      <w:bookmarkStart w:id="51" w:name="_Toc478236527"/>
      <w:r w:rsidRPr="004211FD">
        <w:rPr>
          <w:rFonts w:ascii="Times New Roman" w:hAnsi="Times New Roman"/>
          <w:kern w:val="0"/>
          <w:szCs w:val="24"/>
        </w:rPr>
        <w:t xml:space="preserve">4.4 </w:t>
      </w:r>
      <w:r w:rsidRPr="004211FD">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A46313" w:rsidRDefault="00125795">
      <w:pPr>
        <w:spacing w:before="29" w:line="288" w:lineRule="auto"/>
        <w:ind w:firstLineChars="200" w:firstLine="480"/>
        <w:rPr>
          <w:kern w:val="0"/>
          <w:sz w:val="24"/>
        </w:rPr>
      </w:pPr>
      <w:r>
        <w:rPr>
          <w:kern w:val="0"/>
          <w:sz w:val="24"/>
        </w:rPr>
        <w:t>2016</w:t>
      </w:r>
      <w:r>
        <w:rPr>
          <w:kern w:val="0"/>
          <w:sz w:val="24"/>
        </w:rPr>
        <w:t>年前三季度债市呈现窄幅震荡。</w:t>
      </w:r>
      <w:r>
        <w:rPr>
          <w:kern w:val="0"/>
          <w:sz w:val="24"/>
        </w:rPr>
        <w:t>1</w:t>
      </w:r>
      <w:r>
        <w:rPr>
          <w:kern w:val="0"/>
          <w:sz w:val="24"/>
        </w:rPr>
        <w:t>月份由于汇率端承压较大，央行在资金紧缺时采取</w:t>
      </w:r>
      <w:r>
        <w:rPr>
          <w:kern w:val="0"/>
          <w:sz w:val="24"/>
        </w:rPr>
        <w:t>SLO</w:t>
      </w:r>
      <w:r>
        <w:rPr>
          <w:kern w:val="0"/>
          <w:sz w:val="24"/>
        </w:rPr>
        <w:t>、</w:t>
      </w:r>
      <w:r>
        <w:rPr>
          <w:kern w:val="0"/>
          <w:sz w:val="24"/>
        </w:rPr>
        <w:t>MLF</w:t>
      </w:r>
      <w:r>
        <w:rPr>
          <w:kern w:val="0"/>
          <w:sz w:val="24"/>
        </w:rPr>
        <w:t>、逆回购等方式而非降息方式向市场投放流动性，长债收益率经历了短暂下行后快速回升，之后一直在高位波动。</w:t>
      </w:r>
      <w:r>
        <w:rPr>
          <w:kern w:val="0"/>
          <w:sz w:val="24"/>
        </w:rPr>
        <w:t>2</w:t>
      </w:r>
      <w:r>
        <w:rPr>
          <w:kern w:val="0"/>
          <w:sz w:val="24"/>
        </w:rPr>
        <w:t>月份、</w:t>
      </w:r>
      <w:r>
        <w:rPr>
          <w:kern w:val="0"/>
          <w:sz w:val="24"/>
        </w:rPr>
        <w:t>3</w:t>
      </w:r>
      <w:r>
        <w:rPr>
          <w:kern w:val="0"/>
          <w:sz w:val="24"/>
        </w:rPr>
        <w:t>月份美联储加息预期、猪肉价格上涨、黄金与大宗商品的反弹、房地产市场的快速回暖以及经济数据的好转，构成制约央行继续释放流动性的阻碍，</w:t>
      </w:r>
      <w:r>
        <w:rPr>
          <w:kern w:val="0"/>
          <w:sz w:val="24"/>
        </w:rPr>
        <w:t>MPA</w:t>
      </w:r>
      <w:r>
        <w:rPr>
          <w:kern w:val="0"/>
          <w:sz w:val="24"/>
        </w:rPr>
        <w:t>突击考核令非银机构在季末感受到巨大流动性压力。</w:t>
      </w:r>
      <w:r>
        <w:rPr>
          <w:kern w:val="0"/>
          <w:sz w:val="24"/>
        </w:rPr>
        <w:t>3</w:t>
      </w:r>
      <w:r>
        <w:rPr>
          <w:kern w:val="0"/>
          <w:sz w:val="24"/>
        </w:rPr>
        <w:t>月份信用债市场违约日益频发，高评级信用利差收窄，低评级信用利差走阔。二季度经济增长动能呈现出较为疲弱的态势，但对债券市场而言，事件冲击不断。</w:t>
      </w:r>
      <w:r>
        <w:rPr>
          <w:kern w:val="0"/>
          <w:sz w:val="24"/>
        </w:rPr>
        <w:t>2016</w:t>
      </w:r>
      <w:r>
        <w:rPr>
          <w:kern w:val="0"/>
          <w:sz w:val="24"/>
        </w:rPr>
        <w:t>年</w:t>
      </w:r>
      <w:r>
        <w:rPr>
          <w:kern w:val="0"/>
          <w:sz w:val="24"/>
        </w:rPr>
        <w:t>4</w:t>
      </w:r>
      <w:r>
        <w:rPr>
          <w:kern w:val="0"/>
          <w:sz w:val="24"/>
        </w:rPr>
        <w:t>月份以来，随着中铁物资信用事件爆发，市场情绪非常脆弱，再叠加营改增可能会对金融同业产生的影响，主力国开债利率大幅上行，信用债尤其是中低等级的信用利差扩大明显。国债</w:t>
      </w:r>
      <w:r>
        <w:rPr>
          <w:kern w:val="0"/>
          <w:sz w:val="24"/>
        </w:rPr>
        <w:t>10</w:t>
      </w:r>
      <w:r>
        <w:rPr>
          <w:kern w:val="0"/>
          <w:sz w:val="24"/>
        </w:rPr>
        <w:t>年和</w:t>
      </w:r>
      <w:r>
        <w:rPr>
          <w:kern w:val="0"/>
          <w:sz w:val="24"/>
        </w:rPr>
        <w:t>7</w:t>
      </w:r>
      <w:r>
        <w:rPr>
          <w:kern w:val="0"/>
          <w:sz w:val="24"/>
        </w:rPr>
        <w:t>年曲线一度倒挂</w:t>
      </w:r>
      <w:r>
        <w:rPr>
          <w:kern w:val="0"/>
          <w:sz w:val="24"/>
        </w:rPr>
        <w:t>12BP</w:t>
      </w:r>
      <w:r>
        <w:rPr>
          <w:kern w:val="0"/>
          <w:sz w:val="24"/>
        </w:rPr>
        <w:t>，创下近十年的最大负利差。进入</w:t>
      </w:r>
      <w:r>
        <w:rPr>
          <w:kern w:val="0"/>
          <w:sz w:val="24"/>
        </w:rPr>
        <w:t>5</w:t>
      </w:r>
      <w:r>
        <w:rPr>
          <w:kern w:val="0"/>
          <w:sz w:val="24"/>
        </w:rPr>
        <w:t>月份后，</w:t>
      </w:r>
      <w:r>
        <w:rPr>
          <w:kern w:val="0"/>
          <w:sz w:val="24"/>
        </w:rPr>
        <w:t>“</w:t>
      </w:r>
      <w:r>
        <w:rPr>
          <w:kern w:val="0"/>
          <w:sz w:val="24"/>
        </w:rPr>
        <w:t>权威人士</w:t>
      </w:r>
      <w:r>
        <w:rPr>
          <w:kern w:val="0"/>
          <w:sz w:val="24"/>
        </w:rPr>
        <w:t>”</w:t>
      </w:r>
      <w:r>
        <w:rPr>
          <w:kern w:val="0"/>
          <w:sz w:val="24"/>
        </w:rPr>
        <w:t>讲话确定经济</w:t>
      </w:r>
      <w:r>
        <w:rPr>
          <w:kern w:val="0"/>
          <w:sz w:val="24"/>
        </w:rPr>
        <w:t>“L</w:t>
      </w:r>
      <w:r>
        <w:rPr>
          <w:kern w:val="0"/>
          <w:sz w:val="24"/>
        </w:rPr>
        <w:t>型底</w:t>
      </w:r>
      <w:r>
        <w:rPr>
          <w:kern w:val="0"/>
          <w:sz w:val="24"/>
        </w:rPr>
        <w:t>”</w:t>
      </w:r>
      <w:r>
        <w:rPr>
          <w:kern w:val="0"/>
          <w:sz w:val="24"/>
        </w:rPr>
        <w:t>，加上经济和通胀再度放缓，以及美联储</w:t>
      </w:r>
      <w:r>
        <w:rPr>
          <w:kern w:val="0"/>
          <w:sz w:val="24"/>
        </w:rPr>
        <w:t>FOMC</w:t>
      </w:r>
      <w:r>
        <w:rPr>
          <w:kern w:val="0"/>
          <w:sz w:val="24"/>
        </w:rPr>
        <w:t>会议、英国退欧等事件的影响，长端利率债持续震荡下行，并与一级招标及国债期货互为反馈。</w:t>
      </w:r>
      <w:r>
        <w:rPr>
          <w:kern w:val="0"/>
          <w:sz w:val="24"/>
        </w:rPr>
        <w:t>8</w:t>
      </w:r>
      <w:r>
        <w:rPr>
          <w:kern w:val="0"/>
          <w:sz w:val="24"/>
        </w:rPr>
        <w:t>月中旬，央行重启</w:t>
      </w:r>
      <w:r>
        <w:rPr>
          <w:kern w:val="0"/>
          <w:sz w:val="24"/>
        </w:rPr>
        <w:t>14</w:t>
      </w:r>
      <w:r>
        <w:rPr>
          <w:kern w:val="0"/>
          <w:sz w:val="24"/>
        </w:rPr>
        <w:t>天逆回购后，</w:t>
      </w:r>
      <w:r>
        <w:rPr>
          <w:kern w:val="0"/>
          <w:sz w:val="24"/>
        </w:rPr>
        <w:t>10</w:t>
      </w:r>
      <w:r>
        <w:rPr>
          <w:kern w:val="0"/>
          <w:sz w:val="24"/>
        </w:rPr>
        <w:t>年国债收益率出现回调，</w:t>
      </w:r>
      <w:r>
        <w:rPr>
          <w:kern w:val="0"/>
          <w:sz w:val="24"/>
        </w:rPr>
        <w:t>9</w:t>
      </w:r>
      <w:r>
        <w:rPr>
          <w:kern w:val="0"/>
          <w:sz w:val="24"/>
        </w:rPr>
        <w:t>月中旬后市场情绪相对修复，一级招标收益率持续低于预期使得二级招标收益率再度温和下行，信用利差降至历史低位。四季度起，尽管</w:t>
      </w:r>
      <w:r>
        <w:rPr>
          <w:kern w:val="0"/>
          <w:sz w:val="24"/>
        </w:rPr>
        <w:t>10</w:t>
      </w:r>
      <w:r>
        <w:rPr>
          <w:kern w:val="0"/>
          <w:sz w:val="24"/>
        </w:rPr>
        <w:t>月初地产调控升级令市场对中期经济基本面偏悲观，随着大宗商品价格持续攀升，市场对经济预期升温，</w:t>
      </w:r>
      <w:r>
        <w:rPr>
          <w:kern w:val="0"/>
          <w:sz w:val="24"/>
        </w:rPr>
        <w:t>CPI</w:t>
      </w:r>
      <w:r>
        <w:rPr>
          <w:kern w:val="0"/>
          <w:sz w:val="24"/>
        </w:rPr>
        <w:t>同比小幅攀升，生产资料涨价延续，</w:t>
      </w:r>
      <w:r>
        <w:rPr>
          <w:kern w:val="0"/>
          <w:sz w:val="24"/>
        </w:rPr>
        <w:t>PPI</w:t>
      </w:r>
      <w:r>
        <w:rPr>
          <w:kern w:val="0"/>
          <w:sz w:val="24"/>
        </w:rPr>
        <w:t>同比快速突破</w:t>
      </w:r>
      <w:r>
        <w:rPr>
          <w:kern w:val="0"/>
          <w:sz w:val="24"/>
        </w:rPr>
        <w:t>3%</w:t>
      </w:r>
      <w:r>
        <w:rPr>
          <w:kern w:val="0"/>
          <w:sz w:val="24"/>
        </w:rPr>
        <w:t>。资金面于</w:t>
      </w:r>
      <w:r>
        <w:rPr>
          <w:kern w:val="0"/>
          <w:sz w:val="24"/>
        </w:rPr>
        <w:t>10</w:t>
      </w:r>
      <w:r>
        <w:rPr>
          <w:kern w:val="0"/>
          <w:sz w:val="24"/>
        </w:rPr>
        <w:t>月中下旬开始紧张，紧张程度在</w:t>
      </w:r>
      <w:r>
        <w:rPr>
          <w:kern w:val="0"/>
          <w:sz w:val="24"/>
        </w:rPr>
        <w:t>11</w:t>
      </w:r>
      <w:r>
        <w:rPr>
          <w:kern w:val="0"/>
          <w:sz w:val="24"/>
        </w:rPr>
        <w:t>月初稍缓，但随着特朗普当选带来美元指数的一路走强，资金面紧张节奏再次超出市场预期。全市场加权资金利率</w:t>
      </w:r>
      <w:r>
        <w:rPr>
          <w:kern w:val="0"/>
          <w:sz w:val="24"/>
        </w:rPr>
        <w:t>R007</w:t>
      </w:r>
      <w:r>
        <w:rPr>
          <w:kern w:val="0"/>
          <w:sz w:val="24"/>
        </w:rPr>
        <w:t>明显上行，并与</w:t>
      </w:r>
      <w:r>
        <w:rPr>
          <w:kern w:val="0"/>
          <w:sz w:val="24"/>
        </w:rPr>
        <w:t>DR007</w:t>
      </w:r>
      <w:r>
        <w:rPr>
          <w:kern w:val="0"/>
          <w:sz w:val="24"/>
        </w:rPr>
        <w:t>脱节。央行在</w:t>
      </w:r>
      <w:r>
        <w:rPr>
          <w:kern w:val="0"/>
          <w:sz w:val="24"/>
        </w:rPr>
        <w:t>11</w:t>
      </w:r>
      <w:r>
        <w:rPr>
          <w:kern w:val="0"/>
          <w:sz w:val="24"/>
        </w:rPr>
        <w:t>月初与中旬加量</w:t>
      </w:r>
      <w:r>
        <w:rPr>
          <w:kern w:val="0"/>
          <w:sz w:val="24"/>
        </w:rPr>
        <w:t>MLF</w:t>
      </w:r>
      <w:r>
        <w:rPr>
          <w:kern w:val="0"/>
          <w:sz w:val="24"/>
        </w:rPr>
        <w:t>投放，并适时进行逆回购放量操作，不过银行对非银层面拆借渠道受阻以及赎回恐慌事件令债券价格在</w:t>
      </w:r>
      <w:r>
        <w:rPr>
          <w:kern w:val="0"/>
          <w:sz w:val="24"/>
        </w:rPr>
        <w:t>12</w:t>
      </w:r>
      <w:r>
        <w:rPr>
          <w:kern w:val="0"/>
          <w:sz w:val="24"/>
        </w:rPr>
        <w:t>月经历一轮恐慌式下跌。</w:t>
      </w:r>
      <w:r>
        <w:rPr>
          <w:kern w:val="0"/>
          <w:sz w:val="24"/>
        </w:rPr>
        <w:t>12</w:t>
      </w:r>
      <w:r>
        <w:rPr>
          <w:kern w:val="0"/>
          <w:sz w:val="24"/>
        </w:rPr>
        <w:t>月中旬，央行进一步加量</w:t>
      </w:r>
      <w:r>
        <w:rPr>
          <w:kern w:val="0"/>
          <w:sz w:val="24"/>
        </w:rPr>
        <w:lastRenderedPageBreak/>
        <w:t>MLF</w:t>
      </w:r>
      <w:r>
        <w:rPr>
          <w:kern w:val="0"/>
          <w:sz w:val="24"/>
        </w:rPr>
        <w:t>操作，部分黑天鹅事件也暂告一段落，债市收益率出现阶段性下行，长久期金融债及短久期高等级信用债收益率调整幅度相对明显。</w:t>
      </w:r>
    </w:p>
    <w:p w:rsidR="001A59F9" w:rsidRPr="00A40DA7" w:rsidRDefault="001A59F9" w:rsidP="00A40DA7">
      <w:pPr>
        <w:spacing w:before="29" w:line="288" w:lineRule="auto"/>
        <w:ind w:firstLineChars="200" w:firstLine="480"/>
        <w:rPr>
          <w:kern w:val="0"/>
          <w:sz w:val="24"/>
        </w:rPr>
      </w:pPr>
      <w:r w:rsidRPr="00A40DA7">
        <w:rPr>
          <w:kern w:val="0"/>
          <w:sz w:val="24"/>
        </w:rPr>
        <w:t>我们相信经济内生的下行压力将长期存在，周期品的躁动并不意味着经济复苏企稳，经济下行期信用风险频发实属意料之中，我们始终规避中低等级信用债、尽力防范信用风险。但我们同时认为，短期经济受政策调控出现波动，并需谨防监管去金融杠杆举措对短期流动性的波动。因此，在投资品种上，我们始终以利率债和中高等级信用债为主。</w:t>
      </w:r>
      <w:r w:rsidRPr="00A40DA7">
        <w:rPr>
          <w:kern w:val="0"/>
          <w:sz w:val="24"/>
        </w:rPr>
        <w:t>4</w:t>
      </w:r>
      <w:r w:rsidRPr="00A40DA7">
        <w:rPr>
          <w:kern w:val="0"/>
          <w:sz w:val="24"/>
        </w:rPr>
        <w:t>月底我们积极布局长端利率债，并取得一定效果。三季度，我们在市场调整后积极关注中长久期利率债，以及流动性较好的高等级信用债的波段性机会。尽管我们判断市场短期趋势性机会小于波动性机会，但四季度监管对于去杠杆的力度略超我们预期，并带来了债市的大幅调整。</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截至</w:t>
      </w:r>
      <w:r w:rsidRPr="00A40DA7">
        <w:rPr>
          <w:kern w:val="0"/>
          <w:sz w:val="24"/>
        </w:rPr>
        <w:t>2016</w:t>
      </w:r>
      <w:r w:rsidRPr="00A40DA7">
        <w:rPr>
          <w:kern w:val="0"/>
          <w:sz w:val="24"/>
        </w:rPr>
        <w:t>年</w:t>
      </w:r>
      <w:r w:rsidRPr="00A40DA7">
        <w:rPr>
          <w:kern w:val="0"/>
          <w:sz w:val="24"/>
        </w:rPr>
        <w:t>12</w:t>
      </w:r>
      <w:r w:rsidRPr="00A40DA7">
        <w:rPr>
          <w:kern w:val="0"/>
          <w:sz w:val="24"/>
        </w:rPr>
        <w:t>月</w:t>
      </w:r>
      <w:r w:rsidRPr="00A40DA7">
        <w:rPr>
          <w:kern w:val="0"/>
          <w:sz w:val="24"/>
        </w:rPr>
        <w:t>31</w:t>
      </w:r>
      <w:r w:rsidRPr="00A40DA7">
        <w:rPr>
          <w:kern w:val="0"/>
          <w:sz w:val="24"/>
        </w:rPr>
        <w:t>日，交银增利债券</w:t>
      </w:r>
      <w:r w:rsidRPr="00A40DA7">
        <w:rPr>
          <w:kern w:val="0"/>
          <w:sz w:val="24"/>
        </w:rPr>
        <w:t>A/B</w:t>
      </w:r>
      <w:r w:rsidRPr="00A40DA7">
        <w:rPr>
          <w:kern w:val="0"/>
          <w:sz w:val="24"/>
        </w:rPr>
        <w:t>份额净值为</w:t>
      </w:r>
      <w:r w:rsidRPr="00A40DA7">
        <w:rPr>
          <w:kern w:val="0"/>
          <w:sz w:val="24"/>
        </w:rPr>
        <w:t>0.9679</w:t>
      </w:r>
      <w:r w:rsidRPr="00A40DA7">
        <w:rPr>
          <w:kern w:val="0"/>
          <w:sz w:val="24"/>
        </w:rPr>
        <w:t>元，本报告期份额净值增长率为</w:t>
      </w:r>
      <w:r w:rsidRPr="00A40DA7">
        <w:rPr>
          <w:kern w:val="0"/>
          <w:sz w:val="24"/>
        </w:rPr>
        <w:t>-1.72%</w:t>
      </w:r>
      <w:r w:rsidRPr="00A40DA7">
        <w:rPr>
          <w:kern w:val="0"/>
          <w:sz w:val="24"/>
        </w:rPr>
        <w:t>，同期业绩比较基准增长率为</w:t>
      </w:r>
      <w:r w:rsidRPr="00A40DA7">
        <w:rPr>
          <w:kern w:val="0"/>
          <w:sz w:val="24"/>
        </w:rPr>
        <w:t>-7.89%</w:t>
      </w:r>
      <w:r w:rsidRPr="00A40DA7">
        <w:rPr>
          <w:kern w:val="0"/>
          <w:sz w:val="24"/>
        </w:rPr>
        <w:t>；交银增利债券</w:t>
      </w:r>
      <w:r w:rsidRPr="00A40DA7">
        <w:rPr>
          <w:kern w:val="0"/>
          <w:sz w:val="24"/>
        </w:rPr>
        <w:t>C</w:t>
      </w:r>
      <w:r w:rsidRPr="00A40DA7">
        <w:rPr>
          <w:kern w:val="0"/>
          <w:sz w:val="24"/>
        </w:rPr>
        <w:t>份额净值为</w:t>
      </w:r>
      <w:r w:rsidRPr="00A40DA7">
        <w:rPr>
          <w:kern w:val="0"/>
          <w:sz w:val="24"/>
        </w:rPr>
        <w:t>0.9660</w:t>
      </w:r>
      <w:r w:rsidRPr="00A40DA7">
        <w:rPr>
          <w:kern w:val="0"/>
          <w:sz w:val="24"/>
        </w:rPr>
        <w:t>元，本报告期份额净值增长率为</w:t>
      </w:r>
      <w:r w:rsidRPr="00A40DA7">
        <w:rPr>
          <w:kern w:val="0"/>
          <w:sz w:val="24"/>
        </w:rPr>
        <w:t>-2.13%</w:t>
      </w:r>
      <w:r w:rsidRPr="00A40DA7">
        <w:rPr>
          <w:kern w:val="0"/>
          <w:sz w:val="24"/>
        </w:rPr>
        <w:t>，同期业绩比较基准增长率为</w:t>
      </w:r>
      <w:r w:rsidRPr="00A40DA7">
        <w:rPr>
          <w:kern w:val="0"/>
          <w:sz w:val="24"/>
        </w:rPr>
        <w:t>-7.89%</w:t>
      </w:r>
      <w:r w:rsidRPr="00A40DA7">
        <w:rPr>
          <w:kern w:val="0"/>
          <w:sz w:val="24"/>
        </w:rPr>
        <w:t>。</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52" w:name="_Toc225498259"/>
      <w:bookmarkStart w:id="53" w:name="_Toc361324859"/>
      <w:bookmarkStart w:id="54" w:name="_Toc478236528"/>
      <w:r w:rsidRPr="004211FD">
        <w:rPr>
          <w:rFonts w:ascii="Times New Roman" w:hAnsi="Times New Roman"/>
          <w:kern w:val="0"/>
          <w:szCs w:val="24"/>
        </w:rPr>
        <w:t xml:space="preserve">4.5 </w:t>
      </w:r>
      <w:r w:rsidRPr="004211FD">
        <w:rPr>
          <w:rFonts w:ascii="Times New Roman" w:hAnsi="Times New Roman" w:hint="eastAsia"/>
          <w:kern w:val="0"/>
          <w:szCs w:val="24"/>
        </w:rPr>
        <w:t>管理人对宏观经济、证券市场及行业走势的简要展望</w:t>
      </w:r>
      <w:bookmarkEnd w:id="52"/>
      <w:bookmarkEnd w:id="53"/>
      <w:bookmarkEnd w:id="54"/>
    </w:p>
    <w:p w:rsidR="001A59F9" w:rsidRPr="00A40DA7" w:rsidRDefault="001A59F9" w:rsidP="00A40DA7">
      <w:pPr>
        <w:spacing w:before="29" w:line="288" w:lineRule="auto"/>
        <w:ind w:firstLineChars="200" w:firstLine="480"/>
        <w:rPr>
          <w:kern w:val="0"/>
          <w:sz w:val="24"/>
        </w:rPr>
      </w:pPr>
      <w:r w:rsidRPr="00A40DA7">
        <w:rPr>
          <w:kern w:val="0"/>
          <w:sz w:val="24"/>
        </w:rPr>
        <w:t>2017</w:t>
      </w:r>
      <w:r w:rsidRPr="00A40DA7">
        <w:rPr>
          <w:kern w:val="0"/>
          <w:sz w:val="24"/>
        </w:rPr>
        <w:t>年大的宏观环境仍然为经济求稳，改革推进，谨防风险。在增长稳定的前提下，国企改革、供给侧改革等仍将被提在重要位置，与此同时，去杠杆、挤资产泡沫仍将是</w:t>
      </w:r>
      <w:r w:rsidRPr="00A40DA7">
        <w:rPr>
          <w:kern w:val="0"/>
          <w:sz w:val="24"/>
        </w:rPr>
        <w:t>2017</w:t>
      </w:r>
      <w:r w:rsidRPr="00A40DA7">
        <w:rPr>
          <w:kern w:val="0"/>
          <w:sz w:val="24"/>
        </w:rPr>
        <w:t>年主旋律。预计流动性难以再如过去两年宽松，并且应警惕特朗普财政刺激对于全球的示范效应。通胀方面，在经济难以超预期的情况下，我们预计</w:t>
      </w:r>
      <w:r w:rsidRPr="00A40DA7">
        <w:rPr>
          <w:kern w:val="0"/>
          <w:sz w:val="24"/>
        </w:rPr>
        <w:t>2017</w:t>
      </w:r>
      <w:r w:rsidRPr="00A40DA7">
        <w:rPr>
          <w:kern w:val="0"/>
          <w:sz w:val="24"/>
        </w:rPr>
        <w:t>年全年</w:t>
      </w:r>
      <w:r w:rsidRPr="00A40DA7">
        <w:rPr>
          <w:kern w:val="0"/>
          <w:sz w:val="24"/>
        </w:rPr>
        <w:t>CPI</w:t>
      </w:r>
      <w:r w:rsidRPr="00A40DA7">
        <w:rPr>
          <w:kern w:val="0"/>
          <w:sz w:val="24"/>
        </w:rPr>
        <w:t>在</w:t>
      </w:r>
      <w:r w:rsidRPr="00A40DA7">
        <w:rPr>
          <w:kern w:val="0"/>
          <w:sz w:val="24"/>
        </w:rPr>
        <w:t>3%</w:t>
      </w:r>
      <w:r w:rsidRPr="00A40DA7">
        <w:rPr>
          <w:kern w:val="0"/>
          <w:sz w:val="24"/>
        </w:rPr>
        <w:t>以内，不过需要谨防供给侧改革在提升部分行业微观盈利的同时带来供给曲线陡峭化，进而带来</w:t>
      </w:r>
      <w:r w:rsidRPr="00A40DA7">
        <w:rPr>
          <w:kern w:val="0"/>
          <w:sz w:val="24"/>
        </w:rPr>
        <w:t>CPI</w:t>
      </w:r>
      <w:r w:rsidRPr="00A40DA7">
        <w:rPr>
          <w:kern w:val="0"/>
          <w:sz w:val="24"/>
        </w:rPr>
        <w:t>上行风险。全年债券市场操作策略方面，我们认为，虽然当前在基本面、政策面和流动性等各个方面都存在不利于债券市场的因素，且有些不利因素在短期很难被证伪，负债端降杠杆决定了本轮市场调整的时间可能较长。但是全年来看，</w:t>
      </w:r>
      <w:r w:rsidRPr="00A40DA7">
        <w:rPr>
          <w:kern w:val="0"/>
          <w:sz w:val="24"/>
        </w:rPr>
        <w:t>2017</w:t>
      </w:r>
      <w:r w:rsidRPr="00A40DA7">
        <w:rPr>
          <w:kern w:val="0"/>
          <w:sz w:val="24"/>
        </w:rPr>
        <w:t>年的债券市场仍然存在投资机会：小的投资机会有望来源于市场调整之后的超跌反弹，大的投资机会可能更多地要看房地产和汇率走势。从品种上来说，我们认为利率债的投资价值可能会好于信用债：（</w:t>
      </w:r>
      <w:r w:rsidRPr="00A40DA7">
        <w:rPr>
          <w:kern w:val="0"/>
          <w:sz w:val="24"/>
        </w:rPr>
        <w:t>1</w:t>
      </w:r>
      <w:r w:rsidRPr="00A40DA7">
        <w:rPr>
          <w:kern w:val="0"/>
          <w:sz w:val="24"/>
        </w:rPr>
        <w:t>）信用本轮调整还不充分，且</w:t>
      </w:r>
      <w:r w:rsidRPr="00A40DA7">
        <w:rPr>
          <w:kern w:val="0"/>
          <w:sz w:val="24"/>
        </w:rPr>
        <w:t>2017</w:t>
      </w:r>
      <w:r w:rsidRPr="00A40DA7">
        <w:rPr>
          <w:kern w:val="0"/>
          <w:sz w:val="24"/>
        </w:rPr>
        <w:t>年信用风险事件可能会越来越多；（</w:t>
      </w:r>
      <w:r w:rsidRPr="00A40DA7">
        <w:rPr>
          <w:kern w:val="0"/>
          <w:sz w:val="24"/>
        </w:rPr>
        <w:t>2</w:t>
      </w:r>
      <w:r w:rsidRPr="00A40DA7">
        <w:rPr>
          <w:kern w:val="0"/>
          <w:sz w:val="24"/>
        </w:rPr>
        <w:t>）市场投资者对地方政府融资平台的定位仍然不够清晰，预期差蕴含的定价差仍是潜在风险点；（</w:t>
      </w:r>
      <w:r w:rsidRPr="00A40DA7">
        <w:rPr>
          <w:kern w:val="0"/>
          <w:sz w:val="24"/>
        </w:rPr>
        <w:t>3</w:t>
      </w:r>
      <w:r w:rsidRPr="00A40DA7">
        <w:rPr>
          <w:kern w:val="0"/>
          <w:sz w:val="24"/>
        </w:rPr>
        <w:t>）即使央行货币政策边际上宽松，但是资金面很难恢复到</w:t>
      </w:r>
      <w:r w:rsidRPr="00A40DA7">
        <w:rPr>
          <w:kern w:val="0"/>
          <w:sz w:val="24"/>
        </w:rPr>
        <w:t>2016</w:t>
      </w:r>
      <w:r w:rsidRPr="00A40DA7">
        <w:rPr>
          <w:kern w:val="0"/>
          <w:sz w:val="24"/>
        </w:rPr>
        <w:t>年上半年的水平，信用债的杠杆套息价值减弱。在过去的</w:t>
      </w:r>
      <w:r w:rsidRPr="00A40DA7">
        <w:rPr>
          <w:kern w:val="0"/>
          <w:sz w:val="24"/>
        </w:rPr>
        <w:t>3</w:t>
      </w:r>
      <w:r w:rsidRPr="00A40DA7">
        <w:rPr>
          <w:kern w:val="0"/>
          <w:sz w:val="24"/>
        </w:rPr>
        <w:t>年里，银行体系通过影子银行体系实际提升了杠杆、久期错配和信用风险承担，这一过程的镜像式回复或将带来不可预知的个体风险事件。对金融机构而言，如何在顺应大方向、确保自身资产负债安全稳定的同时，抓住市场情绪波动的投资机会，在波动中更好地改善资产负债结构，也将是</w:t>
      </w:r>
      <w:r w:rsidRPr="00A40DA7">
        <w:rPr>
          <w:kern w:val="0"/>
          <w:sz w:val="24"/>
        </w:rPr>
        <w:t>2017</w:t>
      </w:r>
      <w:r w:rsidRPr="00A40DA7">
        <w:rPr>
          <w:kern w:val="0"/>
          <w:sz w:val="24"/>
        </w:rPr>
        <w:t>年投资中最值得关注的事情。</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55" w:name="_Toc247959456"/>
      <w:bookmarkStart w:id="56" w:name="_Toc245801806"/>
      <w:bookmarkStart w:id="57" w:name="_Toc361324860"/>
      <w:bookmarkStart w:id="58" w:name="_Toc478236529"/>
      <w:r w:rsidRPr="004211FD">
        <w:rPr>
          <w:rFonts w:ascii="Times New Roman" w:hAnsi="Times New Roman"/>
          <w:kern w:val="0"/>
          <w:szCs w:val="24"/>
        </w:rPr>
        <w:lastRenderedPageBreak/>
        <w:t xml:space="preserve">4.6 </w:t>
      </w:r>
      <w:r w:rsidRPr="004211FD">
        <w:rPr>
          <w:rFonts w:ascii="Times New Roman" w:hAnsi="Times New Roman" w:hint="eastAsia"/>
          <w:kern w:val="0"/>
          <w:szCs w:val="24"/>
        </w:rPr>
        <w:t>管理人内部有关本基金的监察稽核工作情况</w:t>
      </w:r>
      <w:bookmarkEnd w:id="55"/>
      <w:bookmarkEnd w:id="56"/>
      <w:bookmarkEnd w:id="57"/>
      <w:bookmarkEnd w:id="58"/>
    </w:p>
    <w:p w:rsidR="00A46313" w:rsidRDefault="00125795">
      <w:pPr>
        <w:spacing w:before="29" w:line="288" w:lineRule="auto"/>
        <w:ind w:firstLineChars="200" w:firstLine="480"/>
        <w:rPr>
          <w:kern w:val="0"/>
          <w:sz w:val="24"/>
        </w:rPr>
      </w:pPr>
      <w:r>
        <w:rPr>
          <w:kern w:val="0"/>
          <w:sz w:val="24"/>
        </w:rPr>
        <w:t>2016</w:t>
      </w:r>
      <w:r>
        <w:rPr>
          <w:kern w:val="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A46313" w:rsidRDefault="00125795">
      <w:pPr>
        <w:spacing w:before="29" w:line="288" w:lineRule="auto"/>
        <w:ind w:firstLineChars="200" w:firstLine="480"/>
        <w:rPr>
          <w:kern w:val="0"/>
          <w:sz w:val="24"/>
        </w:rPr>
      </w:pPr>
      <w:r>
        <w:rPr>
          <w:kern w:val="0"/>
          <w:sz w:val="24"/>
        </w:rPr>
        <w:t>本报告期内，本基金管理人为了确保公司业务的规范运作，主要做了以下工作：</w:t>
      </w:r>
    </w:p>
    <w:p w:rsidR="00A46313" w:rsidRDefault="00125795">
      <w:pPr>
        <w:spacing w:before="29" w:line="288" w:lineRule="auto"/>
        <w:ind w:firstLineChars="200" w:firstLine="480"/>
        <w:rPr>
          <w:kern w:val="0"/>
          <w:sz w:val="24"/>
        </w:rPr>
      </w:pPr>
      <w:r>
        <w:rPr>
          <w:kern w:val="0"/>
          <w:sz w:val="24"/>
        </w:rPr>
        <w:t>（一）持续完善公司内部控制制度和业务流程，推动制度流程的及时更新。</w:t>
      </w:r>
    </w:p>
    <w:p w:rsidR="00A46313" w:rsidRDefault="00125795">
      <w:pPr>
        <w:spacing w:before="29" w:line="288" w:lineRule="auto"/>
        <w:ind w:firstLineChars="200" w:firstLine="480"/>
        <w:rPr>
          <w:kern w:val="0"/>
          <w:sz w:val="24"/>
        </w:rPr>
      </w:pPr>
      <w:r>
        <w:rPr>
          <w:kern w:val="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A46313" w:rsidRDefault="00125795">
      <w:pPr>
        <w:spacing w:before="29" w:line="288" w:lineRule="auto"/>
        <w:ind w:firstLineChars="200" w:firstLine="480"/>
        <w:rPr>
          <w:kern w:val="0"/>
          <w:sz w:val="24"/>
        </w:rPr>
      </w:pPr>
      <w:r>
        <w:rPr>
          <w:kern w:val="0"/>
          <w:sz w:val="24"/>
        </w:rPr>
        <w:t>（二）全面开展内部监督检查，强化公司内部控制。</w:t>
      </w:r>
    </w:p>
    <w:p w:rsidR="00A46313" w:rsidRDefault="00125795">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A46313" w:rsidRDefault="00125795">
      <w:pPr>
        <w:spacing w:before="29" w:line="288" w:lineRule="auto"/>
        <w:ind w:firstLineChars="200" w:firstLine="480"/>
        <w:rPr>
          <w:kern w:val="0"/>
          <w:sz w:val="24"/>
        </w:rPr>
      </w:pPr>
      <w:r>
        <w:rPr>
          <w:kern w:val="0"/>
          <w:sz w:val="24"/>
        </w:rPr>
        <w:t>（三）强化培训教育，持续提高全员风险合规意识。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59" w:name="_Toc247959457"/>
      <w:bookmarkStart w:id="60" w:name="_Toc225570083"/>
      <w:bookmarkStart w:id="61" w:name="_Toc361324861"/>
      <w:bookmarkStart w:id="62" w:name="_Toc478236530"/>
      <w:r w:rsidRPr="004211FD">
        <w:rPr>
          <w:rFonts w:ascii="Times New Roman" w:hAnsi="Times New Roman"/>
          <w:kern w:val="0"/>
          <w:szCs w:val="24"/>
        </w:rPr>
        <w:t xml:space="preserve">4.7 </w:t>
      </w:r>
      <w:r w:rsidRPr="004211FD">
        <w:rPr>
          <w:rFonts w:ascii="Times New Roman" w:hAnsi="Times New Roman" w:hint="eastAsia"/>
          <w:kern w:val="0"/>
          <w:szCs w:val="24"/>
        </w:rPr>
        <w:t>管理人对报告期内基金估值程序等事项的说明</w:t>
      </w:r>
      <w:bookmarkEnd w:id="59"/>
      <w:bookmarkEnd w:id="60"/>
      <w:bookmarkEnd w:id="61"/>
      <w:bookmarkEnd w:id="62"/>
    </w:p>
    <w:p w:rsidR="00A46313" w:rsidRDefault="00125795">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r>
        <w:rPr>
          <w:kern w:val="0"/>
          <w:sz w:val="24"/>
        </w:rPr>
        <w:t xml:space="preserve"> </w:t>
      </w:r>
    </w:p>
    <w:p w:rsidR="00A46313" w:rsidRDefault="00125795">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kern w:val="0"/>
          <w:sz w:val="24"/>
        </w:rPr>
        <w:t xml:space="preserve"> </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w:t>
      </w:r>
      <w:r w:rsidRPr="00A40DA7">
        <w:rPr>
          <w:kern w:val="0"/>
          <w:sz w:val="24"/>
        </w:rPr>
        <w:lastRenderedPageBreak/>
        <w:t>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4211FD" w:rsidRDefault="00BB731C" w:rsidP="004211FD">
      <w:pPr>
        <w:pStyle w:val="20"/>
        <w:spacing w:before="29" w:after="0" w:line="288" w:lineRule="auto"/>
        <w:rPr>
          <w:b w:val="0"/>
          <w:kern w:val="0"/>
        </w:rPr>
      </w:pPr>
      <w:bookmarkStart w:id="63" w:name="_Toc247959458"/>
      <w:bookmarkStart w:id="64" w:name="_Toc225570084"/>
      <w:bookmarkStart w:id="65" w:name="_Toc361324862"/>
      <w:bookmarkStart w:id="66" w:name="_Toc478236531"/>
      <w:r w:rsidRPr="004211FD">
        <w:rPr>
          <w:rFonts w:ascii="Times New Roman" w:hAnsi="Times New Roman"/>
          <w:kern w:val="0"/>
          <w:szCs w:val="24"/>
        </w:rPr>
        <w:t xml:space="preserve">4.8 </w:t>
      </w:r>
      <w:r w:rsidRPr="004211FD">
        <w:rPr>
          <w:rFonts w:ascii="Times New Roman" w:hAnsi="Times New Roman" w:hint="eastAsia"/>
          <w:kern w:val="0"/>
          <w:szCs w:val="24"/>
        </w:rPr>
        <w:t>管理人对报告期内基金利润分配情况的说明</w:t>
      </w:r>
      <w:bookmarkEnd w:id="63"/>
      <w:bookmarkEnd w:id="64"/>
      <w:bookmarkEnd w:id="65"/>
      <w:bookmarkEnd w:id="66"/>
    </w:p>
    <w:p w:rsidR="00BB731C" w:rsidRPr="00BB731C" w:rsidRDefault="00BB731C" w:rsidP="00BB731C">
      <w:pPr>
        <w:spacing w:before="29" w:line="288" w:lineRule="auto"/>
        <w:ind w:firstLineChars="200" w:firstLine="480"/>
        <w:rPr>
          <w:kern w:val="0"/>
          <w:sz w:val="24"/>
        </w:rPr>
      </w:pPr>
      <w:r w:rsidRPr="00BB731C">
        <w:rPr>
          <w:kern w:val="0"/>
          <w:sz w:val="24"/>
        </w:rPr>
        <w:t>根据相关法律法规和基金合同要求，本基金本报告期内对上一年度和本年度应分配的可分配利润分别进行了收益分配，具体情况参见</w:t>
      </w:r>
      <w:r w:rsidRPr="00BB731C">
        <w:rPr>
          <w:kern w:val="0"/>
          <w:sz w:val="24"/>
        </w:rPr>
        <w:t xml:space="preserve">7.4.11 </w:t>
      </w:r>
      <w:r w:rsidRPr="00BB731C">
        <w:rPr>
          <w:kern w:val="0"/>
          <w:sz w:val="24"/>
        </w:rPr>
        <w:t>利润分配情况。</w:t>
      </w:r>
    </w:p>
    <w:p w:rsidR="00BB731C" w:rsidRPr="00A4203E" w:rsidRDefault="00BB731C" w:rsidP="00BB731C">
      <w:pPr>
        <w:spacing w:line="360" w:lineRule="auto"/>
        <w:ind w:firstLineChars="200" w:firstLine="420"/>
        <w:rPr>
          <w:rFonts w:eastAsiaTheme="minorEastAsia"/>
          <w:color w:val="000000"/>
          <w:szCs w:val="21"/>
        </w:rPr>
      </w:pPr>
    </w:p>
    <w:p w:rsidR="00BB731C" w:rsidRPr="004211FD" w:rsidRDefault="00BB731C" w:rsidP="004211FD">
      <w:pPr>
        <w:pStyle w:val="20"/>
        <w:spacing w:before="29" w:after="0" w:line="288" w:lineRule="auto"/>
        <w:rPr>
          <w:b w:val="0"/>
          <w:kern w:val="0"/>
        </w:rPr>
      </w:pPr>
      <w:bookmarkStart w:id="67" w:name="_Toc478236532"/>
      <w:r w:rsidRPr="004211FD">
        <w:rPr>
          <w:rFonts w:ascii="Times New Roman" w:hAnsi="Times New Roman"/>
          <w:kern w:val="0"/>
          <w:szCs w:val="24"/>
        </w:rPr>
        <w:t xml:space="preserve">4.9 </w:t>
      </w:r>
      <w:r w:rsidRPr="004211FD">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478236533"/>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1A59F9" w:rsidRPr="004211FD" w:rsidRDefault="001A59F9" w:rsidP="004211FD">
      <w:pPr>
        <w:pStyle w:val="20"/>
        <w:spacing w:before="29" w:after="0" w:line="288" w:lineRule="auto"/>
        <w:rPr>
          <w:b w:val="0"/>
          <w:kern w:val="0"/>
        </w:rPr>
      </w:pPr>
      <w:bookmarkStart w:id="71" w:name="_Toc225498264"/>
      <w:bookmarkStart w:id="72" w:name="_Toc361324865"/>
      <w:bookmarkStart w:id="73" w:name="_Toc478236534"/>
      <w:r w:rsidRPr="004211FD">
        <w:rPr>
          <w:rFonts w:ascii="Times New Roman" w:hAnsi="Times New Roman"/>
          <w:kern w:val="0"/>
          <w:szCs w:val="24"/>
        </w:rPr>
        <w:t xml:space="preserve">5.1 </w:t>
      </w:r>
      <w:r w:rsidRPr="004211FD">
        <w:rPr>
          <w:rFonts w:ascii="Times New Roman" w:hAnsi="Times New Roman" w:hint="eastAsia"/>
          <w:kern w:val="0"/>
          <w:szCs w:val="24"/>
        </w:rPr>
        <w:t>报告期内本基金托管人遵规守信情况声明</w:t>
      </w:r>
      <w:bookmarkEnd w:id="71"/>
      <w:bookmarkEnd w:id="72"/>
      <w:bookmarkEnd w:id="73"/>
    </w:p>
    <w:p w:rsidR="001A59F9" w:rsidRPr="00A40DA7" w:rsidRDefault="001A59F9" w:rsidP="00A40DA7">
      <w:pPr>
        <w:spacing w:before="29" w:line="288" w:lineRule="auto"/>
        <w:ind w:firstLineChars="200" w:firstLine="480"/>
        <w:rPr>
          <w:kern w:val="0"/>
          <w:sz w:val="24"/>
        </w:rPr>
      </w:pPr>
      <w:r w:rsidRPr="00A40DA7">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74" w:name="_Toc225498265"/>
      <w:bookmarkStart w:id="75" w:name="_Toc361324866"/>
      <w:bookmarkStart w:id="76" w:name="_Toc478236535"/>
      <w:r w:rsidRPr="004211FD">
        <w:rPr>
          <w:rFonts w:ascii="Times New Roman" w:hAnsi="Times New Roman"/>
          <w:kern w:val="0"/>
          <w:szCs w:val="24"/>
        </w:rPr>
        <w:t xml:space="preserve">5.2 </w:t>
      </w:r>
      <w:r w:rsidRPr="004211FD">
        <w:rPr>
          <w:rFonts w:ascii="Times New Roman" w:hAnsi="Times New Roman" w:hint="eastAsia"/>
          <w:kern w:val="0"/>
          <w:szCs w:val="24"/>
        </w:rPr>
        <w:t>托管人对报告期内本基金投资运作遵规守信、净值计算、利润分配等情况的</w:t>
      </w:r>
      <w:bookmarkEnd w:id="74"/>
      <w:r w:rsidRPr="004211FD">
        <w:rPr>
          <w:rFonts w:ascii="Times New Roman" w:hAnsi="Times New Roman" w:hint="eastAsia"/>
          <w:kern w:val="0"/>
          <w:szCs w:val="24"/>
        </w:rPr>
        <w:t>说明</w:t>
      </w:r>
      <w:bookmarkEnd w:id="75"/>
      <w:bookmarkEnd w:id="76"/>
    </w:p>
    <w:p w:rsidR="00A46313" w:rsidRDefault="00125795">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A40DA7" w:rsidRDefault="001A59F9" w:rsidP="00A40DA7">
      <w:pPr>
        <w:spacing w:before="29" w:line="288" w:lineRule="auto"/>
        <w:ind w:firstLineChars="200" w:firstLine="480"/>
        <w:rPr>
          <w:kern w:val="0"/>
          <w:sz w:val="24"/>
        </w:rPr>
      </w:pPr>
      <w:r w:rsidRPr="00A40DA7">
        <w:rPr>
          <w:kern w:val="0"/>
          <w:sz w:val="24"/>
        </w:rPr>
        <w:t>报告期内，本基金实施利润分配的金额：交银增利债券</w:t>
      </w:r>
      <w:r w:rsidRPr="00A40DA7">
        <w:rPr>
          <w:kern w:val="0"/>
          <w:sz w:val="24"/>
        </w:rPr>
        <w:t xml:space="preserve">A/B </w:t>
      </w:r>
      <w:r w:rsidRPr="00A40DA7">
        <w:rPr>
          <w:kern w:val="0"/>
          <w:sz w:val="24"/>
        </w:rPr>
        <w:t>为</w:t>
      </w:r>
      <w:r w:rsidRPr="00A40DA7">
        <w:rPr>
          <w:kern w:val="0"/>
          <w:sz w:val="24"/>
        </w:rPr>
        <w:t>57,598,405.74</w:t>
      </w:r>
      <w:r w:rsidRPr="00A40DA7">
        <w:rPr>
          <w:kern w:val="0"/>
          <w:sz w:val="24"/>
        </w:rPr>
        <w:t>元，交银增利债券</w:t>
      </w:r>
      <w:r w:rsidRPr="00A40DA7">
        <w:rPr>
          <w:kern w:val="0"/>
          <w:sz w:val="24"/>
        </w:rPr>
        <w:t>C</w:t>
      </w:r>
      <w:r w:rsidRPr="00A40DA7">
        <w:rPr>
          <w:kern w:val="0"/>
          <w:sz w:val="24"/>
        </w:rPr>
        <w:t>为</w:t>
      </w:r>
      <w:r w:rsidRPr="00A40DA7">
        <w:rPr>
          <w:kern w:val="0"/>
          <w:sz w:val="24"/>
        </w:rPr>
        <w:t>15,958,895.68</w:t>
      </w:r>
      <w:r w:rsidRPr="00A40DA7">
        <w:rPr>
          <w:kern w:val="0"/>
          <w:sz w:val="24"/>
        </w:rPr>
        <w:t>元。</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77" w:name="_Toc225498266"/>
      <w:bookmarkStart w:id="78" w:name="_Toc361324867"/>
      <w:bookmarkStart w:id="79" w:name="_Toc478236536"/>
      <w:r w:rsidRPr="004211FD">
        <w:rPr>
          <w:rFonts w:ascii="Times New Roman" w:hAnsi="Times New Roman"/>
          <w:kern w:val="0"/>
          <w:szCs w:val="24"/>
        </w:rPr>
        <w:t xml:space="preserve">5.3 </w:t>
      </w:r>
      <w:r w:rsidRPr="004211FD">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本托管人复核审查了本报告中的财务指标、净值表现、利润分配情况、财务会计报告、投资组合报告等内容，保证复核内容不存在虚假记载、误导性陈述或者重大遗漏。</w:t>
      </w:r>
    </w:p>
    <w:p w:rsidR="006B4B92" w:rsidRPr="00A40DA7" w:rsidRDefault="006B4B92" w:rsidP="00A40DA7">
      <w:pPr>
        <w:spacing w:before="29" w:line="288" w:lineRule="auto"/>
        <w:ind w:firstLineChars="200" w:firstLine="480"/>
        <w:rPr>
          <w:kern w:val="0"/>
          <w:sz w:val="24"/>
        </w:rPr>
      </w:pPr>
    </w:p>
    <w:p w:rsidR="00A148F0" w:rsidRDefault="00A148F0" w:rsidP="00651650">
      <w:pPr>
        <w:pStyle w:val="1"/>
        <w:keepNext/>
        <w:keepLines/>
        <w:widowControl w:val="0"/>
        <w:spacing w:beforeLines="100" w:before="312" w:afterLines="100" w:after="312" w:line="288" w:lineRule="auto"/>
        <w:jc w:val="center"/>
        <w:rPr>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478236537"/>
      <w:bookmarkStart w:id="88" w:name="_Toc361324872"/>
      <w:r w:rsidRPr="001E6AA7">
        <w:rPr>
          <w:rFonts w:hint="eastAsia"/>
          <w:b/>
          <w:bCs/>
          <w:szCs w:val="24"/>
          <w:lang w:val="en-US"/>
        </w:rPr>
        <w:t>§</w:t>
      </w:r>
      <w:r w:rsidRPr="001E6AA7">
        <w:rPr>
          <w:b/>
          <w:bCs/>
          <w:szCs w:val="24"/>
          <w:lang w:val="en-US"/>
        </w:rPr>
        <w:t xml:space="preserve">6 </w:t>
      </w:r>
      <w:r w:rsidRPr="001E6AA7">
        <w:rPr>
          <w:rFonts w:hint="eastAsia"/>
          <w:b/>
          <w:bCs/>
          <w:szCs w:val="24"/>
          <w:lang w:val="en-US"/>
        </w:rPr>
        <w:t xml:space="preserve"> </w:t>
      </w:r>
      <w:r w:rsidRPr="001E6AA7">
        <w:rPr>
          <w:rFonts w:hint="eastAsia"/>
          <w:b/>
          <w:bCs/>
          <w:szCs w:val="24"/>
          <w:lang w:val="en-US"/>
        </w:rPr>
        <w:t>审计报告</w:t>
      </w:r>
      <w:bookmarkEnd w:id="80"/>
      <w:bookmarkEnd w:id="81"/>
      <w:bookmarkEnd w:id="82"/>
      <w:bookmarkEnd w:id="83"/>
      <w:bookmarkEnd w:id="84"/>
      <w:bookmarkEnd w:id="85"/>
      <w:bookmarkEnd w:id="86"/>
      <w:bookmarkEnd w:id="87"/>
    </w:p>
    <w:p w:rsidR="00DB6EA0" w:rsidRPr="00DB6EA0" w:rsidRDefault="00DB6EA0" w:rsidP="00DB6EA0"/>
    <w:p w:rsidR="00CB4736" w:rsidRPr="000C1A53" w:rsidRDefault="00CB4736" w:rsidP="00CB4736">
      <w:pPr>
        <w:spacing w:before="29" w:line="288" w:lineRule="auto"/>
        <w:jc w:val="right"/>
        <w:rPr>
          <w:color w:val="000000"/>
          <w:sz w:val="24"/>
        </w:rPr>
      </w:pPr>
      <w:r w:rsidRPr="000C1A53">
        <w:rPr>
          <w:color w:val="000000"/>
          <w:sz w:val="24"/>
        </w:rPr>
        <w:t>普华永道中天审字</w:t>
      </w:r>
      <w:r w:rsidRPr="000C1A53">
        <w:rPr>
          <w:color w:val="000000"/>
          <w:sz w:val="24"/>
        </w:rPr>
        <w:t>(2017)</w:t>
      </w:r>
      <w:r w:rsidRPr="000C1A53">
        <w:rPr>
          <w:color w:val="000000"/>
          <w:sz w:val="24"/>
        </w:rPr>
        <w:t>第</w:t>
      </w:r>
      <w:r w:rsidRPr="000C1A53">
        <w:rPr>
          <w:color w:val="000000"/>
          <w:sz w:val="24"/>
        </w:rPr>
        <w:t>20186</w:t>
      </w:r>
      <w:r w:rsidRPr="000C1A53">
        <w:rPr>
          <w:color w:val="000000"/>
          <w:sz w:val="24"/>
        </w:rPr>
        <w:t>号</w:t>
      </w:r>
    </w:p>
    <w:p w:rsidR="00CB4736" w:rsidRPr="000C1A53" w:rsidRDefault="00CB4736" w:rsidP="00CB4736">
      <w:pPr>
        <w:spacing w:before="29" w:line="288" w:lineRule="auto"/>
        <w:rPr>
          <w:color w:val="000000"/>
          <w:sz w:val="24"/>
        </w:rPr>
      </w:pPr>
      <w:r w:rsidRPr="000C1A53">
        <w:rPr>
          <w:color w:val="000000"/>
          <w:sz w:val="24"/>
        </w:rPr>
        <w:t>交银施罗德增利债券证券投资基金全体基金份额持有人</w:t>
      </w:r>
      <w:r w:rsidRPr="000C1A53">
        <w:rPr>
          <w:rFonts w:hint="eastAsia"/>
          <w:color w:val="000000"/>
          <w:sz w:val="24"/>
        </w:rPr>
        <w:t>：</w:t>
      </w:r>
    </w:p>
    <w:p w:rsidR="00651650" w:rsidRDefault="00CB4736" w:rsidP="004211FD">
      <w:pPr>
        <w:spacing w:before="29" w:line="288" w:lineRule="auto"/>
        <w:ind w:firstLineChars="200" w:firstLine="480"/>
        <w:rPr>
          <w:color w:val="000000"/>
          <w:sz w:val="24"/>
        </w:rPr>
      </w:pPr>
      <w:r w:rsidRPr="000C1A53">
        <w:rPr>
          <w:color w:val="000000"/>
          <w:sz w:val="24"/>
        </w:rPr>
        <w:t>我们审计了后附的交银施罗德增利债券证券投资基金</w:t>
      </w:r>
      <w:r w:rsidRPr="000C1A53">
        <w:rPr>
          <w:color w:val="000000"/>
          <w:sz w:val="24"/>
        </w:rPr>
        <w:t>(</w:t>
      </w:r>
      <w:r w:rsidRPr="000C1A53">
        <w:rPr>
          <w:color w:val="000000"/>
          <w:sz w:val="24"/>
        </w:rPr>
        <w:t>以下简称</w:t>
      </w:r>
      <w:r w:rsidRPr="000C1A53">
        <w:rPr>
          <w:color w:val="000000"/>
          <w:sz w:val="24"/>
        </w:rPr>
        <w:t>“</w:t>
      </w:r>
      <w:r w:rsidRPr="000C1A53">
        <w:rPr>
          <w:color w:val="000000"/>
          <w:sz w:val="24"/>
        </w:rPr>
        <w:t>交银施罗德增利基</w:t>
      </w:r>
      <w:r w:rsidRPr="000C1A53">
        <w:rPr>
          <w:color w:val="000000"/>
          <w:sz w:val="24"/>
        </w:rPr>
        <w:lastRenderedPageBreak/>
        <w:t>金</w:t>
      </w:r>
      <w:r w:rsidRPr="000C1A53">
        <w:rPr>
          <w:color w:val="000000"/>
          <w:sz w:val="24"/>
        </w:rPr>
        <w:t>”)</w:t>
      </w:r>
      <w:r w:rsidRPr="000C1A53">
        <w:rPr>
          <w:color w:val="000000"/>
          <w:sz w:val="24"/>
        </w:rPr>
        <w:t>的财务报表，包括</w:t>
      </w:r>
      <w:r w:rsidRPr="000C1A53">
        <w:rPr>
          <w:color w:val="000000"/>
          <w:sz w:val="24"/>
        </w:rPr>
        <w:t>2016</w:t>
      </w:r>
      <w:r w:rsidRPr="000C1A53">
        <w:rPr>
          <w:color w:val="000000"/>
          <w:sz w:val="24"/>
        </w:rPr>
        <w:t>年</w:t>
      </w:r>
      <w:r w:rsidRPr="000C1A53">
        <w:rPr>
          <w:color w:val="000000"/>
          <w:sz w:val="24"/>
        </w:rPr>
        <w:t>12</w:t>
      </w:r>
      <w:r w:rsidRPr="000C1A53">
        <w:rPr>
          <w:color w:val="000000"/>
          <w:sz w:val="24"/>
        </w:rPr>
        <w:t>月</w:t>
      </w:r>
      <w:r w:rsidRPr="000C1A53">
        <w:rPr>
          <w:color w:val="000000"/>
          <w:sz w:val="24"/>
        </w:rPr>
        <w:t>31</w:t>
      </w:r>
      <w:r w:rsidRPr="000C1A53">
        <w:rPr>
          <w:color w:val="000000"/>
          <w:sz w:val="24"/>
        </w:rPr>
        <w:t>日的资产负债表、</w:t>
      </w:r>
      <w:r w:rsidRPr="000C1A53">
        <w:rPr>
          <w:color w:val="000000"/>
          <w:sz w:val="24"/>
        </w:rPr>
        <w:t xml:space="preserve">2016 </w:t>
      </w:r>
      <w:r w:rsidRPr="000C1A53">
        <w:rPr>
          <w:color w:val="000000"/>
          <w:sz w:val="24"/>
        </w:rPr>
        <w:t>年度的利润表和所有者权益</w:t>
      </w:r>
      <w:r w:rsidRPr="000C1A53">
        <w:rPr>
          <w:color w:val="000000"/>
          <w:sz w:val="24"/>
        </w:rPr>
        <w:t>(</w:t>
      </w:r>
      <w:r w:rsidRPr="000C1A53">
        <w:rPr>
          <w:color w:val="000000"/>
          <w:sz w:val="24"/>
        </w:rPr>
        <w:t>基金净值</w:t>
      </w:r>
      <w:r w:rsidRPr="000C1A53">
        <w:rPr>
          <w:color w:val="000000"/>
          <w:sz w:val="24"/>
        </w:rPr>
        <w:t>)</w:t>
      </w:r>
      <w:r w:rsidRPr="000C1A53">
        <w:rPr>
          <w:color w:val="000000"/>
          <w:sz w:val="24"/>
        </w:rPr>
        <w:t>变动表以及财务报表附注。</w:t>
      </w:r>
    </w:p>
    <w:p w:rsidR="00CB4736" w:rsidRPr="00D0372D" w:rsidRDefault="00CB4736" w:rsidP="00CB4736">
      <w:pPr>
        <w:adjustRightInd w:val="0"/>
        <w:snapToGrid w:val="0"/>
        <w:spacing w:line="360" w:lineRule="auto"/>
        <w:rPr>
          <w:rFonts w:ascii="宋体" w:hAnsi="宋体"/>
          <w:b/>
          <w:bCs/>
          <w:color w:val="000000"/>
          <w:szCs w:val="21"/>
        </w:rPr>
      </w:pPr>
    </w:p>
    <w:p w:rsidR="00CB4736" w:rsidRPr="007F57C2" w:rsidRDefault="00CB4736" w:rsidP="00CB4736">
      <w:pPr>
        <w:spacing w:before="29" w:line="288" w:lineRule="auto"/>
        <w:rPr>
          <w:rFonts w:eastAsiaTheme="minorEastAsia"/>
          <w:b/>
          <w:sz w:val="24"/>
        </w:rPr>
      </w:pPr>
      <w:bookmarkStart w:id="89" w:name="_Toc286996147"/>
      <w:bookmarkStart w:id="90" w:name="_Toc352255987"/>
      <w:bookmarkStart w:id="91" w:name="_Toc352256055"/>
      <w:bookmarkStart w:id="92" w:name="_Toc352331233"/>
      <w:bookmarkStart w:id="93" w:name="_Toc362424011"/>
      <w:bookmarkStart w:id="94" w:name="_Toc374459273"/>
      <w:r>
        <w:rPr>
          <w:rFonts w:eastAsiaTheme="minorEastAsia" w:hint="eastAsia"/>
          <w:b/>
          <w:sz w:val="24"/>
        </w:rPr>
        <w:t>一、</w:t>
      </w:r>
      <w:r w:rsidRPr="007F57C2">
        <w:rPr>
          <w:rFonts w:eastAsiaTheme="minorEastAsia" w:hint="eastAsia"/>
          <w:b/>
          <w:sz w:val="24"/>
        </w:rPr>
        <w:t>管理层对财务报表的责任</w:t>
      </w:r>
      <w:bookmarkEnd w:id="89"/>
      <w:bookmarkEnd w:id="90"/>
      <w:bookmarkEnd w:id="91"/>
      <w:bookmarkEnd w:id="92"/>
      <w:bookmarkEnd w:id="93"/>
      <w:bookmarkEnd w:id="94"/>
    </w:p>
    <w:p w:rsidR="00CB4736" w:rsidRDefault="00CB4736" w:rsidP="00CB4736">
      <w:pPr>
        <w:spacing w:before="29" w:line="288" w:lineRule="auto"/>
        <w:ind w:firstLineChars="200" w:firstLine="480"/>
        <w:rPr>
          <w:kern w:val="0"/>
          <w:sz w:val="24"/>
        </w:rPr>
      </w:pPr>
      <w:r>
        <w:rPr>
          <w:kern w:val="0"/>
          <w:sz w:val="24"/>
        </w:rPr>
        <w:t>编制和公允列报财务报表是交银施罗德增利基金的基金管理人交银施罗德基金管理有限公司管理层的责任。这种责任包括：</w:t>
      </w:r>
    </w:p>
    <w:p w:rsidR="00CB4736" w:rsidRDefault="00CB4736" w:rsidP="00CB4736">
      <w:pPr>
        <w:spacing w:before="29" w:line="288" w:lineRule="auto"/>
        <w:ind w:firstLineChars="200" w:firstLine="480"/>
        <w:rPr>
          <w:kern w:val="0"/>
          <w:sz w:val="24"/>
        </w:rPr>
      </w:pPr>
      <w:r>
        <w:rPr>
          <w:kern w:val="0"/>
          <w:sz w:val="24"/>
        </w:rPr>
        <w:t xml:space="preserve">(1) </w:t>
      </w:r>
      <w:r>
        <w:rPr>
          <w:kern w:val="0"/>
          <w:sz w:val="24"/>
        </w:rPr>
        <w:t>按照企业会计准则和中国证券监督管理委员会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发布的有关规定及允许的基金行业实务操作编制财务报表，并使其实现公允反映；</w:t>
      </w:r>
    </w:p>
    <w:p w:rsidR="00CB4736" w:rsidRPr="00B922C7" w:rsidRDefault="00CB4736" w:rsidP="00CB4736">
      <w:pPr>
        <w:spacing w:before="29" w:line="288" w:lineRule="auto"/>
        <w:ind w:firstLineChars="200" w:firstLine="480"/>
        <w:rPr>
          <w:kern w:val="0"/>
          <w:sz w:val="24"/>
        </w:rPr>
      </w:pPr>
      <w:r w:rsidRPr="00B922C7">
        <w:rPr>
          <w:kern w:val="0"/>
          <w:sz w:val="24"/>
        </w:rPr>
        <w:t xml:space="preserve">(2) </w:t>
      </w:r>
      <w:r w:rsidRPr="00B922C7">
        <w:rPr>
          <w:kern w:val="0"/>
          <w:sz w:val="24"/>
        </w:rPr>
        <w:t>设计、执行和维护必要的内部控制，以使财务报表不存在由于舞弊或错误导致的重大错报。</w:t>
      </w:r>
    </w:p>
    <w:p w:rsidR="00CB4736" w:rsidRPr="00D0372D" w:rsidRDefault="00CB4736" w:rsidP="00CB4736">
      <w:pPr>
        <w:adjustRightInd w:val="0"/>
        <w:snapToGrid w:val="0"/>
        <w:spacing w:line="360" w:lineRule="auto"/>
        <w:rPr>
          <w:rFonts w:ascii="宋体" w:hAnsi="宋体"/>
          <w:color w:val="000000"/>
          <w:szCs w:val="21"/>
        </w:rPr>
      </w:pPr>
    </w:p>
    <w:p w:rsidR="00CB4736" w:rsidRPr="007F57C2" w:rsidRDefault="00CB4736" w:rsidP="00CB4736">
      <w:pPr>
        <w:spacing w:before="29" w:line="288" w:lineRule="auto"/>
        <w:rPr>
          <w:rFonts w:eastAsiaTheme="minorEastAsia"/>
          <w:b/>
          <w:sz w:val="24"/>
        </w:rPr>
      </w:pPr>
      <w:bookmarkStart w:id="95" w:name="_Toc286996148"/>
      <w:bookmarkStart w:id="96" w:name="_Toc352255988"/>
      <w:bookmarkStart w:id="97" w:name="_Toc352256056"/>
      <w:bookmarkStart w:id="98" w:name="_Toc352331234"/>
      <w:bookmarkStart w:id="99" w:name="_Toc362424012"/>
      <w:bookmarkStart w:id="100" w:name="_Toc374459274"/>
      <w:r>
        <w:rPr>
          <w:rFonts w:eastAsiaTheme="minorEastAsia" w:hint="eastAsia"/>
          <w:b/>
          <w:sz w:val="24"/>
        </w:rPr>
        <w:t>二、</w:t>
      </w:r>
      <w:r w:rsidRPr="007F57C2">
        <w:rPr>
          <w:rFonts w:eastAsiaTheme="minorEastAsia" w:hint="eastAsia"/>
          <w:b/>
          <w:sz w:val="24"/>
        </w:rPr>
        <w:t>注册会计师的责任</w:t>
      </w:r>
      <w:bookmarkEnd w:id="95"/>
      <w:bookmarkEnd w:id="96"/>
      <w:bookmarkEnd w:id="97"/>
      <w:bookmarkEnd w:id="98"/>
      <w:bookmarkEnd w:id="99"/>
      <w:bookmarkEnd w:id="100"/>
    </w:p>
    <w:p w:rsidR="00CB4736" w:rsidRDefault="00CB4736" w:rsidP="00CB4736">
      <w:pPr>
        <w:spacing w:before="29" w:line="288" w:lineRule="auto"/>
        <w:ind w:firstLineChars="200" w:firstLine="480"/>
        <w:rPr>
          <w:kern w:val="0"/>
          <w:sz w:val="24"/>
        </w:rPr>
      </w:pPr>
      <w:r>
        <w:rPr>
          <w:kern w:val="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CB4736" w:rsidRDefault="00CB4736" w:rsidP="00CB4736">
      <w:pPr>
        <w:spacing w:before="29" w:line="288" w:lineRule="auto"/>
        <w:ind w:firstLineChars="200" w:firstLine="480"/>
        <w:rPr>
          <w:kern w:val="0"/>
          <w:sz w:val="24"/>
        </w:rPr>
      </w:pPr>
      <w:r>
        <w:rPr>
          <w:kern w:val="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CB4736" w:rsidRPr="00B922C7" w:rsidRDefault="00CB4736" w:rsidP="00CB4736">
      <w:pPr>
        <w:spacing w:before="29" w:line="288" w:lineRule="auto"/>
        <w:ind w:firstLineChars="200" w:firstLine="480"/>
        <w:rPr>
          <w:kern w:val="0"/>
          <w:sz w:val="24"/>
        </w:rPr>
      </w:pPr>
      <w:r w:rsidRPr="00B922C7">
        <w:rPr>
          <w:kern w:val="0"/>
          <w:sz w:val="24"/>
        </w:rPr>
        <w:t>我们相信，我们获取的审计证据是充分、适当的，为发表审计意见提供了基础。</w:t>
      </w:r>
    </w:p>
    <w:p w:rsidR="00CB4736" w:rsidRPr="00D0372D" w:rsidRDefault="00CB4736" w:rsidP="00CB4736">
      <w:pPr>
        <w:adjustRightInd w:val="0"/>
        <w:snapToGrid w:val="0"/>
        <w:spacing w:line="360" w:lineRule="auto"/>
        <w:rPr>
          <w:rFonts w:ascii="宋体" w:hAnsi="宋体"/>
          <w:color w:val="000000"/>
          <w:szCs w:val="21"/>
        </w:rPr>
      </w:pPr>
    </w:p>
    <w:p w:rsidR="00CB4736" w:rsidRPr="007F57C2" w:rsidRDefault="00CB4736" w:rsidP="00CB4736">
      <w:pPr>
        <w:spacing w:before="29" w:line="288" w:lineRule="auto"/>
        <w:rPr>
          <w:rFonts w:eastAsiaTheme="minorEastAsia"/>
          <w:b/>
          <w:sz w:val="24"/>
        </w:rPr>
      </w:pPr>
      <w:bookmarkStart w:id="101" w:name="_Toc286996149"/>
      <w:bookmarkStart w:id="102" w:name="_Toc352255989"/>
      <w:bookmarkStart w:id="103" w:name="_Toc352256057"/>
      <w:bookmarkStart w:id="104" w:name="_Toc352331235"/>
      <w:bookmarkStart w:id="105" w:name="_Toc362424013"/>
      <w:bookmarkStart w:id="106" w:name="_Toc374459275"/>
      <w:r>
        <w:rPr>
          <w:rFonts w:eastAsiaTheme="minorEastAsia" w:hint="eastAsia"/>
          <w:b/>
          <w:sz w:val="24"/>
        </w:rPr>
        <w:t>三、</w:t>
      </w:r>
      <w:r w:rsidRPr="007F57C2">
        <w:rPr>
          <w:rFonts w:eastAsiaTheme="minorEastAsia" w:hint="eastAsia"/>
          <w:b/>
          <w:sz w:val="24"/>
        </w:rPr>
        <w:t>审计意见</w:t>
      </w:r>
      <w:bookmarkEnd w:id="101"/>
      <w:bookmarkEnd w:id="102"/>
      <w:bookmarkEnd w:id="103"/>
      <w:bookmarkEnd w:id="104"/>
      <w:bookmarkEnd w:id="105"/>
      <w:bookmarkEnd w:id="106"/>
    </w:p>
    <w:p w:rsidR="00CB4736" w:rsidRPr="00D0372D" w:rsidRDefault="00CB4736" w:rsidP="00CB4736">
      <w:pPr>
        <w:spacing w:before="29" w:line="288" w:lineRule="auto"/>
        <w:ind w:firstLineChars="200" w:firstLine="480"/>
        <w:rPr>
          <w:rFonts w:ascii="宋体" w:hAnsi="宋体" w:cs="宋体"/>
          <w:kern w:val="0"/>
          <w:szCs w:val="21"/>
        </w:rPr>
      </w:pPr>
      <w:r w:rsidRPr="00B922C7">
        <w:rPr>
          <w:kern w:val="0"/>
          <w:sz w:val="24"/>
        </w:rPr>
        <w:t>我们认为，上述交银施罗德增利基金的财务报表在所有重大方面按照企业会计准则和在财务报表附注中所列示的中国证监会、中国基金业协会发布的有关规定及允许的基金行业实务操作编制，公允反映了交银施罗德增利基金</w:t>
      </w:r>
      <w:r w:rsidRPr="00B922C7">
        <w:rPr>
          <w:kern w:val="0"/>
          <w:sz w:val="24"/>
        </w:rPr>
        <w:t>2016</w:t>
      </w:r>
      <w:r w:rsidRPr="00B922C7">
        <w:rPr>
          <w:kern w:val="0"/>
          <w:sz w:val="24"/>
        </w:rPr>
        <w:t>年</w:t>
      </w:r>
      <w:r w:rsidRPr="00B922C7">
        <w:rPr>
          <w:kern w:val="0"/>
          <w:sz w:val="24"/>
        </w:rPr>
        <w:t>12</w:t>
      </w:r>
      <w:r w:rsidRPr="00B922C7">
        <w:rPr>
          <w:kern w:val="0"/>
          <w:sz w:val="24"/>
        </w:rPr>
        <w:t>月</w:t>
      </w:r>
      <w:r w:rsidRPr="00B922C7">
        <w:rPr>
          <w:kern w:val="0"/>
          <w:sz w:val="24"/>
        </w:rPr>
        <w:t>31</w:t>
      </w:r>
      <w:r w:rsidRPr="00B922C7">
        <w:rPr>
          <w:kern w:val="0"/>
          <w:sz w:val="24"/>
        </w:rPr>
        <w:t>日的财务状况以及</w:t>
      </w:r>
      <w:r w:rsidRPr="00B922C7">
        <w:rPr>
          <w:kern w:val="0"/>
          <w:sz w:val="24"/>
        </w:rPr>
        <w:t>2016</w:t>
      </w:r>
      <w:r w:rsidRPr="00B922C7">
        <w:rPr>
          <w:kern w:val="0"/>
          <w:sz w:val="24"/>
        </w:rPr>
        <w:t>年度的经营成果和基金净值变动情况。</w:t>
      </w:r>
    </w:p>
    <w:p w:rsidR="00CB4736" w:rsidRPr="00D0372D" w:rsidRDefault="00CB4736" w:rsidP="00CB4736">
      <w:pPr>
        <w:adjustRightInd w:val="0"/>
        <w:snapToGrid w:val="0"/>
        <w:spacing w:line="360" w:lineRule="auto"/>
        <w:rPr>
          <w:rFonts w:ascii="宋体" w:hAnsi="宋体"/>
          <w:color w:val="000000"/>
          <w:szCs w:val="21"/>
        </w:rPr>
      </w:pPr>
    </w:p>
    <w:p w:rsidR="00CB4736" w:rsidRPr="00821D08" w:rsidRDefault="00CB4736" w:rsidP="00CB4736">
      <w:pPr>
        <w:spacing w:before="29" w:line="288" w:lineRule="auto"/>
        <w:jc w:val="left"/>
        <w:rPr>
          <w:color w:val="000000"/>
          <w:sz w:val="24"/>
        </w:rPr>
      </w:pPr>
      <w:r w:rsidRPr="00821D08">
        <w:rPr>
          <w:color w:val="000000"/>
          <w:sz w:val="24"/>
        </w:rPr>
        <w:t>普华永道中天会计师事务所</w:t>
      </w:r>
      <w:r w:rsidRPr="00821D08">
        <w:rPr>
          <w:color w:val="000000"/>
          <w:sz w:val="24"/>
        </w:rPr>
        <w:t>(</w:t>
      </w:r>
      <w:r w:rsidRPr="00821D08">
        <w:rPr>
          <w:color w:val="000000"/>
          <w:sz w:val="24"/>
        </w:rPr>
        <w:t>特殊普通合伙</w:t>
      </w:r>
      <w:r w:rsidRPr="00821D08">
        <w:rPr>
          <w:color w:val="000000"/>
          <w:sz w:val="24"/>
        </w:rPr>
        <w:t>)</w:t>
      </w:r>
      <w:r w:rsidRPr="00821D08">
        <w:rPr>
          <w:rFonts w:hint="eastAsia"/>
          <w:color w:val="000000"/>
          <w:sz w:val="24"/>
        </w:rPr>
        <w:tab/>
      </w:r>
      <w:r w:rsidRPr="00821D08">
        <w:rPr>
          <w:rFonts w:hint="eastAsia"/>
          <w:color w:val="000000"/>
          <w:sz w:val="24"/>
        </w:rPr>
        <w:tab/>
      </w:r>
      <w:r w:rsidR="005851B5">
        <w:rPr>
          <w:color w:val="000000"/>
          <w:sz w:val="24"/>
        </w:rPr>
        <w:t xml:space="preserve">                   </w:t>
      </w:r>
      <w:r w:rsidRPr="00821D08">
        <w:rPr>
          <w:rFonts w:hint="eastAsia"/>
          <w:color w:val="000000"/>
          <w:sz w:val="24"/>
        </w:rPr>
        <w:t>中国注册会计师</w:t>
      </w:r>
    </w:p>
    <w:p w:rsidR="00CB4736" w:rsidRPr="00821D08" w:rsidRDefault="00CB4736" w:rsidP="00CB4736">
      <w:pPr>
        <w:spacing w:before="29" w:line="288" w:lineRule="auto"/>
        <w:jc w:val="right"/>
        <w:rPr>
          <w:color w:val="000000"/>
          <w:sz w:val="24"/>
        </w:rPr>
      </w:pPr>
      <w:r w:rsidRPr="00821D08">
        <w:rPr>
          <w:color w:val="000000"/>
          <w:sz w:val="24"/>
        </w:rPr>
        <w:t xml:space="preserve">  </w:t>
      </w:r>
      <w:r w:rsidRPr="00821D08">
        <w:rPr>
          <w:color w:val="000000"/>
          <w:sz w:val="24"/>
        </w:rPr>
        <w:t>薛竞</w:t>
      </w:r>
      <w:r w:rsidRPr="00821D08">
        <w:rPr>
          <w:color w:val="000000"/>
          <w:sz w:val="24"/>
        </w:rPr>
        <w:t xml:space="preserve">  </w:t>
      </w:r>
      <w:r w:rsidRPr="00821D08">
        <w:rPr>
          <w:color w:val="000000"/>
          <w:sz w:val="24"/>
        </w:rPr>
        <w:t>朱宏宇</w:t>
      </w:r>
    </w:p>
    <w:p w:rsidR="00CB4736" w:rsidRPr="00821D08" w:rsidRDefault="00CB4736" w:rsidP="00CB4736">
      <w:pPr>
        <w:spacing w:before="29" w:line="288" w:lineRule="auto"/>
        <w:jc w:val="right"/>
        <w:rPr>
          <w:color w:val="000000"/>
          <w:sz w:val="24"/>
        </w:rPr>
      </w:pPr>
      <w:r w:rsidRPr="00821D08">
        <w:rPr>
          <w:color w:val="000000"/>
          <w:sz w:val="24"/>
        </w:rPr>
        <w:t>上海市湖滨路</w:t>
      </w:r>
      <w:r w:rsidRPr="00821D08">
        <w:rPr>
          <w:color w:val="000000"/>
          <w:sz w:val="24"/>
        </w:rPr>
        <w:t>202</w:t>
      </w:r>
      <w:r w:rsidRPr="00821D08">
        <w:rPr>
          <w:color w:val="000000"/>
          <w:sz w:val="24"/>
        </w:rPr>
        <w:t>号普华永道中心</w:t>
      </w:r>
      <w:r w:rsidRPr="00821D08">
        <w:rPr>
          <w:color w:val="000000"/>
          <w:sz w:val="24"/>
        </w:rPr>
        <w:t>11</w:t>
      </w:r>
      <w:r w:rsidRPr="00821D08">
        <w:rPr>
          <w:color w:val="000000"/>
          <w:sz w:val="24"/>
        </w:rPr>
        <w:t>楼</w:t>
      </w:r>
    </w:p>
    <w:p w:rsidR="00CB4736" w:rsidRDefault="00CB4736" w:rsidP="00CB4736">
      <w:pPr>
        <w:spacing w:before="29" w:line="288" w:lineRule="auto"/>
        <w:jc w:val="right"/>
        <w:rPr>
          <w:color w:val="000000"/>
          <w:sz w:val="24"/>
        </w:rPr>
      </w:pPr>
      <w:r w:rsidRPr="00821D08">
        <w:rPr>
          <w:color w:val="000000"/>
          <w:sz w:val="24"/>
        </w:rPr>
        <w:t>2017</w:t>
      </w:r>
      <w:r w:rsidRPr="00821D08">
        <w:rPr>
          <w:color w:val="000000"/>
          <w:sz w:val="24"/>
        </w:rPr>
        <w:t>年</w:t>
      </w:r>
      <w:r w:rsidRPr="00821D08">
        <w:rPr>
          <w:color w:val="000000"/>
          <w:sz w:val="24"/>
        </w:rPr>
        <w:t>3</w:t>
      </w:r>
      <w:r w:rsidRPr="00821D08">
        <w:rPr>
          <w:color w:val="000000"/>
          <w:sz w:val="24"/>
        </w:rPr>
        <w:t>月</w:t>
      </w:r>
      <w:r w:rsidRPr="00821D08">
        <w:rPr>
          <w:color w:val="000000"/>
          <w:sz w:val="24"/>
        </w:rPr>
        <w:t>24</w:t>
      </w:r>
      <w:r w:rsidRPr="00821D08">
        <w:rPr>
          <w:color w:val="000000"/>
          <w:sz w:val="24"/>
        </w:rPr>
        <w:t>日</w:t>
      </w:r>
    </w:p>
    <w:p w:rsidR="00C46E48" w:rsidRPr="00CB4736" w:rsidRDefault="00C46E48" w:rsidP="00821D08">
      <w:pPr>
        <w:spacing w:before="29" w:line="288" w:lineRule="auto"/>
        <w:jc w:val="right"/>
        <w:rPr>
          <w:color w:val="000000"/>
          <w:sz w:val="24"/>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07" w:name="_Toc478236538"/>
      <w:r w:rsidRPr="0079659B">
        <w:rPr>
          <w:rFonts w:hint="eastAsia"/>
          <w:b/>
          <w:bCs/>
          <w:szCs w:val="24"/>
          <w:lang w:val="en-US"/>
        </w:rPr>
        <w:lastRenderedPageBreak/>
        <w:t>§</w:t>
      </w:r>
      <w:r w:rsidRPr="0079659B">
        <w:rPr>
          <w:b/>
          <w:bCs/>
          <w:szCs w:val="24"/>
          <w:lang w:val="en-US"/>
        </w:rPr>
        <w:t>7</w:t>
      </w:r>
      <w:r w:rsidR="009153A3" w:rsidRPr="0079659B">
        <w:rPr>
          <w:rFonts w:hint="eastAsia"/>
          <w:b/>
          <w:bCs/>
          <w:szCs w:val="24"/>
          <w:lang w:val="en-US"/>
        </w:rPr>
        <w:t xml:space="preserve">  </w:t>
      </w:r>
      <w:r w:rsidRPr="0079659B">
        <w:rPr>
          <w:rFonts w:hint="eastAsia"/>
          <w:b/>
          <w:bCs/>
          <w:szCs w:val="24"/>
          <w:lang w:val="en-US"/>
        </w:rPr>
        <w:t>年度财务报表</w:t>
      </w:r>
      <w:bookmarkEnd w:id="88"/>
      <w:bookmarkEnd w:id="107"/>
    </w:p>
    <w:p w:rsidR="00DB6EA0" w:rsidRPr="00DB6EA0" w:rsidRDefault="00DB6EA0" w:rsidP="00DB6EA0"/>
    <w:p w:rsidR="001A59F9" w:rsidRPr="004211FD" w:rsidRDefault="001A59F9" w:rsidP="004211FD">
      <w:pPr>
        <w:pStyle w:val="20"/>
        <w:spacing w:before="29" w:after="0" w:line="288" w:lineRule="auto"/>
        <w:rPr>
          <w:b w:val="0"/>
          <w:kern w:val="0"/>
        </w:rPr>
      </w:pPr>
      <w:bookmarkStart w:id="108" w:name="_Toc225498268"/>
      <w:bookmarkStart w:id="109" w:name="_Toc361324873"/>
      <w:bookmarkStart w:id="110" w:name="_Toc478236539"/>
      <w:r w:rsidRPr="004211FD">
        <w:rPr>
          <w:rFonts w:ascii="Times New Roman" w:hAnsi="Times New Roman"/>
          <w:kern w:val="0"/>
          <w:szCs w:val="24"/>
        </w:rPr>
        <w:t xml:space="preserve">7.1 </w:t>
      </w:r>
      <w:r w:rsidRPr="004211FD">
        <w:rPr>
          <w:rFonts w:ascii="Times New Roman" w:hAnsi="Times New Roman" w:hint="eastAsia"/>
          <w:kern w:val="0"/>
          <w:szCs w:val="24"/>
        </w:rPr>
        <w:t>资产负债表</w:t>
      </w:r>
      <w:bookmarkEnd w:id="108"/>
      <w:bookmarkEnd w:id="109"/>
      <w:bookmarkEnd w:id="110"/>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交银施罗德增利债券证券投资基金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2016</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2016</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2015</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w:t>
            </w:r>
            <w:r w:rsidRPr="00DC6104">
              <w:rPr>
                <w:rFonts w:hint="eastAsia"/>
                <w:b/>
                <w:color w:val="000000"/>
                <w:sz w:val="24"/>
              </w:rPr>
              <w:t xml:space="preserve"> </w:t>
            </w:r>
            <w:r w:rsidRPr="00DC6104">
              <w:rPr>
                <w:rFonts w:hint="eastAsia"/>
                <w:b/>
                <w:color w:val="000000"/>
                <w:sz w:val="24"/>
              </w:rPr>
              <w:t>产：</w:t>
            </w:r>
          </w:p>
        </w:tc>
        <w:tc>
          <w:tcPr>
            <w:tcW w:w="1080" w:type="dxa"/>
            <w:vAlign w:val="center"/>
          </w:tcPr>
          <w:p w:rsidR="00EA46D8" w:rsidRPr="00EE7BCE" w:rsidRDefault="00EA46D8" w:rsidP="005851B5">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5851B5">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55,830,714.66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98,638,804.86</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3,394,066.30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2,820,047.93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6,104.48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36,958.40</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579,613,168.19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1,788,283,705.91</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504,885,699.70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1,671,243,705.91</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74,727,468.49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117,040,000.00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125,492,011.48</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11,601,222.79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24,079,333.13</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67,291.17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804,749.36</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650,512,567.59</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2,040,155,611.07</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2016</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2015</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w:t>
            </w:r>
            <w:r w:rsidRPr="00DC6104">
              <w:rPr>
                <w:rFonts w:hint="eastAsia"/>
                <w:b/>
                <w:color w:val="000000"/>
                <w:sz w:val="24"/>
              </w:rPr>
              <w:t xml:space="preserve"> </w:t>
            </w:r>
            <w:r w:rsidRPr="00DC6104">
              <w:rPr>
                <w:rFonts w:hint="eastAsia"/>
                <w:b/>
                <w:color w:val="000000"/>
                <w:sz w:val="24"/>
              </w:rPr>
              <w:t>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69,999,725.00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669,998,985.00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lastRenderedPageBreak/>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52,115,391.98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14,992,499.36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299,455.52</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1,343,112.61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292,096.72</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681,869.03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97,365.60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227,289.68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39,109.31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106,657.23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15,850.20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39,501.19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25,427.60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132,913.60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330,305.45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331,469.25</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123,214,727.38</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687,854,296.95</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545,009,455.79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1,290,823,779.03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-17,711,615.58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61,477,535.09</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527,297,840.21</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1,352,301,314.12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650,512,567.59</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2,040,155,611.07</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2016</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A/B</w:t>
      </w:r>
      <w:r w:rsidRPr="00400137">
        <w:rPr>
          <w:kern w:val="0"/>
          <w:sz w:val="24"/>
        </w:rPr>
        <w:t>类基金份额净值</w:t>
      </w:r>
      <w:r w:rsidRPr="00400137">
        <w:rPr>
          <w:kern w:val="0"/>
          <w:sz w:val="24"/>
        </w:rPr>
        <w:t>0.9679</w:t>
      </w:r>
      <w:r w:rsidRPr="00400137">
        <w:rPr>
          <w:kern w:val="0"/>
          <w:sz w:val="24"/>
        </w:rPr>
        <w:t>元，</w:t>
      </w:r>
      <w:r w:rsidRPr="00400137">
        <w:rPr>
          <w:kern w:val="0"/>
          <w:sz w:val="24"/>
        </w:rPr>
        <w:t>C</w:t>
      </w:r>
      <w:r w:rsidRPr="00400137">
        <w:rPr>
          <w:kern w:val="0"/>
          <w:sz w:val="24"/>
        </w:rPr>
        <w:t>类基金份额净值</w:t>
      </w:r>
      <w:r w:rsidRPr="00400137">
        <w:rPr>
          <w:kern w:val="0"/>
          <w:sz w:val="24"/>
        </w:rPr>
        <w:t>0.9660</w:t>
      </w:r>
      <w:r w:rsidRPr="00400137">
        <w:rPr>
          <w:kern w:val="0"/>
          <w:sz w:val="24"/>
        </w:rPr>
        <w:t>元，基金份额总额</w:t>
      </w:r>
      <w:r w:rsidRPr="00400137">
        <w:rPr>
          <w:kern w:val="0"/>
          <w:sz w:val="24"/>
        </w:rPr>
        <w:t>545,009,455.79</w:t>
      </w:r>
      <w:r w:rsidRPr="00400137">
        <w:rPr>
          <w:kern w:val="0"/>
          <w:sz w:val="24"/>
        </w:rPr>
        <w:t>份，其中</w:t>
      </w:r>
      <w:r w:rsidRPr="00400137">
        <w:rPr>
          <w:kern w:val="0"/>
          <w:sz w:val="24"/>
        </w:rPr>
        <w:t>A/B</w:t>
      </w:r>
      <w:r w:rsidRPr="00400137">
        <w:rPr>
          <w:kern w:val="0"/>
          <w:sz w:val="24"/>
        </w:rPr>
        <w:t>类基金份额</w:t>
      </w:r>
      <w:r w:rsidRPr="00400137">
        <w:rPr>
          <w:kern w:val="0"/>
          <w:sz w:val="24"/>
        </w:rPr>
        <w:t>430,434,305.12</w:t>
      </w:r>
      <w:r w:rsidRPr="00400137">
        <w:rPr>
          <w:kern w:val="0"/>
          <w:sz w:val="24"/>
        </w:rPr>
        <w:t>份，</w:t>
      </w:r>
      <w:r w:rsidRPr="00400137">
        <w:rPr>
          <w:kern w:val="0"/>
          <w:sz w:val="24"/>
        </w:rPr>
        <w:t>C</w:t>
      </w:r>
      <w:r w:rsidRPr="00400137">
        <w:rPr>
          <w:kern w:val="0"/>
          <w:sz w:val="24"/>
        </w:rPr>
        <w:t>类基金份额</w:t>
      </w:r>
      <w:r w:rsidRPr="00400137">
        <w:rPr>
          <w:kern w:val="0"/>
          <w:sz w:val="24"/>
        </w:rPr>
        <w:t>114,575,150.67</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4211FD" w:rsidRDefault="001A59F9" w:rsidP="004211FD">
      <w:pPr>
        <w:pStyle w:val="20"/>
        <w:spacing w:before="29" w:after="0" w:line="288" w:lineRule="auto"/>
        <w:rPr>
          <w:b w:val="0"/>
          <w:kern w:val="0"/>
        </w:rPr>
      </w:pPr>
      <w:bookmarkStart w:id="111" w:name="_Toc225498269"/>
      <w:bookmarkStart w:id="112" w:name="_Toc361324874"/>
      <w:bookmarkStart w:id="113" w:name="_Toc478236540"/>
      <w:r w:rsidRPr="004211FD">
        <w:rPr>
          <w:rFonts w:ascii="Times New Roman" w:hAnsi="Times New Roman"/>
          <w:kern w:val="0"/>
          <w:szCs w:val="24"/>
        </w:rPr>
        <w:t xml:space="preserve">7.2 </w:t>
      </w:r>
      <w:r w:rsidRPr="004211FD">
        <w:rPr>
          <w:rFonts w:ascii="Times New Roman" w:hAnsi="Times New Roman" w:hint="eastAsia"/>
          <w:kern w:val="0"/>
          <w:szCs w:val="24"/>
        </w:rPr>
        <w:t>利润表</w:t>
      </w:r>
      <w:bookmarkEnd w:id="111"/>
      <w:bookmarkEnd w:id="112"/>
      <w:bookmarkEnd w:id="113"/>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交银施罗德增利债券证券投资基金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2016</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2016</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2016</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2015</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2015</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9,224,055.17</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148,066,949.46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49,373,162.35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95,334,530.51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562,323.97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721,387.10</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45,266,165.80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93,009,210.91</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3,305,503.49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1,200,495.88</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239,169.09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403,436.62</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lastRenderedPageBreak/>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-7,282,099.72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46,597,658.45</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-581,831.57</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-7,341,915.05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47,179,490.02</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59,815.33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-33,052,852.92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5,734,208.84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185,845.46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400,551.66</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18,296,399.59</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31,044,918.84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6,107,634.57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8,721,657.68</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2,035,878.20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2,907,219.22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814,307.09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1,329,389.42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55,567.95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121,571.15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8,873,532.75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17,543,122.29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8,873,532.75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17,543,122.29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6</w:t>
            </w:r>
            <w:r w:rsidRPr="00902DE3">
              <w:rPr>
                <w:rFonts w:hint="eastAsia"/>
                <w:color w:val="000000"/>
                <w:sz w:val="24"/>
              </w:rPr>
              <w:t>．其他费用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409,479.03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421,959.08</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-9,072,344.42</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117,022,030.62</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-9,072,344.42</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117,022,030.62</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14" w:name="_Toc225498270"/>
      <w:bookmarkStart w:id="115" w:name="_Toc361324875"/>
      <w:bookmarkStart w:id="116" w:name="_Toc478236541"/>
      <w:r w:rsidRPr="004211FD">
        <w:rPr>
          <w:rFonts w:ascii="Times New Roman" w:hAnsi="Times New Roman"/>
          <w:kern w:val="0"/>
          <w:szCs w:val="24"/>
        </w:rPr>
        <w:t xml:space="preserve">7.3 </w:t>
      </w:r>
      <w:r w:rsidRPr="004211FD">
        <w:rPr>
          <w:rFonts w:ascii="Times New Roman" w:hAnsi="Times New Roman" w:hint="eastAsia"/>
          <w:kern w:val="0"/>
          <w:szCs w:val="24"/>
        </w:rPr>
        <w:t>所有者权益（基金净值）变动表</w:t>
      </w:r>
      <w:bookmarkEnd w:id="114"/>
      <w:bookmarkEnd w:id="115"/>
      <w:bookmarkEnd w:id="116"/>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交银施罗德增利债券证券投资基金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2016</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2016</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2016</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2016</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4211FD">
        <w:tc>
          <w:tcPr>
            <w:tcW w:w="2410" w:type="dxa"/>
            <w:vMerge/>
            <w:tcBorders>
              <w:bottom w:val="single" w:sz="4" w:space="0" w:color="000000"/>
            </w:tcBorders>
            <w:vAlign w:val="center"/>
          </w:tcPr>
          <w:p w:rsidR="001A59F9" w:rsidRPr="001025F3" w:rsidRDefault="001A59F9" w:rsidP="001025F3">
            <w:pPr>
              <w:spacing w:before="29" w:line="288" w:lineRule="auto"/>
              <w:jc w:val="center"/>
              <w:rPr>
                <w:b/>
                <w:color w:val="000000"/>
                <w:sz w:val="24"/>
              </w:rPr>
            </w:pPr>
          </w:p>
        </w:tc>
        <w:tc>
          <w:tcPr>
            <w:tcW w:w="2196" w:type="dxa"/>
            <w:tcBorders>
              <w:bottom w:val="single" w:sz="4" w:space="0" w:color="000000"/>
            </w:tcBorders>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tcBorders>
              <w:bottom w:val="single" w:sz="4" w:space="0" w:color="000000"/>
            </w:tcBorders>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tcBorders>
              <w:bottom w:val="single" w:sz="4" w:space="0" w:color="000000"/>
            </w:tcBorders>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4211FD">
        <w:tc>
          <w:tcPr>
            <w:tcW w:w="2410" w:type="dxa"/>
            <w:tcBorders>
              <w:bottom w:val="single" w:sz="4" w:space="0" w:color="auto"/>
            </w:tcBorders>
            <w:vAlign w:val="center"/>
          </w:tcPr>
          <w:p w:rsidR="001A59F9" w:rsidRPr="00902DE3" w:rsidRDefault="001A59F9" w:rsidP="00902DE3">
            <w:pPr>
              <w:spacing w:before="29" w:line="288" w:lineRule="auto"/>
              <w:rPr>
                <w:color w:val="000000"/>
                <w:sz w:val="24"/>
              </w:rPr>
            </w:pPr>
            <w:r w:rsidRPr="00902DE3">
              <w:rPr>
                <w:rFonts w:hint="eastAsia"/>
                <w:color w:val="000000"/>
                <w:sz w:val="24"/>
              </w:rPr>
              <w:lastRenderedPageBreak/>
              <w:t>一、期初所有者权益（基金净值）</w:t>
            </w:r>
          </w:p>
        </w:tc>
        <w:tc>
          <w:tcPr>
            <w:tcW w:w="2196" w:type="dxa"/>
            <w:tcBorders>
              <w:bottom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1,290,823,779.03</w:t>
            </w:r>
          </w:p>
        </w:tc>
        <w:tc>
          <w:tcPr>
            <w:tcW w:w="2197" w:type="dxa"/>
            <w:tcBorders>
              <w:bottom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61,477,535.09</w:t>
            </w:r>
          </w:p>
        </w:tc>
        <w:tc>
          <w:tcPr>
            <w:tcW w:w="2197" w:type="dxa"/>
            <w:tcBorders>
              <w:bottom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1,352,301,314.12</w:t>
            </w:r>
          </w:p>
        </w:tc>
      </w:tr>
      <w:tr w:rsidR="001A59F9" w:rsidRPr="00D564C7" w:rsidTr="004211FD">
        <w:tc>
          <w:tcPr>
            <w:tcW w:w="2410" w:type="dxa"/>
            <w:tcBorders>
              <w:top w:val="single" w:sz="4" w:space="0" w:color="auto"/>
            </w:tcBorders>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tcBorders>
              <w:top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tcBorders>
              <w:top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-9,072,344.42</w:t>
            </w:r>
          </w:p>
        </w:tc>
        <w:tc>
          <w:tcPr>
            <w:tcW w:w="2197" w:type="dxa"/>
            <w:tcBorders>
              <w:top w:val="single" w:sz="4" w:space="0" w:color="auto"/>
            </w:tcBorders>
            <w:vAlign w:val="center"/>
          </w:tcPr>
          <w:p w:rsidR="001A59F9" w:rsidRPr="00202C11" w:rsidRDefault="001A59F9" w:rsidP="00202C11">
            <w:pPr>
              <w:spacing w:before="29" w:line="288" w:lineRule="auto"/>
              <w:jc w:val="right"/>
              <w:rPr>
                <w:color w:val="000000"/>
                <w:sz w:val="24"/>
              </w:rPr>
            </w:pPr>
            <w:r w:rsidRPr="00202C11">
              <w:rPr>
                <w:color w:val="000000"/>
                <w:sz w:val="24"/>
              </w:rPr>
              <w:t>-9,072,344.42</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 xml:space="preserve"> </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-745,814,323.24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3,440,495.17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-742,373,828.07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811,931,967.23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13,663,545.66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825,595,512.89</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-1,557,746,290.47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-10,223,050.49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-1,567,969,340.96</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-73,557,301.42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-73,557,301.42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545,009,455.79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-17,711,615.58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527,297,840.21</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2015</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2015</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1,223,944,926.66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101,740,929.25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1,325,685,855.91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117,022,030.62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117,022,030.62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66,878,852.37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4,963,150.68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71,842,003.05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3,288,539,012.37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94,994,227.83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3,383,533,240.20</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-3,221,660,160.00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-90,031,077.15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-3,311,691,237.15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-162,248,575.46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-162,248,575.46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w:t>
            </w:r>
            <w:r w:rsidRPr="00902DE3">
              <w:rPr>
                <w:rFonts w:hint="eastAsia"/>
                <w:color w:val="000000"/>
                <w:sz w:val="24"/>
              </w:rPr>
              <w:lastRenderedPageBreak/>
              <w:t>（基金净值）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lastRenderedPageBreak/>
              <w:t>1,290,823,779.03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61,477,535.09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1,352,301,314.12</w:t>
            </w:r>
          </w:p>
        </w:tc>
      </w:tr>
    </w:tbl>
    <w:p w:rsidR="001F790F" w:rsidRPr="00E32675" w:rsidRDefault="001F790F" w:rsidP="00E32675">
      <w:pPr>
        <w:spacing w:before="29" w:line="288" w:lineRule="auto"/>
        <w:rPr>
          <w:sz w:val="24"/>
        </w:rPr>
      </w:pPr>
      <w:r w:rsidRPr="00E32675">
        <w:rPr>
          <w:rFonts w:hint="eastAsia"/>
          <w:sz w:val="24"/>
        </w:rPr>
        <w:lastRenderedPageBreak/>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负责人：阮红，主管会计工作负责人：夏华龙，会计机构负责人：单江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17" w:name="_Toc225498271"/>
      <w:bookmarkStart w:id="118" w:name="_Toc361324876"/>
      <w:bookmarkStart w:id="119" w:name="_Toc478236542"/>
      <w:r w:rsidRPr="004211FD">
        <w:rPr>
          <w:rFonts w:ascii="Times New Roman" w:hAnsi="Times New Roman"/>
          <w:kern w:val="0"/>
          <w:szCs w:val="24"/>
        </w:rPr>
        <w:t xml:space="preserve">7.4 </w:t>
      </w:r>
      <w:r w:rsidRPr="004211FD">
        <w:rPr>
          <w:rFonts w:ascii="Times New Roman" w:hAnsi="Times New Roman" w:hint="eastAsia"/>
          <w:kern w:val="0"/>
          <w:szCs w:val="24"/>
        </w:rPr>
        <w:t>报表附注</w:t>
      </w:r>
      <w:bookmarkEnd w:id="117"/>
      <w:bookmarkEnd w:id="118"/>
      <w:bookmarkEnd w:id="119"/>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004C2C35" w:rsidRPr="007F57C2">
        <w:rPr>
          <w:rFonts w:eastAsiaTheme="minorEastAsia" w:hint="eastAsia"/>
          <w:b/>
          <w:sz w:val="24"/>
        </w:rPr>
        <w:t xml:space="preserve"> </w:t>
      </w:r>
      <w:r w:rsidRPr="007F57C2">
        <w:rPr>
          <w:rFonts w:eastAsiaTheme="minorEastAsia" w:hint="eastAsia"/>
          <w:b/>
          <w:sz w:val="24"/>
        </w:rPr>
        <w:t>基金基本情况</w:t>
      </w:r>
    </w:p>
    <w:p w:rsidR="00A46313" w:rsidRDefault="00125795">
      <w:pPr>
        <w:spacing w:before="29" w:line="288" w:lineRule="auto"/>
        <w:ind w:firstLineChars="200" w:firstLine="480"/>
        <w:rPr>
          <w:kern w:val="0"/>
          <w:sz w:val="24"/>
        </w:rPr>
      </w:pPr>
      <w:r>
        <w:rPr>
          <w:kern w:val="0"/>
          <w:sz w:val="24"/>
        </w:rPr>
        <w:t>交银施罗德增利债券证券投资基金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证监基金字</w:t>
      </w:r>
      <w:r>
        <w:rPr>
          <w:kern w:val="0"/>
          <w:sz w:val="24"/>
        </w:rPr>
        <w:t>[2008]</w:t>
      </w:r>
      <w:r>
        <w:rPr>
          <w:kern w:val="0"/>
          <w:sz w:val="24"/>
        </w:rPr>
        <w:t>第</w:t>
      </w:r>
      <w:r>
        <w:rPr>
          <w:kern w:val="0"/>
          <w:sz w:val="24"/>
        </w:rPr>
        <w:t>239</w:t>
      </w:r>
      <w:r>
        <w:rPr>
          <w:kern w:val="0"/>
          <w:sz w:val="24"/>
        </w:rPr>
        <w:t>号《关于核准交银施罗德增利债券证券投资基金募集的批复》核准，由交银施罗德基金管理有限公司依照《中华人民共和国证券投资基金法》和《交银施罗德增利债券证券投资基金基金合同》负责公开募集。本基金为契约型开放式，存续期限不定，首次设立募集不包括认购资金利息共募集人民币</w:t>
      </w:r>
      <w:r>
        <w:rPr>
          <w:kern w:val="0"/>
          <w:sz w:val="24"/>
        </w:rPr>
        <w:t>10,315,946,853.63</w:t>
      </w:r>
      <w:r>
        <w:rPr>
          <w:kern w:val="0"/>
          <w:sz w:val="24"/>
        </w:rPr>
        <w:t>元，业经普华永道中天会计师事务所有限公司普华永道中天验字</w:t>
      </w:r>
      <w:r>
        <w:rPr>
          <w:kern w:val="0"/>
          <w:sz w:val="24"/>
        </w:rPr>
        <w:t>(2008)</w:t>
      </w:r>
      <w:r>
        <w:rPr>
          <w:kern w:val="0"/>
          <w:sz w:val="24"/>
        </w:rPr>
        <w:t>第</w:t>
      </w:r>
      <w:r>
        <w:rPr>
          <w:kern w:val="0"/>
          <w:sz w:val="24"/>
        </w:rPr>
        <w:t>029</w:t>
      </w:r>
      <w:r>
        <w:rPr>
          <w:kern w:val="0"/>
          <w:sz w:val="24"/>
        </w:rPr>
        <w:t>号验资报告予以验证。经向中国证监会备案，《交银施罗德增利债券证券投资基金基金合同》于</w:t>
      </w:r>
      <w:r>
        <w:rPr>
          <w:kern w:val="0"/>
          <w:sz w:val="24"/>
        </w:rPr>
        <w:t>2008</w:t>
      </w:r>
      <w:r>
        <w:rPr>
          <w:kern w:val="0"/>
          <w:sz w:val="24"/>
        </w:rPr>
        <w:t>年</w:t>
      </w:r>
      <w:r>
        <w:rPr>
          <w:kern w:val="0"/>
          <w:sz w:val="24"/>
        </w:rPr>
        <w:t>3</w:t>
      </w:r>
      <w:r>
        <w:rPr>
          <w:kern w:val="0"/>
          <w:sz w:val="24"/>
        </w:rPr>
        <w:t>月</w:t>
      </w:r>
      <w:r>
        <w:rPr>
          <w:kern w:val="0"/>
          <w:sz w:val="24"/>
        </w:rPr>
        <w:t>31</w:t>
      </w:r>
      <w:r>
        <w:rPr>
          <w:kern w:val="0"/>
          <w:sz w:val="24"/>
        </w:rPr>
        <w:t>日正式生效，基金合同生效日的基金份额总额为</w:t>
      </w:r>
      <w:r>
        <w:rPr>
          <w:kern w:val="0"/>
          <w:sz w:val="24"/>
        </w:rPr>
        <w:t>10,322,807,118.45</w:t>
      </w:r>
      <w:r>
        <w:rPr>
          <w:kern w:val="0"/>
          <w:sz w:val="24"/>
        </w:rPr>
        <w:t>份基金份额，其中认购资金利息折合</w:t>
      </w:r>
      <w:r>
        <w:rPr>
          <w:kern w:val="0"/>
          <w:sz w:val="24"/>
        </w:rPr>
        <w:t>6,860,264.82</w:t>
      </w:r>
      <w:r>
        <w:rPr>
          <w:kern w:val="0"/>
          <w:sz w:val="24"/>
        </w:rPr>
        <w:t>份基金份额。本基金的基金管理人为交银施罗德基金管理有限公司，基金托管人为中国建设银行股份有限公司。</w:t>
      </w:r>
    </w:p>
    <w:p w:rsidR="00A46313" w:rsidRDefault="00125795">
      <w:pPr>
        <w:spacing w:before="29" w:line="288" w:lineRule="auto"/>
        <w:ind w:firstLineChars="200" w:firstLine="480"/>
        <w:rPr>
          <w:kern w:val="0"/>
          <w:sz w:val="24"/>
        </w:rPr>
      </w:pPr>
      <w:r>
        <w:rPr>
          <w:kern w:val="0"/>
          <w:sz w:val="24"/>
        </w:rPr>
        <w:t>根据《交银施罗德增利债券证券投资基金基金合同》和《交银施罗德增利债券证券投资基金招募说明书》，本基金自募集期起根据费用收取方式的不同，将基金份额分为不同的类别。在投资者申购时收取前端申购费用的，称为</w:t>
      </w:r>
      <w:r>
        <w:rPr>
          <w:kern w:val="0"/>
          <w:sz w:val="24"/>
        </w:rPr>
        <w:t>A</w:t>
      </w:r>
      <w:r>
        <w:rPr>
          <w:kern w:val="0"/>
          <w:sz w:val="24"/>
        </w:rPr>
        <w:t>类；在投资者赎回时收取后端申购费用的，称为</w:t>
      </w:r>
      <w:r>
        <w:rPr>
          <w:kern w:val="0"/>
          <w:sz w:val="24"/>
        </w:rPr>
        <w:t>B</w:t>
      </w:r>
      <w:r>
        <w:rPr>
          <w:kern w:val="0"/>
          <w:sz w:val="24"/>
        </w:rPr>
        <w:t>类；不收取申购、赎回费用，而是从本类别基金资产中计提销售服务费的，称为</w:t>
      </w:r>
      <w:r>
        <w:rPr>
          <w:kern w:val="0"/>
          <w:sz w:val="24"/>
        </w:rPr>
        <w:t>C</w:t>
      </w:r>
      <w:r>
        <w:rPr>
          <w:kern w:val="0"/>
          <w:sz w:val="24"/>
        </w:rPr>
        <w:t>类。本基金</w:t>
      </w:r>
      <w:r>
        <w:rPr>
          <w:kern w:val="0"/>
          <w:sz w:val="24"/>
        </w:rPr>
        <w:t>A</w:t>
      </w:r>
      <w:r>
        <w:rPr>
          <w:kern w:val="0"/>
          <w:sz w:val="24"/>
        </w:rPr>
        <w:t>类、</w:t>
      </w:r>
      <w:r>
        <w:rPr>
          <w:kern w:val="0"/>
          <w:sz w:val="24"/>
        </w:rPr>
        <w:t>B</w:t>
      </w:r>
      <w:r>
        <w:rPr>
          <w:kern w:val="0"/>
          <w:sz w:val="24"/>
        </w:rPr>
        <w:t>类、</w:t>
      </w:r>
      <w:r>
        <w:rPr>
          <w:kern w:val="0"/>
          <w:sz w:val="24"/>
        </w:rPr>
        <w:t>C</w:t>
      </w:r>
      <w:r>
        <w:rPr>
          <w:kern w:val="0"/>
          <w:sz w:val="24"/>
        </w:rPr>
        <w:t>类三种收费模式并存，各类基金份额分别计算基金份额净值。投资人可自由选择申购某一类别的基金份额，但各类别基金份额之间不能相互转换。</w:t>
      </w:r>
    </w:p>
    <w:p w:rsidR="00A46313" w:rsidRDefault="00125795">
      <w:pPr>
        <w:spacing w:before="29" w:line="288" w:lineRule="auto"/>
        <w:ind w:firstLineChars="200" w:firstLine="480"/>
        <w:rPr>
          <w:kern w:val="0"/>
          <w:sz w:val="24"/>
        </w:rPr>
      </w:pPr>
      <w:r>
        <w:rPr>
          <w:kern w:val="0"/>
          <w:sz w:val="24"/>
        </w:rPr>
        <w:t>根据《中华人民共和国证券投资基金法》和《交银施罗德增利债券证券投资基金基金合同》的有关规定，本基金的投资范围为具有良好流动性的金融工具，包括国内依法发行上市的债券、股票、权证以及法律法规或中国证监会允许基金投资的其他金融工具，其中股票投资仅限于参与新股认购和可转债转股获得的股票，权证投资仅限于参与可分离交易转债申购而获得的权证，即本基金不从二级市场购买股票或权证。本基金的投资组合比例为：固定收益类资产</w:t>
      </w:r>
      <w:r>
        <w:rPr>
          <w:kern w:val="0"/>
          <w:sz w:val="24"/>
        </w:rPr>
        <w:t>(</w:t>
      </w:r>
      <w:r>
        <w:rPr>
          <w:kern w:val="0"/>
          <w:sz w:val="24"/>
        </w:rPr>
        <w:t>包括国债、金融债、央行票据、企业债、公司债、短期融资券、资产支持证券、次级债、可转换债券等</w:t>
      </w:r>
      <w:r>
        <w:rPr>
          <w:kern w:val="0"/>
          <w:sz w:val="24"/>
        </w:rPr>
        <w:t>)</w:t>
      </w:r>
      <w:r>
        <w:rPr>
          <w:kern w:val="0"/>
          <w:sz w:val="24"/>
        </w:rPr>
        <w:t>占基金资产的比例为</w:t>
      </w:r>
      <w:r>
        <w:rPr>
          <w:kern w:val="0"/>
          <w:sz w:val="24"/>
        </w:rPr>
        <w:t>80%-100%</w:t>
      </w:r>
      <w:r>
        <w:rPr>
          <w:kern w:val="0"/>
          <w:sz w:val="24"/>
        </w:rPr>
        <w:t>，其中次级债、资产支持证券</w:t>
      </w:r>
      <w:r>
        <w:rPr>
          <w:kern w:val="0"/>
          <w:sz w:val="24"/>
        </w:rPr>
        <w:t>(</w:t>
      </w:r>
      <w:r>
        <w:rPr>
          <w:kern w:val="0"/>
          <w:sz w:val="24"/>
        </w:rPr>
        <w:t>含资产收益计划</w:t>
      </w:r>
      <w:r>
        <w:rPr>
          <w:kern w:val="0"/>
          <w:sz w:val="24"/>
        </w:rPr>
        <w:t>)</w:t>
      </w:r>
      <w:r>
        <w:rPr>
          <w:kern w:val="0"/>
          <w:sz w:val="24"/>
        </w:rPr>
        <w:t>和可转换债券占基金资产的比例为</w:t>
      </w:r>
      <w:r>
        <w:rPr>
          <w:kern w:val="0"/>
          <w:sz w:val="24"/>
        </w:rPr>
        <w:t>0-40%</w:t>
      </w:r>
      <w:r>
        <w:rPr>
          <w:kern w:val="0"/>
          <w:sz w:val="24"/>
        </w:rPr>
        <w:t>，基金保留的现金以及投资于到期日在一年以内的政府债券的比例合计不低于基金资产净值的</w:t>
      </w:r>
      <w:r>
        <w:rPr>
          <w:kern w:val="0"/>
          <w:sz w:val="24"/>
        </w:rPr>
        <w:t>5%</w:t>
      </w:r>
      <w:r>
        <w:rPr>
          <w:kern w:val="0"/>
          <w:sz w:val="24"/>
        </w:rPr>
        <w:t>；股票、权证等资产占基金资产的比例为</w:t>
      </w:r>
      <w:r>
        <w:rPr>
          <w:kern w:val="0"/>
          <w:sz w:val="24"/>
        </w:rPr>
        <w:t>0-20%</w:t>
      </w:r>
      <w:r>
        <w:rPr>
          <w:kern w:val="0"/>
          <w:sz w:val="24"/>
        </w:rPr>
        <w:t>，其中权证资产占基金资产净值的比例为</w:t>
      </w:r>
      <w:r>
        <w:rPr>
          <w:kern w:val="0"/>
          <w:sz w:val="24"/>
        </w:rPr>
        <w:t>0-3%</w:t>
      </w:r>
      <w:r>
        <w:rPr>
          <w:kern w:val="0"/>
          <w:sz w:val="24"/>
        </w:rPr>
        <w:t>。本基金的业绩比较基准为：中债企业债总指数。</w:t>
      </w:r>
    </w:p>
    <w:p w:rsidR="001A59F9" w:rsidRPr="004A3D9A" w:rsidRDefault="001A59F9" w:rsidP="004A3D9A">
      <w:pPr>
        <w:spacing w:before="29" w:line="288" w:lineRule="auto"/>
        <w:ind w:firstLineChars="200" w:firstLine="480"/>
        <w:rPr>
          <w:kern w:val="0"/>
          <w:sz w:val="24"/>
        </w:rPr>
      </w:pPr>
      <w:r w:rsidRPr="004A3D9A">
        <w:rPr>
          <w:kern w:val="0"/>
          <w:sz w:val="24"/>
        </w:rPr>
        <w:lastRenderedPageBreak/>
        <w:t>本财务报表由本基金的基金管理人交银施罗德基金管理有限公司于</w:t>
      </w:r>
      <w:r w:rsidRPr="004A3D9A">
        <w:rPr>
          <w:kern w:val="0"/>
          <w:sz w:val="24"/>
        </w:rPr>
        <w:t>2017</w:t>
      </w:r>
      <w:r w:rsidRPr="004A3D9A">
        <w:rPr>
          <w:kern w:val="0"/>
          <w:sz w:val="24"/>
        </w:rPr>
        <w:t>年</w:t>
      </w:r>
      <w:r w:rsidRPr="004A3D9A">
        <w:rPr>
          <w:kern w:val="0"/>
          <w:sz w:val="24"/>
        </w:rPr>
        <w:t>3</w:t>
      </w:r>
      <w:r w:rsidRPr="004A3D9A">
        <w:rPr>
          <w:kern w:val="0"/>
          <w:sz w:val="24"/>
        </w:rPr>
        <w:t>月</w:t>
      </w:r>
      <w:r w:rsidRPr="004A3D9A">
        <w:rPr>
          <w:kern w:val="0"/>
          <w:sz w:val="24"/>
        </w:rPr>
        <w:t>2</w:t>
      </w:r>
      <w:r w:rsidR="0065694A">
        <w:rPr>
          <w:rFonts w:hint="eastAsia"/>
          <w:kern w:val="0"/>
          <w:sz w:val="24"/>
        </w:rPr>
        <w:t>4</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004C2C35" w:rsidRPr="007F57C2">
        <w:rPr>
          <w:rFonts w:eastAsiaTheme="minorEastAsia" w:hint="eastAsia"/>
          <w:b/>
          <w:sz w:val="24"/>
        </w:rPr>
        <w:t xml:space="preserve"> </w:t>
      </w:r>
      <w:r w:rsidRPr="007F57C2">
        <w:rPr>
          <w:rFonts w:eastAsiaTheme="minorEastAsia" w:hint="eastAsia"/>
          <w:b/>
          <w:sz w:val="24"/>
        </w:rPr>
        <w:t>会计报表的编制基础</w:t>
      </w:r>
    </w:p>
    <w:p w:rsidR="001A59F9" w:rsidRPr="004A3D9A" w:rsidRDefault="001A59F9" w:rsidP="004A3D9A">
      <w:pPr>
        <w:spacing w:before="29" w:line="288" w:lineRule="auto"/>
        <w:ind w:firstLineChars="200" w:firstLine="480"/>
        <w:rPr>
          <w:kern w:val="0"/>
          <w:sz w:val="24"/>
        </w:rPr>
      </w:pPr>
      <w:r w:rsidRPr="004A3D9A">
        <w:rPr>
          <w:kern w:val="0"/>
          <w:sz w:val="24"/>
        </w:rPr>
        <w:t>本基金的财务报表按照财政部于</w:t>
      </w:r>
      <w:r w:rsidRPr="004A3D9A">
        <w:rPr>
          <w:kern w:val="0"/>
          <w:sz w:val="24"/>
        </w:rPr>
        <w:t>2006</w:t>
      </w:r>
      <w:r w:rsidRPr="004A3D9A">
        <w:rPr>
          <w:kern w:val="0"/>
          <w:sz w:val="24"/>
        </w:rPr>
        <w:t>年</w:t>
      </w:r>
      <w:r w:rsidRPr="004A3D9A">
        <w:rPr>
          <w:kern w:val="0"/>
          <w:sz w:val="24"/>
        </w:rPr>
        <w:t>2</w:t>
      </w:r>
      <w:r w:rsidRPr="004A3D9A">
        <w:rPr>
          <w:kern w:val="0"/>
          <w:sz w:val="24"/>
        </w:rPr>
        <w:t>月</w:t>
      </w:r>
      <w:r w:rsidRPr="004A3D9A">
        <w:rPr>
          <w:kern w:val="0"/>
          <w:sz w:val="24"/>
        </w:rPr>
        <w:t>15</w:t>
      </w:r>
      <w:r w:rsidRPr="004A3D9A">
        <w:rPr>
          <w:kern w:val="0"/>
          <w:sz w:val="24"/>
        </w:rPr>
        <w:t>日及以后期间颁布的《企业会计准则－基本准则》、各项具体会计准则及相关规定</w:t>
      </w:r>
      <w:r w:rsidRPr="004A3D9A">
        <w:rPr>
          <w:kern w:val="0"/>
          <w:sz w:val="24"/>
        </w:rPr>
        <w:t>(</w:t>
      </w:r>
      <w:r w:rsidRPr="004A3D9A">
        <w:rPr>
          <w:kern w:val="0"/>
          <w:sz w:val="24"/>
        </w:rPr>
        <w:t>以下合称</w:t>
      </w:r>
      <w:r w:rsidRPr="004A3D9A">
        <w:rPr>
          <w:kern w:val="0"/>
          <w:sz w:val="24"/>
        </w:rPr>
        <w:t>“</w:t>
      </w:r>
      <w:r w:rsidRPr="004A3D9A">
        <w:rPr>
          <w:kern w:val="0"/>
          <w:sz w:val="24"/>
        </w:rPr>
        <w:t>企业会计准则</w:t>
      </w:r>
      <w:r w:rsidRPr="004A3D9A">
        <w:rPr>
          <w:kern w:val="0"/>
          <w:sz w:val="24"/>
        </w:rPr>
        <w:t>”)</w:t>
      </w:r>
      <w:r w:rsidRPr="004A3D9A">
        <w:rPr>
          <w:kern w:val="0"/>
          <w:sz w:val="24"/>
        </w:rPr>
        <w:t>、中国证监会颁布的《证券投资基金信息披露</w:t>
      </w:r>
      <w:r w:rsidRPr="004A3D9A">
        <w:rPr>
          <w:kern w:val="0"/>
          <w:sz w:val="24"/>
        </w:rPr>
        <w:t>XBRL</w:t>
      </w:r>
      <w:r w:rsidRPr="004A3D9A">
        <w:rPr>
          <w:kern w:val="0"/>
          <w:sz w:val="24"/>
        </w:rPr>
        <w:t>模板第</w:t>
      </w:r>
      <w:r w:rsidRPr="004A3D9A">
        <w:rPr>
          <w:kern w:val="0"/>
          <w:sz w:val="24"/>
        </w:rPr>
        <w:t>3</w:t>
      </w:r>
      <w:r w:rsidRPr="004A3D9A">
        <w:rPr>
          <w:kern w:val="0"/>
          <w:sz w:val="24"/>
        </w:rPr>
        <w:t>号</w:t>
      </w:r>
      <w:r w:rsidRPr="004A3D9A">
        <w:rPr>
          <w:kern w:val="0"/>
          <w:sz w:val="24"/>
        </w:rPr>
        <w:t>&lt;</w:t>
      </w:r>
      <w:r w:rsidRPr="004A3D9A">
        <w:rPr>
          <w:kern w:val="0"/>
          <w:sz w:val="24"/>
        </w:rPr>
        <w:t>年度报告和半年度报告</w:t>
      </w:r>
      <w:r w:rsidRPr="004A3D9A">
        <w:rPr>
          <w:kern w:val="0"/>
          <w:sz w:val="24"/>
        </w:rPr>
        <w:t>&gt;</w:t>
      </w:r>
      <w:r w:rsidRPr="004A3D9A">
        <w:rPr>
          <w:kern w:val="0"/>
          <w:sz w:val="24"/>
        </w:rPr>
        <w:t>》、中国证券投资基金业协会</w:t>
      </w:r>
      <w:r w:rsidRPr="004A3D9A">
        <w:rPr>
          <w:kern w:val="0"/>
          <w:sz w:val="24"/>
        </w:rPr>
        <w:t>(</w:t>
      </w:r>
      <w:r w:rsidRPr="004A3D9A">
        <w:rPr>
          <w:kern w:val="0"/>
          <w:sz w:val="24"/>
        </w:rPr>
        <w:t>以下简称</w:t>
      </w:r>
      <w:r w:rsidRPr="004A3D9A">
        <w:rPr>
          <w:kern w:val="0"/>
          <w:sz w:val="24"/>
        </w:rPr>
        <w:t>“</w:t>
      </w:r>
      <w:r w:rsidRPr="004A3D9A">
        <w:rPr>
          <w:kern w:val="0"/>
          <w:sz w:val="24"/>
        </w:rPr>
        <w:t>中国基金业协会</w:t>
      </w:r>
      <w:r w:rsidRPr="004A3D9A">
        <w:rPr>
          <w:kern w:val="0"/>
          <w:sz w:val="24"/>
        </w:rPr>
        <w:t>”)</w:t>
      </w:r>
      <w:r w:rsidRPr="004A3D9A">
        <w:rPr>
          <w:kern w:val="0"/>
          <w:sz w:val="24"/>
        </w:rPr>
        <w:t>颁布的《证券投资基金会计核算业务指引》、《交银施罗德增利债券证券投资基金基金合同》和在财务报表附注</w:t>
      </w:r>
      <w:r w:rsidRPr="004A3D9A">
        <w:rPr>
          <w:kern w:val="0"/>
          <w:sz w:val="24"/>
        </w:rPr>
        <w:t>7.4.4</w:t>
      </w:r>
      <w:r w:rsidRPr="004A3D9A">
        <w:rPr>
          <w:kern w:val="0"/>
          <w:sz w:val="24"/>
        </w:rPr>
        <w:t>所列示的中国证监会、中国基金业协会发布的有关规定及允许的基金行业实务操作编制。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004C2C35" w:rsidRPr="007F57C2">
        <w:rPr>
          <w:rFonts w:eastAsiaTheme="minorEastAsia" w:hint="eastAsia"/>
          <w:b/>
          <w:sz w:val="24"/>
        </w:rPr>
        <w:t xml:space="preserve"> </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2016</w:t>
      </w:r>
      <w:r w:rsidRPr="004A3D9A">
        <w:rPr>
          <w:kern w:val="0"/>
          <w:sz w:val="24"/>
        </w:rPr>
        <w:t>年度财务报表符合企业会计准则的要求，真实、完整地反映了本基金</w:t>
      </w:r>
      <w:r w:rsidRPr="004A3D9A">
        <w:rPr>
          <w:kern w:val="0"/>
          <w:sz w:val="24"/>
        </w:rPr>
        <w:t>2016</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2016</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004C2C35" w:rsidRPr="007F57C2">
        <w:rPr>
          <w:rFonts w:eastAsiaTheme="minorEastAsia" w:hint="eastAsia"/>
          <w:b/>
          <w:sz w:val="24"/>
        </w:rPr>
        <w:t xml:space="preserve"> </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A46313" w:rsidRDefault="00125795">
      <w:pPr>
        <w:spacing w:before="29" w:line="288" w:lineRule="auto"/>
        <w:ind w:firstLineChars="200" w:firstLine="480"/>
        <w:rPr>
          <w:kern w:val="0"/>
          <w:sz w:val="24"/>
        </w:rPr>
      </w:pPr>
      <w:r>
        <w:rPr>
          <w:kern w:val="0"/>
          <w:sz w:val="24"/>
        </w:rPr>
        <w:t>(1)</w:t>
      </w:r>
      <w:r>
        <w:rPr>
          <w:kern w:val="0"/>
          <w:sz w:val="24"/>
        </w:rPr>
        <w:t>金融资产的分类</w:t>
      </w:r>
    </w:p>
    <w:p w:rsidR="00A46313" w:rsidRDefault="00125795">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本基金以交易目的持有的股票投资、债券投资、资产支持证券投资和衍生工具</w:t>
      </w:r>
      <w:r>
        <w:rPr>
          <w:kern w:val="0"/>
          <w:sz w:val="24"/>
        </w:rPr>
        <w:t>(</w:t>
      </w:r>
      <w:r>
        <w:rPr>
          <w:kern w:val="0"/>
          <w:sz w:val="24"/>
        </w:rPr>
        <w:t>主要为股指期货投资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本基金持有的其他金融资产分类为应收款项，包括银行存款、买入返售金融资产和其他各类应收款项等。应收款项是指在活跃市场中没有报价、回收金额固定或可确定的非衍生金融资产。</w:t>
      </w:r>
    </w:p>
    <w:p w:rsidR="00A46313" w:rsidRDefault="00125795">
      <w:pPr>
        <w:spacing w:before="29" w:line="288" w:lineRule="auto"/>
        <w:ind w:firstLineChars="200" w:firstLine="480"/>
        <w:rPr>
          <w:kern w:val="0"/>
          <w:sz w:val="24"/>
        </w:rPr>
      </w:pPr>
      <w:r>
        <w:rPr>
          <w:kern w:val="0"/>
          <w:sz w:val="24"/>
        </w:rPr>
        <w:t>(2)</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lastRenderedPageBreak/>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A46313" w:rsidRDefault="00125795">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A46313" w:rsidRDefault="00125795">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A46313" w:rsidRDefault="00125795">
      <w:pPr>
        <w:spacing w:before="29" w:line="288" w:lineRule="auto"/>
        <w:ind w:firstLineChars="200" w:firstLine="480"/>
        <w:rPr>
          <w:kern w:val="0"/>
          <w:sz w:val="24"/>
        </w:rPr>
      </w:pPr>
      <w:r>
        <w:rPr>
          <w:kern w:val="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A46313" w:rsidRDefault="00125795">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A46313" w:rsidRDefault="00125795">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A46313" w:rsidRDefault="00125795">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主要为股指期货投资</w:t>
      </w:r>
      <w:r>
        <w:rPr>
          <w:kern w:val="0"/>
          <w:sz w:val="24"/>
        </w:rPr>
        <w:t>)</w:t>
      </w:r>
      <w:r>
        <w:rPr>
          <w:kern w:val="0"/>
          <w:sz w:val="24"/>
        </w:rPr>
        <w:t>按如下原则确定公允价值并进行估值：</w:t>
      </w:r>
    </w:p>
    <w:p w:rsidR="00A46313" w:rsidRDefault="00125795">
      <w:pPr>
        <w:spacing w:before="29" w:line="288" w:lineRule="auto"/>
        <w:ind w:firstLineChars="200" w:firstLine="480"/>
        <w:rPr>
          <w:kern w:val="0"/>
          <w:sz w:val="24"/>
        </w:rPr>
      </w:pPr>
      <w:r>
        <w:rPr>
          <w:kern w:val="0"/>
          <w:sz w:val="24"/>
        </w:rPr>
        <w:t>(1)</w:t>
      </w:r>
      <w:r>
        <w:rPr>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A46313" w:rsidRDefault="00125795">
      <w:pPr>
        <w:spacing w:before="29" w:line="288" w:lineRule="auto"/>
        <w:ind w:firstLineChars="200" w:firstLine="480"/>
        <w:rPr>
          <w:kern w:val="0"/>
          <w:sz w:val="24"/>
        </w:rPr>
      </w:pPr>
      <w:r>
        <w:rPr>
          <w:kern w:val="0"/>
          <w:sz w:val="24"/>
        </w:rPr>
        <w:t>(2)</w:t>
      </w:r>
      <w:r>
        <w:rPr>
          <w:kern w:val="0"/>
          <w:sz w:val="24"/>
        </w:rPr>
        <w:t>存在活跃市场的金融工具，如估值日无交易且最近交易日后经济环境发生了重大变化，参考类似投资品种的现行市价及重大变化等因素，调整最近交易市价以确定公允价值。</w:t>
      </w: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w:t>
      </w:r>
      <w:r w:rsidRPr="004A3D9A">
        <w:rPr>
          <w:kern w:val="0"/>
          <w:sz w:val="24"/>
        </w:rPr>
        <w:lastRenderedPageBreak/>
        <w:t>值、现金流量折现法和期权定价模型等。采用估值技术时，尽可能最大程度使用市场参数，减少使用与本基金特定相关的参数。</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A46313" w:rsidRDefault="00125795">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A46313" w:rsidRDefault="00125795">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A46313" w:rsidRDefault="00125795">
      <w:pPr>
        <w:spacing w:before="29" w:line="288" w:lineRule="auto"/>
        <w:ind w:firstLineChars="200" w:firstLine="480"/>
        <w:rPr>
          <w:kern w:val="0"/>
          <w:sz w:val="24"/>
        </w:rPr>
      </w:pPr>
      <w:r>
        <w:rPr>
          <w:kern w:val="0"/>
          <w:sz w:val="24"/>
        </w:rPr>
        <w:lastRenderedPageBreak/>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A46313" w:rsidRDefault="00125795">
      <w:pPr>
        <w:spacing w:before="29" w:line="288" w:lineRule="auto"/>
        <w:ind w:firstLineChars="200" w:firstLine="480"/>
        <w:rPr>
          <w:kern w:val="0"/>
          <w:sz w:val="24"/>
        </w:rPr>
      </w:pPr>
      <w:r>
        <w:rPr>
          <w:kern w:val="0"/>
          <w:sz w:val="24"/>
        </w:rPr>
        <w:t>本基金每一类别的基金份额享有同等分配权。本基金收益以现金形式分配，但基金份额持有人可选择现金红利或将现金红利按分红除权日的基金份额净值自动转为基金份额进行再投资。若期末未分配利润中的未实现部分</w:t>
      </w:r>
      <w:r>
        <w:rPr>
          <w:kern w:val="0"/>
          <w:sz w:val="24"/>
        </w:rPr>
        <w:t>(</w:t>
      </w:r>
      <w:r>
        <w:rPr>
          <w:kern w:val="0"/>
          <w:sz w:val="24"/>
        </w:rPr>
        <w:t>包括基金经营活动产生的未实现损益以及基金份额交易产生的未实现平准金等</w:t>
      </w:r>
      <w:r>
        <w:rPr>
          <w:kern w:val="0"/>
          <w:sz w:val="24"/>
        </w:rPr>
        <w:t>)</w:t>
      </w:r>
      <w:r>
        <w:rPr>
          <w:kern w:val="0"/>
          <w:sz w:val="24"/>
        </w:rPr>
        <w:t>为正数，则期末可供分配利润的金额为期末未分配利润中的已实现部分；若期末未分配利润的未实现部分为负数，则期末可供分配利润的金额为期末未分配利润</w:t>
      </w:r>
      <w:r>
        <w:rPr>
          <w:kern w:val="0"/>
          <w:sz w:val="24"/>
        </w:rPr>
        <w:t>(</w:t>
      </w:r>
      <w:r>
        <w:rPr>
          <w:kern w:val="0"/>
          <w:sz w:val="24"/>
        </w:rPr>
        <w:t>已实现部分相抵未实现部分后的余额</w:t>
      </w:r>
      <w:r>
        <w:rPr>
          <w:kern w:val="0"/>
          <w:sz w:val="24"/>
        </w:rPr>
        <w:t>)</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A46313" w:rsidRDefault="00125795">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本基金目前以一个单一的经营分部运作，不需要进行分部报告的披露。</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67122D" w:rsidRDefault="0067122D" w:rsidP="0067122D">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67122D" w:rsidRPr="009D1125" w:rsidRDefault="0067122D" w:rsidP="0067122D">
      <w:pPr>
        <w:spacing w:before="29" w:line="288" w:lineRule="auto"/>
        <w:ind w:firstLineChars="200" w:firstLine="480"/>
        <w:rPr>
          <w:kern w:val="0"/>
          <w:sz w:val="24"/>
        </w:rPr>
      </w:pPr>
      <w:r w:rsidRPr="009D1125">
        <w:rPr>
          <w:rFonts w:hint="eastAsia"/>
          <w:kern w:val="0"/>
          <w:sz w:val="24"/>
        </w:rPr>
        <w:t xml:space="preserve">(1) </w:t>
      </w:r>
      <w:r w:rsidRPr="009D1125">
        <w:rPr>
          <w:rFonts w:hint="eastAsia"/>
          <w:kern w:val="0"/>
          <w:sz w:val="24"/>
        </w:rPr>
        <w:t>对于证券交易所上市的股票和债券，若出现重大事项停牌或交易不活跃</w:t>
      </w:r>
      <w:r w:rsidRPr="009D1125">
        <w:rPr>
          <w:rFonts w:hint="eastAsia"/>
          <w:kern w:val="0"/>
          <w:sz w:val="24"/>
        </w:rPr>
        <w:t>(</w:t>
      </w:r>
      <w:r w:rsidRPr="009D1125">
        <w:rPr>
          <w:rFonts w:hint="eastAsia"/>
          <w:kern w:val="0"/>
          <w:sz w:val="24"/>
        </w:rPr>
        <w:t>包括涨跌停时的交易不活跃</w:t>
      </w:r>
      <w:r w:rsidRPr="009D1125">
        <w:rPr>
          <w:rFonts w:hint="eastAsia"/>
          <w:kern w:val="0"/>
          <w:sz w:val="24"/>
        </w:rPr>
        <w:t>)</w:t>
      </w:r>
      <w:r w:rsidRPr="009D1125">
        <w:rPr>
          <w:rFonts w:hint="eastAsia"/>
          <w:kern w:val="0"/>
          <w:sz w:val="24"/>
        </w:rPr>
        <w:t>等情况，本基金根据中国证监会公告</w:t>
      </w:r>
      <w:r w:rsidRPr="009D1125">
        <w:rPr>
          <w:rFonts w:hint="eastAsia"/>
          <w:kern w:val="0"/>
          <w:sz w:val="24"/>
        </w:rPr>
        <w:t>[2008]38</w:t>
      </w:r>
      <w:r w:rsidRPr="009D1125">
        <w:rPr>
          <w:rFonts w:hint="eastAsia"/>
          <w:kern w:val="0"/>
          <w:sz w:val="24"/>
        </w:rPr>
        <w:t>号《关于进一步规范证券投资基金估值业务的指导意见》，根据具体情况采用《关于发布中基协</w:t>
      </w:r>
      <w:r w:rsidRPr="009D1125">
        <w:rPr>
          <w:rFonts w:hint="eastAsia"/>
          <w:kern w:val="0"/>
          <w:sz w:val="24"/>
        </w:rPr>
        <w:t>(AMAC)</w:t>
      </w:r>
      <w:r w:rsidRPr="009D1125">
        <w:rPr>
          <w:rFonts w:hint="eastAsia"/>
          <w:kern w:val="0"/>
          <w:sz w:val="24"/>
        </w:rPr>
        <w:t>基金行业股票估值指数的通知》提供的指数收益法、现金流量折现法等估值技术进行估值。</w:t>
      </w:r>
    </w:p>
    <w:p w:rsidR="0067122D" w:rsidRPr="009D1125" w:rsidRDefault="0067122D" w:rsidP="0067122D">
      <w:pPr>
        <w:spacing w:before="29" w:line="288" w:lineRule="auto"/>
        <w:ind w:firstLineChars="200" w:firstLine="480"/>
        <w:rPr>
          <w:kern w:val="0"/>
          <w:sz w:val="24"/>
        </w:rPr>
      </w:pPr>
      <w:r w:rsidRPr="009D1125">
        <w:rPr>
          <w:rFonts w:hint="eastAsia"/>
          <w:kern w:val="0"/>
          <w:sz w:val="24"/>
        </w:rPr>
        <w:t xml:space="preserve">(2) </w:t>
      </w:r>
      <w:r w:rsidRPr="009D1125">
        <w:rPr>
          <w:rFonts w:hint="eastAsia"/>
          <w:kern w:val="0"/>
          <w:sz w:val="24"/>
        </w:rPr>
        <w:t>对于在锁定期内的非公开发行股票，根据中国证监会证监会计字</w:t>
      </w:r>
      <w:r w:rsidRPr="009D1125">
        <w:rPr>
          <w:rFonts w:hint="eastAsia"/>
          <w:kern w:val="0"/>
          <w:sz w:val="24"/>
        </w:rPr>
        <w:t>[2007]21</w:t>
      </w:r>
      <w:r w:rsidRPr="009D1125">
        <w:rPr>
          <w:rFonts w:hint="eastAsia"/>
          <w:kern w:val="0"/>
          <w:sz w:val="24"/>
        </w:rPr>
        <w:t>号《关于证券投资基金执行</w:t>
      </w:r>
      <w:r w:rsidRPr="009D1125">
        <w:rPr>
          <w:rFonts w:hint="eastAsia"/>
          <w:kern w:val="0"/>
          <w:sz w:val="24"/>
        </w:rPr>
        <w:t>&lt;</w:t>
      </w:r>
      <w:r w:rsidRPr="009D1125">
        <w:rPr>
          <w:rFonts w:hint="eastAsia"/>
          <w:kern w:val="0"/>
          <w:sz w:val="24"/>
        </w:rPr>
        <w:t>企业会计准则</w:t>
      </w:r>
      <w:r w:rsidRPr="009D1125">
        <w:rPr>
          <w:rFonts w:hint="eastAsia"/>
          <w:kern w:val="0"/>
          <w:sz w:val="24"/>
        </w:rPr>
        <w:t>&gt;</w:t>
      </w:r>
      <w:r w:rsidRPr="009D1125">
        <w:rPr>
          <w:rFonts w:hint="eastAsia"/>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w:t>
      </w:r>
      <w:r w:rsidRPr="009D1125">
        <w:rPr>
          <w:rFonts w:hint="eastAsia"/>
          <w:kern w:val="0"/>
          <w:sz w:val="24"/>
        </w:rPr>
        <w:lastRenderedPageBreak/>
        <w:t>数的比例将两者之间差价的一部分确认为估值增值。</w:t>
      </w:r>
    </w:p>
    <w:p w:rsidR="0067122D" w:rsidRPr="009D1125" w:rsidRDefault="0067122D" w:rsidP="0067122D">
      <w:pPr>
        <w:spacing w:before="29" w:line="288" w:lineRule="auto"/>
        <w:ind w:firstLineChars="200" w:firstLine="480"/>
        <w:rPr>
          <w:kern w:val="0"/>
          <w:sz w:val="24"/>
        </w:rPr>
      </w:pPr>
      <w:r w:rsidRPr="009D1125">
        <w:rPr>
          <w:rFonts w:hint="eastAsia"/>
          <w:kern w:val="0"/>
          <w:sz w:val="24"/>
        </w:rPr>
        <w:t xml:space="preserve">(3) </w:t>
      </w:r>
      <w:r w:rsidRPr="009D1125">
        <w:rPr>
          <w:rFonts w:hint="eastAsia"/>
          <w:kern w:val="0"/>
          <w:sz w:val="24"/>
        </w:rPr>
        <w:t>在银行间同业市场交易的债券品种，根据中国证监会证监会计字</w:t>
      </w:r>
      <w:r w:rsidRPr="009D1125">
        <w:rPr>
          <w:rFonts w:hint="eastAsia"/>
          <w:kern w:val="0"/>
          <w:sz w:val="24"/>
        </w:rPr>
        <w:t>[2007]21</w:t>
      </w:r>
      <w:r w:rsidRPr="009D1125">
        <w:rPr>
          <w:rFonts w:hint="eastAsia"/>
          <w:kern w:val="0"/>
          <w:sz w:val="24"/>
        </w:rPr>
        <w:t>号《关于证券投资基金执行</w:t>
      </w:r>
      <w:r w:rsidRPr="009D1125">
        <w:rPr>
          <w:rFonts w:hint="eastAsia"/>
          <w:kern w:val="0"/>
          <w:sz w:val="24"/>
        </w:rPr>
        <w:t>&lt;</w:t>
      </w:r>
      <w:r w:rsidRPr="009D1125">
        <w:rPr>
          <w:rFonts w:hint="eastAsia"/>
          <w:kern w:val="0"/>
          <w:sz w:val="24"/>
        </w:rPr>
        <w:t>企业会计准则</w:t>
      </w:r>
      <w:r w:rsidRPr="009D1125">
        <w:rPr>
          <w:rFonts w:hint="eastAsia"/>
          <w:kern w:val="0"/>
          <w:sz w:val="24"/>
        </w:rPr>
        <w:t>&gt;</w:t>
      </w:r>
      <w:r w:rsidRPr="009D1125">
        <w:rPr>
          <w:rFonts w:hint="eastAsia"/>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651650" w:rsidRPr="004211FD" w:rsidRDefault="0067122D" w:rsidP="004211FD">
      <w:pPr>
        <w:spacing w:before="29" w:line="288" w:lineRule="auto"/>
        <w:ind w:firstLineChars="200" w:firstLine="480"/>
        <w:rPr>
          <w:kern w:val="0"/>
          <w:sz w:val="24"/>
        </w:rPr>
      </w:pPr>
      <w:r w:rsidRPr="009D1125">
        <w:rPr>
          <w:rFonts w:hint="eastAsia"/>
          <w:kern w:val="0"/>
          <w:sz w:val="24"/>
        </w:rPr>
        <w:t>(4)</w:t>
      </w:r>
      <w:r w:rsidRPr="009D1125">
        <w:rPr>
          <w:rFonts w:hint="eastAsia"/>
          <w:kern w:val="0"/>
          <w:sz w:val="24"/>
        </w:rPr>
        <w:t>对于在证券交易所上市或挂牌转让的固定收益品种</w:t>
      </w:r>
      <w:r w:rsidRPr="009D1125">
        <w:rPr>
          <w:rFonts w:hint="eastAsia"/>
          <w:kern w:val="0"/>
          <w:sz w:val="24"/>
        </w:rPr>
        <w:t>(</w:t>
      </w:r>
      <w:r w:rsidRPr="009D1125">
        <w:rPr>
          <w:rFonts w:hint="eastAsia"/>
          <w:kern w:val="0"/>
          <w:sz w:val="24"/>
        </w:rPr>
        <w:t>可转换债券、资产支持证券和私募债券除外</w:t>
      </w:r>
      <w:r w:rsidRPr="009D1125">
        <w:rPr>
          <w:rFonts w:hint="eastAsia"/>
          <w:kern w:val="0"/>
          <w:sz w:val="24"/>
        </w:rPr>
        <w:t>)</w:t>
      </w:r>
      <w:r w:rsidRPr="009D1125">
        <w:rPr>
          <w:rFonts w:hint="eastAsia"/>
          <w:kern w:val="0"/>
          <w:sz w:val="24"/>
        </w:rPr>
        <w:t>，按照中证指数有限公司《中国证券投资基金业协会估值核算工作小组关于</w:t>
      </w:r>
      <w:r w:rsidRPr="009D1125">
        <w:rPr>
          <w:rFonts w:hint="eastAsia"/>
          <w:kern w:val="0"/>
          <w:sz w:val="24"/>
        </w:rPr>
        <w:t>2015</w:t>
      </w:r>
      <w:r w:rsidRPr="009D1125">
        <w:rPr>
          <w:rFonts w:hint="eastAsia"/>
          <w:kern w:val="0"/>
          <w:sz w:val="24"/>
        </w:rPr>
        <w:t>年</w:t>
      </w:r>
      <w:r w:rsidRPr="009D1125">
        <w:rPr>
          <w:rFonts w:hint="eastAsia"/>
          <w:kern w:val="0"/>
          <w:sz w:val="24"/>
        </w:rPr>
        <w:t>1</w:t>
      </w:r>
      <w:r w:rsidRPr="009D1125">
        <w:rPr>
          <w:rFonts w:hint="eastAsia"/>
          <w:kern w:val="0"/>
          <w:sz w:val="24"/>
        </w:rPr>
        <w:t>季度固定收益品种的估值处理标准》所独立提供的债券估值结果确定公允价值。</w:t>
      </w:r>
    </w:p>
    <w:p w:rsidR="001A59F9" w:rsidRPr="0067122D"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004C2C35" w:rsidRPr="007F57C2">
        <w:rPr>
          <w:rFonts w:eastAsiaTheme="minorEastAsia" w:hint="eastAsia"/>
          <w:b/>
          <w:sz w:val="24"/>
        </w:rPr>
        <w:t xml:space="preserve"> </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本基金在本报告期间无需说明的会计差错更正。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004C2C35" w:rsidRPr="007F57C2">
        <w:rPr>
          <w:rFonts w:eastAsiaTheme="minorEastAsia" w:hint="eastAsia"/>
          <w:b/>
          <w:sz w:val="24"/>
        </w:rPr>
        <w:t xml:space="preserve"> </w:t>
      </w:r>
      <w:r w:rsidRPr="007F57C2">
        <w:rPr>
          <w:rFonts w:eastAsiaTheme="minorEastAsia" w:hint="eastAsia"/>
          <w:b/>
          <w:sz w:val="24"/>
        </w:rPr>
        <w:t>税项</w:t>
      </w:r>
    </w:p>
    <w:p w:rsidR="00A46313" w:rsidRDefault="00125795">
      <w:pPr>
        <w:spacing w:before="29" w:line="288" w:lineRule="auto"/>
        <w:ind w:firstLineChars="200" w:firstLine="480"/>
        <w:rPr>
          <w:kern w:val="0"/>
          <w:sz w:val="24"/>
        </w:rPr>
      </w:pPr>
      <w:r>
        <w:rPr>
          <w:kern w:val="0"/>
          <w:sz w:val="24"/>
        </w:rPr>
        <w:t>根据财政部、国家税务总局财税</w:t>
      </w:r>
      <w:r>
        <w:rPr>
          <w:kern w:val="0"/>
          <w:sz w:val="24"/>
        </w:rPr>
        <w:t>[2004]78</w:t>
      </w:r>
      <w:r>
        <w:rPr>
          <w:kern w:val="0"/>
          <w:sz w:val="24"/>
        </w:rPr>
        <w:t>号《财政部、国家税务总局关于证券投资基金税收政策的通知》、财税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号《关于金融机构同业往来等增值税政策的补充通知》及其他相关财税法规和实务操作，主要税项列示如下：</w:t>
      </w:r>
    </w:p>
    <w:p w:rsidR="00A46313" w:rsidRDefault="00125795">
      <w:pPr>
        <w:spacing w:before="29" w:line="288" w:lineRule="auto"/>
        <w:ind w:firstLineChars="200" w:firstLine="480"/>
        <w:rPr>
          <w:kern w:val="0"/>
          <w:sz w:val="24"/>
        </w:rPr>
      </w:pPr>
      <w:r>
        <w:rPr>
          <w:kern w:val="0"/>
          <w:sz w:val="24"/>
        </w:rPr>
        <w:t xml:space="preserve">(1) </w:t>
      </w:r>
      <w:r>
        <w:rPr>
          <w:kern w:val="0"/>
          <w:sz w:val="24"/>
        </w:rPr>
        <w:t>于</w:t>
      </w:r>
      <w:r>
        <w:rPr>
          <w:kern w:val="0"/>
          <w:sz w:val="24"/>
        </w:rPr>
        <w:t>2016</w:t>
      </w:r>
      <w:r>
        <w:rPr>
          <w:kern w:val="0"/>
          <w:sz w:val="24"/>
        </w:rPr>
        <w:t>年</w:t>
      </w:r>
      <w:r>
        <w:rPr>
          <w:kern w:val="0"/>
          <w:sz w:val="24"/>
        </w:rPr>
        <w:t>5</w:t>
      </w:r>
      <w:r>
        <w:rPr>
          <w:kern w:val="0"/>
          <w:sz w:val="24"/>
        </w:rPr>
        <w:t>月</w:t>
      </w:r>
      <w:r>
        <w:rPr>
          <w:kern w:val="0"/>
          <w:sz w:val="24"/>
        </w:rPr>
        <w:t>1</w:t>
      </w:r>
      <w:r>
        <w:rPr>
          <w:kern w:val="0"/>
          <w:sz w:val="24"/>
        </w:rPr>
        <w:t>日前，以发行基金方式募集资金不属于营业税征收范围，不征收营业税。对证券投资基金管理人运用基金买卖股票、债券的差价收入免征营业税。自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r>
        <w:rPr>
          <w:kern w:val="0"/>
          <w:sz w:val="24"/>
        </w:rPr>
        <w:t xml:space="preserve"> </w:t>
      </w:r>
      <w:r>
        <w:rPr>
          <w:kern w:val="0"/>
          <w:sz w:val="24"/>
        </w:rPr>
        <w:t>。</w:t>
      </w:r>
    </w:p>
    <w:p w:rsidR="00A46313" w:rsidRDefault="00125795">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A46313" w:rsidRDefault="00125795">
      <w:pPr>
        <w:spacing w:before="29" w:line="288" w:lineRule="auto"/>
        <w:ind w:firstLineChars="200" w:firstLine="480"/>
        <w:rPr>
          <w:kern w:val="0"/>
          <w:sz w:val="24"/>
        </w:rPr>
      </w:pPr>
      <w:r>
        <w:rPr>
          <w:kern w:val="0"/>
          <w:sz w:val="24"/>
        </w:rPr>
        <w:lastRenderedPageBreak/>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A59F9" w:rsidRPr="004A3D9A" w:rsidRDefault="001A59F9" w:rsidP="004A3D9A">
      <w:pPr>
        <w:spacing w:before="29" w:line="288" w:lineRule="auto"/>
        <w:ind w:firstLineChars="200" w:firstLine="480"/>
        <w:rPr>
          <w:kern w:val="0"/>
          <w:sz w:val="24"/>
        </w:rPr>
      </w:pPr>
      <w:r w:rsidRPr="004A3D9A">
        <w:rPr>
          <w:kern w:val="0"/>
          <w:sz w:val="24"/>
        </w:rPr>
        <w:t xml:space="preserve">(4) </w:t>
      </w:r>
      <w:r w:rsidRPr="004A3D9A">
        <w:rPr>
          <w:kern w:val="0"/>
          <w:sz w:val="24"/>
        </w:rPr>
        <w:t>基金卖出股票按</w:t>
      </w:r>
      <w:r w:rsidRPr="004A3D9A">
        <w:rPr>
          <w:kern w:val="0"/>
          <w:sz w:val="24"/>
        </w:rPr>
        <w:t>0.1%</w:t>
      </w:r>
      <w:r w:rsidRPr="004A3D9A">
        <w:rPr>
          <w:kern w:val="0"/>
          <w:sz w:val="24"/>
        </w:rPr>
        <w:t>的税率缴纳股票交易印花税，买入股票不征收股票交易印花税。</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w:t>
      </w:r>
      <w:r w:rsidR="004C2C35" w:rsidRPr="007F57C2">
        <w:rPr>
          <w:rFonts w:eastAsiaTheme="minorEastAsia" w:hint="eastAsia"/>
          <w:b/>
          <w:sz w:val="24"/>
        </w:rPr>
        <w:t xml:space="preserve"> </w:t>
      </w:r>
      <w:r w:rsidRPr="007F57C2">
        <w:rPr>
          <w:rFonts w:eastAsiaTheme="minorEastAsia" w:hint="eastAsia"/>
          <w:b/>
          <w:sz w:val="24"/>
        </w:rPr>
        <w:t>重要财务报表项目的说明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7.4.7.1</w:t>
      </w:r>
      <w:r w:rsidR="004C2C35" w:rsidRPr="007F57C2">
        <w:rPr>
          <w:rFonts w:eastAsiaTheme="minorEastAsia" w:hint="eastAsia"/>
          <w:b/>
          <w:sz w:val="24"/>
        </w:rPr>
        <w:t xml:space="preserve"> </w:t>
      </w:r>
      <w:r w:rsidRPr="007F57C2">
        <w:rPr>
          <w:rFonts w:eastAsiaTheme="minorEastAsia" w:hint="eastAsia"/>
          <w:b/>
          <w:sz w:val="24"/>
        </w:rPr>
        <w:t>银行存款</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D564C7" w:rsidTr="00045D10">
        <w:trPr>
          <w:trHeight w:val="34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jc w:val="center"/>
              <w:rPr>
                <w:kern w:val="0"/>
                <w:sz w:val="24"/>
              </w:rPr>
            </w:pPr>
            <w:r w:rsidRPr="00044C8C">
              <w:rPr>
                <w:rFonts w:hint="eastAsia"/>
                <w:kern w:val="0"/>
                <w:sz w:val="24"/>
              </w:rPr>
              <w:t>项目</w:t>
            </w:r>
          </w:p>
        </w:tc>
        <w:tc>
          <w:tcPr>
            <w:tcW w:w="3157"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本期末</w:t>
            </w:r>
          </w:p>
          <w:p w:rsidR="001A59F9" w:rsidRPr="00044C8C" w:rsidRDefault="00F64FAD" w:rsidP="00044C8C">
            <w:pPr>
              <w:spacing w:before="29" w:line="288" w:lineRule="auto"/>
              <w:jc w:val="center"/>
              <w:rPr>
                <w:kern w:val="0"/>
                <w:sz w:val="24"/>
              </w:rPr>
            </w:pPr>
            <w:r w:rsidRPr="00044C8C">
              <w:rPr>
                <w:kern w:val="0"/>
                <w:sz w:val="24"/>
              </w:rPr>
              <w:t>2016</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c>
          <w:tcPr>
            <w:tcW w:w="3158"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上年度末</w:t>
            </w:r>
          </w:p>
          <w:p w:rsidR="001A59F9" w:rsidRPr="00044C8C" w:rsidRDefault="00955CB7" w:rsidP="00044C8C">
            <w:pPr>
              <w:spacing w:before="29" w:line="288" w:lineRule="auto"/>
              <w:jc w:val="center"/>
              <w:rPr>
                <w:kern w:val="0"/>
                <w:sz w:val="24"/>
              </w:rPr>
            </w:pPr>
            <w:r w:rsidRPr="00044C8C">
              <w:rPr>
                <w:kern w:val="0"/>
                <w:sz w:val="24"/>
              </w:rPr>
              <w:t>2015</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活期存款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55,830,714.66</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98,638,804.86</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定期存款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其他存款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合计</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55,830,714.66</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98,638,804.86</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004C2C35" w:rsidRPr="007F57C2">
        <w:rPr>
          <w:rFonts w:eastAsiaTheme="minorEastAsia" w:hint="eastAsia"/>
          <w:b/>
          <w:sz w:val="24"/>
        </w:rPr>
        <w:t xml:space="preserve"> </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2016</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177,035,943.54</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176,522,699.70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-513,243.84</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327,832,706.92</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328,363,000.00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530,293.08</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504,868,650.46</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504,885,699.70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17,049.24</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74,853,468.49</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74,727,468.49</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-126,000.00</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579,722,118.95</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579,613,168.19</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-108,950.76</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lastRenderedPageBreak/>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2015</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690,099,833.67</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701,718,705.91</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11,618,872.24</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948,739,970.08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969,525,000.00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20,785,029.92</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1,638,839,803.75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1,671,243,705.91</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32,403,902.16</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116,500,000.00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117,040,000.00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540,000.00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1,755,339,803.75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1,788,283,705.91</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32,943,902.16</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004C2C35" w:rsidRPr="007F57C2">
        <w:rPr>
          <w:rFonts w:eastAsiaTheme="minorEastAsia" w:hint="eastAsia"/>
          <w:b/>
          <w:sz w:val="24"/>
        </w:rPr>
        <w:t xml:space="preserve"> </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w:t>
      </w:r>
      <w:r w:rsidR="004C2C35" w:rsidRPr="007F57C2">
        <w:rPr>
          <w:rFonts w:eastAsiaTheme="minorEastAsia" w:hint="eastAsia"/>
          <w:b/>
          <w:sz w:val="24"/>
        </w:rPr>
        <w:t xml:space="preserve"> </w:t>
      </w:r>
      <w:r w:rsidRPr="007F57C2">
        <w:rPr>
          <w:rFonts w:eastAsiaTheme="minorEastAsia" w:hint="eastAsia"/>
          <w:b/>
          <w:sz w:val="24"/>
        </w:rPr>
        <w:t>买入返售金融资产</w:t>
      </w:r>
    </w:p>
    <w:p w:rsidR="001A59F9" w:rsidRPr="007F57C2" w:rsidRDefault="001A59F9" w:rsidP="007F57C2">
      <w:pPr>
        <w:spacing w:before="29" w:line="288" w:lineRule="auto"/>
        <w:rPr>
          <w:rFonts w:eastAsiaTheme="minorEastAsia"/>
          <w:b/>
          <w:sz w:val="24"/>
        </w:rPr>
      </w:pPr>
      <w:r w:rsidRPr="007F57C2">
        <w:rPr>
          <w:rFonts w:eastAsiaTheme="minorEastAsia"/>
          <w:b/>
          <w:sz w:val="24"/>
        </w:rPr>
        <w:t>7.4.7.4.1</w:t>
      </w:r>
      <w:r w:rsidR="004C2C35" w:rsidRPr="007F57C2">
        <w:rPr>
          <w:rFonts w:eastAsiaTheme="minorEastAsia" w:hint="eastAsia"/>
          <w:b/>
          <w:sz w:val="24"/>
        </w:rPr>
        <w:t xml:space="preserve"> </w:t>
      </w:r>
      <w:r w:rsidRPr="007F57C2">
        <w:rPr>
          <w:rFonts w:eastAsiaTheme="minorEastAsia" w:hint="eastAsia"/>
          <w:b/>
          <w:sz w:val="24"/>
        </w:rPr>
        <w:t>各项买入返售金融资产期末余额</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3004E" w:rsidRPr="00D564C7" w:rsidTr="00F9030E">
        <w:trPr>
          <w:trHeight w:val="911"/>
          <w:jc w:val="center"/>
        </w:trPr>
        <w:tc>
          <w:tcPr>
            <w:tcW w:w="2381" w:type="dxa"/>
            <w:vMerge w:val="restart"/>
            <w:vAlign w:val="center"/>
          </w:tcPr>
          <w:p w:rsidR="00C3004E" w:rsidRPr="00FA5074" w:rsidRDefault="00C3004E" w:rsidP="00FA5074">
            <w:pPr>
              <w:spacing w:before="29" w:line="288" w:lineRule="auto"/>
              <w:jc w:val="center"/>
              <w:rPr>
                <w:sz w:val="24"/>
              </w:rPr>
            </w:pPr>
            <w:r w:rsidRPr="00FA5074">
              <w:rPr>
                <w:rFonts w:hint="eastAsia"/>
                <w:sz w:val="24"/>
              </w:rPr>
              <w:t>项目</w:t>
            </w:r>
          </w:p>
        </w:tc>
        <w:tc>
          <w:tcPr>
            <w:tcW w:w="6631" w:type="dxa"/>
            <w:gridSpan w:val="2"/>
          </w:tcPr>
          <w:p w:rsidR="00C3004E" w:rsidRPr="00FA5074" w:rsidRDefault="00C3004E" w:rsidP="00FA5074">
            <w:pPr>
              <w:spacing w:before="29" w:line="288" w:lineRule="auto"/>
              <w:jc w:val="center"/>
              <w:rPr>
                <w:sz w:val="24"/>
              </w:rPr>
            </w:pPr>
            <w:r w:rsidRPr="00FA5074">
              <w:rPr>
                <w:rFonts w:hint="eastAsia"/>
                <w:sz w:val="24"/>
              </w:rPr>
              <w:t>本期末</w:t>
            </w:r>
          </w:p>
          <w:p w:rsidR="00C3004E" w:rsidRPr="00FA5074" w:rsidRDefault="00C3004E" w:rsidP="00FA5074">
            <w:pPr>
              <w:spacing w:before="29" w:line="288" w:lineRule="auto"/>
              <w:jc w:val="center"/>
              <w:rPr>
                <w:sz w:val="24"/>
              </w:rPr>
            </w:pPr>
            <w:r w:rsidRPr="00FA5074">
              <w:rPr>
                <w:sz w:val="24"/>
              </w:rPr>
              <w:t>2016</w:t>
            </w:r>
            <w:r w:rsidRPr="00FA5074">
              <w:rPr>
                <w:sz w:val="24"/>
              </w:rPr>
              <w:t>年</w:t>
            </w:r>
            <w:r w:rsidRPr="00FA5074">
              <w:rPr>
                <w:sz w:val="24"/>
              </w:rPr>
              <w:t>12</w:t>
            </w:r>
            <w:r w:rsidRPr="00FA5074">
              <w:rPr>
                <w:sz w:val="24"/>
              </w:rPr>
              <w:t>月</w:t>
            </w:r>
            <w:r w:rsidRPr="00FA5074">
              <w:rPr>
                <w:sz w:val="24"/>
              </w:rPr>
              <w:t>31</w:t>
            </w:r>
            <w:r w:rsidRPr="00FA5074">
              <w:rPr>
                <w:sz w:val="24"/>
              </w:rPr>
              <w:t>日</w:t>
            </w:r>
          </w:p>
        </w:tc>
      </w:tr>
      <w:tr w:rsidR="00C3004E" w:rsidRPr="00D564C7" w:rsidTr="00400137">
        <w:trPr>
          <w:trHeight w:val="330"/>
          <w:jc w:val="center"/>
        </w:trPr>
        <w:tc>
          <w:tcPr>
            <w:tcW w:w="2381" w:type="dxa"/>
            <w:vMerge/>
            <w:vAlign w:val="center"/>
          </w:tcPr>
          <w:p w:rsidR="00C3004E" w:rsidRPr="00FA5074" w:rsidRDefault="00C3004E" w:rsidP="00FA5074">
            <w:pPr>
              <w:spacing w:before="29" w:line="288" w:lineRule="auto"/>
              <w:jc w:val="center"/>
              <w:rPr>
                <w:sz w:val="24"/>
              </w:rPr>
            </w:pPr>
          </w:p>
        </w:tc>
        <w:tc>
          <w:tcPr>
            <w:tcW w:w="3260" w:type="dxa"/>
          </w:tcPr>
          <w:p w:rsidR="00C3004E" w:rsidRPr="00FA5074" w:rsidRDefault="00C3004E" w:rsidP="00FA5074">
            <w:pPr>
              <w:spacing w:before="29" w:line="288" w:lineRule="auto"/>
              <w:jc w:val="center"/>
              <w:rPr>
                <w:sz w:val="24"/>
              </w:rPr>
            </w:pPr>
            <w:r w:rsidRPr="00FA5074">
              <w:rPr>
                <w:rFonts w:hint="eastAsia"/>
                <w:sz w:val="24"/>
              </w:rPr>
              <w:t>账面余额</w:t>
            </w:r>
          </w:p>
        </w:tc>
        <w:tc>
          <w:tcPr>
            <w:tcW w:w="3371" w:type="dxa"/>
          </w:tcPr>
          <w:p w:rsidR="00C3004E" w:rsidRPr="00FA5074" w:rsidRDefault="00C3004E" w:rsidP="00FA5074">
            <w:pPr>
              <w:spacing w:before="29" w:line="288" w:lineRule="auto"/>
              <w:jc w:val="center"/>
              <w:rPr>
                <w:sz w:val="24"/>
              </w:rPr>
            </w:pPr>
            <w:r w:rsidRPr="00FA5074">
              <w:rPr>
                <w:rFonts w:hint="eastAsia"/>
                <w:sz w:val="24"/>
              </w:rPr>
              <w:t>其中：买断式逆回购</w:t>
            </w:r>
          </w:p>
        </w:tc>
      </w:tr>
      <w:tr w:rsidR="00A46313">
        <w:trPr>
          <w:jc w:val="center"/>
        </w:trPr>
        <w:tc>
          <w:tcPr>
            <w:tcW w:w="2381" w:type="dxa"/>
            <w:vAlign w:val="center"/>
          </w:tcPr>
          <w:p w:rsidR="00A46313" w:rsidRDefault="00125795">
            <w:pPr>
              <w:jc w:val="left"/>
            </w:pPr>
            <w:r>
              <w:rPr>
                <w:sz w:val="24"/>
              </w:rPr>
              <w:t>交易所买入返售金融资产</w:t>
            </w:r>
          </w:p>
        </w:tc>
        <w:tc>
          <w:tcPr>
            <w:tcW w:w="3260" w:type="dxa"/>
            <w:vAlign w:val="center"/>
          </w:tcPr>
          <w:p w:rsidR="00A46313" w:rsidRDefault="00125795">
            <w:pPr>
              <w:jc w:val="right"/>
            </w:pPr>
            <w:r>
              <w:rPr>
                <w:sz w:val="24"/>
              </w:rPr>
              <w:t>-</w:t>
            </w:r>
          </w:p>
        </w:tc>
        <w:tc>
          <w:tcPr>
            <w:tcW w:w="3371" w:type="dxa"/>
            <w:vAlign w:val="center"/>
          </w:tcPr>
          <w:p w:rsidR="00A46313" w:rsidRDefault="00125795">
            <w:pPr>
              <w:jc w:val="right"/>
            </w:pPr>
            <w:r>
              <w:rPr>
                <w:sz w:val="24"/>
              </w:rPr>
              <w:t>-</w:t>
            </w:r>
          </w:p>
        </w:tc>
      </w:tr>
      <w:tr w:rsidR="00A46313">
        <w:trPr>
          <w:jc w:val="center"/>
        </w:trPr>
        <w:tc>
          <w:tcPr>
            <w:tcW w:w="2381" w:type="dxa"/>
            <w:vAlign w:val="center"/>
          </w:tcPr>
          <w:p w:rsidR="00A46313" w:rsidRDefault="00125795">
            <w:pPr>
              <w:jc w:val="left"/>
            </w:pPr>
            <w:r>
              <w:rPr>
                <w:sz w:val="24"/>
              </w:rPr>
              <w:t>银行间买入返售金融资产</w:t>
            </w:r>
          </w:p>
        </w:tc>
        <w:tc>
          <w:tcPr>
            <w:tcW w:w="3260" w:type="dxa"/>
            <w:vAlign w:val="center"/>
          </w:tcPr>
          <w:p w:rsidR="00A46313" w:rsidRDefault="00125795">
            <w:pPr>
              <w:jc w:val="right"/>
            </w:pPr>
            <w:r>
              <w:rPr>
                <w:sz w:val="24"/>
              </w:rPr>
              <w:t>-</w:t>
            </w:r>
          </w:p>
        </w:tc>
        <w:tc>
          <w:tcPr>
            <w:tcW w:w="3371" w:type="dxa"/>
            <w:vAlign w:val="center"/>
          </w:tcPr>
          <w:p w:rsidR="00A46313" w:rsidRDefault="00125795">
            <w:pPr>
              <w:jc w:val="right"/>
            </w:pPr>
            <w:r>
              <w:rPr>
                <w:sz w:val="24"/>
              </w:rPr>
              <w:t>-</w:t>
            </w:r>
          </w:p>
        </w:tc>
      </w:tr>
      <w:tr w:rsidR="00C3004E" w:rsidRPr="00D564C7" w:rsidTr="00234D9C">
        <w:trPr>
          <w:trHeight w:val="257"/>
          <w:jc w:val="center"/>
        </w:trPr>
        <w:tc>
          <w:tcPr>
            <w:tcW w:w="2381" w:type="dxa"/>
            <w:vAlign w:val="center"/>
          </w:tcPr>
          <w:p w:rsidR="00C3004E" w:rsidRPr="00D564C7" w:rsidRDefault="00C3004E" w:rsidP="00234D9C">
            <w:pPr>
              <w:widowControl/>
              <w:spacing w:before="29" w:line="288" w:lineRule="auto"/>
              <w:jc w:val="center"/>
              <w:rPr>
                <w:rFonts w:asciiTheme="minorEastAsia" w:eastAsiaTheme="minorEastAsia" w:hAnsiTheme="minorEastAsia"/>
                <w:szCs w:val="21"/>
              </w:rPr>
            </w:pPr>
            <w:r w:rsidRPr="0098576C">
              <w:rPr>
                <w:rFonts w:hint="eastAsia"/>
                <w:color w:val="000000"/>
                <w:kern w:val="0"/>
                <w:sz w:val="24"/>
              </w:rPr>
              <w:t>合计</w:t>
            </w:r>
          </w:p>
        </w:tc>
        <w:tc>
          <w:tcPr>
            <w:tcW w:w="3260"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w:t>
            </w:r>
          </w:p>
        </w:tc>
        <w:tc>
          <w:tcPr>
            <w:tcW w:w="3371" w:type="dxa"/>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w:t>
            </w:r>
          </w:p>
        </w:tc>
      </w:tr>
      <w:tr w:rsidR="00C3004E" w:rsidRPr="00D564C7" w:rsidTr="00400137">
        <w:trPr>
          <w:trHeight w:val="330"/>
          <w:jc w:val="center"/>
        </w:trPr>
        <w:tc>
          <w:tcPr>
            <w:tcW w:w="2381" w:type="dxa"/>
            <w:vMerge w:val="restart"/>
            <w:vAlign w:val="center"/>
          </w:tcPr>
          <w:p w:rsidR="00C3004E" w:rsidRPr="00FA5074" w:rsidRDefault="00C3004E" w:rsidP="00FA5074">
            <w:pPr>
              <w:spacing w:before="29" w:line="288" w:lineRule="auto"/>
              <w:jc w:val="center"/>
              <w:rPr>
                <w:sz w:val="24"/>
              </w:rPr>
            </w:pPr>
            <w:r w:rsidRPr="00FA5074">
              <w:rPr>
                <w:rFonts w:hint="eastAsia"/>
                <w:sz w:val="24"/>
              </w:rPr>
              <w:t>项目</w:t>
            </w:r>
          </w:p>
        </w:tc>
        <w:tc>
          <w:tcPr>
            <w:tcW w:w="6631" w:type="dxa"/>
            <w:gridSpan w:val="2"/>
          </w:tcPr>
          <w:p w:rsidR="00C3004E" w:rsidRPr="00FA5074" w:rsidRDefault="00C3004E" w:rsidP="00FA5074">
            <w:pPr>
              <w:spacing w:before="29" w:line="288" w:lineRule="auto"/>
              <w:jc w:val="center"/>
              <w:rPr>
                <w:sz w:val="24"/>
              </w:rPr>
            </w:pPr>
            <w:r w:rsidRPr="00FA5074">
              <w:rPr>
                <w:rFonts w:hint="eastAsia"/>
                <w:sz w:val="24"/>
              </w:rPr>
              <w:t>上年度末</w:t>
            </w:r>
          </w:p>
          <w:p w:rsidR="00C3004E" w:rsidRPr="00FA5074" w:rsidRDefault="00C3004E" w:rsidP="00FA5074">
            <w:pPr>
              <w:spacing w:before="29" w:line="288" w:lineRule="auto"/>
              <w:jc w:val="center"/>
              <w:rPr>
                <w:sz w:val="24"/>
              </w:rPr>
            </w:pPr>
            <w:r w:rsidRPr="00FA5074">
              <w:rPr>
                <w:sz w:val="24"/>
              </w:rPr>
              <w:t>2015</w:t>
            </w:r>
            <w:r w:rsidRPr="00FA5074">
              <w:rPr>
                <w:sz w:val="24"/>
              </w:rPr>
              <w:t>年</w:t>
            </w:r>
            <w:r w:rsidRPr="00FA5074">
              <w:rPr>
                <w:sz w:val="24"/>
              </w:rPr>
              <w:t>12</w:t>
            </w:r>
            <w:r w:rsidRPr="00FA5074">
              <w:rPr>
                <w:sz w:val="24"/>
              </w:rPr>
              <w:t>月</w:t>
            </w:r>
            <w:r w:rsidRPr="00FA5074">
              <w:rPr>
                <w:sz w:val="24"/>
              </w:rPr>
              <w:t>31</w:t>
            </w:r>
            <w:r w:rsidRPr="00FA5074">
              <w:rPr>
                <w:sz w:val="24"/>
              </w:rPr>
              <w:t>日</w:t>
            </w:r>
          </w:p>
        </w:tc>
      </w:tr>
      <w:tr w:rsidR="00C3004E" w:rsidRPr="00D564C7" w:rsidTr="00400137">
        <w:trPr>
          <w:trHeight w:val="330"/>
          <w:jc w:val="center"/>
        </w:trPr>
        <w:tc>
          <w:tcPr>
            <w:tcW w:w="2381" w:type="dxa"/>
            <w:vMerge/>
            <w:vAlign w:val="center"/>
          </w:tcPr>
          <w:p w:rsidR="00C3004E" w:rsidRPr="00FA5074" w:rsidRDefault="00C3004E" w:rsidP="00FA5074">
            <w:pPr>
              <w:spacing w:before="29" w:line="288" w:lineRule="auto"/>
              <w:jc w:val="center"/>
              <w:rPr>
                <w:sz w:val="24"/>
              </w:rPr>
            </w:pPr>
          </w:p>
        </w:tc>
        <w:tc>
          <w:tcPr>
            <w:tcW w:w="3260" w:type="dxa"/>
          </w:tcPr>
          <w:p w:rsidR="00C3004E" w:rsidRPr="00FA5074" w:rsidRDefault="00C3004E" w:rsidP="00FA5074">
            <w:pPr>
              <w:spacing w:before="29" w:line="288" w:lineRule="auto"/>
              <w:jc w:val="center"/>
              <w:rPr>
                <w:sz w:val="24"/>
              </w:rPr>
            </w:pPr>
            <w:r w:rsidRPr="00FA5074">
              <w:rPr>
                <w:rFonts w:hint="eastAsia"/>
                <w:sz w:val="24"/>
              </w:rPr>
              <w:t>账面余额</w:t>
            </w:r>
          </w:p>
        </w:tc>
        <w:tc>
          <w:tcPr>
            <w:tcW w:w="3371" w:type="dxa"/>
          </w:tcPr>
          <w:p w:rsidR="00C3004E" w:rsidRPr="00FA5074" w:rsidRDefault="00C3004E" w:rsidP="00FA5074">
            <w:pPr>
              <w:spacing w:before="29" w:line="288" w:lineRule="auto"/>
              <w:jc w:val="center"/>
              <w:rPr>
                <w:sz w:val="24"/>
              </w:rPr>
            </w:pPr>
            <w:r w:rsidRPr="00FA5074">
              <w:rPr>
                <w:rFonts w:hint="eastAsia"/>
                <w:sz w:val="24"/>
              </w:rPr>
              <w:t>其中：买断式逆回购</w:t>
            </w:r>
          </w:p>
        </w:tc>
      </w:tr>
      <w:tr w:rsidR="00A46313">
        <w:trPr>
          <w:jc w:val="center"/>
        </w:trPr>
        <w:tc>
          <w:tcPr>
            <w:tcW w:w="2381" w:type="dxa"/>
            <w:vAlign w:val="center"/>
          </w:tcPr>
          <w:p w:rsidR="00A46313" w:rsidRDefault="00125795">
            <w:pPr>
              <w:jc w:val="left"/>
            </w:pPr>
            <w:r>
              <w:rPr>
                <w:sz w:val="24"/>
              </w:rPr>
              <w:t>交易所买入返售金融资产</w:t>
            </w:r>
          </w:p>
        </w:tc>
        <w:tc>
          <w:tcPr>
            <w:tcW w:w="3260" w:type="dxa"/>
            <w:vAlign w:val="center"/>
          </w:tcPr>
          <w:p w:rsidR="00A46313" w:rsidRDefault="00125795">
            <w:pPr>
              <w:jc w:val="right"/>
            </w:pPr>
            <w:r>
              <w:rPr>
                <w:sz w:val="24"/>
              </w:rPr>
              <w:t>-</w:t>
            </w:r>
          </w:p>
        </w:tc>
        <w:tc>
          <w:tcPr>
            <w:tcW w:w="3371" w:type="dxa"/>
            <w:vAlign w:val="center"/>
          </w:tcPr>
          <w:p w:rsidR="00A46313" w:rsidRDefault="00125795">
            <w:pPr>
              <w:jc w:val="right"/>
            </w:pPr>
            <w:r>
              <w:rPr>
                <w:sz w:val="24"/>
              </w:rPr>
              <w:t>-</w:t>
            </w:r>
          </w:p>
        </w:tc>
      </w:tr>
      <w:tr w:rsidR="00A46313" w:rsidTr="004211FD">
        <w:trPr>
          <w:jc w:val="center"/>
        </w:trPr>
        <w:tc>
          <w:tcPr>
            <w:tcW w:w="2381" w:type="dxa"/>
            <w:tcBorders>
              <w:bottom w:val="single" w:sz="4" w:space="0" w:color="000000"/>
            </w:tcBorders>
            <w:vAlign w:val="center"/>
          </w:tcPr>
          <w:p w:rsidR="00A46313" w:rsidRDefault="00125795">
            <w:pPr>
              <w:jc w:val="left"/>
            </w:pPr>
            <w:r>
              <w:rPr>
                <w:sz w:val="24"/>
              </w:rPr>
              <w:t>银行间买入返售金融资产</w:t>
            </w:r>
          </w:p>
        </w:tc>
        <w:tc>
          <w:tcPr>
            <w:tcW w:w="3260" w:type="dxa"/>
            <w:tcBorders>
              <w:bottom w:val="single" w:sz="4" w:space="0" w:color="000000"/>
            </w:tcBorders>
            <w:vAlign w:val="center"/>
          </w:tcPr>
          <w:p w:rsidR="00A46313" w:rsidRDefault="00125795">
            <w:pPr>
              <w:jc w:val="right"/>
            </w:pPr>
            <w:r>
              <w:rPr>
                <w:sz w:val="24"/>
              </w:rPr>
              <w:t>125,492,011.48</w:t>
            </w:r>
          </w:p>
        </w:tc>
        <w:tc>
          <w:tcPr>
            <w:tcW w:w="3371" w:type="dxa"/>
            <w:tcBorders>
              <w:bottom w:val="single" w:sz="4" w:space="0" w:color="000000"/>
            </w:tcBorders>
            <w:vAlign w:val="center"/>
          </w:tcPr>
          <w:p w:rsidR="00A46313" w:rsidRDefault="00125795">
            <w:pPr>
              <w:jc w:val="right"/>
            </w:pPr>
            <w:r>
              <w:rPr>
                <w:sz w:val="24"/>
              </w:rPr>
              <w:t>65,491,801.48</w:t>
            </w:r>
          </w:p>
        </w:tc>
      </w:tr>
      <w:tr w:rsidR="00C3004E" w:rsidRPr="00D564C7" w:rsidTr="004211FD">
        <w:trPr>
          <w:trHeight w:val="257"/>
          <w:jc w:val="center"/>
        </w:trPr>
        <w:tc>
          <w:tcPr>
            <w:tcW w:w="2381" w:type="dxa"/>
            <w:tcBorders>
              <w:bottom w:val="single" w:sz="4" w:space="0" w:color="auto"/>
            </w:tcBorders>
            <w:vAlign w:val="center"/>
          </w:tcPr>
          <w:p w:rsidR="00C3004E" w:rsidRPr="00D564C7" w:rsidRDefault="00C3004E" w:rsidP="00234D9C">
            <w:pPr>
              <w:widowControl/>
              <w:spacing w:before="29" w:line="288" w:lineRule="auto"/>
              <w:jc w:val="center"/>
              <w:rPr>
                <w:rFonts w:asciiTheme="minorEastAsia" w:eastAsiaTheme="minorEastAsia" w:hAnsiTheme="minorEastAsia"/>
                <w:szCs w:val="21"/>
              </w:rPr>
            </w:pPr>
            <w:r w:rsidRPr="0098576C">
              <w:rPr>
                <w:rFonts w:hint="eastAsia"/>
                <w:color w:val="000000"/>
                <w:kern w:val="0"/>
                <w:sz w:val="24"/>
              </w:rPr>
              <w:lastRenderedPageBreak/>
              <w:t>合计</w:t>
            </w:r>
          </w:p>
        </w:tc>
        <w:tc>
          <w:tcPr>
            <w:tcW w:w="3260" w:type="dxa"/>
            <w:tcBorders>
              <w:bottom w:val="single" w:sz="4" w:space="0" w:color="auto"/>
            </w:tcBorders>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125,492,011.48</w:t>
            </w:r>
          </w:p>
        </w:tc>
        <w:tc>
          <w:tcPr>
            <w:tcW w:w="3371" w:type="dxa"/>
            <w:tcBorders>
              <w:bottom w:val="single" w:sz="4" w:space="0" w:color="auto"/>
            </w:tcBorders>
            <w:vAlign w:val="center"/>
          </w:tcPr>
          <w:p w:rsidR="00C3004E" w:rsidRPr="004C1637" w:rsidRDefault="00C3004E" w:rsidP="004C1637">
            <w:pPr>
              <w:spacing w:before="29" w:line="288" w:lineRule="auto"/>
              <w:jc w:val="right"/>
              <w:rPr>
                <w:color w:val="000000"/>
                <w:kern w:val="0"/>
                <w:sz w:val="24"/>
              </w:rPr>
            </w:pPr>
            <w:r w:rsidRPr="004C1637">
              <w:rPr>
                <w:color w:val="000000"/>
                <w:kern w:val="0"/>
                <w:sz w:val="24"/>
              </w:rPr>
              <w:t>65,491,801.48</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7.4.7.4.2</w:t>
      </w:r>
      <w:r w:rsidR="004C2C35" w:rsidRPr="007F57C2">
        <w:rPr>
          <w:rFonts w:eastAsiaTheme="minorEastAsia" w:hint="eastAsia"/>
          <w:b/>
          <w:sz w:val="24"/>
        </w:rPr>
        <w:t xml:space="preserve"> </w:t>
      </w:r>
      <w:r w:rsidRPr="007F57C2">
        <w:rPr>
          <w:rFonts w:eastAsiaTheme="minorEastAsia" w:hint="eastAsia"/>
          <w:b/>
          <w:sz w:val="24"/>
        </w:rPr>
        <w:t>期末买断式逆回购交易中取得的债券</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Style w:val="af7"/>
        <w:tblW w:w="0" w:type="auto"/>
        <w:tblInd w:w="15" w:type="dxa"/>
        <w:tblLayout w:type="fixed"/>
        <w:tblLook w:val="04A0" w:firstRow="1" w:lastRow="0" w:firstColumn="1" w:lastColumn="0" w:noHBand="0" w:noVBand="1"/>
      </w:tblPr>
      <w:tblGrid>
        <w:gridCol w:w="842"/>
        <w:gridCol w:w="952"/>
        <w:gridCol w:w="993"/>
        <w:gridCol w:w="1134"/>
        <w:gridCol w:w="1559"/>
        <w:gridCol w:w="1417"/>
        <w:gridCol w:w="1134"/>
        <w:gridCol w:w="1240"/>
      </w:tblGrid>
      <w:tr w:rsidR="00E43350" w:rsidRPr="00D564C7" w:rsidTr="00400137">
        <w:tc>
          <w:tcPr>
            <w:tcW w:w="842" w:type="dxa"/>
            <w:vMerge w:val="restart"/>
            <w:vAlign w:val="center"/>
          </w:tcPr>
          <w:p w:rsidR="00E43350" w:rsidRPr="00FA5074" w:rsidRDefault="00E43350" w:rsidP="00FA5074">
            <w:pPr>
              <w:spacing w:before="29" w:line="288" w:lineRule="auto"/>
              <w:jc w:val="center"/>
              <w:rPr>
                <w:sz w:val="24"/>
              </w:rPr>
            </w:pPr>
            <w:r w:rsidRPr="00FA5074">
              <w:rPr>
                <w:rFonts w:hint="eastAsia"/>
                <w:sz w:val="24"/>
              </w:rPr>
              <w:t>项目</w:t>
            </w:r>
          </w:p>
        </w:tc>
        <w:tc>
          <w:tcPr>
            <w:tcW w:w="8429" w:type="dxa"/>
            <w:gridSpan w:val="7"/>
            <w:vAlign w:val="center"/>
          </w:tcPr>
          <w:p w:rsidR="00E43350" w:rsidRPr="00FA5074" w:rsidRDefault="00E43350" w:rsidP="00FA5074">
            <w:pPr>
              <w:spacing w:line="288" w:lineRule="auto"/>
              <w:jc w:val="center"/>
              <w:rPr>
                <w:sz w:val="24"/>
              </w:rPr>
            </w:pPr>
            <w:r w:rsidRPr="00FA5074">
              <w:rPr>
                <w:rFonts w:hint="eastAsia"/>
                <w:sz w:val="24"/>
              </w:rPr>
              <w:t>本期末</w:t>
            </w:r>
          </w:p>
          <w:p w:rsidR="00E43350" w:rsidRPr="00FA5074" w:rsidRDefault="00E43350" w:rsidP="00FA5074">
            <w:pPr>
              <w:spacing w:before="29" w:line="288" w:lineRule="auto"/>
              <w:jc w:val="center"/>
              <w:rPr>
                <w:sz w:val="24"/>
              </w:rPr>
            </w:pPr>
            <w:r w:rsidRPr="00FA5074">
              <w:rPr>
                <w:rFonts w:hint="eastAsia"/>
                <w:sz w:val="24"/>
              </w:rPr>
              <w:t>2016</w:t>
            </w:r>
            <w:r w:rsidRPr="00FA5074">
              <w:rPr>
                <w:rFonts w:hint="eastAsia"/>
                <w:sz w:val="24"/>
              </w:rPr>
              <w:t>年</w:t>
            </w:r>
            <w:r w:rsidRPr="00FA5074">
              <w:rPr>
                <w:rFonts w:hint="eastAsia"/>
                <w:sz w:val="24"/>
              </w:rPr>
              <w:t>12</w:t>
            </w:r>
            <w:r w:rsidRPr="00FA5074">
              <w:rPr>
                <w:rFonts w:hint="eastAsia"/>
                <w:sz w:val="24"/>
              </w:rPr>
              <w:t>月</w:t>
            </w:r>
            <w:r w:rsidRPr="00FA5074">
              <w:rPr>
                <w:rFonts w:hint="eastAsia"/>
                <w:sz w:val="24"/>
              </w:rPr>
              <w:t>31</w:t>
            </w:r>
            <w:r w:rsidRPr="00FA5074">
              <w:rPr>
                <w:rFonts w:hint="eastAsia"/>
                <w:sz w:val="24"/>
              </w:rPr>
              <w:t>日</w:t>
            </w:r>
          </w:p>
        </w:tc>
      </w:tr>
      <w:tr w:rsidR="00E43350" w:rsidRPr="00D564C7" w:rsidTr="00400137">
        <w:tc>
          <w:tcPr>
            <w:tcW w:w="842" w:type="dxa"/>
            <w:vMerge/>
          </w:tcPr>
          <w:p w:rsidR="00E43350" w:rsidRPr="00FA5074" w:rsidRDefault="00E43350" w:rsidP="00FA5074">
            <w:pPr>
              <w:spacing w:before="29" w:line="288" w:lineRule="auto"/>
              <w:jc w:val="center"/>
              <w:rPr>
                <w:sz w:val="24"/>
              </w:rPr>
            </w:pPr>
          </w:p>
        </w:tc>
        <w:tc>
          <w:tcPr>
            <w:tcW w:w="952" w:type="dxa"/>
            <w:vAlign w:val="center"/>
          </w:tcPr>
          <w:p w:rsidR="00E43350" w:rsidRPr="00FA5074" w:rsidRDefault="00E43350" w:rsidP="00FA5074">
            <w:pPr>
              <w:spacing w:line="288" w:lineRule="auto"/>
              <w:jc w:val="center"/>
              <w:rPr>
                <w:sz w:val="24"/>
              </w:rPr>
            </w:pPr>
            <w:r w:rsidRPr="00FA5074">
              <w:rPr>
                <w:rFonts w:hint="eastAsia"/>
                <w:sz w:val="24"/>
              </w:rPr>
              <w:t>债券</w:t>
            </w:r>
          </w:p>
          <w:p w:rsidR="00E43350" w:rsidRPr="00FA5074" w:rsidRDefault="00E43350" w:rsidP="00FA5074">
            <w:pPr>
              <w:spacing w:line="288" w:lineRule="auto"/>
              <w:jc w:val="center"/>
              <w:rPr>
                <w:sz w:val="24"/>
              </w:rPr>
            </w:pPr>
            <w:r w:rsidRPr="00FA5074">
              <w:rPr>
                <w:rFonts w:hint="eastAsia"/>
                <w:sz w:val="24"/>
              </w:rPr>
              <w:t>代码</w:t>
            </w:r>
          </w:p>
        </w:tc>
        <w:tc>
          <w:tcPr>
            <w:tcW w:w="993" w:type="dxa"/>
            <w:vAlign w:val="center"/>
          </w:tcPr>
          <w:p w:rsidR="00E43350" w:rsidRPr="00FA5074" w:rsidRDefault="00E43350" w:rsidP="00FA5074">
            <w:pPr>
              <w:spacing w:line="288" w:lineRule="auto"/>
              <w:jc w:val="center"/>
              <w:rPr>
                <w:sz w:val="24"/>
              </w:rPr>
            </w:pPr>
            <w:r w:rsidRPr="00FA5074">
              <w:rPr>
                <w:rFonts w:hint="eastAsia"/>
                <w:sz w:val="24"/>
              </w:rPr>
              <w:t>债券</w:t>
            </w:r>
          </w:p>
          <w:p w:rsidR="00E43350" w:rsidRPr="00FA5074" w:rsidRDefault="00E43350" w:rsidP="00FA5074">
            <w:pPr>
              <w:spacing w:line="288" w:lineRule="auto"/>
              <w:jc w:val="center"/>
              <w:rPr>
                <w:sz w:val="24"/>
              </w:rPr>
            </w:pPr>
            <w:r w:rsidRPr="00FA5074">
              <w:rPr>
                <w:rFonts w:hint="eastAsia"/>
                <w:sz w:val="24"/>
              </w:rPr>
              <w:t>名称</w:t>
            </w:r>
          </w:p>
        </w:tc>
        <w:tc>
          <w:tcPr>
            <w:tcW w:w="1134" w:type="dxa"/>
            <w:vAlign w:val="center"/>
          </w:tcPr>
          <w:p w:rsidR="00E43350" w:rsidRPr="00FA5074" w:rsidRDefault="00E43350" w:rsidP="00FA5074">
            <w:pPr>
              <w:spacing w:line="288" w:lineRule="auto"/>
              <w:jc w:val="center"/>
              <w:rPr>
                <w:sz w:val="24"/>
              </w:rPr>
            </w:pPr>
            <w:r w:rsidRPr="00FA5074">
              <w:rPr>
                <w:rFonts w:hint="eastAsia"/>
                <w:sz w:val="24"/>
              </w:rPr>
              <w:t>约定</w:t>
            </w:r>
          </w:p>
          <w:p w:rsidR="00E43350" w:rsidRPr="00FA5074" w:rsidRDefault="00E43350" w:rsidP="00FA5074">
            <w:pPr>
              <w:spacing w:line="288" w:lineRule="auto"/>
              <w:jc w:val="center"/>
              <w:rPr>
                <w:sz w:val="24"/>
              </w:rPr>
            </w:pPr>
            <w:r w:rsidRPr="00FA5074">
              <w:rPr>
                <w:rFonts w:hint="eastAsia"/>
                <w:sz w:val="24"/>
              </w:rPr>
              <w:t>返售日</w:t>
            </w:r>
          </w:p>
        </w:tc>
        <w:tc>
          <w:tcPr>
            <w:tcW w:w="1559" w:type="dxa"/>
            <w:vAlign w:val="center"/>
          </w:tcPr>
          <w:p w:rsidR="00E43350" w:rsidRPr="00FA5074" w:rsidRDefault="00E43350" w:rsidP="00FA5074">
            <w:pPr>
              <w:spacing w:line="288" w:lineRule="auto"/>
              <w:jc w:val="center"/>
              <w:rPr>
                <w:sz w:val="24"/>
              </w:rPr>
            </w:pPr>
            <w:r w:rsidRPr="00FA5074">
              <w:rPr>
                <w:rFonts w:hint="eastAsia"/>
                <w:sz w:val="24"/>
              </w:rPr>
              <w:t>估值单价</w:t>
            </w:r>
          </w:p>
        </w:tc>
        <w:tc>
          <w:tcPr>
            <w:tcW w:w="1417" w:type="dxa"/>
            <w:vAlign w:val="center"/>
          </w:tcPr>
          <w:p w:rsidR="00E43350" w:rsidRPr="00FA5074" w:rsidRDefault="00E43350" w:rsidP="00FA5074">
            <w:pPr>
              <w:spacing w:line="288" w:lineRule="auto"/>
              <w:jc w:val="center"/>
              <w:rPr>
                <w:sz w:val="24"/>
              </w:rPr>
            </w:pPr>
            <w:r w:rsidRPr="00FA5074">
              <w:rPr>
                <w:rFonts w:hint="eastAsia"/>
                <w:sz w:val="24"/>
              </w:rPr>
              <w:t>数量（张）</w:t>
            </w:r>
          </w:p>
        </w:tc>
        <w:tc>
          <w:tcPr>
            <w:tcW w:w="1134" w:type="dxa"/>
            <w:vAlign w:val="center"/>
          </w:tcPr>
          <w:p w:rsidR="00E43350" w:rsidRPr="00FA5074" w:rsidRDefault="00E43350" w:rsidP="00FA5074">
            <w:pPr>
              <w:spacing w:line="288" w:lineRule="auto"/>
              <w:jc w:val="center"/>
              <w:rPr>
                <w:sz w:val="24"/>
              </w:rPr>
            </w:pPr>
            <w:r w:rsidRPr="00FA5074">
              <w:rPr>
                <w:rFonts w:hint="eastAsia"/>
                <w:sz w:val="24"/>
              </w:rPr>
              <w:t>估值</w:t>
            </w:r>
          </w:p>
          <w:p w:rsidR="00E43350" w:rsidRPr="00FA5074" w:rsidRDefault="00E43350" w:rsidP="00FA5074">
            <w:pPr>
              <w:spacing w:line="288" w:lineRule="auto"/>
              <w:jc w:val="center"/>
              <w:rPr>
                <w:sz w:val="24"/>
              </w:rPr>
            </w:pPr>
            <w:r w:rsidRPr="00FA5074">
              <w:rPr>
                <w:rFonts w:hint="eastAsia"/>
                <w:sz w:val="24"/>
              </w:rPr>
              <w:t>总额</w:t>
            </w:r>
          </w:p>
        </w:tc>
        <w:tc>
          <w:tcPr>
            <w:tcW w:w="1240" w:type="dxa"/>
            <w:vAlign w:val="center"/>
          </w:tcPr>
          <w:p w:rsidR="00E43350" w:rsidRPr="00FA5074" w:rsidRDefault="00E43350" w:rsidP="00FA5074">
            <w:pPr>
              <w:spacing w:line="288" w:lineRule="auto"/>
              <w:jc w:val="center"/>
              <w:rPr>
                <w:sz w:val="24"/>
              </w:rPr>
            </w:pPr>
            <w:r w:rsidRPr="00FA5074">
              <w:rPr>
                <w:rFonts w:hint="eastAsia"/>
                <w:sz w:val="24"/>
              </w:rPr>
              <w:t>其中：已出售或再质押总额</w:t>
            </w:r>
          </w:p>
        </w:tc>
      </w:tr>
      <w:tr w:rsidR="00E43350" w:rsidRPr="00D564C7" w:rsidTr="00F25D75">
        <w:tc>
          <w:tcPr>
            <w:tcW w:w="842" w:type="dxa"/>
            <w:vAlign w:val="center"/>
          </w:tcPr>
          <w:p w:rsidR="00E43350" w:rsidRPr="00D564C7" w:rsidRDefault="00E43350" w:rsidP="00F25D75">
            <w:pPr>
              <w:spacing w:before="29" w:line="288" w:lineRule="auto"/>
              <w:jc w:val="center"/>
              <w:rPr>
                <w:rFonts w:asciiTheme="minorEastAsia" w:eastAsiaTheme="minorEastAsia" w:hAnsiTheme="minorEastAsia"/>
                <w:szCs w:val="21"/>
              </w:rPr>
            </w:pPr>
            <w:r w:rsidRPr="00F25D75">
              <w:rPr>
                <w:rFonts w:hint="eastAsia"/>
                <w:sz w:val="24"/>
              </w:rPr>
              <w:t>合计</w:t>
            </w:r>
          </w:p>
        </w:tc>
        <w:tc>
          <w:tcPr>
            <w:tcW w:w="952"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993"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134"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559"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417"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w:t>
            </w:r>
          </w:p>
        </w:tc>
        <w:tc>
          <w:tcPr>
            <w:tcW w:w="1134"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w:t>
            </w:r>
          </w:p>
        </w:tc>
        <w:tc>
          <w:tcPr>
            <w:tcW w:w="1240"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w:t>
            </w:r>
          </w:p>
        </w:tc>
      </w:tr>
      <w:tr w:rsidR="00E43350" w:rsidRPr="00D564C7" w:rsidTr="00400137">
        <w:tc>
          <w:tcPr>
            <w:tcW w:w="842" w:type="dxa"/>
            <w:vMerge w:val="restart"/>
            <w:vAlign w:val="center"/>
          </w:tcPr>
          <w:p w:rsidR="00E43350" w:rsidRPr="00554AF3" w:rsidRDefault="00E43350" w:rsidP="00554AF3">
            <w:pPr>
              <w:autoSpaceDE w:val="0"/>
              <w:autoSpaceDN w:val="0"/>
              <w:adjustRightInd w:val="0"/>
              <w:spacing w:before="29" w:line="288" w:lineRule="auto"/>
              <w:jc w:val="center"/>
              <w:rPr>
                <w:kern w:val="0"/>
                <w:sz w:val="24"/>
              </w:rPr>
            </w:pPr>
            <w:r w:rsidRPr="00554AF3">
              <w:rPr>
                <w:rFonts w:hint="eastAsia"/>
                <w:kern w:val="0"/>
                <w:sz w:val="24"/>
              </w:rPr>
              <w:t>项目</w:t>
            </w:r>
          </w:p>
        </w:tc>
        <w:tc>
          <w:tcPr>
            <w:tcW w:w="8429" w:type="dxa"/>
            <w:gridSpan w:val="7"/>
            <w:vAlign w:val="center"/>
          </w:tcPr>
          <w:p w:rsidR="00E43350" w:rsidRPr="00554AF3" w:rsidRDefault="00E43350" w:rsidP="00554AF3">
            <w:pPr>
              <w:spacing w:line="288" w:lineRule="auto"/>
              <w:jc w:val="center"/>
              <w:rPr>
                <w:kern w:val="0"/>
                <w:sz w:val="24"/>
              </w:rPr>
            </w:pPr>
            <w:r w:rsidRPr="00554AF3">
              <w:rPr>
                <w:rFonts w:hint="eastAsia"/>
                <w:kern w:val="0"/>
                <w:sz w:val="24"/>
              </w:rPr>
              <w:t>上年度末</w:t>
            </w:r>
          </w:p>
          <w:p w:rsidR="00E43350" w:rsidRPr="00554AF3" w:rsidRDefault="00E43350" w:rsidP="00554AF3">
            <w:pPr>
              <w:autoSpaceDE w:val="0"/>
              <w:autoSpaceDN w:val="0"/>
              <w:adjustRightInd w:val="0"/>
              <w:spacing w:before="29" w:line="288" w:lineRule="auto"/>
              <w:jc w:val="center"/>
              <w:rPr>
                <w:kern w:val="0"/>
                <w:sz w:val="24"/>
              </w:rPr>
            </w:pPr>
            <w:r w:rsidRPr="00554AF3">
              <w:rPr>
                <w:rFonts w:hint="eastAsia"/>
                <w:kern w:val="0"/>
                <w:sz w:val="24"/>
              </w:rPr>
              <w:t>2015</w:t>
            </w:r>
            <w:r w:rsidRPr="00554AF3">
              <w:rPr>
                <w:rFonts w:hint="eastAsia"/>
                <w:kern w:val="0"/>
                <w:sz w:val="24"/>
              </w:rPr>
              <w:t>年</w:t>
            </w:r>
            <w:r w:rsidRPr="00554AF3">
              <w:rPr>
                <w:rFonts w:hint="eastAsia"/>
                <w:kern w:val="0"/>
                <w:sz w:val="24"/>
              </w:rPr>
              <w:t>12</w:t>
            </w:r>
            <w:r w:rsidRPr="00554AF3">
              <w:rPr>
                <w:rFonts w:hint="eastAsia"/>
                <w:kern w:val="0"/>
                <w:sz w:val="24"/>
              </w:rPr>
              <w:t>月</w:t>
            </w:r>
            <w:r w:rsidRPr="00554AF3">
              <w:rPr>
                <w:rFonts w:hint="eastAsia"/>
                <w:kern w:val="0"/>
                <w:sz w:val="24"/>
              </w:rPr>
              <w:t>31</w:t>
            </w:r>
            <w:r w:rsidRPr="00554AF3">
              <w:rPr>
                <w:rFonts w:hint="eastAsia"/>
                <w:kern w:val="0"/>
                <w:sz w:val="24"/>
              </w:rPr>
              <w:t>日</w:t>
            </w:r>
          </w:p>
        </w:tc>
      </w:tr>
      <w:tr w:rsidR="00E43350" w:rsidRPr="00D564C7" w:rsidTr="00400137">
        <w:tc>
          <w:tcPr>
            <w:tcW w:w="842" w:type="dxa"/>
            <w:vMerge/>
          </w:tcPr>
          <w:p w:rsidR="00E43350" w:rsidRPr="00554AF3" w:rsidRDefault="00E43350" w:rsidP="00554AF3">
            <w:pPr>
              <w:autoSpaceDE w:val="0"/>
              <w:autoSpaceDN w:val="0"/>
              <w:adjustRightInd w:val="0"/>
              <w:spacing w:before="29" w:line="288" w:lineRule="auto"/>
              <w:jc w:val="center"/>
              <w:rPr>
                <w:kern w:val="0"/>
                <w:sz w:val="24"/>
              </w:rPr>
            </w:pPr>
          </w:p>
        </w:tc>
        <w:tc>
          <w:tcPr>
            <w:tcW w:w="952" w:type="dxa"/>
            <w:vAlign w:val="center"/>
          </w:tcPr>
          <w:p w:rsidR="00E43350" w:rsidRPr="00554AF3" w:rsidRDefault="00E43350" w:rsidP="00554AF3">
            <w:pPr>
              <w:spacing w:line="288" w:lineRule="auto"/>
              <w:jc w:val="center"/>
              <w:rPr>
                <w:kern w:val="0"/>
                <w:sz w:val="24"/>
              </w:rPr>
            </w:pPr>
            <w:r w:rsidRPr="00554AF3">
              <w:rPr>
                <w:rFonts w:hint="eastAsia"/>
                <w:kern w:val="0"/>
                <w:sz w:val="24"/>
              </w:rPr>
              <w:t>债券</w:t>
            </w:r>
          </w:p>
          <w:p w:rsidR="00E43350" w:rsidRPr="00554AF3" w:rsidRDefault="00E43350" w:rsidP="00554AF3">
            <w:pPr>
              <w:spacing w:line="288" w:lineRule="auto"/>
              <w:jc w:val="center"/>
              <w:rPr>
                <w:kern w:val="0"/>
                <w:sz w:val="24"/>
              </w:rPr>
            </w:pPr>
            <w:r w:rsidRPr="00554AF3">
              <w:rPr>
                <w:rFonts w:hint="eastAsia"/>
                <w:kern w:val="0"/>
                <w:sz w:val="24"/>
              </w:rPr>
              <w:t>代码</w:t>
            </w:r>
          </w:p>
        </w:tc>
        <w:tc>
          <w:tcPr>
            <w:tcW w:w="993" w:type="dxa"/>
            <w:vAlign w:val="center"/>
          </w:tcPr>
          <w:p w:rsidR="00E43350" w:rsidRPr="00554AF3" w:rsidRDefault="00E43350" w:rsidP="00554AF3">
            <w:pPr>
              <w:spacing w:line="288" w:lineRule="auto"/>
              <w:jc w:val="center"/>
              <w:rPr>
                <w:kern w:val="0"/>
                <w:sz w:val="24"/>
              </w:rPr>
            </w:pPr>
            <w:r w:rsidRPr="00554AF3">
              <w:rPr>
                <w:rFonts w:hint="eastAsia"/>
                <w:kern w:val="0"/>
                <w:sz w:val="24"/>
              </w:rPr>
              <w:t>债券</w:t>
            </w:r>
          </w:p>
          <w:p w:rsidR="00E43350" w:rsidRPr="00554AF3" w:rsidRDefault="00E43350" w:rsidP="00554AF3">
            <w:pPr>
              <w:spacing w:line="288" w:lineRule="auto"/>
              <w:jc w:val="center"/>
              <w:rPr>
                <w:kern w:val="0"/>
                <w:sz w:val="24"/>
              </w:rPr>
            </w:pPr>
            <w:r w:rsidRPr="00554AF3">
              <w:rPr>
                <w:rFonts w:hint="eastAsia"/>
                <w:kern w:val="0"/>
                <w:sz w:val="24"/>
              </w:rPr>
              <w:t>名称</w:t>
            </w:r>
          </w:p>
        </w:tc>
        <w:tc>
          <w:tcPr>
            <w:tcW w:w="1134" w:type="dxa"/>
            <w:vAlign w:val="center"/>
          </w:tcPr>
          <w:p w:rsidR="00E43350" w:rsidRPr="00554AF3" w:rsidRDefault="00E43350" w:rsidP="00554AF3">
            <w:pPr>
              <w:spacing w:line="288" w:lineRule="auto"/>
              <w:jc w:val="center"/>
              <w:rPr>
                <w:kern w:val="0"/>
                <w:sz w:val="24"/>
              </w:rPr>
            </w:pPr>
            <w:r w:rsidRPr="00554AF3">
              <w:rPr>
                <w:rFonts w:hint="eastAsia"/>
                <w:kern w:val="0"/>
                <w:sz w:val="24"/>
              </w:rPr>
              <w:t>约定</w:t>
            </w:r>
          </w:p>
          <w:p w:rsidR="00E43350" w:rsidRPr="00554AF3" w:rsidRDefault="00E43350" w:rsidP="00554AF3">
            <w:pPr>
              <w:spacing w:line="288" w:lineRule="auto"/>
              <w:jc w:val="center"/>
              <w:rPr>
                <w:kern w:val="0"/>
                <w:sz w:val="24"/>
              </w:rPr>
            </w:pPr>
            <w:r w:rsidRPr="00554AF3">
              <w:rPr>
                <w:rFonts w:hint="eastAsia"/>
                <w:kern w:val="0"/>
                <w:sz w:val="24"/>
              </w:rPr>
              <w:t>返售日</w:t>
            </w:r>
          </w:p>
        </w:tc>
        <w:tc>
          <w:tcPr>
            <w:tcW w:w="1559" w:type="dxa"/>
            <w:vAlign w:val="center"/>
          </w:tcPr>
          <w:p w:rsidR="00E43350" w:rsidRPr="00554AF3" w:rsidRDefault="00E43350" w:rsidP="00554AF3">
            <w:pPr>
              <w:spacing w:line="288" w:lineRule="auto"/>
              <w:jc w:val="center"/>
              <w:rPr>
                <w:kern w:val="0"/>
                <w:sz w:val="24"/>
              </w:rPr>
            </w:pPr>
            <w:r w:rsidRPr="00554AF3">
              <w:rPr>
                <w:rFonts w:hint="eastAsia"/>
                <w:kern w:val="0"/>
                <w:sz w:val="24"/>
              </w:rPr>
              <w:t>估值单价</w:t>
            </w:r>
          </w:p>
        </w:tc>
        <w:tc>
          <w:tcPr>
            <w:tcW w:w="1417" w:type="dxa"/>
            <w:vAlign w:val="center"/>
          </w:tcPr>
          <w:p w:rsidR="00E43350" w:rsidRPr="00554AF3" w:rsidRDefault="00E43350" w:rsidP="00554AF3">
            <w:pPr>
              <w:spacing w:line="288" w:lineRule="auto"/>
              <w:jc w:val="center"/>
              <w:rPr>
                <w:kern w:val="0"/>
                <w:sz w:val="24"/>
              </w:rPr>
            </w:pPr>
            <w:r w:rsidRPr="00554AF3">
              <w:rPr>
                <w:rFonts w:hint="eastAsia"/>
                <w:kern w:val="0"/>
                <w:sz w:val="24"/>
              </w:rPr>
              <w:t>数量（张）</w:t>
            </w:r>
          </w:p>
        </w:tc>
        <w:tc>
          <w:tcPr>
            <w:tcW w:w="1134" w:type="dxa"/>
            <w:vAlign w:val="center"/>
          </w:tcPr>
          <w:p w:rsidR="00E43350" w:rsidRPr="00554AF3" w:rsidRDefault="00E43350" w:rsidP="00554AF3">
            <w:pPr>
              <w:spacing w:line="288" w:lineRule="auto"/>
              <w:jc w:val="center"/>
              <w:rPr>
                <w:kern w:val="0"/>
                <w:sz w:val="24"/>
              </w:rPr>
            </w:pPr>
            <w:r w:rsidRPr="00554AF3">
              <w:rPr>
                <w:rFonts w:hint="eastAsia"/>
                <w:kern w:val="0"/>
                <w:sz w:val="24"/>
              </w:rPr>
              <w:t>估值</w:t>
            </w:r>
          </w:p>
          <w:p w:rsidR="00E43350" w:rsidRPr="00554AF3" w:rsidRDefault="00E43350" w:rsidP="00554AF3">
            <w:pPr>
              <w:spacing w:line="288" w:lineRule="auto"/>
              <w:jc w:val="center"/>
              <w:rPr>
                <w:kern w:val="0"/>
                <w:sz w:val="24"/>
              </w:rPr>
            </w:pPr>
            <w:r w:rsidRPr="00554AF3">
              <w:rPr>
                <w:rFonts w:hint="eastAsia"/>
                <w:kern w:val="0"/>
                <w:sz w:val="24"/>
              </w:rPr>
              <w:t>总额</w:t>
            </w:r>
          </w:p>
        </w:tc>
        <w:tc>
          <w:tcPr>
            <w:tcW w:w="1240" w:type="dxa"/>
            <w:vAlign w:val="center"/>
          </w:tcPr>
          <w:p w:rsidR="00E43350" w:rsidRPr="00554AF3" w:rsidRDefault="00E43350" w:rsidP="00554AF3">
            <w:pPr>
              <w:spacing w:line="288" w:lineRule="auto"/>
              <w:jc w:val="center"/>
              <w:rPr>
                <w:kern w:val="0"/>
                <w:sz w:val="24"/>
              </w:rPr>
            </w:pPr>
            <w:r w:rsidRPr="00554AF3">
              <w:rPr>
                <w:rFonts w:hint="eastAsia"/>
                <w:kern w:val="0"/>
                <w:sz w:val="24"/>
              </w:rPr>
              <w:t>其中：已出售或再质押总额</w:t>
            </w:r>
          </w:p>
        </w:tc>
      </w:tr>
      <w:tr w:rsidR="00A46313">
        <w:tc>
          <w:tcPr>
            <w:tcW w:w="842" w:type="dxa"/>
            <w:vAlign w:val="center"/>
          </w:tcPr>
          <w:p w:rsidR="00A46313" w:rsidRDefault="00125795">
            <w:pPr>
              <w:jc w:val="center"/>
            </w:pPr>
            <w:r>
              <w:rPr>
                <w:rFonts w:hint="eastAsia"/>
                <w:sz w:val="24"/>
              </w:rPr>
              <w:t>1</w:t>
            </w:r>
          </w:p>
        </w:tc>
        <w:tc>
          <w:tcPr>
            <w:tcW w:w="952" w:type="dxa"/>
            <w:vAlign w:val="center"/>
          </w:tcPr>
          <w:p w:rsidR="00A46313" w:rsidRDefault="00125795">
            <w:pPr>
              <w:jc w:val="center"/>
            </w:pPr>
            <w:r>
              <w:rPr>
                <w:rFonts w:hint="eastAsia"/>
                <w:sz w:val="24"/>
              </w:rPr>
              <w:t>1380101</w:t>
            </w:r>
          </w:p>
        </w:tc>
        <w:tc>
          <w:tcPr>
            <w:tcW w:w="993" w:type="dxa"/>
            <w:vAlign w:val="center"/>
          </w:tcPr>
          <w:p w:rsidR="00A46313" w:rsidRDefault="00125795">
            <w:pPr>
              <w:jc w:val="center"/>
            </w:pPr>
            <w:r>
              <w:rPr>
                <w:rFonts w:hint="eastAsia"/>
                <w:sz w:val="24"/>
              </w:rPr>
              <w:t>13</w:t>
            </w:r>
            <w:r>
              <w:rPr>
                <w:rFonts w:hint="eastAsia"/>
                <w:sz w:val="24"/>
              </w:rPr>
              <w:t>大理旅游债</w:t>
            </w:r>
          </w:p>
        </w:tc>
        <w:tc>
          <w:tcPr>
            <w:tcW w:w="1134" w:type="dxa"/>
            <w:vAlign w:val="center"/>
          </w:tcPr>
          <w:p w:rsidR="00A46313" w:rsidRDefault="00125795">
            <w:pPr>
              <w:jc w:val="center"/>
            </w:pPr>
            <w:r>
              <w:rPr>
                <w:rFonts w:hint="eastAsia"/>
                <w:sz w:val="24"/>
              </w:rPr>
              <w:t>2016-01-04</w:t>
            </w:r>
          </w:p>
        </w:tc>
        <w:tc>
          <w:tcPr>
            <w:tcW w:w="1559" w:type="dxa"/>
            <w:vAlign w:val="center"/>
          </w:tcPr>
          <w:p w:rsidR="00A46313" w:rsidRDefault="00125795">
            <w:pPr>
              <w:jc w:val="center"/>
            </w:pPr>
            <w:r>
              <w:rPr>
                <w:rFonts w:hint="eastAsia"/>
                <w:sz w:val="24"/>
              </w:rPr>
              <w:t>102.77</w:t>
            </w:r>
          </w:p>
        </w:tc>
        <w:tc>
          <w:tcPr>
            <w:tcW w:w="1417" w:type="dxa"/>
            <w:vAlign w:val="center"/>
          </w:tcPr>
          <w:p w:rsidR="00A46313" w:rsidRDefault="00125795">
            <w:pPr>
              <w:jc w:val="center"/>
            </w:pPr>
            <w:r>
              <w:rPr>
                <w:rFonts w:hint="eastAsia"/>
                <w:sz w:val="24"/>
              </w:rPr>
              <w:t>300,000.00</w:t>
            </w:r>
          </w:p>
        </w:tc>
        <w:tc>
          <w:tcPr>
            <w:tcW w:w="1134" w:type="dxa"/>
            <w:vAlign w:val="center"/>
          </w:tcPr>
          <w:p w:rsidR="00A46313" w:rsidRDefault="00125795">
            <w:pPr>
              <w:jc w:val="center"/>
            </w:pPr>
            <w:r>
              <w:rPr>
                <w:rFonts w:hint="eastAsia"/>
                <w:sz w:val="24"/>
              </w:rPr>
              <w:t>30,831,000.00</w:t>
            </w:r>
          </w:p>
        </w:tc>
        <w:tc>
          <w:tcPr>
            <w:tcW w:w="1240" w:type="dxa"/>
            <w:vAlign w:val="center"/>
          </w:tcPr>
          <w:p w:rsidR="00A46313" w:rsidRDefault="00125795">
            <w:pPr>
              <w:jc w:val="center"/>
            </w:pPr>
            <w:r>
              <w:rPr>
                <w:rFonts w:hint="eastAsia"/>
                <w:sz w:val="24"/>
              </w:rPr>
              <w:t>-</w:t>
            </w:r>
          </w:p>
        </w:tc>
      </w:tr>
      <w:tr w:rsidR="00A46313">
        <w:tc>
          <w:tcPr>
            <w:tcW w:w="842" w:type="dxa"/>
            <w:vAlign w:val="center"/>
          </w:tcPr>
          <w:p w:rsidR="00A46313" w:rsidRDefault="00125795">
            <w:pPr>
              <w:jc w:val="center"/>
            </w:pPr>
            <w:r>
              <w:rPr>
                <w:rFonts w:hint="eastAsia"/>
                <w:sz w:val="24"/>
              </w:rPr>
              <w:t>2</w:t>
            </w:r>
          </w:p>
        </w:tc>
        <w:tc>
          <w:tcPr>
            <w:tcW w:w="952" w:type="dxa"/>
            <w:vAlign w:val="center"/>
          </w:tcPr>
          <w:p w:rsidR="00A46313" w:rsidRDefault="00125795">
            <w:pPr>
              <w:jc w:val="center"/>
            </w:pPr>
            <w:r>
              <w:rPr>
                <w:rFonts w:hint="eastAsia"/>
                <w:sz w:val="24"/>
              </w:rPr>
              <w:t>1280157</w:t>
            </w:r>
          </w:p>
        </w:tc>
        <w:tc>
          <w:tcPr>
            <w:tcW w:w="993" w:type="dxa"/>
            <w:vAlign w:val="center"/>
          </w:tcPr>
          <w:p w:rsidR="00A46313" w:rsidRDefault="00125795">
            <w:pPr>
              <w:jc w:val="center"/>
            </w:pPr>
            <w:r>
              <w:rPr>
                <w:rFonts w:hint="eastAsia"/>
                <w:sz w:val="24"/>
              </w:rPr>
              <w:t>12</w:t>
            </w:r>
            <w:r>
              <w:rPr>
                <w:rFonts w:hint="eastAsia"/>
                <w:sz w:val="24"/>
              </w:rPr>
              <w:t>杨农债</w:t>
            </w:r>
          </w:p>
        </w:tc>
        <w:tc>
          <w:tcPr>
            <w:tcW w:w="1134" w:type="dxa"/>
            <w:vAlign w:val="center"/>
          </w:tcPr>
          <w:p w:rsidR="00A46313" w:rsidRDefault="00125795">
            <w:pPr>
              <w:jc w:val="center"/>
            </w:pPr>
            <w:r>
              <w:rPr>
                <w:rFonts w:hint="eastAsia"/>
                <w:sz w:val="24"/>
              </w:rPr>
              <w:t>2016-01-04</w:t>
            </w:r>
          </w:p>
        </w:tc>
        <w:tc>
          <w:tcPr>
            <w:tcW w:w="1559" w:type="dxa"/>
            <w:vAlign w:val="center"/>
          </w:tcPr>
          <w:p w:rsidR="00A46313" w:rsidRDefault="00125795">
            <w:pPr>
              <w:jc w:val="center"/>
            </w:pPr>
            <w:r>
              <w:rPr>
                <w:rFonts w:hint="eastAsia"/>
                <w:sz w:val="24"/>
              </w:rPr>
              <w:t>111.80</w:t>
            </w:r>
          </w:p>
        </w:tc>
        <w:tc>
          <w:tcPr>
            <w:tcW w:w="1417" w:type="dxa"/>
            <w:vAlign w:val="center"/>
          </w:tcPr>
          <w:p w:rsidR="00A46313" w:rsidRDefault="00125795">
            <w:pPr>
              <w:jc w:val="center"/>
            </w:pPr>
            <w:r>
              <w:rPr>
                <w:rFonts w:hint="eastAsia"/>
                <w:sz w:val="24"/>
              </w:rPr>
              <w:t>300,000.00</w:t>
            </w:r>
          </w:p>
        </w:tc>
        <w:tc>
          <w:tcPr>
            <w:tcW w:w="1134" w:type="dxa"/>
            <w:vAlign w:val="center"/>
          </w:tcPr>
          <w:p w:rsidR="00A46313" w:rsidRDefault="00125795">
            <w:pPr>
              <w:jc w:val="center"/>
            </w:pPr>
            <w:r>
              <w:rPr>
                <w:rFonts w:hint="eastAsia"/>
                <w:sz w:val="24"/>
              </w:rPr>
              <w:t>33,540,000.00</w:t>
            </w:r>
          </w:p>
        </w:tc>
        <w:tc>
          <w:tcPr>
            <w:tcW w:w="1240" w:type="dxa"/>
            <w:vAlign w:val="center"/>
          </w:tcPr>
          <w:p w:rsidR="00A46313" w:rsidRDefault="00125795">
            <w:pPr>
              <w:jc w:val="center"/>
            </w:pPr>
            <w:r>
              <w:rPr>
                <w:rFonts w:hint="eastAsia"/>
                <w:sz w:val="24"/>
              </w:rPr>
              <w:t>-</w:t>
            </w:r>
          </w:p>
        </w:tc>
      </w:tr>
      <w:tr w:rsidR="00E43350" w:rsidRPr="00D564C7" w:rsidTr="00554AF3">
        <w:tc>
          <w:tcPr>
            <w:tcW w:w="842" w:type="dxa"/>
            <w:vAlign w:val="center"/>
          </w:tcPr>
          <w:p w:rsidR="00E43350" w:rsidRPr="00D564C7" w:rsidRDefault="00E43350" w:rsidP="00554AF3">
            <w:pPr>
              <w:spacing w:before="29" w:line="288" w:lineRule="auto"/>
              <w:jc w:val="center"/>
              <w:rPr>
                <w:rFonts w:asciiTheme="minorEastAsia" w:eastAsiaTheme="minorEastAsia" w:hAnsiTheme="minorEastAsia"/>
                <w:szCs w:val="21"/>
              </w:rPr>
            </w:pPr>
            <w:r w:rsidRPr="00554AF3">
              <w:rPr>
                <w:rFonts w:hint="eastAsia"/>
                <w:sz w:val="24"/>
              </w:rPr>
              <w:t>合计</w:t>
            </w:r>
          </w:p>
        </w:tc>
        <w:tc>
          <w:tcPr>
            <w:tcW w:w="952"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993"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134"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559" w:type="dxa"/>
            <w:vAlign w:val="center"/>
          </w:tcPr>
          <w:p w:rsidR="00E43350" w:rsidRPr="00D564C7" w:rsidRDefault="00E43350" w:rsidP="00400137">
            <w:pPr>
              <w:spacing w:line="360" w:lineRule="auto"/>
              <w:jc w:val="center"/>
              <w:rPr>
                <w:rFonts w:asciiTheme="minorEastAsia" w:eastAsiaTheme="minorEastAsia" w:hAnsiTheme="minorEastAsia"/>
                <w:szCs w:val="21"/>
              </w:rPr>
            </w:pPr>
          </w:p>
        </w:tc>
        <w:tc>
          <w:tcPr>
            <w:tcW w:w="1417"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600,000.00</w:t>
            </w:r>
          </w:p>
        </w:tc>
        <w:tc>
          <w:tcPr>
            <w:tcW w:w="1134"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64,371,000.00</w:t>
            </w:r>
          </w:p>
        </w:tc>
        <w:tc>
          <w:tcPr>
            <w:tcW w:w="1240" w:type="dxa"/>
            <w:vAlign w:val="center"/>
          </w:tcPr>
          <w:p w:rsidR="00E43350" w:rsidRPr="004C1637" w:rsidRDefault="00E43350" w:rsidP="004C1637">
            <w:pPr>
              <w:spacing w:before="29" w:line="288" w:lineRule="auto"/>
              <w:jc w:val="right"/>
              <w:rPr>
                <w:color w:val="000000"/>
                <w:kern w:val="0"/>
                <w:sz w:val="24"/>
              </w:rPr>
            </w:pPr>
            <w:r w:rsidRPr="004C1637">
              <w:rPr>
                <w:rFonts w:hint="eastAsia"/>
                <w:color w:val="000000"/>
                <w:kern w:val="0"/>
                <w:sz w:val="24"/>
              </w:rPr>
              <w:t>-</w:t>
            </w:r>
          </w:p>
        </w:tc>
      </w:tr>
    </w:tbl>
    <w:p w:rsidR="00447CBA" w:rsidRDefault="00447CBA" w:rsidP="0004081A">
      <w:pPr>
        <w:autoSpaceDE w:val="0"/>
        <w:autoSpaceDN w:val="0"/>
        <w:adjustRightInd w:val="0"/>
        <w:spacing w:before="29" w:line="288" w:lineRule="auto"/>
        <w:ind w:left="15"/>
        <w:jc w:val="right"/>
        <w:rPr>
          <w:bCs/>
          <w:color w:val="00000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7.4.7.5</w:t>
      </w:r>
      <w:r w:rsidR="004C2C35" w:rsidRPr="007F57C2">
        <w:rPr>
          <w:rFonts w:eastAsiaTheme="minorEastAsia" w:hint="eastAsia"/>
          <w:b/>
          <w:sz w:val="24"/>
        </w:rPr>
        <w:t xml:space="preserve"> </w:t>
      </w:r>
      <w:r w:rsidRPr="007F57C2">
        <w:rPr>
          <w:rFonts w:eastAsiaTheme="minorEastAsia" w:hint="eastAsia"/>
          <w:b/>
          <w:sz w:val="24"/>
        </w:rPr>
        <w:t>应收利息</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D564C7" w:rsidTr="00A05664">
        <w:trPr>
          <w:trHeight w:val="330"/>
        </w:trPr>
        <w:tc>
          <w:tcPr>
            <w:tcW w:w="2850" w:type="dxa"/>
            <w:vAlign w:val="center"/>
          </w:tcPr>
          <w:p w:rsidR="001A59F9" w:rsidRPr="00A05664" w:rsidRDefault="001A59F9" w:rsidP="00A05664">
            <w:pPr>
              <w:spacing w:before="29" w:line="288" w:lineRule="auto"/>
              <w:jc w:val="center"/>
              <w:rPr>
                <w:sz w:val="24"/>
              </w:rPr>
            </w:pPr>
            <w:r w:rsidRPr="00A05664">
              <w:rPr>
                <w:rFonts w:hint="eastAsia"/>
                <w:sz w:val="24"/>
              </w:rPr>
              <w:t>项目</w:t>
            </w:r>
          </w:p>
        </w:tc>
        <w:tc>
          <w:tcPr>
            <w:tcW w:w="3119" w:type="dxa"/>
            <w:vAlign w:val="center"/>
          </w:tcPr>
          <w:p w:rsidR="001A59F9" w:rsidRPr="00A05664" w:rsidRDefault="001A59F9" w:rsidP="00A05664">
            <w:pPr>
              <w:spacing w:before="29" w:line="288" w:lineRule="auto"/>
              <w:jc w:val="center"/>
              <w:rPr>
                <w:sz w:val="24"/>
              </w:rPr>
            </w:pPr>
            <w:r w:rsidRPr="00A05664">
              <w:rPr>
                <w:rFonts w:hint="eastAsia"/>
                <w:sz w:val="24"/>
              </w:rPr>
              <w:t>本期末</w:t>
            </w:r>
          </w:p>
          <w:p w:rsidR="001A59F9" w:rsidRPr="00A05664" w:rsidRDefault="00F64FAD" w:rsidP="00A05664">
            <w:pPr>
              <w:spacing w:before="29" w:line="288" w:lineRule="auto"/>
              <w:jc w:val="center"/>
              <w:rPr>
                <w:sz w:val="24"/>
              </w:rPr>
            </w:pPr>
            <w:r w:rsidRPr="00A05664">
              <w:rPr>
                <w:sz w:val="24"/>
              </w:rPr>
              <w:t>2016</w:t>
            </w:r>
            <w:r w:rsidRPr="00A05664">
              <w:rPr>
                <w:sz w:val="24"/>
              </w:rPr>
              <w:t>年</w:t>
            </w:r>
            <w:r w:rsidRPr="00A05664">
              <w:rPr>
                <w:sz w:val="24"/>
              </w:rPr>
              <w:t>12</w:t>
            </w:r>
            <w:r w:rsidRPr="00A05664">
              <w:rPr>
                <w:sz w:val="24"/>
              </w:rPr>
              <w:t>月</w:t>
            </w:r>
            <w:r w:rsidRPr="00A05664">
              <w:rPr>
                <w:sz w:val="24"/>
              </w:rPr>
              <w:t>31</w:t>
            </w:r>
            <w:r w:rsidRPr="00A05664">
              <w:rPr>
                <w:sz w:val="24"/>
              </w:rPr>
              <w:t>日</w:t>
            </w:r>
          </w:p>
        </w:tc>
        <w:tc>
          <w:tcPr>
            <w:tcW w:w="3046" w:type="dxa"/>
            <w:vAlign w:val="center"/>
          </w:tcPr>
          <w:p w:rsidR="001A59F9" w:rsidRPr="00A05664" w:rsidRDefault="001A59F9" w:rsidP="00A05664">
            <w:pPr>
              <w:spacing w:before="29" w:line="288" w:lineRule="auto"/>
              <w:jc w:val="center"/>
              <w:rPr>
                <w:sz w:val="24"/>
              </w:rPr>
            </w:pPr>
            <w:r w:rsidRPr="00A05664">
              <w:rPr>
                <w:rFonts w:hint="eastAsia"/>
                <w:sz w:val="24"/>
              </w:rPr>
              <w:t>上年度末</w:t>
            </w:r>
          </w:p>
          <w:p w:rsidR="001A59F9" w:rsidRPr="00A05664" w:rsidRDefault="00955CB7" w:rsidP="00A05664">
            <w:pPr>
              <w:spacing w:before="29" w:line="288" w:lineRule="auto"/>
              <w:jc w:val="center"/>
              <w:rPr>
                <w:sz w:val="24"/>
              </w:rPr>
            </w:pPr>
            <w:r w:rsidRPr="00A05664">
              <w:rPr>
                <w:sz w:val="24"/>
              </w:rPr>
              <w:t>2015</w:t>
            </w:r>
            <w:r w:rsidRPr="00A05664">
              <w:rPr>
                <w:sz w:val="24"/>
              </w:rPr>
              <w:t>年</w:t>
            </w:r>
            <w:r w:rsidRPr="00A05664">
              <w:rPr>
                <w:sz w:val="24"/>
              </w:rPr>
              <w:t>12</w:t>
            </w:r>
            <w:r w:rsidRPr="00A05664">
              <w:rPr>
                <w:sz w:val="24"/>
              </w:rPr>
              <w:t>月</w:t>
            </w:r>
            <w:r w:rsidRPr="00A05664">
              <w:rPr>
                <w:sz w:val="24"/>
              </w:rPr>
              <w:t>31</w:t>
            </w:r>
            <w:r w:rsidRPr="00A05664">
              <w:rPr>
                <w:sz w:val="24"/>
              </w:rPr>
              <w:t>日</w:t>
            </w:r>
          </w:p>
        </w:tc>
      </w:tr>
      <w:tr w:rsidR="001A59F9" w:rsidRPr="00D564C7" w:rsidTr="00A05664">
        <w:trPr>
          <w:trHeight w:val="25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应收活期存款利息</w:t>
            </w:r>
          </w:p>
        </w:tc>
        <w:tc>
          <w:tcPr>
            <w:tcW w:w="3119" w:type="dxa"/>
            <w:vAlign w:val="center"/>
          </w:tcPr>
          <w:p w:rsidR="001A59F9" w:rsidRPr="00C76545" w:rsidRDefault="003335BB" w:rsidP="004C1637">
            <w:pPr>
              <w:spacing w:before="29" w:line="288" w:lineRule="auto"/>
              <w:jc w:val="right"/>
              <w:rPr>
                <w:color w:val="000000"/>
                <w:kern w:val="0"/>
                <w:sz w:val="24"/>
              </w:rPr>
            </w:pPr>
            <w:r w:rsidRPr="004211FD">
              <w:rPr>
                <w:color w:val="000000"/>
                <w:kern w:val="0"/>
                <w:sz w:val="24"/>
              </w:rPr>
              <w:t>5,516.37</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28,833.07</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应收定期存款利息</w:t>
            </w:r>
          </w:p>
        </w:tc>
        <w:tc>
          <w:tcPr>
            <w:tcW w:w="3119" w:type="dxa"/>
            <w:vAlign w:val="center"/>
          </w:tcPr>
          <w:p w:rsidR="001A59F9" w:rsidRPr="00C76545" w:rsidRDefault="001A59F9" w:rsidP="004C1637">
            <w:pPr>
              <w:spacing w:before="29" w:line="288" w:lineRule="auto"/>
              <w:jc w:val="right"/>
              <w:rPr>
                <w:color w:val="000000"/>
                <w:kern w:val="0"/>
                <w:sz w:val="24"/>
              </w:rPr>
            </w:pPr>
            <w:r w:rsidRPr="00C76545">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应收其他存款利息</w:t>
            </w:r>
          </w:p>
        </w:tc>
        <w:tc>
          <w:tcPr>
            <w:tcW w:w="3119" w:type="dxa"/>
            <w:vAlign w:val="center"/>
          </w:tcPr>
          <w:p w:rsidR="001A59F9" w:rsidRPr="00C76545" w:rsidRDefault="001A59F9" w:rsidP="004C1637">
            <w:pPr>
              <w:spacing w:before="29" w:line="288" w:lineRule="auto"/>
              <w:jc w:val="right"/>
              <w:rPr>
                <w:color w:val="000000"/>
                <w:kern w:val="0"/>
                <w:sz w:val="24"/>
              </w:rPr>
            </w:pPr>
            <w:r w:rsidRPr="00C76545">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应收结算备付金利息</w:t>
            </w:r>
          </w:p>
        </w:tc>
        <w:tc>
          <w:tcPr>
            <w:tcW w:w="3119" w:type="dxa"/>
            <w:vAlign w:val="center"/>
          </w:tcPr>
          <w:p w:rsidR="001A59F9" w:rsidRPr="00C76545" w:rsidRDefault="003335BB" w:rsidP="004C1637">
            <w:pPr>
              <w:spacing w:before="29" w:line="288" w:lineRule="auto"/>
              <w:jc w:val="right"/>
              <w:rPr>
                <w:color w:val="000000"/>
                <w:kern w:val="0"/>
                <w:sz w:val="24"/>
              </w:rPr>
            </w:pPr>
            <w:r w:rsidRPr="004211FD">
              <w:rPr>
                <w:color w:val="000000"/>
                <w:kern w:val="0"/>
                <w:sz w:val="24"/>
              </w:rPr>
              <w:t>779.03</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1,395.90</w:t>
            </w:r>
          </w:p>
        </w:tc>
      </w:tr>
      <w:tr w:rsidR="001A59F9" w:rsidRPr="00D564C7" w:rsidTr="00A05664">
        <w:trPr>
          <w:trHeight w:val="269"/>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应收债券利息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10,805,473.44</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23,123,449.96</w:t>
            </w:r>
          </w:p>
        </w:tc>
      </w:tr>
      <w:tr w:rsidR="001A59F9" w:rsidRPr="00D564C7" w:rsidTr="00A05664">
        <w:trPr>
          <w:trHeight w:val="28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应收买入返售证券利息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75,889.36</w:t>
            </w:r>
          </w:p>
        </w:tc>
      </w:tr>
      <w:tr w:rsidR="001A59F9" w:rsidRPr="00D564C7" w:rsidTr="00A05664">
        <w:trPr>
          <w:trHeight w:val="305"/>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应收申购款利息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0.03</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661.65</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应收黄金合约拆借孳息</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lastRenderedPageBreak/>
              <w:t>其他</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789,453.92</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849,103.19</w:t>
            </w:r>
          </w:p>
        </w:tc>
      </w:tr>
      <w:tr w:rsidR="00A94390" w:rsidRPr="00D564C7" w:rsidTr="00A05664">
        <w:trPr>
          <w:trHeight w:val="330"/>
        </w:trPr>
        <w:tc>
          <w:tcPr>
            <w:tcW w:w="2850" w:type="dxa"/>
            <w:vAlign w:val="center"/>
          </w:tcPr>
          <w:p w:rsidR="00A94390" w:rsidRPr="00D564C7" w:rsidRDefault="00A94390" w:rsidP="00BA3AAD">
            <w:pPr>
              <w:spacing w:before="29" w:line="288" w:lineRule="auto"/>
              <w:jc w:val="center"/>
              <w:rPr>
                <w:rFonts w:asciiTheme="minorEastAsia" w:eastAsiaTheme="minorEastAsia" w:hAnsiTheme="minorEastAsia"/>
                <w:szCs w:val="21"/>
              </w:rPr>
            </w:pPr>
            <w:r w:rsidRPr="00BA3AAD">
              <w:rPr>
                <w:rFonts w:hint="eastAsia"/>
                <w:sz w:val="24"/>
              </w:rPr>
              <w:t>合计</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11,601,222.79</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24,079,333.13</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注：本报告期末其他项目列示金额为应收资产支持证券利息收入及权证保证金利息。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7.4.7.6</w:t>
      </w:r>
      <w:r w:rsidR="004C2C35" w:rsidRPr="007F57C2">
        <w:rPr>
          <w:rFonts w:eastAsiaTheme="minorEastAsia" w:hint="eastAsia"/>
          <w:b/>
          <w:sz w:val="24"/>
        </w:rPr>
        <w:t xml:space="preserve"> </w:t>
      </w:r>
      <w:r w:rsidRPr="007F57C2">
        <w:rPr>
          <w:rFonts w:eastAsiaTheme="minorEastAsia" w:hint="eastAsia"/>
          <w:b/>
          <w:sz w:val="24"/>
        </w:rPr>
        <w:t>其他资产</w:t>
      </w:r>
    </w:p>
    <w:p w:rsidR="00142D88" w:rsidRPr="00D754A9" w:rsidRDefault="00142D88" w:rsidP="00142D88">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142D88"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004C2C35" w:rsidRPr="007F57C2">
        <w:rPr>
          <w:rFonts w:eastAsiaTheme="minorEastAsia" w:hint="eastAsia"/>
          <w:b/>
          <w:sz w:val="24"/>
        </w:rPr>
        <w:t xml:space="preserve"> </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2016</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2015</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15,850.20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39,501.19</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15,850.20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39,501.19</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004C2C35" w:rsidRPr="007F57C2">
        <w:rPr>
          <w:rFonts w:eastAsiaTheme="minorEastAsia" w:hint="eastAsia"/>
          <w:b/>
          <w:sz w:val="24"/>
        </w:rPr>
        <w:t xml:space="preserve"> </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2016</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2015</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305.45</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972.86</w:t>
            </w:r>
          </w:p>
        </w:tc>
      </w:tr>
      <w:tr w:rsidR="00A46313">
        <w:tc>
          <w:tcPr>
            <w:tcW w:w="2715" w:type="dxa"/>
            <w:vAlign w:val="center"/>
          </w:tcPr>
          <w:p w:rsidR="00A46313" w:rsidRDefault="00125795">
            <w:pPr>
              <w:jc w:val="left"/>
            </w:pPr>
            <w:r>
              <w:rPr>
                <w:sz w:val="24"/>
              </w:rPr>
              <w:t>预提信息披露费</w:t>
            </w:r>
          </w:p>
        </w:tc>
        <w:tc>
          <w:tcPr>
            <w:tcW w:w="3150" w:type="dxa"/>
            <w:vAlign w:val="center"/>
          </w:tcPr>
          <w:p w:rsidR="00A46313" w:rsidRDefault="00125795">
            <w:pPr>
              <w:jc w:val="right"/>
            </w:pPr>
            <w:r>
              <w:rPr>
                <w:sz w:val="24"/>
              </w:rPr>
              <w:t>240,000.00</w:t>
            </w:r>
          </w:p>
        </w:tc>
        <w:tc>
          <w:tcPr>
            <w:tcW w:w="3150" w:type="dxa"/>
            <w:vAlign w:val="center"/>
          </w:tcPr>
          <w:p w:rsidR="00A46313" w:rsidRDefault="00125795">
            <w:pPr>
              <w:jc w:val="right"/>
            </w:pPr>
            <w:r>
              <w:rPr>
                <w:sz w:val="24"/>
              </w:rPr>
              <w:t>240,000.00</w:t>
            </w:r>
          </w:p>
        </w:tc>
      </w:tr>
      <w:tr w:rsidR="00A46313">
        <w:tc>
          <w:tcPr>
            <w:tcW w:w="2715" w:type="dxa"/>
            <w:vAlign w:val="center"/>
          </w:tcPr>
          <w:p w:rsidR="00A46313" w:rsidRDefault="00125795">
            <w:pPr>
              <w:jc w:val="left"/>
            </w:pPr>
            <w:r>
              <w:rPr>
                <w:sz w:val="24"/>
              </w:rPr>
              <w:t>预提审计费</w:t>
            </w:r>
          </w:p>
        </w:tc>
        <w:tc>
          <w:tcPr>
            <w:tcW w:w="3150" w:type="dxa"/>
            <w:vAlign w:val="center"/>
          </w:tcPr>
          <w:p w:rsidR="00A46313" w:rsidRDefault="00125795">
            <w:pPr>
              <w:jc w:val="right"/>
            </w:pPr>
            <w:r>
              <w:rPr>
                <w:sz w:val="24"/>
              </w:rPr>
              <w:t>90,000.00</w:t>
            </w:r>
          </w:p>
        </w:tc>
        <w:tc>
          <w:tcPr>
            <w:tcW w:w="3150" w:type="dxa"/>
            <w:vAlign w:val="center"/>
          </w:tcPr>
          <w:p w:rsidR="00A46313" w:rsidRDefault="00125795">
            <w:pPr>
              <w:jc w:val="right"/>
            </w:pPr>
            <w:r>
              <w:rPr>
                <w:sz w:val="24"/>
              </w:rPr>
              <w:t>90,000.00</w:t>
            </w:r>
          </w:p>
        </w:tc>
      </w:tr>
      <w:tr w:rsidR="00A46313">
        <w:tc>
          <w:tcPr>
            <w:tcW w:w="2715" w:type="dxa"/>
            <w:vAlign w:val="center"/>
          </w:tcPr>
          <w:p w:rsidR="00A46313" w:rsidRDefault="00125795">
            <w:pPr>
              <w:jc w:val="left"/>
            </w:pPr>
            <w:r>
              <w:rPr>
                <w:sz w:val="24"/>
              </w:rPr>
              <w:t>其他</w:t>
            </w:r>
          </w:p>
        </w:tc>
        <w:tc>
          <w:tcPr>
            <w:tcW w:w="3150" w:type="dxa"/>
            <w:vAlign w:val="center"/>
          </w:tcPr>
          <w:p w:rsidR="00A46313" w:rsidRDefault="00125795">
            <w:pPr>
              <w:jc w:val="right"/>
            </w:pPr>
            <w:r>
              <w:rPr>
                <w:sz w:val="24"/>
              </w:rPr>
              <w:t>-</w:t>
            </w:r>
          </w:p>
        </w:tc>
        <w:tc>
          <w:tcPr>
            <w:tcW w:w="3150" w:type="dxa"/>
            <w:vAlign w:val="center"/>
          </w:tcPr>
          <w:p w:rsidR="00A46313" w:rsidRDefault="00125795">
            <w:pPr>
              <w:jc w:val="right"/>
            </w:pPr>
            <w:r>
              <w:rPr>
                <w:sz w:val="24"/>
              </w:rPr>
              <w:t>318.75</w:t>
            </w:r>
          </w:p>
        </w:tc>
      </w:tr>
      <w:tr w:rsidR="00A46313">
        <w:tc>
          <w:tcPr>
            <w:tcW w:w="2715" w:type="dxa"/>
            <w:vAlign w:val="center"/>
          </w:tcPr>
          <w:p w:rsidR="00A46313" w:rsidRDefault="00125795">
            <w:pPr>
              <w:jc w:val="left"/>
            </w:pPr>
            <w:r>
              <w:rPr>
                <w:sz w:val="24"/>
              </w:rPr>
              <w:t>应付后端申购费</w:t>
            </w:r>
          </w:p>
        </w:tc>
        <w:tc>
          <w:tcPr>
            <w:tcW w:w="3150" w:type="dxa"/>
            <w:vAlign w:val="center"/>
          </w:tcPr>
          <w:p w:rsidR="00A46313" w:rsidRDefault="00125795">
            <w:pPr>
              <w:jc w:val="right"/>
            </w:pPr>
            <w:r>
              <w:rPr>
                <w:sz w:val="24"/>
              </w:rPr>
              <w:t>-</w:t>
            </w:r>
          </w:p>
        </w:tc>
        <w:tc>
          <w:tcPr>
            <w:tcW w:w="3150" w:type="dxa"/>
            <w:vAlign w:val="center"/>
          </w:tcPr>
          <w:p w:rsidR="00A46313" w:rsidRDefault="00125795">
            <w:pPr>
              <w:jc w:val="right"/>
            </w:pPr>
            <w:r>
              <w:rPr>
                <w:sz w:val="24"/>
              </w:rPr>
              <w:t>177.64</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330,305.45</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331,469.25</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004C2C35" w:rsidRPr="007F57C2">
        <w:rPr>
          <w:rFonts w:eastAsiaTheme="minorEastAsia" w:hint="eastAsia"/>
          <w:b/>
          <w:sz w:val="24"/>
        </w:rPr>
        <w:t xml:space="preserve"> </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交银增利债券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950,297,029.20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950,297,029.20</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447,782,788.45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447,782,788.45</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lastRenderedPageBreak/>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-967,645,512.53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-967,645,512.53</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430,434,305.12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430,434,305.12</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交银增利债券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145D1E">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340,526,749.83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340,526,749.83</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364,149,178.78</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364,149,178.78</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-590,100,777.94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-590,100,777.94</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114,575,150.67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114,575,150.67</w:t>
            </w:r>
          </w:p>
        </w:tc>
      </w:tr>
    </w:tbl>
    <w:p w:rsidR="00A46313" w:rsidRDefault="00125795">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 xml:space="preserve">    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004C2C35" w:rsidRPr="007F57C2">
        <w:rPr>
          <w:rFonts w:eastAsiaTheme="minorEastAsia" w:hint="eastAsia"/>
          <w:b/>
          <w:sz w:val="24"/>
        </w:rPr>
        <w:t xml:space="preserve"> </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交银增利债券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60,896,751.36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-14,980,413.26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45,916,338.10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19,626,125.59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-26,449,525.85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-6,823,400.26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-18,401,176.01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23,096,017.90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4,694,841.89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20,705,329.99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-10,599,475.23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10,105,854.76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-39,106,506.00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33,695,493.13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-5,411,012.87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-57,598,405.74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-57,598,405.74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4,523,295.20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-18,333,921.21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-13,810,626.01</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交银增利债券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21,092,101.72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-5,530,904.73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15,561,196.99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4,354,382.91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-6,603,327.07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-2,248,944.16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w:t>
            </w:r>
            <w:r w:rsidRPr="00A23615">
              <w:rPr>
                <w:rFonts w:hint="eastAsia"/>
                <w:color w:val="000000"/>
                <w:sz w:val="24"/>
              </w:rPr>
              <w:lastRenderedPageBreak/>
              <w:t>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lastRenderedPageBreak/>
              <w:t>-8,460,509.43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7,206,162.71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-1,254,346.72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11,562,941.31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-8,005,250.41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3,557,690.90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-20,023,450.74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15,211,413.12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-4,812,037.62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-15,958,895.68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-15,958,895.68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1,027,079.52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-4,928,069.09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-3,900,989.57</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004C2C35" w:rsidRPr="007F57C2">
        <w:rPr>
          <w:rFonts w:eastAsiaTheme="minorEastAsia" w:hint="eastAsia"/>
          <w:b/>
          <w:sz w:val="24"/>
        </w:rPr>
        <w:t xml:space="preserve"> </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426,532.52</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379,514.34</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127,103.63</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272,454.23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8,687.82</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69,418.53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562,323.97</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721,387.10</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27,564,515.95</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28,146,347.52</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-581,831.57</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Pr="007F57C2">
        <w:rPr>
          <w:rFonts w:eastAsiaTheme="minorEastAsia" w:hint="eastAsia"/>
          <w:b/>
          <w:sz w:val="24"/>
        </w:rPr>
        <w:t xml:space="preserve"> </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2015</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2015</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7B74F2" w:rsidP="00F47AFC">
            <w:pPr>
              <w:spacing w:before="29" w:line="288" w:lineRule="auto"/>
              <w:jc w:val="right"/>
              <w:rPr>
                <w:color w:val="000000"/>
                <w:kern w:val="0"/>
                <w:sz w:val="24"/>
              </w:rPr>
            </w:pPr>
            <w:r w:rsidRPr="007B74F2">
              <w:rPr>
                <w:color w:val="000000"/>
                <w:kern w:val="0"/>
                <w:sz w:val="24"/>
              </w:rPr>
              <w:t>4,950,896,766.63</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6,111,243,570.50</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lastRenderedPageBreak/>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4,896,435,898.65</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5,993,525,626.22</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7B74F2" w:rsidP="00F47AFC">
            <w:pPr>
              <w:spacing w:before="29" w:line="288" w:lineRule="auto"/>
              <w:jc w:val="right"/>
              <w:rPr>
                <w:color w:val="000000"/>
                <w:kern w:val="0"/>
                <w:sz w:val="24"/>
              </w:rPr>
            </w:pPr>
            <w:r w:rsidRPr="007B74F2">
              <w:rPr>
                <w:color w:val="000000"/>
                <w:kern w:val="0"/>
                <w:sz w:val="24"/>
              </w:rPr>
              <w:t>61,802,783.03</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70,538,454.26</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-7,341,915.05</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47,179,490.02</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5C4A35" w:rsidRPr="0004081A" w:rsidRDefault="005C4A35"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3240"/>
        <w:gridCol w:w="3240"/>
      </w:tblGrid>
      <w:tr w:rsidR="005C4A35" w:rsidRPr="00D564C7" w:rsidTr="000D7898">
        <w:trPr>
          <w:trHeight w:val="315"/>
        </w:trPr>
        <w:tc>
          <w:tcPr>
            <w:tcW w:w="2700" w:type="dxa"/>
            <w:vAlign w:val="center"/>
          </w:tcPr>
          <w:p w:rsidR="005C4A35" w:rsidRPr="000C342B" w:rsidRDefault="005C4A35"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40" w:type="dxa"/>
            <w:vAlign w:val="center"/>
          </w:tcPr>
          <w:p w:rsidR="005C4A35" w:rsidRPr="000C342B" w:rsidRDefault="005C4A35" w:rsidP="000C342B">
            <w:pPr>
              <w:widowControl/>
              <w:spacing w:before="29" w:line="288" w:lineRule="auto"/>
              <w:ind w:right="-15"/>
              <w:jc w:val="center"/>
              <w:rPr>
                <w:color w:val="000000"/>
                <w:sz w:val="24"/>
              </w:rPr>
            </w:pPr>
            <w:r w:rsidRPr="000C342B">
              <w:rPr>
                <w:rFonts w:hint="eastAsia"/>
                <w:color w:val="000000"/>
                <w:sz w:val="24"/>
              </w:rPr>
              <w:t>本期</w:t>
            </w:r>
          </w:p>
          <w:p w:rsidR="005C4A35" w:rsidRPr="000C342B" w:rsidRDefault="005C4A35"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40" w:type="dxa"/>
            <w:vAlign w:val="center"/>
          </w:tcPr>
          <w:p w:rsidR="005C4A35" w:rsidRPr="000C342B" w:rsidRDefault="005C4A35" w:rsidP="000C342B">
            <w:pPr>
              <w:widowControl/>
              <w:spacing w:before="29" w:line="288" w:lineRule="auto"/>
              <w:ind w:right="-15"/>
              <w:jc w:val="center"/>
              <w:rPr>
                <w:color w:val="000000"/>
                <w:sz w:val="24"/>
              </w:rPr>
            </w:pPr>
            <w:r w:rsidRPr="000C342B">
              <w:rPr>
                <w:rFonts w:hint="eastAsia"/>
                <w:color w:val="000000"/>
                <w:sz w:val="24"/>
              </w:rPr>
              <w:t>上年度可比期间</w:t>
            </w:r>
          </w:p>
          <w:p w:rsidR="005C4A35" w:rsidRPr="000C342B" w:rsidRDefault="005C4A35"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C4A35" w:rsidRPr="00D564C7" w:rsidTr="009B23B4">
        <w:trPr>
          <w:trHeight w:val="315"/>
        </w:trPr>
        <w:tc>
          <w:tcPr>
            <w:tcW w:w="2700" w:type="dxa"/>
            <w:vAlign w:val="center"/>
          </w:tcPr>
          <w:p w:rsidR="005C4A35" w:rsidRPr="009B23B4" w:rsidRDefault="005C4A35" w:rsidP="009B23B4">
            <w:pPr>
              <w:widowControl/>
              <w:autoSpaceDE w:val="0"/>
              <w:autoSpaceDN w:val="0"/>
              <w:spacing w:before="29" w:line="288" w:lineRule="auto"/>
              <w:textAlignment w:val="bottom"/>
              <w:rPr>
                <w:kern w:val="0"/>
                <w:sz w:val="24"/>
              </w:rPr>
            </w:pPr>
            <w:r w:rsidRPr="009B23B4">
              <w:rPr>
                <w:rFonts w:hint="eastAsia"/>
                <w:kern w:val="0"/>
                <w:sz w:val="24"/>
              </w:rPr>
              <w:t>卖出资产支持证券成交总额</w:t>
            </w:r>
          </w:p>
        </w:tc>
        <w:tc>
          <w:tcPr>
            <w:tcW w:w="3240" w:type="dxa"/>
            <w:vAlign w:val="bottom"/>
          </w:tcPr>
          <w:p w:rsidR="005C4A35" w:rsidRPr="004C1637" w:rsidRDefault="005C4A35" w:rsidP="004C1637">
            <w:pPr>
              <w:spacing w:before="29" w:line="288" w:lineRule="auto"/>
              <w:jc w:val="right"/>
              <w:rPr>
                <w:color w:val="000000"/>
                <w:kern w:val="0"/>
                <w:sz w:val="24"/>
              </w:rPr>
            </w:pPr>
            <w:r w:rsidRPr="004C1637">
              <w:rPr>
                <w:color w:val="000000"/>
                <w:kern w:val="0"/>
                <w:sz w:val="24"/>
              </w:rPr>
              <w:t>138,790,697.10</w:t>
            </w:r>
          </w:p>
        </w:tc>
        <w:tc>
          <w:tcPr>
            <w:tcW w:w="3240" w:type="dxa"/>
            <w:vAlign w:val="bottom"/>
          </w:tcPr>
          <w:p w:rsidR="005C4A35" w:rsidRPr="004C1637" w:rsidRDefault="005C4A35" w:rsidP="004C1637">
            <w:pPr>
              <w:spacing w:before="29" w:line="288" w:lineRule="auto"/>
              <w:jc w:val="right"/>
              <w:rPr>
                <w:color w:val="000000"/>
                <w:kern w:val="0"/>
                <w:sz w:val="24"/>
              </w:rPr>
            </w:pPr>
            <w:r w:rsidRPr="004C1637">
              <w:rPr>
                <w:color w:val="000000"/>
                <w:kern w:val="0"/>
                <w:sz w:val="24"/>
              </w:rPr>
              <w:t>-</w:t>
            </w:r>
          </w:p>
        </w:tc>
      </w:tr>
      <w:tr w:rsidR="005C4A35" w:rsidRPr="00D564C7" w:rsidTr="009B23B4">
        <w:trPr>
          <w:trHeight w:val="315"/>
        </w:trPr>
        <w:tc>
          <w:tcPr>
            <w:tcW w:w="2700" w:type="dxa"/>
            <w:vAlign w:val="center"/>
          </w:tcPr>
          <w:p w:rsidR="005C4A35" w:rsidRPr="009B23B4" w:rsidRDefault="005C4A35" w:rsidP="009B23B4">
            <w:pPr>
              <w:widowControl/>
              <w:autoSpaceDE w:val="0"/>
              <w:autoSpaceDN w:val="0"/>
              <w:spacing w:before="29" w:line="288" w:lineRule="auto"/>
              <w:textAlignment w:val="bottom"/>
              <w:rPr>
                <w:kern w:val="0"/>
                <w:sz w:val="24"/>
              </w:rPr>
            </w:pPr>
            <w:r w:rsidRPr="009B23B4">
              <w:rPr>
                <w:rFonts w:hint="eastAsia"/>
                <w:kern w:val="0"/>
                <w:sz w:val="24"/>
              </w:rPr>
              <w:t>减：卖出资产支持证券成本总额</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138,111,156.16</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w:t>
            </w:r>
          </w:p>
        </w:tc>
      </w:tr>
      <w:tr w:rsidR="005C4A35" w:rsidRPr="00D564C7" w:rsidTr="009B23B4">
        <w:trPr>
          <w:trHeight w:val="315"/>
        </w:trPr>
        <w:tc>
          <w:tcPr>
            <w:tcW w:w="2700" w:type="dxa"/>
            <w:vAlign w:val="center"/>
          </w:tcPr>
          <w:p w:rsidR="005C4A35" w:rsidRPr="009B23B4" w:rsidRDefault="005C4A35" w:rsidP="009B23B4">
            <w:pPr>
              <w:widowControl/>
              <w:autoSpaceDE w:val="0"/>
              <w:autoSpaceDN w:val="0"/>
              <w:spacing w:before="29" w:line="288" w:lineRule="auto"/>
              <w:textAlignment w:val="bottom"/>
              <w:rPr>
                <w:kern w:val="0"/>
                <w:sz w:val="24"/>
              </w:rPr>
            </w:pPr>
            <w:r w:rsidRPr="009B23B4">
              <w:rPr>
                <w:rFonts w:hint="eastAsia"/>
                <w:kern w:val="0"/>
                <w:sz w:val="24"/>
              </w:rPr>
              <w:t>减：应收利息总额</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619,725.61</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w:t>
            </w:r>
          </w:p>
        </w:tc>
      </w:tr>
      <w:tr w:rsidR="005C4A35" w:rsidRPr="00D564C7" w:rsidTr="009B23B4">
        <w:trPr>
          <w:trHeight w:val="315"/>
        </w:trPr>
        <w:tc>
          <w:tcPr>
            <w:tcW w:w="2700" w:type="dxa"/>
            <w:vAlign w:val="center"/>
          </w:tcPr>
          <w:p w:rsidR="005C4A35" w:rsidRPr="009B23B4" w:rsidRDefault="005C4A35" w:rsidP="009B23B4">
            <w:pPr>
              <w:widowControl/>
              <w:autoSpaceDE w:val="0"/>
              <w:autoSpaceDN w:val="0"/>
              <w:spacing w:before="29" w:line="288" w:lineRule="auto"/>
              <w:textAlignment w:val="bottom"/>
              <w:rPr>
                <w:kern w:val="0"/>
                <w:sz w:val="24"/>
              </w:rPr>
            </w:pPr>
            <w:r w:rsidRPr="009B23B4">
              <w:rPr>
                <w:rFonts w:hint="eastAsia"/>
                <w:kern w:val="0"/>
                <w:sz w:val="24"/>
              </w:rPr>
              <w:t>资产支持证券投资收益</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59,815.33</w:t>
            </w:r>
          </w:p>
        </w:tc>
        <w:tc>
          <w:tcPr>
            <w:tcW w:w="3240" w:type="dxa"/>
          </w:tcPr>
          <w:p w:rsidR="005C4A35" w:rsidRPr="004C1637" w:rsidRDefault="005C4A35" w:rsidP="004C1637">
            <w:pPr>
              <w:spacing w:before="29" w:line="288" w:lineRule="auto"/>
              <w:jc w:val="right"/>
              <w:rPr>
                <w:color w:val="000000"/>
                <w:kern w:val="0"/>
                <w:sz w:val="24"/>
              </w:rPr>
            </w:pPr>
            <w:r w:rsidRPr="004C1637">
              <w:rPr>
                <w:color w:val="000000"/>
                <w:kern w:val="0"/>
                <w:sz w:val="24"/>
              </w:rPr>
              <w:t>-</w:t>
            </w:r>
          </w:p>
        </w:tc>
      </w:tr>
    </w:tbl>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004C2C35" w:rsidRPr="0091476E">
        <w:rPr>
          <w:rFonts w:eastAsiaTheme="minorEastAsia" w:hint="eastAsia"/>
          <w:b/>
          <w:sz w:val="24"/>
        </w:rPr>
        <w:t xml:space="preserve"> </w:t>
      </w:r>
      <w:r w:rsidRPr="0091476E">
        <w:rPr>
          <w:rFonts w:eastAsiaTheme="minorEastAsia" w:hint="eastAsia"/>
          <w:b/>
          <w:sz w:val="24"/>
        </w:rPr>
        <w:t>衍生工具收益</w:t>
      </w:r>
    </w:p>
    <w:p w:rsidR="004D2B1B" w:rsidRPr="00B323A0" w:rsidRDefault="004D2B1B" w:rsidP="004D2B1B">
      <w:pPr>
        <w:tabs>
          <w:tab w:val="left" w:pos="426"/>
        </w:tabs>
        <w:spacing w:before="29" w:line="288" w:lineRule="auto"/>
        <w:jc w:val="left"/>
        <w:rPr>
          <w:kern w:val="0"/>
          <w:sz w:val="24"/>
        </w:rPr>
      </w:pPr>
      <w:r w:rsidRPr="00B323A0">
        <w:rPr>
          <w:kern w:val="0"/>
          <w:sz w:val="24"/>
        </w:rPr>
        <w:t>本基金本报告期内及上年度可比期间无衍生工具收益。</w:t>
      </w:r>
    </w:p>
    <w:p w:rsidR="001A59F9" w:rsidRPr="004D2B1B"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004C2C35" w:rsidRPr="0091476E">
        <w:rPr>
          <w:rFonts w:eastAsiaTheme="minorEastAsia" w:hint="eastAsia"/>
          <w:b/>
          <w:sz w:val="24"/>
        </w:rPr>
        <w:t xml:space="preserve"> </w:t>
      </w:r>
      <w:r w:rsidRPr="0091476E">
        <w:rPr>
          <w:rFonts w:eastAsiaTheme="minorEastAsia" w:hint="eastAsia"/>
          <w:b/>
          <w:sz w:val="24"/>
        </w:rPr>
        <w:t>股利收益</w:t>
      </w:r>
    </w:p>
    <w:p w:rsidR="001A59F9" w:rsidRDefault="001A59F9" w:rsidP="00294E74">
      <w:pPr>
        <w:tabs>
          <w:tab w:val="left" w:pos="426"/>
        </w:tabs>
        <w:spacing w:before="29" w:line="288" w:lineRule="auto"/>
        <w:jc w:val="left"/>
        <w:rPr>
          <w:kern w:val="0"/>
          <w:sz w:val="24"/>
        </w:rPr>
      </w:pPr>
      <w:r w:rsidRPr="00294E74">
        <w:rPr>
          <w:kern w:val="0"/>
          <w:sz w:val="24"/>
        </w:rPr>
        <w:t>本基金本报告期内及上年度可比期间无股利收益。</w:t>
      </w:r>
    </w:p>
    <w:p w:rsidR="00125795" w:rsidRPr="00294E74" w:rsidRDefault="00125795" w:rsidP="00294E74">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7.4.7.17</w:t>
      </w:r>
      <w:r w:rsidR="004C2C35" w:rsidRPr="0091476E">
        <w:rPr>
          <w:rFonts w:eastAsiaTheme="minorEastAsia" w:hint="eastAsia"/>
          <w:b/>
          <w:sz w:val="24"/>
        </w:rPr>
        <w:t xml:space="preserve"> </w:t>
      </w:r>
      <w:r w:rsidRPr="0091476E">
        <w:rPr>
          <w:rFonts w:eastAsiaTheme="minorEastAsia" w:hint="eastAsia"/>
          <w:b/>
          <w:sz w:val="24"/>
        </w:rPr>
        <w:t>公允价值变动收益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9978D5">
        <w:trPr>
          <w:trHeight w:val="285"/>
        </w:trPr>
        <w:tc>
          <w:tcPr>
            <w:tcW w:w="298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项目名称</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1.</w:t>
            </w:r>
            <w:r w:rsidRPr="006D61A7">
              <w:rPr>
                <w:rFonts w:hint="eastAsia"/>
                <w:sz w:val="24"/>
              </w:rPr>
              <w:t>交易性金融资产</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-33,052,852.92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5,734,208.84</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股票投资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债券投资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-32,386,852.92</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5,194,208.84</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资产支持证券投资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-666,000.00</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540,000.00</w:t>
            </w:r>
          </w:p>
        </w:tc>
      </w:tr>
      <w:tr w:rsidR="00585100" w:rsidRPr="00D564C7" w:rsidTr="009978D5">
        <w:trPr>
          <w:trHeight w:val="285"/>
        </w:trPr>
        <w:tc>
          <w:tcPr>
            <w:tcW w:w="2987" w:type="dxa"/>
            <w:vAlign w:val="center"/>
          </w:tcPr>
          <w:p w:rsidR="00585100" w:rsidRPr="006D61A7" w:rsidRDefault="00585100" w:rsidP="006D61A7">
            <w:pPr>
              <w:spacing w:before="29" w:line="288" w:lineRule="auto"/>
              <w:rPr>
                <w:sz w:val="24"/>
              </w:rPr>
            </w:pPr>
            <w:r w:rsidRPr="006D61A7">
              <w:rPr>
                <w:sz w:val="24"/>
              </w:rPr>
              <w:t>——</w:t>
            </w:r>
            <w:r w:rsidRPr="006D61A7">
              <w:rPr>
                <w:rFonts w:hint="eastAsia"/>
                <w:sz w:val="24"/>
              </w:rPr>
              <w:t>基金投资</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5253B" w:rsidP="006D61A7">
            <w:pPr>
              <w:spacing w:before="29" w:line="288" w:lineRule="auto"/>
              <w:rPr>
                <w:sz w:val="24"/>
              </w:rPr>
            </w:pPr>
            <w:r w:rsidRPr="006D61A7">
              <w:rPr>
                <w:sz w:val="24"/>
              </w:rPr>
              <w:t>——</w:t>
            </w:r>
            <w:r w:rsidR="00C01B02" w:rsidRPr="006D61A7">
              <w:rPr>
                <w:rFonts w:hint="eastAsia"/>
                <w:sz w:val="24"/>
              </w:rPr>
              <w:t>贵金属投资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lastRenderedPageBreak/>
              <w:t>2.</w:t>
            </w:r>
            <w:r w:rsidRPr="006D61A7">
              <w:rPr>
                <w:rFonts w:hint="eastAsia"/>
                <w:sz w:val="24"/>
              </w:rPr>
              <w:t>衍生工具</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w:t>
            </w:r>
            <w:r w:rsidRPr="006D61A7">
              <w:rPr>
                <w:rFonts w:hint="eastAsia"/>
                <w:sz w:val="24"/>
              </w:rPr>
              <w:t>权证投资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3.</w:t>
            </w:r>
            <w:r w:rsidRPr="006D61A7">
              <w:rPr>
                <w:rFonts w:hint="eastAsia"/>
                <w:sz w:val="24"/>
              </w:rPr>
              <w:t>其他</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rFonts w:hint="eastAsia"/>
                <w:sz w:val="24"/>
              </w:rPr>
              <w:t>合计</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-33,052,852.92</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5,734,208.84</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004C2C35" w:rsidRPr="0091476E">
        <w:rPr>
          <w:rFonts w:eastAsiaTheme="minorEastAsia" w:hint="eastAsia"/>
          <w:b/>
          <w:sz w:val="24"/>
        </w:rPr>
        <w:t xml:space="preserve"> </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r w:rsidR="0030655E">
              <w:rPr>
                <w:rFonts w:hint="eastAsia"/>
                <w:sz w:val="24"/>
              </w:rPr>
              <w:t xml:space="preserve">       </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175,500.27</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293,114.66</w:t>
            </w:r>
          </w:p>
        </w:tc>
      </w:tr>
      <w:tr w:rsidR="00A46313">
        <w:tc>
          <w:tcPr>
            <w:tcW w:w="2732" w:type="dxa"/>
            <w:vAlign w:val="center"/>
          </w:tcPr>
          <w:p w:rsidR="00A46313" w:rsidRDefault="00125795">
            <w:pPr>
              <w:jc w:val="left"/>
            </w:pPr>
            <w:r>
              <w:rPr>
                <w:sz w:val="24"/>
              </w:rPr>
              <w:t>基金转换费收入</w:t>
            </w:r>
          </w:p>
        </w:tc>
        <w:tc>
          <w:tcPr>
            <w:tcW w:w="2977" w:type="dxa"/>
            <w:vAlign w:val="center"/>
          </w:tcPr>
          <w:p w:rsidR="00A46313" w:rsidRDefault="00125795">
            <w:pPr>
              <w:jc w:val="right"/>
            </w:pPr>
            <w:r>
              <w:rPr>
                <w:sz w:val="24"/>
              </w:rPr>
              <w:t>10,345.19</w:t>
            </w:r>
          </w:p>
        </w:tc>
        <w:tc>
          <w:tcPr>
            <w:tcW w:w="3289" w:type="dxa"/>
            <w:vAlign w:val="center"/>
          </w:tcPr>
          <w:p w:rsidR="00A46313" w:rsidRDefault="00125795">
            <w:pPr>
              <w:jc w:val="right"/>
            </w:pPr>
            <w:r>
              <w:rPr>
                <w:sz w:val="24"/>
              </w:rPr>
              <w:t>107,437.00</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185,845.46</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400,551.66</w:t>
            </w:r>
          </w:p>
        </w:tc>
      </w:tr>
    </w:tbl>
    <w:p w:rsidR="00A46313" w:rsidRDefault="0012579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类基金份额的赎回费率按持有期间递减，不低于赎回费总额的</w:t>
      </w:r>
      <w:r>
        <w:rPr>
          <w:kern w:val="0"/>
          <w:sz w:val="24"/>
        </w:rPr>
        <w:t>25%</w:t>
      </w:r>
      <w:r>
        <w:rPr>
          <w:kern w:val="0"/>
          <w:sz w:val="24"/>
        </w:rPr>
        <w:t>归入基金资产；</w:t>
      </w:r>
    </w:p>
    <w:p w:rsidR="001A59F9" w:rsidRPr="00294E74" w:rsidRDefault="001A59F9"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、本基金的转换费由申购补差费和转出基金的赎回费两部分构成，其中转出基金的不低于赎回费的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7.4.7.19</w:t>
      </w:r>
      <w:r w:rsidR="004C2C35" w:rsidRPr="0091476E">
        <w:rPr>
          <w:rFonts w:eastAsiaTheme="minorEastAsia" w:hint="eastAsia"/>
          <w:b/>
          <w:sz w:val="24"/>
        </w:rPr>
        <w:t xml:space="preserve"> </w:t>
      </w:r>
      <w:r w:rsidRPr="0091476E">
        <w:rPr>
          <w:rFonts w:eastAsiaTheme="minorEastAsia" w:hint="eastAsia"/>
          <w:b/>
          <w:sz w:val="24"/>
        </w:rPr>
        <w:t>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D564C7" w:rsidTr="00001A3F">
        <w:trPr>
          <w:trHeight w:val="285"/>
        </w:trPr>
        <w:tc>
          <w:tcPr>
            <w:tcW w:w="253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16" w:type="dxa"/>
            <w:vAlign w:val="center"/>
          </w:tcPr>
          <w:p w:rsidR="00651650" w:rsidRDefault="001A59F9" w:rsidP="004211FD">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651650" w:rsidRDefault="00F64FAD" w:rsidP="004211FD">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556" w:type="dxa"/>
            <w:vAlign w:val="center"/>
          </w:tcPr>
          <w:p w:rsidR="00651650" w:rsidRDefault="001A59F9" w:rsidP="004211FD">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651650" w:rsidRDefault="007F35DC" w:rsidP="004211FD">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交易所市场交易费用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6,967.95</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65,946.15</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银行间市场交易费用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48,600.00</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55,625.00</w:t>
            </w:r>
          </w:p>
        </w:tc>
      </w:tr>
      <w:tr w:rsidR="001A59F9" w:rsidRPr="00D564C7" w:rsidTr="00001A3F">
        <w:trPr>
          <w:trHeight w:val="285"/>
        </w:trPr>
        <w:tc>
          <w:tcPr>
            <w:tcW w:w="2530" w:type="dxa"/>
            <w:vAlign w:val="center"/>
          </w:tcPr>
          <w:p w:rsidR="001A59F9" w:rsidRPr="00D564C7" w:rsidRDefault="001A59F9" w:rsidP="007A5E99">
            <w:pPr>
              <w:spacing w:before="29" w:line="288" w:lineRule="auto"/>
              <w:rPr>
                <w:rFonts w:asciiTheme="minorEastAsia" w:eastAsiaTheme="minorEastAsia" w:hAnsiTheme="minorEastAsia"/>
                <w:szCs w:val="21"/>
              </w:rPr>
            </w:pPr>
            <w:r w:rsidRPr="007A5E99">
              <w:rPr>
                <w:rFonts w:hint="eastAsia"/>
                <w:sz w:val="24"/>
              </w:rPr>
              <w:t>合计</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55,567.95</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121,571.15</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004C2C35" w:rsidRPr="0091476E">
        <w:rPr>
          <w:rFonts w:eastAsiaTheme="minorEastAsia" w:hint="eastAsia"/>
          <w:b/>
          <w:sz w:val="24"/>
        </w:rPr>
        <w:t xml:space="preserve"> </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90,000.00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r>
      <w:tr w:rsidR="00A46313">
        <w:tc>
          <w:tcPr>
            <w:tcW w:w="2819" w:type="dxa"/>
            <w:vAlign w:val="center"/>
          </w:tcPr>
          <w:p w:rsidR="00A46313" w:rsidRDefault="00125795">
            <w:pPr>
              <w:jc w:val="left"/>
            </w:pPr>
            <w:r>
              <w:rPr>
                <w:sz w:val="24"/>
              </w:rPr>
              <w:t>银行汇划费</w:t>
            </w:r>
          </w:p>
        </w:tc>
        <w:tc>
          <w:tcPr>
            <w:tcW w:w="2856" w:type="dxa"/>
            <w:vAlign w:val="center"/>
          </w:tcPr>
          <w:p w:rsidR="00A46313" w:rsidRDefault="00125795">
            <w:pPr>
              <w:jc w:val="right"/>
            </w:pPr>
            <w:r>
              <w:rPr>
                <w:sz w:val="24"/>
              </w:rPr>
              <w:t>42,279.03</w:t>
            </w:r>
          </w:p>
        </w:tc>
        <w:tc>
          <w:tcPr>
            <w:tcW w:w="3323" w:type="dxa"/>
            <w:vAlign w:val="center"/>
          </w:tcPr>
          <w:p w:rsidR="00A46313" w:rsidRDefault="00125795">
            <w:pPr>
              <w:jc w:val="right"/>
            </w:pPr>
            <w:r>
              <w:rPr>
                <w:sz w:val="24"/>
              </w:rPr>
              <w:t>55,509.08</w:t>
            </w:r>
          </w:p>
        </w:tc>
      </w:tr>
      <w:tr w:rsidR="00A46313">
        <w:tc>
          <w:tcPr>
            <w:tcW w:w="2819" w:type="dxa"/>
            <w:vAlign w:val="center"/>
          </w:tcPr>
          <w:p w:rsidR="00A46313" w:rsidRDefault="00125795">
            <w:pPr>
              <w:jc w:val="left"/>
            </w:pPr>
            <w:r>
              <w:rPr>
                <w:sz w:val="24"/>
              </w:rPr>
              <w:lastRenderedPageBreak/>
              <w:t>债券帐户维护费</w:t>
            </w:r>
          </w:p>
        </w:tc>
        <w:tc>
          <w:tcPr>
            <w:tcW w:w="2856" w:type="dxa"/>
            <w:vAlign w:val="center"/>
          </w:tcPr>
          <w:p w:rsidR="00A46313" w:rsidRDefault="00125795">
            <w:pPr>
              <w:jc w:val="right"/>
            </w:pPr>
            <w:r>
              <w:rPr>
                <w:sz w:val="24"/>
              </w:rPr>
              <w:t>37,200.00</w:t>
            </w:r>
          </w:p>
        </w:tc>
        <w:tc>
          <w:tcPr>
            <w:tcW w:w="3323" w:type="dxa"/>
            <w:vAlign w:val="center"/>
          </w:tcPr>
          <w:p w:rsidR="00A46313" w:rsidRDefault="00125795">
            <w:pPr>
              <w:jc w:val="right"/>
            </w:pPr>
            <w:r>
              <w:rPr>
                <w:sz w:val="24"/>
              </w:rPr>
              <w:t>36,450.00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409,479.03</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421,959.08</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004C2C35" w:rsidRPr="0091476E">
        <w:rPr>
          <w:rFonts w:eastAsiaTheme="minorEastAsia" w:hint="eastAsia"/>
          <w:b/>
          <w:sz w:val="24"/>
        </w:rPr>
        <w:t xml:space="preserve"> </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A46313" w:rsidRDefault="00125795">
      <w:pPr>
        <w:spacing w:before="29" w:line="288" w:lineRule="auto"/>
        <w:ind w:firstLineChars="200" w:firstLine="480"/>
        <w:rPr>
          <w:kern w:val="0"/>
          <w:sz w:val="24"/>
        </w:rPr>
      </w:pPr>
      <w:r>
        <w:rPr>
          <w:kern w:val="0"/>
          <w:sz w:val="24"/>
        </w:rPr>
        <w:t>财政部、国家税务总局于</w:t>
      </w:r>
      <w:r>
        <w:rPr>
          <w:kern w:val="0"/>
          <w:sz w:val="24"/>
        </w:rPr>
        <w:t>2016</w:t>
      </w:r>
      <w:r>
        <w:rPr>
          <w:kern w:val="0"/>
          <w:sz w:val="24"/>
        </w:rPr>
        <w:t>年</w:t>
      </w:r>
      <w:r>
        <w:rPr>
          <w:kern w:val="0"/>
          <w:sz w:val="24"/>
        </w:rPr>
        <w:t>12</w:t>
      </w:r>
      <w:r>
        <w:rPr>
          <w:kern w:val="0"/>
          <w:sz w:val="24"/>
        </w:rPr>
        <w:t>月</w:t>
      </w:r>
      <w:r>
        <w:rPr>
          <w:kern w:val="0"/>
          <w:sz w:val="24"/>
        </w:rPr>
        <w:t>21</w:t>
      </w:r>
      <w:r>
        <w:rPr>
          <w:kern w:val="0"/>
          <w:sz w:val="24"/>
        </w:rPr>
        <w:t>日颁布《关于明确金融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w:t>
      </w:r>
      <w:r>
        <w:rPr>
          <w:kern w:val="0"/>
          <w:sz w:val="24"/>
        </w:rPr>
        <w:t>(</w:t>
      </w:r>
      <w:r>
        <w:rPr>
          <w:kern w:val="0"/>
          <w:sz w:val="24"/>
        </w:rPr>
        <w:t>财税</w:t>
      </w:r>
      <w:r>
        <w:rPr>
          <w:kern w:val="0"/>
          <w:sz w:val="24"/>
        </w:rPr>
        <w:t>[2016]140</w:t>
      </w:r>
      <w:r>
        <w:rPr>
          <w:kern w:val="0"/>
          <w:sz w:val="24"/>
        </w:rPr>
        <w:t>号</w:t>
      </w:r>
      <w:r>
        <w:rPr>
          <w:kern w:val="0"/>
          <w:sz w:val="24"/>
        </w:rPr>
        <w:t>)</w:t>
      </w:r>
      <w:r>
        <w:rPr>
          <w:kern w:val="0"/>
          <w:sz w:val="24"/>
        </w:rPr>
        <w:t>，要求资管产品运营过程中发生的增值税应税行为，以资管产品管理人为增值税纳税人，自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日起执行。</w:t>
      </w:r>
    </w:p>
    <w:p w:rsidR="001A59F9" w:rsidRPr="00AB42A1" w:rsidRDefault="001A59F9" w:rsidP="00AB42A1">
      <w:pPr>
        <w:spacing w:before="29" w:line="288" w:lineRule="auto"/>
        <w:ind w:firstLineChars="200" w:firstLine="480"/>
        <w:rPr>
          <w:kern w:val="0"/>
          <w:sz w:val="24"/>
        </w:rPr>
      </w:pPr>
      <w:r w:rsidRPr="00AB42A1">
        <w:rPr>
          <w:kern w:val="0"/>
          <w:sz w:val="24"/>
        </w:rPr>
        <w:t>根据财政部、国家税务总局于</w:t>
      </w:r>
      <w:r w:rsidRPr="00AB42A1">
        <w:rPr>
          <w:kern w:val="0"/>
          <w:sz w:val="24"/>
        </w:rPr>
        <w:t>2017</w:t>
      </w:r>
      <w:r w:rsidRPr="00AB42A1">
        <w:rPr>
          <w:kern w:val="0"/>
          <w:sz w:val="24"/>
        </w:rPr>
        <w:t>年</w:t>
      </w:r>
      <w:r w:rsidRPr="00AB42A1">
        <w:rPr>
          <w:kern w:val="0"/>
          <w:sz w:val="24"/>
        </w:rPr>
        <w:t>1</w:t>
      </w:r>
      <w:r w:rsidRPr="00AB42A1">
        <w:rPr>
          <w:kern w:val="0"/>
          <w:sz w:val="24"/>
        </w:rPr>
        <w:t>月</w:t>
      </w:r>
      <w:r w:rsidRPr="00AB42A1">
        <w:rPr>
          <w:kern w:val="0"/>
          <w:sz w:val="24"/>
        </w:rPr>
        <w:t>6</w:t>
      </w:r>
      <w:r w:rsidRPr="00AB42A1">
        <w:rPr>
          <w:kern w:val="0"/>
          <w:sz w:val="24"/>
        </w:rPr>
        <w:t>日颁布的《关于资管产品增值税政策有关问题的补充通知》</w:t>
      </w:r>
      <w:r w:rsidRPr="00AB42A1">
        <w:rPr>
          <w:kern w:val="0"/>
          <w:sz w:val="24"/>
        </w:rPr>
        <w:t>(</w:t>
      </w:r>
      <w:r w:rsidRPr="00AB42A1">
        <w:rPr>
          <w:kern w:val="0"/>
          <w:sz w:val="24"/>
        </w:rPr>
        <w:t>财税</w:t>
      </w:r>
      <w:r w:rsidRPr="00AB42A1">
        <w:rPr>
          <w:kern w:val="0"/>
          <w:sz w:val="24"/>
        </w:rPr>
        <w:t>[2017]2</w:t>
      </w:r>
      <w:r w:rsidRPr="00AB42A1">
        <w:rPr>
          <w:kern w:val="0"/>
          <w:sz w:val="24"/>
        </w:rPr>
        <w:t>号</w:t>
      </w:r>
      <w:r w:rsidRPr="00AB42A1">
        <w:rPr>
          <w:kern w:val="0"/>
          <w:sz w:val="24"/>
        </w:rPr>
        <w:t>)</w:t>
      </w:r>
      <w:r w:rsidRPr="00AB42A1">
        <w:rPr>
          <w:kern w:val="0"/>
          <w:sz w:val="24"/>
        </w:rPr>
        <w:t>，</w:t>
      </w:r>
      <w:r w:rsidRPr="00AB42A1">
        <w:rPr>
          <w:kern w:val="0"/>
          <w:sz w:val="24"/>
        </w:rPr>
        <w:t>2017</w:t>
      </w:r>
      <w:r w:rsidRPr="00AB42A1">
        <w:rPr>
          <w:kern w:val="0"/>
          <w:sz w:val="24"/>
        </w:rPr>
        <w:t>年</w:t>
      </w:r>
      <w:r w:rsidRPr="00AB42A1">
        <w:rPr>
          <w:kern w:val="0"/>
          <w:sz w:val="24"/>
        </w:rPr>
        <w:t>7</w:t>
      </w:r>
      <w:r w:rsidRPr="00AB42A1">
        <w:rPr>
          <w:kern w:val="0"/>
          <w:sz w:val="24"/>
        </w:rPr>
        <w:t>月</w:t>
      </w:r>
      <w:r w:rsidRPr="00AB42A1">
        <w:rPr>
          <w:kern w:val="0"/>
          <w:sz w:val="24"/>
        </w:rPr>
        <w:t>1</w:t>
      </w:r>
      <w:r w:rsidRPr="00AB42A1">
        <w:rPr>
          <w:kern w:val="0"/>
          <w:sz w:val="24"/>
        </w:rPr>
        <w:t>日</w:t>
      </w:r>
      <w:r w:rsidRPr="00AB42A1">
        <w:rPr>
          <w:kern w:val="0"/>
          <w:sz w:val="24"/>
        </w:rPr>
        <w:t>(</w:t>
      </w:r>
      <w:r w:rsidRPr="00AB42A1">
        <w:rPr>
          <w:kern w:val="0"/>
          <w:sz w:val="24"/>
        </w:rPr>
        <w:t>含</w:t>
      </w:r>
      <w:r w:rsidRPr="00AB42A1">
        <w:rPr>
          <w:kern w:val="0"/>
          <w:sz w:val="24"/>
        </w:rPr>
        <w:t>)</w:t>
      </w:r>
      <w:r w:rsidRPr="00AB42A1">
        <w:rPr>
          <w:kern w:val="0"/>
          <w:sz w:val="24"/>
        </w:rPr>
        <w:t>以后，资管产品运营过程中发生的增值税应税行为，以资管产品管理人为增值税纳税人，按照现行规定缴纳增值税。对资管产品在</w:t>
      </w:r>
      <w:r w:rsidRPr="00AB42A1">
        <w:rPr>
          <w:kern w:val="0"/>
          <w:sz w:val="24"/>
        </w:rPr>
        <w:t>2017</w:t>
      </w:r>
      <w:r w:rsidRPr="00AB42A1">
        <w:rPr>
          <w:kern w:val="0"/>
          <w:sz w:val="24"/>
        </w:rPr>
        <w:t>年</w:t>
      </w:r>
      <w:r w:rsidRPr="00AB42A1">
        <w:rPr>
          <w:kern w:val="0"/>
          <w:sz w:val="24"/>
        </w:rPr>
        <w:t>7</w:t>
      </w:r>
      <w:r w:rsidRPr="00AB42A1">
        <w:rPr>
          <w:kern w:val="0"/>
          <w:sz w:val="24"/>
        </w:rPr>
        <w:t>月</w:t>
      </w:r>
      <w:r w:rsidRPr="00AB42A1">
        <w:rPr>
          <w:kern w:val="0"/>
          <w:sz w:val="24"/>
        </w:rPr>
        <w:t>1</w:t>
      </w:r>
      <w:r w:rsidRPr="00AB42A1">
        <w:rPr>
          <w:kern w:val="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91476E" w:rsidRDefault="001A59F9"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7.4.9</w:t>
      </w:r>
      <w:r w:rsidR="004C2C35" w:rsidRPr="0091476E">
        <w:rPr>
          <w:rFonts w:eastAsiaTheme="minorEastAsia" w:hint="eastAsia"/>
          <w:b/>
          <w:sz w:val="24"/>
        </w:rPr>
        <w:t xml:space="preserve"> </w:t>
      </w:r>
      <w:r w:rsidRPr="0091476E">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关联方名称</w:t>
            </w:r>
          </w:p>
        </w:tc>
        <w:tc>
          <w:tcPr>
            <w:tcW w:w="378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与本基金的关系</w:t>
            </w:r>
          </w:p>
        </w:tc>
      </w:tr>
      <w:tr w:rsidR="00A46313">
        <w:tc>
          <w:tcPr>
            <w:tcW w:w="5220" w:type="dxa"/>
            <w:vAlign w:val="center"/>
          </w:tcPr>
          <w:p w:rsidR="00A46313" w:rsidRDefault="00125795">
            <w:pPr>
              <w:jc w:val="left"/>
            </w:pPr>
            <w:r>
              <w:rPr>
                <w:sz w:val="24"/>
              </w:rPr>
              <w:t>交银施罗德基金管理有限公司</w:t>
            </w:r>
            <w:r>
              <w:rPr>
                <w:sz w:val="24"/>
              </w:rPr>
              <w:t>(“</w:t>
            </w:r>
            <w:r>
              <w:rPr>
                <w:sz w:val="24"/>
              </w:rPr>
              <w:t>交银施罗德基金公司</w:t>
            </w:r>
            <w:r>
              <w:rPr>
                <w:sz w:val="24"/>
              </w:rPr>
              <w:t>”)</w:t>
            </w:r>
          </w:p>
        </w:tc>
        <w:tc>
          <w:tcPr>
            <w:tcW w:w="3780" w:type="dxa"/>
            <w:vAlign w:val="center"/>
          </w:tcPr>
          <w:p w:rsidR="00A46313" w:rsidRDefault="00125795">
            <w:pPr>
              <w:jc w:val="center"/>
            </w:pPr>
            <w:r>
              <w:rPr>
                <w:sz w:val="24"/>
              </w:rPr>
              <w:t>基金管理人、基金销售机构</w:t>
            </w:r>
          </w:p>
        </w:tc>
      </w:tr>
      <w:tr w:rsidR="00A46313">
        <w:tc>
          <w:tcPr>
            <w:tcW w:w="5220" w:type="dxa"/>
            <w:vAlign w:val="center"/>
          </w:tcPr>
          <w:p w:rsidR="00A46313" w:rsidRDefault="00125795">
            <w:pPr>
              <w:jc w:val="left"/>
            </w:pPr>
            <w:r>
              <w:rPr>
                <w:sz w:val="24"/>
              </w:rPr>
              <w:t>中国建设银行股份有限公司</w:t>
            </w:r>
            <w:r>
              <w:rPr>
                <w:sz w:val="24"/>
              </w:rPr>
              <w:t>(“</w:t>
            </w:r>
            <w:r>
              <w:rPr>
                <w:sz w:val="24"/>
              </w:rPr>
              <w:t>中国建设银行</w:t>
            </w:r>
            <w:r>
              <w:rPr>
                <w:sz w:val="24"/>
              </w:rPr>
              <w:t>”)</w:t>
            </w:r>
          </w:p>
        </w:tc>
        <w:tc>
          <w:tcPr>
            <w:tcW w:w="3780" w:type="dxa"/>
            <w:vAlign w:val="center"/>
          </w:tcPr>
          <w:p w:rsidR="00A46313" w:rsidRDefault="00125795">
            <w:pPr>
              <w:jc w:val="center"/>
            </w:pPr>
            <w:r>
              <w:rPr>
                <w:sz w:val="24"/>
              </w:rPr>
              <w:t>基金托管人、基金销售机构</w:t>
            </w:r>
          </w:p>
        </w:tc>
      </w:tr>
      <w:tr w:rsidR="00A46313">
        <w:tc>
          <w:tcPr>
            <w:tcW w:w="5220" w:type="dxa"/>
            <w:vAlign w:val="center"/>
          </w:tcPr>
          <w:p w:rsidR="00A46313" w:rsidRDefault="00125795">
            <w:pPr>
              <w:jc w:val="left"/>
            </w:pPr>
            <w:r>
              <w:rPr>
                <w:sz w:val="24"/>
              </w:rPr>
              <w:t>交通银行股份有限公司（</w:t>
            </w:r>
            <w:r>
              <w:rPr>
                <w:sz w:val="24"/>
              </w:rPr>
              <w:t>“</w:t>
            </w:r>
            <w:r>
              <w:rPr>
                <w:sz w:val="24"/>
              </w:rPr>
              <w:t>交通银行</w:t>
            </w:r>
            <w:r>
              <w:rPr>
                <w:sz w:val="24"/>
              </w:rPr>
              <w:t>”</w:t>
            </w:r>
            <w:r>
              <w:rPr>
                <w:sz w:val="24"/>
              </w:rPr>
              <w:t>）</w:t>
            </w:r>
          </w:p>
        </w:tc>
        <w:tc>
          <w:tcPr>
            <w:tcW w:w="3780" w:type="dxa"/>
            <w:vAlign w:val="center"/>
          </w:tcPr>
          <w:p w:rsidR="00A46313" w:rsidRDefault="00125795">
            <w:pPr>
              <w:jc w:val="center"/>
            </w:pPr>
            <w:r>
              <w:rPr>
                <w:sz w:val="24"/>
              </w:rPr>
              <w:t>基金管理人的股东、基金销售机构</w:t>
            </w:r>
          </w:p>
        </w:tc>
      </w:tr>
      <w:tr w:rsidR="00A46313">
        <w:tc>
          <w:tcPr>
            <w:tcW w:w="5220" w:type="dxa"/>
            <w:vAlign w:val="center"/>
          </w:tcPr>
          <w:p w:rsidR="00A46313" w:rsidRDefault="00125795">
            <w:pPr>
              <w:jc w:val="left"/>
            </w:pPr>
            <w:r>
              <w:rPr>
                <w:sz w:val="24"/>
              </w:rPr>
              <w:t>施罗德投资管理有限公司</w:t>
            </w:r>
          </w:p>
        </w:tc>
        <w:tc>
          <w:tcPr>
            <w:tcW w:w="3780" w:type="dxa"/>
            <w:vAlign w:val="center"/>
          </w:tcPr>
          <w:p w:rsidR="00A46313" w:rsidRDefault="00125795">
            <w:pPr>
              <w:jc w:val="center"/>
            </w:pPr>
            <w:r>
              <w:rPr>
                <w:sz w:val="24"/>
              </w:rPr>
              <w:t>基金管理人的股东</w:t>
            </w:r>
          </w:p>
        </w:tc>
      </w:tr>
      <w:tr w:rsidR="00A46313">
        <w:tc>
          <w:tcPr>
            <w:tcW w:w="5220" w:type="dxa"/>
            <w:vAlign w:val="center"/>
          </w:tcPr>
          <w:p w:rsidR="00A46313" w:rsidRDefault="00125795">
            <w:pPr>
              <w:jc w:val="left"/>
            </w:pPr>
            <w:r>
              <w:rPr>
                <w:sz w:val="24"/>
              </w:rPr>
              <w:t>中国国际海运集装箱</w:t>
            </w:r>
            <w:r>
              <w:rPr>
                <w:sz w:val="24"/>
              </w:rPr>
              <w:t>(</w:t>
            </w:r>
            <w:r>
              <w:rPr>
                <w:sz w:val="24"/>
              </w:rPr>
              <w:t>集团</w:t>
            </w:r>
            <w:r>
              <w:rPr>
                <w:sz w:val="24"/>
              </w:rPr>
              <w:t>)</w:t>
            </w:r>
            <w:r>
              <w:rPr>
                <w:sz w:val="24"/>
              </w:rPr>
              <w:t>股份有限公司</w:t>
            </w:r>
          </w:p>
        </w:tc>
        <w:tc>
          <w:tcPr>
            <w:tcW w:w="3780" w:type="dxa"/>
            <w:vAlign w:val="center"/>
          </w:tcPr>
          <w:p w:rsidR="00A46313" w:rsidRDefault="00125795">
            <w:pPr>
              <w:jc w:val="center"/>
            </w:pPr>
            <w:r>
              <w:rPr>
                <w:sz w:val="24"/>
              </w:rPr>
              <w:t>基金管理人的股东</w:t>
            </w:r>
          </w:p>
        </w:tc>
      </w:tr>
      <w:tr w:rsidR="00A46313">
        <w:tc>
          <w:tcPr>
            <w:tcW w:w="5220" w:type="dxa"/>
            <w:vAlign w:val="center"/>
          </w:tcPr>
          <w:p w:rsidR="00A46313" w:rsidRDefault="00125795">
            <w:pPr>
              <w:jc w:val="left"/>
            </w:pPr>
            <w:r>
              <w:rPr>
                <w:sz w:val="24"/>
              </w:rPr>
              <w:t>交银施罗德资产管理有限公司</w:t>
            </w:r>
          </w:p>
        </w:tc>
        <w:tc>
          <w:tcPr>
            <w:tcW w:w="3780" w:type="dxa"/>
            <w:vAlign w:val="center"/>
          </w:tcPr>
          <w:p w:rsidR="00A46313" w:rsidRDefault="00125795">
            <w:pPr>
              <w:jc w:val="center"/>
            </w:pPr>
            <w:r>
              <w:rPr>
                <w:sz w:val="24"/>
              </w:rPr>
              <w:t>基金管理人的子公司</w:t>
            </w:r>
          </w:p>
        </w:tc>
      </w:tr>
      <w:tr w:rsidR="00A46313">
        <w:tc>
          <w:tcPr>
            <w:tcW w:w="5220" w:type="dxa"/>
            <w:vAlign w:val="center"/>
          </w:tcPr>
          <w:p w:rsidR="00A46313" w:rsidRDefault="00125795">
            <w:pPr>
              <w:jc w:val="left"/>
            </w:pPr>
            <w:r>
              <w:rPr>
                <w:sz w:val="24"/>
              </w:rPr>
              <w:t>上海直源投资管理有限公司</w:t>
            </w:r>
          </w:p>
        </w:tc>
        <w:tc>
          <w:tcPr>
            <w:tcW w:w="3780" w:type="dxa"/>
            <w:vAlign w:val="center"/>
          </w:tcPr>
          <w:p w:rsidR="00A46313" w:rsidRDefault="00125795">
            <w:pPr>
              <w:jc w:val="center"/>
            </w:pPr>
            <w:r>
              <w:rPr>
                <w:sz w:val="24"/>
              </w:rPr>
              <w:t>受基金管理人控制的公司</w:t>
            </w:r>
          </w:p>
        </w:tc>
      </w:tr>
      <w:tr w:rsidR="00A46313">
        <w:tc>
          <w:tcPr>
            <w:tcW w:w="5220" w:type="dxa"/>
            <w:vAlign w:val="center"/>
          </w:tcPr>
          <w:p w:rsidR="00A46313" w:rsidRDefault="00125795">
            <w:pPr>
              <w:jc w:val="left"/>
            </w:pPr>
            <w:r>
              <w:rPr>
                <w:sz w:val="24"/>
              </w:rPr>
              <w:t>交烨投资管理</w:t>
            </w:r>
            <w:r>
              <w:rPr>
                <w:sz w:val="24"/>
              </w:rPr>
              <w:t>(</w:t>
            </w:r>
            <w:r>
              <w:rPr>
                <w:sz w:val="24"/>
              </w:rPr>
              <w:t>上海</w:t>
            </w:r>
            <w:r>
              <w:rPr>
                <w:sz w:val="24"/>
              </w:rPr>
              <w:t>)</w:t>
            </w:r>
            <w:r>
              <w:rPr>
                <w:sz w:val="24"/>
              </w:rPr>
              <w:t>有限公司</w:t>
            </w:r>
          </w:p>
        </w:tc>
        <w:tc>
          <w:tcPr>
            <w:tcW w:w="3780" w:type="dxa"/>
            <w:vAlign w:val="center"/>
          </w:tcPr>
          <w:p w:rsidR="00A46313" w:rsidRDefault="00125795">
            <w:pPr>
              <w:jc w:val="center"/>
            </w:pPr>
            <w:r>
              <w:rPr>
                <w:sz w:val="24"/>
              </w:rPr>
              <w:t>受基金管理人控制的公司</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004C2C35" w:rsidRPr="0091476E">
        <w:rPr>
          <w:rFonts w:eastAsiaTheme="minorEastAsia" w:hint="eastAsia"/>
          <w:b/>
          <w:sz w:val="24"/>
        </w:rPr>
        <w:t xml:space="preserve"> </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004C2C35" w:rsidRPr="0091476E">
        <w:rPr>
          <w:rFonts w:eastAsiaTheme="minorEastAsia" w:hint="eastAsia"/>
          <w:b/>
          <w:sz w:val="24"/>
        </w:rPr>
        <w:t xml:space="preserve"> </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7.4.10.2</w:t>
      </w:r>
      <w:r w:rsidR="002637E8" w:rsidRPr="0091476E">
        <w:rPr>
          <w:rFonts w:eastAsiaTheme="minorEastAsia" w:hint="eastAsia"/>
          <w:b/>
          <w:sz w:val="24"/>
        </w:rPr>
        <w:t xml:space="preserve"> </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002637E8" w:rsidRPr="0091476E">
        <w:rPr>
          <w:rFonts w:eastAsiaTheme="minorEastAsia" w:hint="eastAsia"/>
          <w:b/>
          <w:sz w:val="24"/>
        </w:rPr>
        <w:t xml:space="preserve"> </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211FD">
        <w:tc>
          <w:tcPr>
            <w:tcW w:w="3686" w:type="dxa"/>
            <w:tcBorders>
              <w:bottom w:val="single" w:sz="4" w:space="0" w:color="000000"/>
            </w:tcBorders>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tcBorders>
              <w:bottom w:val="single" w:sz="4" w:space="0" w:color="000000"/>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6,107,634.57</w:t>
            </w:r>
          </w:p>
        </w:tc>
        <w:tc>
          <w:tcPr>
            <w:tcW w:w="2657" w:type="dxa"/>
            <w:tcBorders>
              <w:bottom w:val="single" w:sz="4" w:space="0" w:color="000000"/>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8,721,657.68</w:t>
            </w:r>
          </w:p>
        </w:tc>
      </w:tr>
      <w:tr w:rsidR="001A59F9" w:rsidRPr="00D564C7" w:rsidTr="004211FD">
        <w:tc>
          <w:tcPr>
            <w:tcW w:w="3686" w:type="dxa"/>
            <w:tcBorders>
              <w:bottom w:val="single" w:sz="4" w:space="0" w:color="auto"/>
            </w:tcBorders>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490,317.31</w:t>
            </w:r>
          </w:p>
        </w:tc>
        <w:tc>
          <w:tcPr>
            <w:tcW w:w="2657" w:type="dxa"/>
            <w:tcBorders>
              <w:bottom w:val="single" w:sz="4" w:space="0" w:color="auto"/>
            </w:tcBorders>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713,479.30</w:t>
            </w:r>
          </w:p>
        </w:tc>
      </w:tr>
    </w:tbl>
    <w:p w:rsidR="00A46313" w:rsidRDefault="00125795">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0.60%</w:t>
      </w:r>
      <w:r>
        <w:rPr>
          <w:kern w:val="0"/>
          <w:sz w:val="24"/>
        </w:rPr>
        <w:t>的年费率计提，逐日累计至每月月底，按月支付。</w:t>
      </w:r>
      <w:r>
        <w:rPr>
          <w:kern w:val="0"/>
          <w:sz w:val="24"/>
        </w:rPr>
        <w:t xml:space="preserve"> </w:t>
      </w:r>
      <w:r>
        <w:rPr>
          <w:kern w:val="0"/>
          <w:sz w:val="24"/>
        </w:rPr>
        <w:t>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×0.60%÷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002637E8" w:rsidRPr="0091476E">
        <w:rPr>
          <w:rFonts w:eastAsiaTheme="minorEastAsia" w:hint="eastAsia"/>
          <w:b/>
          <w:sz w:val="24"/>
        </w:rPr>
        <w:t xml:space="preserve"> </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2,035,878.20</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2,907,219.22</w:t>
            </w:r>
          </w:p>
        </w:tc>
      </w:tr>
    </w:tbl>
    <w:p w:rsidR="00A46313" w:rsidRDefault="00125795">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w:t>
      </w:r>
      <w:r>
        <w:rPr>
          <w:kern w:val="0"/>
          <w:sz w:val="24"/>
        </w:rPr>
        <w:t xml:space="preserve"> </w:t>
      </w:r>
      <w:r>
        <w:rPr>
          <w:kern w:val="0"/>
          <w:sz w:val="24"/>
        </w:rPr>
        <w:t>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002637E8" w:rsidRPr="0091476E">
        <w:rPr>
          <w:rFonts w:eastAsiaTheme="minorEastAsia" w:hint="eastAsia"/>
          <w:b/>
          <w:sz w:val="24"/>
        </w:rPr>
        <w:t xml:space="preserve"> </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2016</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2016</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A46313">
        <w:tc>
          <w:tcPr>
            <w:tcW w:w="2045" w:type="dxa"/>
            <w:vAlign w:val="center"/>
          </w:tcPr>
          <w:p w:rsidR="00A46313" w:rsidRDefault="00125795">
            <w:pPr>
              <w:jc w:val="left"/>
            </w:pPr>
            <w:r>
              <w:rPr>
                <w:sz w:val="24"/>
              </w:rPr>
              <w:t>交通银行</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280,572.20</w:t>
            </w:r>
          </w:p>
        </w:tc>
        <w:tc>
          <w:tcPr>
            <w:tcW w:w="1889" w:type="dxa"/>
            <w:vAlign w:val="center"/>
          </w:tcPr>
          <w:p w:rsidR="00A46313" w:rsidRDefault="00125795" w:rsidP="00A8371F">
            <w:pPr>
              <w:jc w:val="right"/>
            </w:pPr>
            <w:r>
              <w:rPr>
                <w:sz w:val="24"/>
              </w:rPr>
              <w:t>280,572.20</w:t>
            </w:r>
          </w:p>
        </w:tc>
      </w:tr>
      <w:tr w:rsidR="00A46313">
        <w:tc>
          <w:tcPr>
            <w:tcW w:w="2045" w:type="dxa"/>
            <w:vAlign w:val="center"/>
          </w:tcPr>
          <w:p w:rsidR="00A46313" w:rsidRDefault="00125795">
            <w:pPr>
              <w:jc w:val="left"/>
            </w:pPr>
            <w:r>
              <w:rPr>
                <w:sz w:val="24"/>
              </w:rPr>
              <w:t>中国建设银行</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66,017.90</w:t>
            </w:r>
          </w:p>
        </w:tc>
        <w:tc>
          <w:tcPr>
            <w:tcW w:w="1889" w:type="dxa"/>
            <w:vAlign w:val="center"/>
          </w:tcPr>
          <w:p w:rsidR="00A46313" w:rsidRDefault="00125795" w:rsidP="00A8371F">
            <w:pPr>
              <w:jc w:val="right"/>
            </w:pPr>
            <w:r>
              <w:rPr>
                <w:sz w:val="24"/>
              </w:rPr>
              <w:t>66,017.90</w:t>
            </w:r>
          </w:p>
        </w:tc>
      </w:tr>
      <w:tr w:rsidR="00A46313">
        <w:tc>
          <w:tcPr>
            <w:tcW w:w="2045" w:type="dxa"/>
            <w:vAlign w:val="center"/>
          </w:tcPr>
          <w:p w:rsidR="00A46313" w:rsidRDefault="00125795">
            <w:pPr>
              <w:jc w:val="left"/>
            </w:pPr>
            <w:r>
              <w:rPr>
                <w:sz w:val="24"/>
              </w:rPr>
              <w:t>交银施罗德基金公司</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291,028.07</w:t>
            </w:r>
          </w:p>
        </w:tc>
        <w:tc>
          <w:tcPr>
            <w:tcW w:w="1889" w:type="dxa"/>
            <w:vAlign w:val="center"/>
          </w:tcPr>
          <w:p w:rsidR="00A46313" w:rsidRDefault="00125795" w:rsidP="00A8371F">
            <w:pPr>
              <w:jc w:val="right"/>
            </w:pPr>
            <w:r>
              <w:rPr>
                <w:sz w:val="24"/>
              </w:rPr>
              <w:t>291,028.07</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w:t>
            </w:r>
          </w:p>
        </w:tc>
        <w:tc>
          <w:tcPr>
            <w:tcW w:w="2694"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637,618.17</w:t>
            </w:r>
          </w:p>
        </w:tc>
        <w:tc>
          <w:tcPr>
            <w:tcW w:w="1948"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637,618.17</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w:t>
            </w:r>
            <w:r w:rsidRPr="00251201">
              <w:rPr>
                <w:color w:val="000000"/>
                <w:sz w:val="24"/>
              </w:rPr>
              <w:lastRenderedPageBreak/>
              <w:t>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lastRenderedPageBreak/>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lastRenderedPageBreak/>
              <w:t>2015</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2015</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交银增利债券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A46313">
        <w:tc>
          <w:tcPr>
            <w:tcW w:w="2045" w:type="dxa"/>
            <w:vAlign w:val="center"/>
          </w:tcPr>
          <w:p w:rsidR="00A46313" w:rsidRDefault="00125795">
            <w:pPr>
              <w:jc w:val="left"/>
            </w:pPr>
            <w:r>
              <w:rPr>
                <w:sz w:val="24"/>
              </w:rPr>
              <w:t>交通银行</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328,283.95</w:t>
            </w:r>
          </w:p>
        </w:tc>
        <w:tc>
          <w:tcPr>
            <w:tcW w:w="1889" w:type="dxa"/>
            <w:vAlign w:val="center"/>
          </w:tcPr>
          <w:p w:rsidR="00A46313" w:rsidRDefault="00125795" w:rsidP="00A8371F">
            <w:pPr>
              <w:jc w:val="right"/>
            </w:pPr>
            <w:r>
              <w:rPr>
                <w:sz w:val="24"/>
              </w:rPr>
              <w:t>328,283.95</w:t>
            </w:r>
          </w:p>
        </w:tc>
      </w:tr>
      <w:tr w:rsidR="00A46313">
        <w:tc>
          <w:tcPr>
            <w:tcW w:w="2045" w:type="dxa"/>
            <w:vAlign w:val="center"/>
          </w:tcPr>
          <w:p w:rsidR="00A46313" w:rsidRDefault="00125795">
            <w:pPr>
              <w:jc w:val="left"/>
            </w:pPr>
            <w:r>
              <w:rPr>
                <w:sz w:val="24"/>
              </w:rPr>
              <w:t>中国建设银行</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98,975.23</w:t>
            </w:r>
          </w:p>
        </w:tc>
        <w:tc>
          <w:tcPr>
            <w:tcW w:w="1889" w:type="dxa"/>
            <w:vAlign w:val="center"/>
          </w:tcPr>
          <w:p w:rsidR="00A46313" w:rsidRDefault="00125795" w:rsidP="00A8371F">
            <w:pPr>
              <w:jc w:val="right"/>
            </w:pPr>
            <w:r>
              <w:rPr>
                <w:sz w:val="24"/>
              </w:rPr>
              <w:t>98,975.23</w:t>
            </w:r>
          </w:p>
        </w:tc>
      </w:tr>
      <w:tr w:rsidR="00A46313">
        <w:tc>
          <w:tcPr>
            <w:tcW w:w="2045" w:type="dxa"/>
            <w:vAlign w:val="center"/>
          </w:tcPr>
          <w:p w:rsidR="00A46313" w:rsidRDefault="00125795">
            <w:pPr>
              <w:jc w:val="left"/>
            </w:pPr>
            <w:r>
              <w:rPr>
                <w:sz w:val="24"/>
              </w:rPr>
              <w:t>交银施罗德基金公司</w:t>
            </w:r>
          </w:p>
        </w:tc>
        <w:tc>
          <w:tcPr>
            <w:tcW w:w="2455" w:type="dxa"/>
            <w:vAlign w:val="center"/>
          </w:tcPr>
          <w:p w:rsidR="00A46313" w:rsidRDefault="00125795" w:rsidP="00A8371F">
            <w:pPr>
              <w:jc w:val="right"/>
            </w:pPr>
            <w:r>
              <w:rPr>
                <w:sz w:val="24"/>
              </w:rPr>
              <w:t>-</w:t>
            </w:r>
          </w:p>
        </w:tc>
        <w:tc>
          <w:tcPr>
            <w:tcW w:w="2609" w:type="dxa"/>
            <w:vAlign w:val="center"/>
          </w:tcPr>
          <w:p w:rsidR="00A46313" w:rsidRDefault="00125795" w:rsidP="00A8371F">
            <w:pPr>
              <w:jc w:val="right"/>
            </w:pPr>
            <w:r>
              <w:rPr>
                <w:sz w:val="24"/>
              </w:rPr>
              <w:t>707,448.14</w:t>
            </w:r>
          </w:p>
        </w:tc>
        <w:tc>
          <w:tcPr>
            <w:tcW w:w="1889" w:type="dxa"/>
            <w:vAlign w:val="center"/>
          </w:tcPr>
          <w:p w:rsidR="00A46313" w:rsidRDefault="00125795" w:rsidP="00A8371F">
            <w:pPr>
              <w:jc w:val="right"/>
            </w:pPr>
            <w:r>
              <w:rPr>
                <w:sz w:val="24"/>
              </w:rPr>
              <w:t>707,448.14</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w:t>
            </w:r>
          </w:p>
        </w:tc>
        <w:tc>
          <w:tcPr>
            <w:tcW w:w="2694"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1,134,707.32</w:t>
            </w:r>
          </w:p>
        </w:tc>
        <w:tc>
          <w:tcPr>
            <w:tcW w:w="1948" w:type="dxa"/>
            <w:vAlign w:val="center"/>
          </w:tcPr>
          <w:p w:rsidR="00EF55B7" w:rsidRPr="00C2276D" w:rsidRDefault="00EF55B7" w:rsidP="00A8371F">
            <w:pPr>
              <w:spacing w:before="29" w:line="288" w:lineRule="auto"/>
              <w:jc w:val="right"/>
              <w:rPr>
                <w:color w:val="000000"/>
                <w:kern w:val="0"/>
                <w:sz w:val="24"/>
              </w:rPr>
            </w:pPr>
            <w:r w:rsidRPr="00C2276D">
              <w:rPr>
                <w:color w:val="000000"/>
                <w:kern w:val="0"/>
                <w:sz w:val="24"/>
              </w:rPr>
              <w:t>1,134,707.32</w:t>
            </w:r>
          </w:p>
        </w:tc>
      </w:tr>
    </w:tbl>
    <w:p w:rsidR="00A46313" w:rsidRDefault="00125795">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002637E8" w:rsidRPr="0091476E">
        <w:rPr>
          <w:rFonts w:eastAsiaTheme="minorEastAsia" w:hint="eastAsia"/>
          <w:b/>
          <w:sz w:val="24"/>
        </w:rPr>
        <w:t xml:space="preserve"> </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63220" w:rsidRPr="0004081A" w:rsidRDefault="0016322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A46313">
        <w:tc>
          <w:tcPr>
            <w:tcW w:w="1422" w:type="dxa"/>
            <w:vAlign w:val="center"/>
          </w:tcPr>
          <w:p w:rsidR="00A46313" w:rsidRDefault="00125795">
            <w:pPr>
              <w:jc w:val="left"/>
            </w:pPr>
            <w:r>
              <w:rPr>
                <w:bCs/>
                <w:color w:val="000000"/>
                <w:sz w:val="24"/>
              </w:rPr>
              <w:t>中国建设银行</w:t>
            </w:r>
          </w:p>
        </w:tc>
        <w:tc>
          <w:tcPr>
            <w:tcW w:w="1818" w:type="dxa"/>
            <w:vAlign w:val="center"/>
          </w:tcPr>
          <w:p w:rsidR="00A46313" w:rsidRDefault="00125795">
            <w:pPr>
              <w:jc w:val="right"/>
            </w:pPr>
            <w:r>
              <w:rPr>
                <w:bCs/>
                <w:color w:val="000000"/>
                <w:sz w:val="24"/>
              </w:rPr>
              <w:t>20,012,528.70</w:t>
            </w:r>
          </w:p>
        </w:tc>
        <w:tc>
          <w:tcPr>
            <w:tcW w:w="1260" w:type="dxa"/>
            <w:vAlign w:val="center"/>
          </w:tcPr>
          <w:p w:rsidR="00A46313" w:rsidRDefault="00125795">
            <w:pPr>
              <w:jc w:val="right"/>
            </w:pPr>
            <w:r>
              <w:rPr>
                <w:bCs/>
                <w:color w:val="000000"/>
                <w:sz w:val="24"/>
              </w:rPr>
              <w:t>-</w:t>
            </w:r>
          </w:p>
        </w:tc>
        <w:tc>
          <w:tcPr>
            <w:tcW w:w="1260" w:type="dxa"/>
            <w:vAlign w:val="center"/>
          </w:tcPr>
          <w:p w:rsidR="00A46313" w:rsidRDefault="00125795">
            <w:pPr>
              <w:jc w:val="right"/>
            </w:pPr>
            <w:r>
              <w:rPr>
                <w:bCs/>
                <w:color w:val="000000"/>
                <w:sz w:val="24"/>
              </w:rPr>
              <w:t>-</w:t>
            </w:r>
          </w:p>
        </w:tc>
        <w:tc>
          <w:tcPr>
            <w:tcW w:w="1080" w:type="dxa"/>
            <w:vAlign w:val="center"/>
          </w:tcPr>
          <w:p w:rsidR="00A46313" w:rsidRDefault="00125795">
            <w:pPr>
              <w:jc w:val="right"/>
            </w:pPr>
            <w:r>
              <w:rPr>
                <w:bCs/>
                <w:color w:val="000000"/>
                <w:sz w:val="24"/>
              </w:rPr>
              <w:t>-</w:t>
            </w:r>
          </w:p>
        </w:tc>
        <w:tc>
          <w:tcPr>
            <w:tcW w:w="1512" w:type="dxa"/>
            <w:vAlign w:val="center"/>
          </w:tcPr>
          <w:p w:rsidR="00A46313" w:rsidRDefault="00125795">
            <w:pPr>
              <w:jc w:val="right"/>
            </w:pPr>
            <w:r>
              <w:rPr>
                <w:bCs/>
                <w:color w:val="000000"/>
                <w:sz w:val="24"/>
              </w:rPr>
              <w:t>-</w:t>
            </w:r>
          </w:p>
        </w:tc>
        <w:tc>
          <w:tcPr>
            <w:tcW w:w="1083" w:type="dxa"/>
            <w:vAlign w:val="center"/>
          </w:tcPr>
          <w:p w:rsidR="00A46313" w:rsidRDefault="00125795">
            <w:pPr>
              <w:jc w:val="right"/>
            </w:pPr>
            <w:r>
              <w:rPr>
                <w:bCs/>
                <w:color w:val="000000"/>
                <w:sz w:val="24"/>
              </w:rPr>
              <w:t>-</w:t>
            </w:r>
          </w:p>
        </w:tc>
      </w:tr>
      <w:tr w:rsidR="00163220" w:rsidRPr="00D564C7" w:rsidTr="00400137">
        <w:tc>
          <w:tcPr>
            <w:tcW w:w="9435" w:type="dxa"/>
            <w:gridSpan w:val="7"/>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63220" w:rsidRPr="00D564C7" w:rsidTr="00400137">
        <w:tc>
          <w:tcPr>
            <w:tcW w:w="1422" w:type="dxa"/>
            <w:vMerge w:val="restart"/>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63220" w:rsidRPr="00D564C7" w:rsidTr="00163220">
        <w:tc>
          <w:tcPr>
            <w:tcW w:w="1422" w:type="dxa"/>
            <w:vMerge/>
            <w:vAlign w:val="center"/>
          </w:tcPr>
          <w:p w:rsidR="00163220" w:rsidRPr="000C342B"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63220" w:rsidRPr="000C342B" w:rsidRDefault="00163220"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A46313">
        <w:tc>
          <w:tcPr>
            <w:tcW w:w="1422" w:type="dxa"/>
            <w:vAlign w:val="center"/>
          </w:tcPr>
          <w:p w:rsidR="00A46313" w:rsidRDefault="00125795">
            <w:pPr>
              <w:jc w:val="left"/>
            </w:pPr>
            <w:r>
              <w:rPr>
                <w:bCs/>
                <w:color w:val="000000"/>
                <w:sz w:val="24"/>
              </w:rPr>
              <w:t>中国建设银行</w:t>
            </w:r>
          </w:p>
        </w:tc>
        <w:tc>
          <w:tcPr>
            <w:tcW w:w="1818" w:type="dxa"/>
            <w:vAlign w:val="center"/>
          </w:tcPr>
          <w:p w:rsidR="00A46313" w:rsidRDefault="00125795">
            <w:pPr>
              <w:jc w:val="right"/>
            </w:pPr>
            <w:r>
              <w:rPr>
                <w:bCs/>
                <w:color w:val="000000"/>
                <w:sz w:val="24"/>
              </w:rPr>
              <w:t>-</w:t>
            </w:r>
          </w:p>
        </w:tc>
        <w:tc>
          <w:tcPr>
            <w:tcW w:w="1260" w:type="dxa"/>
            <w:vAlign w:val="center"/>
          </w:tcPr>
          <w:p w:rsidR="00A46313" w:rsidRDefault="00125795">
            <w:pPr>
              <w:jc w:val="right"/>
            </w:pPr>
            <w:r>
              <w:rPr>
                <w:bCs/>
                <w:color w:val="000000"/>
                <w:sz w:val="24"/>
              </w:rPr>
              <w:t>121,522,319.84</w:t>
            </w:r>
          </w:p>
        </w:tc>
        <w:tc>
          <w:tcPr>
            <w:tcW w:w="1260" w:type="dxa"/>
            <w:vAlign w:val="center"/>
          </w:tcPr>
          <w:p w:rsidR="00A46313" w:rsidRDefault="00125795">
            <w:pPr>
              <w:jc w:val="right"/>
            </w:pPr>
            <w:r>
              <w:rPr>
                <w:bCs/>
                <w:color w:val="000000"/>
                <w:sz w:val="24"/>
              </w:rPr>
              <w:t>-</w:t>
            </w:r>
          </w:p>
        </w:tc>
        <w:tc>
          <w:tcPr>
            <w:tcW w:w="1080" w:type="dxa"/>
            <w:vAlign w:val="center"/>
          </w:tcPr>
          <w:p w:rsidR="00A46313" w:rsidRDefault="00125795">
            <w:pPr>
              <w:jc w:val="right"/>
            </w:pPr>
            <w:r>
              <w:rPr>
                <w:bCs/>
                <w:color w:val="000000"/>
                <w:sz w:val="24"/>
              </w:rPr>
              <w:t>-</w:t>
            </w:r>
          </w:p>
        </w:tc>
        <w:tc>
          <w:tcPr>
            <w:tcW w:w="1512" w:type="dxa"/>
            <w:vAlign w:val="center"/>
          </w:tcPr>
          <w:p w:rsidR="00A46313" w:rsidRDefault="00125795">
            <w:pPr>
              <w:jc w:val="right"/>
            </w:pPr>
            <w:r>
              <w:rPr>
                <w:bCs/>
                <w:color w:val="000000"/>
                <w:sz w:val="24"/>
              </w:rPr>
              <w:t>747,700,000.00</w:t>
            </w:r>
          </w:p>
        </w:tc>
        <w:tc>
          <w:tcPr>
            <w:tcW w:w="1083" w:type="dxa"/>
            <w:vAlign w:val="center"/>
          </w:tcPr>
          <w:p w:rsidR="00A46313" w:rsidRDefault="00125795">
            <w:pPr>
              <w:jc w:val="right"/>
            </w:pPr>
            <w:r>
              <w:rPr>
                <w:bCs/>
                <w:color w:val="000000"/>
                <w:sz w:val="24"/>
              </w:rPr>
              <w:t>203,665.20</w:t>
            </w:r>
          </w:p>
        </w:tc>
      </w:tr>
    </w:tbl>
    <w:p w:rsidR="00E55D95" w:rsidRDefault="00E55D95" w:rsidP="0004081A">
      <w:pPr>
        <w:autoSpaceDE w:val="0"/>
        <w:autoSpaceDN w:val="0"/>
        <w:adjustRightInd w:val="0"/>
        <w:spacing w:before="29" w:line="288" w:lineRule="auto"/>
        <w:ind w:left="15"/>
        <w:jc w:val="right"/>
        <w:rPr>
          <w:bCs/>
          <w:color w:val="00000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002637E8" w:rsidRPr="0091476E">
        <w:rPr>
          <w:rFonts w:eastAsiaTheme="minorEastAsia" w:hint="eastAsia"/>
          <w:b/>
          <w:sz w:val="24"/>
        </w:rPr>
        <w:t xml:space="preserve"> </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002637E8" w:rsidRPr="0091476E">
        <w:rPr>
          <w:rFonts w:eastAsiaTheme="minorEastAsia" w:hint="eastAsia"/>
          <w:b/>
          <w:sz w:val="24"/>
        </w:rPr>
        <w:t xml:space="preserve"> </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本报告期内及上年度可比期间未发生基金管理人运用固有资金投资本基金的情况。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002637E8" w:rsidRPr="0091476E">
        <w:rPr>
          <w:rFonts w:eastAsiaTheme="minorEastAsia" w:hint="eastAsia"/>
          <w:b/>
          <w:sz w:val="24"/>
        </w:rPr>
        <w:t xml:space="preserve"> </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002637E8" w:rsidRPr="0091476E">
        <w:rPr>
          <w:rFonts w:eastAsiaTheme="minorEastAsia" w:hint="eastAsia"/>
          <w:b/>
          <w:sz w:val="24"/>
        </w:rPr>
        <w:t xml:space="preserve"> </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52133" w:rsidTr="00C915A6">
        <w:tc>
          <w:tcPr>
            <w:tcW w:w="2268" w:type="dxa"/>
            <w:vMerge w:val="restart"/>
            <w:vAlign w:val="center"/>
          </w:tcPr>
          <w:p w:rsidR="00360905" w:rsidRPr="004211FD" w:rsidRDefault="003335BB" w:rsidP="000C342B">
            <w:pPr>
              <w:widowControl/>
              <w:autoSpaceDE w:val="0"/>
              <w:autoSpaceDN w:val="0"/>
              <w:spacing w:before="29" w:line="288" w:lineRule="auto"/>
              <w:ind w:right="-15"/>
              <w:jc w:val="center"/>
              <w:textAlignment w:val="bottom"/>
              <w:rPr>
                <w:color w:val="000000"/>
                <w:sz w:val="24"/>
              </w:rPr>
            </w:pPr>
            <w:r w:rsidRPr="004211FD">
              <w:rPr>
                <w:rFonts w:hint="eastAsia"/>
                <w:color w:val="000000"/>
                <w:sz w:val="24"/>
              </w:rPr>
              <w:t>关联方名称</w:t>
            </w:r>
          </w:p>
        </w:tc>
        <w:tc>
          <w:tcPr>
            <w:tcW w:w="3366" w:type="dxa"/>
            <w:gridSpan w:val="2"/>
          </w:tcPr>
          <w:p w:rsidR="00360905" w:rsidRPr="004211FD" w:rsidRDefault="003335BB" w:rsidP="000C342B">
            <w:pPr>
              <w:widowControl/>
              <w:autoSpaceDE w:val="0"/>
              <w:autoSpaceDN w:val="0"/>
              <w:spacing w:before="29" w:line="288" w:lineRule="auto"/>
              <w:ind w:right="-15"/>
              <w:jc w:val="center"/>
              <w:textAlignment w:val="bottom"/>
              <w:rPr>
                <w:color w:val="000000"/>
                <w:sz w:val="24"/>
              </w:rPr>
            </w:pPr>
            <w:r w:rsidRPr="004211FD">
              <w:rPr>
                <w:rFonts w:hint="eastAsia"/>
                <w:color w:val="000000"/>
                <w:sz w:val="24"/>
              </w:rPr>
              <w:t>本期</w:t>
            </w:r>
          </w:p>
          <w:p w:rsidR="00360905" w:rsidRPr="004211FD" w:rsidRDefault="003335BB" w:rsidP="000C342B">
            <w:pPr>
              <w:widowControl/>
              <w:autoSpaceDE w:val="0"/>
              <w:autoSpaceDN w:val="0"/>
              <w:spacing w:before="29" w:line="288" w:lineRule="auto"/>
              <w:ind w:right="-15"/>
              <w:jc w:val="center"/>
              <w:textAlignment w:val="bottom"/>
              <w:rPr>
                <w:color w:val="000000"/>
                <w:sz w:val="24"/>
              </w:rPr>
            </w:pPr>
            <w:r w:rsidRPr="004211FD">
              <w:rPr>
                <w:color w:val="000000"/>
                <w:sz w:val="24"/>
              </w:rPr>
              <w:t>2016</w:t>
            </w:r>
            <w:r w:rsidRPr="004211FD">
              <w:rPr>
                <w:rFonts w:hint="eastAsia"/>
                <w:color w:val="000000"/>
                <w:sz w:val="24"/>
              </w:rPr>
              <w:t>年</w:t>
            </w:r>
            <w:r w:rsidRPr="004211FD">
              <w:rPr>
                <w:color w:val="000000"/>
                <w:sz w:val="24"/>
              </w:rPr>
              <w:t>1</w:t>
            </w:r>
            <w:r w:rsidRPr="004211FD">
              <w:rPr>
                <w:rFonts w:hint="eastAsia"/>
                <w:color w:val="000000"/>
                <w:sz w:val="24"/>
              </w:rPr>
              <w:t>月</w:t>
            </w:r>
            <w:r w:rsidRPr="004211FD">
              <w:rPr>
                <w:color w:val="000000"/>
                <w:sz w:val="24"/>
              </w:rPr>
              <w:t>1</w:t>
            </w:r>
            <w:r w:rsidRPr="004211FD">
              <w:rPr>
                <w:rFonts w:hint="eastAsia"/>
                <w:color w:val="000000"/>
                <w:sz w:val="24"/>
              </w:rPr>
              <w:t>日至</w:t>
            </w:r>
            <w:r w:rsidRPr="004211FD">
              <w:rPr>
                <w:color w:val="000000"/>
                <w:sz w:val="24"/>
              </w:rPr>
              <w:t>2016</w:t>
            </w:r>
            <w:r w:rsidRPr="004211FD">
              <w:rPr>
                <w:rFonts w:hint="eastAsia"/>
                <w:color w:val="000000"/>
                <w:sz w:val="24"/>
              </w:rPr>
              <w:t>年</w:t>
            </w:r>
            <w:r w:rsidRPr="004211FD">
              <w:rPr>
                <w:color w:val="000000"/>
                <w:sz w:val="24"/>
              </w:rPr>
              <w:t>12</w:t>
            </w:r>
            <w:r w:rsidRPr="004211FD">
              <w:rPr>
                <w:rFonts w:hint="eastAsia"/>
                <w:color w:val="000000"/>
                <w:sz w:val="24"/>
              </w:rPr>
              <w:t>月</w:t>
            </w:r>
            <w:r w:rsidRPr="004211FD">
              <w:rPr>
                <w:color w:val="000000"/>
                <w:sz w:val="24"/>
              </w:rPr>
              <w:t>31</w:t>
            </w:r>
            <w:r w:rsidRPr="004211FD">
              <w:rPr>
                <w:rFonts w:hint="eastAsia"/>
                <w:color w:val="000000"/>
                <w:sz w:val="24"/>
              </w:rPr>
              <w:t>日</w:t>
            </w:r>
          </w:p>
        </w:tc>
        <w:tc>
          <w:tcPr>
            <w:tcW w:w="3366" w:type="dxa"/>
            <w:gridSpan w:val="2"/>
          </w:tcPr>
          <w:p w:rsidR="00360905" w:rsidRPr="004211FD" w:rsidRDefault="003335BB" w:rsidP="000C342B">
            <w:pPr>
              <w:widowControl/>
              <w:autoSpaceDE w:val="0"/>
              <w:autoSpaceDN w:val="0"/>
              <w:spacing w:before="29" w:line="288" w:lineRule="auto"/>
              <w:ind w:right="-15"/>
              <w:jc w:val="center"/>
              <w:textAlignment w:val="bottom"/>
              <w:rPr>
                <w:color w:val="000000"/>
                <w:sz w:val="24"/>
              </w:rPr>
            </w:pPr>
            <w:r w:rsidRPr="004211FD">
              <w:rPr>
                <w:rFonts w:hint="eastAsia"/>
                <w:color w:val="000000"/>
                <w:sz w:val="24"/>
              </w:rPr>
              <w:t>上年度可比期间</w:t>
            </w:r>
          </w:p>
          <w:p w:rsidR="00360905" w:rsidRPr="004211FD" w:rsidRDefault="003335BB" w:rsidP="000C342B">
            <w:pPr>
              <w:widowControl/>
              <w:autoSpaceDE w:val="0"/>
              <w:autoSpaceDN w:val="0"/>
              <w:spacing w:before="29" w:line="288" w:lineRule="auto"/>
              <w:ind w:right="-15"/>
              <w:jc w:val="center"/>
              <w:textAlignment w:val="bottom"/>
              <w:rPr>
                <w:color w:val="000000"/>
                <w:sz w:val="24"/>
              </w:rPr>
            </w:pPr>
            <w:r w:rsidRPr="004211FD">
              <w:rPr>
                <w:color w:val="000000"/>
                <w:sz w:val="24"/>
              </w:rPr>
              <w:t>2015</w:t>
            </w:r>
            <w:r w:rsidRPr="004211FD">
              <w:rPr>
                <w:rFonts w:hint="eastAsia"/>
                <w:color w:val="000000"/>
                <w:sz w:val="24"/>
              </w:rPr>
              <w:t>年</w:t>
            </w:r>
            <w:r w:rsidRPr="004211FD">
              <w:rPr>
                <w:color w:val="000000"/>
                <w:sz w:val="24"/>
              </w:rPr>
              <w:t>1</w:t>
            </w:r>
            <w:r w:rsidRPr="004211FD">
              <w:rPr>
                <w:rFonts w:hint="eastAsia"/>
                <w:color w:val="000000"/>
                <w:sz w:val="24"/>
              </w:rPr>
              <w:t>月</w:t>
            </w:r>
            <w:r w:rsidRPr="004211FD">
              <w:rPr>
                <w:color w:val="000000"/>
                <w:sz w:val="24"/>
              </w:rPr>
              <w:t>1</w:t>
            </w:r>
            <w:r w:rsidRPr="004211FD">
              <w:rPr>
                <w:rFonts w:hint="eastAsia"/>
                <w:color w:val="000000"/>
                <w:sz w:val="24"/>
              </w:rPr>
              <w:t>日至</w:t>
            </w:r>
            <w:r w:rsidRPr="004211FD">
              <w:rPr>
                <w:color w:val="000000"/>
                <w:sz w:val="24"/>
              </w:rPr>
              <w:t>2015</w:t>
            </w:r>
            <w:r w:rsidRPr="004211FD">
              <w:rPr>
                <w:rFonts w:hint="eastAsia"/>
                <w:color w:val="000000"/>
                <w:sz w:val="24"/>
              </w:rPr>
              <w:t>年</w:t>
            </w:r>
            <w:r w:rsidRPr="004211FD">
              <w:rPr>
                <w:color w:val="000000"/>
                <w:sz w:val="24"/>
              </w:rPr>
              <w:t>12</w:t>
            </w:r>
            <w:r w:rsidRPr="004211FD">
              <w:rPr>
                <w:rFonts w:hint="eastAsia"/>
                <w:color w:val="000000"/>
                <w:sz w:val="24"/>
              </w:rPr>
              <w:t>月</w:t>
            </w:r>
            <w:r w:rsidRPr="004211FD">
              <w:rPr>
                <w:color w:val="000000"/>
                <w:sz w:val="24"/>
              </w:rPr>
              <w:t>31</w:t>
            </w:r>
            <w:r w:rsidRPr="004211FD">
              <w:rPr>
                <w:rFonts w:hint="eastAsia"/>
                <w:color w:val="000000"/>
                <w:sz w:val="24"/>
              </w:rPr>
              <w:t>日</w:t>
            </w:r>
          </w:p>
        </w:tc>
      </w:tr>
      <w:tr w:rsidR="00360905" w:rsidRPr="00152133" w:rsidTr="00C915A6">
        <w:tc>
          <w:tcPr>
            <w:tcW w:w="2268" w:type="dxa"/>
            <w:vMerge/>
            <w:vAlign w:val="center"/>
          </w:tcPr>
          <w:p w:rsidR="00360905" w:rsidRPr="004211FD" w:rsidRDefault="00360905" w:rsidP="000C342B">
            <w:pPr>
              <w:widowControl/>
              <w:autoSpaceDE w:val="0"/>
              <w:autoSpaceDN w:val="0"/>
              <w:spacing w:before="29" w:line="288" w:lineRule="auto"/>
              <w:ind w:right="-15"/>
              <w:jc w:val="center"/>
              <w:textAlignment w:val="bottom"/>
              <w:rPr>
                <w:color w:val="000000"/>
                <w:sz w:val="24"/>
              </w:rPr>
            </w:pPr>
          </w:p>
        </w:tc>
        <w:tc>
          <w:tcPr>
            <w:tcW w:w="1683" w:type="dxa"/>
            <w:vAlign w:val="center"/>
          </w:tcPr>
          <w:p w:rsidR="00360905" w:rsidRPr="004211FD" w:rsidRDefault="003335BB" w:rsidP="000C342B">
            <w:pPr>
              <w:autoSpaceDE w:val="0"/>
              <w:autoSpaceDN w:val="0"/>
              <w:spacing w:before="29" w:line="288" w:lineRule="auto"/>
              <w:ind w:right="-15"/>
              <w:jc w:val="center"/>
              <w:textAlignment w:val="bottom"/>
              <w:rPr>
                <w:color w:val="000000"/>
                <w:sz w:val="24"/>
              </w:rPr>
            </w:pPr>
            <w:r w:rsidRPr="004211FD">
              <w:rPr>
                <w:rFonts w:hint="eastAsia"/>
                <w:color w:val="000000"/>
                <w:sz w:val="24"/>
              </w:rPr>
              <w:t>期末余额</w:t>
            </w:r>
          </w:p>
        </w:tc>
        <w:tc>
          <w:tcPr>
            <w:tcW w:w="1683" w:type="dxa"/>
            <w:vAlign w:val="center"/>
          </w:tcPr>
          <w:p w:rsidR="00360905" w:rsidRPr="004211FD" w:rsidRDefault="003335BB" w:rsidP="000C342B">
            <w:pPr>
              <w:autoSpaceDE w:val="0"/>
              <w:autoSpaceDN w:val="0"/>
              <w:spacing w:before="29" w:line="288" w:lineRule="auto"/>
              <w:ind w:right="-15"/>
              <w:jc w:val="center"/>
              <w:textAlignment w:val="bottom"/>
              <w:rPr>
                <w:color w:val="000000"/>
                <w:sz w:val="24"/>
              </w:rPr>
            </w:pPr>
            <w:r w:rsidRPr="004211FD">
              <w:rPr>
                <w:rFonts w:hint="eastAsia"/>
                <w:color w:val="000000"/>
                <w:sz w:val="24"/>
              </w:rPr>
              <w:t>当期利息收入</w:t>
            </w:r>
          </w:p>
        </w:tc>
        <w:tc>
          <w:tcPr>
            <w:tcW w:w="1683" w:type="dxa"/>
            <w:vAlign w:val="center"/>
          </w:tcPr>
          <w:p w:rsidR="00360905" w:rsidRPr="004211FD" w:rsidRDefault="003335BB" w:rsidP="000C342B">
            <w:pPr>
              <w:autoSpaceDE w:val="0"/>
              <w:autoSpaceDN w:val="0"/>
              <w:spacing w:before="29" w:line="288" w:lineRule="auto"/>
              <w:ind w:right="-15"/>
              <w:jc w:val="center"/>
              <w:textAlignment w:val="bottom"/>
              <w:rPr>
                <w:color w:val="000000"/>
                <w:sz w:val="24"/>
              </w:rPr>
            </w:pPr>
            <w:r w:rsidRPr="004211FD">
              <w:rPr>
                <w:rFonts w:hint="eastAsia"/>
                <w:color w:val="000000"/>
                <w:sz w:val="24"/>
              </w:rPr>
              <w:t>期末余额</w:t>
            </w:r>
          </w:p>
        </w:tc>
        <w:tc>
          <w:tcPr>
            <w:tcW w:w="1683" w:type="dxa"/>
            <w:vAlign w:val="center"/>
          </w:tcPr>
          <w:p w:rsidR="00360905" w:rsidRPr="004211FD" w:rsidRDefault="003335BB" w:rsidP="000C342B">
            <w:pPr>
              <w:autoSpaceDE w:val="0"/>
              <w:autoSpaceDN w:val="0"/>
              <w:spacing w:before="29" w:line="288" w:lineRule="auto"/>
              <w:ind w:right="-15"/>
              <w:jc w:val="center"/>
              <w:textAlignment w:val="bottom"/>
              <w:rPr>
                <w:color w:val="000000"/>
                <w:sz w:val="24"/>
              </w:rPr>
            </w:pPr>
            <w:r w:rsidRPr="004211FD">
              <w:rPr>
                <w:rFonts w:hint="eastAsia"/>
                <w:color w:val="000000"/>
                <w:sz w:val="24"/>
              </w:rPr>
              <w:t>当期利息收入</w:t>
            </w:r>
          </w:p>
        </w:tc>
      </w:tr>
      <w:tr w:rsidR="00A46313" w:rsidRPr="00152133">
        <w:tc>
          <w:tcPr>
            <w:tcW w:w="2268" w:type="dxa"/>
            <w:vAlign w:val="center"/>
          </w:tcPr>
          <w:p w:rsidR="00A46313" w:rsidRPr="004211FD" w:rsidRDefault="003335BB">
            <w:pPr>
              <w:jc w:val="left"/>
              <w:rPr>
                <w:sz w:val="24"/>
              </w:rPr>
            </w:pPr>
            <w:r w:rsidRPr="004211FD">
              <w:rPr>
                <w:rFonts w:hint="eastAsia"/>
                <w:sz w:val="24"/>
              </w:rPr>
              <w:t>中国建设银行</w:t>
            </w:r>
          </w:p>
        </w:tc>
        <w:tc>
          <w:tcPr>
            <w:tcW w:w="1683" w:type="dxa"/>
            <w:vAlign w:val="center"/>
          </w:tcPr>
          <w:p w:rsidR="00A46313" w:rsidRPr="004211FD" w:rsidRDefault="003335BB">
            <w:pPr>
              <w:jc w:val="right"/>
              <w:rPr>
                <w:sz w:val="24"/>
              </w:rPr>
            </w:pPr>
            <w:r w:rsidRPr="004211FD">
              <w:rPr>
                <w:sz w:val="24"/>
              </w:rPr>
              <w:t>55,830,714.66</w:t>
            </w:r>
          </w:p>
        </w:tc>
        <w:tc>
          <w:tcPr>
            <w:tcW w:w="1683" w:type="dxa"/>
            <w:vAlign w:val="center"/>
          </w:tcPr>
          <w:p w:rsidR="00A46313" w:rsidRPr="004211FD" w:rsidRDefault="003335BB">
            <w:pPr>
              <w:jc w:val="right"/>
              <w:rPr>
                <w:sz w:val="24"/>
              </w:rPr>
            </w:pPr>
            <w:r w:rsidRPr="004211FD">
              <w:rPr>
                <w:sz w:val="24"/>
              </w:rPr>
              <w:t>426,532.52</w:t>
            </w:r>
          </w:p>
        </w:tc>
        <w:tc>
          <w:tcPr>
            <w:tcW w:w="1683" w:type="dxa"/>
            <w:vAlign w:val="center"/>
          </w:tcPr>
          <w:p w:rsidR="00A46313" w:rsidRPr="004211FD" w:rsidRDefault="003335BB">
            <w:pPr>
              <w:jc w:val="right"/>
              <w:rPr>
                <w:sz w:val="24"/>
              </w:rPr>
            </w:pPr>
            <w:r w:rsidRPr="004211FD">
              <w:rPr>
                <w:sz w:val="24"/>
              </w:rPr>
              <w:t>98,638,804.86</w:t>
            </w:r>
          </w:p>
        </w:tc>
        <w:tc>
          <w:tcPr>
            <w:tcW w:w="1683" w:type="dxa"/>
            <w:vAlign w:val="center"/>
          </w:tcPr>
          <w:p w:rsidR="00A46313" w:rsidRPr="004211FD" w:rsidRDefault="003335BB">
            <w:pPr>
              <w:jc w:val="right"/>
              <w:rPr>
                <w:sz w:val="24"/>
              </w:rPr>
            </w:pPr>
            <w:r w:rsidRPr="004211FD">
              <w:rPr>
                <w:sz w:val="24"/>
              </w:rPr>
              <w:t>379,514.34</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002637E8" w:rsidRPr="0091476E">
        <w:rPr>
          <w:rFonts w:eastAsiaTheme="minorEastAsia" w:hint="eastAsia"/>
          <w:b/>
          <w:sz w:val="24"/>
        </w:rPr>
        <w:t xml:space="preserve"> </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7.4.10.7</w:t>
      </w:r>
      <w:r w:rsidR="002637E8" w:rsidRPr="0091476E">
        <w:rPr>
          <w:rFonts w:eastAsiaTheme="minorEastAsia" w:hint="eastAsia"/>
          <w:b/>
          <w:sz w:val="24"/>
        </w:rPr>
        <w:t xml:space="preserve"> </w:t>
      </w:r>
      <w:r w:rsidRPr="0091476E">
        <w:rPr>
          <w:rFonts w:eastAsiaTheme="minorEastAsia" w:hint="eastAsia"/>
          <w:b/>
          <w:sz w:val="24"/>
        </w:rPr>
        <w:t>其他关联交易事项的说明</w:t>
      </w:r>
    </w:p>
    <w:p w:rsidR="001A59F9" w:rsidRPr="00DE770B" w:rsidRDefault="001A59F9" w:rsidP="00DE770B">
      <w:pPr>
        <w:spacing w:before="29" w:line="288" w:lineRule="auto"/>
        <w:rPr>
          <w:kern w:val="0"/>
          <w:sz w:val="24"/>
        </w:rPr>
      </w:pPr>
      <w:r w:rsidRPr="00DE770B">
        <w:rPr>
          <w:kern w:val="0"/>
          <w:sz w:val="24"/>
        </w:rPr>
        <w:t>本基金本报告期内及上年度可比期间无其他关联交易事项。</w:t>
      </w:r>
    </w:p>
    <w:p w:rsidR="001A59F9" w:rsidRPr="00D564C7" w:rsidRDefault="001A59F9" w:rsidP="00CF3A8E">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002637E8" w:rsidRPr="0091476E">
        <w:rPr>
          <w:rFonts w:eastAsiaTheme="minorEastAsia" w:hint="eastAsia"/>
          <w:b/>
          <w:sz w:val="24"/>
        </w:rPr>
        <w:t xml:space="preserve"> </w:t>
      </w:r>
      <w:r w:rsidRPr="0091476E">
        <w:rPr>
          <w:rFonts w:eastAsiaTheme="minorEastAsia" w:hint="eastAsia"/>
          <w:b/>
          <w:sz w:val="24"/>
        </w:rPr>
        <w:t>利润分配情况</w:t>
      </w:r>
    </w:p>
    <w:p w:rsidR="00602AD8" w:rsidRPr="00F62C0F" w:rsidRDefault="00602AD8" w:rsidP="00F62C0F">
      <w:pPr>
        <w:adjustRightInd w:val="0"/>
        <w:snapToGrid w:val="0"/>
        <w:spacing w:before="29" w:line="288" w:lineRule="auto"/>
        <w:rPr>
          <w:color w:val="000000"/>
          <w:sz w:val="24"/>
        </w:rPr>
      </w:pPr>
      <w:r w:rsidRPr="00F62C0F">
        <w:rPr>
          <w:color w:val="000000"/>
          <w:sz w:val="24"/>
        </w:rPr>
        <w:t>交银增利债券</w:t>
      </w:r>
      <w:r w:rsidRPr="00F62C0F">
        <w:rPr>
          <w:color w:val="000000"/>
          <w:sz w:val="24"/>
        </w:rPr>
        <w:t>A/B</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09011B" w:rsidTr="005851B5">
        <w:trPr>
          <w:trHeight w:val="1323"/>
          <w:jc w:val="center"/>
        </w:trPr>
        <w:tc>
          <w:tcPr>
            <w:tcW w:w="853"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序号</w:t>
            </w:r>
          </w:p>
        </w:tc>
        <w:tc>
          <w:tcPr>
            <w:tcW w:w="1216"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权益登记日</w:t>
            </w:r>
          </w:p>
        </w:tc>
        <w:tc>
          <w:tcPr>
            <w:tcW w:w="1478"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除息日</w:t>
            </w:r>
          </w:p>
        </w:tc>
        <w:tc>
          <w:tcPr>
            <w:tcW w:w="1171"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每</w:t>
            </w:r>
            <w:r w:rsidRPr="0009011B">
              <w:rPr>
                <w:color w:val="000000"/>
                <w:szCs w:val="21"/>
              </w:rPr>
              <w:t>10</w:t>
            </w:r>
            <w:r w:rsidRPr="0009011B">
              <w:rPr>
                <w:color w:val="000000"/>
                <w:szCs w:val="21"/>
              </w:rPr>
              <w:t>份基金份额分红数</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现金形式发放总额</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再投资形式发放总额</w:t>
            </w:r>
          </w:p>
        </w:tc>
        <w:tc>
          <w:tcPr>
            <w:tcW w:w="1325" w:type="dxa"/>
            <w:shd w:val="clear" w:color="auto" w:fill="auto"/>
            <w:vAlign w:val="center"/>
          </w:tcPr>
          <w:p w:rsidR="00602AD8" w:rsidRPr="0009011B"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09011B">
              <w:rPr>
                <w:color w:val="000000"/>
                <w:szCs w:val="21"/>
              </w:rPr>
              <w:t>利润分配合计</w:t>
            </w:r>
          </w:p>
        </w:tc>
        <w:tc>
          <w:tcPr>
            <w:tcW w:w="948" w:type="dxa"/>
            <w:shd w:val="clear" w:color="auto" w:fill="auto"/>
            <w:vAlign w:val="center"/>
          </w:tcPr>
          <w:p w:rsidR="00602AD8" w:rsidRPr="0009011B" w:rsidRDefault="00602AD8" w:rsidP="00BF20F3">
            <w:pPr>
              <w:widowControl/>
              <w:spacing w:line="288" w:lineRule="auto"/>
              <w:ind w:right="-15"/>
              <w:jc w:val="center"/>
              <w:textAlignment w:val="bottom"/>
              <w:rPr>
                <w:color w:val="000000"/>
                <w:szCs w:val="21"/>
              </w:rPr>
            </w:pPr>
            <w:r w:rsidRPr="0009011B">
              <w:rPr>
                <w:color w:val="000000"/>
                <w:szCs w:val="21"/>
              </w:rPr>
              <w:t>备注</w:t>
            </w:r>
          </w:p>
        </w:tc>
      </w:tr>
      <w:tr w:rsidR="00125795" w:rsidTr="00125795">
        <w:trPr>
          <w:jc w:val="center"/>
        </w:trPr>
        <w:tc>
          <w:tcPr>
            <w:tcW w:w="853" w:type="dxa"/>
            <w:vAlign w:val="center"/>
          </w:tcPr>
          <w:p w:rsidR="00A46313" w:rsidRDefault="00125795">
            <w:pPr>
              <w:jc w:val="center"/>
            </w:pPr>
            <w:r>
              <w:rPr>
                <w:szCs w:val="21"/>
              </w:rPr>
              <w:t>1</w:t>
            </w:r>
          </w:p>
        </w:tc>
        <w:tc>
          <w:tcPr>
            <w:tcW w:w="1216" w:type="dxa"/>
            <w:vAlign w:val="center"/>
          </w:tcPr>
          <w:p w:rsidR="00A46313" w:rsidRDefault="00125795">
            <w:pPr>
              <w:jc w:val="center"/>
            </w:pPr>
            <w:r>
              <w:rPr>
                <w:szCs w:val="21"/>
              </w:rPr>
              <w:t>2016-01-13</w:t>
            </w:r>
          </w:p>
        </w:tc>
        <w:tc>
          <w:tcPr>
            <w:tcW w:w="1478" w:type="dxa"/>
            <w:vAlign w:val="center"/>
          </w:tcPr>
          <w:p w:rsidR="00A46313" w:rsidRDefault="00125795">
            <w:pPr>
              <w:jc w:val="center"/>
            </w:pPr>
            <w:r>
              <w:rPr>
                <w:szCs w:val="21"/>
              </w:rPr>
              <w:t>2016-01-13</w:t>
            </w:r>
          </w:p>
        </w:tc>
        <w:tc>
          <w:tcPr>
            <w:tcW w:w="1171" w:type="dxa"/>
            <w:vAlign w:val="center"/>
          </w:tcPr>
          <w:p w:rsidR="00A46313" w:rsidRDefault="00125795">
            <w:pPr>
              <w:jc w:val="right"/>
            </w:pPr>
            <w:r>
              <w:rPr>
                <w:szCs w:val="21"/>
              </w:rPr>
              <w:t>0.400</w:t>
            </w:r>
          </w:p>
        </w:tc>
        <w:tc>
          <w:tcPr>
            <w:tcW w:w="1325" w:type="dxa"/>
            <w:vAlign w:val="center"/>
          </w:tcPr>
          <w:p w:rsidR="00A46313" w:rsidRDefault="00125795">
            <w:pPr>
              <w:jc w:val="right"/>
            </w:pPr>
            <w:r>
              <w:rPr>
                <w:szCs w:val="21"/>
              </w:rPr>
              <w:t>37,091,063.51</w:t>
            </w:r>
          </w:p>
        </w:tc>
        <w:tc>
          <w:tcPr>
            <w:tcW w:w="1325" w:type="dxa"/>
            <w:vAlign w:val="center"/>
          </w:tcPr>
          <w:p w:rsidR="00A46313" w:rsidRDefault="00125795">
            <w:pPr>
              <w:jc w:val="right"/>
            </w:pPr>
            <w:r>
              <w:rPr>
                <w:szCs w:val="21"/>
              </w:rPr>
              <w:t>4,963,994.30</w:t>
            </w:r>
          </w:p>
        </w:tc>
        <w:tc>
          <w:tcPr>
            <w:tcW w:w="1325" w:type="dxa"/>
            <w:vAlign w:val="center"/>
          </w:tcPr>
          <w:p w:rsidR="00A46313" w:rsidRDefault="00125795">
            <w:pPr>
              <w:jc w:val="right"/>
            </w:pPr>
            <w:r>
              <w:rPr>
                <w:szCs w:val="21"/>
              </w:rPr>
              <w:t>42,055,057.81</w:t>
            </w:r>
          </w:p>
        </w:tc>
        <w:tc>
          <w:tcPr>
            <w:tcW w:w="948" w:type="dxa"/>
            <w:vAlign w:val="center"/>
          </w:tcPr>
          <w:p w:rsidR="00A46313" w:rsidRDefault="00125795">
            <w:pPr>
              <w:jc w:val="left"/>
            </w:pPr>
            <w:r>
              <w:rPr>
                <w:szCs w:val="21"/>
              </w:rPr>
              <w:t>-</w:t>
            </w:r>
          </w:p>
        </w:tc>
      </w:tr>
      <w:tr w:rsidR="00125795" w:rsidTr="00125795">
        <w:trPr>
          <w:jc w:val="center"/>
        </w:trPr>
        <w:tc>
          <w:tcPr>
            <w:tcW w:w="853" w:type="dxa"/>
            <w:vAlign w:val="center"/>
          </w:tcPr>
          <w:p w:rsidR="00A46313" w:rsidRDefault="00125795">
            <w:pPr>
              <w:jc w:val="center"/>
            </w:pPr>
            <w:r>
              <w:rPr>
                <w:szCs w:val="21"/>
              </w:rPr>
              <w:t>2</w:t>
            </w:r>
          </w:p>
        </w:tc>
        <w:tc>
          <w:tcPr>
            <w:tcW w:w="1216" w:type="dxa"/>
            <w:vAlign w:val="center"/>
          </w:tcPr>
          <w:p w:rsidR="00A46313" w:rsidRDefault="00125795">
            <w:pPr>
              <w:jc w:val="center"/>
            </w:pPr>
            <w:r>
              <w:rPr>
                <w:szCs w:val="21"/>
              </w:rPr>
              <w:t>2016-10-19</w:t>
            </w:r>
          </w:p>
        </w:tc>
        <w:tc>
          <w:tcPr>
            <w:tcW w:w="1478" w:type="dxa"/>
            <w:vAlign w:val="center"/>
          </w:tcPr>
          <w:p w:rsidR="00A46313" w:rsidRDefault="00125795">
            <w:pPr>
              <w:jc w:val="center"/>
            </w:pPr>
            <w:r>
              <w:rPr>
                <w:szCs w:val="21"/>
              </w:rPr>
              <w:t>2016-10-19</w:t>
            </w:r>
          </w:p>
        </w:tc>
        <w:tc>
          <w:tcPr>
            <w:tcW w:w="1171" w:type="dxa"/>
            <w:vAlign w:val="center"/>
          </w:tcPr>
          <w:p w:rsidR="00A46313" w:rsidRDefault="00125795">
            <w:pPr>
              <w:jc w:val="right"/>
            </w:pPr>
            <w:r>
              <w:rPr>
                <w:szCs w:val="21"/>
              </w:rPr>
              <w:t>0.240</w:t>
            </w:r>
          </w:p>
        </w:tc>
        <w:tc>
          <w:tcPr>
            <w:tcW w:w="1325" w:type="dxa"/>
            <w:vAlign w:val="center"/>
          </w:tcPr>
          <w:p w:rsidR="00A46313" w:rsidRDefault="00125795">
            <w:pPr>
              <w:jc w:val="right"/>
            </w:pPr>
            <w:r>
              <w:rPr>
                <w:szCs w:val="21"/>
              </w:rPr>
              <w:t>12,660,239.24</w:t>
            </w:r>
          </w:p>
        </w:tc>
        <w:tc>
          <w:tcPr>
            <w:tcW w:w="1325" w:type="dxa"/>
            <w:vAlign w:val="center"/>
          </w:tcPr>
          <w:p w:rsidR="00A46313" w:rsidRDefault="00125795">
            <w:pPr>
              <w:jc w:val="right"/>
            </w:pPr>
            <w:r>
              <w:rPr>
                <w:szCs w:val="21"/>
              </w:rPr>
              <w:t>2,883,108.69</w:t>
            </w:r>
          </w:p>
        </w:tc>
        <w:tc>
          <w:tcPr>
            <w:tcW w:w="1325" w:type="dxa"/>
            <w:vAlign w:val="center"/>
          </w:tcPr>
          <w:p w:rsidR="00A46313" w:rsidRDefault="00125795">
            <w:pPr>
              <w:jc w:val="right"/>
            </w:pPr>
            <w:r>
              <w:rPr>
                <w:szCs w:val="21"/>
              </w:rPr>
              <w:t>15,543,347.93</w:t>
            </w:r>
          </w:p>
        </w:tc>
        <w:tc>
          <w:tcPr>
            <w:tcW w:w="948" w:type="dxa"/>
            <w:vAlign w:val="center"/>
          </w:tcPr>
          <w:p w:rsidR="00A46313" w:rsidRDefault="00125795">
            <w:pPr>
              <w:jc w:val="left"/>
            </w:pPr>
            <w:r>
              <w:rPr>
                <w:szCs w:val="21"/>
              </w:rPr>
              <w:t>-</w:t>
            </w:r>
          </w:p>
        </w:tc>
      </w:tr>
      <w:tr w:rsidR="00602AD8" w:rsidRPr="0009011B" w:rsidTr="004C7021">
        <w:trPr>
          <w:jc w:val="center"/>
        </w:trPr>
        <w:tc>
          <w:tcPr>
            <w:tcW w:w="853" w:type="dxa"/>
            <w:shd w:val="clear" w:color="auto" w:fill="auto"/>
            <w:vAlign w:val="center"/>
          </w:tcPr>
          <w:p w:rsidR="00602AD8" w:rsidRPr="0009011B" w:rsidRDefault="00602AD8" w:rsidP="004D4847">
            <w:pPr>
              <w:spacing w:before="29" w:line="288" w:lineRule="auto"/>
              <w:jc w:val="center"/>
              <w:rPr>
                <w:szCs w:val="21"/>
              </w:rPr>
            </w:pPr>
            <w:r w:rsidRPr="0009011B">
              <w:rPr>
                <w:szCs w:val="21"/>
              </w:rPr>
              <w:t>合计</w:t>
            </w:r>
          </w:p>
        </w:tc>
        <w:tc>
          <w:tcPr>
            <w:tcW w:w="1216" w:type="dxa"/>
            <w:shd w:val="clear" w:color="auto" w:fill="auto"/>
            <w:vAlign w:val="center"/>
          </w:tcPr>
          <w:p w:rsidR="00602AD8" w:rsidRPr="0009011B" w:rsidRDefault="00602AD8" w:rsidP="00C16757">
            <w:pPr>
              <w:spacing w:before="29" w:line="288" w:lineRule="auto"/>
              <w:jc w:val="right"/>
              <w:rPr>
                <w:szCs w:val="21"/>
              </w:rPr>
            </w:pPr>
          </w:p>
        </w:tc>
        <w:tc>
          <w:tcPr>
            <w:tcW w:w="1478" w:type="dxa"/>
            <w:shd w:val="clear" w:color="auto" w:fill="auto"/>
            <w:vAlign w:val="center"/>
          </w:tcPr>
          <w:p w:rsidR="00602AD8" w:rsidRPr="0009011B" w:rsidRDefault="00602AD8" w:rsidP="00C16757">
            <w:pPr>
              <w:spacing w:before="29" w:line="288" w:lineRule="auto"/>
              <w:jc w:val="right"/>
              <w:rPr>
                <w:szCs w:val="21"/>
              </w:rPr>
            </w:pPr>
          </w:p>
        </w:tc>
        <w:tc>
          <w:tcPr>
            <w:tcW w:w="1171" w:type="dxa"/>
            <w:shd w:val="clear" w:color="auto" w:fill="auto"/>
            <w:vAlign w:val="center"/>
          </w:tcPr>
          <w:p w:rsidR="00602AD8" w:rsidRPr="0009011B" w:rsidRDefault="00602AD8" w:rsidP="00C16757">
            <w:pPr>
              <w:spacing w:before="29" w:line="288" w:lineRule="auto"/>
              <w:jc w:val="right"/>
              <w:rPr>
                <w:szCs w:val="21"/>
              </w:rPr>
            </w:pPr>
            <w:r w:rsidRPr="0009011B">
              <w:rPr>
                <w:szCs w:val="21"/>
              </w:rPr>
              <w:t>0.640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49,751,302.75</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7,847,102.99</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57,598,405.74</w:t>
            </w:r>
          </w:p>
        </w:tc>
        <w:tc>
          <w:tcPr>
            <w:tcW w:w="948" w:type="dxa"/>
            <w:shd w:val="clear" w:color="auto" w:fill="auto"/>
            <w:vAlign w:val="center"/>
          </w:tcPr>
          <w:p w:rsidR="00602AD8" w:rsidRPr="0009011B" w:rsidRDefault="00602AD8" w:rsidP="004C7021">
            <w:pPr>
              <w:spacing w:before="29" w:line="288" w:lineRule="auto"/>
              <w:rPr>
                <w:szCs w:val="21"/>
              </w:rPr>
            </w:pPr>
            <w:r w:rsidRPr="0009011B">
              <w:rPr>
                <w:szCs w:val="21"/>
              </w:rPr>
              <w:t>-</w:t>
            </w:r>
          </w:p>
        </w:tc>
      </w:tr>
    </w:tbl>
    <w:p w:rsidR="005961F9" w:rsidRPr="00CD7200" w:rsidRDefault="005961F9" w:rsidP="00CD7200">
      <w:pPr>
        <w:tabs>
          <w:tab w:val="left" w:pos="426"/>
        </w:tabs>
        <w:spacing w:before="29" w:line="288" w:lineRule="auto"/>
        <w:jc w:val="left"/>
        <w:rPr>
          <w:kern w:val="0"/>
          <w:sz w:val="24"/>
        </w:rPr>
      </w:pPr>
    </w:p>
    <w:p w:rsidR="00602AD8" w:rsidRPr="00F62C0F" w:rsidRDefault="00602AD8" w:rsidP="00F62C0F">
      <w:pPr>
        <w:adjustRightInd w:val="0"/>
        <w:snapToGrid w:val="0"/>
        <w:spacing w:before="29" w:line="288" w:lineRule="auto"/>
        <w:rPr>
          <w:color w:val="000000"/>
          <w:sz w:val="24"/>
        </w:rPr>
      </w:pPr>
      <w:r w:rsidRPr="00F62C0F">
        <w:rPr>
          <w:color w:val="000000"/>
          <w:sz w:val="24"/>
        </w:rPr>
        <w:t>交银增利债券</w:t>
      </w:r>
      <w:r w:rsidRPr="00F62C0F">
        <w:rPr>
          <w:color w:val="000000"/>
          <w:sz w:val="24"/>
        </w:rPr>
        <w:t>C</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4E33C7" w:rsidTr="005851B5">
        <w:trPr>
          <w:trHeight w:val="1323"/>
          <w:jc w:val="center"/>
        </w:trPr>
        <w:tc>
          <w:tcPr>
            <w:tcW w:w="853"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序号</w:t>
            </w:r>
          </w:p>
        </w:tc>
        <w:tc>
          <w:tcPr>
            <w:tcW w:w="1216"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权益登记日</w:t>
            </w:r>
          </w:p>
        </w:tc>
        <w:tc>
          <w:tcPr>
            <w:tcW w:w="1478"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除息日</w:t>
            </w:r>
          </w:p>
        </w:tc>
        <w:tc>
          <w:tcPr>
            <w:tcW w:w="1171"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每</w:t>
            </w:r>
            <w:r w:rsidRPr="004E33C7">
              <w:rPr>
                <w:color w:val="000000"/>
                <w:szCs w:val="21"/>
              </w:rPr>
              <w:t>10</w:t>
            </w:r>
            <w:r w:rsidRPr="004E33C7">
              <w:rPr>
                <w:color w:val="000000"/>
                <w:szCs w:val="21"/>
              </w:rPr>
              <w:t>份基金份额分红数</w:t>
            </w:r>
          </w:p>
        </w:tc>
        <w:tc>
          <w:tcPr>
            <w:tcW w:w="1325"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现金形式发放总额</w:t>
            </w:r>
          </w:p>
        </w:tc>
        <w:tc>
          <w:tcPr>
            <w:tcW w:w="1325"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再投资形式发放总额</w:t>
            </w:r>
          </w:p>
        </w:tc>
        <w:tc>
          <w:tcPr>
            <w:tcW w:w="1325" w:type="dxa"/>
            <w:shd w:val="clear" w:color="auto" w:fill="auto"/>
            <w:vAlign w:val="center"/>
          </w:tcPr>
          <w:p w:rsidR="00602AD8" w:rsidRPr="004E33C7"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4E33C7">
              <w:rPr>
                <w:color w:val="000000"/>
                <w:szCs w:val="21"/>
              </w:rPr>
              <w:t>利润分配合计</w:t>
            </w:r>
          </w:p>
        </w:tc>
        <w:tc>
          <w:tcPr>
            <w:tcW w:w="948" w:type="dxa"/>
            <w:shd w:val="clear" w:color="auto" w:fill="auto"/>
            <w:vAlign w:val="center"/>
          </w:tcPr>
          <w:p w:rsidR="00602AD8" w:rsidRPr="004E33C7" w:rsidRDefault="00602AD8" w:rsidP="00BF20F3">
            <w:pPr>
              <w:widowControl/>
              <w:spacing w:line="288" w:lineRule="auto"/>
              <w:ind w:right="-15"/>
              <w:jc w:val="center"/>
              <w:textAlignment w:val="bottom"/>
              <w:rPr>
                <w:color w:val="000000"/>
                <w:szCs w:val="21"/>
              </w:rPr>
            </w:pPr>
            <w:r w:rsidRPr="004E33C7">
              <w:rPr>
                <w:color w:val="000000"/>
                <w:szCs w:val="21"/>
              </w:rPr>
              <w:t>备注</w:t>
            </w:r>
          </w:p>
        </w:tc>
      </w:tr>
      <w:tr w:rsidR="00125795" w:rsidTr="00125795">
        <w:trPr>
          <w:jc w:val="center"/>
        </w:trPr>
        <w:tc>
          <w:tcPr>
            <w:tcW w:w="853" w:type="dxa"/>
            <w:vAlign w:val="center"/>
          </w:tcPr>
          <w:p w:rsidR="00A46313" w:rsidRDefault="00125795">
            <w:pPr>
              <w:jc w:val="center"/>
            </w:pPr>
            <w:r>
              <w:rPr>
                <w:szCs w:val="21"/>
              </w:rPr>
              <w:t>1</w:t>
            </w:r>
          </w:p>
        </w:tc>
        <w:tc>
          <w:tcPr>
            <w:tcW w:w="1216" w:type="dxa"/>
            <w:vAlign w:val="center"/>
          </w:tcPr>
          <w:p w:rsidR="00A46313" w:rsidRDefault="00125795">
            <w:pPr>
              <w:jc w:val="center"/>
            </w:pPr>
            <w:r>
              <w:rPr>
                <w:szCs w:val="21"/>
              </w:rPr>
              <w:t>2016-01-13</w:t>
            </w:r>
          </w:p>
        </w:tc>
        <w:tc>
          <w:tcPr>
            <w:tcW w:w="1478" w:type="dxa"/>
            <w:vAlign w:val="center"/>
          </w:tcPr>
          <w:p w:rsidR="00A46313" w:rsidRDefault="00125795">
            <w:pPr>
              <w:jc w:val="center"/>
            </w:pPr>
            <w:r>
              <w:rPr>
                <w:szCs w:val="21"/>
              </w:rPr>
              <w:t>2016-01-13</w:t>
            </w:r>
          </w:p>
        </w:tc>
        <w:tc>
          <w:tcPr>
            <w:tcW w:w="1171" w:type="dxa"/>
            <w:vAlign w:val="center"/>
          </w:tcPr>
          <w:p w:rsidR="00A46313" w:rsidRDefault="00125795">
            <w:pPr>
              <w:jc w:val="right"/>
            </w:pPr>
            <w:r>
              <w:rPr>
                <w:szCs w:val="21"/>
              </w:rPr>
              <w:t>0.400</w:t>
            </w:r>
          </w:p>
        </w:tc>
        <w:tc>
          <w:tcPr>
            <w:tcW w:w="1325" w:type="dxa"/>
            <w:vAlign w:val="center"/>
          </w:tcPr>
          <w:p w:rsidR="00A46313" w:rsidRDefault="00125795">
            <w:pPr>
              <w:jc w:val="right"/>
            </w:pPr>
            <w:r>
              <w:rPr>
                <w:szCs w:val="21"/>
              </w:rPr>
              <w:t>10,871,767.9</w:t>
            </w:r>
            <w:r>
              <w:rPr>
                <w:szCs w:val="21"/>
              </w:rPr>
              <w:lastRenderedPageBreak/>
              <w:t>8</w:t>
            </w:r>
          </w:p>
        </w:tc>
        <w:tc>
          <w:tcPr>
            <w:tcW w:w="1325" w:type="dxa"/>
            <w:vAlign w:val="center"/>
          </w:tcPr>
          <w:p w:rsidR="00A46313" w:rsidRDefault="00125795">
            <w:pPr>
              <w:jc w:val="right"/>
            </w:pPr>
            <w:r>
              <w:rPr>
                <w:szCs w:val="21"/>
              </w:rPr>
              <w:lastRenderedPageBreak/>
              <w:t>2,729,907.91</w:t>
            </w:r>
          </w:p>
        </w:tc>
        <w:tc>
          <w:tcPr>
            <w:tcW w:w="1325" w:type="dxa"/>
            <w:vAlign w:val="center"/>
          </w:tcPr>
          <w:p w:rsidR="00A46313" w:rsidRDefault="00125795">
            <w:pPr>
              <w:jc w:val="right"/>
            </w:pPr>
            <w:r>
              <w:rPr>
                <w:szCs w:val="21"/>
              </w:rPr>
              <w:t>13,601,675.8</w:t>
            </w:r>
            <w:r>
              <w:rPr>
                <w:szCs w:val="21"/>
              </w:rPr>
              <w:lastRenderedPageBreak/>
              <w:t>9</w:t>
            </w:r>
          </w:p>
        </w:tc>
        <w:tc>
          <w:tcPr>
            <w:tcW w:w="948" w:type="dxa"/>
            <w:vAlign w:val="center"/>
          </w:tcPr>
          <w:p w:rsidR="00A46313" w:rsidRDefault="00125795">
            <w:pPr>
              <w:jc w:val="left"/>
            </w:pPr>
            <w:r>
              <w:rPr>
                <w:szCs w:val="21"/>
              </w:rPr>
              <w:lastRenderedPageBreak/>
              <w:t>-</w:t>
            </w:r>
          </w:p>
        </w:tc>
      </w:tr>
      <w:tr w:rsidR="00125795" w:rsidTr="00125795">
        <w:trPr>
          <w:jc w:val="center"/>
        </w:trPr>
        <w:tc>
          <w:tcPr>
            <w:tcW w:w="853" w:type="dxa"/>
            <w:vAlign w:val="center"/>
          </w:tcPr>
          <w:p w:rsidR="00A46313" w:rsidRDefault="00125795">
            <w:pPr>
              <w:jc w:val="center"/>
            </w:pPr>
            <w:r>
              <w:rPr>
                <w:szCs w:val="21"/>
              </w:rPr>
              <w:lastRenderedPageBreak/>
              <w:t>2</w:t>
            </w:r>
          </w:p>
        </w:tc>
        <w:tc>
          <w:tcPr>
            <w:tcW w:w="1216" w:type="dxa"/>
            <w:vAlign w:val="center"/>
          </w:tcPr>
          <w:p w:rsidR="00A46313" w:rsidRDefault="00125795">
            <w:pPr>
              <w:jc w:val="center"/>
            </w:pPr>
            <w:r>
              <w:rPr>
                <w:szCs w:val="21"/>
              </w:rPr>
              <w:t>2016-10-19</w:t>
            </w:r>
          </w:p>
        </w:tc>
        <w:tc>
          <w:tcPr>
            <w:tcW w:w="1478" w:type="dxa"/>
            <w:vAlign w:val="center"/>
          </w:tcPr>
          <w:p w:rsidR="00A46313" w:rsidRDefault="00125795">
            <w:pPr>
              <w:jc w:val="center"/>
            </w:pPr>
            <w:r>
              <w:rPr>
                <w:szCs w:val="21"/>
              </w:rPr>
              <w:t>2016-10-19</w:t>
            </w:r>
          </w:p>
        </w:tc>
        <w:tc>
          <w:tcPr>
            <w:tcW w:w="1171" w:type="dxa"/>
            <w:vAlign w:val="center"/>
          </w:tcPr>
          <w:p w:rsidR="00A46313" w:rsidRDefault="00125795">
            <w:pPr>
              <w:jc w:val="right"/>
            </w:pPr>
            <w:r>
              <w:rPr>
                <w:szCs w:val="21"/>
              </w:rPr>
              <w:t>0.190</w:t>
            </w:r>
          </w:p>
        </w:tc>
        <w:tc>
          <w:tcPr>
            <w:tcW w:w="1325" w:type="dxa"/>
            <w:vAlign w:val="center"/>
          </w:tcPr>
          <w:p w:rsidR="00A46313" w:rsidRDefault="00125795">
            <w:pPr>
              <w:jc w:val="right"/>
            </w:pPr>
            <w:r>
              <w:rPr>
                <w:szCs w:val="21"/>
              </w:rPr>
              <w:t>1,329,889.03</w:t>
            </w:r>
          </w:p>
        </w:tc>
        <w:tc>
          <w:tcPr>
            <w:tcW w:w="1325" w:type="dxa"/>
            <w:vAlign w:val="center"/>
          </w:tcPr>
          <w:p w:rsidR="00A46313" w:rsidRDefault="00125795">
            <w:pPr>
              <w:jc w:val="right"/>
            </w:pPr>
            <w:r>
              <w:rPr>
                <w:szCs w:val="21"/>
              </w:rPr>
              <w:t>1,027,330.76</w:t>
            </w:r>
          </w:p>
        </w:tc>
        <w:tc>
          <w:tcPr>
            <w:tcW w:w="1325" w:type="dxa"/>
            <w:vAlign w:val="center"/>
          </w:tcPr>
          <w:p w:rsidR="00A46313" w:rsidRDefault="00125795">
            <w:pPr>
              <w:jc w:val="right"/>
            </w:pPr>
            <w:r>
              <w:rPr>
                <w:szCs w:val="21"/>
              </w:rPr>
              <w:t>2,357,219.79</w:t>
            </w:r>
          </w:p>
        </w:tc>
        <w:tc>
          <w:tcPr>
            <w:tcW w:w="948" w:type="dxa"/>
            <w:vAlign w:val="center"/>
          </w:tcPr>
          <w:p w:rsidR="00A46313" w:rsidRDefault="00125795">
            <w:pPr>
              <w:jc w:val="left"/>
            </w:pPr>
            <w:r>
              <w:rPr>
                <w:szCs w:val="21"/>
              </w:rPr>
              <w:t>-</w:t>
            </w:r>
          </w:p>
        </w:tc>
      </w:tr>
      <w:tr w:rsidR="00602AD8" w:rsidRPr="004E33C7" w:rsidTr="004C7021">
        <w:trPr>
          <w:jc w:val="center"/>
        </w:trPr>
        <w:tc>
          <w:tcPr>
            <w:tcW w:w="853" w:type="dxa"/>
            <w:shd w:val="clear" w:color="auto" w:fill="auto"/>
            <w:vAlign w:val="center"/>
          </w:tcPr>
          <w:p w:rsidR="00602AD8" w:rsidRPr="004E33C7" w:rsidRDefault="00602AD8" w:rsidP="004D4847">
            <w:pPr>
              <w:spacing w:before="29" w:line="288" w:lineRule="auto"/>
              <w:jc w:val="center"/>
              <w:rPr>
                <w:szCs w:val="21"/>
              </w:rPr>
            </w:pPr>
            <w:r w:rsidRPr="004E33C7">
              <w:rPr>
                <w:szCs w:val="21"/>
              </w:rPr>
              <w:t>合计</w:t>
            </w:r>
          </w:p>
        </w:tc>
        <w:tc>
          <w:tcPr>
            <w:tcW w:w="1216" w:type="dxa"/>
            <w:shd w:val="clear" w:color="auto" w:fill="auto"/>
            <w:vAlign w:val="center"/>
          </w:tcPr>
          <w:p w:rsidR="00602AD8" w:rsidRPr="004E33C7" w:rsidRDefault="00602AD8" w:rsidP="003E456E">
            <w:pPr>
              <w:spacing w:before="29" w:line="288" w:lineRule="auto"/>
              <w:jc w:val="right"/>
              <w:rPr>
                <w:szCs w:val="21"/>
              </w:rPr>
            </w:pPr>
          </w:p>
        </w:tc>
        <w:tc>
          <w:tcPr>
            <w:tcW w:w="1478" w:type="dxa"/>
            <w:shd w:val="clear" w:color="auto" w:fill="auto"/>
            <w:vAlign w:val="center"/>
          </w:tcPr>
          <w:p w:rsidR="00602AD8" w:rsidRPr="004E33C7" w:rsidRDefault="00602AD8" w:rsidP="003E456E">
            <w:pPr>
              <w:spacing w:before="29" w:line="288" w:lineRule="auto"/>
              <w:jc w:val="right"/>
              <w:rPr>
                <w:szCs w:val="21"/>
              </w:rPr>
            </w:pPr>
          </w:p>
        </w:tc>
        <w:tc>
          <w:tcPr>
            <w:tcW w:w="1171" w:type="dxa"/>
            <w:shd w:val="clear" w:color="auto" w:fill="auto"/>
            <w:vAlign w:val="center"/>
          </w:tcPr>
          <w:p w:rsidR="00602AD8" w:rsidRPr="004E33C7" w:rsidRDefault="00602AD8" w:rsidP="003E456E">
            <w:pPr>
              <w:spacing w:before="29" w:line="288" w:lineRule="auto"/>
              <w:jc w:val="right"/>
              <w:rPr>
                <w:szCs w:val="21"/>
              </w:rPr>
            </w:pPr>
            <w:r w:rsidRPr="004E33C7">
              <w:rPr>
                <w:szCs w:val="21"/>
              </w:rPr>
              <w:t>0.590</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12,201,657.01</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3,757,238.67</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15,958,895.68</w:t>
            </w:r>
          </w:p>
        </w:tc>
        <w:tc>
          <w:tcPr>
            <w:tcW w:w="948" w:type="dxa"/>
            <w:shd w:val="clear" w:color="auto" w:fill="auto"/>
            <w:vAlign w:val="center"/>
          </w:tcPr>
          <w:p w:rsidR="00602AD8" w:rsidRPr="004E33C7" w:rsidRDefault="00602AD8" w:rsidP="004C7021">
            <w:pPr>
              <w:spacing w:before="29" w:line="288" w:lineRule="auto"/>
              <w:rPr>
                <w:szCs w:val="21"/>
              </w:rPr>
            </w:pPr>
            <w:r w:rsidRPr="004E33C7">
              <w:rPr>
                <w:szCs w:val="21"/>
              </w:rPr>
              <w:t>-</w:t>
            </w:r>
          </w:p>
        </w:tc>
      </w:tr>
    </w:tbl>
    <w:p w:rsidR="00602AD8" w:rsidRDefault="00602AD8" w:rsidP="003A22A8">
      <w:pPr>
        <w:tabs>
          <w:tab w:val="left" w:pos="426"/>
        </w:tabs>
        <w:spacing w:before="29" w:line="288" w:lineRule="auto"/>
        <w:jc w:val="left"/>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00AD16A3" w:rsidRPr="0091476E">
        <w:rPr>
          <w:rFonts w:eastAsiaTheme="minorEastAsia" w:hint="eastAsia"/>
          <w:b/>
          <w:sz w:val="24"/>
        </w:rPr>
        <w:t xml:space="preserve"> </w:t>
      </w:r>
      <w:r w:rsidRPr="0091476E">
        <w:rPr>
          <w:rFonts w:eastAsiaTheme="minorEastAsia" w:hint="eastAsia"/>
          <w:b/>
          <w:sz w:val="24"/>
        </w:rPr>
        <w:t>期末（</w:t>
      </w:r>
      <w:r w:rsidR="00F64FAD" w:rsidRPr="0091476E">
        <w:rPr>
          <w:rFonts w:eastAsiaTheme="minorEastAsia"/>
          <w:b/>
          <w:sz w:val="24"/>
        </w:rPr>
        <w:t>2016</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00AD16A3" w:rsidRPr="0091476E">
        <w:rPr>
          <w:rFonts w:eastAsiaTheme="minorEastAsia" w:hint="eastAsia"/>
          <w:b/>
          <w:sz w:val="24"/>
        </w:rPr>
        <w:t xml:space="preserve"> </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9F6B95" w:rsidRDefault="001A59F9" w:rsidP="009F6B95">
      <w:pPr>
        <w:tabs>
          <w:tab w:val="left" w:pos="426"/>
        </w:tabs>
        <w:spacing w:before="29" w:line="288" w:lineRule="auto"/>
        <w:jc w:val="left"/>
        <w:rPr>
          <w:kern w:val="0"/>
          <w:sz w:val="24"/>
        </w:rPr>
      </w:pPr>
      <w:r w:rsidRPr="009F6B95">
        <w:rPr>
          <w:kern w:val="0"/>
          <w:sz w:val="24"/>
        </w:rPr>
        <w:t>本基金本报告期末未持有因认购新发</w:t>
      </w:r>
      <w:r w:rsidRPr="009F6B95">
        <w:rPr>
          <w:kern w:val="0"/>
          <w:sz w:val="24"/>
        </w:rPr>
        <w:t>/</w:t>
      </w:r>
      <w:r w:rsidRPr="009F6B95">
        <w:rPr>
          <w:kern w:val="0"/>
          <w:sz w:val="24"/>
        </w:rPr>
        <w:t>增发证券而流通受限的证券。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00AD16A3" w:rsidRPr="0091476E">
        <w:rPr>
          <w:rFonts w:eastAsiaTheme="minorEastAsia" w:hint="eastAsia"/>
          <w:b/>
          <w:sz w:val="24"/>
        </w:rPr>
        <w:t xml:space="preserve"> </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00AD16A3" w:rsidRPr="0091476E">
        <w:rPr>
          <w:rFonts w:eastAsiaTheme="minorEastAsia" w:hint="eastAsia"/>
          <w:b/>
          <w:sz w:val="24"/>
        </w:rPr>
        <w:t xml:space="preserve"> </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00AD16A3" w:rsidRPr="0091476E">
        <w:rPr>
          <w:rFonts w:eastAsiaTheme="minorEastAsia" w:hint="eastAsia"/>
          <w:b/>
          <w:sz w:val="24"/>
        </w:rPr>
        <w:t xml:space="preserve"> </w:t>
      </w:r>
      <w:r w:rsidRPr="0091476E">
        <w:rPr>
          <w:rFonts w:eastAsiaTheme="minorEastAsia" w:hint="eastAsia"/>
          <w:b/>
          <w:sz w:val="24"/>
        </w:rPr>
        <w:t>银行间市场债券正回购</w:t>
      </w:r>
    </w:p>
    <w:p w:rsidR="001A59F9" w:rsidRPr="00633504" w:rsidRDefault="001A59F9" w:rsidP="00633504">
      <w:pPr>
        <w:spacing w:before="29" w:line="288" w:lineRule="auto"/>
        <w:rPr>
          <w:kern w:val="0"/>
          <w:sz w:val="24"/>
        </w:rPr>
      </w:pPr>
      <w:r w:rsidRPr="00633504">
        <w:rPr>
          <w:kern w:val="0"/>
          <w:sz w:val="24"/>
        </w:rPr>
        <w:t>截至本报告期末</w:t>
      </w:r>
      <w:r w:rsidRPr="00633504">
        <w:rPr>
          <w:kern w:val="0"/>
          <w:sz w:val="24"/>
        </w:rPr>
        <w:t>2016</w:t>
      </w:r>
      <w:r w:rsidRPr="00633504">
        <w:rPr>
          <w:kern w:val="0"/>
          <w:sz w:val="24"/>
        </w:rPr>
        <w:t>年</w:t>
      </w:r>
      <w:r w:rsidRPr="00633504">
        <w:rPr>
          <w:kern w:val="0"/>
          <w:sz w:val="24"/>
        </w:rPr>
        <w:t>12</w:t>
      </w:r>
      <w:r w:rsidRPr="00633504">
        <w:rPr>
          <w:kern w:val="0"/>
          <w:sz w:val="24"/>
        </w:rPr>
        <w:t>月</w:t>
      </w:r>
      <w:r w:rsidRPr="00633504">
        <w:rPr>
          <w:kern w:val="0"/>
          <w:sz w:val="24"/>
        </w:rPr>
        <w:t>31</w:t>
      </w:r>
      <w:r w:rsidRPr="00633504">
        <w:rPr>
          <w:kern w:val="0"/>
          <w:sz w:val="24"/>
        </w:rPr>
        <w:t>日止，本基金从事银行间市场债券正回购交易形成的卖出回购证券款余额</w:t>
      </w:r>
      <w:r w:rsidRPr="00633504">
        <w:rPr>
          <w:kern w:val="0"/>
          <w:sz w:val="24"/>
        </w:rPr>
        <w:t>49,999,725.00</w:t>
      </w:r>
      <w:r w:rsidRPr="00633504">
        <w:rPr>
          <w:kern w:val="0"/>
          <w:sz w:val="24"/>
        </w:rPr>
        <w:t>元，是以如下债券作为抵押：</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D564C7" w:rsidTr="006D141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回购到期日</w:t>
            </w:r>
          </w:p>
        </w:tc>
        <w:tc>
          <w:tcPr>
            <w:tcW w:w="1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期末估值单价</w:t>
            </w:r>
          </w:p>
        </w:tc>
        <w:tc>
          <w:tcPr>
            <w:tcW w:w="144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数量（张）</w:t>
            </w:r>
          </w:p>
        </w:tc>
        <w:tc>
          <w:tcPr>
            <w:tcW w:w="18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期末估值总额</w:t>
            </w:r>
          </w:p>
        </w:tc>
      </w:tr>
      <w:tr w:rsidR="00A46313">
        <w:tc>
          <w:tcPr>
            <w:tcW w:w="1500" w:type="dxa"/>
            <w:vAlign w:val="center"/>
          </w:tcPr>
          <w:p w:rsidR="00A46313" w:rsidRDefault="00125795">
            <w:pPr>
              <w:jc w:val="center"/>
            </w:pPr>
            <w:r>
              <w:rPr>
                <w:sz w:val="24"/>
              </w:rPr>
              <w:t>1680089</w:t>
            </w:r>
          </w:p>
        </w:tc>
        <w:tc>
          <w:tcPr>
            <w:tcW w:w="1500" w:type="dxa"/>
            <w:vAlign w:val="center"/>
          </w:tcPr>
          <w:p w:rsidR="00A46313" w:rsidRDefault="00125795">
            <w:pPr>
              <w:jc w:val="center"/>
            </w:pPr>
            <w:r>
              <w:rPr>
                <w:sz w:val="24"/>
              </w:rPr>
              <w:t>16</w:t>
            </w:r>
            <w:r>
              <w:rPr>
                <w:sz w:val="24"/>
              </w:rPr>
              <w:t>下城债</w:t>
            </w:r>
          </w:p>
        </w:tc>
        <w:tc>
          <w:tcPr>
            <w:tcW w:w="1500" w:type="dxa"/>
            <w:vAlign w:val="center"/>
          </w:tcPr>
          <w:p w:rsidR="00A46313" w:rsidRDefault="00125795">
            <w:pPr>
              <w:jc w:val="center"/>
            </w:pPr>
            <w:r>
              <w:rPr>
                <w:sz w:val="24"/>
              </w:rPr>
              <w:t>2017-01-03</w:t>
            </w:r>
          </w:p>
        </w:tc>
        <w:tc>
          <w:tcPr>
            <w:tcW w:w="1260" w:type="dxa"/>
            <w:vAlign w:val="center"/>
          </w:tcPr>
          <w:p w:rsidR="00A46313" w:rsidRDefault="00125795">
            <w:pPr>
              <w:jc w:val="right"/>
            </w:pPr>
            <w:r>
              <w:rPr>
                <w:sz w:val="24"/>
              </w:rPr>
              <w:t>97.54</w:t>
            </w:r>
          </w:p>
        </w:tc>
        <w:tc>
          <w:tcPr>
            <w:tcW w:w="1440" w:type="dxa"/>
            <w:vAlign w:val="center"/>
          </w:tcPr>
          <w:p w:rsidR="00A46313" w:rsidRDefault="00125795">
            <w:pPr>
              <w:jc w:val="right"/>
            </w:pPr>
            <w:r>
              <w:rPr>
                <w:sz w:val="24"/>
              </w:rPr>
              <w:t>400,000</w:t>
            </w:r>
          </w:p>
        </w:tc>
        <w:tc>
          <w:tcPr>
            <w:tcW w:w="1836" w:type="dxa"/>
            <w:vAlign w:val="center"/>
          </w:tcPr>
          <w:p w:rsidR="00A46313" w:rsidRDefault="00125795">
            <w:pPr>
              <w:jc w:val="right"/>
            </w:pPr>
            <w:r>
              <w:rPr>
                <w:sz w:val="24"/>
              </w:rPr>
              <w:t>39,016,000.00</w:t>
            </w:r>
          </w:p>
        </w:tc>
      </w:tr>
      <w:tr w:rsidR="00A46313">
        <w:tc>
          <w:tcPr>
            <w:tcW w:w="1500" w:type="dxa"/>
            <w:vAlign w:val="center"/>
          </w:tcPr>
          <w:p w:rsidR="00A46313" w:rsidRDefault="00125795">
            <w:pPr>
              <w:jc w:val="center"/>
            </w:pPr>
            <w:r>
              <w:rPr>
                <w:sz w:val="24"/>
              </w:rPr>
              <w:t>1580136</w:t>
            </w:r>
          </w:p>
        </w:tc>
        <w:tc>
          <w:tcPr>
            <w:tcW w:w="1500" w:type="dxa"/>
            <w:vAlign w:val="center"/>
          </w:tcPr>
          <w:p w:rsidR="00A46313" w:rsidRDefault="00125795">
            <w:pPr>
              <w:jc w:val="center"/>
            </w:pPr>
            <w:r>
              <w:rPr>
                <w:sz w:val="24"/>
              </w:rPr>
              <w:t>15</w:t>
            </w:r>
            <w:r>
              <w:rPr>
                <w:sz w:val="24"/>
              </w:rPr>
              <w:t>济宁高新债</w:t>
            </w:r>
          </w:p>
        </w:tc>
        <w:tc>
          <w:tcPr>
            <w:tcW w:w="1500" w:type="dxa"/>
            <w:vAlign w:val="center"/>
          </w:tcPr>
          <w:p w:rsidR="00A46313" w:rsidRDefault="00125795">
            <w:pPr>
              <w:jc w:val="center"/>
            </w:pPr>
            <w:r>
              <w:rPr>
                <w:sz w:val="24"/>
              </w:rPr>
              <w:t>2017-01-03</w:t>
            </w:r>
          </w:p>
        </w:tc>
        <w:tc>
          <w:tcPr>
            <w:tcW w:w="1260" w:type="dxa"/>
            <w:vAlign w:val="center"/>
          </w:tcPr>
          <w:p w:rsidR="00A46313" w:rsidRDefault="00125795">
            <w:pPr>
              <w:jc w:val="right"/>
            </w:pPr>
            <w:r>
              <w:rPr>
                <w:sz w:val="24"/>
              </w:rPr>
              <w:t>104.72</w:t>
            </w:r>
          </w:p>
        </w:tc>
        <w:tc>
          <w:tcPr>
            <w:tcW w:w="1440" w:type="dxa"/>
            <w:vAlign w:val="center"/>
          </w:tcPr>
          <w:p w:rsidR="00A46313" w:rsidRDefault="00125795">
            <w:pPr>
              <w:jc w:val="right"/>
            </w:pPr>
            <w:r>
              <w:rPr>
                <w:sz w:val="24"/>
              </w:rPr>
              <w:t>200,000</w:t>
            </w:r>
          </w:p>
        </w:tc>
        <w:tc>
          <w:tcPr>
            <w:tcW w:w="1836" w:type="dxa"/>
            <w:vAlign w:val="center"/>
          </w:tcPr>
          <w:p w:rsidR="00A46313" w:rsidRDefault="00125795">
            <w:pPr>
              <w:jc w:val="right"/>
            </w:pPr>
            <w:r>
              <w:rPr>
                <w:sz w:val="24"/>
              </w:rPr>
              <w:t>20,944,000.00</w:t>
            </w:r>
          </w:p>
        </w:tc>
      </w:tr>
      <w:tr w:rsidR="001A59F9" w:rsidRPr="00D564C7" w:rsidTr="0005173E">
        <w:tc>
          <w:tcPr>
            <w:tcW w:w="1500" w:type="dxa"/>
            <w:vAlign w:val="center"/>
          </w:tcPr>
          <w:p w:rsidR="001A59F9" w:rsidRPr="00D564C7" w:rsidRDefault="001A59F9" w:rsidP="00864830">
            <w:pPr>
              <w:spacing w:before="29" w:line="288" w:lineRule="auto"/>
              <w:jc w:val="center"/>
              <w:rPr>
                <w:rFonts w:asciiTheme="minorEastAsia" w:eastAsiaTheme="minorEastAsia" w:hAnsiTheme="minorEastAsia"/>
                <w:color w:val="000000"/>
                <w:kern w:val="0"/>
                <w:szCs w:val="21"/>
              </w:rPr>
            </w:pPr>
            <w:r w:rsidRPr="00864830">
              <w:rPr>
                <w:rFonts w:hint="eastAsia"/>
                <w:sz w:val="24"/>
              </w:rPr>
              <w:t>合计</w:t>
            </w: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600,000</w:t>
            </w:r>
          </w:p>
        </w:tc>
        <w:tc>
          <w:tcPr>
            <w:tcW w:w="1836"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59,960,000.00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00AD16A3" w:rsidRPr="0091476E">
        <w:rPr>
          <w:rFonts w:eastAsiaTheme="minorEastAsia" w:hint="eastAsia"/>
          <w:b/>
          <w:sz w:val="24"/>
        </w:rPr>
        <w:t xml:space="preserve"> </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2016</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日止，本基金从事证券交易所债券正回购交易形成的卖出回购证券款余额</w:t>
      </w:r>
      <w:r w:rsidRPr="00993BF6">
        <w:rPr>
          <w:kern w:val="0"/>
          <w:sz w:val="24"/>
        </w:rPr>
        <w:t>20,000,000.00</w:t>
      </w:r>
      <w:r w:rsidRPr="00993BF6">
        <w:rPr>
          <w:kern w:val="0"/>
          <w:sz w:val="24"/>
        </w:rPr>
        <w:t>元，于</w:t>
      </w:r>
      <w:r w:rsidRPr="00993BF6">
        <w:rPr>
          <w:kern w:val="0"/>
          <w:sz w:val="24"/>
        </w:rPr>
        <w:t>2017</w:t>
      </w:r>
      <w:r w:rsidRPr="00993BF6">
        <w:rPr>
          <w:kern w:val="0"/>
          <w:sz w:val="24"/>
        </w:rPr>
        <w:t>年</w:t>
      </w:r>
      <w:r w:rsidRPr="00993BF6">
        <w:rPr>
          <w:kern w:val="0"/>
          <w:sz w:val="24"/>
        </w:rPr>
        <w:t>1</w:t>
      </w:r>
      <w:r w:rsidRPr="00993BF6">
        <w:rPr>
          <w:kern w:val="0"/>
          <w:sz w:val="24"/>
        </w:rPr>
        <w:t>月</w:t>
      </w:r>
      <w:r w:rsidRPr="00993BF6">
        <w:rPr>
          <w:kern w:val="0"/>
          <w:sz w:val="24"/>
        </w:rPr>
        <w:t>3</w:t>
      </w:r>
      <w:r w:rsidRPr="00993BF6">
        <w:rPr>
          <w:kern w:val="0"/>
          <w:sz w:val="24"/>
        </w:rPr>
        <w:t>日到期。该类交易要求本基金转入质押库的债券，按证券交易所规定的比例折算为标准券后，不低于债券回购交易的余额。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00AD16A3" w:rsidRPr="0091476E">
        <w:rPr>
          <w:rFonts w:eastAsiaTheme="minorEastAsia" w:hint="eastAsia"/>
          <w:b/>
          <w:sz w:val="24"/>
        </w:rPr>
        <w:t xml:space="preserve"> </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00AD16A3" w:rsidRPr="0091476E">
        <w:rPr>
          <w:rFonts w:eastAsiaTheme="minorEastAsia" w:hint="eastAsia"/>
          <w:b/>
          <w:sz w:val="24"/>
        </w:rPr>
        <w:t xml:space="preserve"> </w:t>
      </w:r>
      <w:r w:rsidRPr="0091476E">
        <w:rPr>
          <w:rFonts w:eastAsiaTheme="minorEastAsia" w:hint="eastAsia"/>
          <w:b/>
          <w:sz w:val="24"/>
        </w:rPr>
        <w:t>风险管理政策和组织架构</w:t>
      </w:r>
    </w:p>
    <w:p w:rsidR="00A46313" w:rsidRDefault="00125795">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本基金的投资范围为具有良好流动性的金融工具，包括国内依法发行上市的债券、股票、权证以及法律法规或中国证监会</w:t>
      </w:r>
      <w:r>
        <w:rPr>
          <w:kern w:val="0"/>
          <w:sz w:val="24"/>
        </w:rPr>
        <w:lastRenderedPageBreak/>
        <w:t>允许基金投资的其他金融工具，其中股票投资仅限于参与新股认购和可转债转股获得的股票，权证投资仅限于参与可分离转债申购而获得的权证，即本基金不从二级市场购买股票或权证。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风险和收益高于货币市场基金而低于平衡型基金，谋求稳定和可持续的绝对收益</w:t>
      </w:r>
      <w:r>
        <w:rPr>
          <w:kern w:val="0"/>
          <w:sz w:val="24"/>
        </w:rPr>
        <w:t>”</w:t>
      </w:r>
      <w:r>
        <w:rPr>
          <w:kern w:val="0"/>
          <w:sz w:val="24"/>
        </w:rPr>
        <w:t>的风险收益目标。</w:t>
      </w:r>
    </w:p>
    <w:p w:rsidR="00A46313" w:rsidRDefault="00125795">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A46313" w:rsidRDefault="00125795">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00AD16A3" w:rsidRPr="0091476E">
        <w:rPr>
          <w:rFonts w:eastAsiaTheme="minorEastAsia" w:hint="eastAsia"/>
          <w:b/>
          <w:sz w:val="24"/>
        </w:rPr>
        <w:t xml:space="preserve"> </w:t>
      </w:r>
      <w:r w:rsidRPr="0091476E">
        <w:rPr>
          <w:rFonts w:eastAsiaTheme="minorEastAsia" w:hint="eastAsia"/>
          <w:b/>
          <w:sz w:val="24"/>
        </w:rPr>
        <w:t>信用风险</w:t>
      </w:r>
    </w:p>
    <w:p w:rsidR="00A46313" w:rsidRDefault="00125795">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A46313" w:rsidRDefault="00125795">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w:t>
      </w:r>
      <w:bookmarkStart w:id="120" w:name="_GoBack"/>
      <w:bookmarkEnd w:id="120"/>
      <w:r>
        <w:rPr>
          <w:kern w:val="0"/>
          <w:sz w:val="24"/>
        </w:rPr>
        <w:t>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7.4.13.2.1</w:t>
      </w:r>
      <w:r w:rsidR="00AD16A3" w:rsidRPr="0091476E">
        <w:rPr>
          <w:rFonts w:eastAsiaTheme="minorEastAsia" w:hint="eastAsia"/>
          <w:b/>
          <w:sz w:val="24"/>
        </w:rPr>
        <w:t xml:space="preserve"> </w:t>
      </w:r>
      <w:r w:rsidRPr="0091476E">
        <w:rPr>
          <w:rFonts w:eastAsiaTheme="minorEastAsia" w:hint="eastAsia"/>
          <w:b/>
          <w:sz w:val="24"/>
        </w:rPr>
        <w:t>按短期信用评级列示的债券投资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1A59F9" w:rsidRPr="00D564C7" w:rsidTr="00F27923">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短期信用评级</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00CD0A6F" w:rsidRPr="00EA7F27">
              <w:rPr>
                <w:rFonts w:hint="eastAsia"/>
                <w:color w:val="000000"/>
                <w:sz w:val="24"/>
              </w:rPr>
              <w:t>度</w:t>
            </w:r>
            <w:r w:rsidRPr="000C342B">
              <w:rPr>
                <w:rFonts w:hint="eastAsia"/>
                <w:color w:val="000000"/>
                <w:sz w:val="24"/>
              </w:rPr>
              <w:t>末</w:t>
            </w:r>
          </w:p>
          <w:p w:rsidR="001A59F9"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95,368,000.00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r w:rsidRPr="00F27923">
              <w:rPr>
                <w:rFonts w:hint="eastAsia"/>
                <w:sz w:val="24"/>
              </w:rPr>
              <w:t>以下</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未评级</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99,562,000.00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90,045,000.00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合计</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99,562,000.00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185,413,000.00</w:t>
            </w:r>
          </w:p>
        </w:tc>
      </w:tr>
    </w:tbl>
    <w:p w:rsidR="001A59F9" w:rsidRDefault="001A59F9" w:rsidP="009F6B95">
      <w:pPr>
        <w:tabs>
          <w:tab w:val="left" w:pos="426"/>
        </w:tabs>
        <w:spacing w:before="29" w:line="288" w:lineRule="auto"/>
        <w:jc w:val="left"/>
        <w:rPr>
          <w:kern w:val="0"/>
          <w:sz w:val="24"/>
        </w:rPr>
      </w:pPr>
      <w:r w:rsidRPr="009F6B95">
        <w:rPr>
          <w:kern w:val="0"/>
          <w:sz w:val="24"/>
        </w:rPr>
        <w:t>注：未评级部分为政策性金融债和企业超短期融资债券。</w:t>
      </w:r>
    </w:p>
    <w:p w:rsidR="009F6B95" w:rsidRPr="009F6B95" w:rsidRDefault="009F6B95" w:rsidP="009F6B95">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7.4.13.2.2</w:t>
      </w:r>
      <w:r w:rsidR="00AD16A3" w:rsidRPr="0091476E">
        <w:rPr>
          <w:rFonts w:eastAsiaTheme="minorEastAsia" w:hint="eastAsia"/>
          <w:b/>
          <w:sz w:val="24"/>
        </w:rPr>
        <w:t xml:space="preserve"> </w:t>
      </w:r>
      <w:r w:rsidRPr="0091476E">
        <w:rPr>
          <w:rFonts w:eastAsiaTheme="minorEastAsia" w:hint="eastAsia"/>
          <w:b/>
          <w:sz w:val="24"/>
        </w:rPr>
        <w:t>按长期信用评级列示的债券投资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D564C7" w:rsidTr="00770793">
        <w:tc>
          <w:tcPr>
            <w:tcW w:w="2552"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长期信用评级</w:t>
            </w:r>
          </w:p>
        </w:tc>
        <w:tc>
          <w:tcPr>
            <w:tcW w:w="2841"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770793">
            <w:pPr>
              <w:widowControl/>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47" w:type="dxa"/>
            <w:vAlign w:val="center"/>
          </w:tcPr>
          <w:p w:rsidR="00CD0A6F" w:rsidRPr="000C342B" w:rsidRDefault="00CD0A6F" w:rsidP="00CD0A6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0C342B" w:rsidRDefault="00955CB7" w:rsidP="00770793">
            <w:pPr>
              <w:widowControl/>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175,201,068.49</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544,920,564.00</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r w:rsidRPr="00F27923">
              <w:rPr>
                <w:rFonts w:hint="eastAsia"/>
                <w:sz w:val="24"/>
              </w:rPr>
              <w:t>以下</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304,850,099.70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759,766,141.91</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未评级</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298,184,000.00</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合计</w:t>
            </w:r>
          </w:p>
        </w:tc>
        <w:tc>
          <w:tcPr>
            <w:tcW w:w="2841"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480,051,168.19</w:t>
            </w:r>
          </w:p>
        </w:tc>
        <w:tc>
          <w:tcPr>
            <w:tcW w:w="3247"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1,602,870,705.91</w:t>
            </w:r>
          </w:p>
        </w:tc>
      </w:tr>
    </w:tbl>
    <w:p w:rsidR="001A59F9" w:rsidRPr="00D564C7" w:rsidRDefault="001A59F9" w:rsidP="00D564C7">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00AD16A3" w:rsidRPr="0091476E">
        <w:rPr>
          <w:rFonts w:eastAsiaTheme="minorEastAsia" w:hint="eastAsia"/>
          <w:b/>
          <w:sz w:val="24"/>
        </w:rPr>
        <w:t xml:space="preserve"> </w:t>
      </w:r>
      <w:r w:rsidRPr="0091476E">
        <w:rPr>
          <w:rFonts w:eastAsiaTheme="minorEastAsia" w:hint="eastAsia"/>
          <w:b/>
          <w:sz w:val="24"/>
        </w:rPr>
        <w:t>流动性风险</w:t>
      </w:r>
    </w:p>
    <w:p w:rsidR="00A46313" w:rsidRDefault="00125795">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A46313" w:rsidRDefault="00125795">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A46313" w:rsidRDefault="00125795">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w:t>
      </w:r>
      <w:r w:rsidR="00547FAC">
        <w:rPr>
          <w:rFonts w:hint="eastAsia"/>
          <w:kern w:val="0"/>
          <w:sz w:val="24"/>
        </w:rPr>
        <w:t>证券</w:t>
      </w:r>
      <w:r>
        <w:rPr>
          <w:kern w:val="0"/>
          <w:sz w:val="24"/>
        </w:rPr>
        <w:t>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7.4.12</w:t>
      </w:r>
      <w:r>
        <w:rPr>
          <w:kern w:val="0"/>
          <w:sz w:val="24"/>
        </w:rPr>
        <w:t>中列示的部分基金资产流通暂时受限制不能自由转让的情况外，其余均能以合理价格适时变现。此外，本基金可通过卖出回购金融资产方式借</w:t>
      </w:r>
      <w:r>
        <w:rPr>
          <w:kern w:val="0"/>
          <w:sz w:val="24"/>
        </w:rPr>
        <w:lastRenderedPageBreak/>
        <w:t>入短期资金应对流动性需求，其上限一般不超过基金持有的债券投资的公允价值。</w:t>
      </w:r>
    </w:p>
    <w:p w:rsidR="001A59F9" w:rsidRDefault="001A59F9" w:rsidP="005A19AD">
      <w:pPr>
        <w:spacing w:before="29" w:line="288" w:lineRule="auto"/>
        <w:ind w:firstLineChars="200" w:firstLine="480"/>
        <w:rPr>
          <w:kern w:val="0"/>
          <w:sz w:val="24"/>
        </w:rPr>
      </w:pPr>
      <w:r w:rsidRPr="005A19AD">
        <w:rPr>
          <w:kern w:val="0"/>
          <w:sz w:val="24"/>
        </w:rPr>
        <w:t>于</w:t>
      </w:r>
      <w:r w:rsidRPr="005A19AD">
        <w:rPr>
          <w:kern w:val="0"/>
          <w:sz w:val="24"/>
        </w:rPr>
        <w:t>2016</w:t>
      </w:r>
      <w:r w:rsidRPr="005A19AD">
        <w:rPr>
          <w:kern w:val="0"/>
          <w:sz w:val="24"/>
        </w:rPr>
        <w:t>年</w:t>
      </w:r>
      <w:r w:rsidRPr="005A19AD">
        <w:rPr>
          <w:kern w:val="0"/>
          <w:sz w:val="24"/>
        </w:rPr>
        <w:t>12</w:t>
      </w:r>
      <w:r w:rsidRPr="005A19AD">
        <w:rPr>
          <w:kern w:val="0"/>
          <w:sz w:val="24"/>
        </w:rPr>
        <w:t>月</w:t>
      </w:r>
      <w:r w:rsidRPr="005A19AD">
        <w:rPr>
          <w:kern w:val="0"/>
          <w:sz w:val="24"/>
        </w:rPr>
        <w:t>31</w:t>
      </w:r>
      <w:r w:rsidRPr="005A19AD">
        <w:rPr>
          <w:kern w:val="0"/>
          <w:sz w:val="24"/>
        </w:rPr>
        <w:t>日，除卖出回购金融资产款余额中有</w:t>
      </w:r>
      <w:r w:rsidRPr="005A19AD">
        <w:rPr>
          <w:kern w:val="0"/>
          <w:sz w:val="24"/>
        </w:rPr>
        <w:t>69,999,725.00</w:t>
      </w:r>
      <w:r w:rsidRPr="005A19AD">
        <w:rPr>
          <w:kern w:val="0"/>
          <w:sz w:val="24"/>
        </w:rPr>
        <w:t>元将在一个月以内到期且计息</w:t>
      </w:r>
      <w:r w:rsidRPr="005A19AD">
        <w:rPr>
          <w:kern w:val="0"/>
          <w:sz w:val="24"/>
        </w:rPr>
        <w:t>(</w:t>
      </w:r>
      <w:r w:rsidRPr="005A19AD">
        <w:rPr>
          <w:kern w:val="0"/>
          <w:sz w:val="24"/>
        </w:rPr>
        <w:t>该利息金额不重大</w:t>
      </w:r>
      <w:r w:rsidRPr="005A19AD">
        <w:rPr>
          <w:kern w:val="0"/>
          <w:sz w:val="24"/>
        </w:rPr>
        <w:t>)</w:t>
      </w:r>
      <w:r w:rsidRPr="005A19AD">
        <w:rPr>
          <w:kern w:val="0"/>
          <w:sz w:val="24"/>
        </w:rPr>
        <w:t>外，本基金所承担的其他金融负债的合约约定到期日均为一个月以内且不计息，可赎回基金份额净值</w:t>
      </w:r>
      <w:r w:rsidRPr="005A19AD">
        <w:rPr>
          <w:kern w:val="0"/>
          <w:sz w:val="24"/>
        </w:rPr>
        <w:t>(</w:t>
      </w:r>
      <w:r w:rsidRPr="005A19AD">
        <w:rPr>
          <w:kern w:val="0"/>
          <w:sz w:val="24"/>
        </w:rPr>
        <w:t>所有者权益</w:t>
      </w:r>
      <w:r w:rsidRPr="005A19AD">
        <w:rPr>
          <w:kern w:val="0"/>
          <w:sz w:val="24"/>
        </w:rPr>
        <w:t>)</w:t>
      </w:r>
      <w:r w:rsidRPr="005A19AD">
        <w:rPr>
          <w:kern w:val="0"/>
          <w:sz w:val="24"/>
        </w:rPr>
        <w:t>无固定到期日且不计息，因此账面余额约为未折现的合约到期现金流量。</w:t>
      </w:r>
    </w:p>
    <w:p w:rsidR="005A19AD" w:rsidRPr="005A19AD" w:rsidRDefault="005A19AD" w:rsidP="005A19AD">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00AD16A3" w:rsidRPr="0091476E">
        <w:rPr>
          <w:rFonts w:eastAsiaTheme="minorEastAsia" w:hint="eastAsia"/>
          <w:b/>
          <w:sz w:val="24"/>
        </w:rPr>
        <w:t xml:space="preserve"> </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00AD16A3" w:rsidRPr="0091476E">
        <w:rPr>
          <w:rFonts w:eastAsiaTheme="minorEastAsia" w:hint="eastAsia"/>
          <w:b/>
          <w:sz w:val="24"/>
        </w:rPr>
        <w:t xml:space="preserve"> </w:t>
      </w:r>
      <w:r w:rsidRPr="0091476E">
        <w:rPr>
          <w:rFonts w:eastAsiaTheme="minorEastAsia" w:hint="eastAsia"/>
          <w:b/>
          <w:sz w:val="24"/>
        </w:rPr>
        <w:t>利率风险</w:t>
      </w:r>
    </w:p>
    <w:p w:rsidR="00A46313" w:rsidRDefault="00125795">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A46313" w:rsidRDefault="00125795">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本基金主要投资于交易所及银行间市场交易的固定收益品种，此外还持有银行存款、结算备付金及存出保证金等利率敏感性资产，因此存在相应的利率风险。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00AD16A3" w:rsidRPr="0091476E">
        <w:rPr>
          <w:rFonts w:eastAsiaTheme="minorEastAsia" w:hint="eastAsia"/>
          <w:b/>
          <w:sz w:val="24"/>
        </w:rPr>
        <w:t xml:space="preserve"> </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2016</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A46313">
        <w:tc>
          <w:tcPr>
            <w:tcW w:w="1499" w:type="dxa"/>
            <w:vAlign w:val="center"/>
          </w:tcPr>
          <w:p w:rsidR="00A46313" w:rsidRDefault="00125795">
            <w:pPr>
              <w:jc w:val="center"/>
            </w:pPr>
            <w:r>
              <w:rPr>
                <w:color w:val="000000"/>
                <w:sz w:val="18"/>
                <w:szCs w:val="18"/>
              </w:rPr>
              <w:t>银行存款</w:t>
            </w:r>
          </w:p>
        </w:tc>
        <w:tc>
          <w:tcPr>
            <w:tcW w:w="1499" w:type="dxa"/>
            <w:vAlign w:val="center"/>
          </w:tcPr>
          <w:p w:rsidR="00A46313" w:rsidRDefault="00125795">
            <w:pPr>
              <w:jc w:val="right"/>
            </w:pPr>
            <w:r>
              <w:rPr>
                <w:color w:val="000000"/>
                <w:sz w:val="18"/>
                <w:szCs w:val="18"/>
              </w:rPr>
              <w:t>55,830,714.66</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55,830,714.66</w:t>
            </w:r>
          </w:p>
        </w:tc>
      </w:tr>
      <w:tr w:rsidR="00A46313">
        <w:tc>
          <w:tcPr>
            <w:tcW w:w="1499" w:type="dxa"/>
            <w:vAlign w:val="center"/>
          </w:tcPr>
          <w:p w:rsidR="00A46313" w:rsidRDefault="00125795">
            <w:pPr>
              <w:jc w:val="center"/>
            </w:pPr>
            <w:r>
              <w:rPr>
                <w:color w:val="000000"/>
                <w:sz w:val="18"/>
                <w:szCs w:val="18"/>
              </w:rPr>
              <w:t>结算备付金</w:t>
            </w:r>
          </w:p>
        </w:tc>
        <w:tc>
          <w:tcPr>
            <w:tcW w:w="1499" w:type="dxa"/>
            <w:vAlign w:val="center"/>
          </w:tcPr>
          <w:p w:rsidR="00A46313" w:rsidRDefault="00125795">
            <w:pPr>
              <w:jc w:val="right"/>
            </w:pPr>
            <w:r>
              <w:rPr>
                <w:color w:val="000000"/>
                <w:sz w:val="18"/>
                <w:szCs w:val="18"/>
              </w:rPr>
              <w:t>3,394,066.30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3,394,066.30</w:t>
            </w:r>
          </w:p>
        </w:tc>
      </w:tr>
      <w:tr w:rsidR="00A46313">
        <w:tc>
          <w:tcPr>
            <w:tcW w:w="1499" w:type="dxa"/>
            <w:vAlign w:val="center"/>
          </w:tcPr>
          <w:p w:rsidR="00A46313" w:rsidRDefault="00125795">
            <w:pPr>
              <w:jc w:val="center"/>
            </w:pPr>
            <w:r>
              <w:rPr>
                <w:color w:val="000000"/>
                <w:sz w:val="18"/>
                <w:szCs w:val="18"/>
              </w:rPr>
              <w:t>存出保证金</w:t>
            </w:r>
          </w:p>
        </w:tc>
        <w:tc>
          <w:tcPr>
            <w:tcW w:w="1499" w:type="dxa"/>
            <w:vAlign w:val="center"/>
          </w:tcPr>
          <w:p w:rsidR="00A46313" w:rsidRDefault="00125795">
            <w:pPr>
              <w:jc w:val="right"/>
            </w:pPr>
            <w:r>
              <w:rPr>
                <w:color w:val="000000"/>
                <w:sz w:val="18"/>
                <w:szCs w:val="18"/>
              </w:rPr>
              <w:t>6,104.48</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6,104.48</w:t>
            </w:r>
          </w:p>
        </w:tc>
      </w:tr>
      <w:tr w:rsidR="00A46313">
        <w:tc>
          <w:tcPr>
            <w:tcW w:w="1499" w:type="dxa"/>
            <w:vAlign w:val="center"/>
          </w:tcPr>
          <w:p w:rsidR="00A46313" w:rsidRDefault="00125795">
            <w:pPr>
              <w:jc w:val="center"/>
            </w:pPr>
            <w:r>
              <w:rPr>
                <w:color w:val="000000"/>
                <w:sz w:val="18"/>
                <w:szCs w:val="18"/>
              </w:rPr>
              <w:t>交易性金融资产</w:t>
            </w:r>
          </w:p>
        </w:tc>
        <w:tc>
          <w:tcPr>
            <w:tcW w:w="1499" w:type="dxa"/>
            <w:vAlign w:val="center"/>
          </w:tcPr>
          <w:p w:rsidR="00A46313" w:rsidRDefault="00125795">
            <w:pPr>
              <w:jc w:val="right"/>
            </w:pPr>
            <w:r>
              <w:rPr>
                <w:color w:val="000000"/>
                <w:sz w:val="18"/>
                <w:szCs w:val="18"/>
              </w:rPr>
              <w:t>228,036,992.09</w:t>
            </w:r>
          </w:p>
        </w:tc>
        <w:tc>
          <w:tcPr>
            <w:tcW w:w="1500" w:type="dxa"/>
            <w:vAlign w:val="center"/>
          </w:tcPr>
          <w:p w:rsidR="00A46313" w:rsidRDefault="00125795">
            <w:pPr>
              <w:jc w:val="right"/>
            </w:pPr>
            <w:r>
              <w:rPr>
                <w:color w:val="000000"/>
                <w:sz w:val="18"/>
                <w:szCs w:val="18"/>
              </w:rPr>
              <w:t>175,018,933.00</w:t>
            </w:r>
          </w:p>
        </w:tc>
        <w:tc>
          <w:tcPr>
            <w:tcW w:w="1500" w:type="dxa"/>
            <w:vAlign w:val="center"/>
          </w:tcPr>
          <w:p w:rsidR="00A46313" w:rsidRDefault="00125795">
            <w:pPr>
              <w:jc w:val="right"/>
            </w:pPr>
            <w:r>
              <w:rPr>
                <w:color w:val="000000"/>
                <w:sz w:val="18"/>
                <w:szCs w:val="18"/>
              </w:rPr>
              <w:t>176,557,243.10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579,613,168.19</w:t>
            </w:r>
          </w:p>
        </w:tc>
      </w:tr>
      <w:tr w:rsidR="00A46313">
        <w:tc>
          <w:tcPr>
            <w:tcW w:w="1499" w:type="dxa"/>
            <w:vAlign w:val="center"/>
          </w:tcPr>
          <w:p w:rsidR="00A46313" w:rsidRDefault="00125795">
            <w:pPr>
              <w:jc w:val="center"/>
            </w:pPr>
            <w:r>
              <w:rPr>
                <w:color w:val="000000"/>
                <w:sz w:val="18"/>
                <w:szCs w:val="18"/>
              </w:rPr>
              <w:t>应收利息</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11,601,222.79</w:t>
            </w:r>
          </w:p>
        </w:tc>
        <w:tc>
          <w:tcPr>
            <w:tcW w:w="1500" w:type="dxa"/>
            <w:vAlign w:val="center"/>
          </w:tcPr>
          <w:p w:rsidR="00A46313" w:rsidRDefault="00125795">
            <w:pPr>
              <w:jc w:val="right"/>
            </w:pPr>
            <w:r>
              <w:rPr>
                <w:color w:val="000000"/>
                <w:sz w:val="18"/>
                <w:szCs w:val="18"/>
              </w:rPr>
              <w:t>11,601,222.79</w:t>
            </w:r>
          </w:p>
        </w:tc>
      </w:tr>
      <w:tr w:rsidR="00A46313">
        <w:tc>
          <w:tcPr>
            <w:tcW w:w="1499" w:type="dxa"/>
            <w:vAlign w:val="center"/>
          </w:tcPr>
          <w:p w:rsidR="00A46313" w:rsidRDefault="00125795">
            <w:pPr>
              <w:jc w:val="center"/>
            </w:pPr>
            <w:r>
              <w:rPr>
                <w:color w:val="000000"/>
                <w:sz w:val="18"/>
                <w:szCs w:val="18"/>
              </w:rPr>
              <w:t>应收申购款</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67,291.17</w:t>
            </w:r>
          </w:p>
        </w:tc>
        <w:tc>
          <w:tcPr>
            <w:tcW w:w="1500" w:type="dxa"/>
            <w:vAlign w:val="center"/>
          </w:tcPr>
          <w:p w:rsidR="00A46313" w:rsidRDefault="00125795">
            <w:pPr>
              <w:jc w:val="right"/>
            </w:pPr>
            <w:r>
              <w:rPr>
                <w:color w:val="000000"/>
                <w:sz w:val="18"/>
                <w:szCs w:val="18"/>
              </w:rPr>
              <w:t>67,291.17</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287,267,877.53</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175,018,933.00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176,557,243.10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11,668,513.96</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650,512,567.59</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A46313">
        <w:tc>
          <w:tcPr>
            <w:tcW w:w="1499" w:type="dxa"/>
            <w:vAlign w:val="center"/>
          </w:tcPr>
          <w:p w:rsidR="00A46313" w:rsidRDefault="00125795">
            <w:pPr>
              <w:jc w:val="center"/>
            </w:pPr>
            <w:r>
              <w:rPr>
                <w:color w:val="000000"/>
                <w:sz w:val="18"/>
                <w:szCs w:val="18"/>
              </w:rPr>
              <w:t>卖出回购金融资产款</w:t>
            </w:r>
          </w:p>
        </w:tc>
        <w:tc>
          <w:tcPr>
            <w:tcW w:w="1499" w:type="dxa"/>
            <w:vAlign w:val="center"/>
          </w:tcPr>
          <w:p w:rsidR="00A46313" w:rsidRDefault="00125795">
            <w:pPr>
              <w:jc w:val="right"/>
            </w:pPr>
            <w:r>
              <w:rPr>
                <w:color w:val="000000"/>
                <w:sz w:val="18"/>
                <w:szCs w:val="18"/>
              </w:rPr>
              <w:t>69,999,725.00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69,999,725.00</w:t>
            </w:r>
          </w:p>
        </w:tc>
      </w:tr>
      <w:tr w:rsidR="00A46313">
        <w:tc>
          <w:tcPr>
            <w:tcW w:w="1499" w:type="dxa"/>
            <w:vAlign w:val="center"/>
          </w:tcPr>
          <w:p w:rsidR="00A46313" w:rsidRDefault="00125795">
            <w:pPr>
              <w:jc w:val="center"/>
            </w:pPr>
            <w:r>
              <w:rPr>
                <w:color w:val="000000"/>
                <w:sz w:val="18"/>
                <w:szCs w:val="18"/>
              </w:rPr>
              <w:t>应付证券清算款</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52,115,391.98</w:t>
            </w:r>
          </w:p>
        </w:tc>
        <w:tc>
          <w:tcPr>
            <w:tcW w:w="1500" w:type="dxa"/>
            <w:vAlign w:val="center"/>
          </w:tcPr>
          <w:p w:rsidR="00A46313" w:rsidRDefault="00125795">
            <w:pPr>
              <w:jc w:val="right"/>
            </w:pPr>
            <w:r>
              <w:rPr>
                <w:color w:val="000000"/>
                <w:sz w:val="18"/>
                <w:szCs w:val="18"/>
              </w:rPr>
              <w:t>52,115,391.98</w:t>
            </w:r>
          </w:p>
        </w:tc>
      </w:tr>
      <w:tr w:rsidR="00A46313">
        <w:tc>
          <w:tcPr>
            <w:tcW w:w="1499" w:type="dxa"/>
            <w:vAlign w:val="center"/>
          </w:tcPr>
          <w:p w:rsidR="00A46313" w:rsidRDefault="00125795">
            <w:pPr>
              <w:jc w:val="center"/>
            </w:pPr>
            <w:r>
              <w:rPr>
                <w:color w:val="000000"/>
                <w:sz w:val="18"/>
                <w:szCs w:val="18"/>
              </w:rPr>
              <w:t>应付赎回款</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299,455.52</w:t>
            </w:r>
          </w:p>
        </w:tc>
        <w:tc>
          <w:tcPr>
            <w:tcW w:w="1500" w:type="dxa"/>
            <w:vAlign w:val="center"/>
          </w:tcPr>
          <w:p w:rsidR="00A46313" w:rsidRDefault="00125795">
            <w:pPr>
              <w:jc w:val="right"/>
            </w:pPr>
            <w:r>
              <w:rPr>
                <w:color w:val="000000"/>
                <w:sz w:val="18"/>
                <w:szCs w:val="18"/>
              </w:rPr>
              <w:t>299,455.52</w:t>
            </w:r>
          </w:p>
        </w:tc>
      </w:tr>
      <w:tr w:rsidR="00A46313">
        <w:tc>
          <w:tcPr>
            <w:tcW w:w="1499" w:type="dxa"/>
            <w:vAlign w:val="center"/>
          </w:tcPr>
          <w:p w:rsidR="00A46313" w:rsidRDefault="00125795">
            <w:pPr>
              <w:jc w:val="center"/>
            </w:pPr>
            <w:r>
              <w:rPr>
                <w:color w:val="000000"/>
                <w:sz w:val="18"/>
                <w:szCs w:val="18"/>
              </w:rPr>
              <w:lastRenderedPageBreak/>
              <w:t>应付管理人报酬</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292,096.72</w:t>
            </w:r>
          </w:p>
        </w:tc>
        <w:tc>
          <w:tcPr>
            <w:tcW w:w="1500" w:type="dxa"/>
            <w:vAlign w:val="center"/>
          </w:tcPr>
          <w:p w:rsidR="00A46313" w:rsidRDefault="00125795">
            <w:pPr>
              <w:jc w:val="right"/>
            </w:pPr>
            <w:r>
              <w:rPr>
                <w:color w:val="000000"/>
                <w:sz w:val="18"/>
                <w:szCs w:val="18"/>
              </w:rPr>
              <w:t>292,096.72</w:t>
            </w:r>
          </w:p>
        </w:tc>
      </w:tr>
      <w:tr w:rsidR="00A46313">
        <w:tc>
          <w:tcPr>
            <w:tcW w:w="1499" w:type="dxa"/>
            <w:vAlign w:val="center"/>
          </w:tcPr>
          <w:p w:rsidR="00A46313" w:rsidRDefault="00125795">
            <w:pPr>
              <w:jc w:val="center"/>
            </w:pPr>
            <w:r>
              <w:rPr>
                <w:color w:val="000000"/>
                <w:sz w:val="18"/>
                <w:szCs w:val="18"/>
              </w:rPr>
              <w:t>应付托管费</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97,365.60</w:t>
            </w:r>
          </w:p>
        </w:tc>
        <w:tc>
          <w:tcPr>
            <w:tcW w:w="1500" w:type="dxa"/>
            <w:vAlign w:val="center"/>
          </w:tcPr>
          <w:p w:rsidR="00A46313" w:rsidRDefault="00125795">
            <w:pPr>
              <w:jc w:val="right"/>
            </w:pPr>
            <w:r>
              <w:rPr>
                <w:color w:val="000000"/>
                <w:sz w:val="18"/>
                <w:szCs w:val="18"/>
              </w:rPr>
              <w:t>97,365.60</w:t>
            </w:r>
          </w:p>
        </w:tc>
      </w:tr>
      <w:tr w:rsidR="00A46313">
        <w:tc>
          <w:tcPr>
            <w:tcW w:w="1499" w:type="dxa"/>
            <w:vAlign w:val="center"/>
          </w:tcPr>
          <w:p w:rsidR="00A46313" w:rsidRDefault="00125795">
            <w:pPr>
              <w:jc w:val="center"/>
            </w:pPr>
            <w:r>
              <w:rPr>
                <w:color w:val="000000"/>
                <w:sz w:val="18"/>
                <w:szCs w:val="18"/>
              </w:rPr>
              <w:t>应付销售服务费</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39,109.31</w:t>
            </w:r>
          </w:p>
        </w:tc>
        <w:tc>
          <w:tcPr>
            <w:tcW w:w="1500" w:type="dxa"/>
            <w:vAlign w:val="center"/>
          </w:tcPr>
          <w:p w:rsidR="00A46313" w:rsidRDefault="00125795">
            <w:pPr>
              <w:jc w:val="right"/>
            </w:pPr>
            <w:r>
              <w:rPr>
                <w:color w:val="000000"/>
                <w:sz w:val="18"/>
                <w:szCs w:val="18"/>
              </w:rPr>
              <w:t>39,109.31</w:t>
            </w:r>
          </w:p>
        </w:tc>
      </w:tr>
      <w:tr w:rsidR="00A46313">
        <w:tc>
          <w:tcPr>
            <w:tcW w:w="1499" w:type="dxa"/>
            <w:vAlign w:val="center"/>
          </w:tcPr>
          <w:p w:rsidR="00A46313" w:rsidRDefault="00125795">
            <w:pPr>
              <w:jc w:val="center"/>
            </w:pPr>
            <w:r>
              <w:rPr>
                <w:color w:val="000000"/>
                <w:sz w:val="18"/>
                <w:szCs w:val="18"/>
              </w:rPr>
              <w:t>应付交易费用</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15,850.20</w:t>
            </w:r>
          </w:p>
        </w:tc>
        <w:tc>
          <w:tcPr>
            <w:tcW w:w="1500" w:type="dxa"/>
            <w:vAlign w:val="center"/>
          </w:tcPr>
          <w:p w:rsidR="00A46313" w:rsidRDefault="00125795">
            <w:pPr>
              <w:jc w:val="right"/>
            </w:pPr>
            <w:r>
              <w:rPr>
                <w:color w:val="000000"/>
                <w:sz w:val="18"/>
                <w:szCs w:val="18"/>
              </w:rPr>
              <w:t>15,850.20</w:t>
            </w:r>
          </w:p>
        </w:tc>
      </w:tr>
      <w:tr w:rsidR="00A46313">
        <w:tc>
          <w:tcPr>
            <w:tcW w:w="1499" w:type="dxa"/>
            <w:vAlign w:val="center"/>
          </w:tcPr>
          <w:p w:rsidR="00A46313" w:rsidRDefault="00125795">
            <w:pPr>
              <w:jc w:val="center"/>
            </w:pPr>
            <w:r>
              <w:rPr>
                <w:color w:val="000000"/>
                <w:sz w:val="18"/>
                <w:szCs w:val="18"/>
              </w:rPr>
              <w:t>应付利息</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25,427.60</w:t>
            </w:r>
          </w:p>
        </w:tc>
        <w:tc>
          <w:tcPr>
            <w:tcW w:w="1500" w:type="dxa"/>
            <w:vAlign w:val="center"/>
          </w:tcPr>
          <w:p w:rsidR="00A46313" w:rsidRDefault="00125795">
            <w:pPr>
              <w:jc w:val="right"/>
            </w:pPr>
            <w:r>
              <w:rPr>
                <w:color w:val="000000"/>
                <w:sz w:val="18"/>
                <w:szCs w:val="18"/>
              </w:rPr>
              <w:t>25,427.60</w:t>
            </w:r>
          </w:p>
        </w:tc>
      </w:tr>
      <w:tr w:rsidR="00A46313">
        <w:tc>
          <w:tcPr>
            <w:tcW w:w="1499" w:type="dxa"/>
            <w:vAlign w:val="center"/>
          </w:tcPr>
          <w:p w:rsidR="00A46313" w:rsidRDefault="00125795">
            <w:pPr>
              <w:jc w:val="center"/>
            </w:pPr>
            <w:r>
              <w:rPr>
                <w:color w:val="000000"/>
                <w:sz w:val="18"/>
                <w:szCs w:val="18"/>
              </w:rPr>
              <w:t>其他负债</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330,305.45</w:t>
            </w:r>
          </w:p>
        </w:tc>
        <w:tc>
          <w:tcPr>
            <w:tcW w:w="1500" w:type="dxa"/>
            <w:vAlign w:val="center"/>
          </w:tcPr>
          <w:p w:rsidR="00A46313" w:rsidRDefault="00125795">
            <w:pPr>
              <w:jc w:val="right"/>
            </w:pPr>
            <w:r>
              <w:rPr>
                <w:color w:val="000000"/>
                <w:sz w:val="18"/>
                <w:szCs w:val="18"/>
              </w:rPr>
              <w:t>330,305.45</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69,999,725.00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53,215,002.38</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123,214,727.38</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217,268,152.53</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175,018,933.00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176,557,243.10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-41,546,488.42</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527,297,840.21</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2015</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A46313">
        <w:tc>
          <w:tcPr>
            <w:tcW w:w="1499" w:type="dxa"/>
            <w:vAlign w:val="center"/>
          </w:tcPr>
          <w:p w:rsidR="00A46313" w:rsidRDefault="00125795">
            <w:pPr>
              <w:jc w:val="center"/>
            </w:pPr>
            <w:r>
              <w:rPr>
                <w:color w:val="000000"/>
                <w:sz w:val="18"/>
                <w:szCs w:val="18"/>
              </w:rPr>
              <w:t>银行存款</w:t>
            </w:r>
          </w:p>
        </w:tc>
        <w:tc>
          <w:tcPr>
            <w:tcW w:w="1499" w:type="dxa"/>
            <w:vAlign w:val="center"/>
          </w:tcPr>
          <w:p w:rsidR="00A46313" w:rsidRDefault="00125795">
            <w:pPr>
              <w:jc w:val="right"/>
            </w:pPr>
            <w:r>
              <w:rPr>
                <w:color w:val="000000"/>
                <w:sz w:val="18"/>
                <w:szCs w:val="18"/>
              </w:rPr>
              <w:t>98,638,804.86</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98,638,804.86</w:t>
            </w:r>
          </w:p>
        </w:tc>
      </w:tr>
      <w:tr w:rsidR="00A46313">
        <w:tc>
          <w:tcPr>
            <w:tcW w:w="1499" w:type="dxa"/>
            <w:vAlign w:val="center"/>
          </w:tcPr>
          <w:p w:rsidR="00A46313" w:rsidRDefault="00125795">
            <w:pPr>
              <w:jc w:val="center"/>
            </w:pPr>
            <w:r>
              <w:rPr>
                <w:color w:val="000000"/>
                <w:sz w:val="18"/>
                <w:szCs w:val="18"/>
              </w:rPr>
              <w:t>结算备付金</w:t>
            </w:r>
          </w:p>
        </w:tc>
        <w:tc>
          <w:tcPr>
            <w:tcW w:w="1499" w:type="dxa"/>
            <w:vAlign w:val="center"/>
          </w:tcPr>
          <w:p w:rsidR="00A46313" w:rsidRDefault="00125795">
            <w:pPr>
              <w:jc w:val="right"/>
            </w:pPr>
            <w:r>
              <w:rPr>
                <w:color w:val="000000"/>
                <w:sz w:val="18"/>
                <w:szCs w:val="18"/>
              </w:rPr>
              <w:t>2,820,047.93</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2,820,047.93</w:t>
            </w:r>
          </w:p>
        </w:tc>
      </w:tr>
      <w:tr w:rsidR="00A46313">
        <w:tc>
          <w:tcPr>
            <w:tcW w:w="1499" w:type="dxa"/>
            <w:vAlign w:val="center"/>
          </w:tcPr>
          <w:p w:rsidR="00A46313" w:rsidRDefault="00125795">
            <w:pPr>
              <w:jc w:val="center"/>
            </w:pPr>
            <w:r>
              <w:rPr>
                <w:color w:val="000000"/>
                <w:sz w:val="18"/>
                <w:szCs w:val="18"/>
              </w:rPr>
              <w:t>存出保证金</w:t>
            </w:r>
          </w:p>
        </w:tc>
        <w:tc>
          <w:tcPr>
            <w:tcW w:w="1499" w:type="dxa"/>
            <w:vAlign w:val="center"/>
          </w:tcPr>
          <w:p w:rsidR="00A46313" w:rsidRDefault="00125795">
            <w:pPr>
              <w:jc w:val="right"/>
            </w:pPr>
            <w:r>
              <w:rPr>
                <w:color w:val="000000"/>
                <w:sz w:val="18"/>
                <w:szCs w:val="18"/>
              </w:rPr>
              <w:t>36,958.40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36,958.40</w:t>
            </w:r>
          </w:p>
        </w:tc>
      </w:tr>
      <w:tr w:rsidR="00A46313">
        <w:tc>
          <w:tcPr>
            <w:tcW w:w="1499" w:type="dxa"/>
            <w:vAlign w:val="center"/>
          </w:tcPr>
          <w:p w:rsidR="00A46313" w:rsidRDefault="00125795">
            <w:pPr>
              <w:jc w:val="center"/>
            </w:pPr>
            <w:r>
              <w:rPr>
                <w:color w:val="000000"/>
                <w:sz w:val="18"/>
                <w:szCs w:val="18"/>
              </w:rPr>
              <w:t>交易性金融资产</w:t>
            </w:r>
          </w:p>
        </w:tc>
        <w:tc>
          <w:tcPr>
            <w:tcW w:w="1499" w:type="dxa"/>
            <w:vAlign w:val="center"/>
          </w:tcPr>
          <w:p w:rsidR="00A46313" w:rsidRDefault="00125795">
            <w:pPr>
              <w:jc w:val="right"/>
            </w:pPr>
            <w:r>
              <w:rPr>
                <w:color w:val="000000"/>
                <w:sz w:val="18"/>
                <w:szCs w:val="18"/>
              </w:rPr>
              <w:t>411,518,000.00</w:t>
            </w:r>
          </w:p>
        </w:tc>
        <w:tc>
          <w:tcPr>
            <w:tcW w:w="1500" w:type="dxa"/>
            <w:vAlign w:val="center"/>
          </w:tcPr>
          <w:p w:rsidR="00A46313" w:rsidRDefault="00125795">
            <w:pPr>
              <w:jc w:val="right"/>
            </w:pPr>
            <w:r>
              <w:rPr>
                <w:color w:val="000000"/>
                <w:sz w:val="18"/>
                <w:szCs w:val="18"/>
              </w:rPr>
              <w:t>950,421,973.91</w:t>
            </w:r>
          </w:p>
        </w:tc>
        <w:tc>
          <w:tcPr>
            <w:tcW w:w="1500" w:type="dxa"/>
            <w:vAlign w:val="center"/>
          </w:tcPr>
          <w:p w:rsidR="00A46313" w:rsidRDefault="00125795">
            <w:pPr>
              <w:jc w:val="right"/>
            </w:pPr>
            <w:r>
              <w:rPr>
                <w:color w:val="000000"/>
                <w:sz w:val="18"/>
                <w:szCs w:val="18"/>
              </w:rPr>
              <w:t>426,343,732.00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1,788,283,705.91</w:t>
            </w:r>
          </w:p>
        </w:tc>
      </w:tr>
      <w:tr w:rsidR="00A46313">
        <w:tc>
          <w:tcPr>
            <w:tcW w:w="1499" w:type="dxa"/>
            <w:vAlign w:val="center"/>
          </w:tcPr>
          <w:p w:rsidR="00A46313" w:rsidRDefault="00125795">
            <w:pPr>
              <w:jc w:val="center"/>
            </w:pPr>
            <w:r>
              <w:rPr>
                <w:color w:val="000000"/>
                <w:sz w:val="18"/>
                <w:szCs w:val="18"/>
              </w:rPr>
              <w:t>买入返售金融资产</w:t>
            </w:r>
          </w:p>
        </w:tc>
        <w:tc>
          <w:tcPr>
            <w:tcW w:w="1499" w:type="dxa"/>
            <w:vAlign w:val="center"/>
          </w:tcPr>
          <w:p w:rsidR="00A46313" w:rsidRDefault="00125795">
            <w:pPr>
              <w:jc w:val="right"/>
            </w:pPr>
            <w:r>
              <w:rPr>
                <w:color w:val="000000"/>
                <w:sz w:val="18"/>
                <w:szCs w:val="18"/>
              </w:rPr>
              <w:t>125,492,011.48</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125,492,011.48</w:t>
            </w:r>
          </w:p>
        </w:tc>
      </w:tr>
      <w:tr w:rsidR="00A46313">
        <w:tc>
          <w:tcPr>
            <w:tcW w:w="1499" w:type="dxa"/>
            <w:vAlign w:val="center"/>
          </w:tcPr>
          <w:p w:rsidR="00A46313" w:rsidRDefault="00125795">
            <w:pPr>
              <w:jc w:val="center"/>
            </w:pPr>
            <w:r>
              <w:rPr>
                <w:color w:val="000000"/>
                <w:sz w:val="18"/>
                <w:szCs w:val="18"/>
              </w:rPr>
              <w:t>应收利息</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24,079,333.13</w:t>
            </w:r>
          </w:p>
        </w:tc>
        <w:tc>
          <w:tcPr>
            <w:tcW w:w="1500" w:type="dxa"/>
            <w:vAlign w:val="center"/>
          </w:tcPr>
          <w:p w:rsidR="00A46313" w:rsidRDefault="00125795">
            <w:pPr>
              <w:jc w:val="right"/>
            </w:pPr>
            <w:r>
              <w:rPr>
                <w:color w:val="000000"/>
                <w:sz w:val="18"/>
                <w:szCs w:val="18"/>
              </w:rPr>
              <w:t>24,079,333.13</w:t>
            </w:r>
          </w:p>
        </w:tc>
      </w:tr>
      <w:tr w:rsidR="00A46313">
        <w:tc>
          <w:tcPr>
            <w:tcW w:w="1499" w:type="dxa"/>
            <w:vAlign w:val="center"/>
          </w:tcPr>
          <w:p w:rsidR="00A46313" w:rsidRDefault="00125795">
            <w:pPr>
              <w:jc w:val="center"/>
            </w:pPr>
            <w:r>
              <w:rPr>
                <w:color w:val="000000"/>
                <w:sz w:val="18"/>
                <w:szCs w:val="18"/>
              </w:rPr>
              <w:t>应收申购款</w:t>
            </w:r>
          </w:p>
        </w:tc>
        <w:tc>
          <w:tcPr>
            <w:tcW w:w="1499" w:type="dxa"/>
            <w:vAlign w:val="center"/>
          </w:tcPr>
          <w:p w:rsidR="00A46313" w:rsidRDefault="00125795">
            <w:pPr>
              <w:jc w:val="right"/>
            </w:pPr>
            <w:r>
              <w:rPr>
                <w:color w:val="000000"/>
                <w:sz w:val="18"/>
                <w:szCs w:val="18"/>
              </w:rPr>
              <w:t>50,000.00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754,749.36</w:t>
            </w:r>
          </w:p>
        </w:tc>
        <w:tc>
          <w:tcPr>
            <w:tcW w:w="1500" w:type="dxa"/>
            <w:vAlign w:val="center"/>
          </w:tcPr>
          <w:p w:rsidR="00A46313" w:rsidRDefault="00125795">
            <w:pPr>
              <w:jc w:val="right"/>
            </w:pPr>
            <w:r>
              <w:rPr>
                <w:color w:val="000000"/>
                <w:sz w:val="18"/>
                <w:szCs w:val="18"/>
              </w:rPr>
              <w:t>804,749.36</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638,555,822.67</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950,421,973.91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426,343,732.00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24,834,082.49</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2,040,155,611.07</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A46313">
        <w:tc>
          <w:tcPr>
            <w:tcW w:w="1499" w:type="dxa"/>
            <w:vAlign w:val="center"/>
          </w:tcPr>
          <w:p w:rsidR="00A46313" w:rsidRDefault="00125795">
            <w:pPr>
              <w:jc w:val="center"/>
            </w:pPr>
            <w:r>
              <w:rPr>
                <w:color w:val="000000"/>
                <w:sz w:val="18"/>
                <w:szCs w:val="18"/>
              </w:rPr>
              <w:t>卖出回购金融资产款</w:t>
            </w:r>
          </w:p>
        </w:tc>
        <w:tc>
          <w:tcPr>
            <w:tcW w:w="1499" w:type="dxa"/>
            <w:vAlign w:val="center"/>
          </w:tcPr>
          <w:p w:rsidR="00A46313" w:rsidRDefault="00125795">
            <w:pPr>
              <w:jc w:val="right"/>
            </w:pPr>
            <w:r>
              <w:rPr>
                <w:color w:val="000000"/>
                <w:sz w:val="18"/>
                <w:szCs w:val="18"/>
              </w:rPr>
              <w:t>669,998,985.00</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669,998,985.00</w:t>
            </w:r>
          </w:p>
        </w:tc>
      </w:tr>
      <w:tr w:rsidR="00A46313">
        <w:tc>
          <w:tcPr>
            <w:tcW w:w="1499" w:type="dxa"/>
            <w:vAlign w:val="center"/>
          </w:tcPr>
          <w:p w:rsidR="00A46313" w:rsidRDefault="00125795">
            <w:pPr>
              <w:jc w:val="center"/>
            </w:pPr>
            <w:r>
              <w:rPr>
                <w:color w:val="000000"/>
                <w:sz w:val="18"/>
                <w:szCs w:val="18"/>
              </w:rPr>
              <w:t>应付证券清算款</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14,992,499.36</w:t>
            </w:r>
          </w:p>
        </w:tc>
        <w:tc>
          <w:tcPr>
            <w:tcW w:w="1500" w:type="dxa"/>
            <w:vAlign w:val="center"/>
          </w:tcPr>
          <w:p w:rsidR="00A46313" w:rsidRDefault="00125795">
            <w:pPr>
              <w:jc w:val="right"/>
            </w:pPr>
            <w:r>
              <w:rPr>
                <w:color w:val="000000"/>
                <w:sz w:val="18"/>
                <w:szCs w:val="18"/>
              </w:rPr>
              <w:t>14,992,499.36</w:t>
            </w:r>
          </w:p>
        </w:tc>
      </w:tr>
      <w:tr w:rsidR="00A46313">
        <w:tc>
          <w:tcPr>
            <w:tcW w:w="1499" w:type="dxa"/>
            <w:vAlign w:val="center"/>
          </w:tcPr>
          <w:p w:rsidR="00A46313" w:rsidRDefault="00125795">
            <w:pPr>
              <w:jc w:val="center"/>
            </w:pPr>
            <w:r>
              <w:rPr>
                <w:color w:val="000000"/>
                <w:sz w:val="18"/>
                <w:szCs w:val="18"/>
              </w:rPr>
              <w:t>应付赎回款</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1,343,112.61</w:t>
            </w:r>
          </w:p>
        </w:tc>
        <w:tc>
          <w:tcPr>
            <w:tcW w:w="1500" w:type="dxa"/>
            <w:vAlign w:val="center"/>
          </w:tcPr>
          <w:p w:rsidR="00A46313" w:rsidRDefault="00125795">
            <w:pPr>
              <w:jc w:val="right"/>
            </w:pPr>
            <w:r>
              <w:rPr>
                <w:color w:val="000000"/>
                <w:sz w:val="18"/>
                <w:szCs w:val="18"/>
              </w:rPr>
              <w:t>1,343,112.61</w:t>
            </w:r>
          </w:p>
        </w:tc>
      </w:tr>
      <w:tr w:rsidR="00A46313">
        <w:tc>
          <w:tcPr>
            <w:tcW w:w="1499" w:type="dxa"/>
            <w:vAlign w:val="center"/>
          </w:tcPr>
          <w:p w:rsidR="00A46313" w:rsidRDefault="00125795">
            <w:pPr>
              <w:jc w:val="center"/>
            </w:pPr>
            <w:r>
              <w:rPr>
                <w:color w:val="000000"/>
                <w:sz w:val="18"/>
                <w:szCs w:val="18"/>
              </w:rPr>
              <w:t>应付管理人报酬</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681,869.03</w:t>
            </w:r>
          </w:p>
        </w:tc>
        <w:tc>
          <w:tcPr>
            <w:tcW w:w="1500" w:type="dxa"/>
            <w:vAlign w:val="center"/>
          </w:tcPr>
          <w:p w:rsidR="00A46313" w:rsidRDefault="00125795">
            <w:pPr>
              <w:jc w:val="right"/>
            </w:pPr>
            <w:r>
              <w:rPr>
                <w:color w:val="000000"/>
                <w:sz w:val="18"/>
                <w:szCs w:val="18"/>
              </w:rPr>
              <w:t>681,869.03</w:t>
            </w:r>
          </w:p>
        </w:tc>
      </w:tr>
      <w:tr w:rsidR="00A46313">
        <w:tc>
          <w:tcPr>
            <w:tcW w:w="1499" w:type="dxa"/>
            <w:vAlign w:val="center"/>
          </w:tcPr>
          <w:p w:rsidR="00A46313" w:rsidRDefault="00125795">
            <w:pPr>
              <w:jc w:val="center"/>
            </w:pPr>
            <w:r>
              <w:rPr>
                <w:color w:val="000000"/>
                <w:sz w:val="18"/>
                <w:szCs w:val="18"/>
              </w:rPr>
              <w:t>应付托管费</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227,289.68</w:t>
            </w:r>
          </w:p>
        </w:tc>
        <w:tc>
          <w:tcPr>
            <w:tcW w:w="1500" w:type="dxa"/>
            <w:vAlign w:val="center"/>
          </w:tcPr>
          <w:p w:rsidR="00A46313" w:rsidRDefault="00125795">
            <w:pPr>
              <w:jc w:val="right"/>
            </w:pPr>
            <w:r>
              <w:rPr>
                <w:color w:val="000000"/>
                <w:sz w:val="18"/>
                <w:szCs w:val="18"/>
              </w:rPr>
              <w:t>227,289.68</w:t>
            </w:r>
          </w:p>
        </w:tc>
      </w:tr>
      <w:tr w:rsidR="00A46313">
        <w:tc>
          <w:tcPr>
            <w:tcW w:w="1499" w:type="dxa"/>
            <w:vAlign w:val="center"/>
          </w:tcPr>
          <w:p w:rsidR="00A46313" w:rsidRDefault="00125795">
            <w:pPr>
              <w:jc w:val="center"/>
            </w:pPr>
            <w:r>
              <w:rPr>
                <w:color w:val="000000"/>
                <w:sz w:val="18"/>
                <w:szCs w:val="18"/>
              </w:rPr>
              <w:t>应付销售服务费</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106,657.23</w:t>
            </w:r>
          </w:p>
        </w:tc>
        <w:tc>
          <w:tcPr>
            <w:tcW w:w="1500" w:type="dxa"/>
            <w:vAlign w:val="center"/>
          </w:tcPr>
          <w:p w:rsidR="00A46313" w:rsidRDefault="00125795">
            <w:pPr>
              <w:jc w:val="right"/>
            </w:pPr>
            <w:r>
              <w:rPr>
                <w:color w:val="000000"/>
                <w:sz w:val="18"/>
                <w:szCs w:val="18"/>
              </w:rPr>
              <w:t>106,657.23</w:t>
            </w:r>
          </w:p>
        </w:tc>
      </w:tr>
      <w:tr w:rsidR="00A46313">
        <w:tc>
          <w:tcPr>
            <w:tcW w:w="1499" w:type="dxa"/>
            <w:vAlign w:val="center"/>
          </w:tcPr>
          <w:p w:rsidR="00A46313" w:rsidRDefault="00125795">
            <w:pPr>
              <w:jc w:val="center"/>
            </w:pPr>
            <w:r>
              <w:rPr>
                <w:color w:val="000000"/>
                <w:sz w:val="18"/>
                <w:szCs w:val="18"/>
              </w:rPr>
              <w:t>应付交易费用</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39,501.19</w:t>
            </w:r>
          </w:p>
        </w:tc>
        <w:tc>
          <w:tcPr>
            <w:tcW w:w="1500" w:type="dxa"/>
            <w:vAlign w:val="center"/>
          </w:tcPr>
          <w:p w:rsidR="00A46313" w:rsidRDefault="00125795">
            <w:pPr>
              <w:jc w:val="right"/>
            </w:pPr>
            <w:r>
              <w:rPr>
                <w:color w:val="000000"/>
                <w:sz w:val="18"/>
                <w:szCs w:val="18"/>
              </w:rPr>
              <w:t>39,501.19</w:t>
            </w:r>
          </w:p>
        </w:tc>
      </w:tr>
      <w:tr w:rsidR="00A46313">
        <w:tc>
          <w:tcPr>
            <w:tcW w:w="1499" w:type="dxa"/>
            <w:vAlign w:val="center"/>
          </w:tcPr>
          <w:p w:rsidR="00A46313" w:rsidRDefault="00125795">
            <w:pPr>
              <w:jc w:val="center"/>
            </w:pPr>
            <w:r>
              <w:rPr>
                <w:color w:val="000000"/>
                <w:sz w:val="18"/>
                <w:szCs w:val="18"/>
              </w:rPr>
              <w:t>应付利息</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132,913.60</w:t>
            </w:r>
          </w:p>
        </w:tc>
        <w:tc>
          <w:tcPr>
            <w:tcW w:w="1500" w:type="dxa"/>
            <w:vAlign w:val="center"/>
          </w:tcPr>
          <w:p w:rsidR="00A46313" w:rsidRDefault="00125795">
            <w:pPr>
              <w:jc w:val="right"/>
            </w:pPr>
            <w:r>
              <w:rPr>
                <w:color w:val="000000"/>
                <w:sz w:val="18"/>
                <w:szCs w:val="18"/>
              </w:rPr>
              <w:t>132,913.60</w:t>
            </w:r>
          </w:p>
        </w:tc>
      </w:tr>
      <w:tr w:rsidR="00A46313">
        <w:tc>
          <w:tcPr>
            <w:tcW w:w="1499" w:type="dxa"/>
            <w:vAlign w:val="center"/>
          </w:tcPr>
          <w:p w:rsidR="00A46313" w:rsidRDefault="00125795">
            <w:pPr>
              <w:jc w:val="center"/>
            </w:pPr>
            <w:r>
              <w:rPr>
                <w:color w:val="000000"/>
                <w:sz w:val="18"/>
                <w:szCs w:val="18"/>
              </w:rPr>
              <w:t>其他负债</w:t>
            </w:r>
          </w:p>
        </w:tc>
        <w:tc>
          <w:tcPr>
            <w:tcW w:w="1499"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w:t>
            </w:r>
          </w:p>
        </w:tc>
        <w:tc>
          <w:tcPr>
            <w:tcW w:w="1500" w:type="dxa"/>
            <w:vAlign w:val="center"/>
          </w:tcPr>
          <w:p w:rsidR="00A46313" w:rsidRDefault="00125795">
            <w:pPr>
              <w:jc w:val="right"/>
            </w:pPr>
            <w:r>
              <w:rPr>
                <w:color w:val="000000"/>
                <w:sz w:val="18"/>
                <w:szCs w:val="18"/>
              </w:rPr>
              <w:t>331,469.25</w:t>
            </w:r>
          </w:p>
        </w:tc>
        <w:tc>
          <w:tcPr>
            <w:tcW w:w="1500" w:type="dxa"/>
            <w:vAlign w:val="center"/>
          </w:tcPr>
          <w:p w:rsidR="00A46313" w:rsidRDefault="00125795">
            <w:pPr>
              <w:jc w:val="right"/>
            </w:pPr>
            <w:r>
              <w:rPr>
                <w:color w:val="000000"/>
                <w:sz w:val="18"/>
                <w:szCs w:val="18"/>
              </w:rPr>
              <w:t>331,469.25</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669,998,985.00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17,855,311.95</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687,854,296.95</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-31,443,162.33</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950,421,973.91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426,343,732.00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6,978,770.54</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1,352,301,314.12</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 xml:space="preserve"> </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A46313">
        <w:tc>
          <w:tcPr>
            <w:tcW w:w="1276" w:type="dxa"/>
            <w:vAlign w:val="center"/>
          </w:tcPr>
          <w:p w:rsidR="00A46313" w:rsidRDefault="00125795">
            <w:pPr>
              <w:jc w:val="left"/>
            </w:pPr>
            <w:r>
              <w:rPr>
                <w:color w:val="000000"/>
                <w:sz w:val="24"/>
              </w:rPr>
              <w:t>假设</w:t>
            </w:r>
          </w:p>
        </w:tc>
        <w:tc>
          <w:tcPr>
            <w:tcW w:w="7722" w:type="dxa"/>
            <w:gridSpan w:val="3"/>
            <w:vAlign w:val="center"/>
          </w:tcPr>
          <w:p w:rsidR="00A46313" w:rsidRDefault="00125795">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2016</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2015</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A46313">
        <w:tc>
          <w:tcPr>
            <w:tcW w:w="1276" w:type="dxa"/>
            <w:vMerge/>
          </w:tcPr>
          <w:p w:rsidR="00A46313" w:rsidRDefault="00A46313"/>
        </w:tc>
        <w:tc>
          <w:tcPr>
            <w:tcW w:w="2693" w:type="dxa"/>
            <w:vAlign w:val="center"/>
          </w:tcPr>
          <w:p w:rsidR="00A46313" w:rsidRDefault="00125795">
            <w:pPr>
              <w:jc w:val="left"/>
            </w:pPr>
            <w:r>
              <w:rPr>
                <w:color w:val="000000"/>
                <w:sz w:val="24"/>
              </w:rPr>
              <w:t>市场利率上升</w:t>
            </w:r>
            <w:r>
              <w:rPr>
                <w:color w:val="000000"/>
                <w:sz w:val="24"/>
              </w:rPr>
              <w:t>25</w:t>
            </w:r>
            <w:r>
              <w:rPr>
                <w:color w:val="000000"/>
                <w:sz w:val="24"/>
              </w:rPr>
              <w:t>个基点</w:t>
            </w:r>
          </w:p>
        </w:tc>
        <w:tc>
          <w:tcPr>
            <w:tcW w:w="2780" w:type="dxa"/>
            <w:vAlign w:val="center"/>
          </w:tcPr>
          <w:p w:rsidR="00A46313" w:rsidRDefault="00125795">
            <w:pPr>
              <w:jc w:val="right"/>
            </w:pPr>
            <w:r>
              <w:rPr>
                <w:color w:val="000000"/>
                <w:sz w:val="24"/>
              </w:rPr>
              <w:t>减少约</w:t>
            </w:r>
            <w:r>
              <w:rPr>
                <w:color w:val="000000"/>
                <w:sz w:val="24"/>
              </w:rPr>
              <w:t>385</w:t>
            </w:r>
          </w:p>
        </w:tc>
        <w:tc>
          <w:tcPr>
            <w:tcW w:w="2249" w:type="dxa"/>
            <w:vAlign w:val="center"/>
          </w:tcPr>
          <w:p w:rsidR="00A46313" w:rsidRDefault="00125795">
            <w:pPr>
              <w:jc w:val="right"/>
            </w:pPr>
            <w:r>
              <w:rPr>
                <w:color w:val="000000"/>
                <w:sz w:val="24"/>
              </w:rPr>
              <w:t>减少约</w:t>
            </w:r>
            <w:r>
              <w:rPr>
                <w:color w:val="000000"/>
                <w:sz w:val="24"/>
              </w:rPr>
              <w:t>1,608</w:t>
            </w:r>
          </w:p>
        </w:tc>
      </w:tr>
      <w:tr w:rsidR="00A46313">
        <w:tc>
          <w:tcPr>
            <w:tcW w:w="1276" w:type="dxa"/>
            <w:vMerge/>
          </w:tcPr>
          <w:p w:rsidR="00A46313" w:rsidRDefault="00A46313"/>
        </w:tc>
        <w:tc>
          <w:tcPr>
            <w:tcW w:w="2693" w:type="dxa"/>
            <w:vAlign w:val="center"/>
          </w:tcPr>
          <w:p w:rsidR="00A46313" w:rsidRDefault="00125795">
            <w:pPr>
              <w:jc w:val="left"/>
            </w:pPr>
            <w:r>
              <w:rPr>
                <w:color w:val="000000"/>
                <w:sz w:val="24"/>
              </w:rPr>
              <w:t>市场利率下降</w:t>
            </w:r>
            <w:r>
              <w:rPr>
                <w:color w:val="000000"/>
                <w:sz w:val="24"/>
              </w:rPr>
              <w:t>25</w:t>
            </w:r>
            <w:r>
              <w:rPr>
                <w:color w:val="000000"/>
                <w:sz w:val="24"/>
              </w:rPr>
              <w:t>个基点</w:t>
            </w:r>
          </w:p>
        </w:tc>
        <w:tc>
          <w:tcPr>
            <w:tcW w:w="2780" w:type="dxa"/>
            <w:vAlign w:val="center"/>
          </w:tcPr>
          <w:p w:rsidR="00A46313" w:rsidRDefault="00125795">
            <w:pPr>
              <w:jc w:val="right"/>
            </w:pPr>
            <w:r>
              <w:rPr>
                <w:color w:val="000000"/>
                <w:sz w:val="24"/>
              </w:rPr>
              <w:t>增加约</w:t>
            </w:r>
            <w:r>
              <w:rPr>
                <w:color w:val="000000"/>
                <w:sz w:val="24"/>
              </w:rPr>
              <w:t>391</w:t>
            </w:r>
          </w:p>
        </w:tc>
        <w:tc>
          <w:tcPr>
            <w:tcW w:w="2249" w:type="dxa"/>
            <w:vAlign w:val="center"/>
          </w:tcPr>
          <w:p w:rsidR="00A46313" w:rsidRDefault="00125795">
            <w:pPr>
              <w:jc w:val="right"/>
            </w:pPr>
            <w:r>
              <w:rPr>
                <w:color w:val="000000"/>
                <w:sz w:val="24"/>
              </w:rPr>
              <w:t>增加约</w:t>
            </w:r>
            <w:r>
              <w:rPr>
                <w:color w:val="000000"/>
                <w:sz w:val="24"/>
              </w:rPr>
              <w:t>1,638</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00AD16A3" w:rsidRPr="0091476E">
        <w:rPr>
          <w:rFonts w:eastAsiaTheme="minorEastAsia" w:hint="eastAsia"/>
          <w:b/>
          <w:sz w:val="24"/>
        </w:rPr>
        <w:t xml:space="preserve"> </w:t>
      </w:r>
      <w:r w:rsidRPr="0091476E">
        <w:rPr>
          <w:rFonts w:eastAsiaTheme="minorEastAsia" w:hint="eastAsia"/>
          <w:b/>
          <w:sz w:val="24"/>
        </w:rPr>
        <w:t>其他价格风险</w:t>
      </w:r>
    </w:p>
    <w:p w:rsidR="00A46313" w:rsidRDefault="00125795">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00AD16A3" w:rsidRPr="0091476E">
        <w:rPr>
          <w:rFonts w:eastAsiaTheme="minorEastAsia" w:hint="eastAsia"/>
          <w:b/>
          <w:sz w:val="24"/>
        </w:rPr>
        <w:t xml:space="preserve"> </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 xml:space="preserve">    </w:t>
      </w:r>
      <w:r w:rsidRPr="009F6B95">
        <w:rPr>
          <w:kern w:val="0"/>
          <w:sz w:val="24"/>
        </w:rPr>
        <w:t>于</w:t>
      </w:r>
      <w:r w:rsidRPr="009F6B95">
        <w:rPr>
          <w:kern w:val="0"/>
          <w:sz w:val="24"/>
        </w:rPr>
        <w:t>2016</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日，本基金未持有交易性权益类投资</w:t>
      </w:r>
      <w:r w:rsidRPr="009F6B95">
        <w:rPr>
          <w:kern w:val="0"/>
          <w:sz w:val="24"/>
        </w:rPr>
        <w:t>(2015</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日：无</w:t>
      </w:r>
      <w:r w:rsidRPr="009F6B95">
        <w:rPr>
          <w:kern w:val="0"/>
          <w:sz w:val="24"/>
        </w:rPr>
        <w:t>)</w:t>
      </w:r>
      <w:r w:rsidRPr="009F6B95">
        <w:rPr>
          <w:kern w:val="0"/>
          <w:sz w:val="24"/>
        </w:rPr>
        <w:t>，因此除市场利率和外汇汇率以外的市场价格因素的变动对于本基金资产净值无重大影响</w:t>
      </w:r>
      <w:r w:rsidRPr="009F6B95">
        <w:rPr>
          <w:kern w:val="0"/>
          <w:sz w:val="24"/>
        </w:rPr>
        <w:t>(2015</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Pr="009F6B95">
        <w:rPr>
          <w:kern w:val="0"/>
          <w:sz w:val="24"/>
        </w:rPr>
        <w:t>)</w:t>
      </w:r>
      <w:r w:rsidRPr="009F6B95">
        <w:rPr>
          <w:kern w:val="0"/>
          <w:sz w:val="24"/>
        </w:rPr>
        <w:t>。</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00024200" w:rsidRPr="0091476E">
        <w:rPr>
          <w:rFonts w:eastAsiaTheme="minorEastAsia" w:hint="eastAsia"/>
          <w:b/>
          <w:sz w:val="24"/>
        </w:rPr>
        <w:t xml:space="preserve"> </w:t>
      </w:r>
      <w:r w:rsidRPr="0091476E">
        <w:rPr>
          <w:rFonts w:eastAsiaTheme="minorEastAsia" w:hint="eastAsia"/>
          <w:b/>
          <w:sz w:val="24"/>
        </w:rPr>
        <w:t>有助于理解和分析会计报表需要说明的其他事项</w:t>
      </w:r>
    </w:p>
    <w:p w:rsidR="00A46313" w:rsidRDefault="00125795">
      <w:pPr>
        <w:spacing w:before="29" w:line="288" w:lineRule="auto"/>
        <w:ind w:firstLineChars="200" w:firstLine="480"/>
        <w:rPr>
          <w:kern w:val="0"/>
          <w:sz w:val="24"/>
        </w:rPr>
      </w:pPr>
      <w:r>
        <w:rPr>
          <w:kern w:val="0"/>
          <w:sz w:val="24"/>
        </w:rPr>
        <w:t>(1)</w:t>
      </w:r>
      <w:r>
        <w:rPr>
          <w:kern w:val="0"/>
          <w:sz w:val="24"/>
        </w:rPr>
        <w:t>公允价值</w:t>
      </w:r>
    </w:p>
    <w:p w:rsidR="00A46313" w:rsidRDefault="00125795">
      <w:pPr>
        <w:spacing w:before="29" w:line="288" w:lineRule="auto"/>
        <w:ind w:firstLineChars="200" w:firstLine="480"/>
        <w:rPr>
          <w:kern w:val="0"/>
          <w:sz w:val="24"/>
        </w:rPr>
      </w:pPr>
      <w:r>
        <w:rPr>
          <w:kern w:val="0"/>
          <w:sz w:val="24"/>
        </w:rPr>
        <w:t>(a)</w:t>
      </w:r>
      <w:r>
        <w:rPr>
          <w:kern w:val="0"/>
          <w:sz w:val="24"/>
        </w:rPr>
        <w:t>金融工具公允价值计量的方法</w:t>
      </w:r>
    </w:p>
    <w:p w:rsidR="00A46313" w:rsidRDefault="00125795">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A46313" w:rsidRDefault="00125795">
      <w:pPr>
        <w:spacing w:before="29" w:line="288" w:lineRule="auto"/>
        <w:ind w:firstLineChars="200" w:firstLine="480"/>
        <w:rPr>
          <w:kern w:val="0"/>
          <w:sz w:val="24"/>
        </w:rPr>
      </w:pPr>
      <w:r>
        <w:rPr>
          <w:kern w:val="0"/>
          <w:sz w:val="24"/>
        </w:rPr>
        <w:t>第一层次：相同资产或负债在活跃市场上未经调整的报价。</w:t>
      </w:r>
    </w:p>
    <w:p w:rsidR="00A46313" w:rsidRDefault="00125795">
      <w:pPr>
        <w:spacing w:before="29" w:line="288" w:lineRule="auto"/>
        <w:ind w:firstLineChars="200" w:firstLine="480"/>
        <w:rPr>
          <w:kern w:val="0"/>
          <w:sz w:val="24"/>
        </w:rPr>
      </w:pPr>
      <w:r>
        <w:rPr>
          <w:kern w:val="0"/>
          <w:sz w:val="24"/>
        </w:rPr>
        <w:t>第二层次：除第一层次输入值外相关资产或负债直接或间接可观察的输入值。</w:t>
      </w:r>
    </w:p>
    <w:p w:rsidR="00A46313" w:rsidRDefault="00125795">
      <w:pPr>
        <w:spacing w:before="29" w:line="288" w:lineRule="auto"/>
        <w:ind w:firstLineChars="200" w:firstLine="480"/>
        <w:rPr>
          <w:kern w:val="0"/>
          <w:sz w:val="24"/>
        </w:rPr>
      </w:pPr>
      <w:r>
        <w:rPr>
          <w:kern w:val="0"/>
          <w:sz w:val="24"/>
        </w:rPr>
        <w:t>第三层次：相关资产或负债的不可观察输入值。</w:t>
      </w:r>
    </w:p>
    <w:p w:rsidR="00A46313" w:rsidRDefault="00125795">
      <w:pPr>
        <w:spacing w:before="29" w:line="288" w:lineRule="auto"/>
        <w:ind w:firstLineChars="200" w:firstLine="480"/>
        <w:rPr>
          <w:kern w:val="0"/>
          <w:sz w:val="24"/>
        </w:rPr>
      </w:pPr>
      <w:r>
        <w:rPr>
          <w:kern w:val="0"/>
          <w:sz w:val="24"/>
        </w:rPr>
        <w:t>(b)</w:t>
      </w:r>
      <w:r>
        <w:rPr>
          <w:kern w:val="0"/>
          <w:sz w:val="24"/>
        </w:rPr>
        <w:t>持续的以公允价值计量的金融工具</w:t>
      </w:r>
    </w:p>
    <w:p w:rsidR="00A46313" w:rsidRDefault="00125795">
      <w:pPr>
        <w:spacing w:before="29" w:line="288" w:lineRule="auto"/>
        <w:ind w:firstLineChars="200" w:firstLine="480"/>
        <w:rPr>
          <w:kern w:val="0"/>
          <w:sz w:val="24"/>
        </w:rPr>
      </w:pPr>
      <w:r>
        <w:rPr>
          <w:kern w:val="0"/>
          <w:sz w:val="24"/>
        </w:rPr>
        <w:t>(i)</w:t>
      </w:r>
      <w:r>
        <w:rPr>
          <w:kern w:val="0"/>
          <w:sz w:val="24"/>
        </w:rPr>
        <w:t>各层次金融工具公允价值</w:t>
      </w:r>
    </w:p>
    <w:p w:rsidR="00A46313" w:rsidRDefault="00125795">
      <w:pPr>
        <w:spacing w:before="29" w:line="288" w:lineRule="auto"/>
        <w:ind w:firstLineChars="200" w:firstLine="480"/>
        <w:rPr>
          <w:kern w:val="0"/>
          <w:sz w:val="24"/>
        </w:rPr>
      </w:pPr>
      <w:r>
        <w:rPr>
          <w:kern w:val="0"/>
          <w:sz w:val="24"/>
        </w:rPr>
        <w:t>于</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111,167.10</w:t>
      </w:r>
      <w:r>
        <w:rPr>
          <w:kern w:val="0"/>
          <w:sz w:val="24"/>
        </w:rPr>
        <w:t>元，属于第二层次的余额为</w:t>
      </w:r>
      <w:r>
        <w:rPr>
          <w:kern w:val="0"/>
          <w:sz w:val="24"/>
        </w:rPr>
        <w:t>579,502,001.09</w:t>
      </w:r>
      <w:r>
        <w:rPr>
          <w:kern w:val="0"/>
          <w:sz w:val="24"/>
        </w:rPr>
        <w:t>元，无属于第三层次的余额</w:t>
      </w:r>
      <w:r>
        <w:rPr>
          <w:kern w:val="0"/>
          <w:sz w:val="24"/>
        </w:rPr>
        <w:t>(2015</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32,349,351.71</w:t>
      </w:r>
      <w:r>
        <w:rPr>
          <w:kern w:val="0"/>
          <w:sz w:val="24"/>
        </w:rPr>
        <w:t>元，第二层次</w:t>
      </w:r>
      <w:r>
        <w:rPr>
          <w:kern w:val="0"/>
          <w:sz w:val="24"/>
        </w:rPr>
        <w:lastRenderedPageBreak/>
        <w:t>1,755,934,354.20</w:t>
      </w:r>
      <w:r>
        <w:rPr>
          <w:kern w:val="0"/>
          <w:sz w:val="24"/>
        </w:rPr>
        <w:t>元，无第三层次</w:t>
      </w:r>
      <w:r>
        <w:rPr>
          <w:kern w:val="0"/>
          <w:sz w:val="24"/>
        </w:rPr>
        <w:t>)</w:t>
      </w:r>
      <w:r>
        <w:rPr>
          <w:kern w:val="0"/>
          <w:sz w:val="24"/>
        </w:rPr>
        <w:t>。</w:t>
      </w:r>
    </w:p>
    <w:p w:rsidR="00A46313" w:rsidRDefault="00125795">
      <w:pPr>
        <w:spacing w:before="29" w:line="288" w:lineRule="auto"/>
        <w:ind w:firstLineChars="200" w:firstLine="480"/>
        <w:rPr>
          <w:kern w:val="0"/>
          <w:sz w:val="24"/>
        </w:rPr>
      </w:pPr>
      <w:r>
        <w:rPr>
          <w:kern w:val="0"/>
          <w:sz w:val="24"/>
        </w:rPr>
        <w:t>(ii)</w:t>
      </w:r>
      <w:r>
        <w:rPr>
          <w:kern w:val="0"/>
          <w:sz w:val="24"/>
        </w:rPr>
        <w:t>公允价值所属层次间的重大变动</w:t>
      </w:r>
    </w:p>
    <w:p w:rsidR="00A46313" w:rsidRDefault="00125795">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A46313" w:rsidRDefault="00125795">
      <w:pPr>
        <w:spacing w:before="29" w:line="288" w:lineRule="auto"/>
        <w:ind w:firstLineChars="200" w:firstLine="480"/>
        <w:rPr>
          <w:kern w:val="0"/>
          <w:sz w:val="24"/>
        </w:rPr>
      </w:pPr>
      <w:r>
        <w:rPr>
          <w:kern w:val="0"/>
          <w:sz w:val="24"/>
        </w:rPr>
        <w:t>(iii)</w:t>
      </w:r>
      <w:r>
        <w:rPr>
          <w:kern w:val="0"/>
          <w:sz w:val="24"/>
        </w:rPr>
        <w:t>第三层次公允价值余额和本期变动金额</w:t>
      </w:r>
    </w:p>
    <w:p w:rsidR="00A46313" w:rsidRDefault="00125795">
      <w:pPr>
        <w:spacing w:before="29" w:line="288" w:lineRule="auto"/>
        <w:ind w:firstLineChars="200" w:firstLine="480"/>
        <w:rPr>
          <w:kern w:val="0"/>
          <w:sz w:val="24"/>
        </w:rPr>
      </w:pPr>
      <w:r>
        <w:rPr>
          <w:kern w:val="0"/>
          <w:sz w:val="24"/>
        </w:rPr>
        <w:t>无。</w:t>
      </w:r>
    </w:p>
    <w:p w:rsidR="00A46313" w:rsidRDefault="00125795">
      <w:pPr>
        <w:spacing w:before="29" w:line="288" w:lineRule="auto"/>
        <w:ind w:firstLineChars="200" w:firstLine="480"/>
        <w:rPr>
          <w:kern w:val="0"/>
          <w:sz w:val="24"/>
        </w:rPr>
      </w:pPr>
      <w:r>
        <w:rPr>
          <w:kern w:val="0"/>
          <w:sz w:val="24"/>
        </w:rPr>
        <w:t>(c)</w:t>
      </w:r>
      <w:r>
        <w:rPr>
          <w:kern w:val="0"/>
          <w:sz w:val="24"/>
        </w:rPr>
        <w:t>非持续的以公允价值计量的金融工具</w:t>
      </w:r>
    </w:p>
    <w:p w:rsidR="00A46313" w:rsidRDefault="00125795">
      <w:pPr>
        <w:spacing w:before="29" w:line="288" w:lineRule="auto"/>
        <w:ind w:firstLineChars="200" w:firstLine="480"/>
        <w:rPr>
          <w:kern w:val="0"/>
          <w:sz w:val="24"/>
        </w:rPr>
      </w:pPr>
      <w:r>
        <w:rPr>
          <w:kern w:val="0"/>
          <w:sz w:val="24"/>
        </w:rPr>
        <w:t>于</w:t>
      </w:r>
      <w:r>
        <w:rPr>
          <w:kern w:val="0"/>
          <w:sz w:val="24"/>
        </w:rPr>
        <w:t>2016</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(2015</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A46313" w:rsidRDefault="00125795">
      <w:pPr>
        <w:spacing w:before="29" w:line="288" w:lineRule="auto"/>
        <w:ind w:firstLineChars="200" w:firstLine="480"/>
        <w:rPr>
          <w:kern w:val="0"/>
          <w:sz w:val="24"/>
        </w:rPr>
      </w:pPr>
      <w:r>
        <w:rPr>
          <w:kern w:val="0"/>
          <w:sz w:val="24"/>
        </w:rPr>
        <w:t>(d)</w:t>
      </w:r>
      <w:r>
        <w:rPr>
          <w:kern w:val="0"/>
          <w:sz w:val="24"/>
        </w:rPr>
        <w:t>不以公允价值计量的金融工具</w:t>
      </w:r>
    </w:p>
    <w:p w:rsidR="00A46313" w:rsidRDefault="00125795">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21" w:name="_Toc225498272"/>
      <w:bookmarkStart w:id="122" w:name="_Toc361324877"/>
      <w:bookmarkStart w:id="123" w:name="_Toc478236543"/>
      <w:r w:rsidRPr="00321D95">
        <w:rPr>
          <w:rFonts w:hint="eastAsia"/>
          <w:b/>
          <w:bCs/>
          <w:szCs w:val="24"/>
          <w:lang w:val="en-US"/>
        </w:rPr>
        <w:t>§</w:t>
      </w:r>
      <w:r w:rsidRPr="00321D95">
        <w:rPr>
          <w:b/>
          <w:bCs/>
          <w:szCs w:val="24"/>
          <w:lang w:val="en-US"/>
        </w:rPr>
        <w:t>8</w:t>
      </w:r>
      <w:r w:rsidR="009153A3" w:rsidRPr="00321D95">
        <w:rPr>
          <w:rFonts w:hint="eastAsia"/>
          <w:b/>
          <w:bCs/>
          <w:szCs w:val="24"/>
          <w:lang w:val="en-US"/>
        </w:rPr>
        <w:t xml:space="preserve">  </w:t>
      </w:r>
      <w:r w:rsidRPr="00321D95">
        <w:rPr>
          <w:rFonts w:hint="eastAsia"/>
          <w:b/>
          <w:bCs/>
          <w:szCs w:val="24"/>
          <w:lang w:val="en-US"/>
        </w:rPr>
        <w:t>投资组合报告</w:t>
      </w:r>
      <w:bookmarkEnd w:id="121"/>
      <w:bookmarkEnd w:id="122"/>
      <w:bookmarkEnd w:id="123"/>
    </w:p>
    <w:p w:rsidR="00DB6EA0" w:rsidRPr="00DB6EA0" w:rsidRDefault="00DB6EA0" w:rsidP="00DB6EA0"/>
    <w:p w:rsidR="001A59F9" w:rsidRPr="004211FD" w:rsidRDefault="001A59F9" w:rsidP="004211FD">
      <w:pPr>
        <w:pStyle w:val="20"/>
        <w:spacing w:before="29" w:after="0" w:line="288" w:lineRule="auto"/>
        <w:rPr>
          <w:b w:val="0"/>
          <w:kern w:val="0"/>
        </w:rPr>
      </w:pPr>
      <w:bookmarkStart w:id="124" w:name="_Toc225498273"/>
      <w:bookmarkStart w:id="125" w:name="_Toc361324878"/>
      <w:bookmarkStart w:id="126" w:name="_Toc478236544"/>
      <w:r w:rsidRPr="004211FD">
        <w:rPr>
          <w:rFonts w:ascii="Times New Roman" w:hAnsi="Times New Roman"/>
          <w:kern w:val="0"/>
          <w:szCs w:val="24"/>
        </w:rPr>
        <w:t>8.1</w:t>
      </w:r>
      <w:r w:rsidR="00024200" w:rsidRPr="004211FD">
        <w:rPr>
          <w:rFonts w:ascii="Times New Roman" w:hAnsi="Times New Roman"/>
          <w:kern w:val="0"/>
          <w:szCs w:val="24"/>
        </w:rPr>
        <w:t xml:space="preserve"> </w:t>
      </w:r>
      <w:r w:rsidRPr="004211FD">
        <w:rPr>
          <w:rFonts w:ascii="Times New Roman" w:hAnsi="Times New Roman" w:hint="eastAsia"/>
          <w:kern w:val="0"/>
          <w:szCs w:val="24"/>
        </w:rPr>
        <w:t>期末基金资产组合情况</w:t>
      </w:r>
      <w:bookmarkEnd w:id="124"/>
      <w:bookmarkEnd w:id="125"/>
      <w:bookmarkEnd w:id="126"/>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91212A" w:rsidTr="00EC47EE">
        <w:trPr>
          <w:jc w:val="center"/>
        </w:trPr>
        <w:tc>
          <w:tcPr>
            <w:tcW w:w="108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42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36"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金额</w:t>
            </w:r>
          </w:p>
        </w:tc>
        <w:tc>
          <w:tcPr>
            <w:tcW w:w="1664"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占基金总资产的比例（</w:t>
            </w:r>
            <w:r w:rsidRPr="000C342B">
              <w:rPr>
                <w:color w:val="000000"/>
                <w:sz w:val="24"/>
              </w:rPr>
              <w:t>%</w:t>
            </w:r>
            <w:r w:rsidRPr="000C342B">
              <w:rPr>
                <w:rFonts w:hint="eastAsia"/>
                <w:color w:val="00000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1</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权益投资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其中：股票</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2</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固定收益投资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579,613,168.19</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89.10</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其中：债券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504,885,699.70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77.61</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335C87">
            <w:pPr>
              <w:spacing w:before="29" w:line="288" w:lineRule="auto"/>
              <w:ind w:leftChars="50" w:left="105" w:firstLineChars="350" w:firstLine="840"/>
              <w:rPr>
                <w:sz w:val="24"/>
              </w:rPr>
            </w:pPr>
            <w:r w:rsidRPr="00892F99">
              <w:rPr>
                <w:rFonts w:hint="eastAsia"/>
                <w:sz w:val="24"/>
              </w:rPr>
              <w:t>资产支持证券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74,727,468.49</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11.49</w:t>
            </w:r>
          </w:p>
        </w:tc>
      </w:tr>
      <w:tr w:rsidR="00E00CC6" w:rsidRPr="0091212A" w:rsidTr="00400137">
        <w:trPr>
          <w:jc w:val="center"/>
        </w:trPr>
        <w:tc>
          <w:tcPr>
            <w:tcW w:w="1080" w:type="dxa"/>
          </w:tcPr>
          <w:p w:rsidR="00E00CC6" w:rsidRPr="00DB0592" w:rsidRDefault="00E00CC6" w:rsidP="00DB0592">
            <w:pPr>
              <w:spacing w:before="29" w:line="288" w:lineRule="auto"/>
              <w:jc w:val="center"/>
              <w:rPr>
                <w:sz w:val="24"/>
              </w:rPr>
            </w:pPr>
            <w:r w:rsidRPr="00DB0592">
              <w:rPr>
                <w:rFonts w:hint="eastAsia"/>
                <w:sz w:val="24"/>
              </w:rPr>
              <w:t>3</w:t>
            </w:r>
          </w:p>
        </w:tc>
        <w:tc>
          <w:tcPr>
            <w:tcW w:w="3420" w:type="dxa"/>
          </w:tcPr>
          <w:p w:rsidR="00E00CC6" w:rsidRPr="00892F99" w:rsidRDefault="00E00CC6" w:rsidP="00892F99">
            <w:pPr>
              <w:spacing w:before="29" w:line="288" w:lineRule="auto"/>
              <w:ind w:leftChars="50" w:left="105"/>
              <w:rPr>
                <w:sz w:val="24"/>
              </w:rPr>
            </w:pPr>
            <w:r w:rsidRPr="00892F99">
              <w:rPr>
                <w:rFonts w:hint="eastAsia"/>
                <w:sz w:val="24"/>
              </w:rPr>
              <w:t>贵金属投资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4</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金融衍生品投资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5</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其中：买断式回购的买入返售金融资产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6</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银行存款和结算备付金合计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59,224,780.96</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9.10</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lastRenderedPageBreak/>
              <w:t>7</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其他各项资产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11,674,618.44</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1.79</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8</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650,512,567.59</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27" w:name="_Toc225498274"/>
      <w:bookmarkStart w:id="128" w:name="_Toc361324879"/>
      <w:bookmarkStart w:id="129" w:name="_Toc478236545"/>
      <w:r w:rsidRPr="004211FD">
        <w:rPr>
          <w:rFonts w:ascii="Times New Roman" w:hAnsi="Times New Roman"/>
          <w:kern w:val="0"/>
          <w:szCs w:val="24"/>
        </w:rPr>
        <w:t>8.2</w:t>
      </w:r>
      <w:r w:rsidR="00024200" w:rsidRPr="004211FD">
        <w:rPr>
          <w:rFonts w:ascii="Times New Roman" w:hAnsi="Times New Roman"/>
          <w:kern w:val="0"/>
          <w:szCs w:val="24"/>
        </w:rPr>
        <w:t xml:space="preserve"> </w:t>
      </w:r>
      <w:r w:rsidRPr="004211FD">
        <w:rPr>
          <w:rFonts w:ascii="Times New Roman" w:hAnsi="Times New Roman" w:hint="eastAsia"/>
          <w:kern w:val="0"/>
          <w:szCs w:val="24"/>
        </w:rPr>
        <w:t>期末按行业分类的股票投资组合</w:t>
      </w:r>
      <w:bookmarkEnd w:id="127"/>
      <w:bookmarkEnd w:id="128"/>
      <w:bookmarkEnd w:id="129"/>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6601DF" w:rsidRDefault="001A59F9" w:rsidP="00AF746E">
      <w:pPr>
        <w:tabs>
          <w:tab w:val="left" w:pos="426"/>
        </w:tabs>
        <w:spacing w:before="29" w:line="288" w:lineRule="auto"/>
        <w:jc w:val="left"/>
        <w:rPr>
          <w:kern w:val="0"/>
          <w:sz w:val="24"/>
        </w:rPr>
      </w:pPr>
      <w:r w:rsidRPr="009F6B95">
        <w:rPr>
          <w:kern w:val="0"/>
          <w:sz w:val="24"/>
        </w:rPr>
        <w:t>本基金本报告期末未持有股票。</w:t>
      </w:r>
      <w:r w:rsidR="005A08E6">
        <w:rPr>
          <w:rFonts w:hint="eastAsia"/>
          <w:kern w:val="0"/>
          <w:sz w:val="24"/>
        </w:rPr>
        <w:br/>
      </w:r>
    </w:p>
    <w:p w:rsidR="006601DF" w:rsidRPr="00113F76" w:rsidRDefault="006601DF" w:rsidP="006601DF">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报告期末按行业分类的沪港通投资股票投资组合</w:t>
      </w:r>
    </w:p>
    <w:p w:rsid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本基金本报告期末未持有通过沪港通投资的股票。</w:t>
      </w:r>
    </w:p>
    <w:p w:rsidR="005851B5" w:rsidRPr="00905382" w:rsidRDefault="005851B5" w:rsidP="00905382">
      <w:pPr>
        <w:widowControl/>
        <w:autoSpaceDE w:val="0"/>
        <w:autoSpaceDN w:val="0"/>
        <w:spacing w:before="29" w:line="288" w:lineRule="auto"/>
        <w:ind w:right="-15"/>
        <w:textAlignment w:val="bottom"/>
        <w:rPr>
          <w:color w:val="000000"/>
          <w:sz w:val="24"/>
        </w:rPr>
      </w:pPr>
    </w:p>
    <w:p w:rsidR="005E1DAF" w:rsidRPr="004211FD" w:rsidRDefault="001A59F9" w:rsidP="004211FD">
      <w:pPr>
        <w:pStyle w:val="20"/>
        <w:spacing w:before="29" w:after="0" w:line="288" w:lineRule="auto"/>
        <w:rPr>
          <w:b w:val="0"/>
          <w:kern w:val="0"/>
        </w:rPr>
      </w:pPr>
      <w:bookmarkStart w:id="130" w:name="_Toc361324881"/>
      <w:bookmarkStart w:id="131" w:name="_Toc478236546"/>
      <w:r w:rsidRPr="004211FD">
        <w:rPr>
          <w:rFonts w:ascii="Times New Roman" w:hAnsi="Times New Roman"/>
          <w:kern w:val="0"/>
          <w:szCs w:val="24"/>
        </w:rPr>
        <w:t>8.3</w:t>
      </w:r>
      <w:r w:rsidR="00024200" w:rsidRPr="004211FD">
        <w:rPr>
          <w:rFonts w:ascii="Times New Roman" w:hAnsi="Times New Roman"/>
          <w:kern w:val="0"/>
          <w:szCs w:val="24"/>
        </w:rPr>
        <w:t xml:space="preserve"> </w:t>
      </w:r>
      <w:r w:rsidRPr="004211FD">
        <w:rPr>
          <w:rFonts w:ascii="Times New Roman" w:hAnsi="Times New Roman" w:hint="eastAsia"/>
          <w:kern w:val="0"/>
          <w:szCs w:val="24"/>
        </w:rPr>
        <w:t>期末按公允价值占基金资产净值比例大小排序的所有股票投资明细</w:t>
      </w:r>
      <w:bookmarkEnd w:id="130"/>
      <w:bookmarkEnd w:id="131"/>
    </w:p>
    <w:p w:rsidR="007F174D" w:rsidRPr="007F174D" w:rsidRDefault="001A59F9" w:rsidP="007F174D">
      <w:pPr>
        <w:tabs>
          <w:tab w:val="left" w:pos="426"/>
        </w:tabs>
        <w:spacing w:before="29" w:line="288" w:lineRule="auto"/>
        <w:jc w:val="left"/>
        <w:rPr>
          <w:kern w:val="0"/>
          <w:sz w:val="24"/>
        </w:rPr>
      </w:pPr>
      <w:r w:rsidRPr="007F174D">
        <w:rPr>
          <w:kern w:val="0"/>
          <w:sz w:val="24"/>
        </w:rPr>
        <w:t>本基金本报告期末未持有股票。</w:t>
      </w:r>
      <w:r w:rsidR="00F102F5">
        <w:rPr>
          <w:rFonts w:hint="eastAsia"/>
          <w:kern w:val="0"/>
          <w:sz w:val="24"/>
        </w:rPr>
        <w:br/>
      </w:r>
    </w:p>
    <w:p w:rsidR="001A59F9" w:rsidRPr="004211FD" w:rsidRDefault="001A59F9" w:rsidP="004211FD">
      <w:pPr>
        <w:pStyle w:val="20"/>
        <w:spacing w:before="29" w:after="0" w:line="288" w:lineRule="auto"/>
        <w:rPr>
          <w:b w:val="0"/>
          <w:kern w:val="0"/>
        </w:rPr>
      </w:pPr>
      <w:bookmarkStart w:id="132" w:name="_Toc361324882"/>
      <w:bookmarkStart w:id="133" w:name="_Toc478236547"/>
      <w:r w:rsidRPr="004211FD">
        <w:rPr>
          <w:rFonts w:ascii="Times New Roman" w:hAnsi="Times New Roman"/>
          <w:kern w:val="0"/>
          <w:szCs w:val="24"/>
        </w:rPr>
        <w:t>8.4</w:t>
      </w:r>
      <w:bookmarkStart w:id="134" w:name="_Toc234814103"/>
      <w:r w:rsidR="00024200" w:rsidRPr="004211FD">
        <w:rPr>
          <w:rFonts w:ascii="Times New Roman" w:hAnsi="Times New Roman"/>
          <w:kern w:val="0"/>
          <w:szCs w:val="24"/>
        </w:rPr>
        <w:t xml:space="preserve"> </w:t>
      </w:r>
      <w:r w:rsidRPr="004211FD">
        <w:rPr>
          <w:rFonts w:ascii="Times New Roman" w:hAnsi="Times New Roman" w:hint="eastAsia"/>
          <w:kern w:val="0"/>
          <w:szCs w:val="24"/>
        </w:rPr>
        <w:t>报告期内股票投资组合的重大变动</w:t>
      </w:r>
      <w:bookmarkEnd w:id="132"/>
      <w:bookmarkEnd w:id="133"/>
      <w:bookmarkEnd w:id="134"/>
    </w:p>
    <w:p w:rsidR="003D5AE8" w:rsidRDefault="001A59F9" w:rsidP="00874129">
      <w:pPr>
        <w:spacing w:before="29" w:line="288" w:lineRule="auto"/>
        <w:rPr>
          <w:kern w:val="0"/>
          <w:sz w:val="24"/>
        </w:rPr>
      </w:pPr>
      <w:r w:rsidRPr="007F174D">
        <w:rPr>
          <w:kern w:val="0"/>
          <w:sz w:val="24"/>
        </w:rPr>
        <w:t>本基金本报告期内未持有股票。</w:t>
      </w:r>
      <w:r w:rsidR="009F08DC">
        <w:rPr>
          <w:rFonts w:hint="eastAsia"/>
          <w:kern w:val="0"/>
          <w:sz w:val="24"/>
        </w:rPr>
        <w:br/>
      </w:r>
    </w:p>
    <w:p w:rsidR="001A59F9" w:rsidRPr="004211FD" w:rsidRDefault="001A59F9" w:rsidP="004211FD">
      <w:pPr>
        <w:pStyle w:val="20"/>
        <w:spacing w:before="29" w:after="0" w:line="288" w:lineRule="auto"/>
        <w:rPr>
          <w:b w:val="0"/>
          <w:kern w:val="0"/>
        </w:rPr>
      </w:pPr>
      <w:bookmarkStart w:id="135" w:name="_Toc234814104"/>
      <w:bookmarkStart w:id="136" w:name="_Toc361324883"/>
      <w:bookmarkStart w:id="137" w:name="_Toc478236548"/>
      <w:r w:rsidRPr="004211FD">
        <w:rPr>
          <w:rFonts w:ascii="Times New Roman" w:hAnsi="Times New Roman"/>
          <w:kern w:val="0"/>
          <w:szCs w:val="24"/>
        </w:rPr>
        <w:t>8.5</w:t>
      </w:r>
      <w:r w:rsidR="008A0029" w:rsidRPr="004211FD">
        <w:rPr>
          <w:rFonts w:ascii="Times New Roman" w:hAnsi="Times New Roman"/>
          <w:kern w:val="0"/>
          <w:szCs w:val="24"/>
        </w:rPr>
        <w:t xml:space="preserve"> </w:t>
      </w:r>
      <w:r w:rsidRPr="004211FD">
        <w:rPr>
          <w:rFonts w:ascii="Times New Roman" w:hAnsi="Times New Roman" w:hint="eastAsia"/>
          <w:kern w:val="0"/>
          <w:szCs w:val="24"/>
        </w:rPr>
        <w:t>期末按债券品种分类的债券投资组合</w:t>
      </w:r>
      <w:bookmarkEnd w:id="135"/>
      <w:bookmarkEnd w:id="136"/>
      <w:bookmarkEnd w:id="137"/>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30,000,000.00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5.69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30,000,000.00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5.69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260,343,932.60</w:t>
            </w:r>
          </w:p>
        </w:tc>
        <w:tc>
          <w:tcPr>
            <w:tcW w:w="1754" w:type="dxa"/>
            <w:vAlign w:val="center"/>
          </w:tcPr>
          <w:p w:rsidR="001A59F9" w:rsidRPr="006E3F38" w:rsidRDefault="001A59F9" w:rsidP="00575241">
            <w:pPr>
              <w:spacing w:before="29" w:line="288" w:lineRule="auto"/>
              <w:jc w:val="right"/>
              <w:rPr>
                <w:color w:val="000000"/>
                <w:kern w:val="0"/>
                <w:sz w:val="24"/>
              </w:rPr>
            </w:pPr>
            <w:r w:rsidRPr="006E3F38">
              <w:rPr>
                <w:color w:val="000000"/>
                <w:kern w:val="0"/>
                <w:sz w:val="24"/>
              </w:rPr>
              <w:t>49.</w:t>
            </w:r>
            <w:r w:rsidR="00575241">
              <w:rPr>
                <w:rFonts w:hint="eastAsia"/>
                <w:color w:val="000000"/>
                <w:kern w:val="0"/>
                <w:sz w:val="24"/>
              </w:rPr>
              <w:t>3</w:t>
            </w:r>
            <w:r w:rsidRPr="006E3F38">
              <w:rPr>
                <w:color w:val="000000"/>
                <w:kern w:val="0"/>
                <w:sz w:val="24"/>
              </w:rPr>
              <w:t>7</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69,562,000.00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13.19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138,199,000.00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26.21</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6,780,767.10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1.29</w:t>
            </w:r>
          </w:p>
        </w:tc>
      </w:tr>
      <w:tr w:rsidR="00F83798" w:rsidRPr="00D564C7" w:rsidTr="005851B5">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504,885,699.70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95.75</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4211FD" w:rsidRDefault="001A59F9" w:rsidP="004211FD">
      <w:pPr>
        <w:pStyle w:val="20"/>
        <w:spacing w:before="29" w:after="0" w:line="288" w:lineRule="auto"/>
        <w:rPr>
          <w:b w:val="0"/>
          <w:kern w:val="0"/>
        </w:rPr>
      </w:pPr>
      <w:bookmarkStart w:id="138" w:name="_Toc361324884"/>
      <w:bookmarkStart w:id="139" w:name="_Toc478236549"/>
      <w:r w:rsidRPr="004211FD">
        <w:rPr>
          <w:rFonts w:ascii="Times New Roman" w:hAnsi="Times New Roman"/>
          <w:kern w:val="0"/>
          <w:szCs w:val="24"/>
        </w:rPr>
        <w:t>8.6</w:t>
      </w:r>
      <w:bookmarkStart w:id="140" w:name="_Toc234814105"/>
      <w:r w:rsidR="008A0029" w:rsidRPr="004211FD">
        <w:rPr>
          <w:rFonts w:ascii="Times New Roman" w:hAnsi="Times New Roman"/>
          <w:kern w:val="0"/>
          <w:szCs w:val="24"/>
        </w:rPr>
        <w:t xml:space="preserve"> </w:t>
      </w:r>
      <w:r w:rsidRPr="004211FD">
        <w:rPr>
          <w:rFonts w:ascii="Times New Roman" w:hAnsi="Times New Roman" w:hint="eastAsia"/>
          <w:kern w:val="0"/>
          <w:szCs w:val="24"/>
        </w:rPr>
        <w:t>期末按公允价值占基金资产净值比例大小</w:t>
      </w:r>
      <w:r w:rsidR="0055511D" w:rsidRPr="004211FD">
        <w:rPr>
          <w:rFonts w:ascii="Times New Roman" w:hAnsi="Times New Roman" w:hint="eastAsia"/>
          <w:kern w:val="0"/>
          <w:szCs w:val="24"/>
        </w:rPr>
        <w:t>排序</w:t>
      </w:r>
      <w:r w:rsidRPr="004211FD">
        <w:rPr>
          <w:rFonts w:ascii="Times New Roman" w:hAnsi="Times New Roman" w:hint="eastAsia"/>
          <w:kern w:val="0"/>
          <w:szCs w:val="24"/>
        </w:rPr>
        <w:t>的前五名债券投资明细</w:t>
      </w:r>
      <w:bookmarkEnd w:id="138"/>
      <w:bookmarkEnd w:id="139"/>
      <w:bookmarkEnd w:id="140"/>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A46313">
        <w:trPr>
          <w:jc w:val="center"/>
        </w:trPr>
        <w:tc>
          <w:tcPr>
            <w:tcW w:w="788" w:type="dxa"/>
            <w:vAlign w:val="center"/>
          </w:tcPr>
          <w:p w:rsidR="00A46313" w:rsidRDefault="00125795">
            <w:pPr>
              <w:jc w:val="center"/>
            </w:pPr>
            <w:r>
              <w:rPr>
                <w:color w:val="000000"/>
                <w:sz w:val="24"/>
              </w:rPr>
              <w:t>1</w:t>
            </w:r>
          </w:p>
        </w:tc>
        <w:tc>
          <w:tcPr>
            <w:tcW w:w="1774" w:type="dxa"/>
            <w:vAlign w:val="center"/>
          </w:tcPr>
          <w:p w:rsidR="00A46313" w:rsidRDefault="00125795">
            <w:pPr>
              <w:jc w:val="center"/>
            </w:pPr>
            <w:r>
              <w:rPr>
                <w:color w:val="000000"/>
                <w:sz w:val="24"/>
              </w:rPr>
              <w:t>101556052</w:t>
            </w:r>
          </w:p>
        </w:tc>
        <w:tc>
          <w:tcPr>
            <w:tcW w:w="1282" w:type="dxa"/>
            <w:vAlign w:val="center"/>
          </w:tcPr>
          <w:p w:rsidR="00A46313" w:rsidRDefault="00125795">
            <w:pPr>
              <w:jc w:val="center"/>
            </w:pPr>
            <w:r>
              <w:rPr>
                <w:color w:val="000000"/>
                <w:sz w:val="24"/>
              </w:rPr>
              <w:t>15</w:t>
            </w:r>
            <w:r>
              <w:rPr>
                <w:color w:val="000000"/>
                <w:sz w:val="24"/>
              </w:rPr>
              <w:t>甘公投</w:t>
            </w:r>
            <w:r>
              <w:rPr>
                <w:color w:val="000000"/>
                <w:sz w:val="24"/>
              </w:rPr>
              <w:t>MTN002</w:t>
            </w:r>
          </w:p>
        </w:tc>
        <w:tc>
          <w:tcPr>
            <w:tcW w:w="1763" w:type="dxa"/>
            <w:vAlign w:val="center"/>
          </w:tcPr>
          <w:p w:rsidR="00A46313" w:rsidRDefault="00125795">
            <w:pPr>
              <w:jc w:val="right"/>
            </w:pPr>
            <w:r>
              <w:rPr>
                <w:color w:val="000000"/>
                <w:sz w:val="24"/>
              </w:rPr>
              <w:t>500,000</w:t>
            </w:r>
          </w:p>
        </w:tc>
        <w:tc>
          <w:tcPr>
            <w:tcW w:w="1843" w:type="dxa"/>
            <w:vAlign w:val="center"/>
          </w:tcPr>
          <w:p w:rsidR="00A46313" w:rsidRDefault="00125795">
            <w:pPr>
              <w:jc w:val="right"/>
            </w:pPr>
            <w:r>
              <w:rPr>
                <w:color w:val="000000"/>
                <w:sz w:val="24"/>
              </w:rPr>
              <w:t>50,275,000.00</w:t>
            </w:r>
          </w:p>
        </w:tc>
        <w:tc>
          <w:tcPr>
            <w:tcW w:w="1493" w:type="dxa"/>
            <w:vAlign w:val="center"/>
          </w:tcPr>
          <w:p w:rsidR="00A46313" w:rsidRDefault="00125795">
            <w:pPr>
              <w:jc w:val="right"/>
            </w:pPr>
            <w:r>
              <w:rPr>
                <w:color w:val="000000"/>
                <w:sz w:val="24"/>
              </w:rPr>
              <w:t>9.53</w:t>
            </w:r>
          </w:p>
        </w:tc>
      </w:tr>
      <w:tr w:rsidR="00A46313">
        <w:trPr>
          <w:jc w:val="center"/>
        </w:trPr>
        <w:tc>
          <w:tcPr>
            <w:tcW w:w="788" w:type="dxa"/>
            <w:vAlign w:val="center"/>
          </w:tcPr>
          <w:p w:rsidR="00A46313" w:rsidRDefault="00125795">
            <w:pPr>
              <w:jc w:val="center"/>
            </w:pPr>
            <w:r>
              <w:rPr>
                <w:color w:val="000000"/>
                <w:sz w:val="24"/>
              </w:rPr>
              <w:t>2</w:t>
            </w:r>
          </w:p>
        </w:tc>
        <w:tc>
          <w:tcPr>
            <w:tcW w:w="1774" w:type="dxa"/>
            <w:vAlign w:val="center"/>
          </w:tcPr>
          <w:p w:rsidR="00A46313" w:rsidRDefault="00125795">
            <w:pPr>
              <w:jc w:val="center"/>
            </w:pPr>
            <w:r>
              <w:rPr>
                <w:color w:val="000000"/>
                <w:sz w:val="24"/>
              </w:rPr>
              <w:t>011698573</w:t>
            </w:r>
          </w:p>
        </w:tc>
        <w:tc>
          <w:tcPr>
            <w:tcW w:w="1282" w:type="dxa"/>
            <w:vAlign w:val="center"/>
          </w:tcPr>
          <w:p w:rsidR="00A46313" w:rsidRDefault="00125795">
            <w:pPr>
              <w:jc w:val="center"/>
            </w:pPr>
            <w:r>
              <w:rPr>
                <w:color w:val="000000"/>
                <w:sz w:val="24"/>
              </w:rPr>
              <w:t>16</w:t>
            </w:r>
            <w:r>
              <w:rPr>
                <w:color w:val="000000"/>
                <w:sz w:val="24"/>
              </w:rPr>
              <w:t>京住总</w:t>
            </w:r>
            <w:r>
              <w:rPr>
                <w:color w:val="000000"/>
                <w:sz w:val="24"/>
              </w:rPr>
              <w:t>SCP003</w:t>
            </w:r>
          </w:p>
        </w:tc>
        <w:tc>
          <w:tcPr>
            <w:tcW w:w="1763" w:type="dxa"/>
            <w:vAlign w:val="center"/>
          </w:tcPr>
          <w:p w:rsidR="00A46313" w:rsidRDefault="00125795">
            <w:pPr>
              <w:jc w:val="right"/>
            </w:pPr>
            <w:r>
              <w:rPr>
                <w:color w:val="000000"/>
                <w:sz w:val="24"/>
              </w:rPr>
              <w:t>500,000</w:t>
            </w:r>
          </w:p>
        </w:tc>
        <w:tc>
          <w:tcPr>
            <w:tcW w:w="1843" w:type="dxa"/>
            <w:vAlign w:val="center"/>
          </w:tcPr>
          <w:p w:rsidR="00A46313" w:rsidRDefault="00125795">
            <w:pPr>
              <w:jc w:val="right"/>
            </w:pPr>
            <w:r>
              <w:rPr>
                <w:color w:val="000000"/>
                <w:sz w:val="24"/>
              </w:rPr>
              <w:t>49,690,000.00</w:t>
            </w:r>
          </w:p>
        </w:tc>
        <w:tc>
          <w:tcPr>
            <w:tcW w:w="1493" w:type="dxa"/>
            <w:vAlign w:val="center"/>
          </w:tcPr>
          <w:p w:rsidR="00A46313" w:rsidRDefault="00125795">
            <w:pPr>
              <w:jc w:val="right"/>
            </w:pPr>
            <w:r>
              <w:rPr>
                <w:color w:val="000000"/>
                <w:sz w:val="24"/>
              </w:rPr>
              <w:t>9.42</w:t>
            </w:r>
          </w:p>
        </w:tc>
      </w:tr>
      <w:tr w:rsidR="00A46313">
        <w:trPr>
          <w:jc w:val="center"/>
        </w:trPr>
        <w:tc>
          <w:tcPr>
            <w:tcW w:w="788" w:type="dxa"/>
            <w:vAlign w:val="center"/>
          </w:tcPr>
          <w:p w:rsidR="00A46313" w:rsidRDefault="00125795">
            <w:pPr>
              <w:jc w:val="center"/>
            </w:pPr>
            <w:r>
              <w:rPr>
                <w:color w:val="000000"/>
                <w:sz w:val="24"/>
              </w:rPr>
              <w:t>3</w:t>
            </w:r>
          </w:p>
        </w:tc>
        <w:tc>
          <w:tcPr>
            <w:tcW w:w="1774" w:type="dxa"/>
            <w:vAlign w:val="center"/>
          </w:tcPr>
          <w:p w:rsidR="00A46313" w:rsidRDefault="00125795">
            <w:pPr>
              <w:jc w:val="center"/>
            </w:pPr>
            <w:r>
              <w:rPr>
                <w:color w:val="000000"/>
                <w:sz w:val="24"/>
              </w:rPr>
              <w:t>1680089</w:t>
            </w:r>
          </w:p>
        </w:tc>
        <w:tc>
          <w:tcPr>
            <w:tcW w:w="1282" w:type="dxa"/>
            <w:vAlign w:val="center"/>
          </w:tcPr>
          <w:p w:rsidR="00A46313" w:rsidRDefault="00125795">
            <w:pPr>
              <w:jc w:val="center"/>
            </w:pPr>
            <w:r>
              <w:rPr>
                <w:color w:val="000000"/>
                <w:sz w:val="24"/>
              </w:rPr>
              <w:t>16</w:t>
            </w:r>
            <w:r>
              <w:rPr>
                <w:color w:val="000000"/>
                <w:sz w:val="24"/>
              </w:rPr>
              <w:t>下城债</w:t>
            </w:r>
          </w:p>
        </w:tc>
        <w:tc>
          <w:tcPr>
            <w:tcW w:w="1763" w:type="dxa"/>
            <w:vAlign w:val="center"/>
          </w:tcPr>
          <w:p w:rsidR="00A46313" w:rsidRDefault="00125795">
            <w:pPr>
              <w:jc w:val="right"/>
            </w:pPr>
            <w:r>
              <w:rPr>
                <w:color w:val="000000"/>
                <w:sz w:val="24"/>
              </w:rPr>
              <w:t>400,000</w:t>
            </w:r>
          </w:p>
        </w:tc>
        <w:tc>
          <w:tcPr>
            <w:tcW w:w="1843" w:type="dxa"/>
            <w:vAlign w:val="center"/>
          </w:tcPr>
          <w:p w:rsidR="00A46313" w:rsidRDefault="00125795">
            <w:pPr>
              <w:jc w:val="right"/>
            </w:pPr>
            <w:r>
              <w:rPr>
                <w:color w:val="000000"/>
                <w:sz w:val="24"/>
              </w:rPr>
              <w:t>39,016,000.00</w:t>
            </w:r>
          </w:p>
        </w:tc>
        <w:tc>
          <w:tcPr>
            <w:tcW w:w="1493" w:type="dxa"/>
            <w:vAlign w:val="center"/>
          </w:tcPr>
          <w:p w:rsidR="00A46313" w:rsidRDefault="00125795">
            <w:pPr>
              <w:jc w:val="right"/>
            </w:pPr>
            <w:r>
              <w:rPr>
                <w:color w:val="000000"/>
                <w:sz w:val="24"/>
              </w:rPr>
              <w:t>7.40</w:t>
            </w:r>
          </w:p>
        </w:tc>
      </w:tr>
      <w:tr w:rsidR="00A46313">
        <w:trPr>
          <w:jc w:val="center"/>
        </w:trPr>
        <w:tc>
          <w:tcPr>
            <w:tcW w:w="788" w:type="dxa"/>
            <w:vAlign w:val="center"/>
          </w:tcPr>
          <w:p w:rsidR="00A46313" w:rsidRDefault="00125795">
            <w:pPr>
              <w:jc w:val="center"/>
            </w:pPr>
            <w:r>
              <w:rPr>
                <w:color w:val="000000"/>
                <w:sz w:val="24"/>
              </w:rPr>
              <w:t>4</w:t>
            </w:r>
          </w:p>
        </w:tc>
        <w:tc>
          <w:tcPr>
            <w:tcW w:w="1774" w:type="dxa"/>
            <w:vAlign w:val="center"/>
          </w:tcPr>
          <w:p w:rsidR="00A46313" w:rsidRDefault="00125795">
            <w:pPr>
              <w:jc w:val="center"/>
            </w:pPr>
            <w:r>
              <w:rPr>
                <w:color w:val="000000"/>
                <w:sz w:val="24"/>
              </w:rPr>
              <w:t>124471</w:t>
            </w:r>
          </w:p>
        </w:tc>
        <w:tc>
          <w:tcPr>
            <w:tcW w:w="1282" w:type="dxa"/>
            <w:vAlign w:val="center"/>
          </w:tcPr>
          <w:p w:rsidR="00A46313" w:rsidRDefault="00125795">
            <w:pPr>
              <w:jc w:val="center"/>
            </w:pPr>
            <w:r>
              <w:rPr>
                <w:color w:val="000000"/>
                <w:sz w:val="24"/>
              </w:rPr>
              <w:t>13</w:t>
            </w:r>
            <w:r>
              <w:rPr>
                <w:color w:val="000000"/>
                <w:sz w:val="24"/>
              </w:rPr>
              <w:t>宁海</w:t>
            </w:r>
            <w:r>
              <w:rPr>
                <w:color w:val="000000"/>
                <w:sz w:val="24"/>
              </w:rPr>
              <w:t>01</w:t>
            </w:r>
          </w:p>
        </w:tc>
        <w:tc>
          <w:tcPr>
            <w:tcW w:w="1763" w:type="dxa"/>
            <w:vAlign w:val="center"/>
          </w:tcPr>
          <w:p w:rsidR="00A46313" w:rsidRDefault="00125795">
            <w:pPr>
              <w:jc w:val="right"/>
            </w:pPr>
            <w:r>
              <w:rPr>
                <w:color w:val="000000"/>
                <w:sz w:val="24"/>
              </w:rPr>
              <w:t>319,100</w:t>
            </w:r>
          </w:p>
        </w:tc>
        <w:tc>
          <w:tcPr>
            <w:tcW w:w="1843" w:type="dxa"/>
            <w:vAlign w:val="center"/>
          </w:tcPr>
          <w:p w:rsidR="00A46313" w:rsidRDefault="00125795">
            <w:pPr>
              <w:jc w:val="right"/>
            </w:pPr>
            <w:r>
              <w:rPr>
                <w:color w:val="000000"/>
                <w:sz w:val="24"/>
              </w:rPr>
              <w:t>33,566,129.00</w:t>
            </w:r>
          </w:p>
        </w:tc>
        <w:tc>
          <w:tcPr>
            <w:tcW w:w="1493" w:type="dxa"/>
            <w:vAlign w:val="center"/>
          </w:tcPr>
          <w:p w:rsidR="00A46313" w:rsidRDefault="00125795">
            <w:pPr>
              <w:jc w:val="right"/>
            </w:pPr>
            <w:r>
              <w:rPr>
                <w:color w:val="000000"/>
                <w:sz w:val="24"/>
              </w:rPr>
              <w:t>6.37</w:t>
            </w:r>
          </w:p>
        </w:tc>
      </w:tr>
      <w:tr w:rsidR="00A46313">
        <w:trPr>
          <w:jc w:val="center"/>
        </w:trPr>
        <w:tc>
          <w:tcPr>
            <w:tcW w:w="788" w:type="dxa"/>
            <w:vAlign w:val="center"/>
          </w:tcPr>
          <w:p w:rsidR="00A46313" w:rsidRDefault="00125795">
            <w:pPr>
              <w:jc w:val="center"/>
            </w:pPr>
            <w:r>
              <w:rPr>
                <w:color w:val="000000"/>
                <w:sz w:val="24"/>
              </w:rPr>
              <w:t>5</w:t>
            </w:r>
          </w:p>
        </w:tc>
        <w:tc>
          <w:tcPr>
            <w:tcW w:w="1774" w:type="dxa"/>
            <w:vAlign w:val="center"/>
          </w:tcPr>
          <w:p w:rsidR="00A46313" w:rsidRDefault="00125795">
            <w:pPr>
              <w:jc w:val="center"/>
            </w:pPr>
            <w:r>
              <w:rPr>
                <w:color w:val="000000"/>
                <w:sz w:val="24"/>
              </w:rPr>
              <w:t>1580193</w:t>
            </w:r>
          </w:p>
        </w:tc>
        <w:tc>
          <w:tcPr>
            <w:tcW w:w="1282" w:type="dxa"/>
            <w:vAlign w:val="center"/>
          </w:tcPr>
          <w:p w:rsidR="00A46313" w:rsidRDefault="00125795">
            <w:pPr>
              <w:jc w:val="center"/>
            </w:pPr>
            <w:r>
              <w:rPr>
                <w:color w:val="000000"/>
                <w:sz w:val="24"/>
              </w:rPr>
              <w:t>15</w:t>
            </w:r>
            <w:r>
              <w:rPr>
                <w:color w:val="000000"/>
                <w:sz w:val="24"/>
              </w:rPr>
              <w:t>洪轨债</w:t>
            </w:r>
            <w:r>
              <w:rPr>
                <w:color w:val="000000"/>
                <w:sz w:val="24"/>
              </w:rPr>
              <w:t>02</w:t>
            </w:r>
          </w:p>
        </w:tc>
        <w:tc>
          <w:tcPr>
            <w:tcW w:w="1763" w:type="dxa"/>
            <w:vAlign w:val="center"/>
          </w:tcPr>
          <w:p w:rsidR="00A46313" w:rsidRDefault="00125795">
            <w:pPr>
              <w:jc w:val="right"/>
            </w:pPr>
            <w:r>
              <w:rPr>
                <w:color w:val="000000"/>
                <w:sz w:val="24"/>
              </w:rPr>
              <w:t>300,000</w:t>
            </w:r>
          </w:p>
        </w:tc>
        <w:tc>
          <w:tcPr>
            <w:tcW w:w="1843" w:type="dxa"/>
            <w:vAlign w:val="center"/>
          </w:tcPr>
          <w:p w:rsidR="00A46313" w:rsidRDefault="00125795">
            <w:pPr>
              <w:jc w:val="right"/>
            </w:pPr>
            <w:r>
              <w:rPr>
                <w:color w:val="000000"/>
                <w:sz w:val="24"/>
              </w:rPr>
              <w:t>30,642,000.00</w:t>
            </w:r>
          </w:p>
        </w:tc>
        <w:tc>
          <w:tcPr>
            <w:tcW w:w="1493" w:type="dxa"/>
            <w:vAlign w:val="center"/>
          </w:tcPr>
          <w:p w:rsidR="00A46313" w:rsidRDefault="00125795">
            <w:pPr>
              <w:jc w:val="right"/>
            </w:pPr>
            <w:r>
              <w:rPr>
                <w:color w:val="000000"/>
                <w:sz w:val="24"/>
              </w:rPr>
              <w:t>5.81</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4211FD" w:rsidRDefault="001A59F9" w:rsidP="004211FD">
      <w:pPr>
        <w:pStyle w:val="20"/>
        <w:spacing w:before="29" w:after="0" w:line="288" w:lineRule="auto"/>
        <w:rPr>
          <w:b w:val="0"/>
          <w:kern w:val="0"/>
        </w:rPr>
      </w:pPr>
      <w:bookmarkStart w:id="141" w:name="_Toc361324885"/>
      <w:bookmarkStart w:id="142" w:name="_Toc478236550"/>
      <w:r w:rsidRPr="004211FD">
        <w:rPr>
          <w:rFonts w:ascii="Times New Roman" w:hAnsi="Times New Roman"/>
          <w:kern w:val="0"/>
          <w:szCs w:val="24"/>
        </w:rPr>
        <w:t>8.7</w:t>
      </w:r>
      <w:r w:rsidR="008A0029" w:rsidRPr="004211FD">
        <w:rPr>
          <w:rFonts w:ascii="Times New Roman" w:hAnsi="Times New Roman"/>
          <w:kern w:val="0"/>
          <w:szCs w:val="24"/>
        </w:rPr>
        <w:t xml:space="preserve"> </w:t>
      </w:r>
      <w:r w:rsidRPr="004211FD">
        <w:rPr>
          <w:rFonts w:ascii="Times New Roman" w:hAnsi="Times New Roman" w:hint="eastAsia"/>
          <w:kern w:val="0"/>
          <w:szCs w:val="24"/>
        </w:rPr>
        <w:t>期末按公允价值占基金资产净值比例大小</w:t>
      </w:r>
      <w:r w:rsidR="009819C9" w:rsidRPr="004211FD">
        <w:rPr>
          <w:rFonts w:ascii="Times New Roman" w:hAnsi="Times New Roman" w:hint="eastAsia"/>
          <w:kern w:val="0"/>
          <w:szCs w:val="24"/>
        </w:rPr>
        <w:t>排序</w:t>
      </w:r>
      <w:r w:rsidRPr="004211FD">
        <w:rPr>
          <w:rFonts w:ascii="Times New Roman" w:hAnsi="Times New Roman" w:hint="eastAsia"/>
          <w:kern w:val="0"/>
          <w:szCs w:val="24"/>
        </w:rPr>
        <w:t>的所有资产支持证券投资明细</w:t>
      </w:r>
      <w:bookmarkEnd w:id="141"/>
      <w:bookmarkEnd w:id="142"/>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
        <w:gridCol w:w="1276"/>
        <w:gridCol w:w="1417"/>
        <w:gridCol w:w="1833"/>
        <w:gridCol w:w="1994"/>
        <w:gridCol w:w="1633"/>
      </w:tblGrid>
      <w:tr w:rsidR="001A59F9" w:rsidRPr="00D564C7" w:rsidTr="007562B7">
        <w:trPr>
          <w:jc w:val="center"/>
        </w:trPr>
        <w:tc>
          <w:tcPr>
            <w:tcW w:w="786"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证券代码</w:t>
            </w:r>
          </w:p>
        </w:tc>
        <w:tc>
          <w:tcPr>
            <w:tcW w:w="1417"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证券名称</w:t>
            </w:r>
          </w:p>
        </w:tc>
        <w:tc>
          <w:tcPr>
            <w:tcW w:w="1833"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份</w:t>
            </w:r>
            <w:r w:rsidRPr="000C342B">
              <w:rPr>
                <w:color w:val="000000"/>
                <w:sz w:val="24"/>
              </w:rPr>
              <w:t>)</w:t>
            </w:r>
          </w:p>
        </w:tc>
        <w:tc>
          <w:tcPr>
            <w:tcW w:w="1994"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r w:rsidRPr="000C342B">
              <w:rPr>
                <w:color w:val="000000"/>
                <w:sz w:val="24"/>
              </w:rPr>
              <w:t>(</w:t>
            </w:r>
            <w:r w:rsidRPr="000C342B">
              <w:rPr>
                <w:rFonts w:hint="eastAsia"/>
                <w:color w:val="000000"/>
                <w:sz w:val="24"/>
              </w:rPr>
              <w:t>元</w:t>
            </w:r>
            <w:r w:rsidRPr="000C342B">
              <w:rPr>
                <w:color w:val="000000"/>
                <w:sz w:val="24"/>
              </w:rPr>
              <w:t>)</w:t>
            </w:r>
          </w:p>
        </w:tc>
        <w:tc>
          <w:tcPr>
            <w:tcW w:w="1633" w:type="dxa"/>
            <w:vAlign w:val="center"/>
          </w:tcPr>
          <w:p w:rsidR="001A59F9" w:rsidRPr="000C342B" w:rsidRDefault="001A59F9" w:rsidP="007562B7">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A46313">
        <w:trPr>
          <w:jc w:val="center"/>
        </w:trPr>
        <w:tc>
          <w:tcPr>
            <w:tcW w:w="786" w:type="dxa"/>
            <w:vAlign w:val="center"/>
          </w:tcPr>
          <w:p w:rsidR="00A46313" w:rsidRDefault="00125795">
            <w:pPr>
              <w:jc w:val="center"/>
            </w:pPr>
            <w:r>
              <w:rPr>
                <w:color w:val="000000"/>
                <w:sz w:val="24"/>
              </w:rPr>
              <w:t>1</w:t>
            </w:r>
          </w:p>
        </w:tc>
        <w:tc>
          <w:tcPr>
            <w:tcW w:w="1276" w:type="dxa"/>
            <w:vAlign w:val="center"/>
          </w:tcPr>
          <w:p w:rsidR="00A46313" w:rsidRDefault="00125795">
            <w:pPr>
              <w:jc w:val="center"/>
            </w:pPr>
            <w:r>
              <w:rPr>
                <w:color w:val="000000"/>
                <w:sz w:val="24"/>
              </w:rPr>
              <w:t>119238</w:t>
            </w:r>
          </w:p>
        </w:tc>
        <w:tc>
          <w:tcPr>
            <w:tcW w:w="1417" w:type="dxa"/>
            <w:vAlign w:val="center"/>
          </w:tcPr>
          <w:p w:rsidR="00A46313" w:rsidRDefault="00125795">
            <w:pPr>
              <w:jc w:val="center"/>
            </w:pPr>
            <w:r>
              <w:rPr>
                <w:color w:val="000000"/>
                <w:sz w:val="24"/>
              </w:rPr>
              <w:t>南方</w:t>
            </w:r>
            <w:r>
              <w:rPr>
                <w:color w:val="000000"/>
                <w:sz w:val="24"/>
              </w:rPr>
              <w:t>A2</w:t>
            </w:r>
          </w:p>
        </w:tc>
        <w:tc>
          <w:tcPr>
            <w:tcW w:w="1833" w:type="dxa"/>
            <w:vAlign w:val="center"/>
          </w:tcPr>
          <w:p w:rsidR="00A46313" w:rsidRDefault="00125795">
            <w:pPr>
              <w:jc w:val="right"/>
            </w:pPr>
            <w:r>
              <w:rPr>
                <w:color w:val="000000"/>
                <w:sz w:val="24"/>
              </w:rPr>
              <w:t>400,000</w:t>
            </w:r>
          </w:p>
        </w:tc>
        <w:tc>
          <w:tcPr>
            <w:tcW w:w="1994" w:type="dxa"/>
            <w:vAlign w:val="center"/>
          </w:tcPr>
          <w:p w:rsidR="00A46313" w:rsidRDefault="00125795">
            <w:pPr>
              <w:jc w:val="right"/>
            </w:pPr>
            <w:r>
              <w:rPr>
                <w:color w:val="000000"/>
                <w:sz w:val="24"/>
              </w:rPr>
              <w:t>40,353,468.49</w:t>
            </w:r>
          </w:p>
        </w:tc>
        <w:tc>
          <w:tcPr>
            <w:tcW w:w="1633" w:type="dxa"/>
            <w:vAlign w:val="center"/>
          </w:tcPr>
          <w:p w:rsidR="00A46313" w:rsidRDefault="00125795">
            <w:pPr>
              <w:jc w:val="right"/>
            </w:pPr>
            <w:r>
              <w:rPr>
                <w:color w:val="000000"/>
                <w:sz w:val="24"/>
              </w:rPr>
              <w:t>7.65</w:t>
            </w:r>
          </w:p>
        </w:tc>
      </w:tr>
      <w:tr w:rsidR="00A46313">
        <w:trPr>
          <w:jc w:val="center"/>
        </w:trPr>
        <w:tc>
          <w:tcPr>
            <w:tcW w:w="786" w:type="dxa"/>
            <w:vAlign w:val="center"/>
          </w:tcPr>
          <w:p w:rsidR="00A46313" w:rsidRDefault="00125795">
            <w:pPr>
              <w:jc w:val="center"/>
            </w:pPr>
            <w:r>
              <w:rPr>
                <w:color w:val="000000"/>
                <w:sz w:val="24"/>
              </w:rPr>
              <w:t>2</w:t>
            </w:r>
          </w:p>
        </w:tc>
        <w:tc>
          <w:tcPr>
            <w:tcW w:w="1276" w:type="dxa"/>
            <w:vAlign w:val="center"/>
          </w:tcPr>
          <w:p w:rsidR="00A46313" w:rsidRDefault="00125795">
            <w:pPr>
              <w:jc w:val="center"/>
            </w:pPr>
            <w:r>
              <w:rPr>
                <w:color w:val="000000"/>
                <w:sz w:val="24"/>
              </w:rPr>
              <w:t>1689247</w:t>
            </w:r>
          </w:p>
        </w:tc>
        <w:tc>
          <w:tcPr>
            <w:tcW w:w="1417" w:type="dxa"/>
            <w:vAlign w:val="center"/>
          </w:tcPr>
          <w:p w:rsidR="00A46313" w:rsidRDefault="00125795">
            <w:pPr>
              <w:jc w:val="center"/>
            </w:pPr>
            <w:r>
              <w:rPr>
                <w:color w:val="000000"/>
                <w:sz w:val="24"/>
              </w:rPr>
              <w:t>16</w:t>
            </w:r>
            <w:r>
              <w:rPr>
                <w:color w:val="000000"/>
                <w:sz w:val="24"/>
              </w:rPr>
              <w:t>上和</w:t>
            </w:r>
            <w:r>
              <w:rPr>
                <w:color w:val="000000"/>
                <w:sz w:val="24"/>
              </w:rPr>
              <w:t>1A2</w:t>
            </w:r>
          </w:p>
        </w:tc>
        <w:tc>
          <w:tcPr>
            <w:tcW w:w="1833" w:type="dxa"/>
            <w:vAlign w:val="center"/>
          </w:tcPr>
          <w:p w:rsidR="00A46313" w:rsidRDefault="00125795">
            <w:pPr>
              <w:jc w:val="right"/>
            </w:pPr>
            <w:r>
              <w:rPr>
                <w:color w:val="000000"/>
                <w:sz w:val="24"/>
              </w:rPr>
              <w:t>200,000</w:t>
            </w:r>
          </w:p>
        </w:tc>
        <w:tc>
          <w:tcPr>
            <w:tcW w:w="1994" w:type="dxa"/>
            <w:vAlign w:val="center"/>
          </w:tcPr>
          <w:p w:rsidR="00A46313" w:rsidRDefault="00125795">
            <w:pPr>
              <w:jc w:val="right"/>
            </w:pPr>
            <w:r>
              <w:rPr>
                <w:color w:val="000000"/>
                <w:sz w:val="24"/>
              </w:rPr>
              <w:t>19,874,000.00</w:t>
            </w:r>
          </w:p>
        </w:tc>
        <w:tc>
          <w:tcPr>
            <w:tcW w:w="1633" w:type="dxa"/>
            <w:vAlign w:val="center"/>
          </w:tcPr>
          <w:p w:rsidR="00A46313" w:rsidRDefault="00125795">
            <w:pPr>
              <w:jc w:val="right"/>
            </w:pPr>
            <w:r>
              <w:rPr>
                <w:color w:val="000000"/>
                <w:sz w:val="24"/>
              </w:rPr>
              <w:t>3.77</w:t>
            </w:r>
          </w:p>
        </w:tc>
      </w:tr>
      <w:tr w:rsidR="00A46313">
        <w:trPr>
          <w:jc w:val="center"/>
        </w:trPr>
        <w:tc>
          <w:tcPr>
            <w:tcW w:w="786" w:type="dxa"/>
            <w:vAlign w:val="center"/>
          </w:tcPr>
          <w:p w:rsidR="00A46313" w:rsidRDefault="00125795">
            <w:pPr>
              <w:jc w:val="center"/>
            </w:pPr>
            <w:r>
              <w:rPr>
                <w:color w:val="000000"/>
                <w:sz w:val="24"/>
              </w:rPr>
              <w:t>3</w:t>
            </w:r>
          </w:p>
        </w:tc>
        <w:tc>
          <w:tcPr>
            <w:tcW w:w="1276" w:type="dxa"/>
            <w:vAlign w:val="center"/>
          </w:tcPr>
          <w:p w:rsidR="00A46313" w:rsidRDefault="00125795">
            <w:pPr>
              <w:jc w:val="center"/>
            </w:pPr>
            <w:r>
              <w:rPr>
                <w:color w:val="000000"/>
                <w:sz w:val="24"/>
              </w:rPr>
              <w:t>123934</w:t>
            </w:r>
          </w:p>
        </w:tc>
        <w:tc>
          <w:tcPr>
            <w:tcW w:w="1417" w:type="dxa"/>
            <w:vAlign w:val="center"/>
          </w:tcPr>
          <w:p w:rsidR="00A46313" w:rsidRDefault="00125795">
            <w:pPr>
              <w:jc w:val="center"/>
            </w:pPr>
            <w:r>
              <w:rPr>
                <w:color w:val="000000"/>
                <w:sz w:val="24"/>
              </w:rPr>
              <w:t>15</w:t>
            </w:r>
            <w:r>
              <w:rPr>
                <w:color w:val="000000"/>
                <w:sz w:val="24"/>
              </w:rPr>
              <w:t>濮热</w:t>
            </w:r>
            <w:r>
              <w:rPr>
                <w:color w:val="000000"/>
                <w:sz w:val="24"/>
              </w:rPr>
              <w:t>02</w:t>
            </w:r>
          </w:p>
        </w:tc>
        <w:tc>
          <w:tcPr>
            <w:tcW w:w="1833" w:type="dxa"/>
            <w:vAlign w:val="center"/>
          </w:tcPr>
          <w:p w:rsidR="00A46313" w:rsidRDefault="00125795">
            <w:pPr>
              <w:jc w:val="right"/>
            </w:pPr>
            <w:r>
              <w:rPr>
                <w:color w:val="000000"/>
                <w:sz w:val="24"/>
              </w:rPr>
              <w:t>40,000</w:t>
            </w:r>
          </w:p>
        </w:tc>
        <w:tc>
          <w:tcPr>
            <w:tcW w:w="1994" w:type="dxa"/>
            <w:vAlign w:val="center"/>
          </w:tcPr>
          <w:p w:rsidR="00A46313" w:rsidRDefault="00125795">
            <w:pPr>
              <w:jc w:val="right"/>
            </w:pPr>
            <w:r>
              <w:rPr>
                <w:color w:val="000000"/>
                <w:sz w:val="24"/>
              </w:rPr>
              <w:t>4,000,000.00</w:t>
            </w:r>
          </w:p>
        </w:tc>
        <w:tc>
          <w:tcPr>
            <w:tcW w:w="1633" w:type="dxa"/>
            <w:vAlign w:val="center"/>
          </w:tcPr>
          <w:p w:rsidR="00A46313" w:rsidRDefault="00125795">
            <w:pPr>
              <w:jc w:val="right"/>
            </w:pPr>
            <w:r>
              <w:rPr>
                <w:color w:val="000000"/>
                <w:sz w:val="24"/>
              </w:rPr>
              <w:t>0.76</w:t>
            </w:r>
          </w:p>
        </w:tc>
      </w:tr>
      <w:tr w:rsidR="00A46313">
        <w:trPr>
          <w:jc w:val="center"/>
        </w:trPr>
        <w:tc>
          <w:tcPr>
            <w:tcW w:w="786" w:type="dxa"/>
            <w:vAlign w:val="center"/>
          </w:tcPr>
          <w:p w:rsidR="00A46313" w:rsidRDefault="00125795">
            <w:pPr>
              <w:jc w:val="center"/>
            </w:pPr>
            <w:r>
              <w:rPr>
                <w:color w:val="000000"/>
                <w:sz w:val="24"/>
              </w:rPr>
              <w:t>4</w:t>
            </w:r>
          </w:p>
        </w:tc>
        <w:tc>
          <w:tcPr>
            <w:tcW w:w="1276" w:type="dxa"/>
            <w:vAlign w:val="center"/>
          </w:tcPr>
          <w:p w:rsidR="00A46313" w:rsidRDefault="00125795">
            <w:pPr>
              <w:jc w:val="center"/>
            </w:pPr>
            <w:r>
              <w:rPr>
                <w:color w:val="000000"/>
                <w:sz w:val="24"/>
              </w:rPr>
              <w:t>123935</w:t>
            </w:r>
          </w:p>
        </w:tc>
        <w:tc>
          <w:tcPr>
            <w:tcW w:w="1417" w:type="dxa"/>
            <w:vAlign w:val="center"/>
          </w:tcPr>
          <w:p w:rsidR="00A46313" w:rsidRDefault="00125795">
            <w:pPr>
              <w:jc w:val="center"/>
            </w:pPr>
            <w:r>
              <w:rPr>
                <w:color w:val="000000"/>
                <w:sz w:val="24"/>
              </w:rPr>
              <w:t>15</w:t>
            </w:r>
            <w:r>
              <w:rPr>
                <w:color w:val="000000"/>
                <w:sz w:val="24"/>
              </w:rPr>
              <w:t>濮热</w:t>
            </w:r>
            <w:r>
              <w:rPr>
                <w:color w:val="000000"/>
                <w:sz w:val="24"/>
              </w:rPr>
              <w:t>03</w:t>
            </w:r>
          </w:p>
        </w:tc>
        <w:tc>
          <w:tcPr>
            <w:tcW w:w="1833" w:type="dxa"/>
            <w:vAlign w:val="center"/>
          </w:tcPr>
          <w:p w:rsidR="00A46313" w:rsidRDefault="00125795">
            <w:pPr>
              <w:jc w:val="right"/>
            </w:pPr>
            <w:r>
              <w:rPr>
                <w:color w:val="000000"/>
                <w:sz w:val="24"/>
              </w:rPr>
              <w:t>40,000</w:t>
            </w:r>
          </w:p>
        </w:tc>
        <w:tc>
          <w:tcPr>
            <w:tcW w:w="1994" w:type="dxa"/>
            <w:vAlign w:val="center"/>
          </w:tcPr>
          <w:p w:rsidR="00A46313" w:rsidRDefault="00125795">
            <w:pPr>
              <w:jc w:val="right"/>
            </w:pPr>
            <w:r>
              <w:rPr>
                <w:color w:val="000000"/>
                <w:sz w:val="24"/>
              </w:rPr>
              <w:t>4,000,000.00</w:t>
            </w:r>
          </w:p>
        </w:tc>
        <w:tc>
          <w:tcPr>
            <w:tcW w:w="1633" w:type="dxa"/>
            <w:vAlign w:val="center"/>
          </w:tcPr>
          <w:p w:rsidR="00A46313" w:rsidRDefault="00125795">
            <w:pPr>
              <w:jc w:val="right"/>
            </w:pPr>
            <w:r>
              <w:rPr>
                <w:color w:val="000000"/>
                <w:sz w:val="24"/>
              </w:rPr>
              <w:t>0.76</w:t>
            </w:r>
          </w:p>
        </w:tc>
      </w:tr>
      <w:tr w:rsidR="00A46313">
        <w:trPr>
          <w:jc w:val="center"/>
        </w:trPr>
        <w:tc>
          <w:tcPr>
            <w:tcW w:w="786" w:type="dxa"/>
            <w:vAlign w:val="center"/>
          </w:tcPr>
          <w:p w:rsidR="00A46313" w:rsidRDefault="00125795">
            <w:pPr>
              <w:jc w:val="center"/>
            </w:pPr>
            <w:r>
              <w:rPr>
                <w:color w:val="000000"/>
                <w:sz w:val="24"/>
              </w:rPr>
              <w:t>5</w:t>
            </w:r>
          </w:p>
        </w:tc>
        <w:tc>
          <w:tcPr>
            <w:tcW w:w="1276" w:type="dxa"/>
            <w:vAlign w:val="center"/>
          </w:tcPr>
          <w:p w:rsidR="00A46313" w:rsidRDefault="00125795">
            <w:pPr>
              <w:jc w:val="center"/>
            </w:pPr>
            <w:r>
              <w:rPr>
                <w:color w:val="000000"/>
                <w:sz w:val="24"/>
              </w:rPr>
              <w:t>123933</w:t>
            </w:r>
          </w:p>
        </w:tc>
        <w:tc>
          <w:tcPr>
            <w:tcW w:w="1417" w:type="dxa"/>
            <w:vAlign w:val="center"/>
          </w:tcPr>
          <w:p w:rsidR="00A46313" w:rsidRDefault="00125795">
            <w:pPr>
              <w:jc w:val="center"/>
            </w:pPr>
            <w:r>
              <w:rPr>
                <w:color w:val="000000"/>
                <w:sz w:val="24"/>
              </w:rPr>
              <w:t>15</w:t>
            </w:r>
            <w:r>
              <w:rPr>
                <w:color w:val="000000"/>
                <w:sz w:val="24"/>
              </w:rPr>
              <w:t>濮热</w:t>
            </w:r>
            <w:r>
              <w:rPr>
                <w:color w:val="000000"/>
                <w:sz w:val="24"/>
              </w:rPr>
              <w:t>01</w:t>
            </w:r>
          </w:p>
        </w:tc>
        <w:tc>
          <w:tcPr>
            <w:tcW w:w="1833" w:type="dxa"/>
            <w:vAlign w:val="center"/>
          </w:tcPr>
          <w:p w:rsidR="00A46313" w:rsidRDefault="00125795">
            <w:pPr>
              <w:jc w:val="right"/>
            </w:pPr>
            <w:r>
              <w:rPr>
                <w:color w:val="000000"/>
                <w:sz w:val="24"/>
              </w:rPr>
              <w:t>35,000</w:t>
            </w:r>
          </w:p>
        </w:tc>
        <w:tc>
          <w:tcPr>
            <w:tcW w:w="1994" w:type="dxa"/>
            <w:vAlign w:val="center"/>
          </w:tcPr>
          <w:p w:rsidR="00A46313" w:rsidRDefault="00125795">
            <w:pPr>
              <w:jc w:val="right"/>
            </w:pPr>
            <w:r>
              <w:rPr>
                <w:color w:val="000000"/>
                <w:sz w:val="24"/>
              </w:rPr>
              <w:t>3,500,000.00</w:t>
            </w:r>
          </w:p>
        </w:tc>
        <w:tc>
          <w:tcPr>
            <w:tcW w:w="1633" w:type="dxa"/>
            <w:vAlign w:val="center"/>
          </w:tcPr>
          <w:p w:rsidR="00A46313" w:rsidRDefault="00125795">
            <w:pPr>
              <w:jc w:val="right"/>
            </w:pPr>
            <w:r>
              <w:rPr>
                <w:color w:val="000000"/>
                <w:sz w:val="24"/>
              </w:rPr>
              <w:t>0.66</w:t>
            </w:r>
          </w:p>
        </w:tc>
      </w:tr>
      <w:tr w:rsidR="00A46313">
        <w:trPr>
          <w:jc w:val="center"/>
        </w:trPr>
        <w:tc>
          <w:tcPr>
            <w:tcW w:w="786" w:type="dxa"/>
            <w:vAlign w:val="center"/>
          </w:tcPr>
          <w:p w:rsidR="00A46313" w:rsidRDefault="00125795">
            <w:pPr>
              <w:jc w:val="center"/>
            </w:pPr>
            <w:r>
              <w:rPr>
                <w:color w:val="000000"/>
                <w:sz w:val="24"/>
              </w:rPr>
              <w:t>6</w:t>
            </w:r>
          </w:p>
        </w:tc>
        <w:tc>
          <w:tcPr>
            <w:tcW w:w="1276" w:type="dxa"/>
            <w:vAlign w:val="center"/>
          </w:tcPr>
          <w:p w:rsidR="00A46313" w:rsidRDefault="00125795">
            <w:pPr>
              <w:jc w:val="center"/>
            </w:pPr>
            <w:r>
              <w:rPr>
                <w:color w:val="000000"/>
                <w:sz w:val="24"/>
              </w:rPr>
              <w:t>116239</w:t>
            </w:r>
          </w:p>
        </w:tc>
        <w:tc>
          <w:tcPr>
            <w:tcW w:w="1417" w:type="dxa"/>
            <w:vAlign w:val="center"/>
          </w:tcPr>
          <w:p w:rsidR="00A46313" w:rsidRDefault="00125795">
            <w:pPr>
              <w:jc w:val="center"/>
            </w:pPr>
            <w:r>
              <w:rPr>
                <w:color w:val="000000"/>
                <w:sz w:val="24"/>
              </w:rPr>
              <w:t>16</w:t>
            </w:r>
            <w:r>
              <w:rPr>
                <w:color w:val="000000"/>
                <w:sz w:val="24"/>
              </w:rPr>
              <w:t>惠通</w:t>
            </w:r>
            <w:r>
              <w:rPr>
                <w:color w:val="000000"/>
                <w:sz w:val="24"/>
              </w:rPr>
              <w:t>A3</w:t>
            </w:r>
          </w:p>
        </w:tc>
        <w:tc>
          <w:tcPr>
            <w:tcW w:w="1833" w:type="dxa"/>
            <w:vAlign w:val="center"/>
          </w:tcPr>
          <w:p w:rsidR="00A46313" w:rsidRDefault="00125795">
            <w:pPr>
              <w:jc w:val="right"/>
            </w:pPr>
            <w:r>
              <w:rPr>
                <w:color w:val="000000"/>
                <w:sz w:val="24"/>
              </w:rPr>
              <w:t>30,000</w:t>
            </w:r>
          </w:p>
        </w:tc>
        <w:tc>
          <w:tcPr>
            <w:tcW w:w="1994" w:type="dxa"/>
            <w:vAlign w:val="center"/>
          </w:tcPr>
          <w:p w:rsidR="00A46313" w:rsidRDefault="00125795">
            <w:pPr>
              <w:jc w:val="right"/>
            </w:pPr>
            <w:r>
              <w:rPr>
                <w:color w:val="000000"/>
                <w:sz w:val="24"/>
              </w:rPr>
              <w:t>3,000,000.00</w:t>
            </w:r>
          </w:p>
        </w:tc>
        <w:tc>
          <w:tcPr>
            <w:tcW w:w="1633" w:type="dxa"/>
            <w:vAlign w:val="center"/>
          </w:tcPr>
          <w:p w:rsidR="00A46313" w:rsidRDefault="00125795">
            <w:pPr>
              <w:jc w:val="right"/>
            </w:pPr>
            <w:r>
              <w:rPr>
                <w:color w:val="000000"/>
                <w:sz w:val="24"/>
              </w:rPr>
              <w:t>0.57</w:t>
            </w:r>
          </w:p>
        </w:tc>
      </w:tr>
    </w:tbl>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4211FD" w:rsidRDefault="001B3C1C" w:rsidP="004211FD">
      <w:pPr>
        <w:pStyle w:val="20"/>
        <w:spacing w:before="29" w:after="0" w:line="288" w:lineRule="auto"/>
        <w:rPr>
          <w:b w:val="0"/>
          <w:kern w:val="0"/>
        </w:rPr>
      </w:pPr>
      <w:bookmarkStart w:id="143" w:name="_Toc478236551"/>
      <w:r w:rsidRPr="004211FD">
        <w:rPr>
          <w:rFonts w:ascii="Times New Roman" w:hAnsi="Times New Roman"/>
          <w:kern w:val="0"/>
          <w:szCs w:val="24"/>
        </w:rPr>
        <w:t xml:space="preserve">8.8 </w:t>
      </w:r>
      <w:r w:rsidRPr="004211FD">
        <w:rPr>
          <w:rFonts w:ascii="Times New Roman" w:hAnsi="Times New Roman" w:hint="eastAsia"/>
          <w:kern w:val="0"/>
          <w:szCs w:val="24"/>
        </w:rPr>
        <w:t>报告期末按公允价值占基金资产净值比例大小排序的前五名贵金属投资明细</w:t>
      </w:r>
      <w:bookmarkEnd w:id="143"/>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4211FD" w:rsidRDefault="001A59F9" w:rsidP="004211FD">
      <w:pPr>
        <w:pStyle w:val="20"/>
        <w:spacing w:before="29" w:after="0" w:line="288" w:lineRule="auto"/>
        <w:rPr>
          <w:b w:val="0"/>
          <w:kern w:val="0"/>
        </w:rPr>
      </w:pPr>
      <w:bookmarkStart w:id="144" w:name="_Toc361324886"/>
      <w:bookmarkStart w:id="145" w:name="_Toc478236552"/>
      <w:r w:rsidRPr="004211FD">
        <w:rPr>
          <w:rFonts w:ascii="Times New Roman" w:hAnsi="Times New Roman"/>
          <w:kern w:val="0"/>
          <w:szCs w:val="24"/>
        </w:rPr>
        <w:t>8.9</w:t>
      </w:r>
      <w:r w:rsidR="008A0029" w:rsidRPr="004211FD">
        <w:rPr>
          <w:rFonts w:ascii="Times New Roman" w:hAnsi="Times New Roman"/>
          <w:kern w:val="0"/>
          <w:szCs w:val="24"/>
        </w:rPr>
        <w:t xml:space="preserve"> </w:t>
      </w:r>
      <w:r w:rsidRPr="004211FD">
        <w:rPr>
          <w:rFonts w:ascii="Times New Roman" w:hAnsi="Times New Roman" w:hint="eastAsia"/>
          <w:kern w:val="0"/>
          <w:szCs w:val="24"/>
        </w:rPr>
        <w:t>期末按公允价值占基金资产净值比例大小排</w:t>
      </w:r>
      <w:r w:rsidR="00A63E24" w:rsidRPr="004211FD">
        <w:rPr>
          <w:rFonts w:ascii="Times New Roman" w:hAnsi="Times New Roman" w:hint="eastAsia"/>
          <w:kern w:val="0"/>
          <w:szCs w:val="24"/>
        </w:rPr>
        <w:t>序</w:t>
      </w:r>
      <w:r w:rsidRPr="004211FD">
        <w:rPr>
          <w:rFonts w:ascii="Times New Roman" w:hAnsi="Times New Roman" w:hint="eastAsia"/>
          <w:kern w:val="0"/>
          <w:szCs w:val="24"/>
        </w:rPr>
        <w:t>的前五名权证投资明细</w:t>
      </w:r>
      <w:bookmarkEnd w:id="144"/>
      <w:bookmarkEnd w:id="145"/>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4211FD" w:rsidRDefault="005D072B" w:rsidP="004211FD">
      <w:pPr>
        <w:pStyle w:val="20"/>
        <w:spacing w:before="29" w:after="0" w:line="288" w:lineRule="auto"/>
        <w:rPr>
          <w:b w:val="0"/>
          <w:kern w:val="0"/>
        </w:rPr>
      </w:pPr>
      <w:bookmarkStart w:id="146" w:name="_Toc478236553"/>
      <w:r w:rsidRPr="004211FD">
        <w:rPr>
          <w:rFonts w:ascii="Times New Roman" w:hAnsi="Times New Roman"/>
          <w:kern w:val="0"/>
          <w:szCs w:val="24"/>
        </w:rPr>
        <w:t xml:space="preserve">8.10 </w:t>
      </w:r>
      <w:r w:rsidRPr="004211FD">
        <w:rPr>
          <w:rFonts w:ascii="Times New Roman" w:hAnsi="Times New Roman" w:hint="eastAsia"/>
          <w:kern w:val="0"/>
          <w:szCs w:val="24"/>
        </w:rPr>
        <w:t>报告期末本基金投资的股指期货交易情况说明</w:t>
      </w:r>
      <w:bookmarkEnd w:id="146"/>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4211FD" w:rsidRDefault="00FF26CE" w:rsidP="004211FD">
      <w:pPr>
        <w:pStyle w:val="20"/>
        <w:spacing w:before="29" w:after="0" w:line="288" w:lineRule="auto"/>
        <w:rPr>
          <w:b w:val="0"/>
          <w:kern w:val="0"/>
        </w:rPr>
      </w:pPr>
      <w:bookmarkStart w:id="147" w:name="_Toc478236554"/>
      <w:r w:rsidRPr="004211FD">
        <w:rPr>
          <w:rFonts w:ascii="Times New Roman" w:hAnsi="Times New Roman"/>
          <w:kern w:val="0"/>
          <w:szCs w:val="24"/>
        </w:rPr>
        <w:t>8.11</w:t>
      </w:r>
      <w:r w:rsidRPr="004211FD">
        <w:rPr>
          <w:rFonts w:ascii="Times New Roman" w:hAnsi="Times New Roman" w:hint="eastAsia"/>
          <w:kern w:val="0"/>
          <w:szCs w:val="24"/>
        </w:rPr>
        <w:t>报告期末本基金投资的国债期货交易情况说明</w:t>
      </w:r>
      <w:bookmarkEnd w:id="147"/>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4211FD" w:rsidRDefault="001A59F9" w:rsidP="004211FD">
      <w:pPr>
        <w:pStyle w:val="20"/>
        <w:spacing w:before="29" w:after="0" w:line="288" w:lineRule="auto"/>
        <w:rPr>
          <w:b w:val="0"/>
          <w:kern w:val="0"/>
        </w:rPr>
      </w:pPr>
      <w:bookmarkStart w:id="148" w:name="_Toc361324887"/>
      <w:bookmarkStart w:id="149" w:name="_Toc478236555"/>
      <w:r w:rsidRPr="004211FD">
        <w:rPr>
          <w:rFonts w:ascii="Times New Roman" w:hAnsi="Times New Roman"/>
          <w:kern w:val="0"/>
          <w:szCs w:val="24"/>
        </w:rPr>
        <w:t xml:space="preserve">8.12 </w:t>
      </w:r>
      <w:r w:rsidRPr="004211FD">
        <w:rPr>
          <w:rFonts w:ascii="Times New Roman" w:hAnsi="Times New Roman" w:hint="eastAsia"/>
          <w:kern w:val="0"/>
          <w:szCs w:val="24"/>
        </w:rPr>
        <w:t>投资组合报告附注</w:t>
      </w:r>
      <w:bookmarkEnd w:id="148"/>
      <w:bookmarkEnd w:id="149"/>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w:t>
      </w:r>
      <w:r w:rsidRPr="003E532D">
        <w:rPr>
          <w:kern w:val="0"/>
          <w:sz w:val="24"/>
        </w:rPr>
        <w:lastRenderedPageBreak/>
        <w:t>编制日前一年内本基金投资的前十名证券的发行主体未受到公开谴责和处罚。</w:t>
      </w:r>
    </w:p>
    <w:p w:rsid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008A0029" w:rsidRPr="0091476E">
        <w:rPr>
          <w:rFonts w:eastAsiaTheme="minorEastAsia" w:hint="eastAsia"/>
          <w:b/>
          <w:sz w:val="24"/>
        </w:rPr>
        <w:t xml:space="preserve"> </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6,104.48</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11,601,222.79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67,291.17</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11,674,618.44</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008A0029" w:rsidRPr="0091476E">
        <w:rPr>
          <w:rFonts w:eastAsiaTheme="minorEastAsia" w:hint="eastAsia"/>
          <w:b/>
          <w:sz w:val="24"/>
        </w:rPr>
        <w:t xml:space="preserve"> </w:t>
      </w:r>
      <w:r w:rsidRPr="0091476E">
        <w:rPr>
          <w:rFonts w:eastAsiaTheme="minorEastAsia" w:hint="eastAsia"/>
          <w:b/>
          <w:sz w:val="24"/>
        </w:rPr>
        <w:t>期末持有的处于转股期的可转换债券明细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D564C7" w:rsidTr="00431763">
        <w:trPr>
          <w:jc w:val="center"/>
        </w:trPr>
        <w:tc>
          <w:tcPr>
            <w:tcW w:w="18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2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65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25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6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r>
      <w:tr w:rsidR="00A46313">
        <w:trPr>
          <w:jc w:val="center"/>
        </w:trPr>
        <w:tc>
          <w:tcPr>
            <w:tcW w:w="1808" w:type="dxa"/>
            <w:vAlign w:val="center"/>
          </w:tcPr>
          <w:p w:rsidR="00A46313" w:rsidRDefault="00125795">
            <w:pPr>
              <w:jc w:val="center"/>
            </w:pPr>
            <w:r>
              <w:rPr>
                <w:color w:val="000000"/>
                <w:sz w:val="24"/>
              </w:rPr>
              <w:t>1</w:t>
            </w:r>
          </w:p>
        </w:tc>
        <w:tc>
          <w:tcPr>
            <w:tcW w:w="1729" w:type="dxa"/>
            <w:vAlign w:val="center"/>
          </w:tcPr>
          <w:p w:rsidR="00A46313" w:rsidRDefault="00125795">
            <w:pPr>
              <w:jc w:val="center"/>
            </w:pPr>
            <w:r>
              <w:rPr>
                <w:color w:val="000000"/>
                <w:sz w:val="24"/>
              </w:rPr>
              <w:t>113008</w:t>
            </w:r>
          </w:p>
        </w:tc>
        <w:tc>
          <w:tcPr>
            <w:tcW w:w="1658" w:type="dxa"/>
            <w:vAlign w:val="center"/>
          </w:tcPr>
          <w:p w:rsidR="00A46313" w:rsidRDefault="00125795">
            <w:pPr>
              <w:jc w:val="center"/>
            </w:pPr>
            <w:r>
              <w:rPr>
                <w:color w:val="000000"/>
                <w:sz w:val="24"/>
              </w:rPr>
              <w:t>电气转债</w:t>
            </w:r>
          </w:p>
        </w:tc>
        <w:tc>
          <w:tcPr>
            <w:tcW w:w="2508" w:type="dxa"/>
            <w:vAlign w:val="center"/>
          </w:tcPr>
          <w:p w:rsidR="00A46313" w:rsidRDefault="00125795">
            <w:pPr>
              <w:jc w:val="right"/>
            </w:pPr>
            <w:r>
              <w:rPr>
                <w:color w:val="000000"/>
                <w:sz w:val="24"/>
              </w:rPr>
              <w:t>4,577,200.00</w:t>
            </w:r>
          </w:p>
        </w:tc>
        <w:tc>
          <w:tcPr>
            <w:tcW w:w="1462" w:type="dxa"/>
            <w:vAlign w:val="center"/>
          </w:tcPr>
          <w:p w:rsidR="00A46313" w:rsidRDefault="00125795">
            <w:pPr>
              <w:jc w:val="right"/>
            </w:pPr>
            <w:r>
              <w:rPr>
                <w:color w:val="000000"/>
                <w:sz w:val="24"/>
              </w:rPr>
              <w:t>0.87</w:t>
            </w:r>
          </w:p>
        </w:tc>
      </w:tr>
    </w:tbl>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008A0029" w:rsidRPr="0091476E">
        <w:rPr>
          <w:rFonts w:eastAsiaTheme="minorEastAsia" w:hint="eastAsia"/>
          <w:b/>
          <w:sz w:val="24"/>
        </w:rPr>
        <w:t xml:space="preserve"> </w:t>
      </w:r>
      <w:r w:rsidRPr="0091476E">
        <w:rPr>
          <w:rFonts w:eastAsiaTheme="minorEastAsia" w:hint="eastAsia"/>
          <w:b/>
          <w:sz w:val="24"/>
        </w:rPr>
        <w:t>期末前十名股票中存在流通受限情况的说明</w:t>
      </w:r>
    </w:p>
    <w:p w:rsidR="005635E8" w:rsidRPr="005635E8" w:rsidRDefault="005635E8" w:rsidP="005635E8">
      <w:pPr>
        <w:spacing w:before="29" w:line="288" w:lineRule="auto"/>
        <w:rPr>
          <w:kern w:val="0"/>
          <w:sz w:val="24"/>
        </w:rPr>
      </w:pPr>
      <w:r w:rsidRPr="005635E8">
        <w:rPr>
          <w:rFonts w:hint="eastAsia"/>
          <w:kern w:val="0"/>
          <w:sz w:val="24"/>
        </w:rPr>
        <w:t>本基金本报告期末未持有股票。</w:t>
      </w:r>
    </w:p>
    <w:p w:rsidR="00E056A4" w:rsidRPr="005635E8"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008A0029" w:rsidRPr="0091476E">
        <w:rPr>
          <w:rFonts w:eastAsiaTheme="minorEastAsia" w:hint="eastAsia"/>
          <w:b/>
          <w:sz w:val="24"/>
        </w:rPr>
        <w:t xml:space="preserve"> </w:t>
      </w:r>
      <w:r w:rsidRPr="0091476E">
        <w:rPr>
          <w:rFonts w:eastAsiaTheme="minorEastAsia" w:hint="eastAsia"/>
          <w:b/>
          <w:sz w:val="24"/>
        </w:rPr>
        <w:t>投资组合报告附注的其他文字描述部分</w:t>
      </w:r>
    </w:p>
    <w:p w:rsidR="00A46313" w:rsidRDefault="00125795">
      <w:pPr>
        <w:spacing w:before="29" w:line="288" w:lineRule="auto"/>
        <w:rPr>
          <w:kern w:val="0"/>
          <w:sz w:val="24"/>
        </w:rPr>
      </w:pPr>
      <w:r>
        <w:rPr>
          <w:kern w:val="0"/>
          <w:sz w:val="24"/>
        </w:rPr>
        <w:t>1</w:t>
      </w:r>
      <w:r>
        <w:rPr>
          <w:kern w:val="0"/>
          <w:sz w:val="24"/>
        </w:rPr>
        <w:t>、本基金本报告期末未持有处于交换期的可交换债券。</w:t>
      </w:r>
    </w:p>
    <w:p w:rsidR="001A59F9" w:rsidRDefault="001A59F9" w:rsidP="009304E7">
      <w:pPr>
        <w:spacing w:before="29" w:line="288" w:lineRule="auto"/>
        <w:rPr>
          <w:kern w:val="0"/>
          <w:sz w:val="24"/>
        </w:rPr>
      </w:pPr>
      <w:r w:rsidRPr="009304E7">
        <w:rPr>
          <w:kern w:val="0"/>
          <w:sz w:val="24"/>
        </w:rPr>
        <w:t>2</w:t>
      </w: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50" w:name="_Toc225500050"/>
      <w:bookmarkStart w:id="151" w:name="_Toc361324888"/>
      <w:bookmarkStart w:id="152" w:name="_Toc478236556"/>
      <w:r w:rsidRPr="00202F9B">
        <w:rPr>
          <w:rFonts w:hint="eastAsia"/>
          <w:b/>
          <w:bCs/>
          <w:szCs w:val="24"/>
          <w:lang w:val="en-US"/>
        </w:rPr>
        <w:t>§</w:t>
      </w:r>
      <w:r w:rsidRPr="00202F9B">
        <w:rPr>
          <w:b/>
          <w:bCs/>
          <w:szCs w:val="24"/>
          <w:lang w:val="en-US"/>
        </w:rPr>
        <w:t>9</w:t>
      </w:r>
      <w:r w:rsidR="009153A3" w:rsidRPr="00202F9B">
        <w:rPr>
          <w:rFonts w:hint="eastAsia"/>
          <w:b/>
          <w:bCs/>
          <w:szCs w:val="24"/>
          <w:lang w:val="en-US"/>
        </w:rPr>
        <w:t xml:space="preserve">  </w:t>
      </w:r>
      <w:r w:rsidRPr="00202F9B">
        <w:rPr>
          <w:rFonts w:hint="eastAsia"/>
          <w:b/>
          <w:bCs/>
          <w:szCs w:val="24"/>
          <w:lang w:val="en-US"/>
        </w:rPr>
        <w:t>基金份额持有人信息</w:t>
      </w:r>
      <w:bookmarkEnd w:id="150"/>
      <w:bookmarkEnd w:id="151"/>
      <w:bookmarkEnd w:id="152"/>
    </w:p>
    <w:p w:rsidR="001A59F9" w:rsidRPr="004211FD" w:rsidRDefault="001A59F9" w:rsidP="004211FD">
      <w:pPr>
        <w:pStyle w:val="20"/>
        <w:spacing w:before="29" w:after="0" w:line="288" w:lineRule="auto"/>
        <w:rPr>
          <w:b w:val="0"/>
          <w:kern w:val="0"/>
        </w:rPr>
      </w:pPr>
      <w:bookmarkStart w:id="153" w:name="_Toc225500051"/>
      <w:bookmarkStart w:id="154" w:name="_Toc361324889"/>
      <w:bookmarkStart w:id="155" w:name="_Toc478236557"/>
      <w:r w:rsidRPr="004211FD">
        <w:rPr>
          <w:rFonts w:ascii="Times New Roman" w:hAnsi="Times New Roman"/>
          <w:kern w:val="0"/>
          <w:szCs w:val="24"/>
        </w:rPr>
        <w:t xml:space="preserve">9.1 </w:t>
      </w:r>
      <w:r w:rsidRPr="004211FD">
        <w:rPr>
          <w:rFonts w:ascii="Times New Roman" w:hAnsi="Times New Roman" w:hint="eastAsia"/>
          <w:kern w:val="0"/>
          <w:szCs w:val="24"/>
        </w:rPr>
        <w:t>期末基金份额持有人户数及持有人结构</w:t>
      </w:r>
      <w:bookmarkEnd w:id="153"/>
      <w:bookmarkEnd w:id="154"/>
      <w:bookmarkEnd w:id="155"/>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w:t>
            </w:r>
            <w:r w:rsidRPr="00E90C3B">
              <w:rPr>
                <w:rFonts w:hint="eastAsia"/>
                <w:color w:val="000000"/>
                <w:szCs w:val="21"/>
              </w:rPr>
              <w:lastRenderedPageBreak/>
              <w:t>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lastRenderedPageBreak/>
              <w:t>户均持有的</w:t>
            </w:r>
            <w:r w:rsidRPr="00E90C3B">
              <w:rPr>
                <w:rFonts w:hint="eastAsia"/>
                <w:color w:val="000000"/>
                <w:szCs w:val="21"/>
              </w:rPr>
              <w:lastRenderedPageBreak/>
              <w:t>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lastRenderedPageBreak/>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交银增利债券</w:t>
            </w:r>
            <w:r w:rsidRPr="00E90C3B">
              <w:rPr>
                <w:bCs/>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9,900</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43,478.21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135,339,667.00</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31.44%</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295,094,638.12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68.56%</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交银增利债券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3,280</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34,931.45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7,845,509.98</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6.85%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106,729,640.69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93.15%</w:t>
            </w:r>
          </w:p>
        </w:tc>
      </w:tr>
      <w:tr w:rsidR="0043362D"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13,180</w:t>
            </w:r>
          </w:p>
        </w:tc>
        <w:tc>
          <w:tcPr>
            <w:tcW w:w="763"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41,351.25</w:t>
            </w:r>
          </w:p>
        </w:tc>
        <w:tc>
          <w:tcPr>
            <w:tcW w:w="916"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143,185,176.98</w:t>
            </w:r>
          </w:p>
        </w:tc>
        <w:tc>
          <w:tcPr>
            <w:tcW w:w="534"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26.27%</w:t>
            </w:r>
          </w:p>
        </w:tc>
        <w:tc>
          <w:tcPr>
            <w:tcW w:w="916" w:type="pct"/>
            <w:tcBorders>
              <w:top w:val="single" w:sz="8" w:space="0" w:color="000000"/>
              <w:left w:val="single" w:sz="8" w:space="0" w:color="000000"/>
              <w:bottom w:val="single" w:sz="8" w:space="0" w:color="000000"/>
              <w:right w:val="single" w:sz="8" w:space="0" w:color="000000"/>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401,824,278.81</w:t>
            </w:r>
          </w:p>
        </w:tc>
        <w:tc>
          <w:tcPr>
            <w:tcW w:w="515" w:type="pct"/>
            <w:tcBorders>
              <w:top w:val="single" w:sz="8" w:space="0" w:color="000000"/>
              <w:left w:val="single" w:sz="8" w:space="0" w:color="000000"/>
              <w:bottom w:val="single" w:sz="8" w:space="0" w:color="000000"/>
              <w:right w:val="single" w:sz="4" w:space="0" w:color="auto"/>
            </w:tcBorders>
            <w:vAlign w:val="center"/>
          </w:tcPr>
          <w:p w:rsidR="0043362D" w:rsidRPr="00E90C3B" w:rsidRDefault="0043362D" w:rsidP="005851B5">
            <w:pPr>
              <w:spacing w:before="29" w:line="288" w:lineRule="auto"/>
              <w:jc w:val="right"/>
              <w:rPr>
                <w:color w:val="000000"/>
                <w:kern w:val="0"/>
                <w:szCs w:val="21"/>
              </w:rPr>
            </w:pPr>
            <w:r w:rsidRPr="00E90C3B">
              <w:rPr>
                <w:color w:val="000000"/>
                <w:kern w:val="0"/>
                <w:szCs w:val="21"/>
              </w:rPr>
              <w:t>73.73%</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56" w:name="_Toc361324891"/>
      <w:bookmarkStart w:id="157" w:name="_Toc478236558"/>
      <w:r w:rsidRPr="004211FD">
        <w:rPr>
          <w:rFonts w:ascii="Times New Roman" w:hAnsi="Times New Roman"/>
          <w:kern w:val="0"/>
          <w:szCs w:val="24"/>
        </w:rPr>
        <w:t>9.2</w:t>
      </w:r>
      <w:r w:rsidR="008A0029" w:rsidRPr="004211FD">
        <w:rPr>
          <w:rFonts w:ascii="Times New Roman" w:hAnsi="Times New Roman"/>
          <w:kern w:val="0"/>
          <w:szCs w:val="24"/>
        </w:rPr>
        <w:t xml:space="preserve"> </w:t>
      </w:r>
      <w:r w:rsidRPr="004211FD">
        <w:rPr>
          <w:rFonts w:ascii="Times New Roman" w:hAnsi="Times New Roman" w:hint="eastAsia"/>
          <w:kern w:val="0"/>
          <w:szCs w:val="24"/>
        </w:rPr>
        <w:t>期末基金管理人的从业人员持有本基金的情况</w:t>
      </w:r>
      <w:bookmarkEnd w:id="156"/>
      <w:bookmarkEnd w:id="15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交银增利债券</w:t>
            </w:r>
            <w:r w:rsidRPr="006E3F38">
              <w:rPr>
                <w:color w:val="000000"/>
                <w:kern w:val="0"/>
                <w:sz w:val="24"/>
              </w:rPr>
              <w:t>A/B</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108.85</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交银增利债券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434.79</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543.64</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4211FD" w:rsidRDefault="001C1C7F" w:rsidP="004211FD">
      <w:pPr>
        <w:pStyle w:val="20"/>
        <w:spacing w:before="29" w:after="0" w:line="288" w:lineRule="auto"/>
        <w:rPr>
          <w:b w:val="0"/>
          <w:kern w:val="0"/>
        </w:rPr>
      </w:pPr>
      <w:bookmarkStart w:id="158" w:name="_Toc478236559"/>
      <w:r w:rsidRPr="004211FD">
        <w:rPr>
          <w:rFonts w:ascii="Times New Roman" w:hAnsi="Times New Roman"/>
          <w:kern w:val="0"/>
          <w:szCs w:val="24"/>
        </w:rPr>
        <w:t>9.3</w:t>
      </w:r>
      <w:r w:rsidRPr="004211FD">
        <w:rPr>
          <w:rFonts w:ascii="Times New Roman" w:hAnsi="Times New Roman" w:hint="eastAsia"/>
          <w:kern w:val="0"/>
          <w:szCs w:val="24"/>
        </w:rPr>
        <w:t>期末基金管理人的从业人员持有本开放式基金份额总量区间的情况</w:t>
      </w:r>
      <w:bookmarkEnd w:id="158"/>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B12F55">
            <w:pPr>
              <w:spacing w:before="29" w:line="288" w:lineRule="auto"/>
              <w:jc w:val="left"/>
              <w:rPr>
                <w:color w:val="000000"/>
                <w:kern w:val="0"/>
                <w:sz w:val="24"/>
              </w:rPr>
            </w:pPr>
            <w:r w:rsidRPr="006E3F38">
              <w:rPr>
                <w:rFonts w:hint="eastAsia"/>
                <w:color w:val="000000"/>
                <w:kern w:val="0"/>
                <w:sz w:val="24"/>
              </w:rPr>
              <w:t>交银增利债券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B12F55">
            <w:pPr>
              <w:spacing w:before="29" w:line="288" w:lineRule="auto"/>
              <w:jc w:val="left"/>
              <w:rPr>
                <w:color w:val="000000"/>
                <w:kern w:val="0"/>
                <w:sz w:val="24"/>
              </w:rPr>
            </w:pPr>
            <w:r w:rsidRPr="006E3F38">
              <w:rPr>
                <w:rFonts w:hint="eastAsia"/>
                <w:color w:val="000000"/>
                <w:kern w:val="0"/>
                <w:sz w:val="24"/>
              </w:rPr>
              <w:t>交银增利债券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B12F55">
            <w:pPr>
              <w:spacing w:before="29" w:line="288" w:lineRule="auto"/>
              <w:jc w:val="left"/>
              <w:rPr>
                <w:color w:val="000000"/>
                <w:kern w:val="0"/>
                <w:sz w:val="24"/>
              </w:rPr>
            </w:pPr>
            <w:r w:rsidRPr="006E3F38">
              <w:rPr>
                <w:rFonts w:hint="eastAsia"/>
                <w:color w:val="000000"/>
                <w:kern w:val="0"/>
                <w:sz w:val="24"/>
              </w:rPr>
              <w:t>交银增利债券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B12F55">
            <w:pPr>
              <w:spacing w:before="29" w:line="288" w:lineRule="auto"/>
              <w:jc w:val="left"/>
              <w:rPr>
                <w:color w:val="000000"/>
                <w:kern w:val="0"/>
                <w:sz w:val="24"/>
              </w:rPr>
            </w:pPr>
            <w:r w:rsidRPr="006E3F38">
              <w:rPr>
                <w:rFonts w:hint="eastAsia"/>
                <w:color w:val="000000"/>
                <w:kern w:val="0"/>
                <w:sz w:val="24"/>
              </w:rPr>
              <w:t>交银增利债券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59" w:name="_Toc225500053"/>
      <w:bookmarkStart w:id="160" w:name="_Toc361324892"/>
      <w:bookmarkStart w:id="161" w:name="_Toc478236560"/>
      <w:r w:rsidRPr="00133414">
        <w:rPr>
          <w:rFonts w:hint="eastAsia"/>
          <w:b/>
          <w:bCs/>
          <w:szCs w:val="24"/>
          <w:lang w:val="en-US"/>
        </w:rPr>
        <w:t>§</w:t>
      </w:r>
      <w:r w:rsidR="009153A3" w:rsidRPr="00133414">
        <w:rPr>
          <w:b/>
          <w:bCs/>
          <w:szCs w:val="24"/>
          <w:lang w:val="en-US"/>
        </w:rPr>
        <w:t>10</w:t>
      </w:r>
      <w:r w:rsidR="009153A3" w:rsidRPr="00133414">
        <w:rPr>
          <w:rFonts w:hint="eastAsia"/>
          <w:b/>
          <w:bCs/>
          <w:szCs w:val="24"/>
          <w:lang w:val="en-US"/>
        </w:rPr>
        <w:t xml:space="preserve">  </w:t>
      </w:r>
      <w:r w:rsidRPr="00133414">
        <w:rPr>
          <w:rFonts w:hint="eastAsia"/>
          <w:b/>
          <w:bCs/>
          <w:szCs w:val="24"/>
          <w:lang w:val="en-US"/>
        </w:rPr>
        <w:t>开放式基金份额变动</w:t>
      </w:r>
      <w:bookmarkEnd w:id="159"/>
      <w:bookmarkEnd w:id="160"/>
      <w:bookmarkEnd w:id="161"/>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交银增利债券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r w:rsidRPr="00133414">
              <w:rPr>
                <w:sz w:val="24"/>
              </w:rPr>
              <w:t>交银增利债券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2008</w:t>
            </w:r>
            <w:r w:rsidR="00146153" w:rsidRPr="00133414">
              <w:rPr>
                <w:sz w:val="24"/>
              </w:rPr>
              <w:t>年</w:t>
            </w:r>
            <w:r w:rsidR="00146153" w:rsidRPr="00133414">
              <w:rPr>
                <w:sz w:val="24"/>
              </w:rPr>
              <w:t>3</w:t>
            </w:r>
            <w:r w:rsidR="00146153" w:rsidRPr="00133414">
              <w:rPr>
                <w:sz w:val="24"/>
              </w:rPr>
              <w:t>月</w:t>
            </w:r>
            <w:r w:rsidR="00146153" w:rsidRPr="00133414">
              <w:rPr>
                <w:sz w:val="24"/>
              </w:rPr>
              <w:t>31</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7,419,837,721.23</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2,902,969,397.22</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950,297,029.20</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340,526,749.83</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lastRenderedPageBreak/>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447,782,788.45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364,149,178.78</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967,645,512.53</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590,100,777.94</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430,434,305.12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114,575,150.67</w:t>
            </w:r>
          </w:p>
        </w:tc>
      </w:tr>
    </w:tbl>
    <w:p w:rsidR="00A46313" w:rsidRDefault="0012579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62" w:name="_Toc225500054"/>
      <w:bookmarkStart w:id="163" w:name="_Toc361324893"/>
      <w:bookmarkStart w:id="164" w:name="_Toc478236561"/>
      <w:r w:rsidRPr="00E87573">
        <w:rPr>
          <w:rFonts w:hint="eastAsia"/>
          <w:b/>
          <w:bCs/>
          <w:szCs w:val="24"/>
          <w:lang w:val="en-US"/>
        </w:rPr>
        <w:t>§</w:t>
      </w:r>
      <w:r w:rsidRPr="00E87573">
        <w:rPr>
          <w:b/>
          <w:bCs/>
          <w:szCs w:val="24"/>
          <w:lang w:val="en-US"/>
        </w:rPr>
        <w:t>11</w:t>
      </w:r>
      <w:r w:rsidR="009153A3" w:rsidRPr="00E87573">
        <w:rPr>
          <w:rFonts w:hint="eastAsia"/>
          <w:b/>
          <w:bCs/>
          <w:szCs w:val="24"/>
          <w:lang w:val="en-US"/>
        </w:rPr>
        <w:t xml:space="preserve">  </w:t>
      </w:r>
      <w:r w:rsidRPr="00E87573">
        <w:rPr>
          <w:rFonts w:hint="eastAsia"/>
          <w:b/>
          <w:bCs/>
          <w:szCs w:val="24"/>
          <w:lang w:val="en-US"/>
        </w:rPr>
        <w:t>重大事件揭示</w:t>
      </w:r>
      <w:bookmarkEnd w:id="162"/>
      <w:bookmarkEnd w:id="163"/>
      <w:bookmarkEnd w:id="164"/>
    </w:p>
    <w:p w:rsidR="00DB6EA0" w:rsidRPr="00DB6EA0" w:rsidRDefault="00DB6EA0" w:rsidP="00DB6EA0"/>
    <w:p w:rsidR="001A59F9" w:rsidRPr="004211FD" w:rsidRDefault="001A59F9" w:rsidP="004211FD">
      <w:pPr>
        <w:pStyle w:val="20"/>
        <w:spacing w:before="29" w:after="0" w:line="288" w:lineRule="auto"/>
        <w:rPr>
          <w:b w:val="0"/>
          <w:kern w:val="0"/>
        </w:rPr>
      </w:pPr>
      <w:bookmarkStart w:id="165" w:name="_Toc361324894"/>
      <w:bookmarkStart w:id="166" w:name="_Toc478236562"/>
      <w:r w:rsidRPr="004211FD">
        <w:rPr>
          <w:rFonts w:ascii="Times New Roman" w:hAnsi="Times New Roman"/>
          <w:kern w:val="0"/>
          <w:szCs w:val="24"/>
        </w:rPr>
        <w:t>11.1</w:t>
      </w:r>
      <w:r w:rsidRPr="004211FD">
        <w:rPr>
          <w:rFonts w:ascii="Times New Roman" w:hAnsi="Times New Roman" w:hint="eastAsia"/>
          <w:kern w:val="0"/>
          <w:szCs w:val="24"/>
        </w:rPr>
        <w:t>基金份额持有人大会决议</w:t>
      </w:r>
      <w:bookmarkEnd w:id="165"/>
      <w:bookmarkEnd w:id="166"/>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rFonts w:ascii="Times New Roman" w:hAnsi="Times New Roman"/>
          <w:kern w:val="0"/>
          <w:szCs w:val="24"/>
        </w:rPr>
      </w:pPr>
      <w:bookmarkStart w:id="167" w:name="_Toc361324895"/>
      <w:bookmarkStart w:id="168" w:name="_Toc478236563"/>
      <w:r w:rsidRPr="004211FD">
        <w:rPr>
          <w:rFonts w:ascii="Times New Roman" w:hAnsi="Times New Roman"/>
          <w:kern w:val="0"/>
          <w:szCs w:val="24"/>
        </w:rPr>
        <w:t xml:space="preserve">11.2 </w:t>
      </w:r>
      <w:r w:rsidRPr="004211FD">
        <w:rPr>
          <w:rFonts w:ascii="Times New Roman" w:hAnsi="Times New Roman" w:hint="eastAsia"/>
          <w:kern w:val="0"/>
          <w:szCs w:val="24"/>
        </w:rPr>
        <w:t>基金管理人、基金托管人的专门基金托管部门的重大人事变动</w:t>
      </w:r>
      <w:bookmarkEnd w:id="167"/>
      <w:bookmarkEnd w:id="168"/>
    </w:p>
    <w:p w:rsidR="00A46313" w:rsidRDefault="00125795">
      <w:pPr>
        <w:spacing w:before="29" w:line="288" w:lineRule="auto"/>
        <w:ind w:firstLineChars="200" w:firstLine="480"/>
        <w:rPr>
          <w:kern w:val="0"/>
          <w:sz w:val="24"/>
        </w:rPr>
      </w:pPr>
      <w:r>
        <w:rPr>
          <w:kern w:val="0"/>
          <w:sz w:val="24"/>
        </w:rPr>
        <w:t>1</w:t>
      </w:r>
      <w:r>
        <w:rPr>
          <w:kern w:val="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r w:rsidRPr="00E87573">
        <w:rPr>
          <w:kern w:val="0"/>
          <w:sz w:val="24"/>
        </w:rPr>
        <w:t xml:space="preserve"> </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b w:val="0"/>
          <w:kern w:val="0"/>
        </w:rPr>
      </w:pPr>
      <w:bookmarkStart w:id="169" w:name="_Toc361324896"/>
      <w:bookmarkStart w:id="170" w:name="_Toc478236564"/>
      <w:r w:rsidRPr="004211FD">
        <w:rPr>
          <w:rFonts w:ascii="Times New Roman" w:hAnsi="Times New Roman"/>
          <w:kern w:val="0"/>
          <w:szCs w:val="24"/>
        </w:rPr>
        <w:t xml:space="preserve">11.3 </w:t>
      </w:r>
      <w:r w:rsidRPr="004211FD">
        <w:rPr>
          <w:rFonts w:ascii="Times New Roman" w:hAnsi="Times New Roman" w:hint="eastAsia"/>
          <w:kern w:val="0"/>
          <w:szCs w:val="24"/>
        </w:rPr>
        <w:t>涉及基金管理人、基金财产、基金托管业务的诉讼</w:t>
      </w:r>
      <w:bookmarkEnd w:id="169"/>
      <w:bookmarkEnd w:id="170"/>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b w:val="0"/>
          <w:kern w:val="0"/>
        </w:rPr>
      </w:pPr>
      <w:bookmarkStart w:id="171" w:name="_Toc361324897"/>
      <w:bookmarkStart w:id="172" w:name="_Toc478236565"/>
      <w:r w:rsidRPr="004211FD">
        <w:rPr>
          <w:rFonts w:ascii="Times New Roman" w:hAnsi="Times New Roman"/>
          <w:kern w:val="0"/>
          <w:szCs w:val="24"/>
        </w:rPr>
        <w:t xml:space="preserve">11.4 </w:t>
      </w:r>
      <w:r w:rsidRPr="004211FD">
        <w:rPr>
          <w:rFonts w:ascii="Times New Roman" w:hAnsi="Times New Roman" w:hint="eastAsia"/>
          <w:kern w:val="0"/>
          <w:szCs w:val="24"/>
        </w:rPr>
        <w:t>基金投资策略的改变</w:t>
      </w:r>
      <w:bookmarkEnd w:id="171"/>
      <w:bookmarkEnd w:id="172"/>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b w:val="0"/>
          <w:kern w:val="0"/>
        </w:rPr>
      </w:pPr>
      <w:bookmarkStart w:id="173" w:name="_Toc361324898"/>
      <w:bookmarkStart w:id="174" w:name="_Toc478236566"/>
      <w:r w:rsidRPr="004211FD">
        <w:rPr>
          <w:rFonts w:ascii="Times New Roman" w:hAnsi="Times New Roman"/>
          <w:kern w:val="0"/>
          <w:szCs w:val="24"/>
        </w:rPr>
        <w:t>11.5</w:t>
      </w:r>
      <w:bookmarkEnd w:id="173"/>
      <w:r w:rsidR="001134F0" w:rsidRPr="004211FD">
        <w:rPr>
          <w:rFonts w:ascii="Times New Roman" w:hAnsi="Times New Roman" w:hint="eastAsia"/>
          <w:kern w:val="0"/>
          <w:szCs w:val="24"/>
        </w:rPr>
        <w:t>为基金进行审计的会计师事务所情况</w:t>
      </w:r>
      <w:bookmarkEnd w:id="174"/>
    </w:p>
    <w:p w:rsidR="001A59F9" w:rsidRPr="00E87573" w:rsidRDefault="001A59F9" w:rsidP="00E87573">
      <w:pPr>
        <w:spacing w:before="29" w:line="288" w:lineRule="auto"/>
        <w:ind w:firstLineChars="200" w:firstLine="480"/>
        <w:rPr>
          <w:kern w:val="0"/>
          <w:sz w:val="24"/>
        </w:rPr>
      </w:pPr>
      <w:bookmarkStart w:id="175" w:name="OLE_LINK3"/>
      <w:r w:rsidRPr="00E87573">
        <w:rPr>
          <w:kern w:val="0"/>
          <w:sz w:val="24"/>
        </w:rPr>
        <w:t>本报告期内，为本基金提供审计服务的会计师事务所为普华永道中天会计师事务所（特殊普通合伙）。本期审计费为</w:t>
      </w:r>
      <w:r w:rsidRPr="00E87573">
        <w:rPr>
          <w:kern w:val="0"/>
          <w:sz w:val="24"/>
        </w:rPr>
        <w:t>90,000</w:t>
      </w:r>
      <w:r w:rsidRPr="00E87573">
        <w:rPr>
          <w:kern w:val="0"/>
          <w:sz w:val="24"/>
        </w:rPr>
        <w:t>元，自本基金基金合同生效以来，本基金未改聘为其审计的会计师事务所。</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b w:val="0"/>
          <w:kern w:val="0"/>
        </w:rPr>
      </w:pPr>
      <w:bookmarkStart w:id="176" w:name="_Toc361324899"/>
      <w:bookmarkStart w:id="177" w:name="_Toc478236567"/>
      <w:bookmarkEnd w:id="175"/>
      <w:r w:rsidRPr="004211FD">
        <w:rPr>
          <w:rFonts w:ascii="Times New Roman" w:hAnsi="Times New Roman"/>
          <w:kern w:val="0"/>
          <w:szCs w:val="24"/>
        </w:rPr>
        <w:t xml:space="preserve">11.6 </w:t>
      </w:r>
      <w:r w:rsidRPr="004211FD">
        <w:rPr>
          <w:rFonts w:ascii="Times New Roman" w:hAnsi="Times New Roman" w:hint="eastAsia"/>
          <w:kern w:val="0"/>
          <w:szCs w:val="24"/>
        </w:rPr>
        <w:t>管理人、托管人及其高级管理人员受稽查或处罚等情况</w:t>
      </w:r>
      <w:bookmarkEnd w:id="176"/>
      <w:bookmarkEnd w:id="177"/>
    </w:p>
    <w:p w:rsidR="00F40370" w:rsidRPr="00F40370" w:rsidRDefault="00F40370" w:rsidP="00F40370">
      <w:pPr>
        <w:spacing w:before="29" w:line="288" w:lineRule="auto"/>
        <w:ind w:firstLineChars="200" w:firstLine="480"/>
        <w:rPr>
          <w:kern w:val="0"/>
          <w:sz w:val="24"/>
        </w:rPr>
      </w:pPr>
      <w:r w:rsidRPr="00F40370">
        <w:rPr>
          <w:rFonts w:hint="eastAsia"/>
          <w:kern w:val="0"/>
          <w:sz w:val="24"/>
        </w:rPr>
        <w:t>1</w:t>
      </w:r>
      <w:r w:rsidRPr="00F40370">
        <w:rPr>
          <w:rFonts w:hint="eastAsia"/>
          <w:kern w:val="0"/>
          <w:sz w:val="24"/>
        </w:rPr>
        <w:t>、管理人及其高级管理人员受稽查或处罚等情况</w:t>
      </w:r>
    </w:p>
    <w:p w:rsidR="00F40370" w:rsidRPr="00F40370" w:rsidRDefault="00F40370" w:rsidP="00F40370">
      <w:pPr>
        <w:spacing w:before="29" w:line="288" w:lineRule="auto"/>
        <w:ind w:firstLineChars="200" w:firstLine="480"/>
        <w:rPr>
          <w:kern w:val="0"/>
          <w:sz w:val="24"/>
        </w:rPr>
      </w:pPr>
      <w:r w:rsidRPr="00F40370">
        <w:rPr>
          <w:rFonts w:hint="eastAsia"/>
          <w:kern w:val="0"/>
          <w:sz w:val="24"/>
        </w:rPr>
        <w:lastRenderedPageBreak/>
        <w:t>公司于</w:t>
      </w:r>
      <w:r w:rsidRPr="00F40370">
        <w:rPr>
          <w:rFonts w:hint="eastAsia"/>
          <w:kern w:val="0"/>
          <w:sz w:val="24"/>
        </w:rPr>
        <w:t>2016</w:t>
      </w:r>
      <w:r w:rsidRPr="00F40370">
        <w:rPr>
          <w:rFonts w:hint="eastAsia"/>
          <w:kern w:val="0"/>
          <w:sz w:val="24"/>
        </w:rPr>
        <w:t>年</w:t>
      </w:r>
      <w:r w:rsidRPr="00F40370">
        <w:rPr>
          <w:rFonts w:hint="eastAsia"/>
          <w:kern w:val="0"/>
          <w:sz w:val="24"/>
        </w:rPr>
        <w:t>1</w:t>
      </w:r>
      <w:r w:rsidRPr="00F40370">
        <w:rPr>
          <w:rFonts w:hint="eastAsia"/>
          <w:kern w:val="0"/>
          <w:sz w:val="24"/>
        </w:rPr>
        <w:t>月和</w:t>
      </w:r>
      <w:r w:rsidRPr="00F40370">
        <w:rPr>
          <w:rFonts w:hint="eastAsia"/>
          <w:kern w:val="0"/>
          <w:sz w:val="24"/>
        </w:rPr>
        <w:t>10</w:t>
      </w:r>
      <w:r w:rsidRPr="00F40370">
        <w:rPr>
          <w:rFonts w:hint="eastAsia"/>
          <w:kern w:val="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F40370" w:rsidRPr="00F40370" w:rsidRDefault="00F40370" w:rsidP="00F40370">
      <w:pPr>
        <w:spacing w:before="29" w:line="288" w:lineRule="auto"/>
        <w:ind w:firstLineChars="200" w:firstLine="480"/>
        <w:rPr>
          <w:kern w:val="0"/>
          <w:sz w:val="24"/>
        </w:rPr>
      </w:pPr>
      <w:r w:rsidRPr="00F40370">
        <w:rPr>
          <w:rFonts w:hint="eastAsia"/>
          <w:kern w:val="0"/>
          <w:sz w:val="24"/>
        </w:rPr>
        <w:t>2</w:t>
      </w:r>
      <w:r w:rsidRPr="00F40370">
        <w:rPr>
          <w:rFonts w:hint="eastAsia"/>
          <w:kern w:val="0"/>
          <w:sz w:val="24"/>
        </w:rPr>
        <w:t>、托管人及其高级管理人员受稽查或处罚等情况</w:t>
      </w:r>
    </w:p>
    <w:p w:rsidR="001A59F9" w:rsidRPr="00E87573" w:rsidRDefault="00F40370" w:rsidP="00F40370">
      <w:pPr>
        <w:spacing w:before="29" w:line="288" w:lineRule="auto"/>
        <w:ind w:firstLineChars="200" w:firstLine="480"/>
        <w:rPr>
          <w:kern w:val="0"/>
          <w:sz w:val="24"/>
        </w:rPr>
      </w:pPr>
      <w:r w:rsidRPr="00F40370">
        <w:rPr>
          <w:rFonts w:hint="eastAsia"/>
          <w:kern w:val="0"/>
          <w:sz w:val="24"/>
        </w:rPr>
        <w:t>基金托管人及其高级管理人员本报告期内未受监管部门稽查或处罚。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4211FD" w:rsidRDefault="001A59F9" w:rsidP="004211FD">
      <w:pPr>
        <w:pStyle w:val="20"/>
        <w:spacing w:before="29" w:after="0" w:line="288" w:lineRule="auto"/>
        <w:rPr>
          <w:b w:val="0"/>
          <w:kern w:val="0"/>
        </w:rPr>
      </w:pPr>
      <w:bookmarkStart w:id="178" w:name="_Toc361324900"/>
      <w:bookmarkStart w:id="179" w:name="_Toc478236568"/>
      <w:r w:rsidRPr="004211FD">
        <w:rPr>
          <w:rFonts w:ascii="Times New Roman" w:hAnsi="Times New Roman"/>
          <w:kern w:val="0"/>
          <w:szCs w:val="24"/>
        </w:rPr>
        <w:t xml:space="preserve">11.7 </w:t>
      </w:r>
      <w:r w:rsidRPr="004211FD">
        <w:rPr>
          <w:rFonts w:ascii="Times New Roman" w:hAnsi="Times New Roman" w:hint="eastAsia"/>
          <w:kern w:val="0"/>
          <w:szCs w:val="24"/>
        </w:rPr>
        <w:t>基金租用证券公司交易单元的有关情况</w:t>
      </w:r>
      <w:bookmarkEnd w:id="178"/>
      <w:bookmarkEnd w:id="179"/>
    </w:p>
    <w:p w:rsidR="001A59F9" w:rsidRPr="00D758D9" w:rsidRDefault="001A59F9" w:rsidP="00D758D9">
      <w:pPr>
        <w:spacing w:before="29" w:line="288" w:lineRule="auto"/>
        <w:rPr>
          <w:rFonts w:eastAsiaTheme="minorEastAsia"/>
          <w:b/>
          <w:sz w:val="24"/>
        </w:rPr>
      </w:pPr>
      <w:bookmarkStart w:id="180" w:name="_Toc249760070"/>
      <w:r w:rsidRPr="00D758D9">
        <w:rPr>
          <w:rFonts w:eastAsiaTheme="minorEastAsia"/>
          <w:b/>
          <w:sz w:val="24"/>
        </w:rPr>
        <w:t>11.7.1</w:t>
      </w:r>
      <w:r w:rsidRPr="00D758D9">
        <w:rPr>
          <w:rFonts w:eastAsiaTheme="minorEastAsia" w:hint="eastAsia"/>
          <w:b/>
          <w:sz w:val="24"/>
        </w:rPr>
        <w:t>基金租用证券公司交易单元进行股票投资及佣金支付情况</w:t>
      </w:r>
      <w:bookmarkEnd w:id="180"/>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561C48" w:rsidTr="006D141C">
        <w:tc>
          <w:tcPr>
            <w:tcW w:w="156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bookmarkStart w:id="181" w:name="_Toc249760071"/>
            <w:r w:rsidRPr="00561C48">
              <w:rPr>
                <w:rFonts w:hint="eastAsia"/>
                <w:color w:val="000000"/>
                <w:szCs w:val="21"/>
              </w:rPr>
              <w:t>券商名称</w:t>
            </w:r>
          </w:p>
        </w:tc>
        <w:tc>
          <w:tcPr>
            <w:tcW w:w="78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交易单元数量</w:t>
            </w:r>
          </w:p>
        </w:tc>
        <w:tc>
          <w:tcPr>
            <w:tcW w:w="288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股票交易</w:t>
            </w:r>
          </w:p>
        </w:tc>
        <w:tc>
          <w:tcPr>
            <w:tcW w:w="270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应支付该券商的佣金</w:t>
            </w:r>
          </w:p>
        </w:tc>
        <w:tc>
          <w:tcPr>
            <w:tcW w:w="1080" w:type="dxa"/>
            <w:vMerge w:val="restart"/>
            <w:vAlign w:val="center"/>
          </w:tcPr>
          <w:p w:rsidR="001A59F9" w:rsidRPr="00561C48" w:rsidRDefault="001A59F9" w:rsidP="00026C9C">
            <w:pPr>
              <w:spacing w:line="360" w:lineRule="auto"/>
              <w:jc w:val="center"/>
              <w:rPr>
                <w:color w:val="000000"/>
                <w:szCs w:val="21"/>
              </w:rPr>
            </w:pPr>
            <w:r w:rsidRPr="00561C48">
              <w:rPr>
                <w:rFonts w:hint="eastAsia"/>
                <w:color w:val="000000"/>
                <w:szCs w:val="21"/>
              </w:rPr>
              <w:t>备注</w:t>
            </w:r>
          </w:p>
        </w:tc>
      </w:tr>
      <w:tr w:rsidR="001A59F9" w:rsidRPr="00561C48" w:rsidTr="006D141C">
        <w:tc>
          <w:tcPr>
            <w:tcW w:w="900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占当期股票成交总额的比例</w:t>
            </w:r>
          </w:p>
        </w:tc>
        <w:tc>
          <w:tcPr>
            <w:tcW w:w="162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佣金</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占当期佣金总量的比例</w:t>
            </w:r>
          </w:p>
        </w:tc>
        <w:tc>
          <w:tcPr>
            <w:tcW w:w="1080" w:type="dxa"/>
            <w:vMerge/>
            <w:vAlign w:val="center"/>
          </w:tcPr>
          <w:p w:rsidR="001A59F9" w:rsidRPr="00561C48" w:rsidRDefault="001A59F9" w:rsidP="00AB104C">
            <w:pPr>
              <w:widowControl/>
              <w:autoSpaceDE w:val="0"/>
              <w:autoSpaceDN w:val="0"/>
              <w:spacing w:before="29" w:line="288" w:lineRule="auto"/>
              <w:ind w:right="-15"/>
              <w:jc w:val="left"/>
              <w:textAlignment w:val="bottom"/>
              <w:rPr>
                <w:color w:val="000000"/>
                <w:szCs w:val="21"/>
              </w:rPr>
            </w:pPr>
          </w:p>
        </w:tc>
      </w:tr>
      <w:tr w:rsidR="00A46313">
        <w:tc>
          <w:tcPr>
            <w:tcW w:w="1560" w:type="dxa"/>
            <w:vAlign w:val="center"/>
          </w:tcPr>
          <w:p w:rsidR="00A46313" w:rsidRDefault="00125795">
            <w:pPr>
              <w:jc w:val="left"/>
            </w:pPr>
            <w:r>
              <w:rPr>
                <w:color w:val="000000"/>
                <w:szCs w:val="21"/>
              </w:rPr>
              <w:t>中信证券股份有限公司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中国银河证券股份有限公司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东方证券股份有限公司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安信证券股份有限公司</w:t>
            </w:r>
          </w:p>
        </w:tc>
        <w:tc>
          <w:tcPr>
            <w:tcW w:w="780" w:type="dxa"/>
            <w:vAlign w:val="center"/>
          </w:tcPr>
          <w:p w:rsidR="00A46313" w:rsidRDefault="00125795">
            <w:pPr>
              <w:jc w:val="right"/>
            </w:pPr>
            <w:r>
              <w:rPr>
                <w:color w:val="000000"/>
                <w:szCs w:val="21"/>
              </w:rPr>
              <w:t>2</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申万宏源证券有限公司</w:t>
            </w:r>
          </w:p>
        </w:tc>
        <w:tc>
          <w:tcPr>
            <w:tcW w:w="780" w:type="dxa"/>
            <w:vAlign w:val="center"/>
          </w:tcPr>
          <w:p w:rsidR="00A46313" w:rsidRDefault="00125795">
            <w:pPr>
              <w:jc w:val="right"/>
            </w:pPr>
            <w:r>
              <w:rPr>
                <w:color w:val="000000"/>
                <w:szCs w:val="21"/>
              </w:rPr>
              <w:t>2</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华泰证券股份有限公司</w:t>
            </w:r>
          </w:p>
        </w:tc>
        <w:tc>
          <w:tcPr>
            <w:tcW w:w="780" w:type="dxa"/>
            <w:vAlign w:val="center"/>
          </w:tcPr>
          <w:p w:rsidR="00A46313" w:rsidRDefault="00125795">
            <w:pPr>
              <w:jc w:val="right"/>
            </w:pPr>
            <w:r>
              <w:rPr>
                <w:color w:val="000000"/>
                <w:szCs w:val="21"/>
              </w:rPr>
              <w:t>2</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海通证券股份有限公司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方正证券股份有限公司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东吴证券股份有限公司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长江证券股份有限公司</w:t>
            </w:r>
          </w:p>
        </w:tc>
        <w:tc>
          <w:tcPr>
            <w:tcW w:w="780" w:type="dxa"/>
            <w:vAlign w:val="center"/>
          </w:tcPr>
          <w:p w:rsidR="00A46313" w:rsidRDefault="00125795">
            <w:pPr>
              <w:jc w:val="right"/>
            </w:pPr>
            <w:r>
              <w:rPr>
                <w:color w:val="000000"/>
                <w:szCs w:val="21"/>
              </w:rPr>
              <w:t>2</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平安证券有限责任公司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中银国际证券有限责任公司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北京高华证券有限责任公司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中国中投证券</w:t>
            </w:r>
            <w:r>
              <w:rPr>
                <w:color w:val="000000"/>
                <w:szCs w:val="21"/>
              </w:rPr>
              <w:lastRenderedPageBreak/>
              <w:t>有限责任公司</w:t>
            </w:r>
          </w:p>
        </w:tc>
        <w:tc>
          <w:tcPr>
            <w:tcW w:w="780" w:type="dxa"/>
            <w:vAlign w:val="center"/>
          </w:tcPr>
          <w:p w:rsidR="00A46313" w:rsidRDefault="00125795">
            <w:pPr>
              <w:jc w:val="right"/>
            </w:pPr>
            <w:r>
              <w:rPr>
                <w:color w:val="000000"/>
                <w:szCs w:val="21"/>
              </w:rPr>
              <w:lastRenderedPageBreak/>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lastRenderedPageBreak/>
              <w:t>华安证券股份有限公司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东兴证券股份有限公司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中国国际金融有限公司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中信建投证券股份有限公司</w:t>
            </w:r>
          </w:p>
        </w:tc>
        <w:tc>
          <w:tcPr>
            <w:tcW w:w="780" w:type="dxa"/>
            <w:vAlign w:val="center"/>
          </w:tcPr>
          <w:p w:rsidR="00A46313" w:rsidRDefault="00125795">
            <w:pPr>
              <w:jc w:val="right"/>
            </w:pPr>
            <w:r>
              <w:rPr>
                <w:color w:val="000000"/>
                <w:szCs w:val="21"/>
              </w:rPr>
              <w:t>2</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中泰证券股份有限公司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信达证券股份有限公司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西藏东方财富证券股份有限公司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r w:rsidR="00A46313">
        <w:tc>
          <w:tcPr>
            <w:tcW w:w="1560" w:type="dxa"/>
            <w:vAlign w:val="center"/>
          </w:tcPr>
          <w:p w:rsidR="00A46313" w:rsidRDefault="00125795">
            <w:pPr>
              <w:jc w:val="left"/>
            </w:pPr>
            <w:r>
              <w:rPr>
                <w:color w:val="000000"/>
                <w:szCs w:val="21"/>
              </w:rPr>
              <w:t>德邦证券股份有限公司</w:t>
            </w:r>
          </w:p>
        </w:tc>
        <w:tc>
          <w:tcPr>
            <w:tcW w:w="780" w:type="dxa"/>
            <w:vAlign w:val="center"/>
          </w:tcPr>
          <w:p w:rsidR="00A46313" w:rsidRDefault="00125795">
            <w:pPr>
              <w:jc w:val="right"/>
            </w:pPr>
            <w:r>
              <w:rPr>
                <w:color w:val="000000"/>
                <w:szCs w:val="21"/>
              </w:rPr>
              <w:t>1</w:t>
            </w:r>
          </w:p>
        </w:tc>
        <w:tc>
          <w:tcPr>
            <w:tcW w:w="180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620"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080" w:type="dxa"/>
            <w:vAlign w:val="center"/>
          </w:tcPr>
          <w:p w:rsidR="00A46313" w:rsidRDefault="00125795">
            <w:pPr>
              <w:jc w:val="left"/>
            </w:pPr>
            <w:r>
              <w:rPr>
                <w:color w:val="000000"/>
                <w:szCs w:val="21"/>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58D9" w:rsidRDefault="001A59F9" w:rsidP="00D758D9">
      <w:pPr>
        <w:spacing w:before="29" w:line="288" w:lineRule="auto"/>
        <w:rPr>
          <w:rFonts w:eastAsiaTheme="minorEastAsia"/>
          <w:b/>
          <w:sz w:val="24"/>
        </w:rPr>
      </w:pPr>
      <w:r w:rsidRPr="00D758D9">
        <w:rPr>
          <w:rFonts w:eastAsiaTheme="minorEastAsia"/>
          <w:b/>
          <w:sz w:val="24"/>
        </w:rPr>
        <w:t>11.7.2</w:t>
      </w:r>
      <w:r w:rsidR="009153A3" w:rsidRPr="00D758D9">
        <w:rPr>
          <w:rFonts w:eastAsiaTheme="minorEastAsia" w:hint="eastAsia"/>
          <w:b/>
          <w:sz w:val="24"/>
        </w:rPr>
        <w:t xml:space="preserve"> </w:t>
      </w:r>
      <w:r w:rsidRPr="00D758D9">
        <w:rPr>
          <w:rFonts w:eastAsiaTheme="minorEastAsia" w:hint="eastAsia"/>
          <w:b/>
          <w:sz w:val="24"/>
        </w:rPr>
        <w:t>基金租用证券公司交易单元进行其他证券投资的情况</w:t>
      </w:r>
      <w:bookmarkEnd w:id="181"/>
    </w:p>
    <w:p w:rsidR="001A59F9" w:rsidRPr="00406F2D" w:rsidRDefault="001A59F9" w:rsidP="00406F2D">
      <w:pPr>
        <w:autoSpaceDE w:val="0"/>
        <w:autoSpaceDN w:val="0"/>
        <w:adjustRightInd w:val="0"/>
        <w:spacing w:before="29" w:line="288" w:lineRule="auto"/>
        <w:ind w:left="15"/>
        <w:jc w:val="right"/>
        <w:rPr>
          <w:bCs/>
          <w:color w:val="000000"/>
          <w:sz w:val="24"/>
        </w:rPr>
      </w:pPr>
      <w:bookmarkStart w:id="182" w:name="_Toc249707408"/>
      <w:r w:rsidRPr="00406F2D">
        <w:rPr>
          <w:rFonts w:hint="eastAsia"/>
          <w:bCs/>
          <w:color w:val="000000"/>
          <w:sz w:val="24"/>
        </w:rPr>
        <w:t>金额单位：人民币元</w:t>
      </w:r>
      <w:bookmarkEnd w:id="1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6E344B" w:rsidRPr="00561C48" w:rsidTr="009556B5">
        <w:tc>
          <w:tcPr>
            <w:tcW w:w="1560" w:type="dxa"/>
            <w:vMerge w:val="restart"/>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券商名称</w:t>
            </w:r>
          </w:p>
        </w:tc>
        <w:tc>
          <w:tcPr>
            <w:tcW w:w="24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债券交易</w:t>
            </w:r>
          </w:p>
        </w:tc>
        <w:tc>
          <w:tcPr>
            <w:tcW w:w="234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回购交易</w:t>
            </w:r>
          </w:p>
        </w:tc>
        <w:tc>
          <w:tcPr>
            <w:tcW w:w="27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权证交易</w:t>
            </w:r>
          </w:p>
        </w:tc>
      </w:tr>
      <w:tr w:rsidR="006E344B" w:rsidRPr="00561C48" w:rsidTr="009556B5">
        <w:tc>
          <w:tcPr>
            <w:tcW w:w="1560" w:type="dxa"/>
            <w:vMerge/>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p>
        </w:tc>
        <w:tc>
          <w:tcPr>
            <w:tcW w:w="132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占当期债券成交总额的比例</w:t>
            </w:r>
          </w:p>
        </w:tc>
        <w:tc>
          <w:tcPr>
            <w:tcW w:w="114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1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占当期回购成交总额的比例</w:t>
            </w:r>
          </w:p>
        </w:tc>
        <w:tc>
          <w:tcPr>
            <w:tcW w:w="14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20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占当期权证成交总额的比例</w:t>
            </w:r>
          </w:p>
        </w:tc>
      </w:tr>
      <w:tr w:rsidR="00A46313">
        <w:tc>
          <w:tcPr>
            <w:tcW w:w="1559" w:type="dxa"/>
            <w:vAlign w:val="center"/>
          </w:tcPr>
          <w:p w:rsidR="00A46313" w:rsidRDefault="00125795">
            <w:pPr>
              <w:jc w:val="left"/>
            </w:pPr>
            <w:r>
              <w:rPr>
                <w:color w:val="000000"/>
                <w:szCs w:val="21"/>
              </w:rPr>
              <w:t>中信证券股份有限公司</w:t>
            </w:r>
          </w:p>
        </w:tc>
        <w:tc>
          <w:tcPr>
            <w:tcW w:w="1319" w:type="dxa"/>
            <w:vAlign w:val="center"/>
          </w:tcPr>
          <w:p w:rsidR="00A46313" w:rsidRDefault="00125795">
            <w:pPr>
              <w:jc w:val="right"/>
            </w:pPr>
            <w:r>
              <w:rPr>
                <w:color w:val="000000"/>
                <w:szCs w:val="21"/>
              </w:rPr>
              <w:t>815,190,923.03</w:t>
            </w:r>
          </w:p>
        </w:tc>
        <w:tc>
          <w:tcPr>
            <w:tcW w:w="1080" w:type="dxa"/>
            <w:vAlign w:val="center"/>
          </w:tcPr>
          <w:p w:rsidR="00A46313" w:rsidRDefault="00125795">
            <w:pPr>
              <w:jc w:val="right"/>
            </w:pPr>
            <w:r>
              <w:rPr>
                <w:color w:val="000000"/>
                <w:szCs w:val="21"/>
              </w:rPr>
              <w:t>68.65%</w:t>
            </w:r>
          </w:p>
        </w:tc>
        <w:tc>
          <w:tcPr>
            <w:tcW w:w="1143" w:type="dxa"/>
            <w:vAlign w:val="center"/>
          </w:tcPr>
          <w:p w:rsidR="00A46313" w:rsidRDefault="00125795">
            <w:pPr>
              <w:jc w:val="right"/>
            </w:pPr>
            <w:r>
              <w:rPr>
                <w:color w:val="000000"/>
                <w:szCs w:val="21"/>
              </w:rPr>
              <w:t>3,710,000,000.00</w:t>
            </w:r>
          </w:p>
        </w:tc>
        <w:tc>
          <w:tcPr>
            <w:tcW w:w="1197" w:type="dxa"/>
            <w:vAlign w:val="center"/>
          </w:tcPr>
          <w:p w:rsidR="00A46313" w:rsidRDefault="00125795">
            <w:pPr>
              <w:jc w:val="right"/>
            </w:pPr>
            <w:r>
              <w:rPr>
                <w:color w:val="000000"/>
                <w:szCs w:val="21"/>
              </w:rPr>
              <w:t>22.10%</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中国银河证券股份有限公司</w:t>
            </w:r>
          </w:p>
        </w:tc>
        <w:tc>
          <w:tcPr>
            <w:tcW w:w="1319" w:type="dxa"/>
            <w:vAlign w:val="center"/>
          </w:tcPr>
          <w:p w:rsidR="00A46313" w:rsidRDefault="00125795">
            <w:pPr>
              <w:jc w:val="right"/>
            </w:pPr>
            <w:r>
              <w:rPr>
                <w:color w:val="000000"/>
                <w:szCs w:val="21"/>
              </w:rPr>
              <w:t>80,730,582.51</w:t>
            </w:r>
          </w:p>
        </w:tc>
        <w:tc>
          <w:tcPr>
            <w:tcW w:w="1080" w:type="dxa"/>
            <w:vAlign w:val="center"/>
          </w:tcPr>
          <w:p w:rsidR="00A46313" w:rsidRDefault="00125795">
            <w:pPr>
              <w:jc w:val="right"/>
            </w:pPr>
            <w:r>
              <w:rPr>
                <w:color w:val="000000"/>
                <w:szCs w:val="21"/>
              </w:rPr>
              <w:t>6.80%</w:t>
            </w:r>
          </w:p>
        </w:tc>
        <w:tc>
          <w:tcPr>
            <w:tcW w:w="1143" w:type="dxa"/>
            <w:vAlign w:val="center"/>
          </w:tcPr>
          <w:p w:rsidR="00A46313" w:rsidRDefault="00125795">
            <w:pPr>
              <w:jc w:val="right"/>
            </w:pPr>
            <w:r>
              <w:rPr>
                <w:color w:val="000000"/>
                <w:szCs w:val="21"/>
              </w:rPr>
              <w:t>1,870,000,000.00</w:t>
            </w:r>
          </w:p>
        </w:tc>
        <w:tc>
          <w:tcPr>
            <w:tcW w:w="1197" w:type="dxa"/>
            <w:vAlign w:val="center"/>
          </w:tcPr>
          <w:p w:rsidR="00A46313" w:rsidRDefault="00125795">
            <w:pPr>
              <w:jc w:val="right"/>
            </w:pPr>
            <w:r>
              <w:rPr>
                <w:color w:val="000000"/>
                <w:szCs w:val="21"/>
              </w:rPr>
              <w:t>11.14%</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东方证券股份有限公司</w:t>
            </w:r>
          </w:p>
        </w:tc>
        <w:tc>
          <w:tcPr>
            <w:tcW w:w="1319" w:type="dxa"/>
            <w:vAlign w:val="center"/>
          </w:tcPr>
          <w:p w:rsidR="00A46313" w:rsidRDefault="00125795">
            <w:pPr>
              <w:jc w:val="right"/>
            </w:pPr>
            <w:r>
              <w:rPr>
                <w:color w:val="000000"/>
                <w:szCs w:val="21"/>
              </w:rPr>
              <w:t>7,338,948.00</w:t>
            </w:r>
          </w:p>
        </w:tc>
        <w:tc>
          <w:tcPr>
            <w:tcW w:w="1080" w:type="dxa"/>
            <w:vAlign w:val="center"/>
          </w:tcPr>
          <w:p w:rsidR="00A46313" w:rsidRDefault="00125795">
            <w:pPr>
              <w:jc w:val="right"/>
            </w:pPr>
            <w:r>
              <w:rPr>
                <w:color w:val="000000"/>
                <w:szCs w:val="21"/>
              </w:rPr>
              <w:t>0.62%</w:t>
            </w:r>
          </w:p>
        </w:tc>
        <w:tc>
          <w:tcPr>
            <w:tcW w:w="1143" w:type="dxa"/>
            <w:vAlign w:val="center"/>
          </w:tcPr>
          <w:p w:rsidR="00A46313" w:rsidRDefault="00125795">
            <w:pPr>
              <w:jc w:val="right"/>
            </w:pPr>
            <w:r>
              <w:rPr>
                <w:color w:val="000000"/>
                <w:szCs w:val="21"/>
              </w:rPr>
              <w:t>305,000,000.00</w:t>
            </w:r>
          </w:p>
        </w:tc>
        <w:tc>
          <w:tcPr>
            <w:tcW w:w="1197" w:type="dxa"/>
            <w:vAlign w:val="center"/>
          </w:tcPr>
          <w:p w:rsidR="00A46313" w:rsidRDefault="00125795">
            <w:pPr>
              <w:jc w:val="right"/>
            </w:pPr>
            <w:r>
              <w:rPr>
                <w:color w:val="000000"/>
                <w:szCs w:val="21"/>
              </w:rPr>
              <w:t>1.82%</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安信证券股份有限公司</w:t>
            </w:r>
          </w:p>
        </w:tc>
        <w:tc>
          <w:tcPr>
            <w:tcW w:w="1319" w:type="dxa"/>
            <w:vAlign w:val="center"/>
          </w:tcPr>
          <w:p w:rsidR="00A46313" w:rsidRDefault="00125795">
            <w:pPr>
              <w:jc w:val="right"/>
            </w:pPr>
            <w:r>
              <w:rPr>
                <w:color w:val="000000"/>
                <w:szCs w:val="21"/>
              </w:rPr>
              <w:t>67,758,451.00</w:t>
            </w:r>
          </w:p>
        </w:tc>
        <w:tc>
          <w:tcPr>
            <w:tcW w:w="1080" w:type="dxa"/>
            <w:vAlign w:val="center"/>
          </w:tcPr>
          <w:p w:rsidR="00A46313" w:rsidRDefault="00125795">
            <w:pPr>
              <w:jc w:val="right"/>
            </w:pPr>
            <w:r>
              <w:rPr>
                <w:color w:val="000000"/>
                <w:szCs w:val="21"/>
              </w:rPr>
              <w:t>5.71%</w:t>
            </w:r>
          </w:p>
        </w:tc>
        <w:tc>
          <w:tcPr>
            <w:tcW w:w="1143" w:type="dxa"/>
            <w:vAlign w:val="center"/>
          </w:tcPr>
          <w:p w:rsidR="00A46313" w:rsidRDefault="00125795">
            <w:pPr>
              <w:jc w:val="right"/>
            </w:pPr>
            <w:r>
              <w:rPr>
                <w:color w:val="000000"/>
                <w:szCs w:val="21"/>
              </w:rPr>
              <w:t>4,904,500,000.00</w:t>
            </w:r>
          </w:p>
        </w:tc>
        <w:tc>
          <w:tcPr>
            <w:tcW w:w="1197" w:type="dxa"/>
            <w:vAlign w:val="center"/>
          </w:tcPr>
          <w:p w:rsidR="00A46313" w:rsidRDefault="00125795">
            <w:pPr>
              <w:jc w:val="right"/>
            </w:pPr>
            <w:r>
              <w:rPr>
                <w:color w:val="000000"/>
                <w:szCs w:val="21"/>
              </w:rPr>
              <w:t>29.21%</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申万宏源证券有限公司</w:t>
            </w:r>
          </w:p>
        </w:tc>
        <w:tc>
          <w:tcPr>
            <w:tcW w:w="1319" w:type="dxa"/>
            <w:vAlign w:val="center"/>
          </w:tcPr>
          <w:p w:rsidR="00A46313" w:rsidRDefault="00125795">
            <w:pPr>
              <w:jc w:val="right"/>
            </w:pPr>
            <w:r>
              <w:rPr>
                <w:color w:val="000000"/>
                <w:szCs w:val="21"/>
              </w:rPr>
              <w:t>2,539,600.00</w:t>
            </w:r>
          </w:p>
        </w:tc>
        <w:tc>
          <w:tcPr>
            <w:tcW w:w="1080" w:type="dxa"/>
            <w:vAlign w:val="center"/>
          </w:tcPr>
          <w:p w:rsidR="00A46313" w:rsidRDefault="00125795">
            <w:pPr>
              <w:jc w:val="right"/>
            </w:pPr>
            <w:r>
              <w:rPr>
                <w:color w:val="000000"/>
                <w:szCs w:val="21"/>
              </w:rPr>
              <w:t>0.21%</w:t>
            </w:r>
          </w:p>
        </w:tc>
        <w:tc>
          <w:tcPr>
            <w:tcW w:w="1143" w:type="dxa"/>
            <w:vAlign w:val="center"/>
          </w:tcPr>
          <w:p w:rsidR="00A46313" w:rsidRDefault="00125795">
            <w:pPr>
              <w:jc w:val="right"/>
            </w:pPr>
            <w:r>
              <w:rPr>
                <w:color w:val="000000"/>
                <w:szCs w:val="21"/>
              </w:rPr>
              <w:t>420,200,000.00</w:t>
            </w:r>
          </w:p>
        </w:tc>
        <w:tc>
          <w:tcPr>
            <w:tcW w:w="1197" w:type="dxa"/>
            <w:vAlign w:val="center"/>
          </w:tcPr>
          <w:p w:rsidR="00A46313" w:rsidRDefault="00125795">
            <w:pPr>
              <w:jc w:val="right"/>
            </w:pPr>
            <w:r>
              <w:rPr>
                <w:color w:val="000000"/>
                <w:szCs w:val="21"/>
              </w:rPr>
              <w:t>2.50%</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华泰证券股份有限公司</w:t>
            </w:r>
          </w:p>
        </w:tc>
        <w:tc>
          <w:tcPr>
            <w:tcW w:w="1319" w:type="dxa"/>
            <w:vAlign w:val="center"/>
          </w:tcPr>
          <w:p w:rsidR="00A46313" w:rsidRDefault="00125795">
            <w:pPr>
              <w:jc w:val="right"/>
            </w:pPr>
            <w:r>
              <w:rPr>
                <w:color w:val="000000"/>
                <w:szCs w:val="21"/>
              </w:rPr>
              <w:t>23,737,423.14</w:t>
            </w:r>
          </w:p>
        </w:tc>
        <w:tc>
          <w:tcPr>
            <w:tcW w:w="1080" w:type="dxa"/>
            <w:vAlign w:val="center"/>
          </w:tcPr>
          <w:p w:rsidR="00A46313" w:rsidRDefault="00125795">
            <w:pPr>
              <w:jc w:val="right"/>
            </w:pPr>
            <w:r>
              <w:rPr>
                <w:color w:val="000000"/>
                <w:szCs w:val="21"/>
              </w:rPr>
              <w:t>2.00%</w:t>
            </w:r>
          </w:p>
        </w:tc>
        <w:tc>
          <w:tcPr>
            <w:tcW w:w="1143" w:type="dxa"/>
            <w:vAlign w:val="center"/>
          </w:tcPr>
          <w:p w:rsidR="00A46313" w:rsidRDefault="00125795">
            <w:pPr>
              <w:jc w:val="right"/>
            </w:pPr>
            <w:r>
              <w:rPr>
                <w:color w:val="000000"/>
                <w:szCs w:val="21"/>
              </w:rPr>
              <w:t>1,257,000,000.00</w:t>
            </w:r>
          </w:p>
        </w:tc>
        <w:tc>
          <w:tcPr>
            <w:tcW w:w="1197" w:type="dxa"/>
            <w:vAlign w:val="center"/>
          </w:tcPr>
          <w:p w:rsidR="00A46313" w:rsidRDefault="00125795">
            <w:pPr>
              <w:jc w:val="right"/>
            </w:pPr>
            <w:r>
              <w:rPr>
                <w:color w:val="000000"/>
                <w:szCs w:val="21"/>
              </w:rPr>
              <w:t>7.49%</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海通证券股份有限公司</w:t>
            </w:r>
          </w:p>
        </w:tc>
        <w:tc>
          <w:tcPr>
            <w:tcW w:w="1319" w:type="dxa"/>
            <w:vAlign w:val="center"/>
          </w:tcPr>
          <w:p w:rsidR="00A46313" w:rsidRDefault="00125795">
            <w:pPr>
              <w:jc w:val="right"/>
            </w:pPr>
            <w:r>
              <w:rPr>
                <w:color w:val="000000"/>
                <w:szCs w:val="21"/>
              </w:rPr>
              <w:t>21,760,165.00</w:t>
            </w:r>
          </w:p>
        </w:tc>
        <w:tc>
          <w:tcPr>
            <w:tcW w:w="1080" w:type="dxa"/>
            <w:vAlign w:val="center"/>
          </w:tcPr>
          <w:p w:rsidR="00A46313" w:rsidRDefault="00125795">
            <w:pPr>
              <w:jc w:val="right"/>
            </w:pPr>
            <w:r>
              <w:rPr>
                <w:color w:val="000000"/>
                <w:szCs w:val="21"/>
              </w:rPr>
              <w:t>1.83%</w:t>
            </w:r>
          </w:p>
        </w:tc>
        <w:tc>
          <w:tcPr>
            <w:tcW w:w="1143" w:type="dxa"/>
            <w:vAlign w:val="center"/>
          </w:tcPr>
          <w:p w:rsidR="00A46313" w:rsidRDefault="00125795">
            <w:pPr>
              <w:jc w:val="right"/>
            </w:pPr>
            <w:r>
              <w:rPr>
                <w:color w:val="000000"/>
                <w:szCs w:val="21"/>
              </w:rPr>
              <w:t>200,000,000.00</w:t>
            </w:r>
          </w:p>
        </w:tc>
        <w:tc>
          <w:tcPr>
            <w:tcW w:w="1197" w:type="dxa"/>
            <w:vAlign w:val="center"/>
          </w:tcPr>
          <w:p w:rsidR="00A46313" w:rsidRDefault="00125795">
            <w:pPr>
              <w:jc w:val="right"/>
            </w:pPr>
            <w:r>
              <w:rPr>
                <w:color w:val="000000"/>
                <w:szCs w:val="21"/>
              </w:rPr>
              <w:t>1.19%</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方正证券股份有限公司</w:t>
            </w:r>
          </w:p>
        </w:tc>
        <w:tc>
          <w:tcPr>
            <w:tcW w:w="1319" w:type="dxa"/>
            <w:vAlign w:val="center"/>
          </w:tcPr>
          <w:p w:rsidR="00A46313" w:rsidRDefault="00125795">
            <w:pPr>
              <w:jc w:val="right"/>
            </w:pPr>
            <w:r>
              <w:rPr>
                <w:color w:val="000000"/>
                <w:szCs w:val="21"/>
              </w:rPr>
              <w:t>19,214,522.11</w:t>
            </w:r>
          </w:p>
        </w:tc>
        <w:tc>
          <w:tcPr>
            <w:tcW w:w="1080" w:type="dxa"/>
            <w:vAlign w:val="center"/>
          </w:tcPr>
          <w:p w:rsidR="00A46313" w:rsidRDefault="00125795">
            <w:pPr>
              <w:jc w:val="right"/>
            </w:pPr>
            <w:r>
              <w:rPr>
                <w:color w:val="000000"/>
                <w:szCs w:val="21"/>
              </w:rPr>
              <w:t>1.62%</w:t>
            </w:r>
          </w:p>
        </w:tc>
        <w:tc>
          <w:tcPr>
            <w:tcW w:w="1143" w:type="dxa"/>
            <w:vAlign w:val="center"/>
          </w:tcPr>
          <w:p w:rsidR="00A46313" w:rsidRDefault="00125795">
            <w:pPr>
              <w:jc w:val="right"/>
            </w:pPr>
            <w:r>
              <w:rPr>
                <w:color w:val="000000"/>
                <w:szCs w:val="21"/>
              </w:rPr>
              <w:t>219,082,000.00</w:t>
            </w:r>
          </w:p>
        </w:tc>
        <w:tc>
          <w:tcPr>
            <w:tcW w:w="1197" w:type="dxa"/>
            <w:vAlign w:val="center"/>
          </w:tcPr>
          <w:p w:rsidR="00A46313" w:rsidRDefault="00125795">
            <w:pPr>
              <w:jc w:val="right"/>
            </w:pPr>
            <w:r>
              <w:rPr>
                <w:color w:val="000000"/>
                <w:szCs w:val="21"/>
              </w:rPr>
              <w:t>1.30%</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东吴证券股份</w:t>
            </w:r>
            <w:r>
              <w:rPr>
                <w:color w:val="000000"/>
                <w:szCs w:val="21"/>
              </w:rPr>
              <w:lastRenderedPageBreak/>
              <w:t>有限公司</w:t>
            </w:r>
          </w:p>
        </w:tc>
        <w:tc>
          <w:tcPr>
            <w:tcW w:w="1319" w:type="dxa"/>
            <w:vAlign w:val="center"/>
          </w:tcPr>
          <w:p w:rsidR="00A46313" w:rsidRDefault="00125795">
            <w:pPr>
              <w:jc w:val="right"/>
            </w:pPr>
            <w:r>
              <w:rPr>
                <w:color w:val="000000"/>
                <w:szCs w:val="21"/>
              </w:rPr>
              <w:lastRenderedPageBreak/>
              <w:t>18,704,027.6</w:t>
            </w:r>
            <w:r>
              <w:rPr>
                <w:color w:val="000000"/>
                <w:szCs w:val="21"/>
              </w:rPr>
              <w:lastRenderedPageBreak/>
              <w:t>3</w:t>
            </w:r>
          </w:p>
        </w:tc>
        <w:tc>
          <w:tcPr>
            <w:tcW w:w="1080" w:type="dxa"/>
            <w:vAlign w:val="center"/>
          </w:tcPr>
          <w:p w:rsidR="00A46313" w:rsidRDefault="00125795">
            <w:pPr>
              <w:jc w:val="right"/>
            </w:pPr>
            <w:r>
              <w:rPr>
                <w:color w:val="000000"/>
                <w:szCs w:val="21"/>
              </w:rPr>
              <w:lastRenderedPageBreak/>
              <w:t>1.58%</w:t>
            </w:r>
          </w:p>
        </w:tc>
        <w:tc>
          <w:tcPr>
            <w:tcW w:w="1143" w:type="dxa"/>
            <w:vAlign w:val="center"/>
          </w:tcPr>
          <w:p w:rsidR="00A46313" w:rsidRDefault="00125795">
            <w:pPr>
              <w:jc w:val="right"/>
            </w:pPr>
            <w:r>
              <w:rPr>
                <w:color w:val="000000"/>
                <w:szCs w:val="21"/>
              </w:rPr>
              <w:t>1,072,000,</w:t>
            </w:r>
            <w:r>
              <w:rPr>
                <w:color w:val="000000"/>
                <w:szCs w:val="21"/>
              </w:rPr>
              <w:lastRenderedPageBreak/>
              <w:t>000.00</w:t>
            </w:r>
          </w:p>
        </w:tc>
        <w:tc>
          <w:tcPr>
            <w:tcW w:w="1197" w:type="dxa"/>
            <w:vAlign w:val="center"/>
          </w:tcPr>
          <w:p w:rsidR="00A46313" w:rsidRDefault="00125795">
            <w:pPr>
              <w:jc w:val="right"/>
            </w:pPr>
            <w:r>
              <w:rPr>
                <w:color w:val="000000"/>
                <w:szCs w:val="21"/>
              </w:rPr>
              <w:lastRenderedPageBreak/>
              <w:t>6.39%</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lastRenderedPageBreak/>
              <w:t>长江证券股份有限公司</w:t>
            </w:r>
          </w:p>
        </w:tc>
        <w:tc>
          <w:tcPr>
            <w:tcW w:w="1319" w:type="dxa"/>
            <w:vAlign w:val="center"/>
          </w:tcPr>
          <w:p w:rsidR="00A46313" w:rsidRDefault="00125795">
            <w:pPr>
              <w:jc w:val="right"/>
            </w:pPr>
            <w:r>
              <w:rPr>
                <w:color w:val="000000"/>
                <w:szCs w:val="21"/>
              </w:rPr>
              <w:t>18,651,948.65</w:t>
            </w:r>
          </w:p>
        </w:tc>
        <w:tc>
          <w:tcPr>
            <w:tcW w:w="1080" w:type="dxa"/>
            <w:vAlign w:val="center"/>
          </w:tcPr>
          <w:p w:rsidR="00A46313" w:rsidRDefault="00125795">
            <w:pPr>
              <w:jc w:val="right"/>
            </w:pPr>
            <w:r>
              <w:rPr>
                <w:color w:val="000000"/>
                <w:szCs w:val="21"/>
              </w:rPr>
              <w:t>1.57%</w:t>
            </w:r>
          </w:p>
        </w:tc>
        <w:tc>
          <w:tcPr>
            <w:tcW w:w="1143" w:type="dxa"/>
            <w:vAlign w:val="center"/>
          </w:tcPr>
          <w:p w:rsidR="00A46313" w:rsidRDefault="00125795">
            <w:pPr>
              <w:jc w:val="right"/>
            </w:pPr>
            <w:r>
              <w:rPr>
                <w:color w:val="000000"/>
                <w:szCs w:val="21"/>
              </w:rPr>
              <w:t>388,000,000.00</w:t>
            </w:r>
          </w:p>
        </w:tc>
        <w:tc>
          <w:tcPr>
            <w:tcW w:w="1197" w:type="dxa"/>
            <w:vAlign w:val="center"/>
          </w:tcPr>
          <w:p w:rsidR="00A46313" w:rsidRDefault="00125795">
            <w:pPr>
              <w:jc w:val="right"/>
            </w:pPr>
            <w:r>
              <w:rPr>
                <w:color w:val="000000"/>
                <w:szCs w:val="21"/>
              </w:rPr>
              <w:t>2.31%</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平安证券有限责任公司</w:t>
            </w:r>
          </w:p>
        </w:tc>
        <w:tc>
          <w:tcPr>
            <w:tcW w:w="1319" w:type="dxa"/>
            <w:vAlign w:val="center"/>
          </w:tcPr>
          <w:p w:rsidR="00A46313" w:rsidRDefault="00125795">
            <w:pPr>
              <w:jc w:val="right"/>
            </w:pPr>
            <w:r>
              <w:rPr>
                <w:color w:val="000000"/>
                <w:szCs w:val="21"/>
              </w:rPr>
              <w:t>1,125,195.98</w:t>
            </w:r>
          </w:p>
        </w:tc>
        <w:tc>
          <w:tcPr>
            <w:tcW w:w="1080" w:type="dxa"/>
            <w:vAlign w:val="center"/>
          </w:tcPr>
          <w:p w:rsidR="00A46313" w:rsidRDefault="00125795">
            <w:pPr>
              <w:jc w:val="right"/>
            </w:pPr>
            <w:r>
              <w:rPr>
                <w:color w:val="000000"/>
                <w:szCs w:val="21"/>
              </w:rPr>
              <w:t>0.09%</w:t>
            </w:r>
          </w:p>
        </w:tc>
        <w:tc>
          <w:tcPr>
            <w:tcW w:w="1143" w:type="dxa"/>
            <w:vAlign w:val="center"/>
          </w:tcPr>
          <w:p w:rsidR="00A46313" w:rsidRDefault="00125795">
            <w:pPr>
              <w:jc w:val="right"/>
            </w:pPr>
            <w:r>
              <w:rPr>
                <w:color w:val="000000"/>
                <w:szCs w:val="21"/>
              </w:rPr>
              <w:t>190,000,000.00</w:t>
            </w:r>
          </w:p>
        </w:tc>
        <w:tc>
          <w:tcPr>
            <w:tcW w:w="1197" w:type="dxa"/>
            <w:vAlign w:val="center"/>
          </w:tcPr>
          <w:p w:rsidR="00A46313" w:rsidRDefault="00125795">
            <w:pPr>
              <w:jc w:val="right"/>
            </w:pPr>
            <w:r>
              <w:rPr>
                <w:color w:val="000000"/>
                <w:szCs w:val="21"/>
              </w:rPr>
              <w:t>1.13%</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中银国际证券有限责任公司</w:t>
            </w:r>
          </w:p>
        </w:tc>
        <w:tc>
          <w:tcPr>
            <w:tcW w:w="1319" w:type="dxa"/>
            <w:vAlign w:val="center"/>
          </w:tcPr>
          <w:p w:rsidR="00A46313" w:rsidRDefault="00125795">
            <w:pPr>
              <w:jc w:val="right"/>
            </w:pPr>
            <w:r>
              <w:rPr>
                <w:color w:val="000000"/>
                <w:szCs w:val="21"/>
              </w:rPr>
              <w:t>110,683,340.64</w:t>
            </w:r>
          </w:p>
        </w:tc>
        <w:tc>
          <w:tcPr>
            <w:tcW w:w="1080" w:type="dxa"/>
            <w:vAlign w:val="center"/>
          </w:tcPr>
          <w:p w:rsidR="00A46313" w:rsidRDefault="00125795">
            <w:pPr>
              <w:jc w:val="right"/>
            </w:pPr>
            <w:r>
              <w:rPr>
                <w:color w:val="000000"/>
                <w:szCs w:val="21"/>
              </w:rPr>
              <w:t>9.32%</w:t>
            </w:r>
          </w:p>
        </w:tc>
        <w:tc>
          <w:tcPr>
            <w:tcW w:w="1143" w:type="dxa"/>
            <w:vAlign w:val="center"/>
          </w:tcPr>
          <w:p w:rsidR="00A46313" w:rsidRDefault="00125795">
            <w:pPr>
              <w:jc w:val="right"/>
            </w:pPr>
            <w:r>
              <w:rPr>
                <w:color w:val="000000"/>
                <w:szCs w:val="21"/>
              </w:rPr>
              <w:t>285,000,000.00</w:t>
            </w:r>
          </w:p>
        </w:tc>
        <w:tc>
          <w:tcPr>
            <w:tcW w:w="1197" w:type="dxa"/>
            <w:vAlign w:val="center"/>
          </w:tcPr>
          <w:p w:rsidR="00A46313" w:rsidRDefault="00125795">
            <w:pPr>
              <w:jc w:val="right"/>
            </w:pPr>
            <w:r>
              <w:rPr>
                <w:color w:val="000000"/>
                <w:szCs w:val="21"/>
              </w:rPr>
              <w:t>1.70%</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北京高华证券有限责任公司</w:t>
            </w:r>
          </w:p>
        </w:tc>
        <w:tc>
          <w:tcPr>
            <w:tcW w:w="1319"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143" w:type="dxa"/>
            <w:vAlign w:val="center"/>
          </w:tcPr>
          <w:p w:rsidR="00A46313" w:rsidRDefault="00125795">
            <w:pPr>
              <w:jc w:val="right"/>
            </w:pPr>
            <w:r>
              <w:rPr>
                <w:color w:val="000000"/>
                <w:szCs w:val="21"/>
              </w:rPr>
              <w:t>1,236,000,000.00</w:t>
            </w:r>
          </w:p>
        </w:tc>
        <w:tc>
          <w:tcPr>
            <w:tcW w:w="1197" w:type="dxa"/>
            <w:vAlign w:val="center"/>
          </w:tcPr>
          <w:p w:rsidR="00A46313" w:rsidRDefault="00125795">
            <w:pPr>
              <w:jc w:val="right"/>
            </w:pPr>
            <w:r>
              <w:rPr>
                <w:color w:val="000000"/>
                <w:szCs w:val="21"/>
              </w:rPr>
              <w:t>7.36%</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中国中投证券有限责任公司</w:t>
            </w:r>
          </w:p>
        </w:tc>
        <w:tc>
          <w:tcPr>
            <w:tcW w:w="1319"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143" w:type="dxa"/>
            <w:vAlign w:val="center"/>
          </w:tcPr>
          <w:p w:rsidR="00A46313" w:rsidRDefault="00125795">
            <w:pPr>
              <w:jc w:val="right"/>
            </w:pPr>
            <w:r>
              <w:rPr>
                <w:color w:val="000000"/>
                <w:szCs w:val="21"/>
              </w:rPr>
              <w:t>490,000,000.00</w:t>
            </w:r>
          </w:p>
        </w:tc>
        <w:tc>
          <w:tcPr>
            <w:tcW w:w="1197" w:type="dxa"/>
            <w:vAlign w:val="center"/>
          </w:tcPr>
          <w:p w:rsidR="00A46313" w:rsidRDefault="00125795">
            <w:pPr>
              <w:jc w:val="right"/>
            </w:pPr>
            <w:r>
              <w:rPr>
                <w:color w:val="000000"/>
                <w:szCs w:val="21"/>
              </w:rPr>
              <w:t>2.92%</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中国国际金融有限公司</w:t>
            </w:r>
          </w:p>
        </w:tc>
        <w:tc>
          <w:tcPr>
            <w:tcW w:w="1319"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143" w:type="dxa"/>
            <w:vAlign w:val="center"/>
          </w:tcPr>
          <w:p w:rsidR="00A46313" w:rsidRDefault="00125795">
            <w:pPr>
              <w:jc w:val="right"/>
            </w:pPr>
            <w:r>
              <w:rPr>
                <w:color w:val="000000"/>
                <w:szCs w:val="21"/>
              </w:rPr>
              <w:t>90,000,000.00</w:t>
            </w:r>
          </w:p>
        </w:tc>
        <w:tc>
          <w:tcPr>
            <w:tcW w:w="1197" w:type="dxa"/>
            <w:vAlign w:val="center"/>
          </w:tcPr>
          <w:p w:rsidR="00A46313" w:rsidRDefault="00125795">
            <w:pPr>
              <w:jc w:val="right"/>
            </w:pPr>
            <w:r>
              <w:rPr>
                <w:color w:val="000000"/>
                <w:szCs w:val="21"/>
              </w:rPr>
              <w:t>0.54%</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中信建投证券股份有限公司</w:t>
            </w:r>
          </w:p>
        </w:tc>
        <w:tc>
          <w:tcPr>
            <w:tcW w:w="1319"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143" w:type="dxa"/>
            <w:vAlign w:val="center"/>
          </w:tcPr>
          <w:p w:rsidR="00A46313" w:rsidRDefault="00125795">
            <w:pPr>
              <w:jc w:val="right"/>
            </w:pPr>
            <w:r>
              <w:rPr>
                <w:color w:val="000000"/>
                <w:szCs w:val="21"/>
              </w:rPr>
              <w:t>122,000,000.00</w:t>
            </w:r>
          </w:p>
        </w:tc>
        <w:tc>
          <w:tcPr>
            <w:tcW w:w="1197" w:type="dxa"/>
            <w:vAlign w:val="center"/>
          </w:tcPr>
          <w:p w:rsidR="00A46313" w:rsidRDefault="00125795">
            <w:pPr>
              <w:jc w:val="right"/>
            </w:pPr>
            <w:r>
              <w:rPr>
                <w:color w:val="000000"/>
                <w:szCs w:val="21"/>
              </w:rPr>
              <w:t>0.73%</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r w:rsidR="00A46313">
        <w:tc>
          <w:tcPr>
            <w:tcW w:w="1559" w:type="dxa"/>
            <w:vAlign w:val="center"/>
          </w:tcPr>
          <w:p w:rsidR="00A46313" w:rsidRDefault="00125795">
            <w:pPr>
              <w:jc w:val="left"/>
            </w:pPr>
            <w:r>
              <w:rPr>
                <w:color w:val="000000"/>
                <w:szCs w:val="21"/>
              </w:rPr>
              <w:t>中泰证券股份有限公司</w:t>
            </w:r>
          </w:p>
        </w:tc>
        <w:tc>
          <w:tcPr>
            <w:tcW w:w="1319" w:type="dxa"/>
            <w:vAlign w:val="center"/>
          </w:tcPr>
          <w:p w:rsidR="00A46313" w:rsidRDefault="00125795">
            <w:pPr>
              <w:jc w:val="right"/>
            </w:pPr>
            <w:r>
              <w:rPr>
                <w:color w:val="000000"/>
                <w:szCs w:val="21"/>
              </w:rPr>
              <w:t>-</w:t>
            </w:r>
          </w:p>
        </w:tc>
        <w:tc>
          <w:tcPr>
            <w:tcW w:w="1080" w:type="dxa"/>
            <w:vAlign w:val="center"/>
          </w:tcPr>
          <w:p w:rsidR="00A46313" w:rsidRDefault="00125795">
            <w:pPr>
              <w:jc w:val="right"/>
            </w:pPr>
            <w:r>
              <w:rPr>
                <w:color w:val="000000"/>
                <w:szCs w:val="21"/>
              </w:rPr>
              <w:t>-</w:t>
            </w:r>
          </w:p>
        </w:tc>
        <w:tc>
          <w:tcPr>
            <w:tcW w:w="1143" w:type="dxa"/>
            <w:vAlign w:val="center"/>
          </w:tcPr>
          <w:p w:rsidR="00A46313" w:rsidRDefault="00125795">
            <w:pPr>
              <w:jc w:val="right"/>
            </w:pPr>
            <w:r>
              <w:rPr>
                <w:color w:val="000000"/>
                <w:szCs w:val="21"/>
              </w:rPr>
              <w:t>30,000,000.00</w:t>
            </w:r>
          </w:p>
        </w:tc>
        <w:tc>
          <w:tcPr>
            <w:tcW w:w="1197" w:type="dxa"/>
            <w:vAlign w:val="center"/>
          </w:tcPr>
          <w:p w:rsidR="00A46313" w:rsidRDefault="00125795">
            <w:pPr>
              <w:jc w:val="right"/>
            </w:pPr>
            <w:r>
              <w:rPr>
                <w:color w:val="000000"/>
                <w:szCs w:val="21"/>
              </w:rPr>
              <w:t>0.18%</w:t>
            </w:r>
          </w:p>
        </w:tc>
        <w:tc>
          <w:tcPr>
            <w:tcW w:w="1497" w:type="dxa"/>
            <w:vAlign w:val="center"/>
          </w:tcPr>
          <w:p w:rsidR="00A46313" w:rsidRDefault="00125795">
            <w:pPr>
              <w:jc w:val="right"/>
            </w:pPr>
            <w:r>
              <w:rPr>
                <w:color w:val="000000"/>
                <w:szCs w:val="21"/>
              </w:rPr>
              <w:t>-</w:t>
            </w:r>
          </w:p>
        </w:tc>
        <w:tc>
          <w:tcPr>
            <w:tcW w:w="1203" w:type="dxa"/>
            <w:vAlign w:val="center"/>
          </w:tcPr>
          <w:p w:rsidR="00A46313" w:rsidRDefault="00125795">
            <w:pPr>
              <w:jc w:val="right"/>
            </w:pPr>
            <w:r>
              <w:rPr>
                <w:color w:val="000000"/>
                <w:szCs w:val="21"/>
              </w:rPr>
              <w:t>-</w:t>
            </w:r>
          </w:p>
        </w:tc>
      </w:tr>
    </w:tbl>
    <w:p w:rsidR="00A46313" w:rsidRDefault="00125795">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、报告期内，本基金除中信证券股份有限公司、中银国际证券有限责任公司外，其余交易单元均为新增交易单元；</w:t>
      </w:r>
    </w:p>
    <w:p w:rsidR="00A46313" w:rsidRDefault="00125795">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6E344B" w:rsidRPr="000A766F" w:rsidRDefault="006E344B" w:rsidP="000A766F">
      <w:pPr>
        <w:tabs>
          <w:tab w:val="left" w:pos="426"/>
        </w:tabs>
        <w:spacing w:before="29" w:line="288" w:lineRule="auto"/>
        <w:jc w:val="left"/>
        <w:rPr>
          <w:kern w:val="0"/>
          <w:sz w:val="24"/>
        </w:rPr>
      </w:pPr>
      <w:r w:rsidRPr="000A766F">
        <w:rPr>
          <w:kern w:val="0"/>
          <w:sz w:val="24"/>
        </w:rPr>
        <w:t xml:space="preserve">    3</w:t>
      </w:r>
      <w:r w:rsidRPr="000A766F">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4211FD" w:rsidRDefault="001A59F9" w:rsidP="004211FD">
      <w:pPr>
        <w:pStyle w:val="20"/>
        <w:spacing w:before="29" w:after="0" w:line="288" w:lineRule="auto"/>
        <w:rPr>
          <w:b w:val="0"/>
          <w:kern w:val="0"/>
        </w:rPr>
      </w:pPr>
      <w:bookmarkStart w:id="183" w:name="_Toc361324901"/>
      <w:bookmarkStart w:id="184" w:name="_Toc478236569"/>
      <w:r w:rsidRPr="004211FD">
        <w:rPr>
          <w:rFonts w:ascii="Times New Roman" w:hAnsi="Times New Roman"/>
          <w:kern w:val="0"/>
          <w:szCs w:val="24"/>
        </w:rPr>
        <w:t>11.8</w:t>
      </w:r>
      <w:r w:rsidR="009153A3" w:rsidRPr="004211FD">
        <w:rPr>
          <w:rFonts w:ascii="Times New Roman" w:hAnsi="Times New Roman"/>
          <w:kern w:val="0"/>
          <w:szCs w:val="24"/>
        </w:rPr>
        <w:t xml:space="preserve"> </w:t>
      </w:r>
      <w:r w:rsidRPr="004211FD">
        <w:rPr>
          <w:rFonts w:ascii="Times New Roman" w:hAnsi="Times New Roman" w:hint="eastAsia"/>
          <w:kern w:val="0"/>
          <w:szCs w:val="24"/>
        </w:rPr>
        <w:t>其他重大事件</w:t>
      </w:r>
      <w:bookmarkEnd w:id="183"/>
      <w:bookmarkEnd w:id="18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A46313">
        <w:tc>
          <w:tcPr>
            <w:tcW w:w="720" w:type="dxa"/>
            <w:vAlign w:val="center"/>
          </w:tcPr>
          <w:p w:rsidR="00A46313" w:rsidRDefault="00125795">
            <w:pPr>
              <w:jc w:val="center"/>
            </w:pPr>
            <w:r>
              <w:rPr>
                <w:color w:val="000000"/>
                <w:sz w:val="24"/>
              </w:rPr>
              <w:t>1</w:t>
            </w:r>
          </w:p>
        </w:tc>
        <w:tc>
          <w:tcPr>
            <w:tcW w:w="4320" w:type="dxa"/>
            <w:vAlign w:val="center"/>
          </w:tcPr>
          <w:p w:rsidR="00A46313" w:rsidRDefault="00125795">
            <w:pPr>
              <w:jc w:val="left"/>
            </w:pPr>
            <w:r>
              <w:rPr>
                <w:color w:val="000000"/>
                <w:sz w:val="24"/>
              </w:rPr>
              <w:t>交银施罗德基金管理有限公司关于旗下基金在指数熔断期间调整开放时间的补充公告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2016-01-06</w:t>
            </w:r>
          </w:p>
        </w:tc>
      </w:tr>
      <w:tr w:rsidR="00A46313">
        <w:tc>
          <w:tcPr>
            <w:tcW w:w="720" w:type="dxa"/>
            <w:vAlign w:val="center"/>
          </w:tcPr>
          <w:p w:rsidR="00A46313" w:rsidRDefault="00125795">
            <w:pPr>
              <w:jc w:val="center"/>
            </w:pPr>
            <w:r>
              <w:rPr>
                <w:color w:val="000000"/>
                <w:sz w:val="24"/>
              </w:rPr>
              <w:t>2</w:t>
            </w:r>
          </w:p>
        </w:tc>
        <w:tc>
          <w:tcPr>
            <w:tcW w:w="4320" w:type="dxa"/>
            <w:vAlign w:val="center"/>
          </w:tcPr>
          <w:p w:rsidR="00A46313" w:rsidRDefault="00125795">
            <w:pPr>
              <w:jc w:val="left"/>
            </w:pPr>
            <w:r>
              <w:rPr>
                <w:color w:val="000000"/>
                <w:sz w:val="24"/>
              </w:rPr>
              <w:t>交银施罗德基金管理有限公司关于交银施罗德增利债券证券投资基金分红的公告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2016-01-11</w:t>
            </w:r>
          </w:p>
        </w:tc>
      </w:tr>
      <w:tr w:rsidR="00A46313">
        <w:tc>
          <w:tcPr>
            <w:tcW w:w="720" w:type="dxa"/>
            <w:vAlign w:val="center"/>
          </w:tcPr>
          <w:p w:rsidR="00A46313" w:rsidRDefault="00125795">
            <w:pPr>
              <w:jc w:val="center"/>
            </w:pPr>
            <w:r>
              <w:rPr>
                <w:color w:val="000000"/>
                <w:sz w:val="24"/>
              </w:rPr>
              <w:t>3</w:t>
            </w:r>
          </w:p>
        </w:tc>
        <w:tc>
          <w:tcPr>
            <w:tcW w:w="4320" w:type="dxa"/>
            <w:vAlign w:val="center"/>
          </w:tcPr>
          <w:p w:rsidR="00A46313" w:rsidRDefault="00125795">
            <w:pPr>
              <w:jc w:val="left"/>
            </w:pPr>
            <w:r>
              <w:rPr>
                <w:color w:val="000000"/>
                <w:sz w:val="24"/>
              </w:rPr>
              <w:t>交银施罗德基金管理有限公司关于增加大泰金石投资管理有限公司为旗下部分基金的场外销售机构并参与电子交易平台基金前端申购费率优惠活动的公告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2016-01-15</w:t>
            </w:r>
          </w:p>
        </w:tc>
      </w:tr>
      <w:tr w:rsidR="00A46313">
        <w:tc>
          <w:tcPr>
            <w:tcW w:w="720" w:type="dxa"/>
            <w:vAlign w:val="center"/>
          </w:tcPr>
          <w:p w:rsidR="00A46313" w:rsidRDefault="00125795">
            <w:pPr>
              <w:jc w:val="center"/>
            </w:pPr>
            <w:r>
              <w:rPr>
                <w:color w:val="000000"/>
                <w:sz w:val="24"/>
              </w:rPr>
              <w:t>4</w:t>
            </w:r>
          </w:p>
        </w:tc>
        <w:tc>
          <w:tcPr>
            <w:tcW w:w="4320" w:type="dxa"/>
            <w:vAlign w:val="center"/>
          </w:tcPr>
          <w:p w:rsidR="00A46313" w:rsidRDefault="00125795">
            <w:pPr>
              <w:jc w:val="left"/>
            </w:pPr>
            <w:r>
              <w:rPr>
                <w:color w:val="000000"/>
                <w:sz w:val="24"/>
              </w:rPr>
              <w:t>交银施罗德增利债券证券投资基金</w:t>
            </w:r>
            <w:r>
              <w:rPr>
                <w:color w:val="000000"/>
                <w:sz w:val="24"/>
              </w:rPr>
              <w:t>2015</w:t>
            </w:r>
            <w:r>
              <w:rPr>
                <w:color w:val="000000"/>
                <w:sz w:val="24"/>
              </w:rPr>
              <w:t>年第</w:t>
            </w:r>
            <w:r>
              <w:rPr>
                <w:color w:val="000000"/>
                <w:sz w:val="24"/>
              </w:rPr>
              <w:t>4</w:t>
            </w:r>
            <w:r>
              <w:rPr>
                <w:color w:val="000000"/>
                <w:sz w:val="24"/>
              </w:rPr>
              <w:t>季度报告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2016-01-21</w:t>
            </w:r>
          </w:p>
        </w:tc>
      </w:tr>
      <w:tr w:rsidR="00A46313">
        <w:tc>
          <w:tcPr>
            <w:tcW w:w="720" w:type="dxa"/>
            <w:vAlign w:val="center"/>
          </w:tcPr>
          <w:p w:rsidR="00A46313" w:rsidRDefault="00125795">
            <w:pPr>
              <w:jc w:val="center"/>
            </w:pPr>
            <w:r>
              <w:rPr>
                <w:color w:val="000000"/>
                <w:sz w:val="24"/>
              </w:rPr>
              <w:lastRenderedPageBreak/>
              <w:t>5</w:t>
            </w:r>
          </w:p>
        </w:tc>
        <w:tc>
          <w:tcPr>
            <w:tcW w:w="4320" w:type="dxa"/>
            <w:vAlign w:val="center"/>
          </w:tcPr>
          <w:p w:rsidR="00A46313" w:rsidRDefault="00125795">
            <w:pPr>
              <w:jc w:val="left"/>
            </w:pPr>
            <w:r>
              <w:rPr>
                <w:color w:val="000000"/>
                <w:sz w:val="24"/>
              </w:rPr>
              <w:t>交银施罗德基金管理有限公司关于交银施罗德增利债券证券投资基金于</w:t>
            </w:r>
            <w:r>
              <w:rPr>
                <w:color w:val="000000"/>
                <w:sz w:val="24"/>
              </w:rPr>
              <w:t>2016</w:t>
            </w:r>
            <w:r>
              <w:rPr>
                <w:color w:val="000000"/>
                <w:sz w:val="24"/>
              </w:rPr>
              <w:t>年</w:t>
            </w:r>
            <w:r>
              <w:rPr>
                <w:color w:val="000000"/>
                <w:sz w:val="24"/>
              </w:rPr>
              <w:t>“</w:t>
            </w:r>
            <w:r>
              <w:rPr>
                <w:color w:val="000000"/>
                <w:sz w:val="24"/>
              </w:rPr>
              <w:t>春节</w:t>
            </w:r>
            <w:r>
              <w:rPr>
                <w:color w:val="000000"/>
                <w:sz w:val="24"/>
              </w:rPr>
              <w:t>”</w:t>
            </w:r>
            <w:r>
              <w:rPr>
                <w:color w:val="000000"/>
                <w:sz w:val="24"/>
              </w:rPr>
              <w:t>假期前暂停及节后恢复大额申购（转换转入、定期定额投资）公告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2016-02-02</w:t>
            </w:r>
          </w:p>
        </w:tc>
      </w:tr>
      <w:tr w:rsidR="00A46313">
        <w:tc>
          <w:tcPr>
            <w:tcW w:w="720" w:type="dxa"/>
            <w:vAlign w:val="center"/>
          </w:tcPr>
          <w:p w:rsidR="00A46313" w:rsidRDefault="00125795">
            <w:pPr>
              <w:jc w:val="center"/>
            </w:pPr>
            <w:r>
              <w:rPr>
                <w:color w:val="000000"/>
                <w:sz w:val="24"/>
              </w:rPr>
              <w:t>6</w:t>
            </w:r>
          </w:p>
        </w:tc>
        <w:tc>
          <w:tcPr>
            <w:tcW w:w="4320" w:type="dxa"/>
            <w:vAlign w:val="center"/>
          </w:tcPr>
          <w:p w:rsidR="00A46313" w:rsidRDefault="00125795">
            <w:pPr>
              <w:jc w:val="left"/>
            </w:pPr>
            <w:r>
              <w:rPr>
                <w:color w:val="000000"/>
                <w:sz w:val="24"/>
              </w:rPr>
              <w:t>交银施罗德基金管理有限公司关于调整投资者场外投资旗下部分基金单笔最低赎回份额限制的公告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2016-03-25</w:t>
            </w:r>
          </w:p>
        </w:tc>
      </w:tr>
      <w:tr w:rsidR="00A46313">
        <w:tc>
          <w:tcPr>
            <w:tcW w:w="720" w:type="dxa"/>
            <w:vAlign w:val="center"/>
          </w:tcPr>
          <w:p w:rsidR="00A46313" w:rsidRDefault="00125795">
            <w:pPr>
              <w:jc w:val="center"/>
            </w:pPr>
            <w:r>
              <w:rPr>
                <w:color w:val="000000"/>
                <w:sz w:val="24"/>
              </w:rPr>
              <w:t>7</w:t>
            </w:r>
          </w:p>
        </w:tc>
        <w:tc>
          <w:tcPr>
            <w:tcW w:w="4320" w:type="dxa"/>
            <w:vAlign w:val="center"/>
          </w:tcPr>
          <w:p w:rsidR="00A46313" w:rsidRDefault="00125795">
            <w:pPr>
              <w:jc w:val="left"/>
            </w:pPr>
            <w:r>
              <w:rPr>
                <w:color w:val="000000"/>
                <w:sz w:val="24"/>
              </w:rPr>
              <w:t>交银施罗德增利债券证券投资基金</w:t>
            </w:r>
            <w:r>
              <w:rPr>
                <w:color w:val="000000"/>
                <w:sz w:val="24"/>
              </w:rPr>
              <w:t>2015</w:t>
            </w:r>
            <w:r>
              <w:rPr>
                <w:color w:val="000000"/>
                <w:sz w:val="24"/>
              </w:rPr>
              <w:t>年年度报告摘要</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2016-03-29</w:t>
            </w:r>
          </w:p>
        </w:tc>
      </w:tr>
      <w:tr w:rsidR="00A46313">
        <w:tc>
          <w:tcPr>
            <w:tcW w:w="720" w:type="dxa"/>
            <w:vAlign w:val="center"/>
          </w:tcPr>
          <w:p w:rsidR="00A46313" w:rsidRDefault="00125795">
            <w:pPr>
              <w:jc w:val="center"/>
            </w:pPr>
            <w:r>
              <w:rPr>
                <w:color w:val="000000"/>
                <w:sz w:val="24"/>
              </w:rPr>
              <w:t>8</w:t>
            </w:r>
          </w:p>
        </w:tc>
        <w:tc>
          <w:tcPr>
            <w:tcW w:w="4320" w:type="dxa"/>
            <w:vAlign w:val="center"/>
          </w:tcPr>
          <w:p w:rsidR="00A46313" w:rsidRDefault="00125795">
            <w:pPr>
              <w:jc w:val="left"/>
            </w:pPr>
            <w:r>
              <w:rPr>
                <w:color w:val="000000"/>
                <w:sz w:val="24"/>
              </w:rPr>
              <w:t>交银施罗德增利债券证券投资基金</w:t>
            </w:r>
            <w:r>
              <w:rPr>
                <w:color w:val="000000"/>
                <w:sz w:val="24"/>
              </w:rPr>
              <w:t>2016</w:t>
            </w:r>
            <w:r>
              <w:rPr>
                <w:color w:val="000000"/>
                <w:sz w:val="24"/>
              </w:rPr>
              <w:t>年第</w:t>
            </w:r>
            <w:r>
              <w:rPr>
                <w:color w:val="000000"/>
                <w:sz w:val="24"/>
              </w:rPr>
              <w:t>1</w:t>
            </w:r>
            <w:r>
              <w:rPr>
                <w:color w:val="000000"/>
                <w:sz w:val="24"/>
              </w:rPr>
              <w:t>季度报告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2016-04-20</w:t>
            </w:r>
          </w:p>
        </w:tc>
      </w:tr>
      <w:tr w:rsidR="00A46313">
        <w:tc>
          <w:tcPr>
            <w:tcW w:w="720" w:type="dxa"/>
            <w:vAlign w:val="center"/>
          </w:tcPr>
          <w:p w:rsidR="00A46313" w:rsidRDefault="00125795">
            <w:pPr>
              <w:jc w:val="center"/>
            </w:pPr>
            <w:r>
              <w:rPr>
                <w:color w:val="000000"/>
                <w:sz w:val="24"/>
              </w:rPr>
              <w:t>9</w:t>
            </w:r>
          </w:p>
        </w:tc>
        <w:tc>
          <w:tcPr>
            <w:tcW w:w="4320" w:type="dxa"/>
            <w:vAlign w:val="center"/>
          </w:tcPr>
          <w:p w:rsidR="00A46313" w:rsidRDefault="00125795">
            <w:pPr>
              <w:jc w:val="left"/>
            </w:pPr>
            <w:r>
              <w:rPr>
                <w:color w:val="000000"/>
                <w:sz w:val="24"/>
              </w:rPr>
              <w:t>交银施罗德基金管理有限公司关于网上直销交易平台关闭支付宝基金网上支付服务的公告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2016-05-10</w:t>
            </w:r>
          </w:p>
        </w:tc>
      </w:tr>
      <w:tr w:rsidR="00A46313">
        <w:tc>
          <w:tcPr>
            <w:tcW w:w="720" w:type="dxa"/>
            <w:vAlign w:val="center"/>
          </w:tcPr>
          <w:p w:rsidR="00A46313" w:rsidRDefault="00125795">
            <w:pPr>
              <w:jc w:val="center"/>
            </w:pPr>
            <w:r>
              <w:rPr>
                <w:color w:val="000000"/>
                <w:sz w:val="24"/>
              </w:rPr>
              <w:t>10</w:t>
            </w:r>
          </w:p>
        </w:tc>
        <w:tc>
          <w:tcPr>
            <w:tcW w:w="4320" w:type="dxa"/>
            <w:vAlign w:val="center"/>
          </w:tcPr>
          <w:p w:rsidR="00A46313" w:rsidRDefault="00125795">
            <w:pPr>
              <w:jc w:val="left"/>
            </w:pPr>
            <w:r>
              <w:rPr>
                <w:color w:val="000000"/>
                <w:sz w:val="24"/>
              </w:rPr>
              <w:t>交银施罗德增利债券证券投资基金（更新）招募说明书摘要（</w:t>
            </w:r>
            <w:r>
              <w:rPr>
                <w:color w:val="000000"/>
                <w:sz w:val="24"/>
              </w:rPr>
              <w:t>2016</w:t>
            </w:r>
            <w:r>
              <w:rPr>
                <w:color w:val="000000"/>
                <w:sz w:val="24"/>
              </w:rPr>
              <w:t>年第</w:t>
            </w:r>
            <w:r>
              <w:rPr>
                <w:color w:val="000000"/>
                <w:sz w:val="24"/>
              </w:rPr>
              <w:t>1</w:t>
            </w:r>
            <w:r>
              <w:rPr>
                <w:color w:val="000000"/>
                <w:sz w:val="24"/>
              </w:rPr>
              <w:t>号）</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2016-05-14</w:t>
            </w:r>
          </w:p>
        </w:tc>
      </w:tr>
      <w:tr w:rsidR="00A46313">
        <w:tc>
          <w:tcPr>
            <w:tcW w:w="720" w:type="dxa"/>
            <w:vAlign w:val="center"/>
          </w:tcPr>
          <w:p w:rsidR="00A46313" w:rsidRDefault="00125795">
            <w:pPr>
              <w:jc w:val="center"/>
            </w:pPr>
            <w:r>
              <w:rPr>
                <w:color w:val="000000"/>
                <w:sz w:val="24"/>
              </w:rPr>
              <w:t>11</w:t>
            </w:r>
          </w:p>
        </w:tc>
        <w:tc>
          <w:tcPr>
            <w:tcW w:w="4320" w:type="dxa"/>
            <w:vAlign w:val="center"/>
          </w:tcPr>
          <w:p w:rsidR="00A46313" w:rsidRDefault="00125795">
            <w:pPr>
              <w:jc w:val="left"/>
            </w:pPr>
            <w:r>
              <w:rPr>
                <w:color w:val="000000"/>
                <w:sz w:val="24"/>
              </w:rPr>
              <w:t>交银施罗德基金管理有限公司关于旗下部分基金参与中国民生银行股份有限公司直销银行</w:t>
            </w:r>
            <w:r>
              <w:rPr>
                <w:color w:val="000000"/>
                <w:sz w:val="24"/>
              </w:rPr>
              <w:t>“</w:t>
            </w:r>
            <w:r>
              <w:rPr>
                <w:color w:val="000000"/>
                <w:sz w:val="24"/>
              </w:rPr>
              <w:t>基金通</w:t>
            </w:r>
            <w:r>
              <w:rPr>
                <w:color w:val="000000"/>
                <w:sz w:val="24"/>
              </w:rPr>
              <w:t>”</w:t>
            </w:r>
            <w:r>
              <w:rPr>
                <w:color w:val="000000"/>
                <w:sz w:val="24"/>
              </w:rPr>
              <w:t>平台销售系统基金前端申购费率优惠活动的公告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2016-05-16</w:t>
            </w:r>
          </w:p>
        </w:tc>
      </w:tr>
      <w:tr w:rsidR="00A46313">
        <w:tc>
          <w:tcPr>
            <w:tcW w:w="720" w:type="dxa"/>
            <w:vAlign w:val="center"/>
          </w:tcPr>
          <w:p w:rsidR="00A46313" w:rsidRDefault="00125795">
            <w:pPr>
              <w:jc w:val="center"/>
            </w:pPr>
            <w:r>
              <w:rPr>
                <w:color w:val="000000"/>
                <w:sz w:val="24"/>
              </w:rPr>
              <w:t>12</w:t>
            </w:r>
          </w:p>
        </w:tc>
        <w:tc>
          <w:tcPr>
            <w:tcW w:w="4320" w:type="dxa"/>
            <w:vAlign w:val="center"/>
          </w:tcPr>
          <w:p w:rsidR="00A46313" w:rsidRDefault="00125795">
            <w:pPr>
              <w:jc w:val="left"/>
            </w:pPr>
            <w:r>
              <w:rPr>
                <w:color w:val="000000"/>
                <w:sz w:val="24"/>
              </w:rPr>
              <w:t>交银施罗德基金管理有限公司关于旗下部分基金参与交通银行股份有限公司基金网上银行、手机银行前端申购费率优惠活动的公告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2016-06-29</w:t>
            </w:r>
          </w:p>
        </w:tc>
      </w:tr>
      <w:tr w:rsidR="00A46313">
        <w:tc>
          <w:tcPr>
            <w:tcW w:w="720" w:type="dxa"/>
            <w:vAlign w:val="center"/>
          </w:tcPr>
          <w:p w:rsidR="00A46313" w:rsidRDefault="00125795">
            <w:pPr>
              <w:jc w:val="center"/>
            </w:pPr>
            <w:r>
              <w:rPr>
                <w:color w:val="000000"/>
                <w:sz w:val="24"/>
              </w:rPr>
              <w:t>13</w:t>
            </w:r>
          </w:p>
        </w:tc>
        <w:tc>
          <w:tcPr>
            <w:tcW w:w="4320" w:type="dxa"/>
            <w:vAlign w:val="center"/>
          </w:tcPr>
          <w:p w:rsidR="00A46313" w:rsidRDefault="00125795">
            <w:pPr>
              <w:jc w:val="left"/>
            </w:pPr>
            <w:r>
              <w:rPr>
                <w:color w:val="000000"/>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2016-06-29</w:t>
            </w:r>
          </w:p>
        </w:tc>
      </w:tr>
      <w:tr w:rsidR="00A46313">
        <w:tc>
          <w:tcPr>
            <w:tcW w:w="720" w:type="dxa"/>
            <w:vAlign w:val="center"/>
          </w:tcPr>
          <w:p w:rsidR="00A46313" w:rsidRDefault="00125795">
            <w:pPr>
              <w:jc w:val="center"/>
            </w:pPr>
            <w:r>
              <w:rPr>
                <w:color w:val="000000"/>
                <w:sz w:val="24"/>
              </w:rPr>
              <w:t>14</w:t>
            </w:r>
          </w:p>
        </w:tc>
        <w:tc>
          <w:tcPr>
            <w:tcW w:w="4320" w:type="dxa"/>
            <w:vAlign w:val="center"/>
          </w:tcPr>
          <w:p w:rsidR="00A46313" w:rsidRDefault="00125795">
            <w:pPr>
              <w:jc w:val="left"/>
            </w:pPr>
            <w:r>
              <w:rPr>
                <w:color w:val="000000"/>
                <w:sz w:val="24"/>
              </w:rPr>
              <w:t>交银施罗德基金管理有限公司关于增加北京恒天明泽基金销售有限公司为旗下部分基金的场外销售机构并参与电子交易平台基金前端申购费率优惠活动的公告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2016-07-01</w:t>
            </w:r>
          </w:p>
        </w:tc>
      </w:tr>
      <w:tr w:rsidR="00A46313">
        <w:tc>
          <w:tcPr>
            <w:tcW w:w="720" w:type="dxa"/>
            <w:vAlign w:val="center"/>
          </w:tcPr>
          <w:p w:rsidR="00A46313" w:rsidRDefault="00125795">
            <w:pPr>
              <w:jc w:val="center"/>
            </w:pPr>
            <w:r>
              <w:rPr>
                <w:color w:val="000000"/>
                <w:sz w:val="24"/>
              </w:rPr>
              <w:t>15</w:t>
            </w:r>
          </w:p>
        </w:tc>
        <w:tc>
          <w:tcPr>
            <w:tcW w:w="4320" w:type="dxa"/>
            <w:vAlign w:val="center"/>
          </w:tcPr>
          <w:p w:rsidR="00A46313" w:rsidRDefault="00125795">
            <w:pPr>
              <w:jc w:val="left"/>
            </w:pPr>
            <w:r>
              <w:rPr>
                <w:color w:val="000000"/>
                <w:sz w:val="24"/>
              </w:rPr>
              <w:t>交银施罗德基金管理有限公司关于旗下部分基金在上海陆金所资产管理有限公司开通定期定额投资业务并参与其电子交易平台基金前端申购费率优惠活动的公告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2016-07-01</w:t>
            </w:r>
          </w:p>
        </w:tc>
      </w:tr>
      <w:tr w:rsidR="00A46313">
        <w:tc>
          <w:tcPr>
            <w:tcW w:w="720" w:type="dxa"/>
            <w:vAlign w:val="center"/>
          </w:tcPr>
          <w:p w:rsidR="00A46313" w:rsidRDefault="00125795">
            <w:pPr>
              <w:jc w:val="center"/>
            </w:pPr>
            <w:r>
              <w:rPr>
                <w:color w:val="000000"/>
                <w:sz w:val="24"/>
              </w:rPr>
              <w:t>16</w:t>
            </w:r>
          </w:p>
        </w:tc>
        <w:tc>
          <w:tcPr>
            <w:tcW w:w="4320" w:type="dxa"/>
            <w:vAlign w:val="center"/>
          </w:tcPr>
          <w:p w:rsidR="00A46313" w:rsidRDefault="00125795">
            <w:pPr>
              <w:jc w:val="left"/>
            </w:pPr>
            <w:r>
              <w:rPr>
                <w:color w:val="000000"/>
                <w:sz w:val="24"/>
              </w:rPr>
              <w:t>交银施罗德增利债券证券投资基金</w:t>
            </w:r>
            <w:r>
              <w:rPr>
                <w:color w:val="000000"/>
                <w:sz w:val="24"/>
              </w:rPr>
              <w:t>2016</w:t>
            </w:r>
            <w:r>
              <w:rPr>
                <w:color w:val="000000"/>
                <w:sz w:val="24"/>
              </w:rPr>
              <w:t>年第</w:t>
            </w:r>
            <w:r>
              <w:rPr>
                <w:color w:val="000000"/>
                <w:sz w:val="24"/>
              </w:rPr>
              <w:t>2</w:t>
            </w:r>
            <w:r>
              <w:rPr>
                <w:color w:val="000000"/>
                <w:sz w:val="24"/>
              </w:rPr>
              <w:t>季度报告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2016-07-21</w:t>
            </w:r>
          </w:p>
        </w:tc>
      </w:tr>
      <w:tr w:rsidR="00A46313">
        <w:tc>
          <w:tcPr>
            <w:tcW w:w="720" w:type="dxa"/>
            <w:vAlign w:val="center"/>
          </w:tcPr>
          <w:p w:rsidR="00A46313" w:rsidRDefault="00125795">
            <w:pPr>
              <w:jc w:val="center"/>
            </w:pPr>
            <w:r>
              <w:rPr>
                <w:color w:val="000000"/>
                <w:sz w:val="24"/>
              </w:rPr>
              <w:t>17</w:t>
            </w:r>
          </w:p>
        </w:tc>
        <w:tc>
          <w:tcPr>
            <w:tcW w:w="4320" w:type="dxa"/>
            <w:vAlign w:val="center"/>
          </w:tcPr>
          <w:p w:rsidR="00A46313" w:rsidRDefault="00125795">
            <w:pPr>
              <w:jc w:val="left"/>
            </w:pPr>
            <w:r>
              <w:rPr>
                <w:color w:val="000000"/>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2016-07-22</w:t>
            </w:r>
          </w:p>
        </w:tc>
      </w:tr>
      <w:tr w:rsidR="00A46313">
        <w:tc>
          <w:tcPr>
            <w:tcW w:w="720" w:type="dxa"/>
            <w:vAlign w:val="center"/>
          </w:tcPr>
          <w:p w:rsidR="00A46313" w:rsidRDefault="00125795">
            <w:pPr>
              <w:jc w:val="center"/>
            </w:pPr>
            <w:r>
              <w:rPr>
                <w:color w:val="000000"/>
                <w:sz w:val="24"/>
              </w:rPr>
              <w:lastRenderedPageBreak/>
              <w:t>18</w:t>
            </w:r>
          </w:p>
        </w:tc>
        <w:tc>
          <w:tcPr>
            <w:tcW w:w="4320" w:type="dxa"/>
            <w:vAlign w:val="center"/>
          </w:tcPr>
          <w:p w:rsidR="00A46313" w:rsidRDefault="00125795">
            <w:pPr>
              <w:jc w:val="left"/>
            </w:pPr>
            <w:r>
              <w:rPr>
                <w:color w:val="000000"/>
                <w:sz w:val="24"/>
              </w:rPr>
              <w:t>交银施罗德基金管理有限公司关于旗下部分基金参与江苏常熟农村商业银行股份有限公司网上交易平台、手机交易平台基金申购费率、定期定额投资费率优惠活动的公告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2016-08-03</w:t>
            </w:r>
          </w:p>
        </w:tc>
      </w:tr>
      <w:tr w:rsidR="00A46313">
        <w:tc>
          <w:tcPr>
            <w:tcW w:w="720" w:type="dxa"/>
            <w:vAlign w:val="center"/>
          </w:tcPr>
          <w:p w:rsidR="00A46313" w:rsidRDefault="00125795">
            <w:pPr>
              <w:jc w:val="center"/>
            </w:pPr>
            <w:r>
              <w:rPr>
                <w:color w:val="000000"/>
                <w:sz w:val="24"/>
              </w:rPr>
              <w:t>19</w:t>
            </w:r>
          </w:p>
        </w:tc>
        <w:tc>
          <w:tcPr>
            <w:tcW w:w="4320" w:type="dxa"/>
            <w:vAlign w:val="center"/>
          </w:tcPr>
          <w:p w:rsidR="00A46313" w:rsidRDefault="00125795">
            <w:pPr>
              <w:jc w:val="left"/>
            </w:pPr>
            <w:r>
              <w:rPr>
                <w:color w:val="000000"/>
                <w:sz w:val="24"/>
              </w:rPr>
              <w:t>交银施罗德基金管理有限公司关于增加奕丰金融服务（深圳）有限公司为旗下部分基金的场外销售机构的公告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2016-08-05</w:t>
            </w:r>
          </w:p>
        </w:tc>
      </w:tr>
      <w:tr w:rsidR="00A46313">
        <w:tc>
          <w:tcPr>
            <w:tcW w:w="720" w:type="dxa"/>
            <w:vAlign w:val="center"/>
          </w:tcPr>
          <w:p w:rsidR="00A46313" w:rsidRDefault="00125795">
            <w:pPr>
              <w:jc w:val="center"/>
            </w:pPr>
            <w:r>
              <w:rPr>
                <w:color w:val="000000"/>
                <w:sz w:val="24"/>
              </w:rPr>
              <w:t>20</w:t>
            </w:r>
          </w:p>
        </w:tc>
        <w:tc>
          <w:tcPr>
            <w:tcW w:w="4320" w:type="dxa"/>
            <w:vAlign w:val="center"/>
          </w:tcPr>
          <w:p w:rsidR="00A46313" w:rsidRDefault="00125795">
            <w:pPr>
              <w:jc w:val="left"/>
            </w:pPr>
            <w:r>
              <w:rPr>
                <w:color w:val="000000"/>
                <w:sz w:val="24"/>
              </w:rPr>
              <w:t>交银施罗德基金管理有限公司关于增加浙江金观诚财富管理有限公司为旗下部分基金的场外销售机构并参与基金前端申购（含定期定额投资）费率优惠活动的公告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2016-08-19</w:t>
            </w:r>
          </w:p>
        </w:tc>
      </w:tr>
      <w:tr w:rsidR="00A46313">
        <w:tc>
          <w:tcPr>
            <w:tcW w:w="720" w:type="dxa"/>
            <w:vAlign w:val="center"/>
          </w:tcPr>
          <w:p w:rsidR="00A46313" w:rsidRDefault="00125795">
            <w:pPr>
              <w:jc w:val="center"/>
            </w:pPr>
            <w:r>
              <w:rPr>
                <w:color w:val="000000"/>
                <w:sz w:val="24"/>
              </w:rPr>
              <w:t>21</w:t>
            </w:r>
          </w:p>
        </w:tc>
        <w:tc>
          <w:tcPr>
            <w:tcW w:w="4320" w:type="dxa"/>
            <w:vAlign w:val="center"/>
          </w:tcPr>
          <w:p w:rsidR="00A46313" w:rsidRDefault="00125795">
            <w:pPr>
              <w:jc w:val="left"/>
            </w:pPr>
            <w:r>
              <w:rPr>
                <w:color w:val="000000"/>
                <w:sz w:val="24"/>
              </w:rPr>
              <w:t>交银施罗德增利债券证券投资基金</w:t>
            </w:r>
            <w:r>
              <w:rPr>
                <w:color w:val="000000"/>
                <w:sz w:val="24"/>
              </w:rPr>
              <w:t>2016</w:t>
            </w:r>
            <w:r>
              <w:rPr>
                <w:color w:val="000000"/>
                <w:sz w:val="24"/>
              </w:rPr>
              <w:t>年半年度报告摘要</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2016-08-27</w:t>
            </w:r>
          </w:p>
        </w:tc>
      </w:tr>
      <w:tr w:rsidR="00A46313">
        <w:tc>
          <w:tcPr>
            <w:tcW w:w="720" w:type="dxa"/>
            <w:vAlign w:val="center"/>
          </w:tcPr>
          <w:p w:rsidR="00A46313" w:rsidRDefault="00125795">
            <w:pPr>
              <w:jc w:val="center"/>
            </w:pPr>
            <w:r>
              <w:rPr>
                <w:color w:val="000000"/>
                <w:sz w:val="24"/>
              </w:rPr>
              <w:t>22</w:t>
            </w:r>
          </w:p>
        </w:tc>
        <w:tc>
          <w:tcPr>
            <w:tcW w:w="4320" w:type="dxa"/>
            <w:vAlign w:val="center"/>
          </w:tcPr>
          <w:p w:rsidR="00A46313" w:rsidRDefault="0012579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2016-09-20</w:t>
            </w:r>
          </w:p>
        </w:tc>
      </w:tr>
      <w:tr w:rsidR="00A46313">
        <w:tc>
          <w:tcPr>
            <w:tcW w:w="720" w:type="dxa"/>
            <w:vAlign w:val="center"/>
          </w:tcPr>
          <w:p w:rsidR="00A46313" w:rsidRDefault="00125795">
            <w:pPr>
              <w:jc w:val="center"/>
            </w:pPr>
            <w:r>
              <w:rPr>
                <w:color w:val="000000"/>
                <w:sz w:val="24"/>
              </w:rPr>
              <w:t>23</w:t>
            </w:r>
          </w:p>
        </w:tc>
        <w:tc>
          <w:tcPr>
            <w:tcW w:w="4320" w:type="dxa"/>
            <w:vAlign w:val="center"/>
          </w:tcPr>
          <w:p w:rsidR="00A46313" w:rsidRDefault="00125795">
            <w:pPr>
              <w:jc w:val="left"/>
            </w:pPr>
            <w:r>
              <w:rPr>
                <w:color w:val="000000"/>
                <w:sz w:val="24"/>
              </w:rPr>
              <w:t>交银施罗德基金管理有限公司关于交银施罗德增利债券证券投资基金分红的公告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2016-10-17</w:t>
            </w:r>
          </w:p>
        </w:tc>
      </w:tr>
      <w:tr w:rsidR="00A46313">
        <w:tc>
          <w:tcPr>
            <w:tcW w:w="720" w:type="dxa"/>
            <w:vAlign w:val="center"/>
          </w:tcPr>
          <w:p w:rsidR="00A46313" w:rsidRDefault="00125795">
            <w:pPr>
              <w:jc w:val="center"/>
            </w:pPr>
            <w:r>
              <w:rPr>
                <w:color w:val="000000"/>
                <w:sz w:val="24"/>
              </w:rPr>
              <w:t>24</w:t>
            </w:r>
          </w:p>
        </w:tc>
        <w:tc>
          <w:tcPr>
            <w:tcW w:w="4320" w:type="dxa"/>
            <w:vAlign w:val="center"/>
          </w:tcPr>
          <w:p w:rsidR="00A46313" w:rsidRDefault="00125795">
            <w:pPr>
              <w:jc w:val="left"/>
            </w:pPr>
            <w:r>
              <w:rPr>
                <w:color w:val="000000"/>
                <w:sz w:val="24"/>
              </w:rPr>
              <w:t>交银施罗德增利债券证券投资基金</w:t>
            </w:r>
            <w:r>
              <w:rPr>
                <w:color w:val="000000"/>
                <w:sz w:val="24"/>
              </w:rPr>
              <w:t>2016</w:t>
            </w:r>
            <w:r>
              <w:rPr>
                <w:color w:val="000000"/>
                <w:sz w:val="24"/>
              </w:rPr>
              <w:t>年第</w:t>
            </w:r>
            <w:r>
              <w:rPr>
                <w:color w:val="000000"/>
                <w:sz w:val="24"/>
              </w:rPr>
              <w:t>3</w:t>
            </w:r>
            <w:r>
              <w:rPr>
                <w:color w:val="000000"/>
                <w:sz w:val="24"/>
              </w:rPr>
              <w:t>季度报告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2016-10-25</w:t>
            </w:r>
          </w:p>
        </w:tc>
      </w:tr>
      <w:tr w:rsidR="00A46313">
        <w:tc>
          <w:tcPr>
            <w:tcW w:w="720" w:type="dxa"/>
            <w:vAlign w:val="center"/>
          </w:tcPr>
          <w:p w:rsidR="00A46313" w:rsidRDefault="00125795">
            <w:pPr>
              <w:jc w:val="center"/>
            </w:pPr>
            <w:r>
              <w:rPr>
                <w:color w:val="000000"/>
                <w:sz w:val="24"/>
              </w:rPr>
              <w:t>25</w:t>
            </w:r>
          </w:p>
        </w:tc>
        <w:tc>
          <w:tcPr>
            <w:tcW w:w="4320" w:type="dxa"/>
            <w:vAlign w:val="center"/>
          </w:tcPr>
          <w:p w:rsidR="00A46313" w:rsidRDefault="00125795">
            <w:pPr>
              <w:jc w:val="left"/>
            </w:pPr>
            <w:r>
              <w:rPr>
                <w:color w:val="000000"/>
                <w:sz w:val="24"/>
              </w:rPr>
              <w:t>交银施罗德基金管理有限公司关于增加北京创金启富投资管理有限公司为旗下部分基金的场外销售机构并参与其基金前端申购（含定期定额投资）费率优惠活动的公告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2016-11-02</w:t>
            </w:r>
          </w:p>
        </w:tc>
      </w:tr>
      <w:tr w:rsidR="00A46313">
        <w:tc>
          <w:tcPr>
            <w:tcW w:w="720" w:type="dxa"/>
            <w:vAlign w:val="center"/>
          </w:tcPr>
          <w:p w:rsidR="00A46313" w:rsidRDefault="00125795">
            <w:pPr>
              <w:jc w:val="center"/>
            </w:pPr>
            <w:r>
              <w:rPr>
                <w:color w:val="000000"/>
                <w:sz w:val="24"/>
              </w:rPr>
              <w:t>26</w:t>
            </w:r>
          </w:p>
        </w:tc>
        <w:tc>
          <w:tcPr>
            <w:tcW w:w="4320" w:type="dxa"/>
            <w:vAlign w:val="center"/>
          </w:tcPr>
          <w:p w:rsidR="00A46313" w:rsidRDefault="00125795">
            <w:pPr>
              <w:jc w:val="left"/>
            </w:pPr>
            <w:r>
              <w:rPr>
                <w:color w:val="000000"/>
                <w:sz w:val="24"/>
              </w:rPr>
              <w:t>交银施罗德基金管理有限公司关于增加日发资产管理（上海）有限公司为旗下部分基金的场外销售机构的公告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2016-11-09</w:t>
            </w:r>
          </w:p>
        </w:tc>
      </w:tr>
      <w:tr w:rsidR="00A46313">
        <w:tc>
          <w:tcPr>
            <w:tcW w:w="720" w:type="dxa"/>
            <w:vAlign w:val="center"/>
          </w:tcPr>
          <w:p w:rsidR="00A46313" w:rsidRDefault="00125795">
            <w:pPr>
              <w:jc w:val="center"/>
            </w:pPr>
            <w:r>
              <w:rPr>
                <w:color w:val="000000"/>
                <w:sz w:val="24"/>
              </w:rPr>
              <w:t>27</w:t>
            </w:r>
          </w:p>
        </w:tc>
        <w:tc>
          <w:tcPr>
            <w:tcW w:w="4320" w:type="dxa"/>
            <w:vAlign w:val="center"/>
          </w:tcPr>
          <w:p w:rsidR="00A46313" w:rsidRDefault="00125795">
            <w:pPr>
              <w:jc w:val="left"/>
            </w:pPr>
            <w:r>
              <w:rPr>
                <w:color w:val="000000"/>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2016-11-11</w:t>
            </w:r>
          </w:p>
        </w:tc>
      </w:tr>
      <w:tr w:rsidR="00A46313">
        <w:tc>
          <w:tcPr>
            <w:tcW w:w="720" w:type="dxa"/>
            <w:vAlign w:val="center"/>
          </w:tcPr>
          <w:p w:rsidR="00A46313" w:rsidRDefault="00125795">
            <w:pPr>
              <w:jc w:val="center"/>
            </w:pPr>
            <w:r>
              <w:rPr>
                <w:color w:val="000000"/>
                <w:sz w:val="24"/>
              </w:rPr>
              <w:t>28</w:t>
            </w:r>
          </w:p>
        </w:tc>
        <w:tc>
          <w:tcPr>
            <w:tcW w:w="4320" w:type="dxa"/>
            <w:vAlign w:val="center"/>
          </w:tcPr>
          <w:p w:rsidR="00A46313" w:rsidRDefault="00125795">
            <w:pPr>
              <w:jc w:val="left"/>
            </w:pPr>
            <w:r>
              <w:rPr>
                <w:color w:val="000000"/>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2016-11-11</w:t>
            </w:r>
          </w:p>
        </w:tc>
      </w:tr>
      <w:tr w:rsidR="00A46313">
        <w:tc>
          <w:tcPr>
            <w:tcW w:w="720" w:type="dxa"/>
            <w:vAlign w:val="center"/>
          </w:tcPr>
          <w:p w:rsidR="00A46313" w:rsidRDefault="00125795">
            <w:pPr>
              <w:jc w:val="center"/>
            </w:pPr>
            <w:r>
              <w:rPr>
                <w:color w:val="000000"/>
                <w:sz w:val="24"/>
              </w:rPr>
              <w:t>29</w:t>
            </w:r>
          </w:p>
        </w:tc>
        <w:tc>
          <w:tcPr>
            <w:tcW w:w="4320" w:type="dxa"/>
            <w:vAlign w:val="center"/>
          </w:tcPr>
          <w:p w:rsidR="00A46313" w:rsidRDefault="00125795">
            <w:pPr>
              <w:jc w:val="left"/>
            </w:pPr>
            <w:r>
              <w:rPr>
                <w:color w:val="000000"/>
                <w:sz w:val="24"/>
              </w:rPr>
              <w:t>交银施罗德增利债券证券投资基金（更新）招募说明书摘要（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2016-11-14</w:t>
            </w:r>
          </w:p>
        </w:tc>
      </w:tr>
      <w:tr w:rsidR="00A46313">
        <w:tc>
          <w:tcPr>
            <w:tcW w:w="720" w:type="dxa"/>
            <w:vAlign w:val="center"/>
          </w:tcPr>
          <w:p w:rsidR="00A46313" w:rsidRDefault="00125795">
            <w:pPr>
              <w:jc w:val="center"/>
            </w:pPr>
            <w:r>
              <w:rPr>
                <w:color w:val="000000"/>
                <w:sz w:val="24"/>
              </w:rPr>
              <w:t>30</w:t>
            </w:r>
          </w:p>
        </w:tc>
        <w:tc>
          <w:tcPr>
            <w:tcW w:w="4320" w:type="dxa"/>
            <w:vAlign w:val="center"/>
          </w:tcPr>
          <w:p w:rsidR="00A46313" w:rsidRDefault="00125795">
            <w:pPr>
              <w:jc w:val="left"/>
            </w:pPr>
            <w:r>
              <w:rPr>
                <w:color w:val="000000"/>
                <w:sz w:val="24"/>
              </w:rPr>
              <w:t>交银施罗德基金管理有限公司关于旗下</w:t>
            </w:r>
            <w:r>
              <w:rPr>
                <w:color w:val="000000"/>
                <w:sz w:val="24"/>
              </w:rPr>
              <w:lastRenderedPageBreak/>
              <w:t>部分基金参加交通银行股份有限公司手机银行基金前端申购（含定期定额投资业务）费率优惠活动的公告</w:t>
            </w:r>
          </w:p>
        </w:tc>
        <w:tc>
          <w:tcPr>
            <w:tcW w:w="2331" w:type="dxa"/>
            <w:vAlign w:val="center"/>
          </w:tcPr>
          <w:p w:rsidR="00A46313" w:rsidRDefault="00125795">
            <w:pPr>
              <w:jc w:val="center"/>
            </w:pPr>
            <w:r>
              <w:rPr>
                <w:color w:val="000000"/>
                <w:sz w:val="24"/>
              </w:rPr>
              <w:lastRenderedPageBreak/>
              <w:t>中国证券报、上海证</w:t>
            </w:r>
            <w:r>
              <w:rPr>
                <w:color w:val="000000"/>
                <w:sz w:val="24"/>
              </w:rPr>
              <w:lastRenderedPageBreak/>
              <w:t>券报、证券时报</w:t>
            </w:r>
          </w:p>
        </w:tc>
        <w:tc>
          <w:tcPr>
            <w:tcW w:w="1629" w:type="dxa"/>
            <w:vAlign w:val="center"/>
          </w:tcPr>
          <w:p w:rsidR="00A46313" w:rsidRDefault="00125795">
            <w:pPr>
              <w:jc w:val="center"/>
            </w:pPr>
            <w:r>
              <w:rPr>
                <w:color w:val="000000"/>
                <w:sz w:val="24"/>
              </w:rPr>
              <w:lastRenderedPageBreak/>
              <w:t>2016-11-29</w:t>
            </w:r>
          </w:p>
        </w:tc>
      </w:tr>
      <w:tr w:rsidR="00A46313">
        <w:tc>
          <w:tcPr>
            <w:tcW w:w="720" w:type="dxa"/>
            <w:vAlign w:val="center"/>
          </w:tcPr>
          <w:p w:rsidR="00A46313" w:rsidRDefault="00125795">
            <w:pPr>
              <w:jc w:val="center"/>
            </w:pPr>
            <w:r>
              <w:rPr>
                <w:color w:val="000000"/>
                <w:sz w:val="24"/>
              </w:rPr>
              <w:lastRenderedPageBreak/>
              <w:t>31</w:t>
            </w:r>
          </w:p>
        </w:tc>
        <w:tc>
          <w:tcPr>
            <w:tcW w:w="4320" w:type="dxa"/>
            <w:vAlign w:val="center"/>
          </w:tcPr>
          <w:p w:rsidR="00A46313" w:rsidRDefault="00125795">
            <w:pPr>
              <w:jc w:val="left"/>
            </w:pPr>
            <w:r>
              <w:rPr>
                <w:color w:val="000000"/>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2016-12-14</w:t>
            </w:r>
          </w:p>
        </w:tc>
      </w:tr>
      <w:tr w:rsidR="00A46313">
        <w:tc>
          <w:tcPr>
            <w:tcW w:w="720" w:type="dxa"/>
            <w:vAlign w:val="center"/>
          </w:tcPr>
          <w:p w:rsidR="00A46313" w:rsidRDefault="00125795">
            <w:pPr>
              <w:jc w:val="center"/>
            </w:pPr>
            <w:r>
              <w:rPr>
                <w:color w:val="000000"/>
                <w:sz w:val="24"/>
              </w:rPr>
              <w:t>32</w:t>
            </w:r>
          </w:p>
        </w:tc>
        <w:tc>
          <w:tcPr>
            <w:tcW w:w="4320" w:type="dxa"/>
            <w:vAlign w:val="center"/>
          </w:tcPr>
          <w:p w:rsidR="00A46313" w:rsidRDefault="00125795">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2016-12-22</w:t>
            </w:r>
          </w:p>
        </w:tc>
      </w:tr>
      <w:tr w:rsidR="00A46313">
        <w:tc>
          <w:tcPr>
            <w:tcW w:w="720" w:type="dxa"/>
            <w:vAlign w:val="center"/>
          </w:tcPr>
          <w:p w:rsidR="00A46313" w:rsidRDefault="00125795">
            <w:pPr>
              <w:jc w:val="center"/>
            </w:pPr>
            <w:r>
              <w:rPr>
                <w:color w:val="000000"/>
                <w:sz w:val="24"/>
              </w:rPr>
              <w:t>33</w:t>
            </w:r>
          </w:p>
        </w:tc>
        <w:tc>
          <w:tcPr>
            <w:tcW w:w="4320" w:type="dxa"/>
            <w:vAlign w:val="center"/>
          </w:tcPr>
          <w:p w:rsidR="00A46313" w:rsidRDefault="00125795">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A46313" w:rsidRDefault="00125795">
            <w:pPr>
              <w:jc w:val="center"/>
            </w:pPr>
            <w:r>
              <w:rPr>
                <w:color w:val="000000"/>
                <w:sz w:val="24"/>
              </w:rPr>
              <w:t>中国证券报、上海证券报、证券时报</w:t>
            </w:r>
          </w:p>
        </w:tc>
        <w:tc>
          <w:tcPr>
            <w:tcW w:w="1629" w:type="dxa"/>
            <w:vAlign w:val="center"/>
          </w:tcPr>
          <w:p w:rsidR="00A46313" w:rsidRDefault="00125795">
            <w:pPr>
              <w:jc w:val="center"/>
            </w:pPr>
            <w:r>
              <w:rPr>
                <w:color w:val="000000"/>
                <w:sz w:val="24"/>
              </w:rPr>
              <w:t>2016-12-30</w:t>
            </w:r>
          </w:p>
        </w:tc>
      </w:tr>
    </w:tbl>
    <w:p w:rsidR="00A77EF9" w:rsidRPr="000A766F" w:rsidRDefault="00A77EF9" w:rsidP="000A766F">
      <w:pPr>
        <w:tabs>
          <w:tab w:val="left" w:pos="426"/>
        </w:tabs>
        <w:spacing w:before="29" w:line="288" w:lineRule="auto"/>
        <w:jc w:val="left"/>
        <w:rPr>
          <w:kern w:val="0"/>
          <w:sz w:val="24"/>
        </w:rPr>
      </w:pPr>
    </w:p>
    <w:p w:rsidR="001A59F9" w:rsidRDefault="001A59F9" w:rsidP="00651650">
      <w:pPr>
        <w:pStyle w:val="1"/>
        <w:keepNext/>
        <w:keepLines/>
        <w:widowControl w:val="0"/>
        <w:spacing w:beforeLines="100" w:before="312" w:afterLines="100" w:after="312" w:line="288" w:lineRule="auto"/>
        <w:jc w:val="center"/>
        <w:rPr>
          <w:b/>
          <w:bCs/>
          <w:szCs w:val="24"/>
          <w:lang w:val="en-US"/>
        </w:rPr>
      </w:pPr>
      <w:bookmarkStart w:id="185" w:name="_Toc225500055"/>
      <w:bookmarkStart w:id="186" w:name="_Toc361324903"/>
      <w:bookmarkStart w:id="187" w:name="_Toc478236570"/>
      <w:r w:rsidRPr="00A77EF9">
        <w:rPr>
          <w:rFonts w:hint="eastAsia"/>
          <w:b/>
          <w:bCs/>
          <w:szCs w:val="24"/>
          <w:lang w:val="en-US"/>
        </w:rPr>
        <w:t>§</w:t>
      </w:r>
      <w:r w:rsidRPr="00A77EF9">
        <w:rPr>
          <w:b/>
          <w:bCs/>
          <w:szCs w:val="24"/>
          <w:lang w:val="en-US"/>
        </w:rPr>
        <w:t>12</w:t>
      </w:r>
      <w:r w:rsidR="009153A3" w:rsidRPr="00A77EF9">
        <w:rPr>
          <w:rFonts w:hint="eastAsia"/>
          <w:b/>
          <w:bCs/>
          <w:szCs w:val="24"/>
          <w:lang w:val="en-US"/>
        </w:rPr>
        <w:t xml:space="preserve">  </w:t>
      </w:r>
      <w:r w:rsidRPr="00A77EF9">
        <w:rPr>
          <w:rFonts w:hint="eastAsia"/>
          <w:b/>
          <w:bCs/>
          <w:szCs w:val="24"/>
          <w:lang w:val="en-US"/>
        </w:rPr>
        <w:t>备查文件目录</w:t>
      </w:r>
      <w:bookmarkEnd w:id="185"/>
      <w:bookmarkEnd w:id="186"/>
      <w:bookmarkEnd w:id="187"/>
    </w:p>
    <w:p w:rsidR="00DB6EA0" w:rsidRPr="00DB6EA0" w:rsidRDefault="00DB6EA0" w:rsidP="00DB6EA0"/>
    <w:p w:rsidR="001A59F9" w:rsidRPr="004211FD" w:rsidRDefault="001A59F9" w:rsidP="004211FD">
      <w:pPr>
        <w:pStyle w:val="20"/>
        <w:spacing w:before="29" w:after="0" w:line="288" w:lineRule="auto"/>
        <w:rPr>
          <w:b w:val="0"/>
          <w:bCs w:val="0"/>
          <w:kern w:val="0"/>
        </w:rPr>
      </w:pPr>
      <w:bookmarkStart w:id="188" w:name="_Toc361324904"/>
      <w:bookmarkStart w:id="189" w:name="_Toc478236571"/>
      <w:r w:rsidRPr="004211FD">
        <w:rPr>
          <w:rFonts w:ascii="Times New Roman" w:hAnsi="Times New Roman"/>
          <w:kern w:val="0"/>
          <w:szCs w:val="24"/>
        </w:rPr>
        <w:t xml:space="preserve">12.1 </w:t>
      </w:r>
      <w:r w:rsidRPr="004211FD">
        <w:rPr>
          <w:rFonts w:ascii="Times New Roman" w:hAnsi="Times New Roman" w:hint="eastAsia"/>
          <w:kern w:val="0"/>
          <w:szCs w:val="24"/>
        </w:rPr>
        <w:t>备查文件目录</w:t>
      </w:r>
      <w:bookmarkEnd w:id="188"/>
      <w:bookmarkEnd w:id="189"/>
    </w:p>
    <w:p w:rsidR="00A46313" w:rsidRDefault="00125795">
      <w:pPr>
        <w:spacing w:before="29" w:line="288" w:lineRule="auto"/>
        <w:rPr>
          <w:kern w:val="0"/>
          <w:sz w:val="24"/>
        </w:rPr>
      </w:pPr>
      <w:r>
        <w:rPr>
          <w:kern w:val="0"/>
          <w:sz w:val="24"/>
        </w:rPr>
        <w:t>1</w:t>
      </w:r>
      <w:r>
        <w:rPr>
          <w:kern w:val="0"/>
          <w:sz w:val="24"/>
        </w:rPr>
        <w:t>、中国证监会批准交银施罗德增利债券证券投资基金募集的文件；</w:t>
      </w:r>
    </w:p>
    <w:p w:rsidR="00A46313" w:rsidRDefault="00125795">
      <w:pPr>
        <w:spacing w:before="29" w:line="288" w:lineRule="auto"/>
        <w:rPr>
          <w:kern w:val="0"/>
          <w:sz w:val="24"/>
        </w:rPr>
      </w:pPr>
      <w:r>
        <w:rPr>
          <w:kern w:val="0"/>
          <w:sz w:val="24"/>
        </w:rPr>
        <w:t>2</w:t>
      </w:r>
      <w:r>
        <w:rPr>
          <w:kern w:val="0"/>
          <w:sz w:val="24"/>
        </w:rPr>
        <w:t>、《交银施罗德增利债券证券投资基金基金合同》；</w:t>
      </w:r>
    </w:p>
    <w:p w:rsidR="00A46313" w:rsidRDefault="00125795">
      <w:pPr>
        <w:spacing w:before="29" w:line="288" w:lineRule="auto"/>
        <w:rPr>
          <w:kern w:val="0"/>
          <w:sz w:val="24"/>
        </w:rPr>
      </w:pPr>
      <w:r>
        <w:rPr>
          <w:kern w:val="0"/>
          <w:sz w:val="24"/>
        </w:rPr>
        <w:t>3</w:t>
      </w:r>
      <w:r>
        <w:rPr>
          <w:kern w:val="0"/>
          <w:sz w:val="24"/>
        </w:rPr>
        <w:t>、《交银施罗德增利债券证券投资基金招募说明书》；</w:t>
      </w:r>
    </w:p>
    <w:p w:rsidR="00A46313" w:rsidRDefault="00125795">
      <w:pPr>
        <w:spacing w:before="29" w:line="288" w:lineRule="auto"/>
        <w:rPr>
          <w:kern w:val="0"/>
          <w:sz w:val="24"/>
        </w:rPr>
      </w:pPr>
      <w:r>
        <w:rPr>
          <w:kern w:val="0"/>
          <w:sz w:val="24"/>
        </w:rPr>
        <w:t>4</w:t>
      </w:r>
      <w:r>
        <w:rPr>
          <w:kern w:val="0"/>
          <w:sz w:val="24"/>
        </w:rPr>
        <w:t>、《交银施罗德增利债券证券投资基金托管协议》；</w:t>
      </w:r>
    </w:p>
    <w:p w:rsidR="00A46313" w:rsidRDefault="00125795">
      <w:pPr>
        <w:spacing w:before="29" w:line="288" w:lineRule="auto"/>
        <w:rPr>
          <w:kern w:val="0"/>
          <w:sz w:val="24"/>
        </w:rPr>
      </w:pPr>
      <w:r>
        <w:rPr>
          <w:kern w:val="0"/>
          <w:sz w:val="24"/>
        </w:rPr>
        <w:t>5</w:t>
      </w:r>
      <w:r>
        <w:rPr>
          <w:kern w:val="0"/>
          <w:sz w:val="24"/>
        </w:rPr>
        <w:t>、关于募集交银施罗德增利债券证券投资基金之法律意见书；</w:t>
      </w:r>
    </w:p>
    <w:p w:rsidR="00A46313" w:rsidRDefault="00125795">
      <w:pPr>
        <w:spacing w:before="29" w:line="288" w:lineRule="auto"/>
        <w:rPr>
          <w:kern w:val="0"/>
          <w:sz w:val="24"/>
        </w:rPr>
      </w:pPr>
      <w:r>
        <w:rPr>
          <w:kern w:val="0"/>
          <w:sz w:val="24"/>
        </w:rPr>
        <w:t>6</w:t>
      </w:r>
      <w:r>
        <w:rPr>
          <w:kern w:val="0"/>
          <w:sz w:val="24"/>
        </w:rPr>
        <w:t>、基金管理人业务资格批件、营业执照；</w:t>
      </w:r>
    </w:p>
    <w:p w:rsidR="00A46313" w:rsidRDefault="00125795">
      <w:pPr>
        <w:spacing w:before="29" w:line="288" w:lineRule="auto"/>
        <w:rPr>
          <w:kern w:val="0"/>
          <w:sz w:val="24"/>
        </w:rPr>
      </w:pPr>
      <w:r>
        <w:rPr>
          <w:kern w:val="0"/>
          <w:sz w:val="24"/>
        </w:rPr>
        <w:t>7</w:t>
      </w:r>
      <w:r>
        <w:rPr>
          <w:kern w:val="0"/>
          <w:sz w:val="24"/>
        </w:rPr>
        <w:t>、基金托管人业务资格批件、营业执照；</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、报告期内交银施罗德增利债券证券投资基金在指定报刊上各项公告的原稿。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4211FD" w:rsidRDefault="001A59F9" w:rsidP="004211FD">
      <w:pPr>
        <w:pStyle w:val="20"/>
        <w:spacing w:before="29" w:after="0" w:line="288" w:lineRule="auto"/>
        <w:rPr>
          <w:b w:val="0"/>
          <w:bCs w:val="0"/>
          <w:kern w:val="0"/>
        </w:rPr>
      </w:pPr>
      <w:bookmarkStart w:id="190" w:name="_Toc361324905"/>
      <w:bookmarkStart w:id="191" w:name="_Toc478236572"/>
      <w:r w:rsidRPr="004211FD">
        <w:rPr>
          <w:rFonts w:ascii="Times New Roman" w:hAnsi="Times New Roman"/>
          <w:kern w:val="0"/>
          <w:szCs w:val="24"/>
        </w:rPr>
        <w:t>12.2</w:t>
      </w:r>
      <w:r w:rsidR="009153A3" w:rsidRPr="004211FD">
        <w:rPr>
          <w:rFonts w:ascii="Times New Roman" w:hAnsi="Times New Roman"/>
          <w:kern w:val="0"/>
          <w:szCs w:val="24"/>
        </w:rPr>
        <w:t xml:space="preserve"> </w:t>
      </w:r>
      <w:r w:rsidRPr="004211FD">
        <w:rPr>
          <w:rFonts w:ascii="Times New Roman" w:hAnsi="Times New Roman" w:hint="eastAsia"/>
          <w:kern w:val="0"/>
          <w:szCs w:val="24"/>
        </w:rPr>
        <w:t>存放地点</w:t>
      </w:r>
      <w:bookmarkEnd w:id="190"/>
      <w:bookmarkEnd w:id="191"/>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4211FD" w:rsidRDefault="001A59F9" w:rsidP="004211FD">
      <w:pPr>
        <w:pStyle w:val="20"/>
        <w:spacing w:before="29" w:after="0" w:line="288" w:lineRule="auto"/>
        <w:rPr>
          <w:b w:val="0"/>
          <w:bCs w:val="0"/>
          <w:kern w:val="0"/>
        </w:rPr>
      </w:pPr>
      <w:bookmarkStart w:id="192" w:name="_Toc361324906"/>
      <w:bookmarkStart w:id="193" w:name="_Toc478236573"/>
      <w:r w:rsidRPr="004211FD">
        <w:rPr>
          <w:rFonts w:ascii="Times New Roman" w:hAnsi="Times New Roman"/>
          <w:kern w:val="0"/>
          <w:szCs w:val="24"/>
        </w:rPr>
        <w:t>12.3</w:t>
      </w:r>
      <w:r w:rsidR="009153A3" w:rsidRPr="004211FD">
        <w:rPr>
          <w:rFonts w:ascii="Times New Roman" w:hAnsi="Times New Roman"/>
          <w:kern w:val="0"/>
          <w:szCs w:val="24"/>
        </w:rPr>
        <w:t xml:space="preserve"> </w:t>
      </w:r>
      <w:r w:rsidRPr="004211FD">
        <w:rPr>
          <w:rFonts w:ascii="Times New Roman" w:hAnsi="Times New Roman" w:hint="eastAsia"/>
          <w:kern w:val="0"/>
          <w:szCs w:val="24"/>
        </w:rPr>
        <w:t>查阅方式</w:t>
      </w:r>
      <w:bookmarkEnd w:id="192"/>
      <w:bookmarkEnd w:id="193"/>
    </w:p>
    <w:p w:rsidR="00A46313" w:rsidRDefault="00125795">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lastRenderedPageBreak/>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二〇一七年三月二十九日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7D" w:rsidRDefault="0040137D">
      <w:r>
        <w:separator/>
      </w:r>
    </w:p>
  </w:endnote>
  <w:endnote w:type="continuationSeparator" w:id="0">
    <w:p w:rsidR="0040137D" w:rsidRDefault="0040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650" w:rsidRDefault="00651650"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51650" w:rsidRDefault="00651650"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650" w:rsidRDefault="00651650"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211FD">
      <w:rPr>
        <w:noProof/>
        <w:kern w:val="0"/>
        <w:szCs w:val="21"/>
      </w:rPr>
      <w:t>59</w:t>
    </w:r>
    <w:r>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211FD">
      <w:rPr>
        <w:noProof/>
        <w:kern w:val="0"/>
        <w:szCs w:val="21"/>
      </w:rPr>
      <w:t>59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7D" w:rsidRDefault="0040137D">
      <w:r>
        <w:separator/>
      </w:r>
    </w:p>
  </w:footnote>
  <w:footnote w:type="continuationSeparator" w:id="0">
    <w:p w:rsidR="0040137D" w:rsidRDefault="0040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650" w:rsidRPr="00C2542B" w:rsidRDefault="00651650"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57D6D"/>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2219"/>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754C"/>
    <w:rsid w:val="001004C3"/>
    <w:rsid w:val="00100C12"/>
    <w:rsid w:val="001013A8"/>
    <w:rsid w:val="00101C35"/>
    <w:rsid w:val="00101DF8"/>
    <w:rsid w:val="001025F3"/>
    <w:rsid w:val="00102CC8"/>
    <w:rsid w:val="001030B5"/>
    <w:rsid w:val="0010352B"/>
    <w:rsid w:val="0010401E"/>
    <w:rsid w:val="001049B6"/>
    <w:rsid w:val="00104DE3"/>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95"/>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13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014"/>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DCB"/>
    <w:rsid w:val="00272321"/>
    <w:rsid w:val="0027235A"/>
    <w:rsid w:val="00273720"/>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2AE"/>
    <w:rsid w:val="002B09C0"/>
    <w:rsid w:val="002B1851"/>
    <w:rsid w:val="002B27FF"/>
    <w:rsid w:val="002B2F4E"/>
    <w:rsid w:val="002B381D"/>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66F"/>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5BB"/>
    <w:rsid w:val="003338BE"/>
    <w:rsid w:val="00333D8E"/>
    <w:rsid w:val="00334B60"/>
    <w:rsid w:val="00335C87"/>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37D"/>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3B11"/>
    <w:rsid w:val="00414503"/>
    <w:rsid w:val="00414827"/>
    <w:rsid w:val="004153B3"/>
    <w:rsid w:val="00415772"/>
    <w:rsid w:val="004163FD"/>
    <w:rsid w:val="0041683D"/>
    <w:rsid w:val="00416C10"/>
    <w:rsid w:val="004175C1"/>
    <w:rsid w:val="00417976"/>
    <w:rsid w:val="00417A0E"/>
    <w:rsid w:val="0042053A"/>
    <w:rsid w:val="004211FD"/>
    <w:rsid w:val="004213D6"/>
    <w:rsid w:val="00421C75"/>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62D"/>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3EB"/>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47FAC"/>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5E8"/>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241"/>
    <w:rsid w:val="00575B68"/>
    <w:rsid w:val="00575DA6"/>
    <w:rsid w:val="00576FEE"/>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1B5"/>
    <w:rsid w:val="00585AD4"/>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C0DFA"/>
    <w:rsid w:val="005C0FF0"/>
    <w:rsid w:val="005C1282"/>
    <w:rsid w:val="005C219B"/>
    <w:rsid w:val="005C3358"/>
    <w:rsid w:val="005C3FA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1650"/>
    <w:rsid w:val="00651A3C"/>
    <w:rsid w:val="00651B78"/>
    <w:rsid w:val="00651D72"/>
    <w:rsid w:val="00652263"/>
    <w:rsid w:val="0065238F"/>
    <w:rsid w:val="00652881"/>
    <w:rsid w:val="006528B8"/>
    <w:rsid w:val="00652985"/>
    <w:rsid w:val="006533AE"/>
    <w:rsid w:val="006551AE"/>
    <w:rsid w:val="00655493"/>
    <w:rsid w:val="00655F30"/>
    <w:rsid w:val="0065694A"/>
    <w:rsid w:val="0065716F"/>
    <w:rsid w:val="00657A5B"/>
    <w:rsid w:val="006601DF"/>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22D"/>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B92"/>
    <w:rsid w:val="006B4C49"/>
    <w:rsid w:val="006B62F0"/>
    <w:rsid w:val="006B66DD"/>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19E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77D57"/>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55F6"/>
    <w:rsid w:val="00796384"/>
    <w:rsid w:val="0079659B"/>
    <w:rsid w:val="00796D4D"/>
    <w:rsid w:val="007971B8"/>
    <w:rsid w:val="00797637"/>
    <w:rsid w:val="007A0018"/>
    <w:rsid w:val="007A05A7"/>
    <w:rsid w:val="007A0ADE"/>
    <w:rsid w:val="007A1814"/>
    <w:rsid w:val="007A1B35"/>
    <w:rsid w:val="007A2A9F"/>
    <w:rsid w:val="007A3386"/>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4F2"/>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587"/>
    <w:rsid w:val="007D7845"/>
    <w:rsid w:val="007D7D70"/>
    <w:rsid w:val="007E1AA2"/>
    <w:rsid w:val="007E1EB2"/>
    <w:rsid w:val="007E1F2C"/>
    <w:rsid w:val="007E26F4"/>
    <w:rsid w:val="007E279D"/>
    <w:rsid w:val="007E2D69"/>
    <w:rsid w:val="007E3B9A"/>
    <w:rsid w:val="007E3EEF"/>
    <w:rsid w:val="007E46E8"/>
    <w:rsid w:val="007E470F"/>
    <w:rsid w:val="007E4C1F"/>
    <w:rsid w:val="007E51B6"/>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3879"/>
    <w:rsid w:val="008F3F29"/>
    <w:rsid w:val="008F4F13"/>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5D28"/>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114B9"/>
    <w:rsid w:val="00A12107"/>
    <w:rsid w:val="00A129F4"/>
    <w:rsid w:val="00A13A65"/>
    <w:rsid w:val="00A14589"/>
    <w:rsid w:val="00A148F0"/>
    <w:rsid w:val="00A14AE3"/>
    <w:rsid w:val="00A16675"/>
    <w:rsid w:val="00A16F9C"/>
    <w:rsid w:val="00A17957"/>
    <w:rsid w:val="00A20404"/>
    <w:rsid w:val="00A20843"/>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313"/>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71F"/>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0CFB"/>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55"/>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22A"/>
    <w:rsid w:val="00BE16E9"/>
    <w:rsid w:val="00BE2730"/>
    <w:rsid w:val="00BE280A"/>
    <w:rsid w:val="00BE28CE"/>
    <w:rsid w:val="00BE2A17"/>
    <w:rsid w:val="00BE31BE"/>
    <w:rsid w:val="00BE3A1D"/>
    <w:rsid w:val="00BE3B92"/>
    <w:rsid w:val="00BE41BF"/>
    <w:rsid w:val="00BE487E"/>
    <w:rsid w:val="00BE6018"/>
    <w:rsid w:val="00BE7086"/>
    <w:rsid w:val="00BE7278"/>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1F2"/>
    <w:rsid w:val="00C6184A"/>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545"/>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5FF0"/>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736"/>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1C2"/>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7C53"/>
    <w:rsid w:val="00D77E96"/>
    <w:rsid w:val="00D80618"/>
    <w:rsid w:val="00D807DF"/>
    <w:rsid w:val="00D81900"/>
    <w:rsid w:val="00D81C9A"/>
    <w:rsid w:val="00D82339"/>
    <w:rsid w:val="00D82494"/>
    <w:rsid w:val="00D826C5"/>
    <w:rsid w:val="00D82FF2"/>
    <w:rsid w:val="00D83774"/>
    <w:rsid w:val="00D83C27"/>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414"/>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1E"/>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1A15"/>
    <w:rsid w:val="00E72444"/>
    <w:rsid w:val="00E72639"/>
    <w:rsid w:val="00E73DEB"/>
    <w:rsid w:val="00E7410F"/>
    <w:rsid w:val="00E74181"/>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31C7"/>
    <w:rsid w:val="00EA46D8"/>
    <w:rsid w:val="00EA4DDC"/>
    <w:rsid w:val="00EA59DD"/>
    <w:rsid w:val="00EA6FA7"/>
    <w:rsid w:val="00EB0476"/>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5403"/>
    <w:rsid w:val="00EF55B7"/>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2F5"/>
    <w:rsid w:val="00F10B9D"/>
    <w:rsid w:val="00F10BC6"/>
    <w:rsid w:val="00F11352"/>
    <w:rsid w:val="00F11AD0"/>
    <w:rsid w:val="00F12313"/>
    <w:rsid w:val="00F13D34"/>
    <w:rsid w:val="00F1453B"/>
    <w:rsid w:val="00F14602"/>
    <w:rsid w:val="00F1498D"/>
    <w:rsid w:val="00F14DDF"/>
    <w:rsid w:val="00F152AD"/>
    <w:rsid w:val="00F15BA3"/>
    <w:rsid w:val="00F15BB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37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019"/>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1A2CF56-A003-4966-9F98-9CFDB2E6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EC27-120B-4CCA-9A43-7AB65CD3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Pages>
  <Words>7780</Words>
  <Characters>44346</Characters>
  <Application>Microsoft Office Word</Application>
  <DocSecurity>0</DocSecurity>
  <Lines>369</Lines>
  <Paragraphs>104</Paragraphs>
  <ScaleCrop>false</ScaleCrop>
  <Company/>
  <LinksUpToDate>false</LinksUpToDate>
  <CharactersWithSpaces>52022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1298</cp:revision>
  <cp:lastPrinted>2007-07-19T00:46:00Z</cp:lastPrinted>
  <dcterms:created xsi:type="dcterms:W3CDTF">2013-08-19T02:39:00Z</dcterms:created>
  <dcterms:modified xsi:type="dcterms:W3CDTF">2017-03-27T11:49:00Z</dcterms:modified>
</cp:coreProperties>
</file>