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交银施罗德货币市场证券投资基金</w:t>
      </w:r>
    </w:p>
    <w:p w:rsidR="00223DFB" w:rsidRPr="004D2C6A" w:rsidRDefault="00223DFB" w:rsidP="004D2C6A">
      <w:pPr>
        <w:spacing w:before="29" w:line="288" w:lineRule="auto"/>
        <w:jc w:val="center"/>
        <w:rPr>
          <w:b/>
          <w:sz w:val="36"/>
          <w:szCs w:val="36"/>
        </w:rPr>
      </w:pPr>
      <w:r w:rsidRPr="004D2C6A">
        <w:rPr>
          <w:rFonts w:hint="eastAsia"/>
          <w:b/>
          <w:sz w:val="36"/>
          <w:szCs w:val="36"/>
        </w:rPr>
        <w:t>2016</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2016</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基金托管人：中国农业银行股份有限公司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二〇一七年三月二十九日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headerReference w:type="default" r:id="rId8"/>
          <w:pgSz w:w="11926" w:h="15840"/>
          <w:pgMar w:top="1418" w:right="1418" w:bottom="851" w:left="1418" w:header="851" w:footer="992" w:gutter="0"/>
          <w:cols w:space="720"/>
        </w:sectPr>
      </w:pPr>
    </w:p>
    <w:p w:rsidR="00223DFB" w:rsidRDefault="00223DFB" w:rsidP="004E65B4">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中国农业银行股份有限公司</w:t>
      </w:r>
      <w:r w:rsidR="002813BD">
        <w:rPr>
          <w:rFonts w:hint="eastAsia"/>
          <w:color w:val="000000"/>
          <w:sz w:val="24"/>
        </w:rPr>
        <w:t>(</w:t>
      </w:r>
      <w:r w:rsidR="002813BD">
        <w:rPr>
          <w:rFonts w:hint="eastAsia"/>
          <w:color w:val="000000"/>
          <w:sz w:val="24"/>
        </w:rPr>
        <w:t>以下简称“中国农业银行”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2017</w:t>
      </w:r>
      <w:r w:rsidRPr="00F834A5">
        <w:rPr>
          <w:color w:val="000000"/>
          <w:sz w:val="24"/>
        </w:rPr>
        <w:t>年</w:t>
      </w:r>
      <w:r w:rsidRPr="00F834A5">
        <w:rPr>
          <w:color w:val="000000"/>
          <w:sz w:val="24"/>
        </w:rPr>
        <w:t>3</w:t>
      </w:r>
      <w:r w:rsidRPr="00F834A5">
        <w:rPr>
          <w:color w:val="000000"/>
          <w:sz w:val="24"/>
        </w:rPr>
        <w:t>月</w:t>
      </w:r>
      <w:r w:rsidRPr="00F834A5">
        <w:rPr>
          <w:color w:val="000000"/>
          <w:sz w:val="24"/>
        </w:rPr>
        <w:t>28</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2016</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4E65B4">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交银货币</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519588</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2006</w:t>
            </w:r>
            <w:r w:rsidRPr="004C79A3">
              <w:rPr>
                <w:sz w:val="24"/>
              </w:rPr>
              <w:t>年</w:t>
            </w:r>
            <w:r w:rsidRPr="004C79A3">
              <w:rPr>
                <w:sz w:val="24"/>
              </w:rPr>
              <w:t>1</w:t>
            </w:r>
            <w:r w:rsidRPr="004C79A3">
              <w:rPr>
                <w:sz w:val="24"/>
              </w:rPr>
              <w:t>月</w:t>
            </w:r>
            <w:r w:rsidRPr="004C79A3">
              <w:rPr>
                <w:sz w:val="24"/>
              </w:rPr>
              <w:t>20</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中国农业银行股份有限公司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38,286,359,472.57</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交银货币</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交银货币</w:t>
            </w:r>
            <w:r>
              <w:rPr>
                <w:rFonts w:hint="eastAsia"/>
                <w:sz w:val="24"/>
              </w:rPr>
              <w:t>B</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519588</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519589</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991,001,158.11</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37,295,358,314.46</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本基金属于货币市场基金，投资目标是在力求本金稳妥和资产充分流动性的前提下，追求超过业绩比较基准的投资收益。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六个月银行定期存款利率（税后）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本基金是具有较低风险、中低收益、流动性强的证券投资基金品种。</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中国农业银行股份有限公司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w:t>
            </w:r>
            <w:r w:rsidRPr="00F12BDA">
              <w:rPr>
                <w:rFonts w:hint="eastAsia"/>
                <w:kern w:val="0"/>
                <w:sz w:val="24"/>
              </w:rPr>
              <w:lastRenderedPageBreak/>
              <w:t>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lastRenderedPageBreak/>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孙艳</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林葛</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010-66060069</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tgxxpl@abchina.com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95599</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010-68121816</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r w:rsidRPr="007032E6">
              <w:rPr>
                <w:rFonts w:hint="eastAsia"/>
                <w:sz w:val="24"/>
              </w:rPr>
              <w:t>，</w:t>
            </w:r>
            <w:r w:rsidRPr="007032E6">
              <w:rPr>
                <w:rFonts w:hint="eastAsia"/>
                <w:sz w:val="24"/>
              </w:rPr>
              <w:t>www.bocomschroder.com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4E65B4">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274"/>
        <w:gridCol w:w="1280"/>
        <w:gridCol w:w="1278"/>
        <w:gridCol w:w="1278"/>
        <w:gridCol w:w="1374"/>
      </w:tblGrid>
      <w:tr w:rsidR="002C233F" w:rsidRPr="00AC0191" w:rsidTr="00D167B3">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2016</w:t>
            </w:r>
            <w:r w:rsidRPr="00AC0191">
              <w:rPr>
                <w:b/>
                <w:szCs w:val="21"/>
              </w:rPr>
              <w:t>年</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2015</w:t>
            </w:r>
            <w:r w:rsidRPr="00AC0191">
              <w:rPr>
                <w:rFonts w:hint="eastAsia"/>
                <w:b/>
                <w:szCs w:val="21"/>
              </w:rPr>
              <w:t>年</w:t>
            </w:r>
          </w:p>
        </w:tc>
        <w:tc>
          <w:tcPr>
            <w:tcW w:w="1428"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2014</w:t>
            </w:r>
            <w:r w:rsidRPr="00AC0191">
              <w:rPr>
                <w:rFonts w:hint="eastAsia"/>
                <w:b/>
                <w:szCs w:val="21"/>
              </w:rPr>
              <w:t>年</w:t>
            </w:r>
          </w:p>
        </w:tc>
      </w:tr>
      <w:tr w:rsidR="00F93FCE" w:rsidRPr="00AC0191" w:rsidTr="00D167B3">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交银货币</w:t>
            </w:r>
            <w:r>
              <w:rPr>
                <w:rFonts w:hint="eastAsia"/>
                <w:szCs w:val="21"/>
              </w:rPr>
              <w:t>B</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交银货币</w:t>
            </w:r>
            <w:r>
              <w:rPr>
                <w:rFonts w:hint="eastAsia"/>
                <w:szCs w:val="21"/>
              </w:rPr>
              <w:t>B</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交银货币</w:t>
            </w:r>
            <w:r w:rsidRPr="00AC0191">
              <w:rPr>
                <w:rFonts w:hint="eastAsia"/>
                <w:szCs w:val="21"/>
              </w:rPr>
              <w:t>A</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交银货币</w:t>
            </w:r>
            <w:r>
              <w:rPr>
                <w:rFonts w:hint="eastAsia"/>
                <w:szCs w:val="21"/>
              </w:rPr>
              <w:t>B</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16,409,600.96</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599,801,071.85</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30,069,048.08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326,501,713.63</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70,590,927.49</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316,602,622.83</w:t>
            </w:r>
          </w:p>
        </w:tc>
      </w:tr>
      <w:tr w:rsidR="00F93FCE" w:rsidRPr="00AC0191" w:rsidTr="00D167B3">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16,409,600.96</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599,801,071.85</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30,069,048.08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326,501,713.63</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70,590,927.49</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316,602,622.83</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2.47%</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2.72%</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3.15%</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3.39%</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4.47%</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4.72%</w:t>
            </w:r>
          </w:p>
        </w:tc>
      </w:tr>
      <w:tr w:rsidR="00580C1C" w:rsidRPr="00AC0191" w:rsidTr="00D167B3">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2016</w:t>
            </w:r>
            <w:r w:rsidRPr="00AC0191">
              <w:rPr>
                <w:rFonts w:hint="eastAsia"/>
                <w:b/>
                <w:szCs w:val="21"/>
              </w:rPr>
              <w:t>年末</w:t>
            </w:r>
          </w:p>
        </w:tc>
        <w:tc>
          <w:tcPr>
            <w:tcW w:w="1375"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2015</w:t>
            </w:r>
            <w:r w:rsidRPr="00AC0191">
              <w:rPr>
                <w:rFonts w:hint="eastAsia"/>
                <w:b/>
                <w:szCs w:val="21"/>
              </w:rPr>
              <w:t>年末</w:t>
            </w:r>
          </w:p>
        </w:tc>
        <w:tc>
          <w:tcPr>
            <w:tcW w:w="1430"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2014</w:t>
            </w:r>
            <w:r w:rsidRPr="00AC0191">
              <w:rPr>
                <w:rFonts w:hint="eastAsia"/>
                <w:b/>
                <w:szCs w:val="21"/>
              </w:rPr>
              <w:t>年末</w:t>
            </w:r>
          </w:p>
        </w:tc>
      </w:tr>
      <w:tr w:rsidR="00580C1C" w:rsidRPr="00AC0191" w:rsidTr="00D167B3">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542B23">
            <w:pPr>
              <w:spacing w:before="29" w:line="288" w:lineRule="auto"/>
              <w:rPr>
                <w:szCs w:val="21"/>
              </w:rPr>
            </w:pPr>
            <w:r>
              <w:rPr>
                <w:rFonts w:hint="eastAsia"/>
                <w:szCs w:val="21"/>
              </w:rPr>
              <w:t>交银货币</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交银货币</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交银货币</w:t>
            </w:r>
            <w:r w:rsidRPr="00AC0191">
              <w:rPr>
                <w:rFonts w:hint="eastAsia"/>
                <w:szCs w:val="21"/>
              </w:rPr>
              <w:t>A</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交银货币</w:t>
            </w:r>
            <w:r>
              <w:rPr>
                <w:rFonts w:hint="eastAsia"/>
                <w:szCs w:val="21"/>
              </w:rPr>
              <w:t>B</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991,001,158.11</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37,295,358,314.46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1,203,430,532.35</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27,641,493,156.53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1,276,839,438.40</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3,455,807,843.34</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r>
    </w:tbl>
    <w:p w:rsidR="00754F92" w:rsidRDefault="002B0DD0">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754F92" w:rsidRDefault="002B0DD0">
      <w:pPr>
        <w:spacing w:before="29" w:line="288" w:lineRule="auto"/>
        <w:jc w:val="left"/>
        <w:rPr>
          <w:kern w:val="0"/>
          <w:sz w:val="24"/>
        </w:rPr>
      </w:pPr>
      <w:r>
        <w:rPr>
          <w:rFonts w:hint="eastAsia"/>
          <w:kern w:val="0"/>
          <w:sz w:val="24"/>
        </w:rPr>
        <w:t xml:space="preserve">    2</w:t>
      </w:r>
      <w:r>
        <w:rPr>
          <w:rFonts w:hint="eastAsia"/>
          <w:kern w:val="0"/>
          <w:sz w:val="24"/>
        </w:rPr>
        <w:t>、本基金收益分配按月结转份额。</w:t>
      </w:r>
    </w:p>
    <w:p w:rsidR="00754F92" w:rsidRDefault="002B0DD0">
      <w:pPr>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2007</w:t>
      </w:r>
      <w:r>
        <w:rPr>
          <w:rFonts w:hint="eastAsia"/>
          <w:kern w:val="0"/>
          <w:sz w:val="24"/>
        </w:rPr>
        <w:t>年</w:t>
      </w:r>
      <w:r>
        <w:rPr>
          <w:rFonts w:hint="eastAsia"/>
          <w:kern w:val="0"/>
          <w:sz w:val="24"/>
        </w:rPr>
        <w:t>6</w:t>
      </w:r>
      <w:r>
        <w:rPr>
          <w:rFonts w:hint="eastAsia"/>
          <w:kern w:val="0"/>
          <w:sz w:val="24"/>
        </w:rPr>
        <w:t>月</w:t>
      </w:r>
      <w:r>
        <w:rPr>
          <w:rFonts w:hint="eastAsia"/>
          <w:kern w:val="0"/>
          <w:sz w:val="24"/>
        </w:rPr>
        <w:t>22</w:t>
      </w:r>
      <w:r>
        <w:rPr>
          <w:rFonts w:hint="eastAsia"/>
          <w:kern w:val="0"/>
          <w:sz w:val="24"/>
        </w:rPr>
        <w:t>日起，本基金实行销售服务费分级收费方式，分设两级基金份额：</w:t>
      </w:r>
      <w:r>
        <w:rPr>
          <w:rFonts w:hint="eastAsia"/>
          <w:kern w:val="0"/>
          <w:sz w:val="24"/>
        </w:rPr>
        <w:t>A</w:t>
      </w:r>
      <w:r>
        <w:rPr>
          <w:rFonts w:hint="eastAsia"/>
          <w:kern w:val="0"/>
          <w:sz w:val="24"/>
        </w:rPr>
        <w:t>级基金份额和</w:t>
      </w:r>
      <w:r>
        <w:rPr>
          <w:rFonts w:hint="eastAsia"/>
          <w:kern w:val="0"/>
          <w:sz w:val="24"/>
        </w:rPr>
        <w:t>B</w:t>
      </w:r>
      <w:r>
        <w:rPr>
          <w:rFonts w:hint="eastAsia"/>
          <w:kern w:val="0"/>
          <w:sz w:val="24"/>
        </w:rPr>
        <w:t>级基金份额。</w:t>
      </w:r>
      <w:r>
        <w:rPr>
          <w:rFonts w:hint="eastAsia"/>
          <w:kern w:val="0"/>
          <w:sz w:val="24"/>
        </w:rPr>
        <w:t>A</w:t>
      </w:r>
      <w:r>
        <w:rPr>
          <w:rFonts w:hint="eastAsia"/>
          <w:kern w:val="0"/>
          <w:sz w:val="24"/>
        </w:rPr>
        <w:t>级基金份额与</w:t>
      </w:r>
      <w:r>
        <w:rPr>
          <w:rFonts w:hint="eastAsia"/>
          <w:kern w:val="0"/>
          <w:sz w:val="24"/>
        </w:rPr>
        <w:t>B</w:t>
      </w:r>
      <w:r>
        <w:rPr>
          <w:rFonts w:hint="eastAsia"/>
          <w:kern w:val="0"/>
          <w:sz w:val="24"/>
        </w:rPr>
        <w:t>级基金份额的管理费、托管费相同，</w:t>
      </w:r>
      <w:r>
        <w:rPr>
          <w:rFonts w:hint="eastAsia"/>
          <w:kern w:val="0"/>
          <w:sz w:val="24"/>
        </w:rPr>
        <w:t>A</w:t>
      </w:r>
      <w:r>
        <w:rPr>
          <w:rFonts w:hint="eastAsia"/>
          <w:kern w:val="0"/>
          <w:sz w:val="24"/>
        </w:rPr>
        <w:t>级基金份额按照</w:t>
      </w:r>
      <w:r>
        <w:rPr>
          <w:rFonts w:hint="eastAsia"/>
          <w:kern w:val="0"/>
          <w:sz w:val="24"/>
        </w:rPr>
        <w:t>0.25%</w:t>
      </w:r>
      <w:r>
        <w:rPr>
          <w:rFonts w:hint="eastAsia"/>
          <w:kern w:val="0"/>
          <w:sz w:val="24"/>
        </w:rPr>
        <w:t>的年费率计提销售服务费，</w:t>
      </w:r>
      <w:r>
        <w:rPr>
          <w:rFonts w:hint="eastAsia"/>
          <w:kern w:val="0"/>
          <w:sz w:val="24"/>
        </w:rPr>
        <w:t>B</w:t>
      </w:r>
      <w:r>
        <w:rPr>
          <w:rFonts w:hint="eastAsia"/>
          <w:kern w:val="0"/>
          <w:sz w:val="24"/>
        </w:rPr>
        <w:t>级基金份额按照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级基金份额与分级前基金连续计算，</w:t>
      </w:r>
      <w:r>
        <w:rPr>
          <w:rFonts w:hint="eastAsia"/>
          <w:kern w:val="0"/>
          <w:sz w:val="24"/>
        </w:rPr>
        <w:t>B</w:t>
      </w:r>
      <w:r>
        <w:rPr>
          <w:rFonts w:hint="eastAsia"/>
          <w:kern w:val="0"/>
          <w:sz w:val="24"/>
        </w:rPr>
        <w:t>级基金份额按新设基金计算。</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．交银货币</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754F92">
        <w:tc>
          <w:tcPr>
            <w:tcW w:w="1286" w:type="dxa"/>
            <w:vAlign w:val="center"/>
          </w:tcPr>
          <w:p w:rsidR="00754F92" w:rsidRDefault="002B0DD0">
            <w:pPr>
              <w:jc w:val="left"/>
            </w:pPr>
            <w:r>
              <w:rPr>
                <w:sz w:val="24"/>
              </w:rPr>
              <w:t>过去三个月</w:t>
            </w:r>
          </w:p>
        </w:tc>
        <w:tc>
          <w:tcPr>
            <w:tcW w:w="1286" w:type="dxa"/>
            <w:vAlign w:val="center"/>
          </w:tcPr>
          <w:p w:rsidR="00754F92" w:rsidRDefault="002B0DD0">
            <w:pPr>
              <w:jc w:val="center"/>
            </w:pPr>
            <w:r>
              <w:rPr>
                <w:sz w:val="24"/>
              </w:rPr>
              <w:t>0.5989%</w:t>
            </w:r>
          </w:p>
        </w:tc>
        <w:tc>
          <w:tcPr>
            <w:tcW w:w="1286" w:type="dxa"/>
            <w:vAlign w:val="center"/>
          </w:tcPr>
          <w:p w:rsidR="00754F92" w:rsidRDefault="002B0DD0">
            <w:pPr>
              <w:jc w:val="center"/>
            </w:pPr>
            <w:r>
              <w:rPr>
                <w:sz w:val="24"/>
              </w:rPr>
              <w:t>0.0014%</w:t>
            </w:r>
          </w:p>
        </w:tc>
        <w:tc>
          <w:tcPr>
            <w:tcW w:w="1285" w:type="dxa"/>
            <w:vAlign w:val="center"/>
          </w:tcPr>
          <w:p w:rsidR="00754F92" w:rsidRDefault="002B0DD0">
            <w:pPr>
              <w:jc w:val="center"/>
            </w:pPr>
            <w:r>
              <w:rPr>
                <w:sz w:val="24"/>
              </w:rPr>
              <w:t>0.3277%</w:t>
            </w:r>
          </w:p>
        </w:tc>
        <w:tc>
          <w:tcPr>
            <w:tcW w:w="1285" w:type="dxa"/>
            <w:vAlign w:val="center"/>
          </w:tcPr>
          <w:p w:rsidR="00754F92" w:rsidRDefault="002B0DD0">
            <w:pPr>
              <w:jc w:val="center"/>
            </w:pPr>
            <w:r>
              <w:rPr>
                <w:sz w:val="24"/>
              </w:rPr>
              <w:t>0.0000%</w:t>
            </w:r>
          </w:p>
        </w:tc>
        <w:tc>
          <w:tcPr>
            <w:tcW w:w="1285" w:type="dxa"/>
            <w:vAlign w:val="center"/>
          </w:tcPr>
          <w:p w:rsidR="00754F92" w:rsidRDefault="002B0DD0">
            <w:pPr>
              <w:jc w:val="center"/>
            </w:pPr>
            <w:r>
              <w:rPr>
                <w:sz w:val="24"/>
              </w:rPr>
              <w:t>0.2712%</w:t>
            </w:r>
          </w:p>
        </w:tc>
        <w:tc>
          <w:tcPr>
            <w:tcW w:w="1285" w:type="dxa"/>
            <w:vAlign w:val="center"/>
          </w:tcPr>
          <w:p w:rsidR="00754F92" w:rsidRDefault="002B0DD0">
            <w:pPr>
              <w:jc w:val="center"/>
            </w:pPr>
            <w:r>
              <w:rPr>
                <w:sz w:val="24"/>
              </w:rPr>
              <w:t>0.0014%</w:t>
            </w:r>
          </w:p>
        </w:tc>
      </w:tr>
      <w:tr w:rsidR="00754F92">
        <w:tc>
          <w:tcPr>
            <w:tcW w:w="1286" w:type="dxa"/>
            <w:vAlign w:val="center"/>
          </w:tcPr>
          <w:p w:rsidR="00754F92" w:rsidRDefault="002B0DD0">
            <w:pPr>
              <w:jc w:val="left"/>
            </w:pPr>
            <w:r>
              <w:rPr>
                <w:sz w:val="24"/>
              </w:rPr>
              <w:t>过去六个月</w:t>
            </w:r>
          </w:p>
        </w:tc>
        <w:tc>
          <w:tcPr>
            <w:tcW w:w="1286" w:type="dxa"/>
            <w:vAlign w:val="center"/>
          </w:tcPr>
          <w:p w:rsidR="00754F92" w:rsidRDefault="002B0DD0">
            <w:pPr>
              <w:jc w:val="center"/>
            </w:pPr>
            <w:r>
              <w:rPr>
                <w:sz w:val="24"/>
              </w:rPr>
              <w:t>1.1983%</w:t>
            </w:r>
          </w:p>
        </w:tc>
        <w:tc>
          <w:tcPr>
            <w:tcW w:w="1286" w:type="dxa"/>
            <w:vAlign w:val="center"/>
          </w:tcPr>
          <w:p w:rsidR="00754F92" w:rsidRDefault="002B0DD0">
            <w:pPr>
              <w:jc w:val="center"/>
            </w:pPr>
            <w:r>
              <w:rPr>
                <w:sz w:val="24"/>
              </w:rPr>
              <w:t>0.0013%</w:t>
            </w:r>
          </w:p>
        </w:tc>
        <w:tc>
          <w:tcPr>
            <w:tcW w:w="1285" w:type="dxa"/>
            <w:vAlign w:val="center"/>
          </w:tcPr>
          <w:p w:rsidR="00754F92" w:rsidRDefault="002B0DD0">
            <w:pPr>
              <w:jc w:val="center"/>
            </w:pPr>
            <w:r>
              <w:rPr>
                <w:sz w:val="24"/>
              </w:rPr>
              <w:t>0.6553%</w:t>
            </w:r>
          </w:p>
        </w:tc>
        <w:tc>
          <w:tcPr>
            <w:tcW w:w="1285" w:type="dxa"/>
            <w:vAlign w:val="center"/>
          </w:tcPr>
          <w:p w:rsidR="00754F92" w:rsidRDefault="002B0DD0">
            <w:pPr>
              <w:jc w:val="center"/>
            </w:pPr>
            <w:r>
              <w:rPr>
                <w:sz w:val="24"/>
              </w:rPr>
              <w:t>0.0000%</w:t>
            </w:r>
          </w:p>
        </w:tc>
        <w:tc>
          <w:tcPr>
            <w:tcW w:w="1285" w:type="dxa"/>
            <w:vAlign w:val="center"/>
          </w:tcPr>
          <w:p w:rsidR="00754F92" w:rsidRDefault="002B0DD0">
            <w:pPr>
              <w:jc w:val="center"/>
            </w:pPr>
            <w:r>
              <w:rPr>
                <w:sz w:val="24"/>
              </w:rPr>
              <w:t>0.5430%</w:t>
            </w:r>
          </w:p>
        </w:tc>
        <w:tc>
          <w:tcPr>
            <w:tcW w:w="1285" w:type="dxa"/>
            <w:vAlign w:val="center"/>
          </w:tcPr>
          <w:p w:rsidR="00754F92" w:rsidRDefault="002B0DD0">
            <w:pPr>
              <w:jc w:val="center"/>
            </w:pPr>
            <w:r>
              <w:rPr>
                <w:sz w:val="24"/>
              </w:rPr>
              <w:t>0.0013%</w:t>
            </w:r>
          </w:p>
        </w:tc>
      </w:tr>
      <w:tr w:rsidR="00754F92">
        <w:tc>
          <w:tcPr>
            <w:tcW w:w="1286" w:type="dxa"/>
            <w:vAlign w:val="center"/>
          </w:tcPr>
          <w:p w:rsidR="00754F92" w:rsidRDefault="002B0DD0">
            <w:pPr>
              <w:jc w:val="left"/>
            </w:pPr>
            <w:r>
              <w:rPr>
                <w:sz w:val="24"/>
              </w:rPr>
              <w:t>过去一年</w:t>
            </w:r>
          </w:p>
        </w:tc>
        <w:tc>
          <w:tcPr>
            <w:tcW w:w="1286" w:type="dxa"/>
            <w:vAlign w:val="center"/>
          </w:tcPr>
          <w:p w:rsidR="00754F92" w:rsidRDefault="002B0DD0">
            <w:pPr>
              <w:jc w:val="center"/>
            </w:pPr>
            <w:r>
              <w:rPr>
                <w:sz w:val="24"/>
              </w:rPr>
              <w:t>2.4728%</w:t>
            </w:r>
          </w:p>
        </w:tc>
        <w:tc>
          <w:tcPr>
            <w:tcW w:w="1286" w:type="dxa"/>
            <w:vAlign w:val="center"/>
          </w:tcPr>
          <w:p w:rsidR="00754F92" w:rsidRDefault="002B0DD0">
            <w:pPr>
              <w:jc w:val="center"/>
            </w:pPr>
            <w:r>
              <w:rPr>
                <w:sz w:val="24"/>
              </w:rPr>
              <w:t>0.0015%</w:t>
            </w:r>
          </w:p>
        </w:tc>
        <w:tc>
          <w:tcPr>
            <w:tcW w:w="1285" w:type="dxa"/>
            <w:vAlign w:val="center"/>
          </w:tcPr>
          <w:p w:rsidR="00754F92" w:rsidRDefault="002B0DD0">
            <w:pPr>
              <w:jc w:val="center"/>
            </w:pPr>
            <w:r>
              <w:rPr>
                <w:sz w:val="24"/>
              </w:rPr>
              <w:t>1.3036%</w:t>
            </w:r>
          </w:p>
        </w:tc>
        <w:tc>
          <w:tcPr>
            <w:tcW w:w="1285" w:type="dxa"/>
            <w:vAlign w:val="center"/>
          </w:tcPr>
          <w:p w:rsidR="00754F92" w:rsidRDefault="002B0DD0">
            <w:pPr>
              <w:jc w:val="center"/>
            </w:pPr>
            <w:r>
              <w:rPr>
                <w:sz w:val="24"/>
              </w:rPr>
              <w:t>0.0000%</w:t>
            </w:r>
          </w:p>
        </w:tc>
        <w:tc>
          <w:tcPr>
            <w:tcW w:w="1285" w:type="dxa"/>
            <w:vAlign w:val="center"/>
          </w:tcPr>
          <w:p w:rsidR="00754F92" w:rsidRDefault="002B0DD0">
            <w:pPr>
              <w:jc w:val="center"/>
            </w:pPr>
            <w:r>
              <w:rPr>
                <w:sz w:val="24"/>
              </w:rPr>
              <w:t>1.1692%</w:t>
            </w:r>
          </w:p>
        </w:tc>
        <w:tc>
          <w:tcPr>
            <w:tcW w:w="1285" w:type="dxa"/>
            <w:vAlign w:val="center"/>
          </w:tcPr>
          <w:p w:rsidR="00754F92" w:rsidRDefault="002B0DD0">
            <w:pPr>
              <w:jc w:val="center"/>
            </w:pPr>
            <w:r>
              <w:rPr>
                <w:sz w:val="24"/>
              </w:rPr>
              <w:t>0.0015%</w:t>
            </w:r>
          </w:p>
        </w:tc>
      </w:tr>
      <w:tr w:rsidR="00754F92">
        <w:tc>
          <w:tcPr>
            <w:tcW w:w="1286" w:type="dxa"/>
            <w:vAlign w:val="center"/>
          </w:tcPr>
          <w:p w:rsidR="00754F92" w:rsidRDefault="002B0DD0">
            <w:pPr>
              <w:jc w:val="left"/>
            </w:pPr>
            <w:r>
              <w:rPr>
                <w:sz w:val="24"/>
              </w:rPr>
              <w:t>过去三年</w:t>
            </w:r>
          </w:p>
        </w:tc>
        <w:tc>
          <w:tcPr>
            <w:tcW w:w="1286" w:type="dxa"/>
            <w:vAlign w:val="center"/>
          </w:tcPr>
          <w:p w:rsidR="00754F92" w:rsidRDefault="002B0DD0">
            <w:pPr>
              <w:jc w:val="center"/>
            </w:pPr>
            <w:r>
              <w:rPr>
                <w:sz w:val="24"/>
              </w:rPr>
              <w:t>10.4250%</w:t>
            </w:r>
          </w:p>
        </w:tc>
        <w:tc>
          <w:tcPr>
            <w:tcW w:w="1286" w:type="dxa"/>
            <w:vAlign w:val="center"/>
          </w:tcPr>
          <w:p w:rsidR="00754F92" w:rsidRDefault="002B0DD0">
            <w:pPr>
              <w:jc w:val="center"/>
            </w:pPr>
            <w:r>
              <w:rPr>
                <w:sz w:val="24"/>
              </w:rPr>
              <w:t>0.0047%</w:t>
            </w:r>
          </w:p>
        </w:tc>
        <w:tc>
          <w:tcPr>
            <w:tcW w:w="1285" w:type="dxa"/>
            <w:vAlign w:val="center"/>
          </w:tcPr>
          <w:p w:rsidR="00754F92" w:rsidRDefault="002B0DD0">
            <w:pPr>
              <w:jc w:val="center"/>
            </w:pPr>
            <w:r>
              <w:rPr>
                <w:sz w:val="24"/>
              </w:rPr>
              <w:t>5.9926%</w:t>
            </w:r>
          </w:p>
        </w:tc>
        <w:tc>
          <w:tcPr>
            <w:tcW w:w="1285" w:type="dxa"/>
            <w:vAlign w:val="center"/>
          </w:tcPr>
          <w:p w:rsidR="00754F92" w:rsidRDefault="002B0DD0">
            <w:pPr>
              <w:jc w:val="center"/>
            </w:pPr>
            <w:r>
              <w:rPr>
                <w:sz w:val="24"/>
              </w:rPr>
              <w:t>0.0018%</w:t>
            </w:r>
          </w:p>
        </w:tc>
        <w:tc>
          <w:tcPr>
            <w:tcW w:w="1285" w:type="dxa"/>
            <w:vAlign w:val="center"/>
          </w:tcPr>
          <w:p w:rsidR="00754F92" w:rsidRDefault="002B0DD0">
            <w:pPr>
              <w:jc w:val="center"/>
            </w:pPr>
            <w:r>
              <w:rPr>
                <w:sz w:val="24"/>
              </w:rPr>
              <w:t>4.4324%</w:t>
            </w:r>
          </w:p>
        </w:tc>
        <w:tc>
          <w:tcPr>
            <w:tcW w:w="1285" w:type="dxa"/>
            <w:vAlign w:val="center"/>
          </w:tcPr>
          <w:p w:rsidR="00754F92" w:rsidRDefault="002B0DD0">
            <w:pPr>
              <w:jc w:val="center"/>
            </w:pPr>
            <w:r>
              <w:rPr>
                <w:sz w:val="24"/>
              </w:rPr>
              <w:t>0.0029%</w:t>
            </w:r>
          </w:p>
        </w:tc>
      </w:tr>
      <w:tr w:rsidR="00754F92">
        <w:tc>
          <w:tcPr>
            <w:tcW w:w="1286" w:type="dxa"/>
            <w:vAlign w:val="center"/>
          </w:tcPr>
          <w:p w:rsidR="00754F92" w:rsidRDefault="002B0DD0">
            <w:pPr>
              <w:jc w:val="left"/>
            </w:pPr>
            <w:r>
              <w:rPr>
                <w:sz w:val="24"/>
              </w:rPr>
              <w:t>过去五年</w:t>
            </w:r>
          </w:p>
        </w:tc>
        <w:tc>
          <w:tcPr>
            <w:tcW w:w="1286" w:type="dxa"/>
            <w:vAlign w:val="center"/>
          </w:tcPr>
          <w:p w:rsidR="00754F92" w:rsidRDefault="002B0DD0">
            <w:pPr>
              <w:jc w:val="center"/>
            </w:pPr>
            <w:r>
              <w:rPr>
                <w:sz w:val="24"/>
              </w:rPr>
              <w:t>18.6364%</w:t>
            </w:r>
          </w:p>
        </w:tc>
        <w:tc>
          <w:tcPr>
            <w:tcW w:w="1286" w:type="dxa"/>
            <w:vAlign w:val="center"/>
          </w:tcPr>
          <w:p w:rsidR="00754F92" w:rsidRDefault="002B0DD0">
            <w:pPr>
              <w:jc w:val="center"/>
            </w:pPr>
            <w:r>
              <w:rPr>
                <w:sz w:val="24"/>
              </w:rPr>
              <w:t>0.0042%</w:t>
            </w:r>
          </w:p>
        </w:tc>
        <w:tc>
          <w:tcPr>
            <w:tcW w:w="1285" w:type="dxa"/>
            <w:vAlign w:val="center"/>
          </w:tcPr>
          <w:p w:rsidR="00754F92" w:rsidRDefault="002B0DD0">
            <w:pPr>
              <w:jc w:val="center"/>
            </w:pPr>
            <w:r>
              <w:rPr>
                <w:sz w:val="24"/>
              </w:rPr>
              <w:t>11.8373%</w:t>
            </w:r>
          </w:p>
        </w:tc>
        <w:tc>
          <w:tcPr>
            <w:tcW w:w="1285" w:type="dxa"/>
            <w:vAlign w:val="center"/>
          </w:tcPr>
          <w:p w:rsidR="00754F92" w:rsidRDefault="002B0DD0">
            <w:pPr>
              <w:jc w:val="center"/>
            </w:pPr>
            <w:r>
              <w:rPr>
                <w:sz w:val="24"/>
              </w:rPr>
              <w:t>0.0019%</w:t>
            </w:r>
          </w:p>
        </w:tc>
        <w:tc>
          <w:tcPr>
            <w:tcW w:w="1285" w:type="dxa"/>
            <w:vAlign w:val="center"/>
          </w:tcPr>
          <w:p w:rsidR="00754F92" w:rsidRDefault="002B0DD0">
            <w:pPr>
              <w:jc w:val="center"/>
            </w:pPr>
            <w:r>
              <w:rPr>
                <w:sz w:val="24"/>
              </w:rPr>
              <w:t>6.7991%</w:t>
            </w:r>
          </w:p>
        </w:tc>
        <w:tc>
          <w:tcPr>
            <w:tcW w:w="1285" w:type="dxa"/>
            <w:vAlign w:val="center"/>
          </w:tcPr>
          <w:p w:rsidR="00754F92" w:rsidRDefault="002B0DD0">
            <w:pPr>
              <w:jc w:val="center"/>
            </w:pPr>
            <w:r>
              <w:rPr>
                <w:sz w:val="24"/>
              </w:rPr>
              <w:t>0.0023%</w:t>
            </w:r>
          </w:p>
        </w:tc>
      </w:tr>
      <w:tr w:rsidR="00754F92">
        <w:tc>
          <w:tcPr>
            <w:tcW w:w="1286" w:type="dxa"/>
            <w:vAlign w:val="center"/>
          </w:tcPr>
          <w:p w:rsidR="00754F92" w:rsidRDefault="002B0DD0">
            <w:pPr>
              <w:jc w:val="left"/>
            </w:pPr>
            <w:r>
              <w:rPr>
                <w:sz w:val="24"/>
              </w:rPr>
              <w:t>自基金合同生效起至今</w:t>
            </w:r>
          </w:p>
        </w:tc>
        <w:tc>
          <w:tcPr>
            <w:tcW w:w="1286" w:type="dxa"/>
            <w:vAlign w:val="center"/>
          </w:tcPr>
          <w:p w:rsidR="00754F92" w:rsidRDefault="002B0DD0">
            <w:pPr>
              <w:jc w:val="center"/>
            </w:pPr>
            <w:r>
              <w:rPr>
                <w:sz w:val="24"/>
              </w:rPr>
              <w:t>36.7495%</w:t>
            </w:r>
          </w:p>
        </w:tc>
        <w:tc>
          <w:tcPr>
            <w:tcW w:w="1286" w:type="dxa"/>
            <w:vAlign w:val="center"/>
          </w:tcPr>
          <w:p w:rsidR="00754F92" w:rsidRDefault="002B0DD0">
            <w:pPr>
              <w:jc w:val="center"/>
            </w:pPr>
            <w:r>
              <w:rPr>
                <w:sz w:val="24"/>
              </w:rPr>
              <w:t>0.0052%</w:t>
            </w:r>
          </w:p>
        </w:tc>
        <w:tc>
          <w:tcPr>
            <w:tcW w:w="1285" w:type="dxa"/>
            <w:vAlign w:val="center"/>
          </w:tcPr>
          <w:p w:rsidR="00754F92" w:rsidRDefault="002B0DD0">
            <w:pPr>
              <w:jc w:val="center"/>
            </w:pPr>
            <w:r>
              <w:rPr>
                <w:sz w:val="24"/>
              </w:rPr>
              <w:t>26.4222%</w:t>
            </w:r>
          </w:p>
        </w:tc>
        <w:tc>
          <w:tcPr>
            <w:tcW w:w="1285" w:type="dxa"/>
            <w:vAlign w:val="center"/>
          </w:tcPr>
          <w:p w:rsidR="00754F92" w:rsidRDefault="002B0DD0">
            <w:pPr>
              <w:jc w:val="center"/>
            </w:pPr>
            <w:r>
              <w:rPr>
                <w:sz w:val="24"/>
              </w:rPr>
              <w:t>0.0019%</w:t>
            </w:r>
          </w:p>
        </w:tc>
        <w:tc>
          <w:tcPr>
            <w:tcW w:w="1285" w:type="dxa"/>
            <w:vAlign w:val="center"/>
          </w:tcPr>
          <w:p w:rsidR="00754F92" w:rsidRDefault="002B0DD0">
            <w:pPr>
              <w:jc w:val="center"/>
            </w:pPr>
            <w:r>
              <w:rPr>
                <w:sz w:val="24"/>
              </w:rPr>
              <w:t>10.3273%</w:t>
            </w:r>
          </w:p>
        </w:tc>
        <w:tc>
          <w:tcPr>
            <w:tcW w:w="1285" w:type="dxa"/>
            <w:vAlign w:val="center"/>
          </w:tcPr>
          <w:p w:rsidR="00754F92" w:rsidRDefault="002B0DD0">
            <w:pPr>
              <w:jc w:val="center"/>
            </w:pPr>
            <w:r>
              <w:rPr>
                <w:sz w:val="24"/>
              </w:rPr>
              <w:t>0.0033%</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注：本基金的业绩比较基准为六个月银行定期存款利率（税后）。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交银货币</w:t>
      </w:r>
      <w:r w:rsidR="004E65B4">
        <w:rPr>
          <w:rFonts w:ascii="Times New Roman" w:hAnsi="Times New Roman" w:hint="eastAsia"/>
          <w:b/>
          <w:color w:val="auto"/>
        </w:rPr>
        <w:t>B</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754F92">
        <w:tc>
          <w:tcPr>
            <w:tcW w:w="1286" w:type="dxa"/>
            <w:vAlign w:val="center"/>
          </w:tcPr>
          <w:p w:rsidR="00754F92" w:rsidRDefault="002B0DD0">
            <w:pPr>
              <w:jc w:val="left"/>
            </w:pPr>
            <w:r>
              <w:rPr>
                <w:sz w:val="24"/>
              </w:rPr>
              <w:t>过去三个月</w:t>
            </w:r>
          </w:p>
        </w:tc>
        <w:tc>
          <w:tcPr>
            <w:tcW w:w="1286" w:type="dxa"/>
            <w:vAlign w:val="center"/>
          </w:tcPr>
          <w:p w:rsidR="00754F92" w:rsidRDefault="002B0DD0">
            <w:pPr>
              <w:jc w:val="center"/>
            </w:pPr>
            <w:r>
              <w:rPr>
                <w:sz w:val="24"/>
              </w:rPr>
              <w:t>0.6591%</w:t>
            </w:r>
          </w:p>
        </w:tc>
        <w:tc>
          <w:tcPr>
            <w:tcW w:w="1286" w:type="dxa"/>
            <w:vAlign w:val="center"/>
          </w:tcPr>
          <w:p w:rsidR="00754F92" w:rsidRDefault="002B0DD0">
            <w:pPr>
              <w:jc w:val="center"/>
            </w:pPr>
            <w:r>
              <w:rPr>
                <w:sz w:val="24"/>
              </w:rPr>
              <w:t>0.0014%</w:t>
            </w:r>
          </w:p>
        </w:tc>
        <w:tc>
          <w:tcPr>
            <w:tcW w:w="1285" w:type="dxa"/>
            <w:vAlign w:val="center"/>
          </w:tcPr>
          <w:p w:rsidR="00754F92" w:rsidRDefault="002B0DD0">
            <w:pPr>
              <w:jc w:val="center"/>
            </w:pPr>
            <w:r>
              <w:rPr>
                <w:sz w:val="24"/>
              </w:rPr>
              <w:t>0.3277%</w:t>
            </w:r>
          </w:p>
        </w:tc>
        <w:tc>
          <w:tcPr>
            <w:tcW w:w="1285" w:type="dxa"/>
            <w:vAlign w:val="center"/>
          </w:tcPr>
          <w:p w:rsidR="00754F92" w:rsidRDefault="002B0DD0">
            <w:pPr>
              <w:jc w:val="center"/>
            </w:pPr>
            <w:r>
              <w:rPr>
                <w:sz w:val="24"/>
              </w:rPr>
              <w:t>0.0000%</w:t>
            </w:r>
          </w:p>
        </w:tc>
        <w:tc>
          <w:tcPr>
            <w:tcW w:w="1285" w:type="dxa"/>
            <w:vAlign w:val="center"/>
          </w:tcPr>
          <w:p w:rsidR="00754F92" w:rsidRDefault="002B0DD0">
            <w:pPr>
              <w:jc w:val="center"/>
            </w:pPr>
            <w:r>
              <w:rPr>
                <w:sz w:val="24"/>
              </w:rPr>
              <w:t>0.3314%</w:t>
            </w:r>
          </w:p>
        </w:tc>
        <w:tc>
          <w:tcPr>
            <w:tcW w:w="1285" w:type="dxa"/>
            <w:vAlign w:val="center"/>
          </w:tcPr>
          <w:p w:rsidR="00754F92" w:rsidRDefault="002B0DD0">
            <w:pPr>
              <w:jc w:val="center"/>
            </w:pPr>
            <w:r>
              <w:rPr>
                <w:sz w:val="24"/>
              </w:rPr>
              <w:t>0.0014%</w:t>
            </w:r>
          </w:p>
        </w:tc>
      </w:tr>
      <w:tr w:rsidR="00754F92">
        <w:tc>
          <w:tcPr>
            <w:tcW w:w="1286" w:type="dxa"/>
            <w:vAlign w:val="center"/>
          </w:tcPr>
          <w:p w:rsidR="00754F92" w:rsidRDefault="002B0DD0">
            <w:pPr>
              <w:jc w:val="left"/>
            </w:pPr>
            <w:r>
              <w:rPr>
                <w:sz w:val="24"/>
              </w:rPr>
              <w:t>过去六个月</w:t>
            </w:r>
          </w:p>
        </w:tc>
        <w:tc>
          <w:tcPr>
            <w:tcW w:w="1286" w:type="dxa"/>
            <w:vAlign w:val="center"/>
          </w:tcPr>
          <w:p w:rsidR="00754F92" w:rsidRDefault="002B0DD0">
            <w:pPr>
              <w:jc w:val="center"/>
            </w:pPr>
            <w:r>
              <w:rPr>
                <w:sz w:val="24"/>
              </w:rPr>
              <w:t>1.3200%</w:t>
            </w:r>
          </w:p>
        </w:tc>
        <w:tc>
          <w:tcPr>
            <w:tcW w:w="1286" w:type="dxa"/>
            <w:vAlign w:val="center"/>
          </w:tcPr>
          <w:p w:rsidR="00754F92" w:rsidRDefault="002B0DD0">
            <w:pPr>
              <w:jc w:val="center"/>
            </w:pPr>
            <w:r>
              <w:rPr>
                <w:sz w:val="24"/>
              </w:rPr>
              <w:t>0.0013%</w:t>
            </w:r>
          </w:p>
        </w:tc>
        <w:tc>
          <w:tcPr>
            <w:tcW w:w="1285" w:type="dxa"/>
            <w:vAlign w:val="center"/>
          </w:tcPr>
          <w:p w:rsidR="00754F92" w:rsidRDefault="002B0DD0">
            <w:pPr>
              <w:jc w:val="center"/>
            </w:pPr>
            <w:r>
              <w:rPr>
                <w:sz w:val="24"/>
              </w:rPr>
              <w:t>0.6553%</w:t>
            </w:r>
          </w:p>
        </w:tc>
        <w:tc>
          <w:tcPr>
            <w:tcW w:w="1285" w:type="dxa"/>
            <w:vAlign w:val="center"/>
          </w:tcPr>
          <w:p w:rsidR="00754F92" w:rsidRDefault="002B0DD0">
            <w:pPr>
              <w:jc w:val="center"/>
            </w:pPr>
            <w:r>
              <w:rPr>
                <w:sz w:val="24"/>
              </w:rPr>
              <w:t>0.0000%</w:t>
            </w:r>
          </w:p>
        </w:tc>
        <w:tc>
          <w:tcPr>
            <w:tcW w:w="1285" w:type="dxa"/>
            <w:vAlign w:val="center"/>
          </w:tcPr>
          <w:p w:rsidR="00754F92" w:rsidRDefault="002B0DD0">
            <w:pPr>
              <w:jc w:val="center"/>
            </w:pPr>
            <w:r>
              <w:rPr>
                <w:sz w:val="24"/>
              </w:rPr>
              <w:t>0.6647%</w:t>
            </w:r>
          </w:p>
        </w:tc>
        <w:tc>
          <w:tcPr>
            <w:tcW w:w="1285" w:type="dxa"/>
            <w:vAlign w:val="center"/>
          </w:tcPr>
          <w:p w:rsidR="00754F92" w:rsidRDefault="002B0DD0">
            <w:pPr>
              <w:jc w:val="center"/>
            </w:pPr>
            <w:r>
              <w:rPr>
                <w:sz w:val="24"/>
              </w:rPr>
              <w:t>0.0013%</w:t>
            </w:r>
          </w:p>
        </w:tc>
      </w:tr>
      <w:tr w:rsidR="00754F92">
        <w:tc>
          <w:tcPr>
            <w:tcW w:w="1286" w:type="dxa"/>
            <w:vAlign w:val="center"/>
          </w:tcPr>
          <w:p w:rsidR="00754F92" w:rsidRDefault="002B0DD0">
            <w:pPr>
              <w:jc w:val="left"/>
            </w:pPr>
            <w:r>
              <w:rPr>
                <w:sz w:val="24"/>
              </w:rPr>
              <w:t>过去一年</w:t>
            </w:r>
          </w:p>
        </w:tc>
        <w:tc>
          <w:tcPr>
            <w:tcW w:w="1286" w:type="dxa"/>
            <w:vAlign w:val="center"/>
          </w:tcPr>
          <w:p w:rsidR="00754F92" w:rsidRDefault="002B0DD0">
            <w:pPr>
              <w:jc w:val="center"/>
            </w:pPr>
            <w:r>
              <w:rPr>
                <w:sz w:val="24"/>
              </w:rPr>
              <w:t>2.7187%</w:t>
            </w:r>
          </w:p>
        </w:tc>
        <w:tc>
          <w:tcPr>
            <w:tcW w:w="1286" w:type="dxa"/>
            <w:vAlign w:val="center"/>
          </w:tcPr>
          <w:p w:rsidR="00754F92" w:rsidRDefault="002B0DD0">
            <w:pPr>
              <w:jc w:val="center"/>
            </w:pPr>
            <w:r>
              <w:rPr>
                <w:sz w:val="24"/>
              </w:rPr>
              <w:t>0.0015%</w:t>
            </w:r>
          </w:p>
        </w:tc>
        <w:tc>
          <w:tcPr>
            <w:tcW w:w="1285" w:type="dxa"/>
            <w:vAlign w:val="center"/>
          </w:tcPr>
          <w:p w:rsidR="00754F92" w:rsidRDefault="002B0DD0">
            <w:pPr>
              <w:jc w:val="center"/>
            </w:pPr>
            <w:r>
              <w:rPr>
                <w:sz w:val="24"/>
              </w:rPr>
              <w:t>1.3036%</w:t>
            </w:r>
          </w:p>
        </w:tc>
        <w:tc>
          <w:tcPr>
            <w:tcW w:w="1285" w:type="dxa"/>
            <w:vAlign w:val="center"/>
          </w:tcPr>
          <w:p w:rsidR="00754F92" w:rsidRDefault="002B0DD0">
            <w:pPr>
              <w:jc w:val="center"/>
            </w:pPr>
            <w:r>
              <w:rPr>
                <w:sz w:val="24"/>
              </w:rPr>
              <w:t>0.0000%</w:t>
            </w:r>
          </w:p>
        </w:tc>
        <w:tc>
          <w:tcPr>
            <w:tcW w:w="1285" w:type="dxa"/>
            <w:vAlign w:val="center"/>
          </w:tcPr>
          <w:p w:rsidR="00754F92" w:rsidRDefault="002B0DD0">
            <w:pPr>
              <w:jc w:val="center"/>
            </w:pPr>
            <w:r>
              <w:rPr>
                <w:sz w:val="24"/>
              </w:rPr>
              <w:t>1.4151%</w:t>
            </w:r>
          </w:p>
        </w:tc>
        <w:tc>
          <w:tcPr>
            <w:tcW w:w="1285" w:type="dxa"/>
            <w:vAlign w:val="center"/>
          </w:tcPr>
          <w:p w:rsidR="00754F92" w:rsidRDefault="002B0DD0">
            <w:pPr>
              <w:jc w:val="center"/>
            </w:pPr>
            <w:r>
              <w:rPr>
                <w:sz w:val="24"/>
              </w:rPr>
              <w:t>0.0015%</w:t>
            </w:r>
          </w:p>
        </w:tc>
      </w:tr>
      <w:tr w:rsidR="00754F92">
        <w:tc>
          <w:tcPr>
            <w:tcW w:w="1286" w:type="dxa"/>
            <w:vAlign w:val="center"/>
          </w:tcPr>
          <w:p w:rsidR="00754F92" w:rsidRDefault="002B0DD0">
            <w:pPr>
              <w:jc w:val="left"/>
            </w:pPr>
            <w:r>
              <w:rPr>
                <w:sz w:val="24"/>
              </w:rPr>
              <w:t>过去三年</w:t>
            </w:r>
          </w:p>
        </w:tc>
        <w:tc>
          <w:tcPr>
            <w:tcW w:w="1286" w:type="dxa"/>
            <w:vAlign w:val="center"/>
          </w:tcPr>
          <w:p w:rsidR="00754F92" w:rsidRDefault="002B0DD0">
            <w:pPr>
              <w:jc w:val="center"/>
            </w:pPr>
            <w:r>
              <w:rPr>
                <w:sz w:val="24"/>
              </w:rPr>
              <w:t>11.2213%</w:t>
            </w:r>
          </w:p>
        </w:tc>
        <w:tc>
          <w:tcPr>
            <w:tcW w:w="1286" w:type="dxa"/>
            <w:vAlign w:val="center"/>
          </w:tcPr>
          <w:p w:rsidR="00754F92" w:rsidRDefault="002B0DD0">
            <w:pPr>
              <w:jc w:val="center"/>
            </w:pPr>
            <w:r>
              <w:rPr>
                <w:sz w:val="24"/>
              </w:rPr>
              <w:t>0.0047%</w:t>
            </w:r>
          </w:p>
        </w:tc>
        <w:tc>
          <w:tcPr>
            <w:tcW w:w="1285" w:type="dxa"/>
            <w:vAlign w:val="center"/>
          </w:tcPr>
          <w:p w:rsidR="00754F92" w:rsidRDefault="002B0DD0">
            <w:pPr>
              <w:jc w:val="center"/>
            </w:pPr>
            <w:r>
              <w:rPr>
                <w:sz w:val="24"/>
              </w:rPr>
              <w:t>5.9926%</w:t>
            </w:r>
          </w:p>
        </w:tc>
        <w:tc>
          <w:tcPr>
            <w:tcW w:w="1285" w:type="dxa"/>
            <w:vAlign w:val="center"/>
          </w:tcPr>
          <w:p w:rsidR="00754F92" w:rsidRDefault="002B0DD0">
            <w:pPr>
              <w:jc w:val="center"/>
            </w:pPr>
            <w:r>
              <w:rPr>
                <w:sz w:val="24"/>
              </w:rPr>
              <w:t>0.0018%</w:t>
            </w:r>
          </w:p>
        </w:tc>
        <w:tc>
          <w:tcPr>
            <w:tcW w:w="1285" w:type="dxa"/>
            <w:vAlign w:val="center"/>
          </w:tcPr>
          <w:p w:rsidR="00754F92" w:rsidRDefault="002B0DD0">
            <w:pPr>
              <w:jc w:val="center"/>
            </w:pPr>
            <w:r>
              <w:rPr>
                <w:sz w:val="24"/>
              </w:rPr>
              <w:t>5.2287%</w:t>
            </w:r>
          </w:p>
        </w:tc>
        <w:tc>
          <w:tcPr>
            <w:tcW w:w="1285" w:type="dxa"/>
            <w:vAlign w:val="center"/>
          </w:tcPr>
          <w:p w:rsidR="00754F92" w:rsidRDefault="002B0DD0">
            <w:pPr>
              <w:jc w:val="center"/>
            </w:pPr>
            <w:r>
              <w:rPr>
                <w:sz w:val="24"/>
              </w:rPr>
              <w:t>0.0029%</w:t>
            </w:r>
          </w:p>
        </w:tc>
      </w:tr>
      <w:tr w:rsidR="00754F92">
        <w:tc>
          <w:tcPr>
            <w:tcW w:w="1286" w:type="dxa"/>
            <w:vAlign w:val="center"/>
          </w:tcPr>
          <w:p w:rsidR="00754F92" w:rsidRDefault="002B0DD0">
            <w:pPr>
              <w:jc w:val="left"/>
            </w:pPr>
            <w:r>
              <w:rPr>
                <w:sz w:val="24"/>
              </w:rPr>
              <w:t>过去五年</w:t>
            </w:r>
          </w:p>
        </w:tc>
        <w:tc>
          <w:tcPr>
            <w:tcW w:w="1286" w:type="dxa"/>
            <w:vAlign w:val="center"/>
          </w:tcPr>
          <w:p w:rsidR="00754F92" w:rsidRDefault="002B0DD0">
            <w:pPr>
              <w:jc w:val="center"/>
            </w:pPr>
            <w:r>
              <w:rPr>
                <w:sz w:val="24"/>
              </w:rPr>
              <w:t>20.0655%</w:t>
            </w:r>
          </w:p>
        </w:tc>
        <w:tc>
          <w:tcPr>
            <w:tcW w:w="1286" w:type="dxa"/>
            <w:vAlign w:val="center"/>
          </w:tcPr>
          <w:p w:rsidR="00754F92" w:rsidRDefault="002B0DD0">
            <w:pPr>
              <w:jc w:val="center"/>
            </w:pPr>
            <w:r>
              <w:rPr>
                <w:sz w:val="24"/>
              </w:rPr>
              <w:t>0.0042%</w:t>
            </w:r>
          </w:p>
        </w:tc>
        <w:tc>
          <w:tcPr>
            <w:tcW w:w="1285" w:type="dxa"/>
            <w:vAlign w:val="center"/>
          </w:tcPr>
          <w:p w:rsidR="00754F92" w:rsidRDefault="002B0DD0">
            <w:pPr>
              <w:jc w:val="center"/>
            </w:pPr>
            <w:r>
              <w:rPr>
                <w:sz w:val="24"/>
              </w:rPr>
              <w:t>11.8373%</w:t>
            </w:r>
          </w:p>
        </w:tc>
        <w:tc>
          <w:tcPr>
            <w:tcW w:w="1285" w:type="dxa"/>
            <w:vAlign w:val="center"/>
          </w:tcPr>
          <w:p w:rsidR="00754F92" w:rsidRDefault="002B0DD0">
            <w:pPr>
              <w:jc w:val="center"/>
            </w:pPr>
            <w:r>
              <w:rPr>
                <w:sz w:val="24"/>
              </w:rPr>
              <w:t>0.0019%</w:t>
            </w:r>
          </w:p>
        </w:tc>
        <w:tc>
          <w:tcPr>
            <w:tcW w:w="1285" w:type="dxa"/>
            <w:vAlign w:val="center"/>
          </w:tcPr>
          <w:p w:rsidR="00754F92" w:rsidRDefault="002B0DD0">
            <w:pPr>
              <w:jc w:val="center"/>
            </w:pPr>
            <w:r>
              <w:rPr>
                <w:sz w:val="24"/>
              </w:rPr>
              <w:t>8.2282%</w:t>
            </w:r>
          </w:p>
        </w:tc>
        <w:tc>
          <w:tcPr>
            <w:tcW w:w="1285" w:type="dxa"/>
            <w:vAlign w:val="center"/>
          </w:tcPr>
          <w:p w:rsidR="00754F92" w:rsidRDefault="002B0DD0">
            <w:pPr>
              <w:jc w:val="center"/>
            </w:pPr>
            <w:r>
              <w:rPr>
                <w:sz w:val="24"/>
              </w:rPr>
              <w:t>0.0023%</w:t>
            </w:r>
          </w:p>
        </w:tc>
      </w:tr>
      <w:tr w:rsidR="00754F92">
        <w:tc>
          <w:tcPr>
            <w:tcW w:w="1286" w:type="dxa"/>
            <w:vAlign w:val="center"/>
          </w:tcPr>
          <w:p w:rsidR="00754F92" w:rsidRDefault="002B0DD0">
            <w:pPr>
              <w:jc w:val="left"/>
            </w:pPr>
            <w:r>
              <w:rPr>
                <w:sz w:val="24"/>
              </w:rPr>
              <w:t>自基金合同生效起至今</w:t>
            </w:r>
          </w:p>
        </w:tc>
        <w:tc>
          <w:tcPr>
            <w:tcW w:w="1286" w:type="dxa"/>
            <w:vAlign w:val="center"/>
          </w:tcPr>
          <w:p w:rsidR="00754F92" w:rsidRDefault="002B0DD0">
            <w:pPr>
              <w:jc w:val="center"/>
            </w:pPr>
            <w:r>
              <w:rPr>
                <w:sz w:val="24"/>
              </w:rPr>
              <w:t>36.0162%</w:t>
            </w:r>
          </w:p>
        </w:tc>
        <w:tc>
          <w:tcPr>
            <w:tcW w:w="1286" w:type="dxa"/>
            <w:vAlign w:val="center"/>
          </w:tcPr>
          <w:p w:rsidR="00754F92" w:rsidRDefault="002B0DD0">
            <w:pPr>
              <w:jc w:val="center"/>
            </w:pPr>
            <w:r>
              <w:rPr>
                <w:sz w:val="24"/>
              </w:rPr>
              <w:t>0.0054%</w:t>
            </w:r>
          </w:p>
        </w:tc>
        <w:tc>
          <w:tcPr>
            <w:tcW w:w="1285" w:type="dxa"/>
            <w:vAlign w:val="center"/>
          </w:tcPr>
          <w:p w:rsidR="00754F92" w:rsidRDefault="002B0DD0">
            <w:pPr>
              <w:jc w:val="center"/>
            </w:pPr>
            <w:r>
              <w:rPr>
                <w:sz w:val="24"/>
              </w:rPr>
              <w:t>23.8996%</w:t>
            </w:r>
          </w:p>
        </w:tc>
        <w:tc>
          <w:tcPr>
            <w:tcW w:w="1285" w:type="dxa"/>
            <w:vAlign w:val="center"/>
          </w:tcPr>
          <w:p w:rsidR="00754F92" w:rsidRDefault="002B0DD0">
            <w:pPr>
              <w:jc w:val="center"/>
            </w:pPr>
            <w:r>
              <w:rPr>
                <w:sz w:val="24"/>
              </w:rPr>
              <w:t>0.0019%</w:t>
            </w:r>
          </w:p>
        </w:tc>
        <w:tc>
          <w:tcPr>
            <w:tcW w:w="1285" w:type="dxa"/>
            <w:vAlign w:val="center"/>
          </w:tcPr>
          <w:p w:rsidR="00754F92" w:rsidRDefault="002B0DD0">
            <w:pPr>
              <w:jc w:val="center"/>
            </w:pPr>
            <w:r>
              <w:rPr>
                <w:sz w:val="24"/>
              </w:rPr>
              <w:t>12.1166%</w:t>
            </w:r>
          </w:p>
        </w:tc>
        <w:tc>
          <w:tcPr>
            <w:tcW w:w="1285" w:type="dxa"/>
            <w:vAlign w:val="center"/>
          </w:tcPr>
          <w:p w:rsidR="00754F92" w:rsidRDefault="002B0DD0">
            <w:pPr>
              <w:jc w:val="center"/>
            </w:pPr>
            <w:r>
              <w:rPr>
                <w:sz w:val="24"/>
              </w:rPr>
              <w:t>0.0035%</w:t>
            </w:r>
          </w:p>
        </w:tc>
      </w:tr>
    </w:tbl>
    <w:p w:rsidR="00063497" w:rsidRPr="007D254C" w:rsidRDefault="004E65B4" w:rsidP="007D254C">
      <w:pPr>
        <w:spacing w:before="29" w:line="288" w:lineRule="auto"/>
        <w:jc w:val="left"/>
        <w:rPr>
          <w:kern w:val="0"/>
          <w:sz w:val="24"/>
        </w:rPr>
      </w:pPr>
      <w:r>
        <w:rPr>
          <w:rFonts w:hint="eastAsia"/>
          <w:kern w:val="0"/>
          <w:sz w:val="24"/>
        </w:rPr>
        <w:t>注：本基金的业绩比较基准为六个月银行定期存款利率（税后）。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、交银货币</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072FB7F7" wp14:editId="4CB12E89">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2006</w:t>
      </w:r>
      <w:r w:rsidRPr="007D254C">
        <w:rPr>
          <w:rFonts w:hint="eastAsia"/>
          <w:kern w:val="0"/>
          <w:sz w:val="24"/>
        </w:rPr>
        <w:t>年</w:t>
      </w:r>
      <w:r w:rsidRPr="007D254C">
        <w:rPr>
          <w:rFonts w:hint="eastAsia"/>
          <w:kern w:val="0"/>
          <w:sz w:val="24"/>
        </w:rPr>
        <w:t>1</w:t>
      </w:r>
      <w:r w:rsidRPr="007D254C">
        <w:rPr>
          <w:rFonts w:hint="eastAsia"/>
          <w:kern w:val="0"/>
          <w:sz w:val="24"/>
        </w:rPr>
        <w:t>月</w:t>
      </w:r>
      <w:r w:rsidRPr="007D254C">
        <w:rPr>
          <w:rFonts w:hint="eastAsia"/>
          <w:kern w:val="0"/>
          <w:sz w:val="24"/>
        </w:rPr>
        <w:t>20</w:t>
      </w:r>
      <w:r w:rsidRPr="007D254C">
        <w:rPr>
          <w:rFonts w:hint="eastAsia"/>
          <w:kern w:val="0"/>
          <w:sz w:val="24"/>
        </w:rPr>
        <w:t>日至</w:t>
      </w:r>
      <w:r w:rsidRPr="007D254C">
        <w:rPr>
          <w:rFonts w:hint="eastAsia"/>
          <w:kern w:val="0"/>
          <w:sz w:val="24"/>
        </w:rPr>
        <w:t>2016</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交银货币</w:t>
      </w:r>
      <w:r w:rsidR="004E65B4">
        <w:rPr>
          <w:rFonts w:hint="eastAsia"/>
          <w:color w:val="000000"/>
          <w:sz w:val="24"/>
        </w:rPr>
        <w:t>B</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44531343" wp14:editId="4216D4D8">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2007</w:t>
      </w:r>
      <w:r>
        <w:rPr>
          <w:rFonts w:hint="eastAsia"/>
          <w:kern w:val="0"/>
          <w:sz w:val="24"/>
        </w:rPr>
        <w:t>年</w:t>
      </w:r>
      <w:r>
        <w:rPr>
          <w:rFonts w:hint="eastAsia"/>
          <w:kern w:val="0"/>
          <w:sz w:val="24"/>
        </w:rPr>
        <w:t>6</w:t>
      </w:r>
      <w:r>
        <w:rPr>
          <w:rFonts w:hint="eastAsia"/>
          <w:kern w:val="0"/>
          <w:sz w:val="24"/>
        </w:rPr>
        <w:t>月</w:t>
      </w:r>
      <w:r>
        <w:rPr>
          <w:rFonts w:hint="eastAsia"/>
          <w:kern w:val="0"/>
          <w:sz w:val="24"/>
        </w:rPr>
        <w:t>22</w:t>
      </w:r>
      <w:r>
        <w:rPr>
          <w:rFonts w:hint="eastAsia"/>
          <w:kern w:val="0"/>
          <w:sz w:val="24"/>
        </w:rPr>
        <w:t>日至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日。本基金建仓期为自基金合同生效日起的</w:t>
      </w:r>
      <w:r>
        <w:rPr>
          <w:rFonts w:hint="eastAsia"/>
          <w:kern w:val="0"/>
          <w:sz w:val="24"/>
        </w:rPr>
        <w:t>6</w:t>
      </w:r>
      <w:r>
        <w:rPr>
          <w:rFonts w:hint="eastAsia"/>
          <w:kern w:val="0"/>
          <w:sz w:val="24"/>
        </w:rPr>
        <w:t>个月。截至建仓期结束，本基金各项资产配置比例符合基金合同及招募说明书有关投资比例的约定。</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过去五年</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交银货币</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00F044B4" wp14:editId="1C8865E4">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交银货币</w:t>
      </w:r>
      <w:r w:rsidR="004E65B4">
        <w:rPr>
          <w:rFonts w:hint="eastAsia"/>
          <w:color w:val="000000"/>
          <w:sz w:val="24"/>
        </w:rPr>
        <w:t>B</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37B98DA8" wp14:editId="647C435A">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7D254C" w:rsidRDefault="009A1191" w:rsidP="007D254C">
      <w:pPr>
        <w:spacing w:before="29" w:line="288" w:lineRule="auto"/>
        <w:jc w:val="left"/>
        <w:rPr>
          <w:kern w:val="0"/>
          <w:sz w:val="24"/>
        </w:rPr>
      </w:pP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交银货币</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754F92">
        <w:tc>
          <w:tcPr>
            <w:tcW w:w="1499" w:type="dxa"/>
            <w:vAlign w:val="center"/>
          </w:tcPr>
          <w:p w:rsidR="00754F92" w:rsidRDefault="002B0DD0">
            <w:pPr>
              <w:jc w:val="center"/>
            </w:pPr>
            <w:r>
              <w:rPr>
                <w:rFonts w:hint="eastAsia"/>
                <w:color w:val="000000"/>
                <w:sz w:val="24"/>
              </w:rPr>
              <w:t>2016</w:t>
            </w:r>
            <w:r>
              <w:rPr>
                <w:rFonts w:hint="eastAsia"/>
                <w:color w:val="000000"/>
                <w:sz w:val="24"/>
              </w:rPr>
              <w:t>年</w:t>
            </w:r>
          </w:p>
        </w:tc>
        <w:tc>
          <w:tcPr>
            <w:tcW w:w="1499" w:type="dxa"/>
            <w:vAlign w:val="center"/>
          </w:tcPr>
          <w:p w:rsidR="00754F92" w:rsidRDefault="002B0DD0">
            <w:pPr>
              <w:jc w:val="right"/>
            </w:pPr>
            <w:r>
              <w:rPr>
                <w:rFonts w:hint="eastAsia"/>
                <w:color w:val="000000"/>
                <w:sz w:val="24"/>
              </w:rPr>
              <w:t>15,359,118.16</w:t>
            </w:r>
          </w:p>
        </w:tc>
        <w:tc>
          <w:tcPr>
            <w:tcW w:w="1500" w:type="dxa"/>
            <w:vAlign w:val="center"/>
          </w:tcPr>
          <w:p w:rsidR="00754F92" w:rsidRDefault="002B0DD0">
            <w:pPr>
              <w:jc w:val="right"/>
            </w:pPr>
            <w:r>
              <w:rPr>
                <w:rFonts w:hint="eastAsia"/>
                <w:color w:val="000000"/>
                <w:sz w:val="24"/>
              </w:rPr>
              <w:t>1,557,478.00</w:t>
            </w:r>
          </w:p>
        </w:tc>
        <w:tc>
          <w:tcPr>
            <w:tcW w:w="1500" w:type="dxa"/>
            <w:vAlign w:val="center"/>
          </w:tcPr>
          <w:p w:rsidR="00754F92" w:rsidRDefault="002B0DD0">
            <w:pPr>
              <w:jc w:val="center"/>
            </w:pPr>
            <w:r>
              <w:rPr>
                <w:rFonts w:hint="eastAsia"/>
                <w:color w:val="000000"/>
                <w:sz w:val="24"/>
              </w:rPr>
              <w:t>-506,995.20</w:t>
            </w:r>
          </w:p>
        </w:tc>
        <w:tc>
          <w:tcPr>
            <w:tcW w:w="1500" w:type="dxa"/>
            <w:vAlign w:val="center"/>
          </w:tcPr>
          <w:p w:rsidR="00754F92" w:rsidRDefault="002B0DD0">
            <w:pPr>
              <w:jc w:val="right"/>
            </w:pPr>
            <w:r>
              <w:rPr>
                <w:rFonts w:hint="eastAsia"/>
                <w:color w:val="000000"/>
                <w:sz w:val="24"/>
              </w:rPr>
              <w:t>16,409,600.96</w:t>
            </w:r>
          </w:p>
        </w:tc>
        <w:tc>
          <w:tcPr>
            <w:tcW w:w="1500" w:type="dxa"/>
            <w:vAlign w:val="center"/>
          </w:tcPr>
          <w:p w:rsidR="00754F92" w:rsidRDefault="002B0DD0">
            <w:pPr>
              <w:jc w:val="left"/>
            </w:pPr>
            <w:r>
              <w:rPr>
                <w:rFonts w:hint="eastAsia"/>
                <w:color w:val="000000"/>
                <w:sz w:val="24"/>
              </w:rPr>
              <w:t>-</w:t>
            </w:r>
          </w:p>
        </w:tc>
      </w:tr>
      <w:tr w:rsidR="00754F92">
        <w:tc>
          <w:tcPr>
            <w:tcW w:w="1499" w:type="dxa"/>
            <w:vAlign w:val="center"/>
          </w:tcPr>
          <w:p w:rsidR="00754F92" w:rsidRDefault="002B0DD0">
            <w:pPr>
              <w:jc w:val="center"/>
            </w:pPr>
            <w:r>
              <w:rPr>
                <w:rFonts w:hint="eastAsia"/>
                <w:color w:val="000000"/>
                <w:sz w:val="24"/>
              </w:rPr>
              <w:t>2015</w:t>
            </w:r>
            <w:r>
              <w:rPr>
                <w:rFonts w:hint="eastAsia"/>
                <w:color w:val="000000"/>
                <w:sz w:val="24"/>
              </w:rPr>
              <w:t>年</w:t>
            </w:r>
          </w:p>
        </w:tc>
        <w:tc>
          <w:tcPr>
            <w:tcW w:w="1499" w:type="dxa"/>
            <w:vAlign w:val="center"/>
          </w:tcPr>
          <w:p w:rsidR="00754F92" w:rsidRDefault="002B0DD0">
            <w:pPr>
              <w:jc w:val="right"/>
            </w:pPr>
            <w:r>
              <w:rPr>
                <w:rFonts w:hint="eastAsia"/>
                <w:color w:val="000000"/>
                <w:sz w:val="24"/>
              </w:rPr>
              <w:t>27,220,558.49</w:t>
            </w:r>
          </w:p>
        </w:tc>
        <w:tc>
          <w:tcPr>
            <w:tcW w:w="1500" w:type="dxa"/>
            <w:vAlign w:val="center"/>
          </w:tcPr>
          <w:p w:rsidR="00754F92" w:rsidRDefault="002B0DD0">
            <w:pPr>
              <w:jc w:val="right"/>
            </w:pPr>
            <w:r>
              <w:rPr>
                <w:rFonts w:hint="eastAsia"/>
                <w:color w:val="000000"/>
                <w:sz w:val="24"/>
              </w:rPr>
              <w:t>3,652,574.05</w:t>
            </w:r>
          </w:p>
        </w:tc>
        <w:tc>
          <w:tcPr>
            <w:tcW w:w="1500" w:type="dxa"/>
            <w:vAlign w:val="center"/>
          </w:tcPr>
          <w:p w:rsidR="00754F92" w:rsidRDefault="002B0DD0">
            <w:pPr>
              <w:jc w:val="center"/>
            </w:pPr>
            <w:r>
              <w:rPr>
                <w:rFonts w:hint="eastAsia"/>
                <w:color w:val="000000"/>
                <w:sz w:val="24"/>
              </w:rPr>
              <w:t>-804,084.46</w:t>
            </w:r>
          </w:p>
        </w:tc>
        <w:tc>
          <w:tcPr>
            <w:tcW w:w="1500" w:type="dxa"/>
            <w:vAlign w:val="center"/>
          </w:tcPr>
          <w:p w:rsidR="00754F92" w:rsidRDefault="002B0DD0">
            <w:pPr>
              <w:jc w:val="right"/>
            </w:pPr>
            <w:r>
              <w:rPr>
                <w:rFonts w:hint="eastAsia"/>
                <w:color w:val="000000"/>
                <w:sz w:val="24"/>
              </w:rPr>
              <w:t>30,069,048.08</w:t>
            </w:r>
          </w:p>
        </w:tc>
        <w:tc>
          <w:tcPr>
            <w:tcW w:w="1500" w:type="dxa"/>
            <w:vAlign w:val="center"/>
          </w:tcPr>
          <w:p w:rsidR="00754F92" w:rsidRDefault="002B0DD0">
            <w:pPr>
              <w:jc w:val="left"/>
            </w:pPr>
            <w:r>
              <w:rPr>
                <w:rFonts w:hint="eastAsia"/>
                <w:color w:val="000000"/>
                <w:sz w:val="24"/>
              </w:rPr>
              <w:t>-</w:t>
            </w:r>
          </w:p>
        </w:tc>
      </w:tr>
      <w:tr w:rsidR="00754F92">
        <w:tc>
          <w:tcPr>
            <w:tcW w:w="1499" w:type="dxa"/>
            <w:vAlign w:val="center"/>
          </w:tcPr>
          <w:p w:rsidR="00754F92" w:rsidRDefault="002B0DD0">
            <w:pPr>
              <w:jc w:val="center"/>
            </w:pPr>
            <w:r>
              <w:rPr>
                <w:rFonts w:hint="eastAsia"/>
                <w:color w:val="000000"/>
                <w:sz w:val="24"/>
              </w:rPr>
              <w:t>2014</w:t>
            </w:r>
            <w:r>
              <w:rPr>
                <w:rFonts w:hint="eastAsia"/>
                <w:color w:val="000000"/>
                <w:sz w:val="24"/>
              </w:rPr>
              <w:t>年</w:t>
            </w:r>
          </w:p>
        </w:tc>
        <w:tc>
          <w:tcPr>
            <w:tcW w:w="1499" w:type="dxa"/>
            <w:vAlign w:val="center"/>
          </w:tcPr>
          <w:p w:rsidR="00754F92" w:rsidRDefault="002B0DD0">
            <w:pPr>
              <w:jc w:val="right"/>
            </w:pPr>
            <w:r>
              <w:rPr>
                <w:rFonts w:hint="eastAsia"/>
                <w:color w:val="000000"/>
                <w:sz w:val="24"/>
              </w:rPr>
              <w:t>66,594,830.04</w:t>
            </w:r>
          </w:p>
        </w:tc>
        <w:tc>
          <w:tcPr>
            <w:tcW w:w="1500" w:type="dxa"/>
            <w:vAlign w:val="center"/>
          </w:tcPr>
          <w:p w:rsidR="00754F92" w:rsidRDefault="002B0DD0">
            <w:pPr>
              <w:jc w:val="right"/>
            </w:pPr>
            <w:r>
              <w:rPr>
                <w:rFonts w:hint="eastAsia"/>
                <w:color w:val="000000"/>
                <w:sz w:val="24"/>
              </w:rPr>
              <w:t>7,968,064.94</w:t>
            </w:r>
          </w:p>
        </w:tc>
        <w:tc>
          <w:tcPr>
            <w:tcW w:w="1500" w:type="dxa"/>
            <w:vAlign w:val="center"/>
          </w:tcPr>
          <w:p w:rsidR="00754F92" w:rsidRDefault="002B0DD0">
            <w:pPr>
              <w:jc w:val="center"/>
            </w:pPr>
            <w:r>
              <w:rPr>
                <w:rFonts w:hint="eastAsia"/>
                <w:color w:val="000000"/>
                <w:sz w:val="24"/>
              </w:rPr>
              <w:t>-3,971,967.49</w:t>
            </w:r>
          </w:p>
        </w:tc>
        <w:tc>
          <w:tcPr>
            <w:tcW w:w="1500" w:type="dxa"/>
            <w:vAlign w:val="center"/>
          </w:tcPr>
          <w:p w:rsidR="00754F92" w:rsidRDefault="002B0DD0">
            <w:pPr>
              <w:jc w:val="right"/>
            </w:pPr>
            <w:r>
              <w:rPr>
                <w:rFonts w:hint="eastAsia"/>
                <w:color w:val="000000"/>
                <w:sz w:val="24"/>
              </w:rPr>
              <w:t>70,590,927.49</w:t>
            </w:r>
          </w:p>
        </w:tc>
        <w:tc>
          <w:tcPr>
            <w:tcW w:w="1500" w:type="dxa"/>
            <w:vAlign w:val="center"/>
          </w:tcPr>
          <w:p w:rsidR="00754F92" w:rsidRDefault="002B0DD0">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109,174,506.69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13,178,116.99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-5,283,047.15</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117,069,576.53</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交银货币</w:t>
      </w:r>
      <w:r>
        <w:rPr>
          <w:rFonts w:hint="eastAsia"/>
          <w:color w:val="000000"/>
          <w:sz w:val="24"/>
        </w:rPr>
        <w:t>B</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754F92">
        <w:tc>
          <w:tcPr>
            <w:tcW w:w="1499" w:type="dxa"/>
            <w:vAlign w:val="center"/>
          </w:tcPr>
          <w:p w:rsidR="00754F92" w:rsidRDefault="002B0DD0">
            <w:pPr>
              <w:jc w:val="center"/>
            </w:pPr>
            <w:r>
              <w:rPr>
                <w:rFonts w:hint="eastAsia"/>
                <w:color w:val="000000"/>
                <w:sz w:val="24"/>
              </w:rPr>
              <w:t>2016</w:t>
            </w:r>
            <w:r>
              <w:rPr>
                <w:rFonts w:hint="eastAsia"/>
                <w:color w:val="000000"/>
                <w:sz w:val="24"/>
              </w:rPr>
              <w:t>年</w:t>
            </w:r>
          </w:p>
        </w:tc>
        <w:tc>
          <w:tcPr>
            <w:tcW w:w="1499" w:type="dxa"/>
            <w:vAlign w:val="center"/>
          </w:tcPr>
          <w:p w:rsidR="00754F92" w:rsidRDefault="002B0DD0">
            <w:pPr>
              <w:jc w:val="right"/>
            </w:pPr>
            <w:r>
              <w:rPr>
                <w:rFonts w:hint="eastAsia"/>
                <w:color w:val="000000"/>
                <w:sz w:val="24"/>
              </w:rPr>
              <w:t>465,065,239.65</w:t>
            </w:r>
          </w:p>
        </w:tc>
        <w:tc>
          <w:tcPr>
            <w:tcW w:w="1500" w:type="dxa"/>
            <w:vAlign w:val="center"/>
          </w:tcPr>
          <w:p w:rsidR="00754F92" w:rsidRDefault="002B0DD0">
            <w:pPr>
              <w:jc w:val="right"/>
            </w:pPr>
            <w:r>
              <w:rPr>
                <w:rFonts w:hint="eastAsia"/>
                <w:color w:val="000000"/>
                <w:sz w:val="24"/>
              </w:rPr>
              <w:t>136,359,837.77</w:t>
            </w:r>
          </w:p>
        </w:tc>
        <w:tc>
          <w:tcPr>
            <w:tcW w:w="1500" w:type="dxa"/>
            <w:vAlign w:val="center"/>
          </w:tcPr>
          <w:p w:rsidR="00754F92" w:rsidRDefault="002B0DD0">
            <w:pPr>
              <w:jc w:val="center"/>
            </w:pPr>
            <w:r>
              <w:rPr>
                <w:rFonts w:hint="eastAsia"/>
                <w:color w:val="000000"/>
                <w:sz w:val="24"/>
              </w:rPr>
              <w:t>-1,624,005.57</w:t>
            </w:r>
          </w:p>
        </w:tc>
        <w:tc>
          <w:tcPr>
            <w:tcW w:w="1500" w:type="dxa"/>
            <w:vAlign w:val="center"/>
          </w:tcPr>
          <w:p w:rsidR="00754F92" w:rsidRDefault="002B0DD0">
            <w:pPr>
              <w:jc w:val="right"/>
            </w:pPr>
            <w:r>
              <w:rPr>
                <w:rFonts w:hint="eastAsia"/>
                <w:color w:val="000000"/>
                <w:sz w:val="24"/>
              </w:rPr>
              <w:t>599,801,071.85</w:t>
            </w:r>
          </w:p>
        </w:tc>
        <w:tc>
          <w:tcPr>
            <w:tcW w:w="1500" w:type="dxa"/>
            <w:vAlign w:val="center"/>
          </w:tcPr>
          <w:p w:rsidR="00754F92" w:rsidRDefault="002B0DD0">
            <w:pPr>
              <w:jc w:val="left"/>
            </w:pPr>
            <w:r>
              <w:rPr>
                <w:rFonts w:hint="eastAsia"/>
                <w:color w:val="000000"/>
                <w:sz w:val="24"/>
              </w:rPr>
              <w:t>-</w:t>
            </w:r>
          </w:p>
        </w:tc>
      </w:tr>
      <w:tr w:rsidR="00754F92">
        <w:tc>
          <w:tcPr>
            <w:tcW w:w="1499" w:type="dxa"/>
            <w:vAlign w:val="center"/>
          </w:tcPr>
          <w:p w:rsidR="00754F92" w:rsidRDefault="002B0DD0">
            <w:pPr>
              <w:jc w:val="center"/>
            </w:pPr>
            <w:r>
              <w:rPr>
                <w:rFonts w:hint="eastAsia"/>
                <w:color w:val="000000"/>
                <w:sz w:val="24"/>
              </w:rPr>
              <w:t>2015</w:t>
            </w:r>
            <w:r>
              <w:rPr>
                <w:rFonts w:hint="eastAsia"/>
                <w:color w:val="000000"/>
                <w:sz w:val="24"/>
              </w:rPr>
              <w:t>年</w:t>
            </w:r>
          </w:p>
        </w:tc>
        <w:tc>
          <w:tcPr>
            <w:tcW w:w="1499" w:type="dxa"/>
            <w:vAlign w:val="center"/>
          </w:tcPr>
          <w:p w:rsidR="00754F92" w:rsidRDefault="002B0DD0">
            <w:pPr>
              <w:jc w:val="right"/>
            </w:pPr>
            <w:r>
              <w:rPr>
                <w:rFonts w:hint="eastAsia"/>
                <w:color w:val="000000"/>
                <w:sz w:val="24"/>
              </w:rPr>
              <w:t>239,169,092.06</w:t>
            </w:r>
          </w:p>
        </w:tc>
        <w:tc>
          <w:tcPr>
            <w:tcW w:w="1500" w:type="dxa"/>
            <w:vAlign w:val="center"/>
          </w:tcPr>
          <w:p w:rsidR="00754F92" w:rsidRDefault="002B0DD0">
            <w:pPr>
              <w:jc w:val="right"/>
            </w:pPr>
            <w:r>
              <w:rPr>
                <w:rFonts w:hint="eastAsia"/>
                <w:color w:val="000000"/>
                <w:sz w:val="24"/>
              </w:rPr>
              <w:t>58,204,036.37</w:t>
            </w:r>
          </w:p>
        </w:tc>
        <w:tc>
          <w:tcPr>
            <w:tcW w:w="1500" w:type="dxa"/>
            <w:vAlign w:val="center"/>
          </w:tcPr>
          <w:p w:rsidR="00754F92" w:rsidRDefault="002B0DD0">
            <w:pPr>
              <w:jc w:val="center"/>
            </w:pPr>
            <w:r>
              <w:rPr>
                <w:rFonts w:hint="eastAsia"/>
                <w:color w:val="000000"/>
                <w:sz w:val="24"/>
              </w:rPr>
              <w:t>29,128,585.20</w:t>
            </w:r>
          </w:p>
        </w:tc>
        <w:tc>
          <w:tcPr>
            <w:tcW w:w="1500" w:type="dxa"/>
            <w:vAlign w:val="center"/>
          </w:tcPr>
          <w:p w:rsidR="00754F92" w:rsidRDefault="002B0DD0">
            <w:pPr>
              <w:jc w:val="right"/>
            </w:pPr>
            <w:r>
              <w:rPr>
                <w:rFonts w:hint="eastAsia"/>
                <w:color w:val="000000"/>
                <w:sz w:val="24"/>
              </w:rPr>
              <w:t>326,501,713.63</w:t>
            </w:r>
          </w:p>
        </w:tc>
        <w:tc>
          <w:tcPr>
            <w:tcW w:w="1500" w:type="dxa"/>
            <w:vAlign w:val="center"/>
          </w:tcPr>
          <w:p w:rsidR="00754F92" w:rsidRDefault="002B0DD0">
            <w:pPr>
              <w:jc w:val="left"/>
            </w:pPr>
            <w:r>
              <w:rPr>
                <w:rFonts w:hint="eastAsia"/>
                <w:color w:val="000000"/>
                <w:sz w:val="24"/>
              </w:rPr>
              <w:t>-</w:t>
            </w:r>
          </w:p>
        </w:tc>
      </w:tr>
      <w:tr w:rsidR="00754F92">
        <w:tc>
          <w:tcPr>
            <w:tcW w:w="1499" w:type="dxa"/>
            <w:vAlign w:val="center"/>
          </w:tcPr>
          <w:p w:rsidR="00754F92" w:rsidRDefault="002B0DD0">
            <w:pPr>
              <w:jc w:val="center"/>
            </w:pPr>
            <w:r>
              <w:rPr>
                <w:rFonts w:hint="eastAsia"/>
                <w:color w:val="000000"/>
                <w:sz w:val="24"/>
              </w:rPr>
              <w:t>2014</w:t>
            </w:r>
            <w:r>
              <w:rPr>
                <w:rFonts w:hint="eastAsia"/>
                <w:color w:val="000000"/>
                <w:sz w:val="24"/>
              </w:rPr>
              <w:t>年</w:t>
            </w:r>
          </w:p>
        </w:tc>
        <w:tc>
          <w:tcPr>
            <w:tcW w:w="1499" w:type="dxa"/>
            <w:vAlign w:val="center"/>
          </w:tcPr>
          <w:p w:rsidR="00754F92" w:rsidRDefault="002B0DD0">
            <w:pPr>
              <w:jc w:val="right"/>
            </w:pPr>
            <w:r>
              <w:rPr>
                <w:rFonts w:hint="eastAsia"/>
                <w:color w:val="000000"/>
                <w:sz w:val="24"/>
              </w:rPr>
              <w:t>224,005,938.98</w:t>
            </w:r>
          </w:p>
        </w:tc>
        <w:tc>
          <w:tcPr>
            <w:tcW w:w="1500" w:type="dxa"/>
            <w:vAlign w:val="center"/>
          </w:tcPr>
          <w:p w:rsidR="00754F92" w:rsidRDefault="002B0DD0">
            <w:pPr>
              <w:jc w:val="right"/>
            </w:pPr>
            <w:r>
              <w:rPr>
                <w:rFonts w:hint="eastAsia"/>
                <w:color w:val="000000"/>
                <w:sz w:val="24"/>
              </w:rPr>
              <w:t>93,686,834.28</w:t>
            </w:r>
          </w:p>
        </w:tc>
        <w:tc>
          <w:tcPr>
            <w:tcW w:w="1500" w:type="dxa"/>
            <w:vAlign w:val="center"/>
          </w:tcPr>
          <w:p w:rsidR="00754F92" w:rsidRDefault="002B0DD0">
            <w:pPr>
              <w:jc w:val="center"/>
            </w:pPr>
            <w:r>
              <w:rPr>
                <w:rFonts w:hint="eastAsia"/>
                <w:color w:val="000000"/>
                <w:sz w:val="24"/>
              </w:rPr>
              <w:t>-1,090,150.43</w:t>
            </w:r>
          </w:p>
        </w:tc>
        <w:tc>
          <w:tcPr>
            <w:tcW w:w="1500" w:type="dxa"/>
            <w:vAlign w:val="center"/>
          </w:tcPr>
          <w:p w:rsidR="00754F92" w:rsidRDefault="002B0DD0">
            <w:pPr>
              <w:jc w:val="right"/>
            </w:pPr>
            <w:r>
              <w:rPr>
                <w:rFonts w:hint="eastAsia"/>
                <w:color w:val="000000"/>
                <w:sz w:val="24"/>
              </w:rPr>
              <w:t>316,602,622.83</w:t>
            </w:r>
          </w:p>
        </w:tc>
        <w:tc>
          <w:tcPr>
            <w:tcW w:w="1500" w:type="dxa"/>
            <w:vAlign w:val="center"/>
          </w:tcPr>
          <w:p w:rsidR="00754F92" w:rsidRDefault="002B0DD0">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928,240,270.69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288,250,708.42</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26,414,429.20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1,242,905,408.31</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4E65B4">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754F92" w:rsidRDefault="002B0DD0">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69</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754F92">
        <w:tc>
          <w:tcPr>
            <w:tcW w:w="1134" w:type="dxa"/>
            <w:vAlign w:val="center"/>
          </w:tcPr>
          <w:p w:rsidR="00754F92" w:rsidRDefault="002B0DD0">
            <w:pPr>
              <w:jc w:val="center"/>
            </w:pPr>
            <w:r>
              <w:rPr>
                <w:rFonts w:hint="eastAsia"/>
                <w:sz w:val="24"/>
              </w:rPr>
              <w:t>黄莹洁</w:t>
            </w:r>
          </w:p>
        </w:tc>
        <w:tc>
          <w:tcPr>
            <w:tcW w:w="1134" w:type="dxa"/>
            <w:vAlign w:val="center"/>
          </w:tcPr>
          <w:p w:rsidR="00754F92" w:rsidRDefault="002B0DD0">
            <w:pPr>
              <w:jc w:val="center"/>
            </w:pPr>
            <w:r>
              <w:rPr>
                <w:rFonts w:hint="eastAsia"/>
                <w:sz w:val="24"/>
              </w:rPr>
              <w:t>交银货币、交银理财</w:t>
            </w:r>
            <w:r>
              <w:rPr>
                <w:rFonts w:hint="eastAsia"/>
                <w:sz w:val="24"/>
              </w:rPr>
              <w:t>21</w:t>
            </w:r>
            <w:r>
              <w:rPr>
                <w:rFonts w:hint="eastAsia"/>
                <w:sz w:val="24"/>
              </w:rPr>
              <w:t>天债券、交银现金宝货币、交银丰享收益债券、交银丰泽收益债券、交银裕通纯债债券、交银活期通货币、交银天利宝货币、交银裕隆纯债债券、交银天鑫宝货币、交银天益宝货币的基金经理</w:t>
            </w:r>
          </w:p>
        </w:tc>
        <w:tc>
          <w:tcPr>
            <w:tcW w:w="1701" w:type="dxa"/>
            <w:vAlign w:val="center"/>
          </w:tcPr>
          <w:p w:rsidR="00754F92" w:rsidRDefault="002B0DD0">
            <w:pPr>
              <w:jc w:val="center"/>
            </w:pPr>
            <w:r>
              <w:rPr>
                <w:rFonts w:hint="eastAsia"/>
                <w:sz w:val="24"/>
              </w:rPr>
              <w:t>2015-05-27</w:t>
            </w:r>
          </w:p>
        </w:tc>
        <w:tc>
          <w:tcPr>
            <w:tcW w:w="1560" w:type="dxa"/>
            <w:vAlign w:val="center"/>
          </w:tcPr>
          <w:p w:rsidR="00754F92" w:rsidRDefault="002B0DD0">
            <w:pPr>
              <w:jc w:val="center"/>
            </w:pPr>
            <w:r>
              <w:rPr>
                <w:rFonts w:hint="eastAsia"/>
                <w:sz w:val="24"/>
              </w:rPr>
              <w:t>-</w:t>
            </w:r>
          </w:p>
        </w:tc>
        <w:tc>
          <w:tcPr>
            <w:tcW w:w="992" w:type="dxa"/>
            <w:vAlign w:val="center"/>
          </w:tcPr>
          <w:p w:rsidR="00754F92" w:rsidRDefault="002B0DD0">
            <w:pPr>
              <w:jc w:val="center"/>
            </w:pPr>
            <w:r>
              <w:rPr>
                <w:rFonts w:hint="eastAsia"/>
                <w:sz w:val="24"/>
              </w:rPr>
              <w:t>8</w:t>
            </w:r>
            <w:r>
              <w:rPr>
                <w:rFonts w:hint="eastAsia"/>
                <w:sz w:val="24"/>
              </w:rPr>
              <w:t>年</w:t>
            </w:r>
          </w:p>
        </w:tc>
        <w:tc>
          <w:tcPr>
            <w:tcW w:w="2477" w:type="dxa"/>
            <w:vAlign w:val="center"/>
          </w:tcPr>
          <w:p w:rsidR="00754F92" w:rsidRDefault="002B0DD0">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p>
          <w:p w:rsidR="00754F92" w:rsidRDefault="00754F92"/>
        </w:tc>
      </w:tr>
      <w:tr w:rsidR="00754F92">
        <w:tc>
          <w:tcPr>
            <w:tcW w:w="1134" w:type="dxa"/>
            <w:vAlign w:val="center"/>
          </w:tcPr>
          <w:p w:rsidR="00754F92" w:rsidRDefault="002B0DD0">
            <w:pPr>
              <w:jc w:val="center"/>
            </w:pPr>
            <w:r>
              <w:rPr>
                <w:rFonts w:hint="eastAsia"/>
                <w:sz w:val="24"/>
              </w:rPr>
              <w:t>连端清</w:t>
            </w:r>
          </w:p>
        </w:tc>
        <w:tc>
          <w:tcPr>
            <w:tcW w:w="1134" w:type="dxa"/>
            <w:vAlign w:val="center"/>
          </w:tcPr>
          <w:p w:rsidR="00754F92" w:rsidRDefault="002B0DD0">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天债券、交银丰盈收益债券、交银现金宝货币、交银丰润收益债券、交银活期通货币、交银天利宝货币、交银裕隆纯债债券、交银天鑫宝货币、交银天益宝货币的基金经理</w:t>
            </w:r>
          </w:p>
        </w:tc>
        <w:tc>
          <w:tcPr>
            <w:tcW w:w="1701" w:type="dxa"/>
            <w:vAlign w:val="center"/>
          </w:tcPr>
          <w:p w:rsidR="00754F92" w:rsidRDefault="002B0DD0">
            <w:pPr>
              <w:jc w:val="center"/>
            </w:pPr>
            <w:r>
              <w:rPr>
                <w:rFonts w:hint="eastAsia"/>
                <w:sz w:val="24"/>
              </w:rPr>
              <w:t>2015-10-16</w:t>
            </w:r>
          </w:p>
        </w:tc>
        <w:tc>
          <w:tcPr>
            <w:tcW w:w="1560" w:type="dxa"/>
            <w:vAlign w:val="center"/>
          </w:tcPr>
          <w:p w:rsidR="00754F92" w:rsidRDefault="002B0DD0">
            <w:pPr>
              <w:jc w:val="center"/>
            </w:pPr>
            <w:r>
              <w:rPr>
                <w:rFonts w:hint="eastAsia"/>
                <w:sz w:val="24"/>
              </w:rPr>
              <w:t>-</w:t>
            </w:r>
          </w:p>
        </w:tc>
        <w:tc>
          <w:tcPr>
            <w:tcW w:w="992" w:type="dxa"/>
            <w:vAlign w:val="center"/>
          </w:tcPr>
          <w:p w:rsidR="00754F92" w:rsidRDefault="002B0DD0">
            <w:pPr>
              <w:jc w:val="center"/>
            </w:pPr>
            <w:r>
              <w:rPr>
                <w:rFonts w:hint="eastAsia"/>
                <w:sz w:val="24"/>
              </w:rPr>
              <w:t>5</w:t>
            </w:r>
            <w:r>
              <w:rPr>
                <w:rFonts w:hint="eastAsia"/>
                <w:sz w:val="24"/>
              </w:rPr>
              <w:t>年</w:t>
            </w:r>
          </w:p>
        </w:tc>
        <w:tc>
          <w:tcPr>
            <w:tcW w:w="2477" w:type="dxa"/>
            <w:vAlign w:val="center"/>
          </w:tcPr>
          <w:p w:rsidR="00754F92" w:rsidRDefault="002B0DD0">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p w:rsidR="00754F92" w:rsidRDefault="00754F92"/>
        </w:tc>
      </w:tr>
    </w:tbl>
    <w:p w:rsidR="00754F92" w:rsidRDefault="002B0DD0">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754F92" w:rsidRDefault="002B0DD0">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754F92" w:rsidRDefault="002B0DD0">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754F92" w:rsidRDefault="002B0DD0">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54F92" w:rsidRDefault="002B0DD0">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754F92" w:rsidRDefault="002B0DD0">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754F92" w:rsidRDefault="002B0DD0">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754F92" w:rsidRDefault="002B0DD0">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本报告期内公司严格执行公平交易制度，公平对待旗下各投资组合。通过投资交易监控、交易数据分析、专项稽核检查等，本基金管理人未发现任何违反公平交易制度的行为。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本基金于本报告期内未发现异常交易行为。本报告期内，本公司管理的所有投资组合参与的交易所公开竞价同日反向交易成交较少的单边交易量超过该证券当日总成交量</w:t>
      </w:r>
      <w:r w:rsidRPr="00C64C58">
        <w:rPr>
          <w:rFonts w:hint="eastAsia"/>
          <w:color w:val="000000"/>
          <w:sz w:val="24"/>
        </w:rPr>
        <w:t>5%</w:t>
      </w:r>
      <w:r w:rsidRPr="00C64C58">
        <w:rPr>
          <w:rFonts w:hint="eastAsia"/>
          <w:color w:val="000000"/>
          <w:sz w:val="24"/>
        </w:rPr>
        <w:t>的情况有</w:t>
      </w:r>
      <w:r w:rsidRPr="00C64C58">
        <w:rPr>
          <w:rFonts w:hint="eastAsia"/>
          <w:color w:val="000000"/>
          <w:sz w:val="24"/>
        </w:rPr>
        <w:t>2</w:t>
      </w:r>
      <w:r w:rsidRPr="00C64C58">
        <w:rPr>
          <w:rFonts w:hint="eastAsia"/>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日内）同向交易的交易价差未发现异常。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754F92" w:rsidRDefault="002B0DD0">
      <w:pPr>
        <w:spacing w:before="29" w:line="288" w:lineRule="auto"/>
        <w:ind w:firstLineChars="200" w:firstLine="480"/>
        <w:rPr>
          <w:color w:val="000000"/>
          <w:sz w:val="24"/>
        </w:rPr>
      </w:pPr>
      <w:r>
        <w:rPr>
          <w:rFonts w:hint="eastAsia"/>
          <w:color w:val="000000"/>
          <w:sz w:val="24"/>
        </w:rPr>
        <w:t>本报告期内，国内经济整体上延续弱势平稳的态势。央行货币政策中性稳健定调未变，央行持续逆回购及</w:t>
      </w:r>
      <w:r>
        <w:rPr>
          <w:rFonts w:hint="eastAsia"/>
          <w:color w:val="000000"/>
          <w:sz w:val="24"/>
        </w:rPr>
        <w:t>MLF</w:t>
      </w:r>
      <w:r>
        <w:rPr>
          <w:rFonts w:hint="eastAsia"/>
          <w:color w:val="000000"/>
          <w:sz w:val="24"/>
        </w:rPr>
        <w:t>以维护资金面平稳，但通过抬升资金成本引导金融机构主动控制杠杆风险，加强流动性管理。同时监管升级对流动性亦有一定影响。临近</w:t>
      </w:r>
      <w:r>
        <w:rPr>
          <w:rFonts w:hint="eastAsia"/>
          <w:color w:val="000000"/>
          <w:sz w:val="24"/>
        </w:rPr>
        <w:t>2016</w:t>
      </w:r>
      <w:r>
        <w:rPr>
          <w:rFonts w:hint="eastAsia"/>
          <w:color w:val="000000"/>
          <w:sz w:val="24"/>
        </w:rPr>
        <w:t>年年末，银行系统内部流动性趋紧，货币市场工具利率大幅上行。</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基金操作方面，本基金通过合理有效的久期管理，保障了组合充足的流动性；动态对比债券、回购、存款、同业存单的收益率，排序选择更优的资产进行配置，在力保安全性、流动性的同时，努力提高长期收益。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本报告期内，交银货币</w:t>
      </w:r>
      <w:r w:rsidRPr="00C64C58">
        <w:rPr>
          <w:rFonts w:hint="eastAsia"/>
          <w:color w:val="000000"/>
          <w:sz w:val="24"/>
        </w:rPr>
        <w:t>A</w:t>
      </w:r>
      <w:r w:rsidRPr="00C64C58">
        <w:rPr>
          <w:rFonts w:hint="eastAsia"/>
          <w:color w:val="000000"/>
          <w:sz w:val="24"/>
        </w:rPr>
        <w:t>净值收益率为</w:t>
      </w:r>
      <w:r w:rsidRPr="00C64C58">
        <w:rPr>
          <w:rFonts w:hint="eastAsia"/>
          <w:color w:val="000000"/>
          <w:sz w:val="24"/>
        </w:rPr>
        <w:t>2.4728%</w:t>
      </w:r>
      <w:r w:rsidRPr="00C64C58">
        <w:rPr>
          <w:rFonts w:hint="eastAsia"/>
          <w:color w:val="000000"/>
          <w:sz w:val="24"/>
        </w:rPr>
        <w:t>，交银货币</w:t>
      </w:r>
      <w:r w:rsidRPr="00C64C58">
        <w:rPr>
          <w:rFonts w:hint="eastAsia"/>
          <w:color w:val="000000"/>
          <w:sz w:val="24"/>
        </w:rPr>
        <w:t>B</w:t>
      </w:r>
      <w:r w:rsidRPr="00C64C58">
        <w:rPr>
          <w:rFonts w:hint="eastAsia"/>
          <w:color w:val="000000"/>
          <w:sz w:val="24"/>
        </w:rPr>
        <w:t>净值收益率为</w:t>
      </w:r>
      <w:r w:rsidRPr="00C64C58">
        <w:rPr>
          <w:rFonts w:hint="eastAsia"/>
          <w:color w:val="000000"/>
          <w:sz w:val="24"/>
        </w:rPr>
        <w:t>2.7187%</w:t>
      </w:r>
      <w:r w:rsidRPr="00C64C58">
        <w:rPr>
          <w:rFonts w:hint="eastAsia"/>
          <w:color w:val="000000"/>
          <w:sz w:val="24"/>
        </w:rPr>
        <w:t>，同期业绩比较基准增长率为</w:t>
      </w:r>
      <w:r w:rsidRPr="00C64C58">
        <w:rPr>
          <w:rFonts w:hint="eastAsia"/>
          <w:color w:val="000000"/>
          <w:sz w:val="24"/>
        </w:rPr>
        <w:t>1.3036%</w:t>
      </w:r>
      <w:r w:rsidRPr="00C64C58">
        <w:rPr>
          <w:rFonts w:hint="eastAsia"/>
          <w:color w:val="000000"/>
          <w:sz w:val="24"/>
        </w:rPr>
        <w:t>。</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展望</w:t>
      </w:r>
      <w:r w:rsidRPr="00C64C58">
        <w:rPr>
          <w:rFonts w:hint="eastAsia"/>
          <w:color w:val="000000"/>
          <w:sz w:val="24"/>
        </w:rPr>
        <w:t>2017</w:t>
      </w:r>
      <w:r w:rsidRPr="00C64C58">
        <w:rPr>
          <w:rFonts w:hint="eastAsia"/>
          <w:color w:val="000000"/>
          <w:sz w:val="24"/>
        </w:rPr>
        <w:t>年，我们对债券市场保持谨慎乐观的态度。中国内在的经济增长动能仍处于下降通道，未来可能低位波动，因此基本面依然对债市有所支撑。但债券市场仍存在一些不确定因素，包括金融机构去杠杆的力度，通胀压力是否缓解，资金面的波动等。本基金将根据不同资产收益率的动态变化，适时调整组合结构，根据期限利差动态调整组合杠杆率，通过对市场利率的前瞻性判断进行合理有效的久期管理，尽力严格控制信用风险、流动性风险和利率风险，努力为持有人创造较为稳健的收益。</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754F92" w:rsidRDefault="002B0DD0">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54F92" w:rsidRDefault="002B0DD0">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遵照法律法规及基金合同的约定，本基金每日分配收益，按月结转份额。本基金本报告期内利润分配情况参见</w:t>
      </w:r>
      <w:r w:rsidR="004B3453">
        <w:rPr>
          <w:rFonts w:hint="eastAsia"/>
          <w:kern w:val="0"/>
          <w:sz w:val="24"/>
        </w:rPr>
        <w:t>年度</w:t>
      </w:r>
      <w:r w:rsidR="004B3453">
        <w:rPr>
          <w:kern w:val="0"/>
          <w:sz w:val="24"/>
        </w:rPr>
        <w:t>报告正文</w:t>
      </w:r>
      <w:r w:rsidRPr="00C64C58">
        <w:rPr>
          <w:rFonts w:hint="eastAsia"/>
          <w:color w:val="000000"/>
          <w:sz w:val="24"/>
        </w:rPr>
        <w:t>7.4.7.10</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4E65B4">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w:t>
      </w:r>
      <w:r w:rsidRPr="00C64C58">
        <w:rPr>
          <w:rFonts w:hint="eastAsia"/>
          <w:color w:val="000000"/>
          <w:sz w:val="24"/>
        </w:rPr>
        <w:t>2016</w:t>
      </w:r>
      <w:r w:rsidRPr="00C64C58">
        <w:rPr>
          <w:rFonts w:hint="eastAsia"/>
          <w:color w:val="000000"/>
          <w:sz w:val="24"/>
        </w:rPr>
        <w:t>年</w:t>
      </w:r>
      <w:r w:rsidRPr="00C64C58">
        <w:rPr>
          <w:rFonts w:hint="eastAsia"/>
          <w:color w:val="000000"/>
          <w:sz w:val="24"/>
        </w:rPr>
        <w:t>1</w:t>
      </w:r>
      <w:r w:rsidRPr="00C64C58">
        <w:rPr>
          <w:rFonts w:hint="eastAsia"/>
          <w:color w:val="000000"/>
          <w:sz w:val="24"/>
        </w:rPr>
        <w:t>月</w:t>
      </w:r>
      <w:r w:rsidRPr="00C64C58">
        <w:rPr>
          <w:rFonts w:hint="eastAsia"/>
          <w:color w:val="000000"/>
          <w:sz w:val="24"/>
        </w:rPr>
        <w:t>1</w:t>
      </w:r>
      <w:r w:rsidRPr="00C64C58">
        <w:rPr>
          <w:rFonts w:hint="eastAsia"/>
          <w:color w:val="000000"/>
          <w:sz w:val="24"/>
        </w:rPr>
        <w:t>日至</w:t>
      </w:r>
      <w:r w:rsidRPr="00C64C58">
        <w:rPr>
          <w:rFonts w:hint="eastAsia"/>
          <w:color w:val="000000"/>
          <w:sz w:val="24"/>
        </w:rPr>
        <w:t>2016</w:t>
      </w:r>
      <w:r w:rsidRPr="00C64C58">
        <w:rPr>
          <w:rFonts w:hint="eastAsia"/>
          <w:color w:val="000000"/>
          <w:sz w:val="24"/>
        </w:rPr>
        <w:t>年</w:t>
      </w:r>
      <w:r w:rsidRPr="00C64C58">
        <w:rPr>
          <w:rFonts w:hint="eastAsia"/>
          <w:color w:val="000000"/>
          <w:sz w:val="24"/>
        </w:rPr>
        <w:t>12</w:t>
      </w:r>
      <w:r w:rsidRPr="00C64C58">
        <w:rPr>
          <w:rFonts w:hint="eastAsia"/>
          <w:color w:val="000000"/>
          <w:sz w:val="24"/>
        </w:rPr>
        <w:t>月</w:t>
      </w:r>
      <w:r w:rsidRPr="00C64C58">
        <w:rPr>
          <w:rFonts w:hint="eastAsia"/>
          <w:color w:val="000000"/>
          <w:sz w:val="24"/>
        </w:rPr>
        <w:t>31</w:t>
      </w:r>
      <w:r w:rsidRPr="00C64C58">
        <w:rPr>
          <w:rFonts w:hint="eastAsia"/>
          <w:color w:val="000000"/>
          <w:sz w:val="24"/>
        </w:rPr>
        <w:t>日基金的投资运作，进行了认真、独立的会计核算和必要的投资监督，认真履行了托管人的义务，没有从事任何损害基金份额持有人利益的行为。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C46E0" w:rsidRPr="00C64C58" w:rsidRDefault="009C46E0" w:rsidP="00C64C58">
      <w:pPr>
        <w:spacing w:before="29" w:line="288" w:lineRule="auto"/>
        <w:ind w:firstLineChars="200" w:firstLine="480"/>
        <w:rPr>
          <w:color w:val="000000"/>
          <w:sz w:val="24"/>
        </w:rPr>
      </w:pPr>
    </w:p>
    <w:p w:rsidR="00223DFB" w:rsidRDefault="00223DFB" w:rsidP="004E65B4">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德勤华永会计师事务所（特殊普通合伙）</w:t>
      </w:r>
      <w:r w:rsidRPr="00A009EE">
        <w:rPr>
          <w:rFonts w:hint="eastAsia"/>
          <w:color w:val="000000"/>
          <w:sz w:val="24"/>
        </w:rPr>
        <w:t>对</w:t>
      </w:r>
      <w:r w:rsidRPr="003C6BFD">
        <w:rPr>
          <w:color w:val="000000"/>
          <w:sz w:val="24"/>
        </w:rPr>
        <w:t>交银施罗德货币市场证券投资基金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德师报</w:t>
      </w:r>
      <w:r w:rsidRPr="001F3653">
        <w:rPr>
          <w:color w:val="000000"/>
          <w:sz w:val="24"/>
        </w:rPr>
        <w:t>(</w:t>
      </w:r>
      <w:r w:rsidRPr="001F3653">
        <w:rPr>
          <w:color w:val="000000"/>
          <w:sz w:val="24"/>
        </w:rPr>
        <w:t>审</w:t>
      </w:r>
      <w:r w:rsidRPr="001F3653">
        <w:rPr>
          <w:color w:val="000000"/>
          <w:sz w:val="24"/>
        </w:rPr>
        <w:t>)</w:t>
      </w:r>
      <w:r w:rsidRPr="001F3653">
        <w:rPr>
          <w:color w:val="000000"/>
          <w:sz w:val="24"/>
        </w:rPr>
        <w:t>字</w:t>
      </w:r>
      <w:r w:rsidRPr="001F3653">
        <w:rPr>
          <w:color w:val="000000"/>
          <w:sz w:val="24"/>
        </w:rPr>
        <w:t>(1</w:t>
      </w:r>
      <w:r w:rsidR="00661A35">
        <w:rPr>
          <w:rFonts w:hint="eastAsia"/>
          <w:color w:val="000000"/>
          <w:sz w:val="24"/>
        </w:rPr>
        <w:t>7</w:t>
      </w:r>
      <w:r w:rsidRPr="001F3653">
        <w:rPr>
          <w:color w:val="000000"/>
          <w:sz w:val="24"/>
        </w:rPr>
        <w:t>)</w:t>
      </w:r>
      <w:r w:rsidRPr="001F3653">
        <w:rPr>
          <w:color w:val="000000"/>
          <w:sz w:val="24"/>
        </w:rPr>
        <w:t>第</w:t>
      </w:r>
      <w:r w:rsidRPr="001F3653">
        <w:rPr>
          <w:color w:val="000000"/>
          <w:sz w:val="24"/>
        </w:rPr>
        <w:t>P01</w:t>
      </w:r>
      <w:r w:rsidR="00661A35">
        <w:rPr>
          <w:rFonts w:hint="eastAsia"/>
          <w:color w:val="000000"/>
          <w:sz w:val="24"/>
        </w:rPr>
        <w:t>122</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4E65B4">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会计主体：交银施罗德货币市场证券投资基金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2016</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2016</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2015</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15,573,668,636.35</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8,546,168,488.48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8,792,126,651.39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12,023,618,326.32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8,792,126,651.39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12,023,618,326.32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13,381,306,970.84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8,156,605,194.91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96,326,583.62</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104,331,874.57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486,207,772.76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62,760,537.62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38,329,636,614.96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28,893,484,421.90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2016</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2015</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1,326,457.38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5,520,225.98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6,156,535.88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5,383,514.57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1,865,616.92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1,631,368.07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324,036.17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337,780.10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107,322.65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76,392.95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258,904.11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258,904.11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33,010,734.59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35,141,735.36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227,534.69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210,811.88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43,277,142.39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48,560,733.02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38,286,359,472.57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28,844,923,688.88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38,286,359,472.57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28,844,923,688.88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38,329,636,614.96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28,893,484,421.90</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2016</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t>38,286,359,472.57</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w:t>
      </w:r>
      <w:r w:rsidR="00223DFB" w:rsidRPr="005124D4">
        <w:rPr>
          <w:rFonts w:hint="eastAsia"/>
          <w:kern w:val="0"/>
          <w:sz w:val="24"/>
        </w:rPr>
        <w:t>991,001,158.11</w:t>
      </w:r>
      <w:r w:rsidR="00223DFB" w:rsidRPr="005124D4">
        <w:rPr>
          <w:rFonts w:hint="eastAsia"/>
          <w:kern w:val="0"/>
          <w:sz w:val="24"/>
        </w:rPr>
        <w:t>份，</w:t>
      </w:r>
      <w:r w:rsidR="00223DFB" w:rsidRPr="005124D4">
        <w:rPr>
          <w:rFonts w:hint="eastAsia"/>
          <w:kern w:val="0"/>
          <w:sz w:val="24"/>
        </w:rPr>
        <w:t>B</w:t>
      </w:r>
      <w:r w:rsidR="00223DFB" w:rsidRPr="005124D4">
        <w:rPr>
          <w:rFonts w:hint="eastAsia"/>
          <w:kern w:val="0"/>
          <w:sz w:val="24"/>
        </w:rPr>
        <w:t>类基金份额</w:t>
      </w:r>
      <w:r w:rsidR="00223DFB" w:rsidRPr="005124D4">
        <w:rPr>
          <w:rFonts w:hint="eastAsia"/>
          <w:kern w:val="0"/>
          <w:sz w:val="24"/>
        </w:rPr>
        <w:t>37,295,358,314.46</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会计主体：交银施罗德货币市场证券投资基金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2016</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2016</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2015</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2015</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731,474,313.46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416,989,061.84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726,044,761.75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402,187,336.34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269,750,587.59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216,768,032.73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412,286,894.30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158,819,779.75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44,007,279.86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26,599,523.86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5,417,325.81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14,775,845.50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5,417,325.81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14,775,845.50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12,225.90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25,880.00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115,263,640.65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60,418,300.13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76,212,261.51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39,340,601.00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23,094,624.56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11,921,394.17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3,921,284.45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3,491,829.89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11,600,824.75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5,276,130.49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11,600,824.75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5,276,130.49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6</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434,645.38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388,344.58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三、利润总额（亏损总额以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616,210,672.81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356,570,761.71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四、净利润（净亏损以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616,210,672.81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356,570,761.71</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会计主体：交银施罗德货币市场证券投资基金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2016</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2016</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2016</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2016</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28,844,923,688.88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28,844,923,688.88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616,210,672.81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616,210,672.81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9,441,435,783.69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9,441,435,783.69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124,885,948,482.02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124,885,948,482.02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-115,444,512,698.33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-115,444,512,698.33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-616,210,672.81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-616,210,672.81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38,286,359,472.57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38,286,359,472.57</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2015</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2015</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4,732,647,281.74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4,732,647,281.74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356,570,761.71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356,570,761.71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24,112,276,407.14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24,112,276,407.14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78,757,311,446.48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78,757,311,446.48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-54,645,035,039.34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-54,645,035,039.34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-356,570,761.71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-356,570,761.71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28,844,923,688.88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28,844,923,688.88</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负责人：阮红，主管会计工作负责人：夏华龙，会计机构负责人：单江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8" w:name="_Toc331410100"/>
      <w:bookmarkStart w:id="9"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8"/>
      <w:bookmarkEnd w:id="9"/>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754F92" w:rsidRDefault="002B0DD0">
      <w:pPr>
        <w:spacing w:before="29" w:line="288" w:lineRule="auto"/>
        <w:ind w:firstLineChars="200" w:firstLine="480"/>
        <w:rPr>
          <w:color w:val="000000"/>
          <w:sz w:val="24"/>
        </w:rPr>
      </w:pPr>
      <w:r>
        <w:rPr>
          <w:rFonts w:hint="eastAsia"/>
          <w:color w:val="000000"/>
          <w:sz w:val="24"/>
        </w:rPr>
        <w:t>交银施罗德货币市场证券投资基金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系由基金管理人交银施罗德基金管理有限公司依照《中华人民共和国证券投资基金法》、《交银施罗德货币市场证券投资基金基金合同》及其他有关法律法规的规定，经中国证券监督管理委员会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以证监基金字</w:t>
      </w:r>
      <w:r>
        <w:rPr>
          <w:rFonts w:hint="eastAsia"/>
          <w:color w:val="000000"/>
          <w:sz w:val="24"/>
        </w:rPr>
        <w:t>[2005]204</w:t>
      </w:r>
      <w:r>
        <w:rPr>
          <w:rFonts w:hint="eastAsia"/>
          <w:color w:val="000000"/>
          <w:sz w:val="24"/>
        </w:rPr>
        <w:t>号文批准公开募集。本基金为契约型开放式基金，存续期限不定，首次设立募集基金份额为</w:t>
      </w:r>
      <w:r>
        <w:rPr>
          <w:rFonts w:hint="eastAsia"/>
          <w:color w:val="000000"/>
          <w:sz w:val="24"/>
        </w:rPr>
        <w:t>4,741,255,133.16</w:t>
      </w:r>
      <w:r>
        <w:rPr>
          <w:rFonts w:hint="eastAsia"/>
          <w:color w:val="000000"/>
          <w:sz w:val="24"/>
        </w:rPr>
        <w:t>份，经德勤华永会计师事务所有限公司验证，并出具了编号为德师报</w:t>
      </w:r>
      <w:r>
        <w:rPr>
          <w:rFonts w:hint="eastAsia"/>
          <w:color w:val="000000"/>
          <w:sz w:val="24"/>
        </w:rPr>
        <w:t>(</w:t>
      </w:r>
      <w:r>
        <w:rPr>
          <w:rFonts w:hint="eastAsia"/>
          <w:color w:val="000000"/>
          <w:sz w:val="24"/>
        </w:rPr>
        <w:t>验</w:t>
      </w:r>
      <w:r>
        <w:rPr>
          <w:rFonts w:hint="eastAsia"/>
          <w:color w:val="000000"/>
          <w:sz w:val="24"/>
        </w:rPr>
        <w:t>)</w:t>
      </w:r>
      <w:r>
        <w:rPr>
          <w:rFonts w:hint="eastAsia"/>
          <w:color w:val="000000"/>
          <w:sz w:val="24"/>
        </w:rPr>
        <w:t>字</w:t>
      </w:r>
      <w:r>
        <w:rPr>
          <w:rFonts w:hint="eastAsia"/>
          <w:color w:val="000000"/>
          <w:sz w:val="24"/>
        </w:rPr>
        <w:t>(06)</w:t>
      </w:r>
      <w:r>
        <w:rPr>
          <w:rFonts w:hint="eastAsia"/>
          <w:color w:val="000000"/>
          <w:sz w:val="24"/>
        </w:rPr>
        <w:t>第</w:t>
      </w:r>
      <w:r>
        <w:rPr>
          <w:rFonts w:hint="eastAsia"/>
          <w:color w:val="000000"/>
          <w:sz w:val="24"/>
        </w:rPr>
        <w:t>0003</w:t>
      </w:r>
      <w:r>
        <w:rPr>
          <w:rFonts w:hint="eastAsia"/>
          <w:color w:val="000000"/>
          <w:sz w:val="24"/>
        </w:rPr>
        <w:t>号验资报告。《交银施罗德货币市场证券投资基金基金合同》</w:t>
      </w:r>
      <w:r>
        <w:rPr>
          <w:rFonts w:hint="eastAsia"/>
          <w:color w:val="000000"/>
          <w:sz w:val="24"/>
        </w:rPr>
        <w:t>(</w:t>
      </w:r>
      <w:r>
        <w:rPr>
          <w:rFonts w:hint="eastAsia"/>
          <w:color w:val="000000"/>
          <w:sz w:val="24"/>
        </w:rPr>
        <w:t>以下简称“原基金合同”</w:t>
      </w:r>
      <w:r>
        <w:rPr>
          <w:rFonts w:hint="eastAsia"/>
          <w:color w:val="000000"/>
          <w:sz w:val="24"/>
        </w:rPr>
        <w:t>)</w:t>
      </w:r>
      <w:r>
        <w:rPr>
          <w:rFonts w:hint="eastAsia"/>
          <w:color w:val="000000"/>
          <w:sz w:val="24"/>
        </w:rPr>
        <w:t>于</w:t>
      </w:r>
      <w:r>
        <w:rPr>
          <w:rFonts w:hint="eastAsia"/>
          <w:color w:val="000000"/>
          <w:sz w:val="24"/>
        </w:rPr>
        <w:t>2006</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20</w:t>
      </w:r>
      <w:r>
        <w:rPr>
          <w:rFonts w:hint="eastAsia"/>
          <w:color w:val="000000"/>
          <w:sz w:val="24"/>
        </w:rPr>
        <w:t>日正式生效。本基金因自</w:t>
      </w:r>
      <w:r>
        <w:rPr>
          <w:rFonts w:hint="eastAsia"/>
          <w:color w:val="000000"/>
          <w:sz w:val="24"/>
        </w:rPr>
        <w:t>2007</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1</w:t>
      </w:r>
      <w:r>
        <w:rPr>
          <w:rFonts w:hint="eastAsia"/>
          <w:color w:val="000000"/>
          <w:sz w:val="24"/>
        </w:rPr>
        <w:t>日起执行财政部于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日颁布的企业会计准则及相关规定</w:t>
      </w:r>
      <w:r>
        <w:rPr>
          <w:rFonts w:hint="eastAsia"/>
          <w:color w:val="000000"/>
          <w:sz w:val="24"/>
        </w:rPr>
        <w:t>(</w:t>
      </w:r>
      <w:r>
        <w:rPr>
          <w:rFonts w:hint="eastAsia"/>
          <w:color w:val="000000"/>
          <w:sz w:val="24"/>
        </w:rPr>
        <w:t>以下简称“企业会计准则”</w:t>
      </w:r>
      <w:r>
        <w:rPr>
          <w:rFonts w:hint="eastAsia"/>
          <w:color w:val="000000"/>
          <w:sz w:val="24"/>
        </w:rPr>
        <w:t>)</w:t>
      </w:r>
      <w:r>
        <w:rPr>
          <w:rFonts w:hint="eastAsia"/>
          <w:color w:val="000000"/>
          <w:sz w:val="24"/>
        </w:rPr>
        <w:t>，于</w:t>
      </w:r>
      <w:r>
        <w:rPr>
          <w:rFonts w:hint="eastAsia"/>
          <w:color w:val="000000"/>
          <w:sz w:val="24"/>
        </w:rPr>
        <w:t>2007</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29</w:t>
      </w:r>
      <w:r>
        <w:rPr>
          <w:rFonts w:hint="eastAsia"/>
          <w:color w:val="000000"/>
          <w:sz w:val="24"/>
        </w:rPr>
        <w:t>日公告了修改后的基金合同</w:t>
      </w:r>
      <w:r>
        <w:rPr>
          <w:rFonts w:hint="eastAsia"/>
          <w:color w:val="000000"/>
          <w:sz w:val="24"/>
        </w:rPr>
        <w:t>(</w:t>
      </w:r>
      <w:r>
        <w:rPr>
          <w:rFonts w:hint="eastAsia"/>
          <w:color w:val="000000"/>
          <w:sz w:val="24"/>
        </w:rPr>
        <w:t>以下简称“修改后的基金合同”</w:t>
      </w:r>
      <w:r>
        <w:rPr>
          <w:rFonts w:hint="eastAsia"/>
          <w:color w:val="000000"/>
          <w:sz w:val="24"/>
        </w:rPr>
        <w:t>)</w:t>
      </w:r>
      <w:r>
        <w:rPr>
          <w:rFonts w:hint="eastAsia"/>
          <w:color w:val="000000"/>
          <w:sz w:val="24"/>
        </w:rPr>
        <w:t>。本基金的管理人为交银施罗德基金管理有限公司，托管人为中国农业银行股份有限公司</w:t>
      </w:r>
      <w:r>
        <w:rPr>
          <w:rFonts w:hint="eastAsia"/>
          <w:color w:val="000000"/>
          <w:sz w:val="24"/>
        </w:rPr>
        <w:t>(</w:t>
      </w:r>
      <w:r>
        <w:rPr>
          <w:rFonts w:hint="eastAsia"/>
          <w:color w:val="000000"/>
          <w:sz w:val="24"/>
        </w:rPr>
        <w:t>以下简称“中国农业银行”</w:t>
      </w:r>
      <w:r>
        <w:rPr>
          <w:rFonts w:hint="eastAsia"/>
          <w:color w:val="000000"/>
          <w:sz w:val="24"/>
        </w:rPr>
        <w:t>)</w:t>
      </w:r>
      <w:r>
        <w:rPr>
          <w:rFonts w:hint="eastAsia"/>
          <w:color w:val="000000"/>
          <w:sz w:val="24"/>
        </w:rPr>
        <w:t>。</w:t>
      </w:r>
    </w:p>
    <w:p w:rsidR="00754F92" w:rsidRDefault="002B0DD0">
      <w:pPr>
        <w:spacing w:before="29" w:line="288" w:lineRule="auto"/>
        <w:ind w:firstLineChars="200" w:firstLine="480"/>
        <w:rPr>
          <w:color w:val="000000"/>
          <w:sz w:val="24"/>
        </w:rPr>
      </w:pPr>
      <w:r>
        <w:rPr>
          <w:rFonts w:hint="eastAsia"/>
          <w:color w:val="000000"/>
          <w:sz w:val="24"/>
        </w:rPr>
        <w:t>根据《中华人民共和国证券投资基金法》、修改后的基金合同和定期更新的本基金招募说明书的有关规定，本基金的投资范围为现金、通知存款、一年以内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的银行定期存款或大额存单、剩余期限在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的中央银行票据、期限在一年以内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的债券回购、剩余期限在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的资产支持证券以及中国证监会、中国人民银行认可的其他具有良好流动性的货币市场工具。本基金的业绩比较基准采用：六个月银行定期存款利率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w:t>
      </w:r>
      <w:r w:rsidR="004E0BED">
        <w:rPr>
          <w:color w:val="000000"/>
          <w:sz w:val="24"/>
        </w:rPr>
        <w:t>7</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24</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本基金的财务报表按照财政部颁布的企业会计准则以及相关规定</w:t>
      </w:r>
      <w:r w:rsidRPr="00FE0F8A">
        <w:rPr>
          <w:rFonts w:hint="eastAsia"/>
          <w:color w:val="000000"/>
          <w:sz w:val="24"/>
        </w:rPr>
        <w:t>(</w:t>
      </w:r>
      <w:r w:rsidRPr="00FE0F8A">
        <w:rPr>
          <w:rFonts w:hint="eastAsia"/>
          <w:color w:val="000000"/>
          <w:sz w:val="24"/>
        </w:rPr>
        <w:t>以下合称“企业会计准则”</w:t>
      </w:r>
      <w:r w:rsidRPr="00FE0F8A">
        <w:rPr>
          <w:rFonts w:hint="eastAsia"/>
          <w:color w:val="000000"/>
          <w:sz w:val="24"/>
        </w:rPr>
        <w:t>)</w:t>
      </w:r>
      <w:r w:rsidRPr="00FE0F8A">
        <w:rPr>
          <w:rFonts w:hint="eastAsia"/>
          <w:color w:val="000000"/>
          <w:sz w:val="24"/>
        </w:rPr>
        <w:t>、中国证监会颁布的《证券投资基金信息披露</w:t>
      </w:r>
      <w:r w:rsidRPr="00FE0F8A">
        <w:rPr>
          <w:rFonts w:hint="eastAsia"/>
          <w:color w:val="000000"/>
          <w:sz w:val="24"/>
        </w:rPr>
        <w:t>XBRL</w:t>
      </w:r>
      <w:r w:rsidRPr="00FE0F8A">
        <w:rPr>
          <w:rFonts w:hint="eastAsia"/>
          <w:color w:val="000000"/>
          <w:sz w:val="24"/>
        </w:rPr>
        <w:t>模板第</w:t>
      </w:r>
      <w:r w:rsidRPr="00FE0F8A">
        <w:rPr>
          <w:rFonts w:hint="eastAsia"/>
          <w:color w:val="000000"/>
          <w:sz w:val="24"/>
        </w:rPr>
        <w:t>3</w:t>
      </w:r>
      <w:r w:rsidRPr="00FE0F8A">
        <w:rPr>
          <w:rFonts w:hint="eastAsia"/>
          <w:color w:val="000000"/>
          <w:sz w:val="24"/>
        </w:rPr>
        <w:t>号</w:t>
      </w:r>
      <w:r w:rsidRPr="00FE0F8A">
        <w:rPr>
          <w:rFonts w:hint="eastAsia"/>
          <w:color w:val="000000"/>
          <w:sz w:val="24"/>
        </w:rPr>
        <w:t>&lt;</w:t>
      </w:r>
      <w:r w:rsidRPr="00FE0F8A">
        <w:rPr>
          <w:rFonts w:hint="eastAsia"/>
          <w:color w:val="000000"/>
          <w:sz w:val="24"/>
        </w:rPr>
        <w:t>年度报告和半年度报告</w:t>
      </w:r>
      <w:r w:rsidRPr="00FE0F8A">
        <w:rPr>
          <w:rFonts w:hint="eastAsia"/>
          <w:color w:val="000000"/>
          <w:sz w:val="24"/>
        </w:rPr>
        <w:t>&gt;</w:t>
      </w:r>
      <w:r w:rsidRPr="00FE0F8A">
        <w:rPr>
          <w:rFonts w:hint="eastAsia"/>
          <w:color w:val="000000"/>
          <w:sz w:val="24"/>
        </w:rPr>
        <w:t>》、中国证券投资基金业协会颁布的《证券投资基金会计核算业务指引》、《交银施罗德货币市场证券投资基金基金合同》和在财务报表附注</w:t>
      </w:r>
      <w:r w:rsidRPr="00FE0F8A">
        <w:rPr>
          <w:rFonts w:hint="eastAsia"/>
          <w:color w:val="000000"/>
          <w:sz w:val="24"/>
        </w:rPr>
        <w:t>7.4.4</w:t>
      </w:r>
      <w:r w:rsidRPr="00FE0F8A">
        <w:rPr>
          <w:rFonts w:hint="eastAsia"/>
          <w:color w:val="000000"/>
          <w:sz w:val="24"/>
        </w:rPr>
        <w:t>所列示的中国证监会发布的基金行业实务操作编制。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本基金财务报表的编制符合企业会计准则和中国证监会发布的关于基金行业实务操作有关规定的要求，真实、完整地反映了本基金</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2016</w:t>
      </w:r>
      <w:r w:rsidRPr="00FE0F8A">
        <w:rPr>
          <w:rFonts w:hint="eastAsia"/>
          <w:color w:val="000000"/>
          <w:sz w:val="24"/>
        </w:rPr>
        <w:t>年度的经营成果和基金净值变动情况。</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223DFB" w:rsidP="00FE0F8A">
      <w:pPr>
        <w:spacing w:before="29" w:line="288" w:lineRule="auto"/>
        <w:ind w:firstLineChars="200" w:firstLine="480"/>
        <w:rPr>
          <w:color w:val="000000"/>
          <w:sz w:val="24"/>
        </w:rPr>
      </w:pPr>
      <w:r w:rsidRPr="00FE0F8A">
        <w:rPr>
          <w:rFonts w:hint="eastAsia"/>
          <w:color w:val="000000"/>
          <w:sz w:val="24"/>
        </w:rPr>
        <w:t>本报告期所采用的会计政策、会计估计与最近一期年度报告相一致。</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本基金在本报告期间无需说明的重大会计政策变更。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本基金在本报告期间无需说明的重大会计估计变更。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本基金在本报告期间无需说明的重大会计差错更正。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754F92" w:rsidRDefault="002B0DD0">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[2004]78</w:t>
      </w:r>
      <w:r>
        <w:rPr>
          <w:rFonts w:hint="eastAsia"/>
          <w:color w:val="000000"/>
          <w:sz w:val="24"/>
        </w:rPr>
        <w:t>号《财政部、国家税务总局关于证券投资基金税收政策的通知》、财税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[2015]125</w:t>
      </w:r>
      <w:r>
        <w:rPr>
          <w:rFonts w:hint="eastAsia"/>
          <w:color w:val="000000"/>
          <w:sz w:val="24"/>
        </w:rPr>
        <w:t>号《关于内地与香港基金互认有关税收政策的通知》、财税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号《关于金融机构同业往来等增值税政策的补充通知》及其他相关财税法规和实务操作，主要税项列示如下：</w:t>
      </w:r>
    </w:p>
    <w:p w:rsidR="00754F92" w:rsidRDefault="002B0DD0">
      <w:pPr>
        <w:spacing w:before="29" w:line="288" w:lineRule="auto"/>
        <w:ind w:firstLineChars="200" w:firstLine="480"/>
        <w:rPr>
          <w:color w:val="000000"/>
          <w:sz w:val="24"/>
        </w:rPr>
      </w:pPr>
      <w:r>
        <w:rPr>
          <w:rFonts w:hint="eastAsia"/>
          <w:color w:val="000000"/>
          <w:sz w:val="24"/>
        </w:rPr>
        <w:t>1)</w:t>
      </w:r>
      <w:r>
        <w:rPr>
          <w:rFonts w:hint="eastAsia"/>
          <w:color w:val="000000"/>
          <w:sz w:val="24"/>
        </w:rPr>
        <w:t>于</w:t>
      </w:r>
      <w:r>
        <w:rPr>
          <w:rFonts w:hint="eastAsia"/>
          <w:color w:val="000000"/>
          <w:sz w:val="24"/>
        </w:rPr>
        <w:t>2016</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w:t>
      </w:r>
      <w:r>
        <w:rPr>
          <w:rFonts w:hint="eastAsia"/>
          <w:color w:val="000000"/>
          <w:sz w:val="24"/>
        </w:rPr>
        <w:t>日前，以发行基金方式募集资金不属于营业税征收范围，不征收营业税。对证券投资基金管理人运用基金买卖股票、债券的差价收入免征营业税。自</w:t>
      </w:r>
      <w:r>
        <w:rPr>
          <w:rFonts w:hint="eastAsia"/>
          <w:color w:val="000000"/>
          <w:sz w:val="24"/>
        </w:rPr>
        <w:t>2016</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w:t>
      </w:r>
      <w:r>
        <w:rPr>
          <w:rFonts w:hint="eastAsia"/>
          <w:color w:val="000000"/>
          <w:sz w:val="24"/>
        </w:rPr>
        <w:t>日起，金融业由缴纳营业税改为缴纳增值税。对证券投资基金管理人运用基金买卖股票、债券的转让收入免征增值税，对国债、地方政府债以及金融同业往来利息收入亦免征增值税。</w:t>
      </w:r>
    </w:p>
    <w:p w:rsidR="00754F92" w:rsidRDefault="002B0DD0">
      <w:pPr>
        <w:spacing w:before="29" w:line="288" w:lineRule="auto"/>
        <w:ind w:firstLineChars="200" w:firstLine="480"/>
        <w:rPr>
          <w:color w:val="000000"/>
          <w:sz w:val="24"/>
        </w:rPr>
      </w:pPr>
      <w:r>
        <w:rPr>
          <w:rFonts w:hint="eastAsia"/>
          <w:color w:val="000000"/>
          <w:sz w:val="24"/>
        </w:rPr>
        <w:t>2)</w:t>
      </w:r>
      <w:r>
        <w:rPr>
          <w:rFonts w:hint="eastAsia"/>
          <w:color w:val="000000"/>
          <w:sz w:val="24"/>
        </w:rPr>
        <w:t>对基金从证券市场中取得的收入，包括买卖股票、债券的差价收入，股票的股息、红利收入，债券的利息收入及其他收入，暂不征收企业所得税。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3)</w:t>
      </w:r>
      <w:r w:rsidRPr="00FE0F8A">
        <w:rPr>
          <w:rFonts w:hint="eastAsia"/>
          <w:color w:val="000000"/>
          <w:sz w:val="24"/>
        </w:rPr>
        <w:t>对于内地投资者持有的基金类别，对基金取得的企业债券利息收入，应由发行债券的企业在向基金支付利息时代扣代缴</w:t>
      </w:r>
      <w:r w:rsidRPr="00FE0F8A">
        <w:rPr>
          <w:rFonts w:hint="eastAsia"/>
          <w:color w:val="000000"/>
          <w:sz w:val="24"/>
        </w:rPr>
        <w:t>20%</w:t>
      </w:r>
      <w:r w:rsidRPr="00FE0F8A">
        <w:rPr>
          <w:rFonts w:hint="eastAsia"/>
          <w:color w:val="000000"/>
          <w:sz w:val="24"/>
        </w:rPr>
        <w:t>的个人所得税。对于香港市场投资者通过基金互认持有的基金类别，对基金取得的企业债券利息收入，应由发行债券的企业在向该内地基金分配利息时按照</w:t>
      </w:r>
      <w:r w:rsidRPr="00FE0F8A">
        <w:rPr>
          <w:rFonts w:hint="eastAsia"/>
          <w:color w:val="000000"/>
          <w:sz w:val="24"/>
        </w:rPr>
        <w:t>7%</w:t>
      </w:r>
      <w:r w:rsidRPr="00FE0F8A">
        <w:rPr>
          <w:rFonts w:hint="eastAsia"/>
          <w:color w:val="000000"/>
          <w:sz w:val="24"/>
        </w:rPr>
        <w:t>的税率代扣代缴所得税。</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754F92">
        <w:tc>
          <w:tcPr>
            <w:tcW w:w="4499" w:type="dxa"/>
            <w:vAlign w:val="center"/>
          </w:tcPr>
          <w:p w:rsidR="00754F92" w:rsidRDefault="002B0DD0">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754F92" w:rsidRDefault="002B0DD0">
            <w:pPr>
              <w:jc w:val="left"/>
            </w:pPr>
            <w:r>
              <w:rPr>
                <w:rFonts w:hint="eastAsia"/>
                <w:color w:val="000000"/>
                <w:sz w:val="24"/>
              </w:rPr>
              <w:t>基金管理人、基金销售机构</w:t>
            </w:r>
          </w:p>
        </w:tc>
      </w:tr>
      <w:tr w:rsidR="00754F92">
        <w:tc>
          <w:tcPr>
            <w:tcW w:w="4499" w:type="dxa"/>
            <w:vAlign w:val="center"/>
          </w:tcPr>
          <w:p w:rsidR="00754F92" w:rsidRDefault="002B0DD0">
            <w:pPr>
              <w:jc w:val="left"/>
            </w:pPr>
            <w:r>
              <w:rPr>
                <w:rFonts w:hint="eastAsia"/>
                <w:color w:val="000000"/>
                <w:sz w:val="24"/>
              </w:rPr>
              <w:t>中国农业银行股份有限公司</w:t>
            </w:r>
            <w:r>
              <w:rPr>
                <w:rFonts w:hint="eastAsia"/>
                <w:color w:val="000000"/>
                <w:sz w:val="24"/>
              </w:rPr>
              <w:t>(</w:t>
            </w:r>
            <w:r>
              <w:rPr>
                <w:rFonts w:hint="eastAsia"/>
                <w:color w:val="000000"/>
                <w:sz w:val="24"/>
              </w:rPr>
              <w:t>“中国农业银行”</w:t>
            </w:r>
            <w:r>
              <w:rPr>
                <w:rFonts w:hint="eastAsia"/>
                <w:color w:val="000000"/>
                <w:sz w:val="24"/>
              </w:rPr>
              <w:t>)</w:t>
            </w:r>
          </w:p>
        </w:tc>
        <w:tc>
          <w:tcPr>
            <w:tcW w:w="4499" w:type="dxa"/>
            <w:vAlign w:val="center"/>
          </w:tcPr>
          <w:p w:rsidR="00754F92" w:rsidRDefault="002B0DD0">
            <w:pPr>
              <w:jc w:val="left"/>
            </w:pPr>
            <w:r>
              <w:rPr>
                <w:rFonts w:hint="eastAsia"/>
                <w:color w:val="000000"/>
                <w:sz w:val="24"/>
              </w:rPr>
              <w:t>基金托管人、基金销售机构</w:t>
            </w:r>
          </w:p>
        </w:tc>
      </w:tr>
      <w:tr w:rsidR="00754F92">
        <w:tc>
          <w:tcPr>
            <w:tcW w:w="4499" w:type="dxa"/>
            <w:vAlign w:val="center"/>
          </w:tcPr>
          <w:p w:rsidR="00754F92" w:rsidRDefault="002B0DD0">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754F92" w:rsidRDefault="002B0DD0">
            <w:pPr>
              <w:jc w:val="left"/>
            </w:pPr>
            <w:r>
              <w:rPr>
                <w:rFonts w:hint="eastAsia"/>
                <w:color w:val="000000"/>
                <w:sz w:val="24"/>
              </w:rPr>
              <w:t>基金管理人的股东、基金销售机构</w:t>
            </w:r>
          </w:p>
        </w:tc>
      </w:tr>
      <w:tr w:rsidR="00754F92">
        <w:tc>
          <w:tcPr>
            <w:tcW w:w="4499" w:type="dxa"/>
            <w:vAlign w:val="center"/>
          </w:tcPr>
          <w:p w:rsidR="00754F92" w:rsidRDefault="002B0DD0">
            <w:pPr>
              <w:jc w:val="left"/>
            </w:pPr>
            <w:r>
              <w:rPr>
                <w:rFonts w:hint="eastAsia"/>
                <w:color w:val="000000"/>
                <w:sz w:val="24"/>
              </w:rPr>
              <w:t>施罗德投资管理有限公司</w:t>
            </w:r>
          </w:p>
        </w:tc>
        <w:tc>
          <w:tcPr>
            <w:tcW w:w="4499" w:type="dxa"/>
            <w:vAlign w:val="center"/>
          </w:tcPr>
          <w:p w:rsidR="00754F92" w:rsidRDefault="002B0DD0">
            <w:pPr>
              <w:jc w:val="left"/>
            </w:pPr>
            <w:r>
              <w:rPr>
                <w:rFonts w:hint="eastAsia"/>
                <w:color w:val="000000"/>
                <w:sz w:val="24"/>
              </w:rPr>
              <w:t>基金管理人的股东</w:t>
            </w:r>
          </w:p>
        </w:tc>
      </w:tr>
      <w:tr w:rsidR="00754F92">
        <w:tc>
          <w:tcPr>
            <w:tcW w:w="4499" w:type="dxa"/>
            <w:vAlign w:val="center"/>
          </w:tcPr>
          <w:p w:rsidR="00754F92" w:rsidRDefault="002B0DD0">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754F92" w:rsidRDefault="002B0DD0">
            <w:pPr>
              <w:jc w:val="left"/>
            </w:pPr>
            <w:r>
              <w:rPr>
                <w:rFonts w:hint="eastAsia"/>
                <w:color w:val="000000"/>
                <w:sz w:val="24"/>
              </w:rPr>
              <w:t>基金管理人的股东</w:t>
            </w:r>
          </w:p>
        </w:tc>
      </w:tr>
      <w:tr w:rsidR="00754F92">
        <w:tc>
          <w:tcPr>
            <w:tcW w:w="4499" w:type="dxa"/>
            <w:vAlign w:val="center"/>
          </w:tcPr>
          <w:p w:rsidR="00754F92" w:rsidRDefault="002B0DD0">
            <w:pPr>
              <w:jc w:val="left"/>
            </w:pPr>
            <w:r>
              <w:rPr>
                <w:rFonts w:hint="eastAsia"/>
                <w:color w:val="000000"/>
                <w:sz w:val="24"/>
              </w:rPr>
              <w:t>交银施罗德资产管理有限公司（“交银施罗德</w:t>
            </w:r>
            <w:r w:rsidR="00727AE0">
              <w:rPr>
                <w:rFonts w:hint="eastAsia"/>
                <w:color w:val="000000"/>
                <w:sz w:val="24"/>
              </w:rPr>
              <w:t>资管</w:t>
            </w:r>
            <w:r>
              <w:rPr>
                <w:rFonts w:hint="eastAsia"/>
                <w:color w:val="000000"/>
                <w:sz w:val="24"/>
              </w:rPr>
              <w:t>”）</w:t>
            </w:r>
          </w:p>
        </w:tc>
        <w:tc>
          <w:tcPr>
            <w:tcW w:w="4499" w:type="dxa"/>
            <w:vAlign w:val="center"/>
          </w:tcPr>
          <w:p w:rsidR="00754F92" w:rsidRDefault="002B0DD0">
            <w:pPr>
              <w:jc w:val="left"/>
            </w:pPr>
            <w:r>
              <w:rPr>
                <w:rFonts w:hint="eastAsia"/>
                <w:color w:val="000000"/>
                <w:sz w:val="24"/>
              </w:rPr>
              <w:t>基金管理人的子公司</w:t>
            </w:r>
          </w:p>
        </w:tc>
      </w:tr>
      <w:tr w:rsidR="00754F92">
        <w:tc>
          <w:tcPr>
            <w:tcW w:w="4499" w:type="dxa"/>
            <w:vAlign w:val="center"/>
          </w:tcPr>
          <w:p w:rsidR="00754F92" w:rsidRDefault="002B0DD0">
            <w:pPr>
              <w:jc w:val="left"/>
            </w:pPr>
            <w:r>
              <w:rPr>
                <w:rFonts w:hint="eastAsia"/>
                <w:color w:val="000000"/>
                <w:sz w:val="24"/>
              </w:rPr>
              <w:t>上海直源投资管理有限公司</w:t>
            </w:r>
          </w:p>
        </w:tc>
        <w:tc>
          <w:tcPr>
            <w:tcW w:w="4499" w:type="dxa"/>
            <w:vAlign w:val="center"/>
          </w:tcPr>
          <w:p w:rsidR="00754F92" w:rsidRDefault="002B0DD0">
            <w:pPr>
              <w:jc w:val="left"/>
            </w:pPr>
            <w:r>
              <w:rPr>
                <w:rFonts w:hint="eastAsia"/>
                <w:color w:val="000000"/>
                <w:sz w:val="24"/>
              </w:rPr>
              <w:t>受基金管理人控制的公司</w:t>
            </w:r>
          </w:p>
        </w:tc>
      </w:tr>
      <w:tr w:rsidR="00754F92">
        <w:tc>
          <w:tcPr>
            <w:tcW w:w="4499" w:type="dxa"/>
            <w:vAlign w:val="center"/>
          </w:tcPr>
          <w:p w:rsidR="00754F92" w:rsidRDefault="002B0DD0">
            <w:pPr>
              <w:jc w:val="left"/>
            </w:pPr>
            <w:r>
              <w:rPr>
                <w:rFonts w:hint="eastAsia"/>
                <w:color w:val="000000"/>
                <w:sz w:val="24"/>
              </w:rPr>
              <w:t>交烨投资管理（上海）有限公司</w:t>
            </w:r>
          </w:p>
        </w:tc>
        <w:tc>
          <w:tcPr>
            <w:tcW w:w="4499" w:type="dxa"/>
            <w:vAlign w:val="center"/>
          </w:tcPr>
          <w:p w:rsidR="00754F92" w:rsidRDefault="002B0DD0">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注：下述关联方交易均在正常业务范围内按一般商业条款订立。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r w:rsidRPr="00A6019D">
        <w:rPr>
          <w:rFonts w:hint="eastAsia"/>
          <w:color w:val="000000"/>
          <w:sz w:val="24"/>
        </w:rPr>
        <w:t xml:space="preserve"> </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2015</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2015</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76,212,261.51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39,340,601.00</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1,073,609.74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1,565,878.42</w:t>
            </w:r>
          </w:p>
        </w:tc>
      </w:tr>
    </w:tbl>
    <w:p w:rsidR="006D141C" w:rsidRPr="005124D4" w:rsidRDefault="006D141C" w:rsidP="005124D4">
      <w:pPr>
        <w:spacing w:before="29" w:line="288" w:lineRule="auto"/>
        <w:jc w:val="left"/>
        <w:rPr>
          <w:kern w:val="0"/>
          <w:sz w:val="24"/>
        </w:rPr>
      </w:pPr>
      <w:r w:rsidRPr="005124D4">
        <w:rPr>
          <w:rFonts w:hint="eastAsia"/>
          <w:kern w:val="0"/>
          <w:sz w:val="24"/>
        </w:rPr>
        <w:t>注：支付基金管理人的基金管理人报酬按前一日基金资产净值</w:t>
      </w:r>
      <w:r w:rsidRPr="005124D4">
        <w:rPr>
          <w:rFonts w:hint="eastAsia"/>
          <w:kern w:val="0"/>
          <w:sz w:val="24"/>
        </w:rPr>
        <w:t>0.33%</w:t>
      </w:r>
      <w:r w:rsidRPr="005124D4">
        <w:rPr>
          <w:rFonts w:hint="eastAsia"/>
          <w:kern w:val="0"/>
          <w:sz w:val="24"/>
        </w:rPr>
        <w:t>的年费率计提，逐日累计至每月月底，按月支付。其计算公式为：日基金管理人报酬</w:t>
      </w:r>
      <w:r w:rsidRPr="005124D4">
        <w:rPr>
          <w:rFonts w:hint="eastAsia"/>
          <w:kern w:val="0"/>
          <w:sz w:val="24"/>
        </w:rPr>
        <w:t>=</w:t>
      </w:r>
      <w:r w:rsidRPr="005124D4">
        <w:rPr>
          <w:rFonts w:hint="eastAsia"/>
          <w:kern w:val="0"/>
          <w:sz w:val="24"/>
        </w:rPr>
        <w:t>前一日基金资产净值×</w:t>
      </w:r>
      <w:r w:rsidRPr="005124D4">
        <w:rPr>
          <w:rFonts w:hint="eastAsia"/>
          <w:kern w:val="0"/>
          <w:sz w:val="24"/>
        </w:rPr>
        <w:t>0.33%</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2015</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2015</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23,094,624.56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11,921,394.17</w:t>
            </w:r>
          </w:p>
        </w:tc>
      </w:tr>
    </w:tbl>
    <w:p w:rsidR="00754F92" w:rsidRDefault="002B0DD0">
      <w:pPr>
        <w:spacing w:before="29" w:line="288" w:lineRule="auto"/>
        <w:jc w:val="left"/>
        <w:rPr>
          <w:kern w:val="0"/>
          <w:sz w:val="24"/>
        </w:rPr>
      </w:pPr>
      <w:r>
        <w:rPr>
          <w:rFonts w:hint="eastAsia"/>
          <w:kern w:val="0"/>
          <w:sz w:val="24"/>
        </w:rPr>
        <w:t>注：支付基金托管人的基金托管费按前一日基金资产净值</w:t>
      </w:r>
      <w:r>
        <w:rPr>
          <w:rFonts w:hint="eastAsia"/>
          <w:kern w:val="0"/>
          <w:sz w:val="24"/>
        </w:rPr>
        <w:t>0.1%</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日基金托管费</w:t>
      </w:r>
      <w:r w:rsidRPr="005124D4">
        <w:rPr>
          <w:rFonts w:hint="eastAsia"/>
          <w:kern w:val="0"/>
          <w:sz w:val="24"/>
        </w:rPr>
        <w:t>=</w:t>
      </w:r>
      <w:r w:rsidRPr="005124D4">
        <w:rPr>
          <w:rFonts w:hint="eastAsia"/>
          <w:kern w:val="0"/>
          <w:sz w:val="24"/>
        </w:rPr>
        <w:t>前一日基金资产净值×</w:t>
      </w:r>
      <w:r w:rsidRPr="005124D4">
        <w:rPr>
          <w:rFonts w:hint="eastAsia"/>
          <w:kern w:val="0"/>
          <w:sz w:val="24"/>
        </w:rPr>
        <w:t>0.1%</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交银货币</w:t>
            </w:r>
            <w:r>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754F92">
        <w:tc>
          <w:tcPr>
            <w:tcW w:w="2000" w:type="dxa"/>
            <w:vAlign w:val="center"/>
          </w:tcPr>
          <w:p w:rsidR="00754F92" w:rsidRDefault="002B0DD0">
            <w:pPr>
              <w:jc w:val="left"/>
            </w:pPr>
            <w:r>
              <w:rPr>
                <w:sz w:val="24"/>
              </w:rPr>
              <w:t>交银施罗德基金公司</w:t>
            </w:r>
          </w:p>
        </w:tc>
        <w:tc>
          <w:tcPr>
            <w:tcW w:w="1766" w:type="dxa"/>
            <w:vAlign w:val="center"/>
          </w:tcPr>
          <w:p w:rsidR="00754F92" w:rsidRDefault="002B0DD0">
            <w:pPr>
              <w:jc w:val="right"/>
            </w:pPr>
            <w:r>
              <w:rPr>
                <w:sz w:val="24"/>
              </w:rPr>
              <w:t>236,295.59</w:t>
            </w:r>
          </w:p>
        </w:tc>
        <w:tc>
          <w:tcPr>
            <w:tcW w:w="2162" w:type="dxa"/>
            <w:vAlign w:val="center"/>
          </w:tcPr>
          <w:p w:rsidR="00754F92" w:rsidRDefault="002B0DD0">
            <w:pPr>
              <w:jc w:val="right"/>
            </w:pPr>
            <w:r>
              <w:rPr>
                <w:sz w:val="24"/>
              </w:rPr>
              <w:t>2,175,268.78</w:t>
            </w:r>
          </w:p>
        </w:tc>
        <w:tc>
          <w:tcPr>
            <w:tcW w:w="3070" w:type="dxa"/>
            <w:vAlign w:val="center"/>
          </w:tcPr>
          <w:p w:rsidR="00754F92" w:rsidRDefault="002B0DD0">
            <w:pPr>
              <w:jc w:val="right"/>
            </w:pPr>
            <w:r>
              <w:rPr>
                <w:sz w:val="24"/>
              </w:rPr>
              <w:t>2,411,564.37</w:t>
            </w:r>
          </w:p>
        </w:tc>
      </w:tr>
      <w:tr w:rsidR="00754F92">
        <w:tc>
          <w:tcPr>
            <w:tcW w:w="2000" w:type="dxa"/>
            <w:vAlign w:val="center"/>
          </w:tcPr>
          <w:p w:rsidR="00754F92" w:rsidRDefault="002B0DD0">
            <w:pPr>
              <w:jc w:val="left"/>
            </w:pPr>
            <w:r>
              <w:rPr>
                <w:sz w:val="24"/>
              </w:rPr>
              <w:t>中国农业银行</w:t>
            </w:r>
          </w:p>
        </w:tc>
        <w:tc>
          <w:tcPr>
            <w:tcW w:w="1766" w:type="dxa"/>
            <w:vAlign w:val="center"/>
          </w:tcPr>
          <w:p w:rsidR="00754F92" w:rsidRDefault="002B0DD0">
            <w:pPr>
              <w:jc w:val="right"/>
            </w:pPr>
            <w:r>
              <w:rPr>
                <w:sz w:val="24"/>
              </w:rPr>
              <w:t>140,751.48</w:t>
            </w:r>
          </w:p>
        </w:tc>
        <w:tc>
          <w:tcPr>
            <w:tcW w:w="2162" w:type="dxa"/>
            <w:vAlign w:val="center"/>
          </w:tcPr>
          <w:p w:rsidR="00754F92" w:rsidRDefault="002B0DD0">
            <w:pPr>
              <w:jc w:val="right"/>
            </w:pPr>
            <w:r>
              <w:rPr>
                <w:sz w:val="24"/>
              </w:rPr>
              <w:t>4,716.21</w:t>
            </w:r>
          </w:p>
        </w:tc>
        <w:tc>
          <w:tcPr>
            <w:tcW w:w="3070" w:type="dxa"/>
            <w:vAlign w:val="center"/>
          </w:tcPr>
          <w:p w:rsidR="00754F92" w:rsidRDefault="002B0DD0">
            <w:pPr>
              <w:jc w:val="right"/>
            </w:pPr>
            <w:r>
              <w:rPr>
                <w:sz w:val="24"/>
              </w:rPr>
              <w:t>145,467.69</w:t>
            </w:r>
          </w:p>
        </w:tc>
      </w:tr>
      <w:tr w:rsidR="00754F92">
        <w:tc>
          <w:tcPr>
            <w:tcW w:w="2000" w:type="dxa"/>
            <w:vAlign w:val="center"/>
          </w:tcPr>
          <w:p w:rsidR="00754F92" w:rsidRDefault="002B0DD0">
            <w:pPr>
              <w:jc w:val="left"/>
            </w:pPr>
            <w:r>
              <w:rPr>
                <w:sz w:val="24"/>
              </w:rPr>
              <w:t>交通银行</w:t>
            </w:r>
          </w:p>
        </w:tc>
        <w:tc>
          <w:tcPr>
            <w:tcW w:w="1766" w:type="dxa"/>
            <w:vAlign w:val="center"/>
          </w:tcPr>
          <w:p w:rsidR="00754F92" w:rsidRDefault="002B0DD0">
            <w:pPr>
              <w:jc w:val="right"/>
            </w:pPr>
            <w:r>
              <w:rPr>
                <w:sz w:val="24"/>
              </w:rPr>
              <w:t>1,085,635.24</w:t>
            </w:r>
          </w:p>
        </w:tc>
        <w:tc>
          <w:tcPr>
            <w:tcW w:w="2162" w:type="dxa"/>
            <w:vAlign w:val="center"/>
          </w:tcPr>
          <w:p w:rsidR="00754F92" w:rsidRDefault="002B0DD0">
            <w:pPr>
              <w:jc w:val="right"/>
            </w:pPr>
            <w:r>
              <w:rPr>
                <w:sz w:val="24"/>
              </w:rPr>
              <w:t>3,516.22</w:t>
            </w:r>
          </w:p>
        </w:tc>
        <w:tc>
          <w:tcPr>
            <w:tcW w:w="3070" w:type="dxa"/>
            <w:vAlign w:val="center"/>
          </w:tcPr>
          <w:p w:rsidR="00754F92" w:rsidRDefault="002B0DD0">
            <w:pPr>
              <w:jc w:val="right"/>
            </w:pPr>
            <w:r>
              <w:rPr>
                <w:sz w:val="24"/>
              </w:rPr>
              <w:t>1,089,151.46</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1,462,682.31</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2,183,501.21</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3,646,183.52</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2015</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2015</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交银货币</w:t>
            </w:r>
            <w:r>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754F92">
        <w:tc>
          <w:tcPr>
            <w:tcW w:w="2000" w:type="dxa"/>
            <w:vAlign w:val="center"/>
          </w:tcPr>
          <w:p w:rsidR="00754F92" w:rsidRDefault="002B0DD0">
            <w:pPr>
              <w:jc w:val="left"/>
            </w:pPr>
            <w:r>
              <w:rPr>
                <w:sz w:val="24"/>
              </w:rPr>
              <w:t>交银施罗德基金公司</w:t>
            </w:r>
          </w:p>
        </w:tc>
        <w:tc>
          <w:tcPr>
            <w:tcW w:w="1766" w:type="dxa"/>
            <w:vAlign w:val="center"/>
          </w:tcPr>
          <w:p w:rsidR="00754F92" w:rsidRDefault="002B0DD0">
            <w:pPr>
              <w:jc w:val="right"/>
            </w:pPr>
            <w:r>
              <w:rPr>
                <w:sz w:val="24"/>
              </w:rPr>
              <w:t>335,300.66</w:t>
            </w:r>
          </w:p>
        </w:tc>
        <w:tc>
          <w:tcPr>
            <w:tcW w:w="2162" w:type="dxa"/>
            <w:vAlign w:val="center"/>
          </w:tcPr>
          <w:p w:rsidR="00754F92" w:rsidRDefault="002B0DD0">
            <w:pPr>
              <w:jc w:val="right"/>
            </w:pPr>
            <w:r>
              <w:rPr>
                <w:sz w:val="24"/>
              </w:rPr>
              <w:t>1,005,233.97</w:t>
            </w:r>
          </w:p>
        </w:tc>
        <w:tc>
          <w:tcPr>
            <w:tcW w:w="3070" w:type="dxa"/>
            <w:vAlign w:val="center"/>
          </w:tcPr>
          <w:p w:rsidR="00754F92" w:rsidRDefault="002B0DD0">
            <w:pPr>
              <w:jc w:val="right"/>
            </w:pPr>
            <w:r>
              <w:rPr>
                <w:sz w:val="24"/>
              </w:rPr>
              <w:t>1,340,534.63</w:t>
            </w:r>
          </w:p>
        </w:tc>
      </w:tr>
      <w:tr w:rsidR="00754F92">
        <w:tc>
          <w:tcPr>
            <w:tcW w:w="2000" w:type="dxa"/>
            <w:vAlign w:val="center"/>
          </w:tcPr>
          <w:p w:rsidR="00754F92" w:rsidRDefault="002B0DD0">
            <w:pPr>
              <w:jc w:val="left"/>
            </w:pPr>
            <w:r>
              <w:rPr>
                <w:sz w:val="24"/>
              </w:rPr>
              <w:t>中国农业银行</w:t>
            </w:r>
          </w:p>
        </w:tc>
        <w:tc>
          <w:tcPr>
            <w:tcW w:w="1766" w:type="dxa"/>
            <w:vAlign w:val="center"/>
          </w:tcPr>
          <w:p w:rsidR="00754F92" w:rsidRDefault="002B0DD0">
            <w:pPr>
              <w:jc w:val="right"/>
            </w:pPr>
            <w:r>
              <w:rPr>
                <w:sz w:val="24"/>
              </w:rPr>
              <w:t>138,891.49</w:t>
            </w:r>
          </w:p>
        </w:tc>
        <w:tc>
          <w:tcPr>
            <w:tcW w:w="2162" w:type="dxa"/>
            <w:vAlign w:val="center"/>
          </w:tcPr>
          <w:p w:rsidR="00754F92" w:rsidRDefault="002B0DD0">
            <w:pPr>
              <w:jc w:val="right"/>
            </w:pPr>
            <w:r>
              <w:rPr>
                <w:sz w:val="24"/>
              </w:rPr>
              <w:t>992.94</w:t>
            </w:r>
          </w:p>
        </w:tc>
        <w:tc>
          <w:tcPr>
            <w:tcW w:w="3070" w:type="dxa"/>
            <w:vAlign w:val="center"/>
          </w:tcPr>
          <w:p w:rsidR="00754F92" w:rsidRDefault="002B0DD0">
            <w:pPr>
              <w:jc w:val="right"/>
            </w:pPr>
            <w:r>
              <w:rPr>
                <w:sz w:val="24"/>
              </w:rPr>
              <w:t>139,884.43</w:t>
            </w:r>
          </w:p>
        </w:tc>
      </w:tr>
      <w:tr w:rsidR="00754F92">
        <w:tc>
          <w:tcPr>
            <w:tcW w:w="2000" w:type="dxa"/>
            <w:vAlign w:val="center"/>
          </w:tcPr>
          <w:p w:rsidR="00754F92" w:rsidRDefault="002B0DD0">
            <w:pPr>
              <w:jc w:val="left"/>
            </w:pPr>
            <w:r>
              <w:rPr>
                <w:sz w:val="24"/>
              </w:rPr>
              <w:t>交通银行</w:t>
            </w:r>
          </w:p>
        </w:tc>
        <w:tc>
          <w:tcPr>
            <w:tcW w:w="1766" w:type="dxa"/>
            <w:vAlign w:val="center"/>
          </w:tcPr>
          <w:p w:rsidR="00754F92" w:rsidRDefault="002B0DD0">
            <w:pPr>
              <w:jc w:val="right"/>
            </w:pPr>
            <w:r>
              <w:rPr>
                <w:sz w:val="24"/>
              </w:rPr>
              <w:t>1,687,447.33</w:t>
            </w:r>
          </w:p>
        </w:tc>
        <w:tc>
          <w:tcPr>
            <w:tcW w:w="2162" w:type="dxa"/>
            <w:vAlign w:val="center"/>
          </w:tcPr>
          <w:p w:rsidR="00754F92" w:rsidRDefault="002B0DD0">
            <w:pPr>
              <w:jc w:val="right"/>
            </w:pPr>
            <w:r>
              <w:rPr>
                <w:sz w:val="24"/>
              </w:rPr>
              <w:t>3,110.14</w:t>
            </w:r>
          </w:p>
        </w:tc>
        <w:tc>
          <w:tcPr>
            <w:tcW w:w="3070" w:type="dxa"/>
            <w:vAlign w:val="center"/>
          </w:tcPr>
          <w:p w:rsidR="00754F92" w:rsidRDefault="002B0DD0">
            <w:pPr>
              <w:jc w:val="right"/>
            </w:pPr>
            <w:r>
              <w:rPr>
                <w:sz w:val="24"/>
              </w:rPr>
              <w:t>1,690,557.47</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2,161,639.48</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1,009,337.05</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3,170,976.53</w:t>
            </w:r>
          </w:p>
        </w:tc>
      </w:tr>
    </w:tbl>
    <w:p w:rsidR="00754F92" w:rsidRDefault="002B0DD0">
      <w:pPr>
        <w:tabs>
          <w:tab w:val="left" w:pos="426"/>
        </w:tabs>
        <w:spacing w:before="29" w:line="288" w:lineRule="auto"/>
        <w:jc w:val="left"/>
        <w:rPr>
          <w:kern w:val="0"/>
          <w:sz w:val="24"/>
        </w:rPr>
      </w:pPr>
      <w:r>
        <w:rPr>
          <w:kern w:val="0"/>
          <w:sz w:val="24"/>
        </w:rPr>
        <w:t>注：本基金实行销售服务费分级收费方式，分设</w:t>
      </w:r>
      <w:r>
        <w:rPr>
          <w:kern w:val="0"/>
          <w:sz w:val="24"/>
        </w:rPr>
        <w:t>A</w:t>
      </w:r>
      <w:r>
        <w:rPr>
          <w:kern w:val="0"/>
          <w:sz w:val="24"/>
        </w:rPr>
        <w:t>、</w:t>
      </w:r>
      <w:r>
        <w:rPr>
          <w:kern w:val="0"/>
          <w:sz w:val="24"/>
        </w:rPr>
        <w:t>B</w:t>
      </w:r>
      <w:r>
        <w:rPr>
          <w:kern w:val="0"/>
          <w:sz w:val="24"/>
        </w:rPr>
        <w:t>两级基金份额：</w:t>
      </w:r>
      <w:r>
        <w:rPr>
          <w:kern w:val="0"/>
          <w:sz w:val="24"/>
        </w:rPr>
        <w:t>A</w:t>
      </w:r>
      <w:r>
        <w:rPr>
          <w:kern w:val="0"/>
          <w:sz w:val="24"/>
        </w:rPr>
        <w:t>级基金按前一日基金资产净值</w:t>
      </w:r>
      <w:r>
        <w:rPr>
          <w:kern w:val="0"/>
          <w:sz w:val="24"/>
        </w:rPr>
        <w:t>0.25%</w:t>
      </w:r>
      <w:r>
        <w:rPr>
          <w:kern w:val="0"/>
          <w:sz w:val="24"/>
        </w:rPr>
        <w:t>的年费率计提，</w:t>
      </w:r>
      <w:r>
        <w:rPr>
          <w:kern w:val="0"/>
          <w:sz w:val="24"/>
        </w:rPr>
        <w:t>B</w:t>
      </w:r>
      <w:r>
        <w:rPr>
          <w:kern w:val="0"/>
          <w:sz w:val="24"/>
        </w:rPr>
        <w:t>级基金按前一日基金资产净值的</w:t>
      </w:r>
      <w:r>
        <w:rPr>
          <w:kern w:val="0"/>
          <w:sz w:val="24"/>
        </w:rPr>
        <w:t>0.01%</w:t>
      </w:r>
      <w:r>
        <w:rPr>
          <w:kern w:val="0"/>
          <w:sz w:val="24"/>
        </w:rPr>
        <w:t>的年费率计提，逐日累计至每月月底，按月支付给交银施罗德基金公司，再交由交银施罗德基金公司计算并支付给各基金销售机构。其计算公式为：</w:t>
      </w:r>
    </w:p>
    <w:p w:rsidR="00754F92" w:rsidRDefault="002B0DD0">
      <w:pPr>
        <w:tabs>
          <w:tab w:val="left" w:pos="426"/>
        </w:tabs>
        <w:spacing w:before="29" w:line="288" w:lineRule="auto"/>
        <w:jc w:val="left"/>
        <w:rPr>
          <w:kern w:val="0"/>
          <w:sz w:val="24"/>
        </w:rPr>
      </w:pPr>
      <w:r>
        <w:rPr>
          <w:kern w:val="0"/>
          <w:sz w:val="24"/>
        </w:rPr>
        <w:t>A</w:t>
      </w:r>
      <w:r>
        <w:rPr>
          <w:kern w:val="0"/>
          <w:sz w:val="24"/>
        </w:rPr>
        <w:t>级基金日销售服务费</w:t>
      </w:r>
      <w:r>
        <w:rPr>
          <w:kern w:val="0"/>
          <w:sz w:val="24"/>
        </w:rPr>
        <w:t>=</w:t>
      </w:r>
      <w:r>
        <w:rPr>
          <w:kern w:val="0"/>
          <w:sz w:val="24"/>
        </w:rPr>
        <w:t>前一日</w:t>
      </w:r>
      <w:r>
        <w:rPr>
          <w:kern w:val="0"/>
          <w:sz w:val="24"/>
        </w:rPr>
        <w:t>A</w:t>
      </w:r>
      <w:r>
        <w:rPr>
          <w:kern w:val="0"/>
          <w:sz w:val="24"/>
        </w:rPr>
        <w:t>级基金份额对应的资产净值</w:t>
      </w:r>
      <w:r>
        <w:rPr>
          <w:kern w:val="0"/>
          <w:sz w:val="24"/>
        </w:rPr>
        <w:t>×0.25%÷</w:t>
      </w:r>
      <w:r>
        <w:rPr>
          <w:kern w:val="0"/>
          <w:sz w:val="24"/>
        </w:rPr>
        <w:t>当年天数；</w:t>
      </w:r>
    </w:p>
    <w:p w:rsidR="00296268" w:rsidRPr="006159B2" w:rsidRDefault="00296268" w:rsidP="00296268">
      <w:pPr>
        <w:tabs>
          <w:tab w:val="left" w:pos="426"/>
        </w:tabs>
        <w:spacing w:before="29" w:line="288" w:lineRule="auto"/>
        <w:jc w:val="left"/>
        <w:rPr>
          <w:kern w:val="0"/>
          <w:sz w:val="24"/>
        </w:rPr>
      </w:pPr>
      <w:r w:rsidRPr="006159B2">
        <w:rPr>
          <w:kern w:val="0"/>
          <w:sz w:val="24"/>
        </w:rPr>
        <w:t>B</w:t>
      </w:r>
      <w:r w:rsidRPr="006159B2">
        <w:rPr>
          <w:kern w:val="0"/>
          <w:sz w:val="24"/>
        </w:rPr>
        <w:t>级基金日销售服务费</w:t>
      </w:r>
      <w:r w:rsidRPr="006159B2">
        <w:rPr>
          <w:kern w:val="0"/>
          <w:sz w:val="24"/>
        </w:rPr>
        <w:t>=</w:t>
      </w:r>
      <w:r w:rsidRPr="006159B2">
        <w:rPr>
          <w:kern w:val="0"/>
          <w:sz w:val="24"/>
        </w:rPr>
        <w:t>前一日</w:t>
      </w:r>
      <w:r w:rsidRPr="006159B2">
        <w:rPr>
          <w:kern w:val="0"/>
          <w:sz w:val="24"/>
        </w:rPr>
        <w:t>B</w:t>
      </w:r>
      <w:r w:rsidRPr="006159B2">
        <w:rPr>
          <w:kern w:val="0"/>
          <w:sz w:val="24"/>
        </w:rPr>
        <w:t>级基金份额对应的资产净值</w:t>
      </w:r>
      <w:r w:rsidRPr="006159B2">
        <w:rPr>
          <w:kern w:val="0"/>
          <w:sz w:val="24"/>
        </w:rPr>
        <w:t>×0.01%÷</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6A1080" w:rsidRDefault="002C6D0C" w:rsidP="002C6D0C">
      <w:pPr>
        <w:wordWrap w:val="0"/>
        <w:spacing w:before="29" w:line="288" w:lineRule="auto"/>
        <w:ind w:right="105"/>
        <w:jc w:val="right"/>
        <w:rPr>
          <w:color w:val="000000"/>
          <w:sz w:val="24"/>
        </w:rPr>
      </w:pPr>
      <w:r>
        <w:rPr>
          <w:rFonts w:hint="eastAsia"/>
          <w:color w:val="000000"/>
          <w:sz w:val="24"/>
        </w:rPr>
        <w:t xml:space="preserve">  </w:t>
      </w:r>
      <w:r w:rsidR="00F601C7" w:rsidRPr="006A1080">
        <w:rPr>
          <w:rFonts w:hint="eastAsia"/>
          <w:color w:val="000000"/>
          <w:sz w:val="24"/>
        </w:rPr>
        <w:t>单位：人民币元</w:t>
      </w:r>
    </w:p>
    <w:tbl>
      <w:tblPr>
        <w:tblW w:w="94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356"/>
        <w:gridCol w:w="1260"/>
        <w:gridCol w:w="1496"/>
        <w:gridCol w:w="1316"/>
        <w:gridCol w:w="1512"/>
        <w:gridCol w:w="1083"/>
      </w:tblGrid>
      <w:tr w:rsidR="00F601C7" w:rsidRPr="00D564C7" w:rsidTr="009C3976">
        <w:tc>
          <w:tcPr>
            <w:tcW w:w="944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2016</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w:t>
            </w:r>
            <w:r w:rsidRPr="00251664">
              <w:rPr>
                <w:rFonts w:hint="eastAsia"/>
                <w:bCs/>
                <w:color w:val="000000"/>
                <w:sz w:val="24"/>
              </w:rPr>
              <w:t>至</w:t>
            </w:r>
            <w:r w:rsidRPr="00251664">
              <w:rPr>
                <w:bCs/>
                <w:color w:val="000000"/>
                <w:sz w:val="24"/>
              </w:rPr>
              <w:t>2016</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9C3976">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2616"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812"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9C3976">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356"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496"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316"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4E0BED" w:rsidTr="009C3976">
        <w:tc>
          <w:tcPr>
            <w:tcW w:w="1422" w:type="dxa"/>
            <w:vAlign w:val="center"/>
          </w:tcPr>
          <w:p w:rsidR="004E0BED" w:rsidRDefault="004E0BED" w:rsidP="004E0BED">
            <w:pPr>
              <w:jc w:val="left"/>
            </w:pPr>
            <w:r>
              <w:rPr>
                <w:bCs/>
                <w:sz w:val="24"/>
              </w:rPr>
              <w:t>中国农业银行</w:t>
            </w:r>
          </w:p>
        </w:tc>
        <w:tc>
          <w:tcPr>
            <w:tcW w:w="1356" w:type="dxa"/>
            <w:vAlign w:val="center"/>
          </w:tcPr>
          <w:p w:rsidR="004E0BED" w:rsidRDefault="004E0BED" w:rsidP="004E0BED">
            <w:pPr>
              <w:jc w:val="right"/>
            </w:pPr>
            <w:r>
              <w:rPr>
                <w:bCs/>
                <w:sz w:val="24"/>
              </w:rPr>
              <w:t>-</w:t>
            </w:r>
          </w:p>
        </w:tc>
        <w:tc>
          <w:tcPr>
            <w:tcW w:w="1260" w:type="dxa"/>
            <w:vAlign w:val="center"/>
          </w:tcPr>
          <w:p w:rsidR="004E0BED" w:rsidRDefault="004E0BED" w:rsidP="004E0BED">
            <w:pPr>
              <w:jc w:val="right"/>
            </w:pPr>
            <w:r>
              <w:rPr>
                <w:bCs/>
                <w:sz w:val="24"/>
              </w:rPr>
              <w:t>50,226,474.05</w:t>
            </w:r>
          </w:p>
        </w:tc>
        <w:tc>
          <w:tcPr>
            <w:tcW w:w="1496" w:type="dxa"/>
            <w:vAlign w:val="center"/>
          </w:tcPr>
          <w:p w:rsidR="004E0BED" w:rsidRDefault="004E0BED" w:rsidP="004E0BED">
            <w:pPr>
              <w:jc w:val="right"/>
            </w:pPr>
            <w:r w:rsidRPr="00DE0D40">
              <w:rPr>
                <w:bCs/>
                <w:sz w:val="24"/>
              </w:rPr>
              <w:t>1,000,000,000.00</w:t>
            </w:r>
          </w:p>
        </w:tc>
        <w:tc>
          <w:tcPr>
            <w:tcW w:w="1316" w:type="dxa"/>
            <w:vAlign w:val="center"/>
          </w:tcPr>
          <w:p w:rsidR="004E0BED" w:rsidRDefault="004E0BED" w:rsidP="004E0BED">
            <w:pPr>
              <w:jc w:val="right"/>
            </w:pPr>
            <w:r w:rsidRPr="00DE0D40">
              <w:rPr>
                <w:bCs/>
                <w:sz w:val="24"/>
              </w:rPr>
              <w:t>328,767.12</w:t>
            </w:r>
          </w:p>
        </w:tc>
        <w:tc>
          <w:tcPr>
            <w:tcW w:w="1512" w:type="dxa"/>
            <w:vAlign w:val="center"/>
          </w:tcPr>
          <w:p w:rsidR="004E0BED" w:rsidRDefault="004E0BED" w:rsidP="004E0BED">
            <w:pPr>
              <w:jc w:val="right"/>
            </w:pPr>
            <w:r>
              <w:rPr>
                <w:bCs/>
                <w:sz w:val="24"/>
              </w:rPr>
              <w:t>5,71</w:t>
            </w:r>
            <w:r>
              <w:rPr>
                <w:rFonts w:hint="eastAsia"/>
                <w:bCs/>
                <w:sz w:val="24"/>
              </w:rPr>
              <w:t>4</w:t>
            </w:r>
            <w:r>
              <w:rPr>
                <w:bCs/>
                <w:sz w:val="24"/>
              </w:rPr>
              <w:t>,420,000.00</w:t>
            </w:r>
          </w:p>
        </w:tc>
        <w:tc>
          <w:tcPr>
            <w:tcW w:w="1083" w:type="dxa"/>
            <w:vAlign w:val="center"/>
          </w:tcPr>
          <w:p w:rsidR="004E0BED" w:rsidRDefault="004E0BED" w:rsidP="004E0BED">
            <w:pPr>
              <w:jc w:val="right"/>
            </w:pPr>
            <w:r>
              <w:rPr>
                <w:bCs/>
                <w:sz w:val="24"/>
              </w:rPr>
              <w:t>788,185.94</w:t>
            </w:r>
          </w:p>
        </w:tc>
      </w:tr>
      <w:tr w:rsidR="004E0BED" w:rsidTr="002D351B">
        <w:tc>
          <w:tcPr>
            <w:tcW w:w="1422" w:type="dxa"/>
            <w:vAlign w:val="center"/>
          </w:tcPr>
          <w:p w:rsidR="004E0BED" w:rsidRDefault="004E0BED" w:rsidP="004E0BED">
            <w:pPr>
              <w:jc w:val="left"/>
            </w:pPr>
            <w:r>
              <w:rPr>
                <w:bCs/>
                <w:sz w:val="24"/>
              </w:rPr>
              <w:t>交通银行</w:t>
            </w:r>
          </w:p>
        </w:tc>
        <w:tc>
          <w:tcPr>
            <w:tcW w:w="1356" w:type="dxa"/>
            <w:vAlign w:val="center"/>
          </w:tcPr>
          <w:p w:rsidR="004E0BED" w:rsidRDefault="004E0BED" w:rsidP="004E0BED">
            <w:pPr>
              <w:jc w:val="right"/>
            </w:pPr>
            <w:r>
              <w:rPr>
                <w:bCs/>
                <w:sz w:val="24"/>
              </w:rPr>
              <w:t>-</w:t>
            </w:r>
          </w:p>
        </w:tc>
        <w:tc>
          <w:tcPr>
            <w:tcW w:w="1260" w:type="dxa"/>
            <w:vAlign w:val="center"/>
          </w:tcPr>
          <w:p w:rsidR="004E0BED" w:rsidRDefault="004E0BED" w:rsidP="004E0BED">
            <w:pPr>
              <w:jc w:val="right"/>
            </w:pPr>
            <w:r>
              <w:rPr>
                <w:bCs/>
                <w:sz w:val="24"/>
              </w:rPr>
              <w:t>-</w:t>
            </w:r>
          </w:p>
        </w:tc>
        <w:tc>
          <w:tcPr>
            <w:tcW w:w="1496" w:type="dxa"/>
            <w:vAlign w:val="center"/>
          </w:tcPr>
          <w:p w:rsidR="004E0BED" w:rsidRPr="009C3976" w:rsidRDefault="004E0BED" w:rsidP="004E0BED">
            <w:pPr>
              <w:rPr>
                <w:bCs/>
                <w:sz w:val="24"/>
              </w:rPr>
            </w:pPr>
            <w:r w:rsidRPr="00DE0D40">
              <w:rPr>
                <w:bCs/>
                <w:sz w:val="24"/>
              </w:rPr>
              <w:t>3,000,650,000.00</w:t>
            </w:r>
          </w:p>
        </w:tc>
        <w:tc>
          <w:tcPr>
            <w:tcW w:w="1316" w:type="dxa"/>
            <w:vAlign w:val="center"/>
          </w:tcPr>
          <w:p w:rsidR="004E0BED" w:rsidRPr="009C3976" w:rsidRDefault="004E0BED" w:rsidP="004E0BED">
            <w:pPr>
              <w:rPr>
                <w:bCs/>
                <w:sz w:val="24"/>
              </w:rPr>
            </w:pPr>
            <w:r w:rsidRPr="00DE0D40">
              <w:rPr>
                <w:bCs/>
                <w:sz w:val="24"/>
              </w:rPr>
              <w:t>2,060,097.55</w:t>
            </w:r>
          </w:p>
        </w:tc>
        <w:tc>
          <w:tcPr>
            <w:tcW w:w="1512" w:type="dxa"/>
            <w:vAlign w:val="center"/>
          </w:tcPr>
          <w:p w:rsidR="004E0BED" w:rsidRDefault="004E0BED" w:rsidP="004E0BED">
            <w:pPr>
              <w:jc w:val="right"/>
            </w:pPr>
            <w:r>
              <w:rPr>
                <w:bCs/>
                <w:sz w:val="24"/>
              </w:rPr>
              <w:t>-</w:t>
            </w:r>
          </w:p>
        </w:tc>
        <w:tc>
          <w:tcPr>
            <w:tcW w:w="1083" w:type="dxa"/>
            <w:vAlign w:val="center"/>
          </w:tcPr>
          <w:p w:rsidR="004E0BED" w:rsidRDefault="004E0BED" w:rsidP="004E0BED">
            <w:pPr>
              <w:jc w:val="right"/>
            </w:pPr>
            <w:r>
              <w:rPr>
                <w:bCs/>
                <w:sz w:val="24"/>
              </w:rPr>
              <w:t>-</w:t>
            </w:r>
          </w:p>
        </w:tc>
      </w:tr>
      <w:tr w:rsidR="00F601C7" w:rsidRPr="00D564C7" w:rsidTr="009C3976">
        <w:tc>
          <w:tcPr>
            <w:tcW w:w="944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2015</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日至</w:t>
            </w:r>
            <w:r w:rsidRPr="00251664">
              <w:rPr>
                <w:bCs/>
                <w:color w:val="000000"/>
                <w:sz w:val="24"/>
              </w:rPr>
              <w:t>2015</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9C3976">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2616"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812"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9C3976">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356"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496"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316"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754F92" w:rsidTr="009C3976">
        <w:tc>
          <w:tcPr>
            <w:tcW w:w="1422" w:type="dxa"/>
            <w:vAlign w:val="center"/>
          </w:tcPr>
          <w:p w:rsidR="00754F92" w:rsidRDefault="002B0DD0">
            <w:pPr>
              <w:jc w:val="left"/>
            </w:pPr>
            <w:r>
              <w:rPr>
                <w:bCs/>
                <w:sz w:val="24"/>
              </w:rPr>
              <w:t>中国农业银行</w:t>
            </w:r>
          </w:p>
        </w:tc>
        <w:tc>
          <w:tcPr>
            <w:tcW w:w="1356" w:type="dxa"/>
            <w:vAlign w:val="center"/>
          </w:tcPr>
          <w:p w:rsidR="00754F92" w:rsidRDefault="002B0DD0">
            <w:pPr>
              <w:jc w:val="right"/>
            </w:pPr>
            <w:r>
              <w:rPr>
                <w:bCs/>
                <w:sz w:val="24"/>
              </w:rPr>
              <w:t>-</w:t>
            </w:r>
          </w:p>
        </w:tc>
        <w:tc>
          <w:tcPr>
            <w:tcW w:w="1260" w:type="dxa"/>
            <w:vAlign w:val="center"/>
          </w:tcPr>
          <w:p w:rsidR="00754F92" w:rsidRDefault="002B0DD0">
            <w:pPr>
              <w:jc w:val="right"/>
            </w:pPr>
            <w:r>
              <w:rPr>
                <w:bCs/>
                <w:sz w:val="24"/>
              </w:rPr>
              <w:t>-</w:t>
            </w:r>
          </w:p>
        </w:tc>
        <w:tc>
          <w:tcPr>
            <w:tcW w:w="1496" w:type="dxa"/>
            <w:vAlign w:val="center"/>
          </w:tcPr>
          <w:p w:rsidR="00754F92" w:rsidRDefault="002B0DD0">
            <w:pPr>
              <w:jc w:val="right"/>
            </w:pPr>
            <w:r>
              <w:rPr>
                <w:bCs/>
                <w:sz w:val="24"/>
              </w:rPr>
              <w:t>-</w:t>
            </w:r>
          </w:p>
        </w:tc>
        <w:tc>
          <w:tcPr>
            <w:tcW w:w="1316" w:type="dxa"/>
            <w:vAlign w:val="center"/>
          </w:tcPr>
          <w:p w:rsidR="00754F92" w:rsidRDefault="002B0DD0">
            <w:pPr>
              <w:jc w:val="right"/>
            </w:pPr>
            <w:r>
              <w:rPr>
                <w:bCs/>
                <w:sz w:val="24"/>
              </w:rPr>
              <w:t>-</w:t>
            </w:r>
          </w:p>
        </w:tc>
        <w:tc>
          <w:tcPr>
            <w:tcW w:w="1512" w:type="dxa"/>
            <w:vAlign w:val="center"/>
          </w:tcPr>
          <w:p w:rsidR="00754F92" w:rsidRDefault="002B0DD0">
            <w:pPr>
              <w:jc w:val="right"/>
            </w:pPr>
            <w:r>
              <w:rPr>
                <w:bCs/>
                <w:sz w:val="24"/>
              </w:rPr>
              <w:t>-</w:t>
            </w:r>
          </w:p>
        </w:tc>
        <w:tc>
          <w:tcPr>
            <w:tcW w:w="1083" w:type="dxa"/>
            <w:vAlign w:val="center"/>
          </w:tcPr>
          <w:p w:rsidR="00754F92" w:rsidRDefault="002B0DD0">
            <w:pPr>
              <w:jc w:val="right"/>
            </w:pPr>
            <w:r>
              <w:rPr>
                <w:bCs/>
                <w:sz w:val="24"/>
              </w:rPr>
              <w:t>-</w:t>
            </w:r>
          </w:p>
        </w:tc>
      </w:tr>
      <w:tr w:rsidR="00754F92" w:rsidTr="009C3976">
        <w:tc>
          <w:tcPr>
            <w:tcW w:w="1422" w:type="dxa"/>
            <w:vAlign w:val="center"/>
          </w:tcPr>
          <w:p w:rsidR="00754F92" w:rsidRDefault="002B0DD0">
            <w:pPr>
              <w:jc w:val="left"/>
            </w:pPr>
            <w:r>
              <w:rPr>
                <w:bCs/>
                <w:sz w:val="24"/>
              </w:rPr>
              <w:t>交通银行</w:t>
            </w:r>
          </w:p>
        </w:tc>
        <w:tc>
          <w:tcPr>
            <w:tcW w:w="1356" w:type="dxa"/>
            <w:vAlign w:val="center"/>
          </w:tcPr>
          <w:p w:rsidR="00754F92" w:rsidRDefault="002B0DD0">
            <w:pPr>
              <w:jc w:val="right"/>
            </w:pPr>
            <w:r>
              <w:rPr>
                <w:bCs/>
                <w:sz w:val="24"/>
              </w:rPr>
              <w:t>-</w:t>
            </w:r>
          </w:p>
        </w:tc>
        <w:tc>
          <w:tcPr>
            <w:tcW w:w="1260" w:type="dxa"/>
            <w:vAlign w:val="center"/>
          </w:tcPr>
          <w:p w:rsidR="00754F92" w:rsidRDefault="002B0DD0">
            <w:pPr>
              <w:jc w:val="right"/>
            </w:pPr>
            <w:r>
              <w:rPr>
                <w:bCs/>
                <w:sz w:val="24"/>
              </w:rPr>
              <w:t>-</w:t>
            </w:r>
          </w:p>
        </w:tc>
        <w:tc>
          <w:tcPr>
            <w:tcW w:w="1496" w:type="dxa"/>
            <w:vAlign w:val="center"/>
          </w:tcPr>
          <w:p w:rsidR="00754F92" w:rsidRDefault="002B0DD0">
            <w:pPr>
              <w:jc w:val="right"/>
            </w:pPr>
            <w:r>
              <w:rPr>
                <w:bCs/>
                <w:sz w:val="24"/>
              </w:rPr>
              <w:t>-</w:t>
            </w:r>
          </w:p>
        </w:tc>
        <w:tc>
          <w:tcPr>
            <w:tcW w:w="1316" w:type="dxa"/>
            <w:vAlign w:val="center"/>
          </w:tcPr>
          <w:p w:rsidR="00754F92" w:rsidRDefault="002B0DD0">
            <w:pPr>
              <w:jc w:val="right"/>
            </w:pPr>
            <w:r>
              <w:rPr>
                <w:bCs/>
                <w:sz w:val="24"/>
              </w:rPr>
              <w:t>-</w:t>
            </w:r>
          </w:p>
        </w:tc>
        <w:tc>
          <w:tcPr>
            <w:tcW w:w="1512" w:type="dxa"/>
            <w:vAlign w:val="center"/>
          </w:tcPr>
          <w:p w:rsidR="00754F92" w:rsidRDefault="002B0DD0">
            <w:pPr>
              <w:jc w:val="right"/>
            </w:pPr>
            <w:r>
              <w:rPr>
                <w:bCs/>
                <w:sz w:val="24"/>
              </w:rPr>
              <w:t>-</w:t>
            </w:r>
          </w:p>
        </w:tc>
        <w:tc>
          <w:tcPr>
            <w:tcW w:w="1083" w:type="dxa"/>
            <w:vAlign w:val="center"/>
          </w:tcPr>
          <w:p w:rsidR="00754F92" w:rsidRDefault="002B0DD0">
            <w:pPr>
              <w:jc w:val="right"/>
            </w:pPr>
            <w:r>
              <w:rPr>
                <w:bCs/>
                <w:sz w:val="24"/>
              </w:rPr>
              <w:t>-</w:t>
            </w:r>
          </w:p>
        </w:tc>
      </w:tr>
    </w:tbl>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Pr="00BC4194" w:rsidRDefault="006D141C" w:rsidP="00BC4194">
      <w:pPr>
        <w:autoSpaceDE w:val="0"/>
        <w:autoSpaceDN w:val="0"/>
        <w:adjustRightInd w:val="0"/>
        <w:spacing w:before="29" w:line="288" w:lineRule="auto"/>
        <w:ind w:left="15" w:right="90"/>
        <w:jc w:val="right"/>
        <w:rPr>
          <w:sz w:val="24"/>
        </w:rPr>
      </w:pPr>
      <w:r w:rsidRPr="00BC4194">
        <w:rPr>
          <w:rFonts w:hint="eastAsia"/>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CB1276" w:rsidTr="0018726C">
        <w:trPr>
          <w:trHeight w:val="340"/>
        </w:trPr>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autoSpaceDE w:val="0"/>
              <w:autoSpaceDN w:val="0"/>
              <w:spacing w:before="29" w:line="288" w:lineRule="auto"/>
              <w:jc w:val="center"/>
              <w:textAlignment w:val="bottom"/>
              <w:rPr>
                <w:bCs/>
                <w:color w:val="000000"/>
                <w:sz w:val="24"/>
              </w:rPr>
            </w:pPr>
            <w:r w:rsidRPr="00251664">
              <w:rPr>
                <w:rFonts w:hint="eastAsia"/>
                <w:bCs/>
                <w:color w:val="000000"/>
                <w:sz w:val="24"/>
              </w:rPr>
              <w:t>2015</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2015</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18726C">
        <w:trPr>
          <w:trHeight w:val="340"/>
        </w:trPr>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交银货币</w:t>
            </w:r>
            <w:r w:rsidRPr="00BC419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交银货币</w:t>
            </w:r>
            <w:r>
              <w:rPr>
                <w:rFonts w:hint="eastAsia"/>
                <w:sz w:val="24"/>
              </w:rPr>
              <w:t>B</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交银货币</w:t>
            </w:r>
            <w:r w:rsidRPr="00BC419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交银货币</w:t>
            </w:r>
            <w:r>
              <w:rPr>
                <w:rFonts w:hint="eastAsia"/>
                <w:sz w:val="24"/>
              </w:rPr>
              <w:t>B</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期初持有的基金份额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60,858,789.62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期间申购</w:t>
            </w:r>
            <w:r w:rsidR="006D141C" w:rsidRPr="00BC4194">
              <w:rPr>
                <w:rFonts w:hint="eastAsia"/>
                <w:szCs w:val="24"/>
              </w:rPr>
              <w:t>/</w:t>
            </w:r>
            <w:r w:rsidR="006D141C" w:rsidRPr="00BC4194">
              <w:rPr>
                <w:rFonts w:hint="eastAsia"/>
                <w:szCs w:val="24"/>
              </w:rPr>
              <w:t>买入总份额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200,161,770.12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60,858,789.62</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期间因拆分变动份额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0B4261"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pStyle w:val="ad"/>
              <w:spacing w:before="29" w:line="288" w:lineRule="auto"/>
              <w:rPr>
                <w:szCs w:val="24"/>
              </w:rPr>
            </w:pPr>
            <w:r w:rsidRPr="00BC4194">
              <w:rPr>
                <w:rFonts w:hint="eastAsia"/>
                <w:szCs w:val="24"/>
              </w:rPr>
              <w:t>减：</w:t>
            </w:r>
            <w:r w:rsidR="001730DF" w:rsidRPr="00280D8B">
              <w:rPr>
                <w:rFonts w:hint="eastAsia"/>
              </w:rPr>
              <w:t>报告</w:t>
            </w:r>
            <w:r w:rsidRPr="00BC4194">
              <w:rPr>
                <w:rFonts w:hint="eastAsia"/>
                <w:szCs w:val="24"/>
              </w:rPr>
              <w:t>期间赎回</w:t>
            </w:r>
            <w:r w:rsidRPr="00BC4194">
              <w:rPr>
                <w:rFonts w:hint="eastAsia"/>
                <w:szCs w:val="24"/>
              </w:rPr>
              <w:t>/</w:t>
            </w:r>
            <w:r w:rsidRPr="00BC4194">
              <w:rPr>
                <w:rFonts w:hint="eastAsia"/>
                <w:szCs w:val="24"/>
              </w:rPr>
              <w:t>卖出总份额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61,020,559.74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200,000,000.00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60,858,789.62</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期末持有的基金份额占基金总份额比例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0.52%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0.21%</w:t>
            </w:r>
          </w:p>
        </w:tc>
      </w:tr>
    </w:tbl>
    <w:p w:rsidR="00754F92" w:rsidRDefault="002B0DD0">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6D141C" w:rsidRDefault="006D141C" w:rsidP="00A26547">
      <w:pPr>
        <w:spacing w:before="29" w:line="288" w:lineRule="auto"/>
        <w:ind w:firstLineChars="200" w:firstLine="480"/>
        <w:jc w:val="left"/>
        <w:rPr>
          <w:kern w:val="0"/>
          <w:sz w:val="24"/>
        </w:rPr>
      </w:pPr>
      <w:r w:rsidRPr="005124D4">
        <w:rPr>
          <w:rFonts w:hint="eastAsia"/>
          <w:kern w:val="0"/>
          <w:sz w:val="24"/>
        </w:rPr>
        <w:t>2</w:t>
      </w:r>
      <w:r w:rsidRPr="005124D4">
        <w:rPr>
          <w:rFonts w:hint="eastAsia"/>
          <w:kern w:val="0"/>
          <w:sz w:val="24"/>
        </w:rPr>
        <w:t>、如果本报告期间发生转换出业务，则总赎回份额中包含该业务。</w:t>
      </w:r>
    </w:p>
    <w:p w:rsidR="00BF1A90" w:rsidRPr="00DE0D40" w:rsidRDefault="00BF1A90" w:rsidP="00BF1A90">
      <w:pPr>
        <w:tabs>
          <w:tab w:val="left" w:pos="426"/>
        </w:tabs>
        <w:spacing w:before="29" w:line="288" w:lineRule="auto"/>
        <w:ind w:firstLineChars="200" w:firstLine="480"/>
        <w:jc w:val="left"/>
        <w:rPr>
          <w:kern w:val="0"/>
          <w:sz w:val="24"/>
        </w:rPr>
      </w:pPr>
      <w:r>
        <w:rPr>
          <w:rFonts w:hint="eastAsia"/>
          <w:kern w:val="0"/>
          <w:sz w:val="24"/>
        </w:rPr>
        <w:t>3</w:t>
      </w:r>
      <w:r>
        <w:rPr>
          <w:rFonts w:hint="eastAsia"/>
          <w:kern w:val="0"/>
          <w:sz w:val="24"/>
        </w:rPr>
        <w:t>、</w:t>
      </w:r>
      <w:r>
        <w:rPr>
          <w:kern w:val="0"/>
          <w:sz w:val="24"/>
        </w:rPr>
        <w:t>基金管理人</w:t>
      </w:r>
      <w:r w:rsidRPr="00DE0D40">
        <w:rPr>
          <w:rFonts w:hint="eastAsia"/>
          <w:kern w:val="0"/>
          <w:sz w:val="24"/>
        </w:rPr>
        <w:t>投资本基金的费率按照基金合同和招募说明书规定的确定，符合公允性要求。</w:t>
      </w:r>
      <w:bookmarkStart w:id="10" w:name="_GoBack"/>
      <w:bookmarkEnd w:id="10"/>
    </w:p>
    <w:p w:rsidR="006D141C" w:rsidRPr="00CB1276" w:rsidRDefault="007D0C4D" w:rsidP="004B36C2">
      <w:pPr>
        <w:adjustRightInd w:val="0"/>
        <w:snapToGrid w:val="0"/>
        <w:spacing w:line="360" w:lineRule="auto"/>
        <w:jc w:val="left"/>
        <w:rPr>
          <w:rFonts w:asciiTheme="minorEastAsia" w:eastAsiaTheme="minorEastAsia" w:hAnsiTheme="minorEastAsia"/>
          <w:bCs/>
          <w:szCs w:val="21"/>
        </w:rPr>
      </w:pPr>
      <w:r w:rsidRPr="00CB1276">
        <w:rPr>
          <w:rFonts w:asciiTheme="minorEastAsia" w:eastAsiaTheme="minorEastAsia" w:hAnsiTheme="minorEastAsia" w:hint="eastAsia"/>
          <w:bCs/>
          <w:szCs w:val="21"/>
        </w:rPr>
        <w:tab/>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6D5CCC" w:rsidRPr="00004EBE" w:rsidRDefault="004E65B4" w:rsidP="00004EBE">
      <w:pPr>
        <w:spacing w:before="29" w:line="288" w:lineRule="auto"/>
        <w:rPr>
          <w:sz w:val="24"/>
        </w:rPr>
      </w:pPr>
      <w:r>
        <w:rPr>
          <w:rFonts w:hint="eastAsia"/>
          <w:sz w:val="24"/>
        </w:rPr>
        <w:t>交银货币</w:t>
      </w:r>
      <w:r>
        <w:rPr>
          <w:rFonts w:hint="eastAsia"/>
          <w:sz w:val="24"/>
        </w:rPr>
        <w:t>B</w:t>
      </w:r>
    </w:p>
    <w:p w:rsidR="00487AB1" w:rsidRPr="006A1080" w:rsidRDefault="00487AB1" w:rsidP="006A1080">
      <w:pPr>
        <w:spacing w:before="29" w:line="288" w:lineRule="auto"/>
        <w:ind w:right="105"/>
        <w:jc w:val="right"/>
        <w:rPr>
          <w:color w:val="000000"/>
          <w:sz w:val="24"/>
        </w:rPr>
      </w:pPr>
      <w:r w:rsidRPr="006A1080">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799"/>
        <w:gridCol w:w="1800"/>
        <w:gridCol w:w="1973"/>
        <w:gridCol w:w="1627"/>
      </w:tblGrid>
      <w:tr w:rsidR="00604AF1" w:rsidRPr="00CB1276" w:rsidTr="00BC28B1">
        <w:tc>
          <w:tcPr>
            <w:tcW w:w="179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关联方名称</w:t>
            </w:r>
          </w:p>
        </w:tc>
        <w:tc>
          <w:tcPr>
            <w:tcW w:w="359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交银货币</w:t>
            </w:r>
            <w:r>
              <w:rPr>
                <w:rFonts w:hint="eastAsia"/>
                <w:bCs/>
                <w:color w:val="000000"/>
                <w:sz w:val="24"/>
              </w:rPr>
              <w:t>B</w:t>
            </w:r>
            <w:r w:rsidR="00604AF1" w:rsidRPr="00251664">
              <w:rPr>
                <w:rFonts w:hint="eastAsia"/>
                <w:bCs/>
                <w:color w:val="000000"/>
                <w:sz w:val="24"/>
              </w:rPr>
              <w:t>本期末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交银货币</w:t>
            </w:r>
            <w:r>
              <w:rPr>
                <w:rFonts w:hint="eastAsia"/>
                <w:bCs/>
                <w:color w:val="000000"/>
                <w:sz w:val="24"/>
              </w:rPr>
              <w:t>B</w:t>
            </w:r>
            <w:r w:rsidR="00604AF1" w:rsidRPr="00251664">
              <w:rPr>
                <w:rFonts w:hint="eastAsia"/>
                <w:bCs/>
                <w:color w:val="000000"/>
                <w:sz w:val="24"/>
              </w:rPr>
              <w:t>上年度末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bCs/>
                <w:color w:val="000000"/>
                <w:sz w:val="24"/>
              </w:rPr>
              <w:t>2015</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604AF1" w:rsidRPr="00CB1276" w:rsidTr="00BC28B1">
        <w:tc>
          <w:tcPr>
            <w:tcW w:w="1799" w:type="dxa"/>
            <w:vMerge/>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r>
      <w:tr w:rsidR="00BC28B1" w:rsidTr="00BC28B1">
        <w:tc>
          <w:tcPr>
            <w:tcW w:w="1799" w:type="dxa"/>
            <w:vAlign w:val="center"/>
          </w:tcPr>
          <w:p w:rsidR="00BC28B1" w:rsidRDefault="00BC28B1" w:rsidP="00BC28B1">
            <w:pPr>
              <w:jc w:val="center"/>
            </w:pPr>
            <w:r>
              <w:rPr>
                <w:rFonts w:hint="eastAsia"/>
                <w:sz w:val="24"/>
              </w:rPr>
              <w:t>交通银行</w:t>
            </w:r>
          </w:p>
        </w:tc>
        <w:tc>
          <w:tcPr>
            <w:tcW w:w="1799" w:type="dxa"/>
            <w:vAlign w:val="center"/>
          </w:tcPr>
          <w:p w:rsidR="00BC28B1" w:rsidRDefault="00BC28B1" w:rsidP="00BC28B1">
            <w:pPr>
              <w:jc w:val="center"/>
            </w:pPr>
            <w:r>
              <w:rPr>
                <w:rFonts w:hint="eastAsia"/>
                <w:sz w:val="24"/>
              </w:rPr>
              <w:t>7,000,000,000.00</w:t>
            </w:r>
          </w:p>
        </w:tc>
        <w:tc>
          <w:tcPr>
            <w:tcW w:w="1800" w:type="dxa"/>
            <w:vAlign w:val="center"/>
          </w:tcPr>
          <w:p w:rsidR="00BC28B1" w:rsidRDefault="00BC28B1" w:rsidP="00BC28B1">
            <w:pPr>
              <w:jc w:val="center"/>
            </w:pPr>
            <w:r>
              <w:rPr>
                <w:rFonts w:hint="eastAsia"/>
                <w:sz w:val="24"/>
              </w:rPr>
              <w:t>18.28%</w:t>
            </w:r>
          </w:p>
        </w:tc>
        <w:tc>
          <w:tcPr>
            <w:tcW w:w="1973" w:type="dxa"/>
            <w:vAlign w:val="center"/>
          </w:tcPr>
          <w:p w:rsidR="00BC28B1" w:rsidRPr="00FC07E1" w:rsidRDefault="00BC28B1" w:rsidP="00BC28B1">
            <w:pPr>
              <w:jc w:val="center"/>
              <w:rPr>
                <w:kern w:val="0"/>
                <w:szCs w:val="21"/>
              </w:rPr>
            </w:pPr>
            <w:r w:rsidRPr="00FC07E1">
              <w:rPr>
                <w:sz w:val="24"/>
              </w:rPr>
              <w:t>5,008,190,725.85</w:t>
            </w:r>
          </w:p>
        </w:tc>
        <w:tc>
          <w:tcPr>
            <w:tcW w:w="1627" w:type="dxa"/>
            <w:vAlign w:val="center"/>
          </w:tcPr>
          <w:p w:rsidR="00BC28B1" w:rsidRPr="00FC07E1" w:rsidRDefault="00BC28B1" w:rsidP="00BC28B1">
            <w:pPr>
              <w:jc w:val="center"/>
            </w:pPr>
            <w:r w:rsidRPr="00FC07E1">
              <w:rPr>
                <w:sz w:val="24"/>
              </w:rPr>
              <w:t>17.36%</w:t>
            </w:r>
          </w:p>
        </w:tc>
      </w:tr>
      <w:tr w:rsidR="00BC28B1" w:rsidTr="00BC28B1">
        <w:tc>
          <w:tcPr>
            <w:tcW w:w="1799" w:type="dxa"/>
            <w:vAlign w:val="center"/>
          </w:tcPr>
          <w:p w:rsidR="00BC28B1" w:rsidRDefault="00BC28B1" w:rsidP="00BC28B1">
            <w:pPr>
              <w:jc w:val="center"/>
            </w:pPr>
            <w:r>
              <w:rPr>
                <w:rFonts w:hint="eastAsia"/>
                <w:sz w:val="24"/>
              </w:rPr>
              <w:t>交银施罗德资管</w:t>
            </w:r>
          </w:p>
        </w:tc>
        <w:tc>
          <w:tcPr>
            <w:tcW w:w="1799" w:type="dxa"/>
            <w:vAlign w:val="center"/>
          </w:tcPr>
          <w:p w:rsidR="00BC28B1" w:rsidRDefault="00BC28B1" w:rsidP="00BC28B1">
            <w:pPr>
              <w:jc w:val="center"/>
            </w:pPr>
            <w:r>
              <w:rPr>
                <w:rFonts w:hint="eastAsia"/>
                <w:sz w:val="24"/>
              </w:rPr>
              <w:t>30,156,745.32</w:t>
            </w:r>
          </w:p>
        </w:tc>
        <w:tc>
          <w:tcPr>
            <w:tcW w:w="1800" w:type="dxa"/>
            <w:vAlign w:val="center"/>
          </w:tcPr>
          <w:p w:rsidR="00BC28B1" w:rsidRDefault="00BC28B1" w:rsidP="00BC28B1">
            <w:pPr>
              <w:jc w:val="center"/>
            </w:pPr>
            <w:r>
              <w:rPr>
                <w:rFonts w:hint="eastAsia"/>
                <w:sz w:val="24"/>
              </w:rPr>
              <w:t>0.08%</w:t>
            </w:r>
          </w:p>
        </w:tc>
        <w:tc>
          <w:tcPr>
            <w:tcW w:w="1973" w:type="dxa"/>
            <w:vAlign w:val="center"/>
          </w:tcPr>
          <w:p w:rsidR="00BC28B1" w:rsidRPr="00FC07E1" w:rsidRDefault="00BC28B1" w:rsidP="00BC28B1">
            <w:pPr>
              <w:jc w:val="center"/>
            </w:pPr>
            <w:r w:rsidRPr="00FC07E1">
              <w:rPr>
                <w:sz w:val="24"/>
              </w:rPr>
              <w:t>-</w:t>
            </w:r>
          </w:p>
        </w:tc>
        <w:tc>
          <w:tcPr>
            <w:tcW w:w="1627" w:type="dxa"/>
            <w:vAlign w:val="center"/>
          </w:tcPr>
          <w:p w:rsidR="00BC28B1" w:rsidRPr="00FC07E1" w:rsidRDefault="00BC28B1" w:rsidP="00BC28B1">
            <w:pPr>
              <w:jc w:val="center"/>
            </w:pPr>
            <w:r w:rsidRPr="00FC07E1">
              <w:rPr>
                <w:sz w:val="24"/>
              </w:rPr>
              <w:t>-</w:t>
            </w:r>
          </w:p>
        </w:tc>
      </w:tr>
    </w:tbl>
    <w:p w:rsidR="00604AF1" w:rsidRPr="005124D4" w:rsidRDefault="004E65B4" w:rsidP="005124D4">
      <w:pPr>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F35CA1" w:rsidRDefault="006D141C" w:rsidP="004B36C2">
      <w:pPr>
        <w:spacing w:line="360" w:lineRule="auto"/>
        <w:rPr>
          <w:rFonts w:asciiTheme="minorEastAsia" w:eastAsiaTheme="minorEastAsia" w:hAnsiTheme="minorEastAsia"/>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2015</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2015</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754F92">
        <w:tc>
          <w:tcPr>
            <w:tcW w:w="1799" w:type="dxa"/>
            <w:vAlign w:val="center"/>
          </w:tcPr>
          <w:p w:rsidR="00754F92" w:rsidRDefault="002B0DD0">
            <w:pPr>
              <w:jc w:val="center"/>
            </w:pPr>
            <w:r>
              <w:rPr>
                <w:rFonts w:hint="eastAsia"/>
                <w:szCs w:val="21"/>
              </w:rPr>
              <w:t>中国农业银行</w:t>
            </w:r>
          </w:p>
        </w:tc>
        <w:tc>
          <w:tcPr>
            <w:tcW w:w="1799" w:type="dxa"/>
            <w:vAlign w:val="center"/>
          </w:tcPr>
          <w:p w:rsidR="00754F92" w:rsidRDefault="002B0DD0">
            <w:pPr>
              <w:jc w:val="center"/>
            </w:pPr>
            <w:r>
              <w:rPr>
                <w:rFonts w:hint="eastAsia"/>
                <w:szCs w:val="21"/>
              </w:rPr>
              <w:t>1,668,636.35</w:t>
            </w:r>
          </w:p>
        </w:tc>
        <w:tc>
          <w:tcPr>
            <w:tcW w:w="1800" w:type="dxa"/>
            <w:vAlign w:val="center"/>
          </w:tcPr>
          <w:p w:rsidR="00754F92" w:rsidRDefault="002B0DD0">
            <w:pPr>
              <w:jc w:val="center"/>
            </w:pPr>
            <w:r>
              <w:rPr>
                <w:rFonts w:hint="eastAsia"/>
                <w:szCs w:val="21"/>
              </w:rPr>
              <w:t>274,713.69</w:t>
            </w:r>
          </w:p>
        </w:tc>
        <w:tc>
          <w:tcPr>
            <w:tcW w:w="1800" w:type="dxa"/>
            <w:vAlign w:val="center"/>
          </w:tcPr>
          <w:p w:rsidR="00754F92" w:rsidRDefault="002B0DD0">
            <w:pPr>
              <w:jc w:val="center"/>
            </w:pPr>
            <w:r>
              <w:rPr>
                <w:rFonts w:hint="eastAsia"/>
                <w:szCs w:val="21"/>
              </w:rPr>
              <w:t>6,168,488.48</w:t>
            </w:r>
          </w:p>
        </w:tc>
        <w:tc>
          <w:tcPr>
            <w:tcW w:w="1800" w:type="dxa"/>
            <w:vAlign w:val="center"/>
          </w:tcPr>
          <w:p w:rsidR="00754F92" w:rsidRDefault="002B0DD0">
            <w:pPr>
              <w:jc w:val="center"/>
            </w:pPr>
            <w:r>
              <w:rPr>
                <w:rFonts w:hint="eastAsia"/>
                <w:szCs w:val="21"/>
              </w:rPr>
              <w:t>178,328.35</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注：本基金的银行存款由基金托管人保管，按银行同业利率计息。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2016</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C86273" w:rsidRPr="005124D4" w:rsidRDefault="00C86273"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C86273" w:rsidRPr="005124D4" w:rsidRDefault="00C86273"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Default="006D141C" w:rsidP="005124D4">
      <w:pPr>
        <w:spacing w:before="29" w:line="288" w:lineRule="auto"/>
        <w:jc w:val="left"/>
        <w:rPr>
          <w:kern w:val="0"/>
          <w:sz w:val="24"/>
        </w:rPr>
      </w:pPr>
      <w:r w:rsidRPr="005124D4">
        <w:rPr>
          <w:rFonts w:hint="eastAsia"/>
          <w:kern w:val="0"/>
          <w:sz w:val="24"/>
        </w:rPr>
        <w:t>本基金本报告期末无从事债券正回购交易形成的卖出回购证券款余额。</w:t>
      </w:r>
    </w:p>
    <w:p w:rsidR="00C86273" w:rsidRPr="005124D4" w:rsidRDefault="00C86273"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754F92" w:rsidRDefault="002B0DD0">
      <w:pPr>
        <w:spacing w:before="29" w:line="288" w:lineRule="auto"/>
        <w:rPr>
          <w:color w:val="000000"/>
          <w:sz w:val="24"/>
        </w:rPr>
      </w:pPr>
      <w:r>
        <w:rPr>
          <w:rFonts w:hint="eastAsia"/>
          <w:color w:val="000000"/>
          <w:sz w:val="24"/>
        </w:rPr>
        <w:t>(1)</w:t>
      </w:r>
      <w:r>
        <w:rPr>
          <w:rFonts w:hint="eastAsia"/>
          <w:color w:val="000000"/>
          <w:sz w:val="24"/>
        </w:rPr>
        <w:t>公允价值</w:t>
      </w:r>
    </w:p>
    <w:p w:rsidR="00754F92" w:rsidRDefault="002B0DD0">
      <w:pPr>
        <w:spacing w:before="29" w:line="288" w:lineRule="auto"/>
        <w:rPr>
          <w:color w:val="000000"/>
          <w:sz w:val="24"/>
        </w:rPr>
      </w:pPr>
      <w:r>
        <w:rPr>
          <w:rFonts w:hint="eastAsia"/>
          <w:color w:val="000000"/>
          <w:sz w:val="24"/>
        </w:rPr>
        <w:t>(a)</w:t>
      </w:r>
      <w:r>
        <w:rPr>
          <w:rFonts w:hint="eastAsia"/>
          <w:color w:val="000000"/>
          <w:sz w:val="24"/>
        </w:rPr>
        <w:t>不以公允价值计量的金融工具</w:t>
      </w:r>
    </w:p>
    <w:p w:rsidR="00754F92" w:rsidRDefault="002B0DD0">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754F92" w:rsidRDefault="002B0DD0">
      <w:pPr>
        <w:spacing w:before="29" w:line="288" w:lineRule="auto"/>
        <w:rPr>
          <w:color w:val="000000"/>
          <w:sz w:val="24"/>
        </w:rPr>
      </w:pPr>
      <w:r>
        <w:rPr>
          <w:rFonts w:hint="eastAsia"/>
          <w:color w:val="000000"/>
          <w:sz w:val="24"/>
        </w:rPr>
        <w:t>(b)</w:t>
      </w:r>
      <w:r>
        <w:rPr>
          <w:rFonts w:hint="eastAsia"/>
          <w:color w:val="000000"/>
          <w:sz w:val="24"/>
        </w:rPr>
        <w:t>以公允价值计量的金融工具</w:t>
      </w:r>
    </w:p>
    <w:p w:rsidR="00754F92" w:rsidRDefault="002B0DD0">
      <w:pPr>
        <w:spacing w:before="29" w:line="288" w:lineRule="auto"/>
        <w:rPr>
          <w:color w:val="000000"/>
          <w:sz w:val="24"/>
        </w:rPr>
      </w:pPr>
      <w:r>
        <w:rPr>
          <w:rFonts w:hint="eastAsia"/>
          <w:color w:val="000000"/>
          <w:sz w:val="24"/>
        </w:rPr>
        <w:t>(i)</w:t>
      </w:r>
      <w:r>
        <w:rPr>
          <w:rFonts w:hint="eastAsia"/>
          <w:color w:val="000000"/>
          <w:sz w:val="24"/>
        </w:rPr>
        <w:t>金融工具公允价值计量的方法</w:t>
      </w:r>
    </w:p>
    <w:p w:rsidR="00754F92" w:rsidRDefault="002B0DD0">
      <w:pPr>
        <w:spacing w:before="29" w:line="288" w:lineRule="auto"/>
        <w:rPr>
          <w:color w:val="000000"/>
          <w:sz w:val="24"/>
        </w:rPr>
      </w:pPr>
      <w:r>
        <w:rPr>
          <w:rFonts w:hint="eastAsia"/>
          <w:color w:val="000000"/>
          <w:sz w:val="24"/>
        </w:rPr>
        <w:t>本基金对以公允价值进行后续计量的金融资产与金融负债根据对计量整体具有重大意义的最低层次的输入值确定公允价值计量层次。公允价值计量层次可分为：</w:t>
      </w:r>
    </w:p>
    <w:p w:rsidR="00754F92" w:rsidRDefault="002B0DD0">
      <w:pPr>
        <w:spacing w:before="29" w:line="288" w:lineRule="auto"/>
        <w:rPr>
          <w:color w:val="000000"/>
          <w:sz w:val="24"/>
        </w:rPr>
      </w:pPr>
      <w:r>
        <w:rPr>
          <w:rFonts w:hint="eastAsia"/>
          <w:color w:val="000000"/>
          <w:sz w:val="24"/>
        </w:rPr>
        <w:t>第一层次输入值是在计量日能够取得的相同资产或负债在活跃市场上未经调整的报价；</w:t>
      </w:r>
    </w:p>
    <w:p w:rsidR="00754F92" w:rsidRDefault="002B0DD0">
      <w:pPr>
        <w:spacing w:before="29" w:line="288" w:lineRule="auto"/>
        <w:rPr>
          <w:color w:val="000000"/>
          <w:sz w:val="24"/>
        </w:rPr>
      </w:pPr>
      <w:r>
        <w:rPr>
          <w:rFonts w:hint="eastAsia"/>
          <w:color w:val="000000"/>
          <w:sz w:val="24"/>
        </w:rPr>
        <w:t>第二层次输入值是除第一层次输入值外相关资产或负债直接或间接可观察的输入值；</w:t>
      </w:r>
    </w:p>
    <w:p w:rsidR="00754F92" w:rsidRDefault="002B0DD0">
      <w:pPr>
        <w:spacing w:before="29" w:line="288" w:lineRule="auto"/>
        <w:rPr>
          <w:color w:val="000000"/>
          <w:sz w:val="24"/>
        </w:rPr>
      </w:pPr>
      <w:r>
        <w:rPr>
          <w:rFonts w:hint="eastAsia"/>
          <w:color w:val="000000"/>
          <w:sz w:val="24"/>
        </w:rPr>
        <w:t>第三层次输入值是相关资产或负债的不可观察输入值。</w:t>
      </w:r>
    </w:p>
    <w:p w:rsidR="00754F92" w:rsidRDefault="002B0DD0">
      <w:pPr>
        <w:spacing w:before="29" w:line="288" w:lineRule="auto"/>
        <w:rPr>
          <w:color w:val="000000"/>
          <w:sz w:val="24"/>
        </w:rPr>
      </w:pPr>
      <w:r>
        <w:rPr>
          <w:rFonts w:hint="eastAsia"/>
          <w:color w:val="000000"/>
          <w:sz w:val="24"/>
        </w:rPr>
        <w:t xml:space="preserve">(ii) </w:t>
      </w:r>
      <w:r>
        <w:rPr>
          <w:rFonts w:hint="eastAsia"/>
          <w:color w:val="000000"/>
          <w:sz w:val="24"/>
        </w:rPr>
        <w:t>各层次金融工具公允价值</w:t>
      </w:r>
    </w:p>
    <w:p w:rsidR="00754F92" w:rsidRDefault="002B0DD0">
      <w:pPr>
        <w:spacing w:before="29" w:line="288" w:lineRule="auto"/>
        <w:rPr>
          <w:color w:val="000000"/>
          <w:sz w:val="24"/>
        </w:rPr>
      </w:pPr>
      <w:r>
        <w:rPr>
          <w:rFonts w:hint="eastAsia"/>
          <w:color w:val="000000"/>
          <w:sz w:val="24"/>
        </w:rPr>
        <w:t>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日，本基金持有的以公允价值计量且其变动计入当期损益的金融工具中属于第二层次</w:t>
      </w:r>
      <w:r w:rsidR="00AE0C4B">
        <w:rPr>
          <w:rFonts w:hint="eastAsia"/>
          <w:color w:val="000000"/>
          <w:sz w:val="24"/>
        </w:rPr>
        <w:t>余额为</w:t>
      </w:r>
      <w:r>
        <w:rPr>
          <w:rFonts w:hint="eastAsia"/>
          <w:color w:val="000000"/>
          <w:sz w:val="24"/>
        </w:rPr>
        <w:t>8,792,126,651.39</w:t>
      </w:r>
      <w:r>
        <w:rPr>
          <w:rFonts w:hint="eastAsia"/>
          <w:color w:val="000000"/>
          <w:sz w:val="24"/>
        </w:rPr>
        <w:t>元，无属于第一层次和第三层次的余额（</w:t>
      </w:r>
      <w:r>
        <w:rPr>
          <w:rFonts w:hint="eastAsia"/>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 xml:space="preserve">12,023,618,326.32 </w:t>
      </w:r>
      <w:r>
        <w:rPr>
          <w:rFonts w:hint="eastAsia"/>
          <w:color w:val="000000"/>
          <w:sz w:val="24"/>
        </w:rPr>
        <w:t>元，无属于第一层次和第三层次的余额</w:t>
      </w:r>
      <w:r>
        <w:rPr>
          <w:rFonts w:hint="eastAsia"/>
          <w:color w:val="000000"/>
          <w:sz w:val="24"/>
        </w:rPr>
        <w:t>)</w:t>
      </w:r>
      <w:r>
        <w:rPr>
          <w:rFonts w:hint="eastAsia"/>
          <w:color w:val="000000"/>
          <w:sz w:val="24"/>
        </w:rPr>
        <w:t>。</w:t>
      </w:r>
    </w:p>
    <w:p w:rsidR="00754F92" w:rsidRDefault="002B0DD0">
      <w:pPr>
        <w:spacing w:before="29" w:line="288" w:lineRule="auto"/>
        <w:rPr>
          <w:color w:val="000000"/>
          <w:sz w:val="24"/>
        </w:rPr>
      </w:pPr>
      <w:r>
        <w:rPr>
          <w:rFonts w:hint="eastAsia"/>
          <w:color w:val="000000"/>
          <w:sz w:val="24"/>
        </w:rPr>
        <w:t>(iii)</w:t>
      </w:r>
      <w:r>
        <w:rPr>
          <w:rFonts w:hint="eastAsia"/>
          <w:color w:val="000000"/>
          <w:sz w:val="24"/>
        </w:rPr>
        <w:t>公允价值所属层次间的重大变动</w:t>
      </w:r>
    </w:p>
    <w:p w:rsidR="00754F92" w:rsidRDefault="002B0DD0">
      <w:pPr>
        <w:spacing w:before="29" w:line="288" w:lineRule="auto"/>
        <w:rPr>
          <w:color w:val="000000"/>
          <w:sz w:val="24"/>
        </w:rPr>
      </w:pPr>
      <w:r>
        <w:rPr>
          <w:rFonts w:hint="eastAsia"/>
          <w:color w:val="000000"/>
          <w:sz w:val="24"/>
        </w:rPr>
        <w:t>对于证券交易所上市的股票和债券，若出现重大事项停牌、交易不活跃</w:t>
      </w:r>
      <w:r>
        <w:rPr>
          <w:rFonts w:hint="eastAsia"/>
          <w:color w:val="000000"/>
          <w:sz w:val="24"/>
        </w:rPr>
        <w:t>(</w:t>
      </w:r>
      <w:r>
        <w:rPr>
          <w:rFonts w:hint="eastAsia"/>
          <w:color w:val="000000"/>
          <w:sz w:val="24"/>
        </w:rPr>
        <w:t>包括涨跌停时的交易不活跃</w:t>
      </w:r>
      <w:r>
        <w:rPr>
          <w:rFonts w:hint="eastAsia"/>
          <w:color w:val="000000"/>
          <w:sz w:val="24"/>
        </w:rPr>
        <w:t>)</w:t>
      </w:r>
      <w:r>
        <w:rPr>
          <w:rFonts w:hint="eastAsia"/>
          <w:color w:val="000000"/>
          <w:sz w:val="24"/>
        </w:rPr>
        <w:t>、或属于非公开发行等情况，本基金分别于停牌日至交易恢复活跃日期间、交易不活跃期间及限售期间根据估值调整中采用的不可观察输入值对于公允价值的影响程度，确定相关股票和债券公允价值应属第二层次或第三层次。</w:t>
      </w:r>
    </w:p>
    <w:p w:rsidR="00754F92" w:rsidRDefault="002B0DD0">
      <w:pPr>
        <w:spacing w:before="29" w:line="288" w:lineRule="auto"/>
        <w:rPr>
          <w:color w:val="000000"/>
          <w:sz w:val="24"/>
        </w:rPr>
      </w:pPr>
      <w:r>
        <w:rPr>
          <w:rFonts w:hint="eastAsia"/>
          <w:color w:val="000000"/>
          <w:sz w:val="24"/>
        </w:rPr>
        <w:t xml:space="preserve">(iv) </w:t>
      </w:r>
      <w:r>
        <w:rPr>
          <w:rFonts w:hint="eastAsia"/>
          <w:color w:val="000000"/>
          <w:sz w:val="24"/>
        </w:rPr>
        <w:t>第三层次公允价值余额和本期变动金额</w:t>
      </w:r>
    </w:p>
    <w:p w:rsidR="00754F92" w:rsidRDefault="002B0DD0">
      <w:pPr>
        <w:spacing w:before="29" w:line="288" w:lineRule="auto"/>
        <w:rPr>
          <w:color w:val="000000"/>
          <w:sz w:val="24"/>
        </w:rPr>
      </w:pPr>
      <w:r>
        <w:rPr>
          <w:rFonts w:hint="eastAsia"/>
          <w:color w:val="000000"/>
          <w:sz w:val="24"/>
        </w:rPr>
        <w:t>无。</w:t>
      </w:r>
    </w:p>
    <w:p w:rsidR="006D141C" w:rsidRDefault="006D141C" w:rsidP="000A3DDA">
      <w:pPr>
        <w:spacing w:before="29" w:line="288" w:lineRule="auto"/>
        <w:rPr>
          <w:color w:val="000000"/>
          <w:sz w:val="24"/>
        </w:rPr>
      </w:pPr>
      <w:r w:rsidRPr="000A3DDA">
        <w:rPr>
          <w:rFonts w:hint="eastAsia"/>
          <w:color w:val="000000"/>
          <w:sz w:val="24"/>
        </w:rPr>
        <w:t xml:space="preserve">(2) </w:t>
      </w:r>
      <w:r w:rsidRPr="000A3DDA">
        <w:rPr>
          <w:rFonts w:hint="eastAsia"/>
          <w:color w:val="000000"/>
          <w:sz w:val="24"/>
        </w:rPr>
        <w:t>除公允价值外，截至资产负债表日本基金无需要说明的其他重要事项。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4E65B4">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8,792,126,651.39</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22.94</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8,792,126,651.39</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22.94</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13,381,306,970.84</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34.91</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2,795,479,895.98</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7.29</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15,573,668,636.35</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40.63</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582,534,356.38</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1.52</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38,329,636,614.96</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2.13</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本基金本报告期内债券正回购的资金余额未超过资产净值的</w:t>
      </w:r>
      <w:r w:rsidRPr="005124D4">
        <w:rPr>
          <w:rFonts w:hint="eastAsia"/>
          <w:kern w:val="0"/>
          <w:sz w:val="24"/>
        </w:rPr>
        <w:t>20%</w:t>
      </w:r>
      <w:r w:rsidRPr="005124D4">
        <w:rPr>
          <w:rFonts w:hint="eastAsia"/>
          <w:kern w:val="0"/>
          <w:sz w:val="24"/>
        </w:rPr>
        <w:t>。</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0C394D">
        <w:trPr>
          <w:trHeight w:val="375"/>
        </w:trPr>
        <w:tc>
          <w:tcPr>
            <w:tcW w:w="449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449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0C394D">
        <w:trPr>
          <w:trHeight w:val="295"/>
        </w:trPr>
        <w:tc>
          <w:tcPr>
            <w:tcW w:w="449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4499" w:type="dxa"/>
            <w:vAlign w:val="center"/>
          </w:tcPr>
          <w:p w:rsidR="00F15C96" w:rsidRPr="00B631B7" w:rsidRDefault="00F15C96" w:rsidP="00B631B7">
            <w:pPr>
              <w:spacing w:before="29" w:line="288" w:lineRule="auto"/>
              <w:jc w:val="center"/>
              <w:rPr>
                <w:sz w:val="24"/>
              </w:rPr>
            </w:pPr>
            <w:r w:rsidRPr="00B631B7">
              <w:rPr>
                <w:rFonts w:hint="eastAsia"/>
                <w:sz w:val="24"/>
              </w:rPr>
              <w:t>48</w:t>
            </w:r>
          </w:p>
        </w:tc>
      </w:tr>
      <w:tr w:rsidR="002C233F" w:rsidRPr="00CB1276" w:rsidTr="000C394D">
        <w:trPr>
          <w:trHeight w:val="295"/>
        </w:trPr>
        <w:tc>
          <w:tcPr>
            <w:tcW w:w="449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4499" w:type="dxa"/>
            <w:vAlign w:val="center"/>
          </w:tcPr>
          <w:p w:rsidR="00F15C96" w:rsidRPr="00B631B7" w:rsidRDefault="00F15C96" w:rsidP="00B631B7">
            <w:pPr>
              <w:spacing w:before="29" w:line="288" w:lineRule="auto"/>
              <w:jc w:val="center"/>
              <w:rPr>
                <w:sz w:val="24"/>
              </w:rPr>
            </w:pPr>
            <w:r w:rsidRPr="00B631B7">
              <w:rPr>
                <w:rFonts w:hint="eastAsia"/>
                <w:sz w:val="24"/>
              </w:rPr>
              <w:t>122</w:t>
            </w:r>
          </w:p>
        </w:tc>
      </w:tr>
      <w:tr w:rsidR="002C233F" w:rsidRPr="00CB1276" w:rsidTr="000C394D">
        <w:trPr>
          <w:trHeight w:val="295"/>
        </w:trPr>
        <w:tc>
          <w:tcPr>
            <w:tcW w:w="449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4499" w:type="dxa"/>
            <w:vAlign w:val="center"/>
          </w:tcPr>
          <w:p w:rsidR="00F15C96" w:rsidRPr="00B631B7" w:rsidRDefault="00F15C96" w:rsidP="00B631B7">
            <w:pPr>
              <w:spacing w:before="29" w:line="288" w:lineRule="auto"/>
              <w:jc w:val="center"/>
              <w:rPr>
                <w:sz w:val="24"/>
              </w:rPr>
            </w:pPr>
            <w:r w:rsidRPr="00B631B7">
              <w:rPr>
                <w:rFonts w:hint="eastAsia"/>
                <w:sz w:val="24"/>
              </w:rPr>
              <w:t>46</w:t>
            </w:r>
          </w:p>
        </w:tc>
      </w:tr>
    </w:tbl>
    <w:p w:rsidR="006D141C" w:rsidRDefault="000C394D" w:rsidP="000C394D">
      <w:pPr>
        <w:spacing w:before="29" w:line="288" w:lineRule="auto"/>
        <w:jc w:val="left"/>
        <w:rPr>
          <w:kern w:val="0"/>
          <w:sz w:val="24"/>
        </w:rPr>
      </w:pPr>
      <w:r w:rsidRPr="000C394D">
        <w:rPr>
          <w:rFonts w:hint="eastAsia"/>
          <w:kern w:val="0"/>
          <w:sz w:val="24"/>
        </w:rPr>
        <w:t>注：上述“报告期内投资组合平均剩余期限最高值”发生在</w:t>
      </w:r>
      <w:r w:rsidRPr="000C394D">
        <w:rPr>
          <w:rFonts w:hint="eastAsia"/>
          <w:kern w:val="0"/>
          <w:sz w:val="24"/>
        </w:rPr>
        <w:t>2016</w:t>
      </w:r>
      <w:r w:rsidRPr="000C394D">
        <w:rPr>
          <w:rFonts w:hint="eastAsia"/>
          <w:kern w:val="0"/>
          <w:sz w:val="24"/>
        </w:rPr>
        <w:t>年</w:t>
      </w:r>
      <w:r w:rsidRPr="000C394D">
        <w:rPr>
          <w:rFonts w:hint="eastAsia"/>
          <w:kern w:val="0"/>
          <w:sz w:val="24"/>
        </w:rPr>
        <w:t>1</w:t>
      </w:r>
      <w:r w:rsidRPr="000C394D">
        <w:rPr>
          <w:rFonts w:hint="eastAsia"/>
          <w:kern w:val="0"/>
          <w:sz w:val="24"/>
        </w:rPr>
        <w:t>月。</w:t>
      </w:r>
    </w:p>
    <w:p w:rsidR="000C394D" w:rsidRDefault="000C394D" w:rsidP="000C394D">
      <w:pPr>
        <w:spacing w:before="29" w:line="288" w:lineRule="auto"/>
        <w:jc w:val="left"/>
        <w:rPr>
          <w:kern w:val="0"/>
          <w:sz w:val="24"/>
        </w:rPr>
      </w:pPr>
    </w:p>
    <w:p w:rsidR="000C394D" w:rsidRPr="000C394D" w:rsidRDefault="000C394D" w:rsidP="000C394D">
      <w:pPr>
        <w:spacing w:before="29" w:line="288" w:lineRule="auto"/>
        <w:rPr>
          <w:rFonts w:ascii="宋体" w:hAnsi="宋体"/>
          <w:b/>
          <w:color w:val="000000"/>
          <w:kern w:val="0"/>
          <w:sz w:val="24"/>
          <w:szCs w:val="21"/>
        </w:rPr>
      </w:pPr>
      <w:r w:rsidRPr="000C394D">
        <w:rPr>
          <w:rFonts w:ascii="宋体" w:hAnsi="宋体"/>
          <w:b/>
          <w:color w:val="000000"/>
          <w:kern w:val="0"/>
          <w:sz w:val="24"/>
          <w:szCs w:val="21"/>
        </w:rPr>
        <w:t>报告期内投资组合平均剩余期限超过120天情况说明</w:t>
      </w:r>
    </w:p>
    <w:p w:rsidR="000C394D" w:rsidRPr="000C394D" w:rsidRDefault="000C394D" w:rsidP="000C394D">
      <w:pPr>
        <w:autoSpaceDE w:val="0"/>
        <w:autoSpaceDN w:val="0"/>
        <w:adjustRightInd w:val="0"/>
        <w:spacing w:before="29" w:line="288" w:lineRule="auto"/>
        <w:jc w:val="left"/>
        <w:rPr>
          <w:rFonts w:ascii="宋体" w:hAnsi="宋体"/>
          <w:color w:val="000000"/>
          <w:sz w:val="24"/>
        </w:rPr>
      </w:pPr>
      <w:r w:rsidRPr="000C394D">
        <w:rPr>
          <w:rFonts w:hint="eastAsia"/>
          <w:color w:val="000000"/>
          <w:sz w:val="24"/>
          <w:szCs w:val="21"/>
        </w:rPr>
        <w:t>本基金于</w:t>
      </w:r>
      <w:r w:rsidRPr="000C394D">
        <w:rPr>
          <w:rFonts w:ascii="宋体" w:hAnsi="宋体"/>
          <w:color w:val="000000"/>
          <w:sz w:val="24"/>
          <w:szCs w:val="21"/>
        </w:rPr>
        <w:t>2016</w:t>
      </w:r>
      <w:r w:rsidRPr="000C394D">
        <w:rPr>
          <w:rFonts w:hint="eastAsia"/>
          <w:color w:val="000000"/>
          <w:sz w:val="24"/>
          <w:szCs w:val="21"/>
        </w:rPr>
        <w:t>年</w:t>
      </w:r>
      <w:r w:rsidRPr="000C394D">
        <w:rPr>
          <w:rFonts w:ascii="宋体" w:hAnsi="宋体"/>
          <w:color w:val="000000"/>
          <w:sz w:val="24"/>
          <w:szCs w:val="21"/>
        </w:rPr>
        <w:t>1</w:t>
      </w:r>
      <w:r w:rsidRPr="000C394D">
        <w:rPr>
          <w:rFonts w:hint="eastAsia"/>
          <w:color w:val="000000"/>
          <w:sz w:val="24"/>
          <w:szCs w:val="21"/>
        </w:rPr>
        <w:t>月内投资组合平均剩余期限未超过</w:t>
      </w:r>
      <w:r w:rsidRPr="000C394D">
        <w:rPr>
          <w:rFonts w:ascii="宋体" w:hAnsi="宋体"/>
          <w:color w:val="000000"/>
          <w:sz w:val="24"/>
          <w:szCs w:val="21"/>
        </w:rPr>
        <w:t>180</w:t>
      </w:r>
      <w:r w:rsidRPr="000C394D">
        <w:rPr>
          <w:rFonts w:hint="eastAsia"/>
          <w:color w:val="000000"/>
          <w:sz w:val="24"/>
          <w:szCs w:val="21"/>
        </w:rPr>
        <w:t>天，于</w:t>
      </w:r>
      <w:r w:rsidRPr="000C394D">
        <w:rPr>
          <w:rFonts w:ascii="宋体" w:hAnsi="宋体"/>
          <w:color w:val="000000"/>
          <w:sz w:val="24"/>
          <w:szCs w:val="21"/>
        </w:rPr>
        <w:t>2</w:t>
      </w:r>
      <w:r w:rsidRPr="000C394D">
        <w:rPr>
          <w:rFonts w:hint="eastAsia"/>
          <w:color w:val="000000"/>
          <w:sz w:val="24"/>
          <w:szCs w:val="21"/>
        </w:rPr>
        <w:t>月至</w:t>
      </w:r>
      <w:r w:rsidRPr="000C394D">
        <w:rPr>
          <w:rFonts w:ascii="宋体" w:hAnsi="宋体"/>
          <w:color w:val="000000"/>
          <w:sz w:val="24"/>
          <w:szCs w:val="21"/>
        </w:rPr>
        <w:t>12</w:t>
      </w:r>
      <w:r w:rsidRPr="000C394D">
        <w:rPr>
          <w:rFonts w:hint="eastAsia"/>
          <w:color w:val="000000"/>
          <w:sz w:val="24"/>
          <w:szCs w:val="21"/>
        </w:rPr>
        <w:t>月内投资组合平均剩余期限未超过</w:t>
      </w:r>
      <w:r w:rsidRPr="000C394D">
        <w:rPr>
          <w:rFonts w:ascii="宋体" w:hAnsi="宋体"/>
          <w:color w:val="000000"/>
          <w:sz w:val="24"/>
          <w:szCs w:val="21"/>
        </w:rPr>
        <w:t>120</w:t>
      </w:r>
      <w:r w:rsidRPr="000C394D">
        <w:rPr>
          <w:rFonts w:hint="eastAsia"/>
          <w:color w:val="000000"/>
          <w:sz w:val="24"/>
          <w:szCs w:val="21"/>
        </w:rPr>
        <w:t>天。</w:t>
      </w:r>
    </w:p>
    <w:p w:rsidR="000C394D" w:rsidRPr="000C394D" w:rsidRDefault="000C394D" w:rsidP="000C394D">
      <w:pPr>
        <w:spacing w:before="29" w:line="288" w:lineRule="auto"/>
        <w:jc w:val="left"/>
        <w:rPr>
          <w:kern w:val="0"/>
          <w:sz w:val="24"/>
        </w:rPr>
      </w:pPr>
    </w:p>
    <w:p w:rsidR="000C394D" w:rsidRPr="000C394D" w:rsidRDefault="000C394D" w:rsidP="000C394D">
      <w:pPr>
        <w:spacing w:before="29" w:line="288" w:lineRule="auto"/>
        <w:jc w:val="left"/>
        <w:rPr>
          <w:kern w:val="0"/>
          <w:sz w:val="24"/>
        </w:rPr>
      </w:pP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61.66</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4.14</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17.86</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3.22</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11.28</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98.16</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w:t>
            </w:r>
          </w:p>
        </w:tc>
      </w:tr>
    </w:tbl>
    <w:p w:rsidR="00157CB3" w:rsidRDefault="00157CB3" w:rsidP="005124D4">
      <w:pPr>
        <w:spacing w:before="29" w:line="288" w:lineRule="auto"/>
        <w:jc w:val="left"/>
        <w:rPr>
          <w:kern w:val="0"/>
          <w:sz w:val="24"/>
        </w:rPr>
      </w:pPr>
    </w:p>
    <w:p w:rsidR="000C394D" w:rsidRPr="000C394D" w:rsidRDefault="000C394D" w:rsidP="000C394D">
      <w:pPr>
        <w:pStyle w:val="20"/>
        <w:spacing w:before="29" w:after="0" w:line="288" w:lineRule="auto"/>
        <w:rPr>
          <w:rFonts w:ascii="Times New Roman" w:hAnsi="Times New Roman" w:cs="Times New Roman"/>
          <w:kern w:val="0"/>
          <w:szCs w:val="24"/>
        </w:rPr>
      </w:pPr>
      <w:r w:rsidRPr="000C394D">
        <w:rPr>
          <w:rFonts w:ascii="Times New Roman" w:hAnsi="Times New Roman" w:cs="Times New Roman"/>
          <w:kern w:val="0"/>
          <w:szCs w:val="24"/>
        </w:rPr>
        <w:t>8</w:t>
      </w:r>
      <w:r w:rsidRPr="000C394D">
        <w:rPr>
          <w:rFonts w:ascii="Times New Roman" w:hAnsi="Times New Roman" w:cs="Times New Roman" w:hint="eastAsia"/>
          <w:kern w:val="0"/>
          <w:szCs w:val="24"/>
        </w:rPr>
        <w:t>.4</w:t>
      </w:r>
      <w:r w:rsidRPr="000C394D">
        <w:rPr>
          <w:rFonts w:ascii="Times New Roman" w:hAnsi="Times New Roman" w:cs="Times New Roman" w:hint="eastAsia"/>
          <w:kern w:val="0"/>
          <w:szCs w:val="24"/>
        </w:rPr>
        <w:t>报告期内投资组合平均剩余存续期超过</w:t>
      </w:r>
      <w:r w:rsidRPr="000C394D">
        <w:rPr>
          <w:rFonts w:ascii="Times New Roman" w:hAnsi="Times New Roman" w:cs="Times New Roman" w:hint="eastAsia"/>
          <w:kern w:val="0"/>
          <w:szCs w:val="24"/>
        </w:rPr>
        <w:t>240</w:t>
      </w:r>
      <w:r w:rsidRPr="000C394D">
        <w:rPr>
          <w:rFonts w:ascii="Times New Roman" w:hAnsi="Times New Roman" w:cs="Times New Roman" w:hint="eastAsia"/>
          <w:kern w:val="0"/>
          <w:szCs w:val="24"/>
        </w:rPr>
        <w:t>天情况说明</w:t>
      </w:r>
    </w:p>
    <w:p w:rsidR="000C394D" w:rsidRPr="00F046FB" w:rsidRDefault="000C394D" w:rsidP="000C394D">
      <w:pPr>
        <w:autoSpaceDE w:val="0"/>
        <w:autoSpaceDN w:val="0"/>
        <w:adjustRightInd w:val="0"/>
        <w:spacing w:line="360" w:lineRule="auto"/>
        <w:jc w:val="left"/>
        <w:rPr>
          <w:color w:val="000000"/>
          <w:sz w:val="24"/>
        </w:rPr>
      </w:pPr>
      <w:r w:rsidRPr="000C394D">
        <w:rPr>
          <w:rFonts w:hint="eastAsia"/>
          <w:color w:val="000000"/>
          <w:sz w:val="24"/>
        </w:rPr>
        <w:t>本基金本报告期内投资组合平均剩余存续期限未超过</w:t>
      </w:r>
      <w:r w:rsidRPr="000C394D">
        <w:rPr>
          <w:rFonts w:hint="eastAsia"/>
          <w:color w:val="000000"/>
          <w:sz w:val="24"/>
        </w:rPr>
        <w:t>240</w:t>
      </w:r>
      <w:r w:rsidRPr="000C394D">
        <w:rPr>
          <w:rFonts w:hint="eastAsia"/>
          <w:color w:val="000000"/>
          <w:sz w:val="24"/>
        </w:rPr>
        <w:t>天。</w:t>
      </w:r>
    </w:p>
    <w:p w:rsidR="000C394D" w:rsidRPr="005124D4" w:rsidRDefault="000C394D" w:rsidP="005124D4">
      <w:pPr>
        <w:spacing w:before="29" w:line="288" w:lineRule="auto"/>
        <w:jc w:val="left"/>
        <w:rPr>
          <w:kern w:val="0"/>
          <w:sz w:val="24"/>
        </w:rPr>
      </w:pPr>
    </w:p>
    <w:p w:rsidR="006D141C" w:rsidRPr="00FB19E8" w:rsidRDefault="000C394D"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Pr>
          <w:rFonts w:ascii="Times New Roman" w:hAnsi="Times New Roman" w:cs="Times New Roman" w:hint="eastAsia"/>
          <w:kern w:val="0"/>
          <w:szCs w:val="24"/>
        </w:rPr>
        <w:t>8.5</w:t>
      </w:r>
      <w:r w:rsidR="006D141C"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259,328,734.20</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0.68</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1,681,335,725.90</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4.39</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1,681,335,725.90</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4.39</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1,499,332,134.90</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3.92</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5,352,130,056.39</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13.98</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8,792,126,651.39</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22.96</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w:t>
      </w:r>
      <w:bookmarkEnd w:id="22"/>
      <w:r w:rsidR="000C394D">
        <w:rPr>
          <w:rFonts w:ascii="Times New Roman" w:hAnsi="Times New Roman" w:cs="Times New Roman" w:hint="eastAsia"/>
          <w:kern w:val="0"/>
          <w:szCs w:val="24"/>
        </w:rPr>
        <w:t>6</w:t>
      </w:r>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754F92">
        <w:tc>
          <w:tcPr>
            <w:tcW w:w="1493" w:type="dxa"/>
            <w:vAlign w:val="center"/>
          </w:tcPr>
          <w:p w:rsidR="00754F92" w:rsidRDefault="002B0DD0">
            <w:pPr>
              <w:jc w:val="center"/>
            </w:pPr>
            <w:r>
              <w:rPr>
                <w:rFonts w:hint="eastAsia"/>
                <w:sz w:val="24"/>
              </w:rPr>
              <w:t>1</w:t>
            </w:r>
          </w:p>
        </w:tc>
        <w:tc>
          <w:tcPr>
            <w:tcW w:w="1493" w:type="dxa"/>
            <w:vAlign w:val="center"/>
          </w:tcPr>
          <w:p w:rsidR="00754F92" w:rsidRDefault="002B0DD0">
            <w:pPr>
              <w:jc w:val="center"/>
            </w:pPr>
            <w:r>
              <w:rPr>
                <w:rFonts w:hint="eastAsia"/>
                <w:sz w:val="24"/>
              </w:rPr>
              <w:t>160308</w:t>
            </w:r>
          </w:p>
        </w:tc>
        <w:tc>
          <w:tcPr>
            <w:tcW w:w="1503" w:type="dxa"/>
            <w:vAlign w:val="center"/>
          </w:tcPr>
          <w:p w:rsidR="00754F92" w:rsidRDefault="002B0DD0">
            <w:pPr>
              <w:jc w:val="center"/>
            </w:pPr>
            <w:r>
              <w:rPr>
                <w:rFonts w:hint="eastAsia"/>
                <w:sz w:val="24"/>
              </w:rPr>
              <w:t>16</w:t>
            </w:r>
            <w:r>
              <w:rPr>
                <w:rFonts w:hint="eastAsia"/>
                <w:sz w:val="24"/>
              </w:rPr>
              <w:t>进出</w:t>
            </w:r>
            <w:r>
              <w:rPr>
                <w:rFonts w:hint="eastAsia"/>
                <w:sz w:val="24"/>
              </w:rPr>
              <w:t>08</w:t>
            </w:r>
          </w:p>
        </w:tc>
        <w:tc>
          <w:tcPr>
            <w:tcW w:w="1503" w:type="dxa"/>
            <w:vAlign w:val="center"/>
          </w:tcPr>
          <w:p w:rsidR="00754F92" w:rsidRDefault="002B0DD0">
            <w:pPr>
              <w:jc w:val="center"/>
            </w:pPr>
            <w:r>
              <w:rPr>
                <w:rFonts w:hint="eastAsia"/>
                <w:sz w:val="24"/>
              </w:rPr>
              <w:t>4,000,000</w:t>
            </w:r>
          </w:p>
        </w:tc>
        <w:tc>
          <w:tcPr>
            <w:tcW w:w="1503" w:type="dxa"/>
            <w:vAlign w:val="center"/>
          </w:tcPr>
          <w:p w:rsidR="00754F92" w:rsidRDefault="002B0DD0">
            <w:pPr>
              <w:jc w:val="center"/>
            </w:pPr>
            <w:r>
              <w:rPr>
                <w:rFonts w:hint="eastAsia"/>
                <w:sz w:val="24"/>
              </w:rPr>
              <w:t>399,733,836.95</w:t>
            </w:r>
          </w:p>
        </w:tc>
        <w:tc>
          <w:tcPr>
            <w:tcW w:w="1503" w:type="dxa"/>
            <w:vAlign w:val="center"/>
          </w:tcPr>
          <w:p w:rsidR="00754F92" w:rsidRDefault="002B0DD0">
            <w:pPr>
              <w:jc w:val="center"/>
            </w:pPr>
            <w:r>
              <w:rPr>
                <w:rFonts w:hint="eastAsia"/>
                <w:sz w:val="24"/>
              </w:rPr>
              <w:t>1.04</w:t>
            </w:r>
          </w:p>
        </w:tc>
      </w:tr>
      <w:tr w:rsidR="00754F92">
        <w:tc>
          <w:tcPr>
            <w:tcW w:w="1493" w:type="dxa"/>
            <w:vAlign w:val="center"/>
          </w:tcPr>
          <w:p w:rsidR="00754F92" w:rsidRDefault="002B0DD0">
            <w:pPr>
              <w:jc w:val="center"/>
            </w:pPr>
            <w:r>
              <w:rPr>
                <w:rFonts w:hint="eastAsia"/>
                <w:sz w:val="24"/>
              </w:rPr>
              <w:t>2</w:t>
            </w:r>
          </w:p>
        </w:tc>
        <w:tc>
          <w:tcPr>
            <w:tcW w:w="1493" w:type="dxa"/>
            <w:vAlign w:val="center"/>
          </w:tcPr>
          <w:p w:rsidR="00754F92" w:rsidRDefault="002B0DD0">
            <w:pPr>
              <w:jc w:val="center"/>
            </w:pPr>
            <w:r>
              <w:rPr>
                <w:rFonts w:hint="eastAsia"/>
                <w:sz w:val="24"/>
              </w:rPr>
              <w:t>160204</w:t>
            </w:r>
          </w:p>
        </w:tc>
        <w:tc>
          <w:tcPr>
            <w:tcW w:w="1503" w:type="dxa"/>
            <w:vAlign w:val="center"/>
          </w:tcPr>
          <w:p w:rsidR="00754F92" w:rsidRDefault="002B0DD0">
            <w:pPr>
              <w:jc w:val="center"/>
            </w:pPr>
            <w:r>
              <w:rPr>
                <w:rFonts w:hint="eastAsia"/>
                <w:sz w:val="24"/>
              </w:rPr>
              <w:t>16</w:t>
            </w:r>
            <w:r>
              <w:rPr>
                <w:rFonts w:hint="eastAsia"/>
                <w:sz w:val="24"/>
              </w:rPr>
              <w:t>国开</w:t>
            </w:r>
            <w:r>
              <w:rPr>
                <w:rFonts w:hint="eastAsia"/>
                <w:sz w:val="24"/>
              </w:rPr>
              <w:t>04</w:t>
            </w:r>
          </w:p>
        </w:tc>
        <w:tc>
          <w:tcPr>
            <w:tcW w:w="1503" w:type="dxa"/>
            <w:vAlign w:val="center"/>
          </w:tcPr>
          <w:p w:rsidR="00754F92" w:rsidRDefault="002B0DD0">
            <w:pPr>
              <w:jc w:val="center"/>
            </w:pPr>
            <w:r>
              <w:rPr>
                <w:rFonts w:hint="eastAsia"/>
                <w:sz w:val="24"/>
              </w:rPr>
              <w:t>3,300,000</w:t>
            </w:r>
          </w:p>
        </w:tc>
        <w:tc>
          <w:tcPr>
            <w:tcW w:w="1503" w:type="dxa"/>
            <w:vAlign w:val="center"/>
          </w:tcPr>
          <w:p w:rsidR="00754F92" w:rsidRDefault="002B0DD0">
            <w:pPr>
              <w:jc w:val="center"/>
            </w:pPr>
            <w:r>
              <w:rPr>
                <w:rFonts w:hint="eastAsia"/>
                <w:sz w:val="24"/>
              </w:rPr>
              <w:t>329,992,767.86</w:t>
            </w:r>
          </w:p>
        </w:tc>
        <w:tc>
          <w:tcPr>
            <w:tcW w:w="1503" w:type="dxa"/>
            <w:vAlign w:val="center"/>
          </w:tcPr>
          <w:p w:rsidR="00754F92" w:rsidRDefault="002B0DD0">
            <w:pPr>
              <w:jc w:val="center"/>
            </w:pPr>
            <w:r>
              <w:rPr>
                <w:rFonts w:hint="eastAsia"/>
                <w:sz w:val="24"/>
              </w:rPr>
              <w:t>0.86</w:t>
            </w:r>
          </w:p>
        </w:tc>
      </w:tr>
      <w:tr w:rsidR="00754F92">
        <w:tc>
          <w:tcPr>
            <w:tcW w:w="1493" w:type="dxa"/>
            <w:vAlign w:val="center"/>
          </w:tcPr>
          <w:p w:rsidR="00754F92" w:rsidRDefault="002B0DD0">
            <w:pPr>
              <w:jc w:val="center"/>
            </w:pPr>
            <w:r>
              <w:rPr>
                <w:rFonts w:hint="eastAsia"/>
                <w:sz w:val="24"/>
              </w:rPr>
              <w:t>3</w:t>
            </w:r>
          </w:p>
        </w:tc>
        <w:tc>
          <w:tcPr>
            <w:tcW w:w="1493" w:type="dxa"/>
            <w:vAlign w:val="center"/>
          </w:tcPr>
          <w:p w:rsidR="00754F92" w:rsidRDefault="002B0DD0">
            <w:pPr>
              <w:jc w:val="center"/>
            </w:pPr>
            <w:r>
              <w:rPr>
                <w:rFonts w:hint="eastAsia"/>
                <w:sz w:val="24"/>
              </w:rPr>
              <w:t>111695045</w:t>
            </w:r>
          </w:p>
        </w:tc>
        <w:tc>
          <w:tcPr>
            <w:tcW w:w="1503" w:type="dxa"/>
            <w:vAlign w:val="center"/>
          </w:tcPr>
          <w:p w:rsidR="00754F92" w:rsidRDefault="002B0DD0">
            <w:pPr>
              <w:jc w:val="center"/>
            </w:pPr>
            <w:r>
              <w:rPr>
                <w:rFonts w:hint="eastAsia"/>
                <w:sz w:val="24"/>
              </w:rPr>
              <w:t>16</w:t>
            </w:r>
            <w:r>
              <w:rPr>
                <w:rFonts w:hint="eastAsia"/>
                <w:sz w:val="24"/>
              </w:rPr>
              <w:t>南充商行</w:t>
            </w:r>
            <w:r>
              <w:rPr>
                <w:rFonts w:hint="eastAsia"/>
                <w:sz w:val="24"/>
              </w:rPr>
              <w:t>CD023</w:t>
            </w:r>
          </w:p>
        </w:tc>
        <w:tc>
          <w:tcPr>
            <w:tcW w:w="1503" w:type="dxa"/>
            <w:vAlign w:val="center"/>
          </w:tcPr>
          <w:p w:rsidR="00754F92" w:rsidRDefault="002B0DD0">
            <w:pPr>
              <w:jc w:val="center"/>
            </w:pPr>
            <w:r>
              <w:rPr>
                <w:rFonts w:hint="eastAsia"/>
                <w:sz w:val="24"/>
              </w:rPr>
              <w:t>3,000,000</w:t>
            </w:r>
          </w:p>
        </w:tc>
        <w:tc>
          <w:tcPr>
            <w:tcW w:w="1503" w:type="dxa"/>
            <w:vAlign w:val="center"/>
          </w:tcPr>
          <w:p w:rsidR="00754F92" w:rsidRDefault="002B0DD0">
            <w:pPr>
              <w:jc w:val="center"/>
            </w:pPr>
            <w:r>
              <w:rPr>
                <w:rFonts w:hint="eastAsia"/>
                <w:sz w:val="24"/>
              </w:rPr>
              <w:t>299,872,405.63</w:t>
            </w:r>
          </w:p>
        </w:tc>
        <w:tc>
          <w:tcPr>
            <w:tcW w:w="1503" w:type="dxa"/>
            <w:vAlign w:val="center"/>
          </w:tcPr>
          <w:p w:rsidR="00754F92" w:rsidRDefault="002B0DD0">
            <w:pPr>
              <w:jc w:val="center"/>
            </w:pPr>
            <w:r>
              <w:rPr>
                <w:rFonts w:hint="eastAsia"/>
                <w:sz w:val="24"/>
              </w:rPr>
              <w:t>0.78</w:t>
            </w:r>
          </w:p>
        </w:tc>
      </w:tr>
      <w:tr w:rsidR="00754F92">
        <w:tc>
          <w:tcPr>
            <w:tcW w:w="1493" w:type="dxa"/>
            <w:vAlign w:val="center"/>
          </w:tcPr>
          <w:p w:rsidR="00754F92" w:rsidRDefault="002B0DD0">
            <w:pPr>
              <w:jc w:val="center"/>
            </w:pPr>
            <w:r>
              <w:rPr>
                <w:rFonts w:hint="eastAsia"/>
                <w:sz w:val="24"/>
              </w:rPr>
              <w:t>4</w:t>
            </w:r>
          </w:p>
        </w:tc>
        <w:tc>
          <w:tcPr>
            <w:tcW w:w="1493" w:type="dxa"/>
            <w:vAlign w:val="center"/>
          </w:tcPr>
          <w:p w:rsidR="00754F92" w:rsidRDefault="002B0DD0">
            <w:pPr>
              <w:jc w:val="center"/>
            </w:pPr>
            <w:r>
              <w:rPr>
                <w:rFonts w:hint="eastAsia"/>
                <w:sz w:val="24"/>
              </w:rPr>
              <w:t>041653060</w:t>
            </w:r>
          </w:p>
        </w:tc>
        <w:tc>
          <w:tcPr>
            <w:tcW w:w="1503" w:type="dxa"/>
            <w:vAlign w:val="center"/>
          </w:tcPr>
          <w:p w:rsidR="00754F92" w:rsidRDefault="002B0DD0">
            <w:pPr>
              <w:jc w:val="center"/>
            </w:pPr>
            <w:r>
              <w:rPr>
                <w:rFonts w:hint="eastAsia"/>
                <w:sz w:val="24"/>
              </w:rPr>
              <w:t>16</w:t>
            </w:r>
            <w:r>
              <w:rPr>
                <w:rFonts w:hint="eastAsia"/>
                <w:sz w:val="24"/>
              </w:rPr>
              <w:t>河钢</w:t>
            </w:r>
            <w:r>
              <w:rPr>
                <w:rFonts w:hint="eastAsia"/>
                <w:sz w:val="24"/>
              </w:rPr>
              <w:t>CP005</w:t>
            </w:r>
          </w:p>
        </w:tc>
        <w:tc>
          <w:tcPr>
            <w:tcW w:w="1503" w:type="dxa"/>
            <w:vAlign w:val="center"/>
          </w:tcPr>
          <w:p w:rsidR="00754F92" w:rsidRDefault="002B0DD0">
            <w:pPr>
              <w:jc w:val="center"/>
            </w:pPr>
            <w:r>
              <w:rPr>
                <w:rFonts w:hint="eastAsia"/>
                <w:sz w:val="24"/>
              </w:rPr>
              <w:t>3,000,000</w:t>
            </w:r>
          </w:p>
        </w:tc>
        <w:tc>
          <w:tcPr>
            <w:tcW w:w="1503" w:type="dxa"/>
            <w:vAlign w:val="center"/>
          </w:tcPr>
          <w:p w:rsidR="00754F92" w:rsidRDefault="002B0DD0">
            <w:pPr>
              <w:jc w:val="center"/>
            </w:pPr>
            <w:r>
              <w:rPr>
                <w:rFonts w:hint="eastAsia"/>
                <w:sz w:val="24"/>
              </w:rPr>
              <w:t>299,835,246.00</w:t>
            </w:r>
          </w:p>
        </w:tc>
        <w:tc>
          <w:tcPr>
            <w:tcW w:w="1503" w:type="dxa"/>
            <w:vAlign w:val="center"/>
          </w:tcPr>
          <w:p w:rsidR="00754F92" w:rsidRDefault="002B0DD0">
            <w:pPr>
              <w:jc w:val="center"/>
            </w:pPr>
            <w:r>
              <w:rPr>
                <w:rFonts w:hint="eastAsia"/>
                <w:sz w:val="24"/>
              </w:rPr>
              <w:t>0.78</w:t>
            </w:r>
          </w:p>
        </w:tc>
      </w:tr>
      <w:tr w:rsidR="00754F92">
        <w:tc>
          <w:tcPr>
            <w:tcW w:w="1493" w:type="dxa"/>
            <w:vAlign w:val="center"/>
          </w:tcPr>
          <w:p w:rsidR="00754F92" w:rsidRDefault="002B0DD0">
            <w:pPr>
              <w:jc w:val="center"/>
            </w:pPr>
            <w:r>
              <w:rPr>
                <w:rFonts w:hint="eastAsia"/>
                <w:sz w:val="24"/>
              </w:rPr>
              <w:t>5</w:t>
            </w:r>
          </w:p>
        </w:tc>
        <w:tc>
          <w:tcPr>
            <w:tcW w:w="1493" w:type="dxa"/>
            <w:vAlign w:val="center"/>
          </w:tcPr>
          <w:p w:rsidR="00754F92" w:rsidRDefault="002B0DD0">
            <w:pPr>
              <w:jc w:val="center"/>
            </w:pPr>
            <w:r>
              <w:rPr>
                <w:rFonts w:hint="eastAsia"/>
                <w:sz w:val="24"/>
              </w:rPr>
              <w:t>111690129</w:t>
            </w:r>
          </w:p>
        </w:tc>
        <w:tc>
          <w:tcPr>
            <w:tcW w:w="1503" w:type="dxa"/>
            <w:vAlign w:val="center"/>
          </w:tcPr>
          <w:p w:rsidR="00754F92" w:rsidRDefault="002B0DD0">
            <w:pPr>
              <w:jc w:val="center"/>
            </w:pPr>
            <w:r>
              <w:rPr>
                <w:rFonts w:hint="eastAsia"/>
                <w:sz w:val="24"/>
              </w:rPr>
              <w:t>16</w:t>
            </w:r>
            <w:r>
              <w:rPr>
                <w:rFonts w:hint="eastAsia"/>
                <w:sz w:val="24"/>
              </w:rPr>
              <w:t>浙江泰隆商行</w:t>
            </w:r>
            <w:r>
              <w:rPr>
                <w:rFonts w:hint="eastAsia"/>
                <w:sz w:val="24"/>
              </w:rPr>
              <w:t>CD001</w:t>
            </w:r>
          </w:p>
        </w:tc>
        <w:tc>
          <w:tcPr>
            <w:tcW w:w="1503" w:type="dxa"/>
            <w:vAlign w:val="center"/>
          </w:tcPr>
          <w:p w:rsidR="00754F92" w:rsidRDefault="002B0DD0">
            <w:pPr>
              <w:jc w:val="center"/>
            </w:pPr>
            <w:r>
              <w:rPr>
                <w:rFonts w:hint="eastAsia"/>
                <w:sz w:val="24"/>
              </w:rPr>
              <w:t>3,000,000</w:t>
            </w:r>
          </w:p>
        </w:tc>
        <w:tc>
          <w:tcPr>
            <w:tcW w:w="1503" w:type="dxa"/>
            <w:vAlign w:val="center"/>
          </w:tcPr>
          <w:p w:rsidR="00754F92" w:rsidRDefault="002B0DD0">
            <w:pPr>
              <w:jc w:val="center"/>
            </w:pPr>
            <w:r>
              <w:rPr>
                <w:rFonts w:hint="eastAsia"/>
                <w:sz w:val="24"/>
              </w:rPr>
              <w:t>299,588,400.69</w:t>
            </w:r>
          </w:p>
        </w:tc>
        <w:tc>
          <w:tcPr>
            <w:tcW w:w="1503" w:type="dxa"/>
            <w:vAlign w:val="center"/>
          </w:tcPr>
          <w:p w:rsidR="00754F92" w:rsidRDefault="002B0DD0">
            <w:pPr>
              <w:jc w:val="center"/>
            </w:pPr>
            <w:r>
              <w:rPr>
                <w:rFonts w:hint="eastAsia"/>
                <w:sz w:val="24"/>
              </w:rPr>
              <w:t>0.78</w:t>
            </w:r>
          </w:p>
        </w:tc>
      </w:tr>
      <w:tr w:rsidR="00754F92">
        <w:tc>
          <w:tcPr>
            <w:tcW w:w="1493" w:type="dxa"/>
            <w:vAlign w:val="center"/>
          </w:tcPr>
          <w:p w:rsidR="00754F92" w:rsidRDefault="002B0DD0">
            <w:pPr>
              <w:jc w:val="center"/>
            </w:pPr>
            <w:r>
              <w:rPr>
                <w:rFonts w:hint="eastAsia"/>
                <w:sz w:val="24"/>
              </w:rPr>
              <w:t>6</w:t>
            </w:r>
          </w:p>
        </w:tc>
        <w:tc>
          <w:tcPr>
            <w:tcW w:w="1493" w:type="dxa"/>
            <w:vAlign w:val="center"/>
          </w:tcPr>
          <w:p w:rsidR="00754F92" w:rsidRDefault="002B0DD0">
            <w:pPr>
              <w:jc w:val="center"/>
            </w:pPr>
            <w:r>
              <w:rPr>
                <w:rFonts w:hint="eastAsia"/>
                <w:sz w:val="24"/>
              </w:rPr>
              <w:t>111692228</w:t>
            </w:r>
          </w:p>
        </w:tc>
        <w:tc>
          <w:tcPr>
            <w:tcW w:w="1503" w:type="dxa"/>
            <w:vAlign w:val="center"/>
          </w:tcPr>
          <w:p w:rsidR="00754F92" w:rsidRDefault="002B0DD0">
            <w:pPr>
              <w:jc w:val="center"/>
            </w:pPr>
            <w:r>
              <w:rPr>
                <w:rFonts w:hint="eastAsia"/>
                <w:sz w:val="24"/>
              </w:rPr>
              <w:t>16</w:t>
            </w:r>
            <w:r>
              <w:rPr>
                <w:rFonts w:hint="eastAsia"/>
                <w:sz w:val="24"/>
              </w:rPr>
              <w:t>嘉兴银行</w:t>
            </w:r>
            <w:r>
              <w:rPr>
                <w:rFonts w:hint="eastAsia"/>
                <w:sz w:val="24"/>
              </w:rPr>
              <w:t>CD026</w:t>
            </w:r>
          </w:p>
        </w:tc>
        <w:tc>
          <w:tcPr>
            <w:tcW w:w="1503" w:type="dxa"/>
            <w:vAlign w:val="center"/>
          </w:tcPr>
          <w:p w:rsidR="00754F92" w:rsidRDefault="002B0DD0">
            <w:pPr>
              <w:jc w:val="center"/>
            </w:pPr>
            <w:r>
              <w:rPr>
                <w:rFonts w:hint="eastAsia"/>
                <w:sz w:val="24"/>
              </w:rPr>
              <w:t>3,000,000</w:t>
            </w:r>
          </w:p>
        </w:tc>
        <w:tc>
          <w:tcPr>
            <w:tcW w:w="1503" w:type="dxa"/>
            <w:vAlign w:val="center"/>
          </w:tcPr>
          <w:p w:rsidR="00754F92" w:rsidRDefault="002B0DD0">
            <w:pPr>
              <w:jc w:val="center"/>
            </w:pPr>
            <w:r>
              <w:rPr>
                <w:rFonts w:hint="eastAsia"/>
                <w:sz w:val="24"/>
              </w:rPr>
              <w:t>297,524,324.81</w:t>
            </w:r>
          </w:p>
        </w:tc>
        <w:tc>
          <w:tcPr>
            <w:tcW w:w="1503" w:type="dxa"/>
            <w:vAlign w:val="center"/>
          </w:tcPr>
          <w:p w:rsidR="00754F92" w:rsidRDefault="002B0DD0">
            <w:pPr>
              <w:jc w:val="center"/>
            </w:pPr>
            <w:r>
              <w:rPr>
                <w:rFonts w:hint="eastAsia"/>
                <w:sz w:val="24"/>
              </w:rPr>
              <w:t>0.78</w:t>
            </w:r>
          </w:p>
        </w:tc>
      </w:tr>
      <w:tr w:rsidR="00754F92">
        <w:tc>
          <w:tcPr>
            <w:tcW w:w="1493" w:type="dxa"/>
            <w:vAlign w:val="center"/>
          </w:tcPr>
          <w:p w:rsidR="00754F92" w:rsidRDefault="002B0DD0">
            <w:pPr>
              <w:jc w:val="center"/>
            </w:pPr>
            <w:r>
              <w:rPr>
                <w:rFonts w:hint="eastAsia"/>
                <w:sz w:val="24"/>
              </w:rPr>
              <w:t>7</w:t>
            </w:r>
          </w:p>
        </w:tc>
        <w:tc>
          <w:tcPr>
            <w:tcW w:w="1493" w:type="dxa"/>
            <w:vAlign w:val="center"/>
          </w:tcPr>
          <w:p w:rsidR="00754F92" w:rsidRDefault="002B0DD0">
            <w:pPr>
              <w:jc w:val="center"/>
            </w:pPr>
            <w:r>
              <w:rPr>
                <w:rFonts w:hint="eastAsia"/>
                <w:sz w:val="24"/>
              </w:rPr>
              <w:t>111695277</w:t>
            </w:r>
          </w:p>
        </w:tc>
        <w:tc>
          <w:tcPr>
            <w:tcW w:w="1503" w:type="dxa"/>
            <w:vAlign w:val="center"/>
          </w:tcPr>
          <w:p w:rsidR="00754F92" w:rsidRDefault="002B0DD0">
            <w:pPr>
              <w:jc w:val="center"/>
            </w:pPr>
            <w:r>
              <w:rPr>
                <w:rFonts w:hint="eastAsia"/>
                <w:sz w:val="24"/>
              </w:rPr>
              <w:t>16</w:t>
            </w:r>
            <w:r>
              <w:rPr>
                <w:rFonts w:hint="eastAsia"/>
                <w:sz w:val="24"/>
              </w:rPr>
              <w:t>晋城银行</w:t>
            </w:r>
            <w:r>
              <w:rPr>
                <w:rFonts w:hint="eastAsia"/>
                <w:sz w:val="24"/>
              </w:rPr>
              <w:t>CD012</w:t>
            </w:r>
          </w:p>
        </w:tc>
        <w:tc>
          <w:tcPr>
            <w:tcW w:w="1503" w:type="dxa"/>
            <w:vAlign w:val="center"/>
          </w:tcPr>
          <w:p w:rsidR="00754F92" w:rsidRDefault="002B0DD0">
            <w:pPr>
              <w:jc w:val="center"/>
            </w:pPr>
            <w:r>
              <w:rPr>
                <w:rFonts w:hint="eastAsia"/>
                <w:sz w:val="24"/>
              </w:rPr>
              <w:t>2,500,000</w:t>
            </w:r>
          </w:p>
        </w:tc>
        <w:tc>
          <w:tcPr>
            <w:tcW w:w="1503" w:type="dxa"/>
            <w:vAlign w:val="center"/>
          </w:tcPr>
          <w:p w:rsidR="00754F92" w:rsidRDefault="002B0DD0">
            <w:pPr>
              <w:jc w:val="center"/>
            </w:pPr>
            <w:r>
              <w:rPr>
                <w:rFonts w:hint="eastAsia"/>
                <w:sz w:val="24"/>
              </w:rPr>
              <w:t>249,721,524.74</w:t>
            </w:r>
          </w:p>
        </w:tc>
        <w:tc>
          <w:tcPr>
            <w:tcW w:w="1503" w:type="dxa"/>
            <w:vAlign w:val="center"/>
          </w:tcPr>
          <w:p w:rsidR="00754F92" w:rsidRDefault="002B0DD0">
            <w:pPr>
              <w:jc w:val="center"/>
            </w:pPr>
            <w:r>
              <w:rPr>
                <w:rFonts w:hint="eastAsia"/>
                <w:sz w:val="24"/>
              </w:rPr>
              <w:t>0.65</w:t>
            </w:r>
          </w:p>
        </w:tc>
      </w:tr>
      <w:tr w:rsidR="00754F92">
        <w:tc>
          <w:tcPr>
            <w:tcW w:w="1493" w:type="dxa"/>
            <w:vAlign w:val="center"/>
          </w:tcPr>
          <w:p w:rsidR="00754F92" w:rsidRDefault="002B0DD0">
            <w:pPr>
              <w:jc w:val="center"/>
            </w:pPr>
            <w:r>
              <w:rPr>
                <w:rFonts w:hint="eastAsia"/>
                <w:sz w:val="24"/>
              </w:rPr>
              <w:t>8</w:t>
            </w:r>
          </w:p>
        </w:tc>
        <w:tc>
          <w:tcPr>
            <w:tcW w:w="1493" w:type="dxa"/>
            <w:vAlign w:val="center"/>
          </w:tcPr>
          <w:p w:rsidR="00754F92" w:rsidRDefault="002B0DD0">
            <w:pPr>
              <w:jc w:val="center"/>
            </w:pPr>
            <w:r>
              <w:rPr>
                <w:rFonts w:hint="eastAsia"/>
                <w:sz w:val="24"/>
              </w:rPr>
              <w:t>160209</w:t>
            </w:r>
          </w:p>
        </w:tc>
        <w:tc>
          <w:tcPr>
            <w:tcW w:w="1503" w:type="dxa"/>
            <w:vAlign w:val="center"/>
          </w:tcPr>
          <w:p w:rsidR="00754F92" w:rsidRDefault="002B0DD0">
            <w:pPr>
              <w:jc w:val="center"/>
            </w:pPr>
            <w:r>
              <w:rPr>
                <w:rFonts w:hint="eastAsia"/>
                <w:sz w:val="24"/>
              </w:rPr>
              <w:t>16</w:t>
            </w:r>
            <w:r>
              <w:rPr>
                <w:rFonts w:hint="eastAsia"/>
                <w:sz w:val="24"/>
              </w:rPr>
              <w:t>国开</w:t>
            </w:r>
            <w:r>
              <w:rPr>
                <w:rFonts w:hint="eastAsia"/>
                <w:sz w:val="24"/>
              </w:rPr>
              <w:t>09</w:t>
            </w:r>
          </w:p>
        </w:tc>
        <w:tc>
          <w:tcPr>
            <w:tcW w:w="1503" w:type="dxa"/>
            <w:vAlign w:val="center"/>
          </w:tcPr>
          <w:p w:rsidR="00754F92" w:rsidRDefault="002B0DD0">
            <w:pPr>
              <w:jc w:val="center"/>
            </w:pPr>
            <w:r>
              <w:rPr>
                <w:rFonts w:hint="eastAsia"/>
                <w:sz w:val="24"/>
              </w:rPr>
              <w:t>2,000,000</w:t>
            </w:r>
          </w:p>
        </w:tc>
        <w:tc>
          <w:tcPr>
            <w:tcW w:w="1503" w:type="dxa"/>
            <w:vAlign w:val="center"/>
          </w:tcPr>
          <w:p w:rsidR="00754F92" w:rsidRDefault="002B0DD0">
            <w:pPr>
              <w:jc w:val="center"/>
            </w:pPr>
            <w:r>
              <w:rPr>
                <w:rFonts w:hint="eastAsia"/>
                <w:sz w:val="24"/>
              </w:rPr>
              <w:t>199,972,230.30</w:t>
            </w:r>
          </w:p>
        </w:tc>
        <w:tc>
          <w:tcPr>
            <w:tcW w:w="1503" w:type="dxa"/>
            <w:vAlign w:val="center"/>
          </w:tcPr>
          <w:p w:rsidR="00754F92" w:rsidRDefault="002B0DD0">
            <w:pPr>
              <w:jc w:val="center"/>
            </w:pPr>
            <w:r>
              <w:rPr>
                <w:rFonts w:hint="eastAsia"/>
                <w:sz w:val="24"/>
              </w:rPr>
              <w:t>0.52</w:t>
            </w:r>
          </w:p>
        </w:tc>
      </w:tr>
      <w:tr w:rsidR="00754F92">
        <w:tc>
          <w:tcPr>
            <w:tcW w:w="1493" w:type="dxa"/>
            <w:vAlign w:val="center"/>
          </w:tcPr>
          <w:p w:rsidR="00754F92" w:rsidRDefault="002B0DD0">
            <w:pPr>
              <w:jc w:val="center"/>
            </w:pPr>
            <w:r>
              <w:rPr>
                <w:rFonts w:hint="eastAsia"/>
                <w:sz w:val="24"/>
              </w:rPr>
              <w:t>9</w:t>
            </w:r>
          </w:p>
        </w:tc>
        <w:tc>
          <w:tcPr>
            <w:tcW w:w="1493" w:type="dxa"/>
            <w:vAlign w:val="center"/>
          </w:tcPr>
          <w:p w:rsidR="00754F92" w:rsidRDefault="002B0DD0">
            <w:pPr>
              <w:jc w:val="center"/>
            </w:pPr>
            <w:r>
              <w:rPr>
                <w:rFonts w:hint="eastAsia"/>
                <w:sz w:val="24"/>
              </w:rPr>
              <w:t>111695264</w:t>
            </w:r>
          </w:p>
        </w:tc>
        <w:tc>
          <w:tcPr>
            <w:tcW w:w="1503" w:type="dxa"/>
            <w:vAlign w:val="center"/>
          </w:tcPr>
          <w:p w:rsidR="00754F92" w:rsidRDefault="002B0DD0">
            <w:pPr>
              <w:jc w:val="center"/>
            </w:pPr>
            <w:r>
              <w:rPr>
                <w:rFonts w:hint="eastAsia"/>
                <w:sz w:val="24"/>
              </w:rPr>
              <w:t>16</w:t>
            </w:r>
            <w:r>
              <w:rPr>
                <w:rFonts w:hint="eastAsia"/>
                <w:sz w:val="24"/>
              </w:rPr>
              <w:t>天津农村商业银行</w:t>
            </w:r>
            <w:r>
              <w:rPr>
                <w:rFonts w:hint="eastAsia"/>
                <w:sz w:val="24"/>
              </w:rPr>
              <w:t>CD004</w:t>
            </w:r>
          </w:p>
        </w:tc>
        <w:tc>
          <w:tcPr>
            <w:tcW w:w="1503" w:type="dxa"/>
            <w:vAlign w:val="center"/>
          </w:tcPr>
          <w:p w:rsidR="00754F92" w:rsidRDefault="002B0DD0">
            <w:pPr>
              <w:jc w:val="center"/>
            </w:pPr>
            <w:r>
              <w:rPr>
                <w:rFonts w:hint="eastAsia"/>
                <w:sz w:val="24"/>
              </w:rPr>
              <w:t>2,000,000</w:t>
            </w:r>
          </w:p>
        </w:tc>
        <w:tc>
          <w:tcPr>
            <w:tcW w:w="1503" w:type="dxa"/>
            <w:vAlign w:val="center"/>
          </w:tcPr>
          <w:p w:rsidR="00754F92" w:rsidRDefault="002B0DD0">
            <w:pPr>
              <w:jc w:val="center"/>
            </w:pPr>
            <w:r>
              <w:rPr>
                <w:rFonts w:hint="eastAsia"/>
                <w:sz w:val="24"/>
              </w:rPr>
              <w:t>199,801,070.88</w:t>
            </w:r>
          </w:p>
        </w:tc>
        <w:tc>
          <w:tcPr>
            <w:tcW w:w="1503" w:type="dxa"/>
            <w:vAlign w:val="center"/>
          </w:tcPr>
          <w:p w:rsidR="00754F92" w:rsidRDefault="002B0DD0">
            <w:pPr>
              <w:jc w:val="center"/>
            </w:pPr>
            <w:r>
              <w:rPr>
                <w:rFonts w:hint="eastAsia"/>
                <w:sz w:val="24"/>
              </w:rPr>
              <w:t>0.52</w:t>
            </w:r>
          </w:p>
        </w:tc>
      </w:tr>
      <w:tr w:rsidR="00754F92">
        <w:tc>
          <w:tcPr>
            <w:tcW w:w="1493" w:type="dxa"/>
            <w:vAlign w:val="center"/>
          </w:tcPr>
          <w:p w:rsidR="00754F92" w:rsidRDefault="002B0DD0">
            <w:pPr>
              <w:jc w:val="center"/>
            </w:pPr>
            <w:r>
              <w:rPr>
                <w:rFonts w:hint="eastAsia"/>
                <w:sz w:val="24"/>
              </w:rPr>
              <w:t>10</w:t>
            </w:r>
          </w:p>
        </w:tc>
        <w:tc>
          <w:tcPr>
            <w:tcW w:w="1493" w:type="dxa"/>
            <w:vAlign w:val="center"/>
          </w:tcPr>
          <w:p w:rsidR="00754F92" w:rsidRDefault="002B0DD0">
            <w:pPr>
              <w:jc w:val="center"/>
            </w:pPr>
            <w:r>
              <w:rPr>
                <w:rFonts w:hint="eastAsia"/>
                <w:sz w:val="24"/>
              </w:rPr>
              <w:t>020150</w:t>
            </w:r>
          </w:p>
        </w:tc>
        <w:tc>
          <w:tcPr>
            <w:tcW w:w="1503" w:type="dxa"/>
            <w:vAlign w:val="center"/>
          </w:tcPr>
          <w:p w:rsidR="00754F92" w:rsidRDefault="002B0DD0">
            <w:pPr>
              <w:jc w:val="center"/>
            </w:pPr>
            <w:r>
              <w:rPr>
                <w:rFonts w:hint="eastAsia"/>
                <w:sz w:val="24"/>
              </w:rPr>
              <w:t>16</w:t>
            </w:r>
            <w:r>
              <w:rPr>
                <w:rFonts w:hint="eastAsia"/>
                <w:sz w:val="24"/>
              </w:rPr>
              <w:t>贴债</w:t>
            </w:r>
            <w:r>
              <w:rPr>
                <w:rFonts w:hint="eastAsia"/>
                <w:sz w:val="24"/>
              </w:rPr>
              <w:t>52</w:t>
            </w:r>
          </w:p>
        </w:tc>
        <w:tc>
          <w:tcPr>
            <w:tcW w:w="1503" w:type="dxa"/>
            <w:vAlign w:val="center"/>
          </w:tcPr>
          <w:p w:rsidR="00754F92" w:rsidRDefault="002B0DD0">
            <w:pPr>
              <w:jc w:val="center"/>
            </w:pPr>
            <w:r>
              <w:rPr>
                <w:rFonts w:hint="eastAsia"/>
                <w:sz w:val="24"/>
              </w:rPr>
              <w:t>2,000,000</w:t>
            </w:r>
          </w:p>
        </w:tc>
        <w:tc>
          <w:tcPr>
            <w:tcW w:w="1503" w:type="dxa"/>
            <w:vAlign w:val="center"/>
          </w:tcPr>
          <w:p w:rsidR="00754F92" w:rsidRDefault="002B0DD0">
            <w:pPr>
              <w:jc w:val="center"/>
            </w:pPr>
            <w:r>
              <w:rPr>
                <w:rFonts w:hint="eastAsia"/>
                <w:sz w:val="24"/>
              </w:rPr>
              <w:t>199,337,895.43</w:t>
            </w:r>
          </w:p>
        </w:tc>
        <w:tc>
          <w:tcPr>
            <w:tcW w:w="1503" w:type="dxa"/>
            <w:vAlign w:val="center"/>
          </w:tcPr>
          <w:p w:rsidR="00754F92" w:rsidRDefault="002B0DD0">
            <w:pPr>
              <w:jc w:val="center"/>
            </w:pPr>
            <w:r>
              <w:rPr>
                <w:rFonts w:hint="eastAsia"/>
                <w:sz w:val="24"/>
              </w:rPr>
              <w:t>0.52</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w:t>
      </w:r>
      <w:bookmarkEnd w:id="23"/>
      <w:r w:rsidR="000C394D">
        <w:rPr>
          <w:rFonts w:ascii="Times New Roman" w:hAnsi="Times New Roman" w:cs="Times New Roman"/>
          <w:kern w:val="0"/>
          <w:szCs w:val="24"/>
        </w:rPr>
        <w:t>7</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2</w:t>
            </w:r>
            <w:r w:rsidRPr="00F122EB">
              <w:rPr>
                <w:rFonts w:hint="eastAsia"/>
                <w:sz w:val="24"/>
              </w:rPr>
              <w:t>次</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0.1708%</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-0.2784%</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0.0846%</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Default="00157CB3" w:rsidP="00157CB3">
      <w:pPr>
        <w:spacing w:line="360" w:lineRule="auto"/>
        <w:rPr>
          <w:rFonts w:ascii="宋体" w:hAnsi="宋体"/>
          <w:b/>
          <w:bCs/>
          <w:color w:val="000000"/>
          <w:sz w:val="24"/>
        </w:rPr>
      </w:pPr>
      <w:r w:rsidRPr="00157CB3">
        <w:rPr>
          <w:rFonts w:ascii="宋体" w:hAnsi="宋体" w:hint="eastAsia"/>
          <w:b/>
          <w:bCs/>
          <w:color w:val="000000"/>
          <w:sz w:val="24"/>
        </w:rPr>
        <w:t>报告期内负偏离度的绝对值达到0.25%情况说明</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96"/>
        <w:gridCol w:w="2067"/>
        <w:gridCol w:w="2113"/>
        <w:gridCol w:w="1987"/>
      </w:tblGrid>
      <w:tr w:rsidR="00AE0C4B" w:rsidRPr="007A04DB" w:rsidTr="00F47B12">
        <w:tc>
          <w:tcPr>
            <w:tcW w:w="709" w:type="dxa"/>
            <w:vAlign w:val="center"/>
          </w:tcPr>
          <w:p w:rsidR="00AE0C4B" w:rsidRPr="007A04DB" w:rsidRDefault="00AE0C4B" w:rsidP="00F47B12">
            <w:pPr>
              <w:spacing w:line="360" w:lineRule="auto"/>
              <w:jc w:val="center"/>
              <w:rPr>
                <w:rFonts w:eastAsiaTheme="minorEastAsia"/>
                <w:sz w:val="24"/>
              </w:rPr>
            </w:pPr>
            <w:r w:rsidRPr="007A04DB">
              <w:rPr>
                <w:rFonts w:eastAsiaTheme="minorEastAsia" w:hint="eastAsia"/>
                <w:sz w:val="24"/>
              </w:rPr>
              <w:t>序号</w:t>
            </w:r>
          </w:p>
        </w:tc>
        <w:tc>
          <w:tcPr>
            <w:tcW w:w="2196" w:type="dxa"/>
            <w:vAlign w:val="center"/>
          </w:tcPr>
          <w:p w:rsidR="00AE0C4B" w:rsidRPr="007A04DB" w:rsidRDefault="00AE0C4B" w:rsidP="00F47B12">
            <w:pPr>
              <w:spacing w:line="360" w:lineRule="auto"/>
              <w:jc w:val="center"/>
              <w:rPr>
                <w:rFonts w:eastAsiaTheme="minorEastAsia"/>
                <w:sz w:val="24"/>
              </w:rPr>
            </w:pPr>
            <w:r w:rsidRPr="007A04DB">
              <w:rPr>
                <w:rFonts w:eastAsiaTheme="minorEastAsia" w:hint="eastAsia"/>
                <w:sz w:val="24"/>
              </w:rPr>
              <w:t>发生日期</w:t>
            </w:r>
          </w:p>
        </w:tc>
        <w:tc>
          <w:tcPr>
            <w:tcW w:w="2067" w:type="dxa"/>
            <w:vAlign w:val="center"/>
          </w:tcPr>
          <w:p w:rsidR="00AE0C4B" w:rsidRPr="007A04DB" w:rsidRDefault="00AE0C4B" w:rsidP="00F47B12">
            <w:pPr>
              <w:spacing w:line="360" w:lineRule="auto"/>
              <w:jc w:val="center"/>
              <w:rPr>
                <w:rFonts w:eastAsiaTheme="minorEastAsia"/>
                <w:sz w:val="24"/>
              </w:rPr>
            </w:pPr>
            <w:r w:rsidRPr="007A04DB">
              <w:rPr>
                <w:rFonts w:eastAsiaTheme="minorEastAsia" w:hint="eastAsia"/>
                <w:sz w:val="24"/>
              </w:rPr>
              <w:t>偏离度</w:t>
            </w:r>
          </w:p>
        </w:tc>
        <w:tc>
          <w:tcPr>
            <w:tcW w:w="2113" w:type="dxa"/>
            <w:vAlign w:val="center"/>
          </w:tcPr>
          <w:p w:rsidR="00AE0C4B" w:rsidRPr="007A04DB" w:rsidRDefault="00AE0C4B" w:rsidP="00F47B12">
            <w:pPr>
              <w:spacing w:line="360" w:lineRule="auto"/>
              <w:jc w:val="center"/>
              <w:rPr>
                <w:rFonts w:eastAsiaTheme="minorEastAsia"/>
                <w:sz w:val="24"/>
              </w:rPr>
            </w:pPr>
            <w:r w:rsidRPr="007A04DB">
              <w:rPr>
                <w:rFonts w:eastAsiaTheme="minorEastAsia" w:hint="eastAsia"/>
                <w:sz w:val="24"/>
              </w:rPr>
              <w:t>原因</w:t>
            </w:r>
          </w:p>
        </w:tc>
        <w:tc>
          <w:tcPr>
            <w:tcW w:w="1987" w:type="dxa"/>
            <w:vAlign w:val="center"/>
          </w:tcPr>
          <w:p w:rsidR="00AE0C4B" w:rsidRPr="007A04DB" w:rsidRDefault="00AE0C4B" w:rsidP="00F47B12">
            <w:pPr>
              <w:spacing w:line="360" w:lineRule="auto"/>
              <w:jc w:val="center"/>
              <w:rPr>
                <w:rFonts w:eastAsiaTheme="minorEastAsia"/>
                <w:sz w:val="24"/>
              </w:rPr>
            </w:pPr>
            <w:r w:rsidRPr="007A04DB">
              <w:rPr>
                <w:rFonts w:eastAsiaTheme="minorEastAsia" w:hint="eastAsia"/>
                <w:sz w:val="24"/>
              </w:rPr>
              <w:t>调整期</w:t>
            </w:r>
          </w:p>
        </w:tc>
      </w:tr>
      <w:tr w:rsidR="00AE0C4B" w:rsidTr="00F47B12">
        <w:tc>
          <w:tcPr>
            <w:tcW w:w="709" w:type="dxa"/>
            <w:vAlign w:val="center"/>
          </w:tcPr>
          <w:p w:rsidR="00AE0C4B" w:rsidRDefault="00AE0C4B" w:rsidP="00F47B12">
            <w:pPr>
              <w:jc w:val="center"/>
            </w:pPr>
            <w:r>
              <w:rPr>
                <w:rFonts w:eastAsiaTheme="minorEastAsia"/>
                <w:sz w:val="24"/>
              </w:rPr>
              <w:t>1</w:t>
            </w:r>
          </w:p>
        </w:tc>
        <w:tc>
          <w:tcPr>
            <w:tcW w:w="2196" w:type="dxa"/>
            <w:vAlign w:val="center"/>
          </w:tcPr>
          <w:p w:rsidR="00AE0C4B" w:rsidRDefault="00AE0C4B" w:rsidP="00F47B12">
            <w:pPr>
              <w:jc w:val="center"/>
            </w:pPr>
            <w:r>
              <w:rPr>
                <w:rFonts w:eastAsiaTheme="minorEastAsia"/>
                <w:sz w:val="24"/>
              </w:rPr>
              <w:t>2016-12-19</w:t>
            </w:r>
          </w:p>
        </w:tc>
        <w:tc>
          <w:tcPr>
            <w:tcW w:w="2067" w:type="dxa"/>
            <w:vAlign w:val="center"/>
          </w:tcPr>
          <w:p w:rsidR="00AE0C4B" w:rsidRDefault="00AE0C4B" w:rsidP="00F47B12">
            <w:pPr>
              <w:jc w:val="center"/>
            </w:pPr>
            <w:r>
              <w:rPr>
                <w:rFonts w:eastAsiaTheme="minorEastAsia"/>
                <w:sz w:val="24"/>
              </w:rPr>
              <w:t>-0.27</w:t>
            </w:r>
            <w:r w:rsidR="000C394D">
              <w:rPr>
                <w:rFonts w:eastAsiaTheme="minorEastAsia"/>
                <w:sz w:val="24"/>
              </w:rPr>
              <w:t>%</w:t>
            </w:r>
          </w:p>
        </w:tc>
        <w:tc>
          <w:tcPr>
            <w:tcW w:w="2113" w:type="dxa"/>
            <w:vAlign w:val="center"/>
          </w:tcPr>
          <w:p w:rsidR="00AE0C4B" w:rsidRDefault="00AE0C4B" w:rsidP="00F47B12">
            <w:pPr>
              <w:jc w:val="center"/>
            </w:pPr>
            <w:r>
              <w:rPr>
                <w:rFonts w:eastAsiaTheme="minorEastAsia"/>
                <w:sz w:val="24"/>
              </w:rPr>
              <w:t>债券市场剧烈震荡</w:t>
            </w:r>
          </w:p>
        </w:tc>
        <w:tc>
          <w:tcPr>
            <w:tcW w:w="1987" w:type="dxa"/>
            <w:vAlign w:val="center"/>
          </w:tcPr>
          <w:p w:rsidR="00AE0C4B" w:rsidRDefault="00AE0C4B" w:rsidP="00F47B12">
            <w:pPr>
              <w:jc w:val="center"/>
            </w:pPr>
            <w:r>
              <w:rPr>
                <w:rFonts w:eastAsiaTheme="minorEastAsia"/>
                <w:sz w:val="24"/>
              </w:rPr>
              <w:t>五个工作日内</w:t>
            </w:r>
          </w:p>
        </w:tc>
      </w:tr>
      <w:tr w:rsidR="00AE0C4B" w:rsidTr="00F47B12">
        <w:tc>
          <w:tcPr>
            <w:tcW w:w="709" w:type="dxa"/>
            <w:vAlign w:val="center"/>
          </w:tcPr>
          <w:p w:rsidR="00AE0C4B" w:rsidRDefault="00AE0C4B" w:rsidP="00F47B12">
            <w:pPr>
              <w:jc w:val="center"/>
            </w:pPr>
            <w:r>
              <w:rPr>
                <w:rFonts w:eastAsiaTheme="minorEastAsia"/>
                <w:sz w:val="24"/>
              </w:rPr>
              <w:t>2</w:t>
            </w:r>
          </w:p>
        </w:tc>
        <w:tc>
          <w:tcPr>
            <w:tcW w:w="2196" w:type="dxa"/>
            <w:vAlign w:val="center"/>
          </w:tcPr>
          <w:p w:rsidR="00AE0C4B" w:rsidRDefault="00AE0C4B" w:rsidP="00F47B12">
            <w:pPr>
              <w:jc w:val="center"/>
            </w:pPr>
            <w:r>
              <w:rPr>
                <w:rFonts w:eastAsiaTheme="minorEastAsia"/>
                <w:sz w:val="24"/>
              </w:rPr>
              <w:t>2016-12-20</w:t>
            </w:r>
          </w:p>
        </w:tc>
        <w:tc>
          <w:tcPr>
            <w:tcW w:w="2067" w:type="dxa"/>
            <w:vAlign w:val="center"/>
          </w:tcPr>
          <w:p w:rsidR="00AE0C4B" w:rsidRDefault="00AE0C4B" w:rsidP="00F47B12">
            <w:pPr>
              <w:jc w:val="center"/>
            </w:pPr>
            <w:r>
              <w:rPr>
                <w:rFonts w:eastAsiaTheme="minorEastAsia"/>
                <w:sz w:val="24"/>
              </w:rPr>
              <w:t>-0.28</w:t>
            </w:r>
            <w:r w:rsidR="000C394D">
              <w:rPr>
                <w:rFonts w:eastAsiaTheme="minorEastAsia"/>
                <w:sz w:val="24"/>
              </w:rPr>
              <w:t>%</w:t>
            </w:r>
          </w:p>
        </w:tc>
        <w:tc>
          <w:tcPr>
            <w:tcW w:w="2113" w:type="dxa"/>
            <w:vAlign w:val="center"/>
          </w:tcPr>
          <w:p w:rsidR="00AE0C4B" w:rsidRDefault="00AE0C4B" w:rsidP="00F47B12">
            <w:pPr>
              <w:jc w:val="center"/>
            </w:pPr>
            <w:r>
              <w:rPr>
                <w:rFonts w:eastAsiaTheme="minorEastAsia"/>
                <w:sz w:val="24"/>
              </w:rPr>
              <w:t>债券市场剧烈震荡</w:t>
            </w:r>
          </w:p>
        </w:tc>
        <w:tc>
          <w:tcPr>
            <w:tcW w:w="1987" w:type="dxa"/>
            <w:vAlign w:val="center"/>
          </w:tcPr>
          <w:p w:rsidR="00AE0C4B" w:rsidRDefault="00AE0C4B" w:rsidP="00F47B12">
            <w:pPr>
              <w:jc w:val="center"/>
            </w:pPr>
            <w:r>
              <w:rPr>
                <w:rFonts w:eastAsiaTheme="minorEastAsia"/>
                <w:sz w:val="24"/>
              </w:rPr>
              <w:t>五个工作日内</w:t>
            </w:r>
          </w:p>
        </w:tc>
      </w:tr>
    </w:tbl>
    <w:p w:rsidR="00AE0C4B" w:rsidRPr="00AE0C4B" w:rsidRDefault="00AE0C4B" w:rsidP="00157CB3">
      <w:pPr>
        <w:spacing w:line="360" w:lineRule="auto"/>
        <w:rPr>
          <w:rFonts w:ascii="宋体" w:hAnsi="宋体" w:cs="Arial"/>
          <w:b/>
          <w:bCs/>
          <w:color w:val="000000"/>
          <w:kern w:val="0"/>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的情况。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w:t>
      </w:r>
      <w:bookmarkEnd w:id="24"/>
      <w:r w:rsidR="000C394D">
        <w:rPr>
          <w:rFonts w:ascii="Times New Roman" w:hAnsi="Times New Roman" w:cs="Times New Roman"/>
          <w:kern w:val="0"/>
          <w:szCs w:val="24"/>
        </w:rPr>
        <w:t>8</w:t>
      </w:r>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Default="006D141C" w:rsidP="005124D4">
      <w:pPr>
        <w:spacing w:before="29" w:line="288" w:lineRule="auto"/>
        <w:jc w:val="left"/>
        <w:rPr>
          <w:kern w:val="0"/>
          <w:sz w:val="24"/>
        </w:rPr>
      </w:pPr>
      <w:r w:rsidRPr="005124D4">
        <w:rPr>
          <w:rFonts w:hint="eastAsia"/>
          <w:kern w:val="0"/>
          <w:sz w:val="24"/>
        </w:rPr>
        <w:t>本基金本报告期末未持有资产支持证券。</w:t>
      </w:r>
    </w:p>
    <w:p w:rsidR="00332680" w:rsidRPr="00CB1276" w:rsidRDefault="00332680" w:rsidP="005124D4">
      <w:pPr>
        <w:spacing w:before="29" w:line="288" w:lineRule="auto"/>
        <w:jc w:val="left"/>
        <w:rPr>
          <w:rFonts w:asciiTheme="minorEastAsia" w:eastAsiaTheme="minorEastAsia" w:hAnsiTheme="minorEastAsia" w:cs="宋体"/>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8.</w:t>
      </w:r>
      <w:r w:rsidR="000C394D">
        <w:rPr>
          <w:rFonts w:ascii="Times New Roman" w:hAnsi="Times New Roman" w:cs="Times New Roman"/>
          <w:kern w:val="0"/>
          <w:szCs w:val="24"/>
        </w:rPr>
        <w:t>9</w:t>
      </w:r>
      <w:r w:rsidRPr="00FB19E8">
        <w:rPr>
          <w:rFonts w:ascii="Times New Roman" w:hAnsi="Times New Roman" w:cs="Times New Roman" w:hint="eastAsia"/>
          <w:kern w:val="0"/>
          <w:szCs w:val="24"/>
        </w:rPr>
        <w:t xml:space="preserve">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w:t>
      </w:r>
      <w:r w:rsidR="000C394D">
        <w:rPr>
          <w:rFonts w:ascii="Times New Roman" w:hAnsi="Times New Roman" w:cs="Times New Roman"/>
          <w:kern w:val="0"/>
          <w:szCs w:val="24"/>
        </w:rPr>
        <w:t>9</w:t>
      </w:r>
      <w:r w:rsidRPr="00FB19E8">
        <w:rPr>
          <w:rFonts w:ascii="Times New Roman" w:hAnsi="Times New Roman" w:cs="Times New Roman" w:hint="eastAsia"/>
          <w:kern w:val="0"/>
          <w:szCs w:val="24"/>
        </w:rPr>
        <w:t>.</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w:t>
      </w:r>
      <w:r w:rsidR="000C394D">
        <w:rPr>
          <w:b/>
          <w:sz w:val="24"/>
        </w:rPr>
        <w:t>9</w:t>
      </w:r>
      <w:r w:rsidRPr="00781B15">
        <w:rPr>
          <w:rFonts w:hint="eastAsia"/>
          <w:b/>
          <w:sz w:val="24"/>
        </w:rPr>
        <w:t>.</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w:t>
      </w:r>
      <w:r w:rsidR="000C394D">
        <w:rPr>
          <w:rFonts w:ascii="Times New Roman" w:hAnsi="Times New Roman" w:cs="Times New Roman"/>
          <w:kern w:val="0"/>
          <w:szCs w:val="24"/>
        </w:rPr>
        <w:t>9</w:t>
      </w:r>
      <w:r w:rsidRPr="00FB19E8">
        <w:rPr>
          <w:rFonts w:ascii="Times New Roman" w:hAnsi="Times New Roman" w:cs="Times New Roman" w:hint="eastAsia"/>
          <w:kern w:val="0"/>
          <w:szCs w:val="24"/>
        </w:rPr>
        <w:t>.</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96,326,583.62</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486,207,772.76</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582,534,356.38</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w:t>
      </w:r>
      <w:r w:rsidR="000C394D">
        <w:rPr>
          <w:rFonts w:ascii="Times New Roman" w:hAnsi="Times New Roman" w:cs="Times New Roman"/>
          <w:kern w:val="0"/>
          <w:szCs w:val="24"/>
        </w:rPr>
        <w:t>9</w:t>
      </w:r>
      <w:r w:rsidRPr="00FB19E8">
        <w:rPr>
          <w:rFonts w:ascii="Times New Roman" w:hAnsi="Times New Roman" w:cs="Times New Roman" w:hint="eastAsia"/>
          <w:kern w:val="0"/>
          <w:szCs w:val="24"/>
        </w:rPr>
        <w:t>.</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4E65B4">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交银货币</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40,983</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24,180.79</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29,172,454.82</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2.94%</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961,828,703.29</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97.06%</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交银货币</w:t>
            </w:r>
            <w:r w:rsidRPr="00947C5B">
              <w:rPr>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184</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202,692,164.75</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36,625,753,759.08</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98.20%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669,604,555.38</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1.80%</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41,167</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930,025.49</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36,654,926,213.90</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95.74%</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1,631,433,258.67</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4.26%</w:t>
            </w:r>
          </w:p>
        </w:tc>
      </w:tr>
    </w:tbl>
    <w:p w:rsidR="00A66BB5" w:rsidRPr="00A85DBF" w:rsidRDefault="00A66BB5" w:rsidP="004B36C2">
      <w:pPr>
        <w:spacing w:line="360" w:lineRule="auto"/>
        <w:rPr>
          <w:rFonts w:asciiTheme="minorEastAsia" w:eastAsiaTheme="minorEastAsia" w:hAnsiTheme="minorEastAsia"/>
          <w:szCs w:val="21"/>
        </w:rPr>
      </w:pPr>
    </w:p>
    <w:p w:rsidR="006D141C" w:rsidRDefault="00A66BB5" w:rsidP="00F02139">
      <w:pPr>
        <w:pStyle w:val="20"/>
        <w:spacing w:before="29" w:after="0" w:line="288" w:lineRule="auto"/>
        <w:rPr>
          <w:rFonts w:asciiTheme="minorEastAsia" w:eastAsiaTheme="minorEastAsia" w:hAnsiTheme="minorEastAsia"/>
          <w:szCs w:val="21"/>
        </w:rPr>
      </w:pPr>
      <w:bookmarkStart w:id="30" w:name="_Toc331410113"/>
      <w:r w:rsidRPr="00FB19E8">
        <w:rPr>
          <w:rFonts w:ascii="Times New Roman" w:hAnsi="Times New Roman" w:cs="Times New Roman" w:hint="eastAsia"/>
          <w:kern w:val="0"/>
          <w:szCs w:val="24"/>
        </w:rPr>
        <w:t>9.2</w:t>
      </w:r>
      <w:r w:rsidRPr="00FB19E8">
        <w:rPr>
          <w:rFonts w:ascii="Times New Roman" w:hAnsi="Times New Roman" w:cs="Times New Roman" w:hint="eastAsia"/>
          <w:kern w:val="0"/>
          <w:szCs w:val="24"/>
        </w:rPr>
        <w:t>期末基金管理人的从业人员持有本基金的情况</w:t>
      </w:r>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4E65B4">
        <w:trPr>
          <w:trHeight w:val="285"/>
        </w:trPr>
        <w:tc>
          <w:tcPr>
            <w:tcW w:w="2268"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4E65B4">
        <w:trPr>
          <w:trHeight w:val="285"/>
        </w:trPr>
        <w:tc>
          <w:tcPr>
            <w:tcW w:w="2268" w:type="dxa"/>
            <w:vMerge w:val="restart"/>
            <w:noWrap/>
            <w:vAlign w:val="center"/>
          </w:tcPr>
          <w:p w:rsidR="00F02139" w:rsidRPr="00D0515B" w:rsidRDefault="00F02139" w:rsidP="004E65B4">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4E65B4">
            <w:pPr>
              <w:spacing w:before="29" w:line="288" w:lineRule="auto"/>
              <w:rPr>
                <w:sz w:val="24"/>
              </w:rPr>
            </w:pPr>
            <w:r w:rsidRPr="00BF1B19">
              <w:rPr>
                <w:rFonts w:hint="eastAsia"/>
                <w:sz w:val="24"/>
              </w:rPr>
              <w:t>交银货币</w:t>
            </w:r>
            <w:r w:rsidRPr="00BF1B19">
              <w:rPr>
                <w:rFonts w:hint="eastAsia"/>
                <w:sz w:val="24"/>
              </w:rPr>
              <w:t>A</w:t>
            </w:r>
          </w:p>
        </w:tc>
        <w:tc>
          <w:tcPr>
            <w:tcW w:w="2126"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3,403,601.46</w:t>
            </w:r>
          </w:p>
        </w:tc>
        <w:tc>
          <w:tcPr>
            <w:tcW w:w="1910"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0.34%</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4E65B4" w:rsidP="004E65B4">
            <w:pPr>
              <w:spacing w:before="29" w:line="288" w:lineRule="auto"/>
              <w:rPr>
                <w:color w:val="000000"/>
                <w:kern w:val="0"/>
                <w:sz w:val="24"/>
              </w:rPr>
            </w:pPr>
            <w:r>
              <w:rPr>
                <w:rFonts w:hint="eastAsia"/>
                <w:sz w:val="24"/>
              </w:rPr>
              <w:t>交银货币</w:t>
            </w:r>
            <w:r>
              <w:rPr>
                <w:rFonts w:hint="eastAsia"/>
                <w:sz w:val="24"/>
              </w:rPr>
              <w:t>B</w:t>
            </w:r>
          </w:p>
        </w:tc>
        <w:tc>
          <w:tcPr>
            <w:tcW w:w="2126"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c>
          <w:tcPr>
            <w:tcW w:w="1910"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4E65B4">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3,403,601.46</w:t>
            </w:r>
          </w:p>
        </w:tc>
        <w:tc>
          <w:tcPr>
            <w:tcW w:w="1910"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0.01%</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CD1658"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9.3</w:t>
      </w:r>
      <w:r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交银货币</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交银货币</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4E65B4">
      <w:pPr>
        <w:pStyle w:val="1"/>
        <w:keepNext/>
        <w:keepLines/>
        <w:widowControl w:val="0"/>
        <w:spacing w:beforeLines="100" w:before="312" w:afterLines="100" w:after="312" w:line="288" w:lineRule="auto"/>
        <w:jc w:val="center"/>
        <w:rPr>
          <w:b/>
          <w:bCs/>
          <w:szCs w:val="24"/>
          <w:lang w:val="en-US"/>
        </w:rPr>
      </w:pPr>
      <w:bookmarkStart w:id="31" w:name="_Toc331410115"/>
      <w:bookmarkStart w:id="32"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1"/>
      <w:bookmarkEnd w:id="32"/>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交银货币</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交银货币</w:t>
            </w:r>
            <w:r>
              <w:rPr>
                <w:rFonts w:hint="eastAsia"/>
                <w:sz w:val="24"/>
              </w:rPr>
              <w:t>B</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2006</w:t>
            </w:r>
            <w:r w:rsidRPr="0031518D">
              <w:rPr>
                <w:rFonts w:hint="eastAsia"/>
                <w:sz w:val="24"/>
              </w:rPr>
              <w:t>年</w:t>
            </w:r>
            <w:r w:rsidRPr="0031518D">
              <w:rPr>
                <w:rFonts w:hint="eastAsia"/>
                <w:sz w:val="24"/>
              </w:rPr>
              <w:t>1</w:t>
            </w:r>
            <w:r w:rsidRPr="0031518D">
              <w:rPr>
                <w:rFonts w:hint="eastAsia"/>
                <w:sz w:val="24"/>
              </w:rPr>
              <w:t>月</w:t>
            </w:r>
            <w:r w:rsidRPr="0031518D">
              <w:rPr>
                <w:rFonts w:hint="eastAsia"/>
                <w:sz w:val="24"/>
              </w:rPr>
              <w:t>20</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4,741,255,133.16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1,203,430,532.35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27,641,493,156.53</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3,672,073,646.37</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121,213,874,835.65</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3,884,503,020.61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111,560,009,677.72</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991,001,158.11</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37,295,358,314.46</w:t>
            </w:r>
          </w:p>
        </w:tc>
      </w:tr>
    </w:tbl>
    <w:p w:rsidR="00754F92" w:rsidRDefault="002B0DD0">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rsidR="00754F92" w:rsidRDefault="002B0DD0">
      <w:pPr>
        <w:spacing w:before="29" w:line="288" w:lineRule="auto"/>
        <w:jc w:val="left"/>
        <w:rPr>
          <w:kern w:val="0"/>
          <w:sz w:val="24"/>
        </w:rPr>
      </w:pPr>
      <w:r>
        <w:rPr>
          <w:rFonts w:hint="eastAsia"/>
          <w:kern w:val="0"/>
          <w:sz w:val="24"/>
        </w:rPr>
        <w:t xml:space="preserve">    2</w:t>
      </w:r>
      <w:r>
        <w:rPr>
          <w:rFonts w:hint="eastAsia"/>
          <w:kern w:val="0"/>
          <w:sz w:val="24"/>
        </w:rPr>
        <w:t>、如果本报告期间发生转换出、份额级别调整业务，则总赎回份额中包含该业务；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、本基金于</w:t>
      </w:r>
      <w:r w:rsidRPr="005124D4">
        <w:rPr>
          <w:rFonts w:hint="eastAsia"/>
          <w:kern w:val="0"/>
          <w:sz w:val="24"/>
        </w:rPr>
        <w:t>2007</w:t>
      </w:r>
      <w:r w:rsidRPr="005124D4">
        <w:rPr>
          <w:rFonts w:hint="eastAsia"/>
          <w:kern w:val="0"/>
          <w:sz w:val="24"/>
        </w:rPr>
        <w:t>年</w:t>
      </w:r>
      <w:r w:rsidRPr="005124D4">
        <w:rPr>
          <w:rFonts w:hint="eastAsia"/>
          <w:kern w:val="0"/>
          <w:sz w:val="24"/>
        </w:rPr>
        <w:t>6</w:t>
      </w:r>
      <w:r w:rsidRPr="005124D4">
        <w:rPr>
          <w:rFonts w:hint="eastAsia"/>
          <w:kern w:val="0"/>
          <w:sz w:val="24"/>
        </w:rPr>
        <w:t>月</w:t>
      </w:r>
      <w:r w:rsidRPr="005124D4">
        <w:rPr>
          <w:rFonts w:hint="eastAsia"/>
          <w:kern w:val="0"/>
          <w:sz w:val="24"/>
        </w:rPr>
        <w:t>22</w:t>
      </w:r>
      <w:r w:rsidRPr="005124D4">
        <w:rPr>
          <w:rFonts w:hint="eastAsia"/>
          <w:kern w:val="0"/>
          <w:sz w:val="24"/>
        </w:rPr>
        <w:t>日起实行销售服务费分级收费方式。</w:t>
      </w:r>
    </w:p>
    <w:p w:rsidR="005D5C49" w:rsidRPr="005124D4" w:rsidRDefault="005D5C49" w:rsidP="005124D4">
      <w:pPr>
        <w:spacing w:before="29" w:line="288" w:lineRule="auto"/>
        <w:jc w:val="left"/>
        <w:rPr>
          <w:kern w:val="0"/>
          <w:sz w:val="24"/>
        </w:rPr>
      </w:pPr>
    </w:p>
    <w:p w:rsidR="006D141C" w:rsidRDefault="006D141C" w:rsidP="004E65B4">
      <w:pPr>
        <w:pStyle w:val="1"/>
        <w:keepNext/>
        <w:keepLines/>
        <w:widowControl w:val="0"/>
        <w:spacing w:beforeLines="100" w:before="312" w:afterLines="100" w:after="312" w:line="288" w:lineRule="auto"/>
        <w:jc w:val="center"/>
        <w:rPr>
          <w:b/>
          <w:bCs/>
          <w:szCs w:val="24"/>
          <w:lang w:val="en-US"/>
        </w:rPr>
      </w:pPr>
      <w:bookmarkStart w:id="33" w:name="_Toc331410116"/>
      <w:bookmarkStart w:id="34"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3"/>
      <w:bookmarkEnd w:id="34"/>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5"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5"/>
    </w:p>
    <w:p w:rsidR="006D141C" w:rsidRDefault="006D141C" w:rsidP="0081565E">
      <w:pPr>
        <w:spacing w:before="29" w:line="288" w:lineRule="auto"/>
        <w:ind w:firstLineChars="200" w:firstLine="480"/>
        <w:rPr>
          <w:color w:val="000000"/>
          <w:sz w:val="24"/>
        </w:rPr>
      </w:pPr>
      <w:bookmarkStart w:id="36"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6"/>
    </w:p>
    <w:p w:rsidR="00754F92" w:rsidRDefault="002B0DD0">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37" w:name="_Toc331410119"/>
      <w:r w:rsidRPr="0081565E">
        <w:rPr>
          <w:rFonts w:hint="eastAsia"/>
          <w:color w:val="000000"/>
          <w:sz w:val="24"/>
        </w:rPr>
        <w:t>2</w:t>
      </w:r>
      <w:r w:rsidRPr="0081565E">
        <w:rPr>
          <w:rFonts w:hint="eastAsia"/>
          <w:color w:val="000000"/>
          <w:sz w:val="24"/>
        </w:rPr>
        <w:t>、基金托管人的基金托管部门的重大人事变动：本基金托管人的专门基金托管部门本报告期内未发生重大人事变动。</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7"/>
    </w:p>
    <w:p w:rsidR="006D141C" w:rsidRDefault="006D141C" w:rsidP="0081565E">
      <w:pPr>
        <w:spacing w:before="29" w:line="288" w:lineRule="auto"/>
        <w:ind w:firstLineChars="200" w:firstLine="480"/>
        <w:rPr>
          <w:color w:val="000000"/>
          <w:sz w:val="24"/>
        </w:rPr>
      </w:pPr>
      <w:bookmarkStart w:id="38"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8"/>
    </w:p>
    <w:p w:rsidR="006D141C" w:rsidRDefault="006D141C" w:rsidP="0081565E">
      <w:pPr>
        <w:spacing w:before="29" w:line="288" w:lineRule="auto"/>
        <w:ind w:firstLineChars="200" w:firstLine="480"/>
        <w:rPr>
          <w:color w:val="000000"/>
          <w:sz w:val="24"/>
        </w:rPr>
      </w:pPr>
      <w:bookmarkStart w:id="39"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39"/>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0" w:name="OLE_LINK3"/>
      <w:bookmarkStart w:id="41" w:name="_Toc331410122"/>
      <w:r w:rsidRPr="0081565E">
        <w:rPr>
          <w:rFonts w:hint="eastAsia"/>
          <w:color w:val="000000"/>
          <w:sz w:val="24"/>
        </w:rPr>
        <w:t>本报告期内，为本基金提供审计服务的会计师事务所为德勤华永会计师事务所（特殊普通合伙），本期审计费用为</w:t>
      </w:r>
      <w:r w:rsidRPr="0081565E">
        <w:rPr>
          <w:rFonts w:hint="eastAsia"/>
          <w:color w:val="000000"/>
          <w:sz w:val="24"/>
        </w:rPr>
        <w:t>120,000</w:t>
      </w:r>
      <w:r w:rsidRPr="0081565E">
        <w:rPr>
          <w:rFonts w:hint="eastAsia"/>
          <w:color w:val="000000"/>
          <w:sz w:val="24"/>
        </w:rPr>
        <w:t>元，自本基金基金合同生效以来，本基金未改聘为其审计的会计师事务所。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0"/>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1"/>
    </w:p>
    <w:p w:rsidR="00754F92" w:rsidRDefault="002B0DD0">
      <w:pPr>
        <w:spacing w:before="29" w:line="288" w:lineRule="auto"/>
        <w:ind w:firstLineChars="200" w:firstLine="480"/>
        <w:rPr>
          <w:color w:val="000000"/>
          <w:sz w:val="24"/>
        </w:rPr>
      </w:pPr>
      <w:r>
        <w:rPr>
          <w:rFonts w:hint="eastAsia"/>
          <w:color w:val="000000"/>
          <w:sz w:val="24"/>
        </w:rPr>
        <w:t>1</w:t>
      </w:r>
      <w:r>
        <w:rPr>
          <w:rFonts w:hint="eastAsia"/>
          <w:color w:val="000000"/>
          <w:sz w:val="24"/>
        </w:rPr>
        <w:t>、管理人及其高级管理人员受稽查或处罚等情况</w:t>
      </w:r>
    </w:p>
    <w:p w:rsidR="00754F92" w:rsidRDefault="002B0DD0">
      <w:pPr>
        <w:spacing w:before="29" w:line="288" w:lineRule="auto"/>
        <w:ind w:firstLineChars="200" w:firstLine="480"/>
        <w:rPr>
          <w:color w:val="000000"/>
          <w:sz w:val="24"/>
        </w:rPr>
      </w:pPr>
      <w:r>
        <w:rPr>
          <w:rFonts w:hint="eastAsia"/>
          <w:color w:val="000000"/>
          <w:sz w:val="24"/>
        </w:rPr>
        <w:t>公司于</w:t>
      </w:r>
      <w:r>
        <w:rPr>
          <w:rFonts w:hint="eastAsia"/>
          <w:color w:val="000000"/>
          <w:sz w:val="24"/>
        </w:rPr>
        <w:t>2016</w:t>
      </w:r>
      <w:r>
        <w:rPr>
          <w:rFonts w:hint="eastAsia"/>
          <w:color w:val="000000"/>
          <w:sz w:val="24"/>
        </w:rPr>
        <w:t>年</w:t>
      </w:r>
      <w:r>
        <w:rPr>
          <w:rFonts w:hint="eastAsia"/>
          <w:color w:val="000000"/>
          <w:sz w:val="24"/>
        </w:rPr>
        <w:t>1</w:t>
      </w:r>
      <w:r>
        <w:rPr>
          <w:rFonts w:hint="eastAsia"/>
          <w:color w:val="000000"/>
          <w:sz w:val="24"/>
        </w:rPr>
        <w:t>月和</w:t>
      </w:r>
      <w:r>
        <w:rPr>
          <w:rFonts w:hint="eastAsia"/>
          <w:color w:val="000000"/>
          <w:sz w:val="24"/>
        </w:rPr>
        <w:t>10</w:t>
      </w:r>
      <w:r>
        <w:rPr>
          <w:rFonts w:hint="eastAsia"/>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754F92" w:rsidRDefault="002B0DD0">
      <w:pPr>
        <w:spacing w:before="29" w:line="288" w:lineRule="auto"/>
        <w:ind w:firstLineChars="200" w:firstLine="480"/>
        <w:rPr>
          <w:color w:val="000000"/>
          <w:sz w:val="24"/>
        </w:rPr>
      </w:pP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2"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2"/>
    </w:p>
    <w:p w:rsidR="006D141C" w:rsidRPr="00FB19E8" w:rsidRDefault="00EE1CF9" w:rsidP="00FB19E8">
      <w:pPr>
        <w:pStyle w:val="20"/>
        <w:spacing w:before="29" w:after="0" w:line="288" w:lineRule="auto"/>
        <w:rPr>
          <w:rFonts w:ascii="Times New Roman" w:hAnsi="Times New Roman" w:cs="Times New Roman"/>
          <w:kern w:val="0"/>
          <w:szCs w:val="24"/>
        </w:rPr>
      </w:pPr>
      <w:bookmarkStart w:id="43"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3"/>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4"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754F92">
        <w:tc>
          <w:tcPr>
            <w:tcW w:w="1286" w:type="dxa"/>
            <w:vAlign w:val="center"/>
          </w:tcPr>
          <w:p w:rsidR="00754F92" w:rsidRDefault="002B0DD0">
            <w:pPr>
              <w:jc w:val="center"/>
            </w:pPr>
            <w:r>
              <w:rPr>
                <w:rFonts w:hint="eastAsia"/>
                <w:szCs w:val="21"/>
              </w:rPr>
              <w:t>申万宏源证券有限公司</w:t>
            </w:r>
          </w:p>
        </w:tc>
        <w:tc>
          <w:tcPr>
            <w:tcW w:w="1286" w:type="dxa"/>
            <w:vAlign w:val="center"/>
          </w:tcPr>
          <w:p w:rsidR="00754F92" w:rsidRDefault="002B0DD0">
            <w:pPr>
              <w:jc w:val="right"/>
            </w:pPr>
            <w:r>
              <w:rPr>
                <w:rFonts w:hint="eastAsia"/>
                <w:szCs w:val="21"/>
              </w:rPr>
              <w:t>3</w:t>
            </w:r>
          </w:p>
        </w:tc>
        <w:tc>
          <w:tcPr>
            <w:tcW w:w="1286" w:type="dxa"/>
            <w:vAlign w:val="center"/>
          </w:tcPr>
          <w:p w:rsidR="00754F92" w:rsidRDefault="002B0DD0">
            <w:pPr>
              <w:jc w:val="right"/>
            </w:pPr>
            <w:r>
              <w:rPr>
                <w:rFonts w:hint="eastAsia"/>
                <w:szCs w:val="21"/>
              </w:rPr>
              <w:t>-</w:t>
            </w:r>
          </w:p>
        </w:tc>
        <w:tc>
          <w:tcPr>
            <w:tcW w:w="1285" w:type="dxa"/>
            <w:vAlign w:val="center"/>
          </w:tcPr>
          <w:p w:rsidR="00754F92" w:rsidRDefault="002B0DD0">
            <w:pPr>
              <w:jc w:val="right"/>
            </w:pPr>
            <w:r>
              <w:rPr>
                <w:rFonts w:hint="eastAsia"/>
                <w:szCs w:val="21"/>
              </w:rPr>
              <w:t>-</w:t>
            </w:r>
          </w:p>
        </w:tc>
        <w:tc>
          <w:tcPr>
            <w:tcW w:w="1285" w:type="dxa"/>
            <w:vAlign w:val="center"/>
          </w:tcPr>
          <w:p w:rsidR="00754F92" w:rsidRDefault="002B0DD0">
            <w:pPr>
              <w:jc w:val="right"/>
            </w:pPr>
            <w:r>
              <w:rPr>
                <w:rFonts w:hint="eastAsia"/>
                <w:szCs w:val="21"/>
              </w:rPr>
              <w:t>-</w:t>
            </w:r>
          </w:p>
        </w:tc>
        <w:tc>
          <w:tcPr>
            <w:tcW w:w="1285" w:type="dxa"/>
            <w:vAlign w:val="center"/>
          </w:tcPr>
          <w:p w:rsidR="00754F92" w:rsidRDefault="002B0DD0">
            <w:pPr>
              <w:jc w:val="right"/>
            </w:pPr>
            <w:r>
              <w:rPr>
                <w:rFonts w:hint="eastAsia"/>
                <w:szCs w:val="21"/>
              </w:rPr>
              <w:t>-</w:t>
            </w:r>
          </w:p>
        </w:tc>
        <w:tc>
          <w:tcPr>
            <w:tcW w:w="1285" w:type="dxa"/>
            <w:vAlign w:val="center"/>
          </w:tcPr>
          <w:p w:rsidR="00754F92" w:rsidRDefault="002B0DD0">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4"/>
    </w:p>
    <w:p w:rsidR="006D141C" w:rsidRPr="006A1080" w:rsidRDefault="00644AB5" w:rsidP="006A1080">
      <w:pPr>
        <w:spacing w:before="29" w:line="288" w:lineRule="auto"/>
        <w:ind w:right="105"/>
        <w:jc w:val="right"/>
        <w:rPr>
          <w:color w:val="000000"/>
          <w:sz w:val="24"/>
        </w:rPr>
      </w:pPr>
      <w:bookmarkStart w:id="45" w:name="_Toc249707408"/>
      <w:r w:rsidRPr="006A1080">
        <w:rPr>
          <w:rFonts w:hint="eastAsia"/>
          <w:color w:val="000000"/>
          <w:sz w:val="24"/>
        </w:rPr>
        <w:t>金额单位</w:t>
      </w:r>
      <w:r w:rsidR="006D141C" w:rsidRPr="006A1080">
        <w:rPr>
          <w:rFonts w:hint="eastAsia"/>
          <w:color w:val="000000"/>
          <w:sz w:val="24"/>
        </w:rPr>
        <w:t>：人民币元</w:t>
      </w:r>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754F92">
        <w:tc>
          <w:tcPr>
            <w:tcW w:w="1286" w:type="dxa"/>
            <w:vAlign w:val="center"/>
          </w:tcPr>
          <w:p w:rsidR="00754F92" w:rsidRDefault="002B0DD0">
            <w:pPr>
              <w:jc w:val="left"/>
            </w:pPr>
            <w:r>
              <w:rPr>
                <w:rFonts w:hint="eastAsia"/>
                <w:szCs w:val="21"/>
              </w:rPr>
              <w:t>申万宏源证券有限公司</w:t>
            </w:r>
          </w:p>
        </w:tc>
        <w:tc>
          <w:tcPr>
            <w:tcW w:w="1286" w:type="dxa"/>
            <w:vAlign w:val="center"/>
          </w:tcPr>
          <w:p w:rsidR="00754F92" w:rsidRDefault="002B0DD0">
            <w:pPr>
              <w:jc w:val="right"/>
            </w:pPr>
            <w:r>
              <w:rPr>
                <w:rFonts w:hint="eastAsia"/>
                <w:szCs w:val="21"/>
              </w:rPr>
              <w:t>-</w:t>
            </w:r>
          </w:p>
        </w:tc>
        <w:tc>
          <w:tcPr>
            <w:tcW w:w="1286" w:type="dxa"/>
            <w:vAlign w:val="center"/>
          </w:tcPr>
          <w:p w:rsidR="00754F92" w:rsidRDefault="002B0DD0">
            <w:pPr>
              <w:jc w:val="right"/>
            </w:pPr>
            <w:r>
              <w:rPr>
                <w:rFonts w:hint="eastAsia"/>
                <w:szCs w:val="21"/>
              </w:rPr>
              <w:t>-</w:t>
            </w:r>
          </w:p>
        </w:tc>
        <w:tc>
          <w:tcPr>
            <w:tcW w:w="1285" w:type="dxa"/>
            <w:vAlign w:val="center"/>
          </w:tcPr>
          <w:p w:rsidR="00754F92" w:rsidRDefault="002B0DD0">
            <w:pPr>
              <w:jc w:val="right"/>
            </w:pPr>
            <w:r>
              <w:rPr>
                <w:rFonts w:hint="eastAsia"/>
                <w:szCs w:val="21"/>
              </w:rPr>
              <w:t>4,896,000,000.00</w:t>
            </w:r>
          </w:p>
        </w:tc>
        <w:tc>
          <w:tcPr>
            <w:tcW w:w="1285" w:type="dxa"/>
            <w:vAlign w:val="center"/>
          </w:tcPr>
          <w:p w:rsidR="00754F92" w:rsidRDefault="002B0DD0">
            <w:pPr>
              <w:jc w:val="right"/>
            </w:pPr>
            <w:r>
              <w:rPr>
                <w:rFonts w:hint="eastAsia"/>
                <w:szCs w:val="21"/>
              </w:rPr>
              <w:t>100.00%</w:t>
            </w:r>
          </w:p>
        </w:tc>
        <w:tc>
          <w:tcPr>
            <w:tcW w:w="1285" w:type="dxa"/>
            <w:vAlign w:val="center"/>
          </w:tcPr>
          <w:p w:rsidR="00754F92" w:rsidRDefault="002B0DD0">
            <w:pPr>
              <w:jc w:val="right"/>
            </w:pPr>
            <w:r>
              <w:rPr>
                <w:rFonts w:hint="eastAsia"/>
                <w:szCs w:val="21"/>
              </w:rPr>
              <w:t>-</w:t>
            </w:r>
          </w:p>
        </w:tc>
        <w:tc>
          <w:tcPr>
            <w:tcW w:w="1285" w:type="dxa"/>
            <w:vAlign w:val="center"/>
          </w:tcPr>
          <w:p w:rsidR="00754F92" w:rsidRDefault="002B0DD0">
            <w:pPr>
              <w:jc w:val="right"/>
            </w:pPr>
            <w:r>
              <w:rPr>
                <w:rFonts w:hint="eastAsia"/>
                <w:szCs w:val="21"/>
              </w:rPr>
              <w:t>-</w:t>
            </w:r>
          </w:p>
        </w:tc>
      </w:tr>
    </w:tbl>
    <w:p w:rsidR="00754F92" w:rsidRDefault="002B0DD0">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754F92" w:rsidRDefault="002B0DD0">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二〇一七年三月二十九日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35F" w:rsidRDefault="00AB135F">
      <w:r>
        <w:separator/>
      </w:r>
    </w:p>
  </w:endnote>
  <w:endnote w:type="continuationSeparator" w:id="0">
    <w:p w:rsidR="00AB135F" w:rsidRDefault="00AB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E65B4" w:rsidRDefault="004E65B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F1A90">
      <w:rPr>
        <w:noProof/>
        <w:kern w:val="0"/>
        <w:szCs w:val="21"/>
      </w:rPr>
      <w:t>23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F1A90">
      <w:rPr>
        <w:noProof/>
        <w:kern w:val="0"/>
        <w:szCs w:val="21"/>
      </w:rPr>
      <w:t>33</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35F" w:rsidRDefault="00AB135F">
      <w:r>
        <w:separator/>
      </w:r>
    </w:p>
  </w:footnote>
  <w:footnote w:type="continuationSeparator" w:id="0">
    <w:p w:rsidR="00AB135F" w:rsidRDefault="00AB1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F163BF" w:rsidRDefault="004E65B4" w:rsidP="00B56BD2">
    <w:pPr>
      <w:pStyle w:val="a9"/>
      <w:pBdr>
        <w:bottom w:val="single" w:sz="6" w:space="0" w:color="auto"/>
      </w:pBdr>
      <w:jc w:val="right"/>
    </w:pPr>
    <w:r w:rsidRPr="004D2C6A">
      <w:rPr>
        <w:rFonts w:hint="eastAsia"/>
        <w:noProof/>
        <w:sz w:val="21"/>
        <w:szCs w:val="21"/>
      </w:rPr>
      <w:drawing>
        <wp:anchor distT="0" distB="0" distL="114300" distR="114300" simplePos="0" relativeHeight="251659264" behindDoc="0" locked="0" layoutInCell="1" allowOverlap="1">
          <wp:simplePos x="0" y="0"/>
          <wp:positionH relativeFrom="column">
            <wp:posOffset>-3283</wp:posOffset>
          </wp:positionH>
          <wp:positionV relativeFrom="paragraph">
            <wp:posOffset>-307472</wp:posOffset>
          </wp:positionV>
          <wp:extent cx="2087593"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261"/>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94D"/>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0DD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1B"/>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680"/>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453"/>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BED"/>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1A35"/>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AE0"/>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92"/>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976"/>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4BDC"/>
    <w:rsid w:val="00A16675"/>
    <w:rsid w:val="00A21955"/>
    <w:rsid w:val="00A22CD6"/>
    <w:rsid w:val="00A23105"/>
    <w:rsid w:val="00A234EC"/>
    <w:rsid w:val="00A23F83"/>
    <w:rsid w:val="00A24128"/>
    <w:rsid w:val="00A2417A"/>
    <w:rsid w:val="00A2469D"/>
    <w:rsid w:val="00A25642"/>
    <w:rsid w:val="00A26547"/>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56D"/>
    <w:rsid w:val="00AA311D"/>
    <w:rsid w:val="00AA3556"/>
    <w:rsid w:val="00AA35FD"/>
    <w:rsid w:val="00AA3DB7"/>
    <w:rsid w:val="00AA41D3"/>
    <w:rsid w:val="00AA643F"/>
    <w:rsid w:val="00AB0039"/>
    <w:rsid w:val="00AB0D96"/>
    <w:rsid w:val="00AB135F"/>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0C4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28B1"/>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A90"/>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273"/>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5632002-5223-4CD5-B9E0-02496FC7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B25EE-7A59-42BB-AB22-14CF1E0D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33</Pages>
  <Words>3476</Words>
  <Characters>19817</Characters>
  <Application>Microsoft Office Word</Application>
  <DocSecurity>0</DocSecurity>
  <Lines>165</Lines>
  <Paragraphs>46</Paragraphs>
  <ScaleCrop>false</ScaleCrop>
  <Company/>
  <LinksUpToDate>false</LinksUpToDate>
  <CharactersWithSpaces>23247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738</cp:revision>
  <cp:lastPrinted>2007-07-19T00:46:00Z</cp:lastPrinted>
  <dcterms:created xsi:type="dcterms:W3CDTF">2013-06-22T02:32:00Z</dcterms:created>
  <dcterms:modified xsi:type="dcterms:W3CDTF">2017-03-28T10:11:00Z</dcterms:modified>
</cp:coreProperties>
</file>