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2FA" w:rsidRPr="00D0372D" w:rsidRDefault="007B62FA" w:rsidP="00417F87">
      <w:pPr>
        <w:autoSpaceDE w:val="0"/>
        <w:autoSpaceDN w:val="0"/>
        <w:adjustRightInd w:val="0"/>
        <w:spacing w:line="360" w:lineRule="auto"/>
        <w:jc w:val="left"/>
        <w:rPr>
          <w:rFonts w:ascii="宋体" w:hAnsi="宋体"/>
          <w:color w:val="000000"/>
          <w:kern w:val="0"/>
          <w:szCs w:val="21"/>
        </w:rPr>
      </w:pPr>
    </w:p>
    <w:p w:rsidR="007B62FA" w:rsidRDefault="007B62FA" w:rsidP="00417F87">
      <w:pPr>
        <w:autoSpaceDE w:val="0"/>
        <w:autoSpaceDN w:val="0"/>
        <w:adjustRightInd w:val="0"/>
        <w:spacing w:line="360" w:lineRule="auto"/>
        <w:jc w:val="left"/>
        <w:rPr>
          <w:rFonts w:ascii="宋体" w:hAnsi="宋体"/>
          <w:color w:val="000000"/>
          <w:kern w:val="0"/>
          <w:szCs w:val="21"/>
        </w:rPr>
      </w:pPr>
    </w:p>
    <w:p w:rsidR="00643284" w:rsidRPr="00D0372D" w:rsidRDefault="00643284" w:rsidP="00417F87">
      <w:pPr>
        <w:autoSpaceDE w:val="0"/>
        <w:autoSpaceDN w:val="0"/>
        <w:adjustRightInd w:val="0"/>
        <w:spacing w:line="360" w:lineRule="auto"/>
        <w:jc w:val="left"/>
        <w:rPr>
          <w:rFonts w:ascii="宋体" w:hAnsi="宋体"/>
          <w:color w:val="000000"/>
          <w:kern w:val="0"/>
          <w:szCs w:val="21"/>
        </w:rPr>
      </w:pPr>
    </w:p>
    <w:p w:rsidR="007B62FA" w:rsidRPr="00D0372D" w:rsidRDefault="007B62FA" w:rsidP="00417F87">
      <w:pPr>
        <w:autoSpaceDE w:val="0"/>
        <w:autoSpaceDN w:val="0"/>
        <w:adjustRightInd w:val="0"/>
        <w:spacing w:line="360" w:lineRule="auto"/>
        <w:jc w:val="left"/>
        <w:rPr>
          <w:rFonts w:ascii="宋体" w:hAnsi="宋体"/>
          <w:color w:val="000000"/>
          <w:kern w:val="0"/>
          <w:szCs w:val="21"/>
        </w:rPr>
      </w:pPr>
    </w:p>
    <w:p w:rsidR="007B62FA" w:rsidRPr="00D0372D" w:rsidRDefault="007B62FA" w:rsidP="00417F87">
      <w:pPr>
        <w:autoSpaceDE w:val="0"/>
        <w:autoSpaceDN w:val="0"/>
        <w:adjustRightInd w:val="0"/>
        <w:spacing w:line="360" w:lineRule="auto"/>
        <w:jc w:val="left"/>
        <w:rPr>
          <w:rFonts w:ascii="宋体" w:hAnsi="宋体"/>
          <w:color w:val="000000"/>
          <w:kern w:val="0"/>
          <w:szCs w:val="21"/>
        </w:rPr>
      </w:pPr>
    </w:p>
    <w:p w:rsidR="007B62FA" w:rsidRPr="00643284" w:rsidRDefault="007B62FA" w:rsidP="00643284">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bookmarkStart w:id="5" w:name="_Toc362423980"/>
      <w:r w:rsidRPr="00643284">
        <w:rPr>
          <w:b/>
          <w:sz w:val="36"/>
          <w:szCs w:val="36"/>
        </w:rPr>
        <w:t>交银施罗德全球自然资源证券投资基金</w:t>
      </w:r>
      <w:bookmarkEnd w:id="0"/>
      <w:bookmarkEnd w:id="1"/>
      <w:bookmarkEnd w:id="2"/>
      <w:bookmarkEnd w:id="3"/>
      <w:bookmarkEnd w:id="4"/>
      <w:bookmarkEnd w:id="5"/>
    </w:p>
    <w:p w:rsidR="007B62FA" w:rsidRPr="00643284" w:rsidRDefault="007B62FA" w:rsidP="00643284">
      <w:pPr>
        <w:spacing w:before="29" w:line="288" w:lineRule="auto"/>
        <w:jc w:val="center"/>
        <w:rPr>
          <w:b/>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643284">
        <w:rPr>
          <w:b/>
          <w:sz w:val="36"/>
          <w:szCs w:val="36"/>
        </w:rPr>
        <w:t>2016</w:t>
      </w:r>
      <w:r w:rsidRPr="00643284">
        <w:rPr>
          <w:b/>
          <w:sz w:val="36"/>
          <w:szCs w:val="36"/>
        </w:rPr>
        <w:t>年年度报告</w:t>
      </w:r>
      <w:bookmarkEnd w:id="6"/>
      <w:bookmarkEnd w:id="7"/>
      <w:bookmarkEnd w:id="8"/>
      <w:bookmarkEnd w:id="9"/>
      <w:bookmarkEnd w:id="10"/>
      <w:bookmarkEnd w:id="11"/>
    </w:p>
    <w:p w:rsidR="007B62FA" w:rsidRPr="00643284" w:rsidRDefault="00ED2997" w:rsidP="00643284">
      <w:pPr>
        <w:spacing w:before="29" w:line="288" w:lineRule="auto"/>
        <w:jc w:val="center"/>
        <w:rPr>
          <w:b/>
          <w:sz w:val="36"/>
          <w:szCs w:val="36"/>
        </w:rPr>
      </w:pPr>
      <w:r w:rsidRPr="00643284">
        <w:rPr>
          <w:b/>
          <w:sz w:val="36"/>
          <w:szCs w:val="36"/>
        </w:rPr>
        <w:t>2016</w:t>
      </w:r>
      <w:r w:rsidRPr="00643284">
        <w:rPr>
          <w:b/>
          <w:sz w:val="36"/>
          <w:szCs w:val="36"/>
        </w:rPr>
        <w:t>年</w:t>
      </w:r>
      <w:r w:rsidRPr="00643284">
        <w:rPr>
          <w:b/>
          <w:sz w:val="36"/>
          <w:szCs w:val="36"/>
        </w:rPr>
        <w:t>12</w:t>
      </w:r>
      <w:r w:rsidRPr="00643284">
        <w:rPr>
          <w:b/>
          <w:sz w:val="36"/>
          <w:szCs w:val="36"/>
        </w:rPr>
        <w:t>月</w:t>
      </w:r>
      <w:r w:rsidRPr="00643284">
        <w:rPr>
          <w:b/>
          <w:sz w:val="36"/>
          <w:szCs w:val="36"/>
        </w:rPr>
        <w:t>31</w:t>
      </w:r>
      <w:r w:rsidRPr="00643284">
        <w:rPr>
          <w:b/>
          <w:sz w:val="36"/>
          <w:szCs w:val="36"/>
        </w:rPr>
        <w:t>日</w:t>
      </w: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Default="007B62FA" w:rsidP="00417F87">
      <w:pPr>
        <w:spacing w:line="360" w:lineRule="auto"/>
        <w:rPr>
          <w:rFonts w:ascii="宋体" w:hAnsi="宋体"/>
          <w:b/>
          <w:color w:val="000000"/>
          <w:szCs w:val="21"/>
        </w:rPr>
      </w:pPr>
    </w:p>
    <w:p w:rsidR="00391FFA" w:rsidRDefault="00391FFA" w:rsidP="00417F87">
      <w:pPr>
        <w:spacing w:line="360" w:lineRule="auto"/>
        <w:rPr>
          <w:rFonts w:ascii="宋体" w:hAnsi="宋体"/>
          <w:b/>
          <w:color w:val="000000"/>
          <w:szCs w:val="21"/>
        </w:rPr>
      </w:pPr>
    </w:p>
    <w:p w:rsidR="00391FFA" w:rsidRPr="00D0372D" w:rsidRDefault="00391FFA" w:rsidP="00417F87">
      <w:pPr>
        <w:spacing w:line="360" w:lineRule="auto"/>
        <w:rPr>
          <w:rFonts w:ascii="宋体" w:hAnsi="宋体"/>
          <w:b/>
          <w:color w:val="000000"/>
          <w:szCs w:val="21"/>
        </w:rPr>
      </w:pPr>
    </w:p>
    <w:p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基金管理人：</w:t>
      </w:r>
      <w:r w:rsidRPr="00643284">
        <w:rPr>
          <w:b/>
          <w:color w:val="000000"/>
          <w:sz w:val="24"/>
        </w:rPr>
        <w:t>交银施罗德基金管理有限公司</w:t>
      </w:r>
    </w:p>
    <w:p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基金托管人：</w:t>
      </w:r>
      <w:r w:rsidRPr="00643284">
        <w:rPr>
          <w:b/>
          <w:color w:val="000000"/>
          <w:sz w:val="24"/>
        </w:rPr>
        <w:t>中国建设银行股份有限公司</w:t>
      </w:r>
    </w:p>
    <w:p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报告送出日期：</w:t>
      </w:r>
      <w:r w:rsidRPr="00643284">
        <w:rPr>
          <w:b/>
          <w:color w:val="000000"/>
          <w:sz w:val="24"/>
        </w:rPr>
        <w:t>二〇一七年三月二十九日</w:t>
      </w:r>
    </w:p>
    <w:p w:rsidR="00843355" w:rsidRPr="00D0372D" w:rsidRDefault="00843355" w:rsidP="00417F87">
      <w:pPr>
        <w:spacing w:line="360" w:lineRule="auto"/>
        <w:ind w:left="1680" w:firstLine="420"/>
        <w:jc w:val="left"/>
        <w:rPr>
          <w:rFonts w:ascii="宋体" w:hAnsi="宋体"/>
          <w:b/>
          <w:color w:val="000000"/>
          <w:szCs w:val="21"/>
        </w:rPr>
      </w:pPr>
    </w:p>
    <w:p w:rsidR="00843355" w:rsidRPr="00D0372D" w:rsidRDefault="00843355" w:rsidP="00417F87">
      <w:pPr>
        <w:spacing w:line="360" w:lineRule="auto"/>
        <w:ind w:left="1680" w:firstLine="420"/>
        <w:jc w:val="left"/>
        <w:rPr>
          <w:rFonts w:ascii="宋体" w:hAnsi="宋体"/>
          <w:color w:val="000000"/>
          <w:szCs w:val="21"/>
        </w:rPr>
        <w:sectPr w:rsidR="00843355" w:rsidRPr="00D0372D">
          <w:headerReference w:type="default" r:id="rId8"/>
          <w:pgSz w:w="11926" w:h="15840"/>
          <w:pgMar w:top="1418" w:right="1418" w:bottom="851" w:left="1418" w:header="851" w:footer="992" w:gutter="0"/>
          <w:cols w:space="720"/>
        </w:sectPr>
      </w:pPr>
    </w:p>
    <w:p w:rsidR="007B62FA" w:rsidRDefault="007B62FA" w:rsidP="000C7A13">
      <w:pPr>
        <w:pStyle w:val="1"/>
        <w:keepNext/>
        <w:keepLines/>
        <w:widowControl w:val="0"/>
        <w:spacing w:beforeLines="100" w:before="312" w:afterLines="100" w:after="312" w:line="288" w:lineRule="auto"/>
        <w:jc w:val="center"/>
        <w:rPr>
          <w:b/>
          <w:bCs/>
          <w:szCs w:val="24"/>
          <w:lang w:val="en-US"/>
        </w:rPr>
      </w:pPr>
      <w:bookmarkStart w:id="12" w:name="_Toc225498243"/>
      <w:bookmarkStart w:id="13" w:name="_Toc352255958"/>
      <w:bookmarkStart w:id="14" w:name="_Toc352256026"/>
      <w:bookmarkStart w:id="15" w:name="_Toc352331204"/>
      <w:bookmarkStart w:id="16" w:name="_Toc362423982"/>
      <w:bookmarkStart w:id="17" w:name="_Toc478411373"/>
      <w:r w:rsidRPr="00CF618D">
        <w:rPr>
          <w:rFonts w:hint="eastAsia"/>
          <w:b/>
          <w:bCs/>
          <w:szCs w:val="24"/>
          <w:lang w:val="en-US"/>
        </w:rPr>
        <w:lastRenderedPageBreak/>
        <w:t>§</w:t>
      </w:r>
      <w:r w:rsidRPr="00CF618D">
        <w:rPr>
          <w:b/>
          <w:bCs/>
          <w:szCs w:val="24"/>
          <w:lang w:val="en-US"/>
        </w:rPr>
        <w:t xml:space="preserve">1  </w:t>
      </w:r>
      <w:r w:rsidRPr="00CF618D">
        <w:rPr>
          <w:rFonts w:hint="eastAsia"/>
          <w:b/>
          <w:bCs/>
          <w:szCs w:val="24"/>
          <w:lang w:val="en-US"/>
        </w:rPr>
        <w:t>重要提示及目录</w:t>
      </w:r>
      <w:bookmarkEnd w:id="12"/>
      <w:bookmarkEnd w:id="13"/>
      <w:bookmarkEnd w:id="14"/>
      <w:bookmarkEnd w:id="15"/>
      <w:bookmarkEnd w:id="16"/>
      <w:bookmarkEnd w:id="17"/>
    </w:p>
    <w:p w:rsidR="00FC649E" w:rsidRPr="00FC649E" w:rsidRDefault="00FC649E" w:rsidP="00FC649E"/>
    <w:p w:rsidR="007B62FA" w:rsidRPr="00CF618D" w:rsidRDefault="007B62FA" w:rsidP="00CF618D">
      <w:pPr>
        <w:pStyle w:val="20"/>
        <w:spacing w:before="29" w:after="0" w:line="288" w:lineRule="auto"/>
        <w:rPr>
          <w:rFonts w:ascii="Times New Roman" w:hAnsi="Times New Roman"/>
          <w:kern w:val="0"/>
          <w:szCs w:val="24"/>
        </w:rPr>
      </w:pPr>
      <w:bookmarkStart w:id="18" w:name="_Toc352255959"/>
      <w:bookmarkStart w:id="19" w:name="_Toc352256027"/>
      <w:bookmarkStart w:id="20" w:name="_Toc352331205"/>
      <w:bookmarkStart w:id="21" w:name="_Toc362423983"/>
      <w:bookmarkStart w:id="22" w:name="_Toc478411374"/>
      <w:r w:rsidRPr="00CF618D">
        <w:rPr>
          <w:rFonts w:ascii="Times New Roman" w:hAnsi="Times New Roman"/>
          <w:kern w:val="0"/>
          <w:szCs w:val="24"/>
        </w:rPr>
        <w:t xml:space="preserve">1.1 </w:t>
      </w:r>
      <w:r w:rsidRPr="00CF618D">
        <w:rPr>
          <w:rFonts w:ascii="Times New Roman" w:hAnsi="Times New Roman" w:hint="eastAsia"/>
          <w:kern w:val="0"/>
          <w:szCs w:val="24"/>
        </w:rPr>
        <w:t>重要提示</w:t>
      </w:r>
      <w:bookmarkEnd w:id="18"/>
      <w:bookmarkEnd w:id="19"/>
      <w:bookmarkEnd w:id="20"/>
      <w:bookmarkEnd w:id="21"/>
      <w:bookmarkEnd w:id="22"/>
    </w:p>
    <w:p w:rsidR="00B536C4" w:rsidRDefault="00CC45D2">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B536C4" w:rsidRDefault="00CC45D2">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2017</w:t>
      </w:r>
      <w:r>
        <w:rPr>
          <w:color w:val="000000"/>
          <w:sz w:val="24"/>
        </w:rPr>
        <w:t>年</w:t>
      </w:r>
      <w:r>
        <w:rPr>
          <w:color w:val="000000"/>
          <w:sz w:val="24"/>
        </w:rPr>
        <w:t>3</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B536C4" w:rsidRDefault="00CC45D2">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536C4" w:rsidRDefault="00CC45D2">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7B62FA" w:rsidRPr="00CF618D" w:rsidRDefault="007B62FA" w:rsidP="00CF618D">
      <w:pPr>
        <w:spacing w:before="29" w:line="288" w:lineRule="auto"/>
        <w:ind w:firstLineChars="200" w:firstLine="480"/>
        <w:rPr>
          <w:color w:val="000000"/>
          <w:sz w:val="24"/>
        </w:rPr>
      </w:pPr>
      <w:r w:rsidRPr="00CF618D">
        <w:rPr>
          <w:color w:val="000000"/>
          <w:sz w:val="24"/>
        </w:rPr>
        <w:t>本报告期自</w:t>
      </w:r>
      <w:r w:rsidRPr="00CF618D">
        <w:rPr>
          <w:color w:val="000000"/>
          <w:sz w:val="24"/>
        </w:rPr>
        <w:t>2016</w:t>
      </w:r>
      <w:r w:rsidRPr="00CF618D">
        <w:rPr>
          <w:color w:val="000000"/>
          <w:sz w:val="24"/>
        </w:rPr>
        <w:t>年</w:t>
      </w:r>
      <w:r w:rsidRPr="00CF618D">
        <w:rPr>
          <w:color w:val="000000"/>
          <w:sz w:val="24"/>
        </w:rPr>
        <w:t>1</w:t>
      </w:r>
      <w:r w:rsidRPr="00CF618D">
        <w:rPr>
          <w:color w:val="000000"/>
          <w:sz w:val="24"/>
        </w:rPr>
        <w:t>月</w:t>
      </w:r>
      <w:r w:rsidRPr="00CF618D">
        <w:rPr>
          <w:color w:val="000000"/>
          <w:sz w:val="24"/>
        </w:rPr>
        <w:t>1</w:t>
      </w:r>
      <w:r w:rsidRPr="00CF618D">
        <w:rPr>
          <w:color w:val="000000"/>
          <w:sz w:val="24"/>
        </w:rPr>
        <w:t>日起至</w:t>
      </w:r>
      <w:r w:rsidRPr="00CF618D">
        <w:rPr>
          <w:color w:val="000000"/>
          <w:sz w:val="24"/>
        </w:rPr>
        <w:t>12</w:t>
      </w:r>
      <w:r w:rsidRPr="00CF618D">
        <w:rPr>
          <w:color w:val="000000"/>
          <w:sz w:val="24"/>
        </w:rPr>
        <w:t>月</w:t>
      </w:r>
      <w:r w:rsidRPr="00CF618D">
        <w:rPr>
          <w:color w:val="000000"/>
          <w:sz w:val="24"/>
        </w:rPr>
        <w:t>31</w:t>
      </w:r>
      <w:r w:rsidRPr="00CF618D">
        <w:rPr>
          <w:color w:val="000000"/>
          <w:sz w:val="24"/>
        </w:rPr>
        <w:t>日止。</w:t>
      </w:r>
    </w:p>
    <w:p w:rsidR="0036560F" w:rsidRPr="00D0372D" w:rsidRDefault="007B62FA" w:rsidP="00EB4ED4">
      <w:pPr>
        <w:spacing w:before="29" w:line="288" w:lineRule="auto"/>
        <w:rPr>
          <w:b/>
          <w:color w:val="000000"/>
          <w:szCs w:val="21"/>
        </w:rPr>
      </w:pPr>
      <w:r w:rsidRPr="00D0372D">
        <w:rPr>
          <w:rFonts w:ascii="宋体" w:hAnsi="宋体"/>
          <w:szCs w:val="21"/>
        </w:rPr>
        <w:br w:type="page"/>
      </w:r>
      <w:bookmarkStart w:id="23" w:name="_Toc245193808"/>
      <w:r w:rsidR="0036560F" w:rsidRPr="00EB4ED4">
        <w:rPr>
          <w:b/>
          <w:bCs/>
          <w:kern w:val="0"/>
          <w:sz w:val="24"/>
        </w:rPr>
        <w:lastRenderedPageBreak/>
        <w:t>1.2</w:t>
      </w:r>
      <w:r w:rsidR="0036560F" w:rsidRPr="00EB4ED4">
        <w:rPr>
          <w:rFonts w:hint="eastAsia"/>
          <w:b/>
          <w:bCs/>
          <w:kern w:val="0"/>
          <w:sz w:val="24"/>
        </w:rPr>
        <w:t>目录</w:t>
      </w:r>
      <w:bookmarkEnd w:id="23"/>
    </w:p>
    <w:p w:rsidR="003E5F1F" w:rsidRPr="004A50BE" w:rsidRDefault="003E5F1F" w:rsidP="004A50BE">
      <w:pPr>
        <w:spacing w:line="360" w:lineRule="auto"/>
        <w:ind w:firstLineChars="50" w:firstLine="120"/>
        <w:rPr>
          <w:rFonts w:asciiTheme="minorEastAsia" w:eastAsiaTheme="minorEastAsia" w:hAnsiTheme="minorEastAsia"/>
          <w:b/>
          <w:color w:val="000000"/>
          <w:sz w:val="24"/>
        </w:rPr>
      </w:pPr>
    </w:p>
    <w:p w:rsidR="00CB138F" w:rsidRDefault="00481D02">
      <w:pPr>
        <w:pStyle w:val="11"/>
        <w:rPr>
          <w:rFonts w:asciiTheme="minorHAnsi" w:eastAsiaTheme="minorEastAsia" w:hAnsiTheme="minorHAnsi" w:cstheme="minorBidi"/>
          <w:b w:val="0"/>
          <w:noProof/>
          <w:szCs w:val="22"/>
        </w:rPr>
      </w:pPr>
      <w:r w:rsidRPr="004A50BE">
        <w:rPr>
          <w:color w:val="000000"/>
          <w:kern w:val="0"/>
        </w:rPr>
        <w:fldChar w:fldCharType="begin"/>
      </w:r>
      <w:r w:rsidR="00B70132" w:rsidRPr="004A50BE">
        <w:rPr>
          <w:color w:val="000000"/>
          <w:kern w:val="0"/>
        </w:rPr>
        <w:instrText xml:space="preserve"> TOC \o "1-3" \h \z \u </w:instrText>
      </w:r>
      <w:r w:rsidRPr="004A50BE">
        <w:rPr>
          <w:color w:val="000000"/>
          <w:kern w:val="0"/>
        </w:rPr>
        <w:fldChar w:fldCharType="separate"/>
      </w:r>
      <w:hyperlink w:anchor="_Toc478411373" w:history="1">
        <w:r w:rsidR="00CB138F" w:rsidRPr="0077006E">
          <w:rPr>
            <w:rStyle w:val="a9"/>
            <w:bCs/>
            <w:noProof/>
          </w:rPr>
          <w:t xml:space="preserve">§1  </w:t>
        </w:r>
        <w:r w:rsidR="00CB138F" w:rsidRPr="0077006E">
          <w:rPr>
            <w:rStyle w:val="a9"/>
            <w:rFonts w:hint="eastAsia"/>
            <w:bCs/>
            <w:noProof/>
          </w:rPr>
          <w:t>重要提示及目录</w:t>
        </w:r>
        <w:r w:rsidR="00CB138F">
          <w:rPr>
            <w:noProof/>
            <w:webHidden/>
          </w:rPr>
          <w:tab/>
        </w:r>
        <w:r w:rsidR="00CB138F">
          <w:rPr>
            <w:noProof/>
            <w:webHidden/>
          </w:rPr>
          <w:fldChar w:fldCharType="begin"/>
        </w:r>
        <w:r w:rsidR="00CB138F">
          <w:rPr>
            <w:noProof/>
            <w:webHidden/>
          </w:rPr>
          <w:instrText xml:space="preserve"> PAGEREF _Toc478411373 \h </w:instrText>
        </w:r>
        <w:r w:rsidR="00CB138F">
          <w:rPr>
            <w:noProof/>
            <w:webHidden/>
          </w:rPr>
        </w:r>
        <w:r w:rsidR="00CB138F">
          <w:rPr>
            <w:noProof/>
            <w:webHidden/>
          </w:rPr>
          <w:fldChar w:fldCharType="separate"/>
        </w:r>
        <w:r w:rsidR="00CB138F">
          <w:rPr>
            <w:noProof/>
            <w:webHidden/>
          </w:rPr>
          <w:t>2</w:t>
        </w:r>
        <w:r w:rsidR="00CB138F">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374" w:history="1">
        <w:r w:rsidRPr="0077006E">
          <w:rPr>
            <w:rStyle w:val="a9"/>
            <w:noProof/>
          </w:rPr>
          <w:t xml:space="preserve">1.1 </w:t>
        </w:r>
        <w:r w:rsidRPr="0077006E">
          <w:rPr>
            <w:rStyle w:val="a9"/>
            <w:rFonts w:hint="eastAsia"/>
            <w:noProof/>
          </w:rPr>
          <w:t>重要提示</w:t>
        </w:r>
        <w:r>
          <w:rPr>
            <w:noProof/>
            <w:webHidden/>
          </w:rPr>
          <w:tab/>
        </w:r>
        <w:r>
          <w:rPr>
            <w:noProof/>
            <w:webHidden/>
          </w:rPr>
          <w:fldChar w:fldCharType="begin"/>
        </w:r>
        <w:r>
          <w:rPr>
            <w:noProof/>
            <w:webHidden/>
          </w:rPr>
          <w:instrText xml:space="preserve"> PAGEREF _Toc478411374 \h </w:instrText>
        </w:r>
        <w:r>
          <w:rPr>
            <w:noProof/>
            <w:webHidden/>
          </w:rPr>
        </w:r>
        <w:r>
          <w:rPr>
            <w:noProof/>
            <w:webHidden/>
          </w:rPr>
          <w:fldChar w:fldCharType="separate"/>
        </w:r>
        <w:r>
          <w:rPr>
            <w:noProof/>
            <w:webHidden/>
          </w:rPr>
          <w:t>2</w:t>
        </w:r>
        <w:r>
          <w:rPr>
            <w:noProof/>
            <w:webHidden/>
          </w:rPr>
          <w:fldChar w:fldCharType="end"/>
        </w:r>
      </w:hyperlink>
    </w:p>
    <w:p w:rsidR="00CB138F" w:rsidRDefault="00CB138F">
      <w:pPr>
        <w:pStyle w:val="11"/>
        <w:rPr>
          <w:rFonts w:asciiTheme="minorHAnsi" w:eastAsiaTheme="minorEastAsia" w:hAnsiTheme="minorHAnsi" w:cstheme="minorBidi"/>
          <w:b w:val="0"/>
          <w:noProof/>
          <w:szCs w:val="22"/>
        </w:rPr>
      </w:pPr>
      <w:hyperlink w:anchor="_Toc478411375" w:history="1">
        <w:r w:rsidRPr="0077006E">
          <w:rPr>
            <w:rStyle w:val="a9"/>
            <w:bCs/>
            <w:noProof/>
          </w:rPr>
          <w:t xml:space="preserve">§2  </w:t>
        </w:r>
        <w:r w:rsidRPr="0077006E">
          <w:rPr>
            <w:rStyle w:val="a9"/>
            <w:rFonts w:hint="eastAsia"/>
            <w:bCs/>
            <w:noProof/>
          </w:rPr>
          <w:t>基金简介</w:t>
        </w:r>
        <w:r>
          <w:rPr>
            <w:noProof/>
            <w:webHidden/>
          </w:rPr>
          <w:tab/>
        </w:r>
        <w:r>
          <w:rPr>
            <w:noProof/>
            <w:webHidden/>
          </w:rPr>
          <w:fldChar w:fldCharType="begin"/>
        </w:r>
        <w:r>
          <w:rPr>
            <w:noProof/>
            <w:webHidden/>
          </w:rPr>
          <w:instrText xml:space="preserve"> PAGEREF _Toc478411375 \h </w:instrText>
        </w:r>
        <w:r>
          <w:rPr>
            <w:noProof/>
            <w:webHidden/>
          </w:rPr>
        </w:r>
        <w:r>
          <w:rPr>
            <w:noProof/>
            <w:webHidden/>
          </w:rPr>
          <w:fldChar w:fldCharType="separate"/>
        </w:r>
        <w:r>
          <w:rPr>
            <w:noProof/>
            <w:webHidden/>
          </w:rPr>
          <w:t>6</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376" w:history="1">
        <w:r w:rsidRPr="0077006E">
          <w:rPr>
            <w:rStyle w:val="a9"/>
            <w:noProof/>
          </w:rPr>
          <w:t xml:space="preserve">2.1 </w:t>
        </w:r>
        <w:r w:rsidRPr="0077006E">
          <w:rPr>
            <w:rStyle w:val="a9"/>
            <w:rFonts w:hint="eastAsia"/>
            <w:noProof/>
          </w:rPr>
          <w:t>基金基本情况</w:t>
        </w:r>
        <w:r>
          <w:rPr>
            <w:noProof/>
            <w:webHidden/>
          </w:rPr>
          <w:tab/>
        </w:r>
        <w:r>
          <w:rPr>
            <w:noProof/>
            <w:webHidden/>
          </w:rPr>
          <w:fldChar w:fldCharType="begin"/>
        </w:r>
        <w:r>
          <w:rPr>
            <w:noProof/>
            <w:webHidden/>
          </w:rPr>
          <w:instrText xml:space="preserve"> PAGEREF _Toc478411376 \h </w:instrText>
        </w:r>
        <w:r>
          <w:rPr>
            <w:noProof/>
            <w:webHidden/>
          </w:rPr>
        </w:r>
        <w:r>
          <w:rPr>
            <w:noProof/>
            <w:webHidden/>
          </w:rPr>
          <w:fldChar w:fldCharType="separate"/>
        </w:r>
        <w:r>
          <w:rPr>
            <w:noProof/>
            <w:webHidden/>
          </w:rPr>
          <w:t>6</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377" w:history="1">
        <w:r w:rsidRPr="0077006E">
          <w:rPr>
            <w:rStyle w:val="a9"/>
            <w:noProof/>
          </w:rPr>
          <w:t xml:space="preserve">2.2 </w:t>
        </w:r>
        <w:r w:rsidRPr="0077006E">
          <w:rPr>
            <w:rStyle w:val="a9"/>
            <w:rFonts w:hint="eastAsia"/>
            <w:noProof/>
          </w:rPr>
          <w:t>基金产品说明</w:t>
        </w:r>
        <w:r>
          <w:rPr>
            <w:noProof/>
            <w:webHidden/>
          </w:rPr>
          <w:tab/>
        </w:r>
        <w:r>
          <w:rPr>
            <w:noProof/>
            <w:webHidden/>
          </w:rPr>
          <w:fldChar w:fldCharType="begin"/>
        </w:r>
        <w:r>
          <w:rPr>
            <w:noProof/>
            <w:webHidden/>
          </w:rPr>
          <w:instrText xml:space="preserve"> PAGEREF _Toc478411377 \h </w:instrText>
        </w:r>
        <w:r>
          <w:rPr>
            <w:noProof/>
            <w:webHidden/>
          </w:rPr>
        </w:r>
        <w:r>
          <w:rPr>
            <w:noProof/>
            <w:webHidden/>
          </w:rPr>
          <w:fldChar w:fldCharType="separate"/>
        </w:r>
        <w:r>
          <w:rPr>
            <w:noProof/>
            <w:webHidden/>
          </w:rPr>
          <w:t>6</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378" w:history="1">
        <w:r w:rsidRPr="0077006E">
          <w:rPr>
            <w:rStyle w:val="a9"/>
            <w:noProof/>
          </w:rPr>
          <w:t xml:space="preserve">2.3 </w:t>
        </w:r>
        <w:r w:rsidRPr="0077006E">
          <w:rPr>
            <w:rStyle w:val="a9"/>
            <w:rFonts w:hint="eastAsia"/>
            <w:noProof/>
          </w:rPr>
          <w:t>基金管理人和基金托管人</w:t>
        </w:r>
        <w:r>
          <w:rPr>
            <w:noProof/>
            <w:webHidden/>
          </w:rPr>
          <w:tab/>
        </w:r>
        <w:r>
          <w:rPr>
            <w:noProof/>
            <w:webHidden/>
          </w:rPr>
          <w:fldChar w:fldCharType="begin"/>
        </w:r>
        <w:r>
          <w:rPr>
            <w:noProof/>
            <w:webHidden/>
          </w:rPr>
          <w:instrText xml:space="preserve"> PAGEREF _Toc478411378 \h </w:instrText>
        </w:r>
        <w:r>
          <w:rPr>
            <w:noProof/>
            <w:webHidden/>
          </w:rPr>
        </w:r>
        <w:r>
          <w:rPr>
            <w:noProof/>
            <w:webHidden/>
          </w:rPr>
          <w:fldChar w:fldCharType="separate"/>
        </w:r>
        <w:r>
          <w:rPr>
            <w:noProof/>
            <w:webHidden/>
          </w:rPr>
          <w:t>7</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379" w:history="1">
        <w:r w:rsidRPr="0077006E">
          <w:rPr>
            <w:rStyle w:val="a9"/>
            <w:noProof/>
          </w:rPr>
          <w:t xml:space="preserve">2.4 </w:t>
        </w:r>
        <w:r w:rsidRPr="0077006E">
          <w:rPr>
            <w:rStyle w:val="a9"/>
            <w:rFonts w:hint="eastAsia"/>
            <w:noProof/>
          </w:rPr>
          <w:t>境外投资顾问和境外资产托管人</w:t>
        </w:r>
        <w:r>
          <w:rPr>
            <w:noProof/>
            <w:webHidden/>
          </w:rPr>
          <w:tab/>
        </w:r>
        <w:r>
          <w:rPr>
            <w:noProof/>
            <w:webHidden/>
          </w:rPr>
          <w:fldChar w:fldCharType="begin"/>
        </w:r>
        <w:r>
          <w:rPr>
            <w:noProof/>
            <w:webHidden/>
          </w:rPr>
          <w:instrText xml:space="preserve"> PAGEREF _Toc478411379 \h </w:instrText>
        </w:r>
        <w:r>
          <w:rPr>
            <w:noProof/>
            <w:webHidden/>
          </w:rPr>
        </w:r>
        <w:r>
          <w:rPr>
            <w:noProof/>
            <w:webHidden/>
          </w:rPr>
          <w:fldChar w:fldCharType="separate"/>
        </w:r>
        <w:r>
          <w:rPr>
            <w:noProof/>
            <w:webHidden/>
          </w:rPr>
          <w:t>7</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380" w:history="1">
        <w:r w:rsidRPr="0077006E">
          <w:rPr>
            <w:rStyle w:val="a9"/>
            <w:noProof/>
          </w:rPr>
          <w:t xml:space="preserve">2.5 </w:t>
        </w:r>
        <w:r w:rsidRPr="0077006E">
          <w:rPr>
            <w:rStyle w:val="a9"/>
            <w:rFonts w:hint="eastAsia"/>
            <w:noProof/>
          </w:rPr>
          <w:t>信息披露方式</w:t>
        </w:r>
        <w:r>
          <w:rPr>
            <w:noProof/>
            <w:webHidden/>
          </w:rPr>
          <w:tab/>
        </w:r>
        <w:r>
          <w:rPr>
            <w:noProof/>
            <w:webHidden/>
          </w:rPr>
          <w:fldChar w:fldCharType="begin"/>
        </w:r>
        <w:r>
          <w:rPr>
            <w:noProof/>
            <w:webHidden/>
          </w:rPr>
          <w:instrText xml:space="preserve"> PAGEREF _Toc478411380 \h </w:instrText>
        </w:r>
        <w:r>
          <w:rPr>
            <w:noProof/>
            <w:webHidden/>
          </w:rPr>
        </w:r>
        <w:r>
          <w:rPr>
            <w:noProof/>
            <w:webHidden/>
          </w:rPr>
          <w:fldChar w:fldCharType="separate"/>
        </w:r>
        <w:r>
          <w:rPr>
            <w:noProof/>
            <w:webHidden/>
          </w:rPr>
          <w:t>7</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381" w:history="1">
        <w:r w:rsidRPr="0077006E">
          <w:rPr>
            <w:rStyle w:val="a9"/>
            <w:noProof/>
          </w:rPr>
          <w:t xml:space="preserve">2.6 </w:t>
        </w:r>
        <w:r w:rsidRPr="0077006E">
          <w:rPr>
            <w:rStyle w:val="a9"/>
            <w:rFonts w:hint="eastAsia"/>
            <w:noProof/>
          </w:rPr>
          <w:t>其他相关资料</w:t>
        </w:r>
        <w:r>
          <w:rPr>
            <w:noProof/>
            <w:webHidden/>
          </w:rPr>
          <w:tab/>
        </w:r>
        <w:r>
          <w:rPr>
            <w:noProof/>
            <w:webHidden/>
          </w:rPr>
          <w:fldChar w:fldCharType="begin"/>
        </w:r>
        <w:r>
          <w:rPr>
            <w:noProof/>
            <w:webHidden/>
          </w:rPr>
          <w:instrText xml:space="preserve"> PAGEREF _Toc478411381 \h </w:instrText>
        </w:r>
        <w:r>
          <w:rPr>
            <w:noProof/>
            <w:webHidden/>
          </w:rPr>
        </w:r>
        <w:r>
          <w:rPr>
            <w:noProof/>
            <w:webHidden/>
          </w:rPr>
          <w:fldChar w:fldCharType="separate"/>
        </w:r>
        <w:r>
          <w:rPr>
            <w:noProof/>
            <w:webHidden/>
          </w:rPr>
          <w:t>8</w:t>
        </w:r>
        <w:r>
          <w:rPr>
            <w:noProof/>
            <w:webHidden/>
          </w:rPr>
          <w:fldChar w:fldCharType="end"/>
        </w:r>
      </w:hyperlink>
    </w:p>
    <w:p w:rsidR="00CB138F" w:rsidRDefault="00CB138F">
      <w:pPr>
        <w:pStyle w:val="11"/>
        <w:rPr>
          <w:rFonts w:asciiTheme="minorHAnsi" w:eastAsiaTheme="minorEastAsia" w:hAnsiTheme="minorHAnsi" w:cstheme="minorBidi"/>
          <w:b w:val="0"/>
          <w:noProof/>
          <w:szCs w:val="22"/>
        </w:rPr>
      </w:pPr>
      <w:r w:rsidRPr="0077006E">
        <w:rPr>
          <w:rStyle w:val="a9"/>
          <w:noProof/>
        </w:rPr>
        <w:fldChar w:fldCharType="begin"/>
      </w:r>
      <w:r w:rsidRPr="0077006E">
        <w:rPr>
          <w:rStyle w:val="a9"/>
          <w:noProof/>
        </w:rPr>
        <w:instrText xml:space="preserve"> </w:instrText>
      </w:r>
      <w:r>
        <w:rPr>
          <w:noProof/>
        </w:rPr>
        <w:instrText>HYPERLINK \l "_Toc478411382"</w:instrText>
      </w:r>
      <w:r w:rsidRPr="0077006E">
        <w:rPr>
          <w:rStyle w:val="a9"/>
          <w:noProof/>
        </w:rPr>
        <w:instrText xml:space="preserve"> </w:instrText>
      </w:r>
      <w:r w:rsidRPr="0077006E">
        <w:rPr>
          <w:rStyle w:val="a9"/>
          <w:noProof/>
        </w:rPr>
      </w:r>
      <w:r w:rsidRPr="0077006E">
        <w:rPr>
          <w:rStyle w:val="a9"/>
          <w:noProof/>
        </w:rPr>
        <w:fldChar w:fldCharType="separate"/>
      </w:r>
      <w:r w:rsidRPr="0077006E">
        <w:rPr>
          <w:rStyle w:val="a9"/>
          <w:bCs/>
          <w:noProof/>
        </w:rPr>
        <w:t>§3</w:t>
      </w:r>
      <w:r>
        <w:rPr>
          <w:rFonts w:asciiTheme="minorHAnsi" w:eastAsiaTheme="minorEastAsia" w:hAnsiTheme="minorHAnsi" w:cstheme="minorBidi"/>
          <w:b w:val="0"/>
          <w:noProof/>
          <w:szCs w:val="22"/>
        </w:rPr>
        <w:tab/>
      </w:r>
      <w:bookmarkStart w:id="24" w:name="_GoBack"/>
      <w:bookmarkEnd w:id="24"/>
      <w:r w:rsidRPr="0077006E">
        <w:rPr>
          <w:rStyle w:val="a9"/>
          <w:rFonts w:hint="eastAsia"/>
          <w:bCs/>
          <w:noProof/>
        </w:rPr>
        <w:t>主要财务指标、基金净值表现及利润分配情况</w:t>
      </w:r>
      <w:r>
        <w:rPr>
          <w:noProof/>
          <w:webHidden/>
        </w:rPr>
        <w:tab/>
      </w:r>
      <w:r>
        <w:rPr>
          <w:noProof/>
          <w:webHidden/>
        </w:rPr>
        <w:fldChar w:fldCharType="begin"/>
      </w:r>
      <w:r>
        <w:rPr>
          <w:noProof/>
          <w:webHidden/>
        </w:rPr>
        <w:instrText xml:space="preserve"> PAGEREF _Toc478411382 \h </w:instrText>
      </w:r>
      <w:r>
        <w:rPr>
          <w:noProof/>
          <w:webHidden/>
        </w:rPr>
      </w:r>
      <w:r>
        <w:rPr>
          <w:noProof/>
          <w:webHidden/>
        </w:rPr>
        <w:fldChar w:fldCharType="separate"/>
      </w:r>
      <w:r>
        <w:rPr>
          <w:noProof/>
          <w:webHidden/>
        </w:rPr>
        <w:t>8</w:t>
      </w:r>
      <w:r>
        <w:rPr>
          <w:noProof/>
          <w:webHidden/>
        </w:rPr>
        <w:fldChar w:fldCharType="end"/>
      </w:r>
      <w:r w:rsidRPr="0077006E">
        <w:rPr>
          <w:rStyle w:val="a9"/>
          <w:noProof/>
        </w:rPr>
        <w:fldChar w:fldCharType="end"/>
      </w:r>
    </w:p>
    <w:p w:rsidR="00CB138F" w:rsidRDefault="00CB138F">
      <w:pPr>
        <w:pStyle w:val="22"/>
        <w:rPr>
          <w:rFonts w:asciiTheme="minorHAnsi" w:eastAsiaTheme="minorEastAsia" w:hAnsiTheme="minorHAnsi" w:cstheme="minorBidi"/>
          <w:noProof/>
          <w:kern w:val="2"/>
          <w:szCs w:val="22"/>
        </w:rPr>
      </w:pPr>
      <w:hyperlink w:anchor="_Toc478411383" w:history="1">
        <w:r w:rsidRPr="0077006E">
          <w:rPr>
            <w:rStyle w:val="a9"/>
            <w:noProof/>
          </w:rPr>
          <w:t xml:space="preserve">3.1 </w:t>
        </w:r>
        <w:r w:rsidRPr="0077006E">
          <w:rPr>
            <w:rStyle w:val="a9"/>
            <w:rFonts w:hint="eastAsia"/>
            <w:noProof/>
          </w:rPr>
          <w:t>主要会计数据和财务指标</w:t>
        </w:r>
        <w:r>
          <w:rPr>
            <w:noProof/>
            <w:webHidden/>
          </w:rPr>
          <w:tab/>
        </w:r>
        <w:r>
          <w:rPr>
            <w:noProof/>
            <w:webHidden/>
          </w:rPr>
          <w:fldChar w:fldCharType="begin"/>
        </w:r>
        <w:r>
          <w:rPr>
            <w:noProof/>
            <w:webHidden/>
          </w:rPr>
          <w:instrText xml:space="preserve"> PAGEREF _Toc478411383 \h </w:instrText>
        </w:r>
        <w:r>
          <w:rPr>
            <w:noProof/>
            <w:webHidden/>
          </w:rPr>
        </w:r>
        <w:r>
          <w:rPr>
            <w:noProof/>
            <w:webHidden/>
          </w:rPr>
          <w:fldChar w:fldCharType="separate"/>
        </w:r>
        <w:r>
          <w:rPr>
            <w:noProof/>
            <w:webHidden/>
          </w:rPr>
          <w:t>8</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384" w:history="1">
        <w:r w:rsidRPr="0077006E">
          <w:rPr>
            <w:rStyle w:val="a9"/>
            <w:noProof/>
          </w:rPr>
          <w:t xml:space="preserve">3.2 </w:t>
        </w:r>
        <w:r w:rsidRPr="0077006E">
          <w:rPr>
            <w:rStyle w:val="a9"/>
            <w:rFonts w:hint="eastAsia"/>
            <w:noProof/>
          </w:rPr>
          <w:t>基金净值表现</w:t>
        </w:r>
        <w:r>
          <w:rPr>
            <w:noProof/>
            <w:webHidden/>
          </w:rPr>
          <w:tab/>
        </w:r>
        <w:r>
          <w:rPr>
            <w:noProof/>
            <w:webHidden/>
          </w:rPr>
          <w:fldChar w:fldCharType="begin"/>
        </w:r>
        <w:r>
          <w:rPr>
            <w:noProof/>
            <w:webHidden/>
          </w:rPr>
          <w:instrText xml:space="preserve"> PAGEREF _Toc478411384 \h </w:instrText>
        </w:r>
        <w:r>
          <w:rPr>
            <w:noProof/>
            <w:webHidden/>
          </w:rPr>
        </w:r>
        <w:r>
          <w:rPr>
            <w:noProof/>
            <w:webHidden/>
          </w:rPr>
          <w:fldChar w:fldCharType="separate"/>
        </w:r>
        <w:r>
          <w:rPr>
            <w:noProof/>
            <w:webHidden/>
          </w:rPr>
          <w:t>9</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385" w:history="1">
        <w:r w:rsidRPr="0077006E">
          <w:rPr>
            <w:rStyle w:val="a9"/>
            <w:noProof/>
          </w:rPr>
          <w:t xml:space="preserve">3.3 </w:t>
        </w:r>
        <w:r w:rsidRPr="0077006E">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_Toc478411385 \h </w:instrText>
        </w:r>
        <w:r>
          <w:rPr>
            <w:noProof/>
            <w:webHidden/>
          </w:rPr>
        </w:r>
        <w:r>
          <w:rPr>
            <w:noProof/>
            <w:webHidden/>
          </w:rPr>
          <w:fldChar w:fldCharType="separate"/>
        </w:r>
        <w:r>
          <w:rPr>
            <w:noProof/>
            <w:webHidden/>
          </w:rPr>
          <w:t>10</w:t>
        </w:r>
        <w:r>
          <w:rPr>
            <w:noProof/>
            <w:webHidden/>
          </w:rPr>
          <w:fldChar w:fldCharType="end"/>
        </w:r>
      </w:hyperlink>
    </w:p>
    <w:p w:rsidR="00CB138F" w:rsidRDefault="00CB138F">
      <w:pPr>
        <w:pStyle w:val="11"/>
        <w:rPr>
          <w:rFonts w:asciiTheme="minorHAnsi" w:eastAsiaTheme="minorEastAsia" w:hAnsiTheme="minorHAnsi" w:cstheme="minorBidi"/>
          <w:b w:val="0"/>
          <w:noProof/>
          <w:szCs w:val="22"/>
        </w:rPr>
      </w:pPr>
      <w:hyperlink w:anchor="_Toc478411386" w:history="1">
        <w:r w:rsidRPr="0077006E">
          <w:rPr>
            <w:rStyle w:val="a9"/>
            <w:bCs/>
            <w:noProof/>
          </w:rPr>
          <w:t xml:space="preserve">§4  </w:t>
        </w:r>
        <w:r w:rsidRPr="0077006E">
          <w:rPr>
            <w:rStyle w:val="a9"/>
            <w:rFonts w:hint="eastAsia"/>
            <w:bCs/>
            <w:noProof/>
          </w:rPr>
          <w:t>管理人报告</w:t>
        </w:r>
        <w:r>
          <w:rPr>
            <w:noProof/>
            <w:webHidden/>
          </w:rPr>
          <w:tab/>
        </w:r>
        <w:r>
          <w:rPr>
            <w:noProof/>
            <w:webHidden/>
          </w:rPr>
          <w:fldChar w:fldCharType="begin"/>
        </w:r>
        <w:r>
          <w:rPr>
            <w:noProof/>
            <w:webHidden/>
          </w:rPr>
          <w:instrText xml:space="preserve"> PAGEREF _Toc478411386 \h </w:instrText>
        </w:r>
        <w:r>
          <w:rPr>
            <w:noProof/>
            <w:webHidden/>
          </w:rPr>
        </w:r>
        <w:r>
          <w:rPr>
            <w:noProof/>
            <w:webHidden/>
          </w:rPr>
          <w:fldChar w:fldCharType="separate"/>
        </w:r>
        <w:r>
          <w:rPr>
            <w:noProof/>
            <w:webHidden/>
          </w:rPr>
          <w:t>10</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387" w:history="1">
        <w:r w:rsidRPr="0077006E">
          <w:rPr>
            <w:rStyle w:val="a9"/>
            <w:noProof/>
          </w:rPr>
          <w:t xml:space="preserve">4.1 </w:t>
        </w:r>
        <w:r w:rsidRPr="0077006E">
          <w:rPr>
            <w:rStyle w:val="a9"/>
            <w:rFonts w:hint="eastAsia"/>
            <w:noProof/>
          </w:rPr>
          <w:t>基金管理人及基金经理情况</w:t>
        </w:r>
        <w:r>
          <w:rPr>
            <w:noProof/>
            <w:webHidden/>
          </w:rPr>
          <w:tab/>
        </w:r>
        <w:r>
          <w:rPr>
            <w:noProof/>
            <w:webHidden/>
          </w:rPr>
          <w:fldChar w:fldCharType="begin"/>
        </w:r>
        <w:r>
          <w:rPr>
            <w:noProof/>
            <w:webHidden/>
          </w:rPr>
          <w:instrText xml:space="preserve"> PAGEREF _Toc478411387 \h </w:instrText>
        </w:r>
        <w:r>
          <w:rPr>
            <w:noProof/>
            <w:webHidden/>
          </w:rPr>
        </w:r>
        <w:r>
          <w:rPr>
            <w:noProof/>
            <w:webHidden/>
          </w:rPr>
          <w:fldChar w:fldCharType="separate"/>
        </w:r>
        <w:r>
          <w:rPr>
            <w:noProof/>
            <w:webHidden/>
          </w:rPr>
          <w:t>10</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388" w:history="1">
        <w:r w:rsidRPr="0077006E">
          <w:rPr>
            <w:rStyle w:val="a9"/>
            <w:noProof/>
          </w:rPr>
          <w:t xml:space="preserve">4.1.1 </w:t>
        </w:r>
        <w:r w:rsidRPr="0077006E">
          <w:rPr>
            <w:rStyle w:val="a9"/>
            <w:rFonts w:hint="eastAsia"/>
            <w:noProof/>
          </w:rPr>
          <w:t>基金管理人及其管理基金的经验</w:t>
        </w:r>
        <w:r>
          <w:rPr>
            <w:noProof/>
            <w:webHidden/>
          </w:rPr>
          <w:tab/>
        </w:r>
        <w:r>
          <w:rPr>
            <w:noProof/>
            <w:webHidden/>
          </w:rPr>
          <w:fldChar w:fldCharType="begin"/>
        </w:r>
        <w:r>
          <w:rPr>
            <w:noProof/>
            <w:webHidden/>
          </w:rPr>
          <w:instrText xml:space="preserve"> PAGEREF _Toc478411388 \h </w:instrText>
        </w:r>
        <w:r>
          <w:rPr>
            <w:noProof/>
            <w:webHidden/>
          </w:rPr>
        </w:r>
        <w:r>
          <w:rPr>
            <w:noProof/>
            <w:webHidden/>
          </w:rPr>
          <w:fldChar w:fldCharType="separate"/>
        </w:r>
        <w:r>
          <w:rPr>
            <w:noProof/>
            <w:webHidden/>
          </w:rPr>
          <w:t>10</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389" w:history="1">
        <w:r w:rsidRPr="0077006E">
          <w:rPr>
            <w:rStyle w:val="a9"/>
            <w:noProof/>
          </w:rPr>
          <w:t xml:space="preserve">4.2 </w:t>
        </w:r>
        <w:r w:rsidRPr="0077006E">
          <w:rPr>
            <w:rStyle w:val="a9"/>
            <w:rFonts w:hint="eastAsia"/>
            <w:noProof/>
          </w:rPr>
          <w:t>境外投资顾问为本基金提供投资建议的主要成员简介</w:t>
        </w:r>
        <w:r>
          <w:rPr>
            <w:noProof/>
            <w:webHidden/>
          </w:rPr>
          <w:tab/>
        </w:r>
        <w:r>
          <w:rPr>
            <w:noProof/>
            <w:webHidden/>
          </w:rPr>
          <w:fldChar w:fldCharType="begin"/>
        </w:r>
        <w:r>
          <w:rPr>
            <w:noProof/>
            <w:webHidden/>
          </w:rPr>
          <w:instrText xml:space="preserve"> PAGEREF _Toc478411389 \h </w:instrText>
        </w:r>
        <w:r>
          <w:rPr>
            <w:noProof/>
            <w:webHidden/>
          </w:rPr>
        </w:r>
        <w:r>
          <w:rPr>
            <w:noProof/>
            <w:webHidden/>
          </w:rPr>
          <w:fldChar w:fldCharType="separate"/>
        </w:r>
        <w:r>
          <w:rPr>
            <w:noProof/>
            <w:webHidden/>
          </w:rPr>
          <w:t>12</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390" w:history="1">
        <w:r w:rsidRPr="0077006E">
          <w:rPr>
            <w:rStyle w:val="a9"/>
            <w:noProof/>
          </w:rPr>
          <w:t xml:space="preserve">4.3 </w:t>
        </w:r>
        <w:r w:rsidRPr="0077006E">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_Toc478411390 \h </w:instrText>
        </w:r>
        <w:r>
          <w:rPr>
            <w:noProof/>
            <w:webHidden/>
          </w:rPr>
        </w:r>
        <w:r>
          <w:rPr>
            <w:noProof/>
            <w:webHidden/>
          </w:rPr>
          <w:fldChar w:fldCharType="separate"/>
        </w:r>
        <w:r>
          <w:rPr>
            <w:noProof/>
            <w:webHidden/>
          </w:rPr>
          <w:t>12</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391" w:history="1">
        <w:r w:rsidRPr="0077006E">
          <w:rPr>
            <w:rStyle w:val="a9"/>
            <w:noProof/>
          </w:rPr>
          <w:t xml:space="preserve">4.4 </w:t>
        </w:r>
        <w:r w:rsidRPr="0077006E">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_Toc478411391 \h </w:instrText>
        </w:r>
        <w:r>
          <w:rPr>
            <w:noProof/>
            <w:webHidden/>
          </w:rPr>
        </w:r>
        <w:r>
          <w:rPr>
            <w:noProof/>
            <w:webHidden/>
          </w:rPr>
          <w:fldChar w:fldCharType="separate"/>
        </w:r>
        <w:r>
          <w:rPr>
            <w:noProof/>
            <w:webHidden/>
          </w:rPr>
          <w:t>13</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395" w:history="1">
        <w:r w:rsidRPr="0077006E">
          <w:rPr>
            <w:rStyle w:val="a9"/>
            <w:noProof/>
          </w:rPr>
          <w:t xml:space="preserve">4.5 </w:t>
        </w:r>
        <w:r w:rsidRPr="0077006E">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_Toc478411395 \h </w:instrText>
        </w:r>
        <w:r>
          <w:rPr>
            <w:noProof/>
            <w:webHidden/>
          </w:rPr>
        </w:r>
        <w:r>
          <w:rPr>
            <w:noProof/>
            <w:webHidden/>
          </w:rPr>
          <w:fldChar w:fldCharType="separate"/>
        </w:r>
        <w:r>
          <w:rPr>
            <w:noProof/>
            <w:webHidden/>
          </w:rPr>
          <w:t>14</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398" w:history="1">
        <w:r w:rsidRPr="0077006E">
          <w:rPr>
            <w:rStyle w:val="a9"/>
            <w:noProof/>
          </w:rPr>
          <w:t xml:space="preserve">4.6 </w:t>
        </w:r>
        <w:r w:rsidRPr="0077006E">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_Toc478411398 \h </w:instrText>
        </w:r>
        <w:r>
          <w:rPr>
            <w:noProof/>
            <w:webHidden/>
          </w:rPr>
        </w:r>
        <w:r>
          <w:rPr>
            <w:noProof/>
            <w:webHidden/>
          </w:rPr>
          <w:fldChar w:fldCharType="separate"/>
        </w:r>
        <w:r>
          <w:rPr>
            <w:noProof/>
            <w:webHidden/>
          </w:rPr>
          <w:t>14</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399" w:history="1">
        <w:r w:rsidRPr="0077006E">
          <w:rPr>
            <w:rStyle w:val="a9"/>
            <w:noProof/>
          </w:rPr>
          <w:t xml:space="preserve">4.7 </w:t>
        </w:r>
        <w:r w:rsidRPr="0077006E">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_Toc478411399 \h </w:instrText>
        </w:r>
        <w:r>
          <w:rPr>
            <w:noProof/>
            <w:webHidden/>
          </w:rPr>
        </w:r>
        <w:r>
          <w:rPr>
            <w:noProof/>
            <w:webHidden/>
          </w:rPr>
          <w:fldChar w:fldCharType="separate"/>
        </w:r>
        <w:r>
          <w:rPr>
            <w:noProof/>
            <w:webHidden/>
          </w:rPr>
          <w:t>14</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00" w:history="1">
        <w:r w:rsidRPr="0077006E">
          <w:rPr>
            <w:rStyle w:val="a9"/>
            <w:noProof/>
          </w:rPr>
          <w:t xml:space="preserve">4.8 </w:t>
        </w:r>
        <w:r w:rsidRPr="0077006E">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_Toc478411400 \h </w:instrText>
        </w:r>
        <w:r>
          <w:rPr>
            <w:noProof/>
            <w:webHidden/>
          </w:rPr>
        </w:r>
        <w:r>
          <w:rPr>
            <w:noProof/>
            <w:webHidden/>
          </w:rPr>
          <w:fldChar w:fldCharType="separate"/>
        </w:r>
        <w:r>
          <w:rPr>
            <w:noProof/>
            <w:webHidden/>
          </w:rPr>
          <w:t>15</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01" w:history="1">
        <w:r w:rsidRPr="0077006E">
          <w:rPr>
            <w:rStyle w:val="a9"/>
            <w:noProof/>
          </w:rPr>
          <w:t xml:space="preserve">4.9 </w:t>
        </w:r>
        <w:r w:rsidRPr="0077006E">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_Toc478411401 \h </w:instrText>
        </w:r>
        <w:r>
          <w:rPr>
            <w:noProof/>
            <w:webHidden/>
          </w:rPr>
        </w:r>
        <w:r>
          <w:rPr>
            <w:noProof/>
            <w:webHidden/>
          </w:rPr>
          <w:fldChar w:fldCharType="separate"/>
        </w:r>
        <w:r>
          <w:rPr>
            <w:noProof/>
            <w:webHidden/>
          </w:rPr>
          <w:t>15</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02" w:history="1">
        <w:r w:rsidRPr="0077006E">
          <w:rPr>
            <w:rStyle w:val="a9"/>
            <w:noProof/>
          </w:rPr>
          <w:t xml:space="preserve">4.10 </w:t>
        </w:r>
        <w:r w:rsidRPr="0077006E">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_Toc478411402 \h </w:instrText>
        </w:r>
        <w:r>
          <w:rPr>
            <w:noProof/>
            <w:webHidden/>
          </w:rPr>
        </w:r>
        <w:r>
          <w:rPr>
            <w:noProof/>
            <w:webHidden/>
          </w:rPr>
          <w:fldChar w:fldCharType="separate"/>
        </w:r>
        <w:r>
          <w:rPr>
            <w:noProof/>
            <w:webHidden/>
          </w:rPr>
          <w:t>15</w:t>
        </w:r>
        <w:r>
          <w:rPr>
            <w:noProof/>
            <w:webHidden/>
          </w:rPr>
          <w:fldChar w:fldCharType="end"/>
        </w:r>
      </w:hyperlink>
    </w:p>
    <w:p w:rsidR="00CB138F" w:rsidRDefault="00CB138F">
      <w:pPr>
        <w:pStyle w:val="11"/>
        <w:rPr>
          <w:rFonts w:asciiTheme="minorHAnsi" w:eastAsiaTheme="minorEastAsia" w:hAnsiTheme="minorHAnsi" w:cstheme="minorBidi"/>
          <w:b w:val="0"/>
          <w:noProof/>
          <w:szCs w:val="22"/>
        </w:rPr>
      </w:pPr>
      <w:hyperlink w:anchor="_Toc478411403" w:history="1">
        <w:r w:rsidRPr="0077006E">
          <w:rPr>
            <w:rStyle w:val="a9"/>
            <w:bCs/>
            <w:noProof/>
          </w:rPr>
          <w:t xml:space="preserve">§5  </w:t>
        </w:r>
        <w:r w:rsidRPr="0077006E">
          <w:rPr>
            <w:rStyle w:val="a9"/>
            <w:rFonts w:hint="eastAsia"/>
            <w:bCs/>
            <w:noProof/>
          </w:rPr>
          <w:t>托管人报告</w:t>
        </w:r>
        <w:r>
          <w:rPr>
            <w:noProof/>
            <w:webHidden/>
          </w:rPr>
          <w:tab/>
        </w:r>
        <w:r>
          <w:rPr>
            <w:noProof/>
            <w:webHidden/>
          </w:rPr>
          <w:fldChar w:fldCharType="begin"/>
        </w:r>
        <w:r>
          <w:rPr>
            <w:noProof/>
            <w:webHidden/>
          </w:rPr>
          <w:instrText xml:space="preserve"> PAGEREF _Toc478411403 \h </w:instrText>
        </w:r>
        <w:r>
          <w:rPr>
            <w:noProof/>
            <w:webHidden/>
          </w:rPr>
        </w:r>
        <w:r>
          <w:rPr>
            <w:noProof/>
            <w:webHidden/>
          </w:rPr>
          <w:fldChar w:fldCharType="separate"/>
        </w:r>
        <w:r>
          <w:rPr>
            <w:noProof/>
            <w:webHidden/>
          </w:rPr>
          <w:t>16</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04" w:history="1">
        <w:r w:rsidRPr="0077006E">
          <w:rPr>
            <w:rStyle w:val="a9"/>
            <w:noProof/>
          </w:rPr>
          <w:t xml:space="preserve">5.1 </w:t>
        </w:r>
        <w:r w:rsidRPr="0077006E">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_Toc478411404 \h </w:instrText>
        </w:r>
        <w:r>
          <w:rPr>
            <w:noProof/>
            <w:webHidden/>
          </w:rPr>
        </w:r>
        <w:r>
          <w:rPr>
            <w:noProof/>
            <w:webHidden/>
          </w:rPr>
          <w:fldChar w:fldCharType="separate"/>
        </w:r>
        <w:r>
          <w:rPr>
            <w:noProof/>
            <w:webHidden/>
          </w:rPr>
          <w:t>16</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05" w:history="1">
        <w:r w:rsidRPr="0077006E">
          <w:rPr>
            <w:rStyle w:val="a9"/>
            <w:noProof/>
          </w:rPr>
          <w:t xml:space="preserve">5.2 </w:t>
        </w:r>
        <w:r w:rsidRPr="0077006E">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_Toc478411405 \h </w:instrText>
        </w:r>
        <w:r>
          <w:rPr>
            <w:noProof/>
            <w:webHidden/>
          </w:rPr>
        </w:r>
        <w:r>
          <w:rPr>
            <w:noProof/>
            <w:webHidden/>
          </w:rPr>
          <w:fldChar w:fldCharType="separate"/>
        </w:r>
        <w:r>
          <w:rPr>
            <w:noProof/>
            <w:webHidden/>
          </w:rPr>
          <w:t>16</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06" w:history="1">
        <w:r w:rsidRPr="0077006E">
          <w:rPr>
            <w:rStyle w:val="a9"/>
            <w:noProof/>
          </w:rPr>
          <w:t xml:space="preserve">5.3 </w:t>
        </w:r>
        <w:r w:rsidRPr="0077006E">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_Toc478411406 \h </w:instrText>
        </w:r>
        <w:r>
          <w:rPr>
            <w:noProof/>
            <w:webHidden/>
          </w:rPr>
        </w:r>
        <w:r>
          <w:rPr>
            <w:noProof/>
            <w:webHidden/>
          </w:rPr>
          <w:fldChar w:fldCharType="separate"/>
        </w:r>
        <w:r>
          <w:rPr>
            <w:noProof/>
            <w:webHidden/>
          </w:rPr>
          <w:t>16</w:t>
        </w:r>
        <w:r>
          <w:rPr>
            <w:noProof/>
            <w:webHidden/>
          </w:rPr>
          <w:fldChar w:fldCharType="end"/>
        </w:r>
      </w:hyperlink>
    </w:p>
    <w:p w:rsidR="00CB138F" w:rsidRDefault="00CB138F">
      <w:pPr>
        <w:pStyle w:val="11"/>
        <w:rPr>
          <w:rFonts w:asciiTheme="minorHAnsi" w:eastAsiaTheme="minorEastAsia" w:hAnsiTheme="minorHAnsi" w:cstheme="minorBidi"/>
          <w:b w:val="0"/>
          <w:noProof/>
          <w:szCs w:val="22"/>
        </w:rPr>
      </w:pPr>
      <w:hyperlink w:anchor="_Toc478411407" w:history="1">
        <w:r w:rsidRPr="0077006E">
          <w:rPr>
            <w:rStyle w:val="a9"/>
            <w:bCs/>
            <w:noProof/>
          </w:rPr>
          <w:t xml:space="preserve">§6  </w:t>
        </w:r>
        <w:r w:rsidRPr="0077006E">
          <w:rPr>
            <w:rStyle w:val="a9"/>
            <w:rFonts w:hint="eastAsia"/>
            <w:bCs/>
            <w:noProof/>
          </w:rPr>
          <w:t>审计报告</w:t>
        </w:r>
        <w:r>
          <w:rPr>
            <w:noProof/>
            <w:webHidden/>
          </w:rPr>
          <w:tab/>
        </w:r>
        <w:r>
          <w:rPr>
            <w:noProof/>
            <w:webHidden/>
          </w:rPr>
          <w:fldChar w:fldCharType="begin"/>
        </w:r>
        <w:r>
          <w:rPr>
            <w:noProof/>
            <w:webHidden/>
          </w:rPr>
          <w:instrText xml:space="preserve"> PAGEREF _Toc478411407 \h </w:instrText>
        </w:r>
        <w:r>
          <w:rPr>
            <w:noProof/>
            <w:webHidden/>
          </w:rPr>
        </w:r>
        <w:r>
          <w:rPr>
            <w:noProof/>
            <w:webHidden/>
          </w:rPr>
          <w:fldChar w:fldCharType="separate"/>
        </w:r>
        <w:r>
          <w:rPr>
            <w:noProof/>
            <w:webHidden/>
          </w:rPr>
          <w:t>16</w:t>
        </w:r>
        <w:r>
          <w:rPr>
            <w:noProof/>
            <w:webHidden/>
          </w:rPr>
          <w:fldChar w:fldCharType="end"/>
        </w:r>
      </w:hyperlink>
    </w:p>
    <w:p w:rsidR="00CB138F" w:rsidRDefault="00CB138F">
      <w:pPr>
        <w:pStyle w:val="11"/>
        <w:rPr>
          <w:rFonts w:asciiTheme="minorHAnsi" w:eastAsiaTheme="minorEastAsia" w:hAnsiTheme="minorHAnsi" w:cstheme="minorBidi"/>
          <w:b w:val="0"/>
          <w:noProof/>
          <w:szCs w:val="22"/>
        </w:rPr>
      </w:pPr>
      <w:hyperlink w:anchor="_Toc478411411" w:history="1">
        <w:r w:rsidRPr="0077006E">
          <w:rPr>
            <w:rStyle w:val="a9"/>
            <w:bCs/>
            <w:noProof/>
          </w:rPr>
          <w:t xml:space="preserve">§7  </w:t>
        </w:r>
        <w:r w:rsidRPr="0077006E">
          <w:rPr>
            <w:rStyle w:val="a9"/>
            <w:rFonts w:hint="eastAsia"/>
            <w:bCs/>
            <w:noProof/>
          </w:rPr>
          <w:t>年度财务报表</w:t>
        </w:r>
        <w:r>
          <w:rPr>
            <w:noProof/>
            <w:webHidden/>
          </w:rPr>
          <w:tab/>
        </w:r>
        <w:r>
          <w:rPr>
            <w:noProof/>
            <w:webHidden/>
          </w:rPr>
          <w:fldChar w:fldCharType="begin"/>
        </w:r>
        <w:r>
          <w:rPr>
            <w:noProof/>
            <w:webHidden/>
          </w:rPr>
          <w:instrText xml:space="preserve"> PAGEREF _Toc478411411 \h </w:instrText>
        </w:r>
        <w:r>
          <w:rPr>
            <w:noProof/>
            <w:webHidden/>
          </w:rPr>
        </w:r>
        <w:r>
          <w:rPr>
            <w:noProof/>
            <w:webHidden/>
          </w:rPr>
          <w:fldChar w:fldCharType="separate"/>
        </w:r>
        <w:r>
          <w:rPr>
            <w:noProof/>
            <w:webHidden/>
          </w:rPr>
          <w:t>17</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12" w:history="1">
        <w:r w:rsidRPr="0077006E">
          <w:rPr>
            <w:rStyle w:val="a9"/>
            <w:noProof/>
          </w:rPr>
          <w:t xml:space="preserve">7.1 </w:t>
        </w:r>
        <w:r w:rsidRPr="0077006E">
          <w:rPr>
            <w:rStyle w:val="a9"/>
            <w:rFonts w:hint="eastAsia"/>
            <w:noProof/>
          </w:rPr>
          <w:t>资产负债表</w:t>
        </w:r>
        <w:r>
          <w:rPr>
            <w:noProof/>
            <w:webHidden/>
          </w:rPr>
          <w:tab/>
        </w:r>
        <w:r>
          <w:rPr>
            <w:noProof/>
            <w:webHidden/>
          </w:rPr>
          <w:fldChar w:fldCharType="begin"/>
        </w:r>
        <w:r>
          <w:rPr>
            <w:noProof/>
            <w:webHidden/>
          </w:rPr>
          <w:instrText xml:space="preserve"> PAGEREF _Toc478411412 \h </w:instrText>
        </w:r>
        <w:r>
          <w:rPr>
            <w:noProof/>
            <w:webHidden/>
          </w:rPr>
        </w:r>
        <w:r>
          <w:rPr>
            <w:noProof/>
            <w:webHidden/>
          </w:rPr>
          <w:fldChar w:fldCharType="separate"/>
        </w:r>
        <w:r>
          <w:rPr>
            <w:noProof/>
            <w:webHidden/>
          </w:rPr>
          <w:t>17</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13" w:history="1">
        <w:r w:rsidRPr="0077006E">
          <w:rPr>
            <w:rStyle w:val="a9"/>
            <w:noProof/>
          </w:rPr>
          <w:t xml:space="preserve">7.2 </w:t>
        </w:r>
        <w:r w:rsidRPr="0077006E">
          <w:rPr>
            <w:rStyle w:val="a9"/>
            <w:rFonts w:hint="eastAsia"/>
            <w:noProof/>
          </w:rPr>
          <w:t>利润表</w:t>
        </w:r>
        <w:r>
          <w:rPr>
            <w:noProof/>
            <w:webHidden/>
          </w:rPr>
          <w:tab/>
        </w:r>
        <w:r>
          <w:rPr>
            <w:noProof/>
            <w:webHidden/>
          </w:rPr>
          <w:fldChar w:fldCharType="begin"/>
        </w:r>
        <w:r>
          <w:rPr>
            <w:noProof/>
            <w:webHidden/>
          </w:rPr>
          <w:instrText xml:space="preserve"> PAGEREF _Toc478411413 \h </w:instrText>
        </w:r>
        <w:r>
          <w:rPr>
            <w:noProof/>
            <w:webHidden/>
          </w:rPr>
        </w:r>
        <w:r>
          <w:rPr>
            <w:noProof/>
            <w:webHidden/>
          </w:rPr>
          <w:fldChar w:fldCharType="separate"/>
        </w:r>
        <w:r>
          <w:rPr>
            <w:noProof/>
            <w:webHidden/>
          </w:rPr>
          <w:t>19</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14" w:history="1">
        <w:r w:rsidRPr="0077006E">
          <w:rPr>
            <w:rStyle w:val="a9"/>
            <w:noProof/>
          </w:rPr>
          <w:t xml:space="preserve">7.3 </w:t>
        </w:r>
        <w:r w:rsidRPr="0077006E">
          <w:rPr>
            <w:rStyle w:val="a9"/>
            <w:rFonts w:hint="eastAsia"/>
            <w:noProof/>
          </w:rPr>
          <w:t>所有者权益（基金净值）变动表</w:t>
        </w:r>
        <w:r>
          <w:rPr>
            <w:noProof/>
            <w:webHidden/>
          </w:rPr>
          <w:tab/>
        </w:r>
        <w:r>
          <w:rPr>
            <w:noProof/>
            <w:webHidden/>
          </w:rPr>
          <w:fldChar w:fldCharType="begin"/>
        </w:r>
        <w:r>
          <w:rPr>
            <w:noProof/>
            <w:webHidden/>
          </w:rPr>
          <w:instrText xml:space="preserve"> PAGEREF _Toc478411414 \h </w:instrText>
        </w:r>
        <w:r>
          <w:rPr>
            <w:noProof/>
            <w:webHidden/>
          </w:rPr>
        </w:r>
        <w:r>
          <w:rPr>
            <w:noProof/>
            <w:webHidden/>
          </w:rPr>
          <w:fldChar w:fldCharType="separate"/>
        </w:r>
        <w:r>
          <w:rPr>
            <w:noProof/>
            <w:webHidden/>
          </w:rPr>
          <w:t>20</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15" w:history="1">
        <w:r w:rsidRPr="0077006E">
          <w:rPr>
            <w:rStyle w:val="a9"/>
            <w:noProof/>
          </w:rPr>
          <w:t xml:space="preserve">7.4 </w:t>
        </w:r>
        <w:r w:rsidRPr="0077006E">
          <w:rPr>
            <w:rStyle w:val="a9"/>
            <w:rFonts w:hint="eastAsia"/>
            <w:noProof/>
          </w:rPr>
          <w:t>报表附注</w:t>
        </w:r>
        <w:r>
          <w:rPr>
            <w:noProof/>
            <w:webHidden/>
          </w:rPr>
          <w:tab/>
        </w:r>
        <w:r>
          <w:rPr>
            <w:noProof/>
            <w:webHidden/>
          </w:rPr>
          <w:fldChar w:fldCharType="begin"/>
        </w:r>
        <w:r>
          <w:rPr>
            <w:noProof/>
            <w:webHidden/>
          </w:rPr>
          <w:instrText xml:space="preserve"> PAGEREF _Toc478411415 \h </w:instrText>
        </w:r>
        <w:r>
          <w:rPr>
            <w:noProof/>
            <w:webHidden/>
          </w:rPr>
        </w:r>
        <w:r>
          <w:rPr>
            <w:noProof/>
            <w:webHidden/>
          </w:rPr>
          <w:fldChar w:fldCharType="separate"/>
        </w:r>
        <w:r>
          <w:rPr>
            <w:noProof/>
            <w:webHidden/>
          </w:rPr>
          <w:t>21</w:t>
        </w:r>
        <w:r>
          <w:rPr>
            <w:noProof/>
            <w:webHidden/>
          </w:rPr>
          <w:fldChar w:fldCharType="end"/>
        </w:r>
      </w:hyperlink>
    </w:p>
    <w:p w:rsidR="00CB138F" w:rsidRDefault="00CB138F">
      <w:pPr>
        <w:pStyle w:val="11"/>
        <w:rPr>
          <w:rFonts w:asciiTheme="minorHAnsi" w:eastAsiaTheme="minorEastAsia" w:hAnsiTheme="minorHAnsi" w:cstheme="minorBidi"/>
          <w:b w:val="0"/>
          <w:noProof/>
          <w:szCs w:val="22"/>
        </w:rPr>
      </w:pPr>
      <w:hyperlink w:anchor="_Toc478411441" w:history="1">
        <w:r w:rsidRPr="0077006E">
          <w:rPr>
            <w:rStyle w:val="a9"/>
            <w:bCs/>
            <w:noProof/>
          </w:rPr>
          <w:t xml:space="preserve">§8  </w:t>
        </w:r>
        <w:r w:rsidRPr="0077006E">
          <w:rPr>
            <w:rStyle w:val="a9"/>
            <w:rFonts w:hint="eastAsia"/>
            <w:bCs/>
            <w:noProof/>
          </w:rPr>
          <w:t>投资组合报告</w:t>
        </w:r>
        <w:r>
          <w:rPr>
            <w:noProof/>
            <w:webHidden/>
          </w:rPr>
          <w:tab/>
        </w:r>
        <w:r>
          <w:rPr>
            <w:noProof/>
            <w:webHidden/>
          </w:rPr>
          <w:fldChar w:fldCharType="begin"/>
        </w:r>
        <w:r>
          <w:rPr>
            <w:noProof/>
            <w:webHidden/>
          </w:rPr>
          <w:instrText xml:space="preserve"> PAGEREF _Toc478411441 \h </w:instrText>
        </w:r>
        <w:r>
          <w:rPr>
            <w:noProof/>
            <w:webHidden/>
          </w:rPr>
        </w:r>
        <w:r>
          <w:rPr>
            <w:noProof/>
            <w:webHidden/>
          </w:rPr>
          <w:fldChar w:fldCharType="separate"/>
        </w:r>
        <w:r>
          <w:rPr>
            <w:noProof/>
            <w:webHidden/>
          </w:rPr>
          <w:t>42</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42" w:history="1">
        <w:r w:rsidRPr="0077006E">
          <w:rPr>
            <w:rStyle w:val="a9"/>
            <w:noProof/>
          </w:rPr>
          <w:t xml:space="preserve">8.1 </w:t>
        </w:r>
        <w:r w:rsidRPr="0077006E">
          <w:rPr>
            <w:rStyle w:val="a9"/>
            <w:rFonts w:hint="eastAsia"/>
            <w:noProof/>
          </w:rPr>
          <w:t>期末基金资产组合情况</w:t>
        </w:r>
        <w:r>
          <w:rPr>
            <w:noProof/>
            <w:webHidden/>
          </w:rPr>
          <w:tab/>
        </w:r>
        <w:r>
          <w:rPr>
            <w:noProof/>
            <w:webHidden/>
          </w:rPr>
          <w:fldChar w:fldCharType="begin"/>
        </w:r>
        <w:r>
          <w:rPr>
            <w:noProof/>
            <w:webHidden/>
          </w:rPr>
          <w:instrText xml:space="preserve"> PAGEREF _Toc478411442 \h </w:instrText>
        </w:r>
        <w:r>
          <w:rPr>
            <w:noProof/>
            <w:webHidden/>
          </w:rPr>
        </w:r>
        <w:r>
          <w:rPr>
            <w:noProof/>
            <w:webHidden/>
          </w:rPr>
          <w:fldChar w:fldCharType="separate"/>
        </w:r>
        <w:r>
          <w:rPr>
            <w:noProof/>
            <w:webHidden/>
          </w:rPr>
          <w:t>42</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43" w:history="1">
        <w:r w:rsidRPr="0077006E">
          <w:rPr>
            <w:rStyle w:val="a9"/>
            <w:noProof/>
          </w:rPr>
          <w:t xml:space="preserve">8.2 </w:t>
        </w:r>
        <w:r w:rsidRPr="0077006E">
          <w:rPr>
            <w:rStyle w:val="a9"/>
            <w:rFonts w:hint="eastAsia"/>
            <w:noProof/>
          </w:rPr>
          <w:t>期末在各个国家（地区）证券市场的权益投资分布</w:t>
        </w:r>
        <w:r>
          <w:rPr>
            <w:noProof/>
            <w:webHidden/>
          </w:rPr>
          <w:tab/>
        </w:r>
        <w:r>
          <w:rPr>
            <w:noProof/>
            <w:webHidden/>
          </w:rPr>
          <w:fldChar w:fldCharType="begin"/>
        </w:r>
        <w:r>
          <w:rPr>
            <w:noProof/>
            <w:webHidden/>
          </w:rPr>
          <w:instrText xml:space="preserve"> PAGEREF _Toc478411443 \h </w:instrText>
        </w:r>
        <w:r>
          <w:rPr>
            <w:noProof/>
            <w:webHidden/>
          </w:rPr>
        </w:r>
        <w:r>
          <w:rPr>
            <w:noProof/>
            <w:webHidden/>
          </w:rPr>
          <w:fldChar w:fldCharType="separate"/>
        </w:r>
        <w:r>
          <w:rPr>
            <w:noProof/>
            <w:webHidden/>
          </w:rPr>
          <w:t>43</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44" w:history="1">
        <w:r w:rsidRPr="0077006E">
          <w:rPr>
            <w:rStyle w:val="a9"/>
            <w:noProof/>
          </w:rPr>
          <w:t xml:space="preserve">8.3 </w:t>
        </w:r>
        <w:r w:rsidRPr="0077006E">
          <w:rPr>
            <w:rStyle w:val="a9"/>
            <w:rFonts w:hint="eastAsia"/>
            <w:noProof/>
          </w:rPr>
          <w:t>期末按行业分类的权益投资组合</w:t>
        </w:r>
        <w:r>
          <w:rPr>
            <w:noProof/>
            <w:webHidden/>
          </w:rPr>
          <w:tab/>
        </w:r>
        <w:r>
          <w:rPr>
            <w:noProof/>
            <w:webHidden/>
          </w:rPr>
          <w:fldChar w:fldCharType="begin"/>
        </w:r>
        <w:r>
          <w:rPr>
            <w:noProof/>
            <w:webHidden/>
          </w:rPr>
          <w:instrText xml:space="preserve"> PAGEREF _Toc478411444 \h </w:instrText>
        </w:r>
        <w:r>
          <w:rPr>
            <w:noProof/>
            <w:webHidden/>
          </w:rPr>
        </w:r>
        <w:r>
          <w:rPr>
            <w:noProof/>
            <w:webHidden/>
          </w:rPr>
          <w:fldChar w:fldCharType="separate"/>
        </w:r>
        <w:r>
          <w:rPr>
            <w:noProof/>
            <w:webHidden/>
          </w:rPr>
          <w:t>43</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45" w:history="1">
        <w:r w:rsidRPr="0077006E">
          <w:rPr>
            <w:rStyle w:val="a9"/>
            <w:noProof/>
          </w:rPr>
          <w:t xml:space="preserve">8.4 </w:t>
        </w:r>
        <w:r w:rsidRPr="0077006E">
          <w:rPr>
            <w:rStyle w:val="a9"/>
            <w:rFonts w:hint="eastAsia"/>
            <w:noProof/>
          </w:rPr>
          <w:t>期末按公允价值占基金资产净值比例大小排序的所有权益投资明细</w:t>
        </w:r>
        <w:r>
          <w:rPr>
            <w:noProof/>
            <w:webHidden/>
          </w:rPr>
          <w:tab/>
        </w:r>
        <w:r>
          <w:rPr>
            <w:noProof/>
            <w:webHidden/>
          </w:rPr>
          <w:fldChar w:fldCharType="begin"/>
        </w:r>
        <w:r>
          <w:rPr>
            <w:noProof/>
            <w:webHidden/>
          </w:rPr>
          <w:instrText xml:space="preserve"> PAGEREF _Toc478411445 \h </w:instrText>
        </w:r>
        <w:r>
          <w:rPr>
            <w:noProof/>
            <w:webHidden/>
          </w:rPr>
        </w:r>
        <w:r>
          <w:rPr>
            <w:noProof/>
            <w:webHidden/>
          </w:rPr>
          <w:fldChar w:fldCharType="separate"/>
        </w:r>
        <w:r>
          <w:rPr>
            <w:noProof/>
            <w:webHidden/>
          </w:rPr>
          <w:t>44</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46" w:history="1">
        <w:r w:rsidRPr="0077006E">
          <w:rPr>
            <w:rStyle w:val="a9"/>
            <w:noProof/>
          </w:rPr>
          <w:t xml:space="preserve">8.5 </w:t>
        </w:r>
        <w:r w:rsidRPr="0077006E">
          <w:rPr>
            <w:rStyle w:val="a9"/>
            <w:rFonts w:hint="eastAsia"/>
            <w:noProof/>
          </w:rPr>
          <w:t>报告期内权益投资组合的重大变动</w:t>
        </w:r>
        <w:r>
          <w:rPr>
            <w:noProof/>
            <w:webHidden/>
          </w:rPr>
          <w:tab/>
        </w:r>
        <w:r>
          <w:rPr>
            <w:noProof/>
            <w:webHidden/>
          </w:rPr>
          <w:fldChar w:fldCharType="begin"/>
        </w:r>
        <w:r>
          <w:rPr>
            <w:noProof/>
            <w:webHidden/>
          </w:rPr>
          <w:instrText xml:space="preserve"> PAGEREF _Toc478411446 \h </w:instrText>
        </w:r>
        <w:r>
          <w:rPr>
            <w:noProof/>
            <w:webHidden/>
          </w:rPr>
        </w:r>
        <w:r>
          <w:rPr>
            <w:noProof/>
            <w:webHidden/>
          </w:rPr>
          <w:fldChar w:fldCharType="separate"/>
        </w:r>
        <w:r>
          <w:rPr>
            <w:noProof/>
            <w:webHidden/>
          </w:rPr>
          <w:t>48</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48" w:history="1">
        <w:r w:rsidRPr="0077006E">
          <w:rPr>
            <w:rStyle w:val="a9"/>
            <w:noProof/>
          </w:rPr>
          <w:t xml:space="preserve">8.6 </w:t>
        </w:r>
        <w:r w:rsidRPr="0077006E">
          <w:rPr>
            <w:rStyle w:val="a9"/>
            <w:rFonts w:hint="eastAsia"/>
            <w:noProof/>
          </w:rPr>
          <w:t>期末按债券信用等级分类的债券投资组合</w:t>
        </w:r>
        <w:r>
          <w:rPr>
            <w:noProof/>
            <w:webHidden/>
          </w:rPr>
          <w:tab/>
        </w:r>
        <w:r>
          <w:rPr>
            <w:noProof/>
            <w:webHidden/>
          </w:rPr>
          <w:fldChar w:fldCharType="begin"/>
        </w:r>
        <w:r>
          <w:rPr>
            <w:noProof/>
            <w:webHidden/>
          </w:rPr>
          <w:instrText xml:space="preserve"> PAGEREF _Toc478411448 \h </w:instrText>
        </w:r>
        <w:r>
          <w:rPr>
            <w:noProof/>
            <w:webHidden/>
          </w:rPr>
        </w:r>
        <w:r>
          <w:rPr>
            <w:noProof/>
            <w:webHidden/>
          </w:rPr>
          <w:fldChar w:fldCharType="separate"/>
        </w:r>
        <w:r>
          <w:rPr>
            <w:noProof/>
            <w:webHidden/>
          </w:rPr>
          <w:t>51</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49" w:history="1">
        <w:r w:rsidRPr="0077006E">
          <w:rPr>
            <w:rStyle w:val="a9"/>
            <w:noProof/>
          </w:rPr>
          <w:t>8.7</w:t>
        </w:r>
        <w:r w:rsidRPr="0077006E">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_Toc478411449 \h </w:instrText>
        </w:r>
        <w:r>
          <w:rPr>
            <w:noProof/>
            <w:webHidden/>
          </w:rPr>
        </w:r>
        <w:r>
          <w:rPr>
            <w:noProof/>
            <w:webHidden/>
          </w:rPr>
          <w:fldChar w:fldCharType="separate"/>
        </w:r>
        <w:r>
          <w:rPr>
            <w:noProof/>
            <w:webHidden/>
          </w:rPr>
          <w:t>51</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50" w:history="1">
        <w:r w:rsidRPr="0077006E">
          <w:rPr>
            <w:rStyle w:val="a9"/>
            <w:noProof/>
          </w:rPr>
          <w:t xml:space="preserve">8.8 </w:t>
        </w:r>
        <w:r w:rsidRPr="0077006E">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_Toc478411450 \h </w:instrText>
        </w:r>
        <w:r>
          <w:rPr>
            <w:noProof/>
            <w:webHidden/>
          </w:rPr>
        </w:r>
        <w:r>
          <w:rPr>
            <w:noProof/>
            <w:webHidden/>
          </w:rPr>
          <w:fldChar w:fldCharType="separate"/>
        </w:r>
        <w:r>
          <w:rPr>
            <w:noProof/>
            <w:webHidden/>
          </w:rPr>
          <w:t>51</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51" w:history="1">
        <w:r w:rsidRPr="0077006E">
          <w:rPr>
            <w:rStyle w:val="a9"/>
            <w:noProof/>
          </w:rPr>
          <w:t xml:space="preserve">8.9 </w:t>
        </w:r>
        <w:r w:rsidRPr="0077006E">
          <w:rPr>
            <w:rStyle w:val="a9"/>
            <w:rFonts w:hint="eastAsia"/>
            <w:noProof/>
          </w:rPr>
          <w:t>期末按公允价值占基金资产净值比例大小排序的前五名金融衍生品投资明细</w:t>
        </w:r>
        <w:r>
          <w:rPr>
            <w:noProof/>
            <w:webHidden/>
          </w:rPr>
          <w:tab/>
        </w:r>
        <w:r>
          <w:rPr>
            <w:noProof/>
            <w:webHidden/>
          </w:rPr>
          <w:fldChar w:fldCharType="begin"/>
        </w:r>
        <w:r>
          <w:rPr>
            <w:noProof/>
            <w:webHidden/>
          </w:rPr>
          <w:instrText xml:space="preserve"> PAGEREF _Toc478411451 \h </w:instrText>
        </w:r>
        <w:r>
          <w:rPr>
            <w:noProof/>
            <w:webHidden/>
          </w:rPr>
        </w:r>
        <w:r>
          <w:rPr>
            <w:noProof/>
            <w:webHidden/>
          </w:rPr>
          <w:fldChar w:fldCharType="separate"/>
        </w:r>
        <w:r>
          <w:rPr>
            <w:noProof/>
            <w:webHidden/>
          </w:rPr>
          <w:t>51</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52" w:history="1">
        <w:r w:rsidRPr="0077006E">
          <w:rPr>
            <w:rStyle w:val="a9"/>
            <w:noProof/>
          </w:rPr>
          <w:t xml:space="preserve">8.10 </w:t>
        </w:r>
        <w:r w:rsidRPr="0077006E">
          <w:rPr>
            <w:rStyle w:val="a9"/>
            <w:rFonts w:hint="eastAsia"/>
            <w:noProof/>
          </w:rPr>
          <w:t>期末按公允价值占基金资产净值比例大小排序的前十名基金投资明细</w:t>
        </w:r>
        <w:r>
          <w:rPr>
            <w:noProof/>
            <w:webHidden/>
          </w:rPr>
          <w:tab/>
        </w:r>
        <w:r>
          <w:rPr>
            <w:noProof/>
            <w:webHidden/>
          </w:rPr>
          <w:fldChar w:fldCharType="begin"/>
        </w:r>
        <w:r>
          <w:rPr>
            <w:noProof/>
            <w:webHidden/>
          </w:rPr>
          <w:instrText xml:space="preserve"> PAGEREF _Toc478411452 \h </w:instrText>
        </w:r>
        <w:r>
          <w:rPr>
            <w:noProof/>
            <w:webHidden/>
          </w:rPr>
        </w:r>
        <w:r>
          <w:rPr>
            <w:noProof/>
            <w:webHidden/>
          </w:rPr>
          <w:fldChar w:fldCharType="separate"/>
        </w:r>
        <w:r>
          <w:rPr>
            <w:noProof/>
            <w:webHidden/>
          </w:rPr>
          <w:t>51</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53" w:history="1">
        <w:r w:rsidRPr="0077006E">
          <w:rPr>
            <w:rStyle w:val="a9"/>
            <w:noProof/>
          </w:rPr>
          <w:t xml:space="preserve">8.11 </w:t>
        </w:r>
        <w:r w:rsidRPr="0077006E">
          <w:rPr>
            <w:rStyle w:val="a9"/>
            <w:rFonts w:hint="eastAsia"/>
            <w:noProof/>
          </w:rPr>
          <w:t>投资组合报告附注</w:t>
        </w:r>
        <w:r>
          <w:rPr>
            <w:noProof/>
            <w:webHidden/>
          </w:rPr>
          <w:tab/>
        </w:r>
        <w:r>
          <w:rPr>
            <w:noProof/>
            <w:webHidden/>
          </w:rPr>
          <w:fldChar w:fldCharType="begin"/>
        </w:r>
        <w:r>
          <w:rPr>
            <w:noProof/>
            <w:webHidden/>
          </w:rPr>
          <w:instrText xml:space="preserve"> PAGEREF _Toc478411453 \h </w:instrText>
        </w:r>
        <w:r>
          <w:rPr>
            <w:noProof/>
            <w:webHidden/>
          </w:rPr>
        </w:r>
        <w:r>
          <w:rPr>
            <w:noProof/>
            <w:webHidden/>
          </w:rPr>
          <w:fldChar w:fldCharType="separate"/>
        </w:r>
        <w:r>
          <w:rPr>
            <w:noProof/>
            <w:webHidden/>
          </w:rPr>
          <w:t>51</w:t>
        </w:r>
        <w:r>
          <w:rPr>
            <w:noProof/>
            <w:webHidden/>
          </w:rPr>
          <w:fldChar w:fldCharType="end"/>
        </w:r>
      </w:hyperlink>
    </w:p>
    <w:p w:rsidR="00CB138F" w:rsidRDefault="00CB138F">
      <w:pPr>
        <w:pStyle w:val="11"/>
        <w:rPr>
          <w:rFonts w:asciiTheme="minorHAnsi" w:eastAsiaTheme="minorEastAsia" w:hAnsiTheme="minorHAnsi" w:cstheme="minorBidi"/>
          <w:b w:val="0"/>
          <w:noProof/>
          <w:szCs w:val="22"/>
        </w:rPr>
      </w:pPr>
      <w:hyperlink w:anchor="_Toc478411458" w:history="1">
        <w:r w:rsidRPr="0077006E">
          <w:rPr>
            <w:rStyle w:val="a9"/>
            <w:bCs/>
            <w:noProof/>
          </w:rPr>
          <w:t xml:space="preserve">§9  </w:t>
        </w:r>
        <w:r w:rsidRPr="0077006E">
          <w:rPr>
            <w:rStyle w:val="a9"/>
            <w:rFonts w:hint="eastAsia"/>
            <w:bCs/>
            <w:noProof/>
          </w:rPr>
          <w:t>基金份额持有人信息</w:t>
        </w:r>
        <w:r>
          <w:rPr>
            <w:noProof/>
            <w:webHidden/>
          </w:rPr>
          <w:tab/>
        </w:r>
        <w:r>
          <w:rPr>
            <w:noProof/>
            <w:webHidden/>
          </w:rPr>
          <w:fldChar w:fldCharType="begin"/>
        </w:r>
        <w:r>
          <w:rPr>
            <w:noProof/>
            <w:webHidden/>
          </w:rPr>
          <w:instrText xml:space="preserve"> PAGEREF _Toc478411458 \h </w:instrText>
        </w:r>
        <w:r>
          <w:rPr>
            <w:noProof/>
            <w:webHidden/>
          </w:rPr>
        </w:r>
        <w:r>
          <w:rPr>
            <w:noProof/>
            <w:webHidden/>
          </w:rPr>
          <w:fldChar w:fldCharType="separate"/>
        </w:r>
        <w:r>
          <w:rPr>
            <w:noProof/>
            <w:webHidden/>
          </w:rPr>
          <w:t>52</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59" w:history="1">
        <w:r w:rsidRPr="0077006E">
          <w:rPr>
            <w:rStyle w:val="a9"/>
            <w:noProof/>
          </w:rPr>
          <w:t xml:space="preserve">9.1 </w:t>
        </w:r>
        <w:r w:rsidRPr="0077006E">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_Toc478411459 \h </w:instrText>
        </w:r>
        <w:r>
          <w:rPr>
            <w:noProof/>
            <w:webHidden/>
          </w:rPr>
        </w:r>
        <w:r>
          <w:rPr>
            <w:noProof/>
            <w:webHidden/>
          </w:rPr>
          <w:fldChar w:fldCharType="separate"/>
        </w:r>
        <w:r>
          <w:rPr>
            <w:noProof/>
            <w:webHidden/>
          </w:rPr>
          <w:t>52</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60" w:history="1">
        <w:r w:rsidRPr="0077006E">
          <w:rPr>
            <w:rStyle w:val="a9"/>
            <w:noProof/>
          </w:rPr>
          <w:t xml:space="preserve">9.2 </w:t>
        </w:r>
        <w:r w:rsidRPr="0077006E">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_Toc478411460 \h </w:instrText>
        </w:r>
        <w:r>
          <w:rPr>
            <w:noProof/>
            <w:webHidden/>
          </w:rPr>
        </w:r>
        <w:r>
          <w:rPr>
            <w:noProof/>
            <w:webHidden/>
          </w:rPr>
          <w:fldChar w:fldCharType="separate"/>
        </w:r>
        <w:r>
          <w:rPr>
            <w:noProof/>
            <w:webHidden/>
          </w:rPr>
          <w:t>53</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61" w:history="1">
        <w:r w:rsidRPr="0077006E">
          <w:rPr>
            <w:rStyle w:val="a9"/>
            <w:noProof/>
          </w:rPr>
          <w:t>9.3</w:t>
        </w:r>
        <w:r w:rsidRPr="0077006E">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_Toc478411461 \h </w:instrText>
        </w:r>
        <w:r>
          <w:rPr>
            <w:noProof/>
            <w:webHidden/>
          </w:rPr>
        </w:r>
        <w:r>
          <w:rPr>
            <w:noProof/>
            <w:webHidden/>
          </w:rPr>
          <w:fldChar w:fldCharType="separate"/>
        </w:r>
        <w:r>
          <w:rPr>
            <w:noProof/>
            <w:webHidden/>
          </w:rPr>
          <w:t>53</w:t>
        </w:r>
        <w:r>
          <w:rPr>
            <w:noProof/>
            <w:webHidden/>
          </w:rPr>
          <w:fldChar w:fldCharType="end"/>
        </w:r>
      </w:hyperlink>
    </w:p>
    <w:p w:rsidR="00CB138F" w:rsidRDefault="00CB138F">
      <w:pPr>
        <w:pStyle w:val="11"/>
        <w:rPr>
          <w:rFonts w:asciiTheme="minorHAnsi" w:eastAsiaTheme="minorEastAsia" w:hAnsiTheme="minorHAnsi" w:cstheme="minorBidi"/>
          <w:b w:val="0"/>
          <w:noProof/>
          <w:szCs w:val="22"/>
        </w:rPr>
      </w:pPr>
      <w:hyperlink w:anchor="_Toc478411462" w:history="1">
        <w:r w:rsidRPr="0077006E">
          <w:rPr>
            <w:rStyle w:val="a9"/>
            <w:bCs/>
            <w:noProof/>
          </w:rPr>
          <w:t xml:space="preserve">§10  </w:t>
        </w:r>
        <w:r w:rsidRPr="0077006E">
          <w:rPr>
            <w:rStyle w:val="a9"/>
            <w:rFonts w:hint="eastAsia"/>
            <w:bCs/>
            <w:noProof/>
          </w:rPr>
          <w:t>开放式基金份额变动</w:t>
        </w:r>
        <w:r>
          <w:rPr>
            <w:noProof/>
            <w:webHidden/>
          </w:rPr>
          <w:tab/>
        </w:r>
        <w:r>
          <w:rPr>
            <w:noProof/>
            <w:webHidden/>
          </w:rPr>
          <w:fldChar w:fldCharType="begin"/>
        </w:r>
        <w:r>
          <w:rPr>
            <w:noProof/>
            <w:webHidden/>
          </w:rPr>
          <w:instrText xml:space="preserve"> PAGEREF _Toc478411462 \h </w:instrText>
        </w:r>
        <w:r>
          <w:rPr>
            <w:noProof/>
            <w:webHidden/>
          </w:rPr>
        </w:r>
        <w:r>
          <w:rPr>
            <w:noProof/>
            <w:webHidden/>
          </w:rPr>
          <w:fldChar w:fldCharType="separate"/>
        </w:r>
        <w:r>
          <w:rPr>
            <w:noProof/>
            <w:webHidden/>
          </w:rPr>
          <w:t>53</w:t>
        </w:r>
        <w:r>
          <w:rPr>
            <w:noProof/>
            <w:webHidden/>
          </w:rPr>
          <w:fldChar w:fldCharType="end"/>
        </w:r>
      </w:hyperlink>
    </w:p>
    <w:p w:rsidR="00CB138F" w:rsidRDefault="00CB138F">
      <w:pPr>
        <w:pStyle w:val="11"/>
        <w:rPr>
          <w:rFonts w:asciiTheme="minorHAnsi" w:eastAsiaTheme="minorEastAsia" w:hAnsiTheme="minorHAnsi" w:cstheme="minorBidi"/>
          <w:b w:val="0"/>
          <w:noProof/>
          <w:szCs w:val="22"/>
        </w:rPr>
      </w:pPr>
      <w:hyperlink w:anchor="_Toc478411463" w:history="1">
        <w:r w:rsidRPr="0077006E">
          <w:rPr>
            <w:rStyle w:val="a9"/>
            <w:bCs/>
            <w:noProof/>
          </w:rPr>
          <w:t xml:space="preserve">§11  </w:t>
        </w:r>
        <w:r w:rsidRPr="0077006E">
          <w:rPr>
            <w:rStyle w:val="a9"/>
            <w:rFonts w:hint="eastAsia"/>
            <w:bCs/>
            <w:noProof/>
          </w:rPr>
          <w:t>重大事件揭示</w:t>
        </w:r>
        <w:r>
          <w:rPr>
            <w:noProof/>
            <w:webHidden/>
          </w:rPr>
          <w:tab/>
        </w:r>
        <w:r>
          <w:rPr>
            <w:noProof/>
            <w:webHidden/>
          </w:rPr>
          <w:fldChar w:fldCharType="begin"/>
        </w:r>
        <w:r>
          <w:rPr>
            <w:noProof/>
            <w:webHidden/>
          </w:rPr>
          <w:instrText xml:space="preserve"> PAGEREF _Toc478411463 \h </w:instrText>
        </w:r>
        <w:r>
          <w:rPr>
            <w:noProof/>
            <w:webHidden/>
          </w:rPr>
        </w:r>
        <w:r>
          <w:rPr>
            <w:noProof/>
            <w:webHidden/>
          </w:rPr>
          <w:fldChar w:fldCharType="separate"/>
        </w:r>
        <w:r>
          <w:rPr>
            <w:noProof/>
            <w:webHidden/>
          </w:rPr>
          <w:t>53</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64" w:history="1">
        <w:r w:rsidRPr="0077006E">
          <w:rPr>
            <w:rStyle w:val="a9"/>
            <w:noProof/>
          </w:rPr>
          <w:t>11.1</w:t>
        </w:r>
        <w:r w:rsidRPr="0077006E">
          <w:rPr>
            <w:rStyle w:val="a9"/>
            <w:rFonts w:hint="eastAsia"/>
            <w:noProof/>
          </w:rPr>
          <w:t>基金份额持有人大会决议</w:t>
        </w:r>
        <w:r>
          <w:rPr>
            <w:noProof/>
            <w:webHidden/>
          </w:rPr>
          <w:tab/>
        </w:r>
        <w:r>
          <w:rPr>
            <w:noProof/>
            <w:webHidden/>
          </w:rPr>
          <w:fldChar w:fldCharType="begin"/>
        </w:r>
        <w:r>
          <w:rPr>
            <w:noProof/>
            <w:webHidden/>
          </w:rPr>
          <w:instrText xml:space="preserve"> PAGEREF _Toc478411464 \h </w:instrText>
        </w:r>
        <w:r>
          <w:rPr>
            <w:noProof/>
            <w:webHidden/>
          </w:rPr>
        </w:r>
        <w:r>
          <w:rPr>
            <w:noProof/>
            <w:webHidden/>
          </w:rPr>
          <w:fldChar w:fldCharType="separate"/>
        </w:r>
        <w:r>
          <w:rPr>
            <w:noProof/>
            <w:webHidden/>
          </w:rPr>
          <w:t>53</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65" w:history="1">
        <w:r w:rsidRPr="0077006E">
          <w:rPr>
            <w:rStyle w:val="a9"/>
            <w:noProof/>
          </w:rPr>
          <w:t xml:space="preserve">11.2 </w:t>
        </w:r>
        <w:r w:rsidRPr="0077006E">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_Toc478411465 \h </w:instrText>
        </w:r>
        <w:r>
          <w:rPr>
            <w:noProof/>
            <w:webHidden/>
          </w:rPr>
        </w:r>
        <w:r>
          <w:rPr>
            <w:noProof/>
            <w:webHidden/>
          </w:rPr>
          <w:fldChar w:fldCharType="separate"/>
        </w:r>
        <w:r>
          <w:rPr>
            <w:noProof/>
            <w:webHidden/>
          </w:rPr>
          <w:t>54</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66" w:history="1">
        <w:r w:rsidRPr="0077006E">
          <w:rPr>
            <w:rStyle w:val="a9"/>
            <w:noProof/>
          </w:rPr>
          <w:t xml:space="preserve">11.3 </w:t>
        </w:r>
        <w:r w:rsidRPr="0077006E">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_Toc478411466 \h </w:instrText>
        </w:r>
        <w:r>
          <w:rPr>
            <w:noProof/>
            <w:webHidden/>
          </w:rPr>
        </w:r>
        <w:r>
          <w:rPr>
            <w:noProof/>
            <w:webHidden/>
          </w:rPr>
          <w:fldChar w:fldCharType="separate"/>
        </w:r>
        <w:r>
          <w:rPr>
            <w:noProof/>
            <w:webHidden/>
          </w:rPr>
          <w:t>54</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67" w:history="1">
        <w:r w:rsidRPr="0077006E">
          <w:rPr>
            <w:rStyle w:val="a9"/>
            <w:noProof/>
          </w:rPr>
          <w:t xml:space="preserve">11.4 </w:t>
        </w:r>
        <w:r w:rsidRPr="0077006E">
          <w:rPr>
            <w:rStyle w:val="a9"/>
            <w:rFonts w:hint="eastAsia"/>
            <w:noProof/>
          </w:rPr>
          <w:t>基金投资策略的改变</w:t>
        </w:r>
        <w:r>
          <w:rPr>
            <w:noProof/>
            <w:webHidden/>
          </w:rPr>
          <w:tab/>
        </w:r>
        <w:r>
          <w:rPr>
            <w:noProof/>
            <w:webHidden/>
          </w:rPr>
          <w:fldChar w:fldCharType="begin"/>
        </w:r>
        <w:r>
          <w:rPr>
            <w:noProof/>
            <w:webHidden/>
          </w:rPr>
          <w:instrText xml:space="preserve"> PAGEREF _Toc478411467 \h </w:instrText>
        </w:r>
        <w:r>
          <w:rPr>
            <w:noProof/>
            <w:webHidden/>
          </w:rPr>
        </w:r>
        <w:r>
          <w:rPr>
            <w:noProof/>
            <w:webHidden/>
          </w:rPr>
          <w:fldChar w:fldCharType="separate"/>
        </w:r>
        <w:r>
          <w:rPr>
            <w:noProof/>
            <w:webHidden/>
          </w:rPr>
          <w:t>54</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68" w:history="1">
        <w:r w:rsidRPr="0077006E">
          <w:rPr>
            <w:rStyle w:val="a9"/>
            <w:noProof/>
          </w:rPr>
          <w:t>11.5</w:t>
        </w:r>
        <w:r w:rsidRPr="0077006E">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_Toc478411468 \h </w:instrText>
        </w:r>
        <w:r>
          <w:rPr>
            <w:noProof/>
            <w:webHidden/>
          </w:rPr>
        </w:r>
        <w:r>
          <w:rPr>
            <w:noProof/>
            <w:webHidden/>
          </w:rPr>
          <w:fldChar w:fldCharType="separate"/>
        </w:r>
        <w:r>
          <w:rPr>
            <w:noProof/>
            <w:webHidden/>
          </w:rPr>
          <w:t>54</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69" w:history="1">
        <w:r w:rsidRPr="0077006E">
          <w:rPr>
            <w:rStyle w:val="a9"/>
            <w:noProof/>
          </w:rPr>
          <w:t xml:space="preserve">11.6 </w:t>
        </w:r>
        <w:r w:rsidRPr="0077006E">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_Toc478411469 \h </w:instrText>
        </w:r>
        <w:r>
          <w:rPr>
            <w:noProof/>
            <w:webHidden/>
          </w:rPr>
        </w:r>
        <w:r>
          <w:rPr>
            <w:noProof/>
            <w:webHidden/>
          </w:rPr>
          <w:fldChar w:fldCharType="separate"/>
        </w:r>
        <w:r>
          <w:rPr>
            <w:noProof/>
            <w:webHidden/>
          </w:rPr>
          <w:t>54</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70" w:history="1">
        <w:r w:rsidRPr="0077006E">
          <w:rPr>
            <w:rStyle w:val="a9"/>
            <w:noProof/>
          </w:rPr>
          <w:t xml:space="preserve">11.7 </w:t>
        </w:r>
        <w:r w:rsidRPr="0077006E">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_Toc478411470 \h </w:instrText>
        </w:r>
        <w:r>
          <w:rPr>
            <w:noProof/>
            <w:webHidden/>
          </w:rPr>
        </w:r>
        <w:r>
          <w:rPr>
            <w:noProof/>
            <w:webHidden/>
          </w:rPr>
          <w:fldChar w:fldCharType="separate"/>
        </w:r>
        <w:r>
          <w:rPr>
            <w:noProof/>
            <w:webHidden/>
          </w:rPr>
          <w:t>54</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73" w:history="1">
        <w:r w:rsidRPr="0077006E">
          <w:rPr>
            <w:rStyle w:val="a9"/>
            <w:noProof/>
          </w:rPr>
          <w:t>11.8</w:t>
        </w:r>
        <w:r w:rsidRPr="0077006E">
          <w:rPr>
            <w:rStyle w:val="a9"/>
            <w:rFonts w:hint="eastAsia"/>
            <w:noProof/>
          </w:rPr>
          <w:t>其他重大事件</w:t>
        </w:r>
        <w:r>
          <w:rPr>
            <w:noProof/>
            <w:webHidden/>
          </w:rPr>
          <w:tab/>
        </w:r>
        <w:r>
          <w:rPr>
            <w:noProof/>
            <w:webHidden/>
          </w:rPr>
          <w:fldChar w:fldCharType="begin"/>
        </w:r>
        <w:r>
          <w:rPr>
            <w:noProof/>
            <w:webHidden/>
          </w:rPr>
          <w:instrText xml:space="preserve"> PAGEREF _Toc478411473 \h </w:instrText>
        </w:r>
        <w:r>
          <w:rPr>
            <w:noProof/>
            <w:webHidden/>
          </w:rPr>
        </w:r>
        <w:r>
          <w:rPr>
            <w:noProof/>
            <w:webHidden/>
          </w:rPr>
          <w:fldChar w:fldCharType="separate"/>
        </w:r>
        <w:r>
          <w:rPr>
            <w:noProof/>
            <w:webHidden/>
          </w:rPr>
          <w:t>63</w:t>
        </w:r>
        <w:r>
          <w:rPr>
            <w:noProof/>
            <w:webHidden/>
          </w:rPr>
          <w:fldChar w:fldCharType="end"/>
        </w:r>
      </w:hyperlink>
    </w:p>
    <w:p w:rsidR="00CB138F" w:rsidRDefault="00CB138F">
      <w:pPr>
        <w:pStyle w:val="11"/>
        <w:rPr>
          <w:rFonts w:asciiTheme="minorHAnsi" w:eastAsiaTheme="minorEastAsia" w:hAnsiTheme="minorHAnsi" w:cstheme="minorBidi"/>
          <w:b w:val="0"/>
          <w:noProof/>
          <w:szCs w:val="22"/>
        </w:rPr>
      </w:pPr>
      <w:hyperlink w:anchor="_Toc478411474" w:history="1">
        <w:r w:rsidRPr="0077006E">
          <w:rPr>
            <w:rStyle w:val="a9"/>
            <w:bCs/>
            <w:noProof/>
          </w:rPr>
          <w:t xml:space="preserve">§12  </w:t>
        </w:r>
        <w:r w:rsidRPr="0077006E">
          <w:rPr>
            <w:rStyle w:val="a9"/>
            <w:rFonts w:hint="eastAsia"/>
            <w:bCs/>
            <w:noProof/>
          </w:rPr>
          <w:t>备查文件目录</w:t>
        </w:r>
        <w:r>
          <w:rPr>
            <w:noProof/>
            <w:webHidden/>
          </w:rPr>
          <w:tab/>
        </w:r>
        <w:r>
          <w:rPr>
            <w:noProof/>
            <w:webHidden/>
          </w:rPr>
          <w:fldChar w:fldCharType="begin"/>
        </w:r>
        <w:r>
          <w:rPr>
            <w:noProof/>
            <w:webHidden/>
          </w:rPr>
          <w:instrText xml:space="preserve"> PAGEREF _Toc478411474 \h </w:instrText>
        </w:r>
        <w:r>
          <w:rPr>
            <w:noProof/>
            <w:webHidden/>
          </w:rPr>
        </w:r>
        <w:r>
          <w:rPr>
            <w:noProof/>
            <w:webHidden/>
          </w:rPr>
          <w:fldChar w:fldCharType="separate"/>
        </w:r>
        <w:r>
          <w:rPr>
            <w:noProof/>
            <w:webHidden/>
          </w:rPr>
          <w:t>66</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75" w:history="1">
        <w:r w:rsidRPr="0077006E">
          <w:rPr>
            <w:rStyle w:val="a9"/>
            <w:noProof/>
          </w:rPr>
          <w:t xml:space="preserve">12.1  </w:t>
        </w:r>
        <w:r w:rsidRPr="0077006E">
          <w:rPr>
            <w:rStyle w:val="a9"/>
            <w:rFonts w:hint="eastAsia"/>
            <w:noProof/>
          </w:rPr>
          <w:t>备查文件目录</w:t>
        </w:r>
        <w:r>
          <w:rPr>
            <w:noProof/>
            <w:webHidden/>
          </w:rPr>
          <w:tab/>
        </w:r>
        <w:r>
          <w:rPr>
            <w:noProof/>
            <w:webHidden/>
          </w:rPr>
          <w:fldChar w:fldCharType="begin"/>
        </w:r>
        <w:r>
          <w:rPr>
            <w:noProof/>
            <w:webHidden/>
          </w:rPr>
          <w:instrText xml:space="preserve"> PAGEREF _Toc478411475 \h </w:instrText>
        </w:r>
        <w:r>
          <w:rPr>
            <w:noProof/>
            <w:webHidden/>
          </w:rPr>
        </w:r>
        <w:r>
          <w:rPr>
            <w:noProof/>
            <w:webHidden/>
          </w:rPr>
          <w:fldChar w:fldCharType="separate"/>
        </w:r>
        <w:r>
          <w:rPr>
            <w:noProof/>
            <w:webHidden/>
          </w:rPr>
          <w:t>66</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76" w:history="1">
        <w:r w:rsidRPr="0077006E">
          <w:rPr>
            <w:rStyle w:val="a9"/>
            <w:noProof/>
          </w:rPr>
          <w:t xml:space="preserve">12.2 </w:t>
        </w:r>
        <w:r w:rsidRPr="0077006E">
          <w:rPr>
            <w:rStyle w:val="a9"/>
            <w:rFonts w:hint="eastAsia"/>
            <w:noProof/>
          </w:rPr>
          <w:t>存放地点</w:t>
        </w:r>
        <w:r>
          <w:rPr>
            <w:noProof/>
            <w:webHidden/>
          </w:rPr>
          <w:tab/>
        </w:r>
        <w:r>
          <w:rPr>
            <w:noProof/>
            <w:webHidden/>
          </w:rPr>
          <w:fldChar w:fldCharType="begin"/>
        </w:r>
        <w:r>
          <w:rPr>
            <w:noProof/>
            <w:webHidden/>
          </w:rPr>
          <w:instrText xml:space="preserve"> PAGEREF _Toc478411476 \h </w:instrText>
        </w:r>
        <w:r>
          <w:rPr>
            <w:noProof/>
            <w:webHidden/>
          </w:rPr>
        </w:r>
        <w:r>
          <w:rPr>
            <w:noProof/>
            <w:webHidden/>
          </w:rPr>
          <w:fldChar w:fldCharType="separate"/>
        </w:r>
        <w:r>
          <w:rPr>
            <w:noProof/>
            <w:webHidden/>
          </w:rPr>
          <w:t>66</w:t>
        </w:r>
        <w:r>
          <w:rPr>
            <w:noProof/>
            <w:webHidden/>
          </w:rPr>
          <w:fldChar w:fldCharType="end"/>
        </w:r>
      </w:hyperlink>
    </w:p>
    <w:p w:rsidR="00CB138F" w:rsidRDefault="00CB138F">
      <w:pPr>
        <w:pStyle w:val="22"/>
        <w:rPr>
          <w:rFonts w:asciiTheme="minorHAnsi" w:eastAsiaTheme="minorEastAsia" w:hAnsiTheme="minorHAnsi" w:cstheme="minorBidi"/>
          <w:noProof/>
          <w:kern w:val="2"/>
          <w:szCs w:val="22"/>
        </w:rPr>
      </w:pPr>
      <w:hyperlink w:anchor="_Toc478411477" w:history="1">
        <w:r w:rsidRPr="0077006E">
          <w:rPr>
            <w:rStyle w:val="a9"/>
            <w:noProof/>
          </w:rPr>
          <w:t xml:space="preserve">12.3 </w:t>
        </w:r>
        <w:r w:rsidRPr="0077006E">
          <w:rPr>
            <w:rStyle w:val="a9"/>
            <w:rFonts w:hint="eastAsia"/>
            <w:noProof/>
          </w:rPr>
          <w:t>查阅方式</w:t>
        </w:r>
        <w:r>
          <w:rPr>
            <w:noProof/>
            <w:webHidden/>
          </w:rPr>
          <w:tab/>
        </w:r>
        <w:r>
          <w:rPr>
            <w:noProof/>
            <w:webHidden/>
          </w:rPr>
          <w:fldChar w:fldCharType="begin"/>
        </w:r>
        <w:r>
          <w:rPr>
            <w:noProof/>
            <w:webHidden/>
          </w:rPr>
          <w:instrText xml:space="preserve"> PAGEREF _Toc478411477 \h </w:instrText>
        </w:r>
        <w:r>
          <w:rPr>
            <w:noProof/>
            <w:webHidden/>
          </w:rPr>
        </w:r>
        <w:r>
          <w:rPr>
            <w:noProof/>
            <w:webHidden/>
          </w:rPr>
          <w:fldChar w:fldCharType="separate"/>
        </w:r>
        <w:r>
          <w:rPr>
            <w:noProof/>
            <w:webHidden/>
          </w:rPr>
          <w:t>66</w:t>
        </w:r>
        <w:r>
          <w:rPr>
            <w:noProof/>
            <w:webHidden/>
          </w:rPr>
          <w:fldChar w:fldCharType="end"/>
        </w:r>
      </w:hyperlink>
    </w:p>
    <w:p w:rsidR="007B62FA" w:rsidRPr="00D0372D" w:rsidRDefault="00481D02" w:rsidP="004A50BE">
      <w:pPr>
        <w:spacing w:line="360" w:lineRule="auto"/>
        <w:ind w:firstLineChars="200" w:firstLine="480"/>
        <w:rPr>
          <w:rFonts w:ascii="宋体" w:hAnsi="宋体"/>
          <w:b/>
          <w:color w:val="000000"/>
          <w:kern w:val="0"/>
          <w:szCs w:val="21"/>
        </w:rPr>
      </w:pPr>
      <w:r w:rsidRPr="004A50BE">
        <w:rPr>
          <w:rFonts w:asciiTheme="minorEastAsia" w:eastAsiaTheme="minorEastAsia" w:hAnsiTheme="minorEastAsia"/>
          <w:color w:val="000000"/>
          <w:kern w:val="0"/>
          <w:sz w:val="24"/>
        </w:rPr>
        <w:fldChar w:fldCharType="end"/>
      </w: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Default="007B62FA" w:rsidP="000C7A13">
      <w:pPr>
        <w:pStyle w:val="1"/>
        <w:keepNext/>
        <w:keepLines/>
        <w:widowControl w:val="0"/>
        <w:spacing w:beforeLines="100" w:before="312" w:afterLines="100" w:after="312" w:line="288" w:lineRule="auto"/>
        <w:jc w:val="center"/>
        <w:rPr>
          <w:b/>
          <w:bCs/>
          <w:szCs w:val="24"/>
          <w:lang w:val="en-US"/>
        </w:rPr>
      </w:pPr>
      <w:r w:rsidRPr="00D0372D">
        <w:rPr>
          <w:rFonts w:ascii="宋体" w:hAnsi="宋体"/>
          <w:color w:val="000000"/>
          <w:sz w:val="21"/>
          <w:szCs w:val="21"/>
        </w:rPr>
        <w:br w:type="page"/>
      </w:r>
      <w:bookmarkStart w:id="25" w:name="_Toc225498244"/>
      <w:bookmarkStart w:id="26" w:name="_Toc352255960"/>
      <w:bookmarkStart w:id="27" w:name="_Toc352256028"/>
      <w:bookmarkStart w:id="28" w:name="_Toc352331206"/>
      <w:bookmarkStart w:id="29" w:name="_Toc362423984"/>
      <w:bookmarkStart w:id="30" w:name="_Toc478411375"/>
      <w:r w:rsidRPr="00B05262">
        <w:rPr>
          <w:rFonts w:hint="eastAsia"/>
          <w:b/>
          <w:bCs/>
          <w:szCs w:val="24"/>
          <w:lang w:val="en-US"/>
        </w:rPr>
        <w:lastRenderedPageBreak/>
        <w:t>§</w:t>
      </w:r>
      <w:r w:rsidRPr="00B05262">
        <w:rPr>
          <w:b/>
          <w:bCs/>
          <w:szCs w:val="24"/>
          <w:lang w:val="en-US"/>
        </w:rPr>
        <w:t xml:space="preserve">2  </w:t>
      </w:r>
      <w:r w:rsidRPr="00B05262">
        <w:rPr>
          <w:rFonts w:hint="eastAsia"/>
          <w:b/>
          <w:bCs/>
          <w:szCs w:val="24"/>
          <w:lang w:val="en-US"/>
        </w:rPr>
        <w:t>基金简介</w:t>
      </w:r>
      <w:bookmarkEnd w:id="25"/>
      <w:bookmarkEnd w:id="26"/>
      <w:bookmarkEnd w:id="27"/>
      <w:bookmarkEnd w:id="28"/>
      <w:bookmarkEnd w:id="29"/>
      <w:bookmarkEnd w:id="30"/>
    </w:p>
    <w:p w:rsidR="00FC649E" w:rsidRPr="00FC649E" w:rsidRDefault="00FC649E" w:rsidP="00FC649E"/>
    <w:p w:rsidR="007B62FA" w:rsidRPr="00B05262" w:rsidRDefault="007B62FA" w:rsidP="00B05262">
      <w:pPr>
        <w:pStyle w:val="20"/>
        <w:spacing w:before="29" w:after="0" w:line="288" w:lineRule="auto"/>
        <w:rPr>
          <w:rFonts w:ascii="Times New Roman" w:hAnsi="Times New Roman"/>
          <w:color w:val="000000"/>
          <w:szCs w:val="24"/>
        </w:rPr>
      </w:pPr>
      <w:bookmarkStart w:id="31" w:name="_Toc352255961"/>
      <w:bookmarkStart w:id="32" w:name="_Toc352256029"/>
      <w:bookmarkStart w:id="33" w:name="_Toc352331207"/>
      <w:bookmarkStart w:id="34" w:name="_Toc362423985"/>
      <w:bookmarkStart w:id="35" w:name="_Toc478411376"/>
      <w:r w:rsidRPr="00B05262">
        <w:rPr>
          <w:rFonts w:ascii="Times New Roman" w:hAnsi="Times New Roman"/>
          <w:color w:val="000000"/>
          <w:szCs w:val="24"/>
        </w:rPr>
        <w:t>2.1</w:t>
      </w:r>
      <w:r w:rsidR="003401FF" w:rsidRPr="00B05262">
        <w:rPr>
          <w:rFonts w:ascii="Times New Roman" w:hAnsi="Times New Roman" w:hint="eastAsia"/>
          <w:color w:val="000000"/>
          <w:szCs w:val="24"/>
        </w:rPr>
        <w:t xml:space="preserve"> </w:t>
      </w:r>
      <w:r w:rsidRPr="00B05262">
        <w:rPr>
          <w:rFonts w:ascii="Times New Roman" w:hAnsi="Times New Roman" w:hint="eastAsia"/>
          <w:color w:val="000000"/>
          <w:szCs w:val="24"/>
        </w:rPr>
        <w:t>基金基本情况</w:t>
      </w:r>
      <w:bookmarkEnd w:id="31"/>
      <w:bookmarkEnd w:id="32"/>
      <w:bookmarkEnd w:id="33"/>
      <w:bookmarkEnd w:id="34"/>
      <w:bookmarkEnd w:id="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7B62FA" w:rsidRPr="00D0372D" w:rsidTr="00360659">
        <w:tc>
          <w:tcPr>
            <w:tcW w:w="3119" w:type="dxa"/>
            <w:vAlign w:val="center"/>
          </w:tcPr>
          <w:p w:rsidR="007B62FA" w:rsidRPr="00B05262" w:rsidRDefault="007B62FA" w:rsidP="00B05262">
            <w:pPr>
              <w:spacing w:before="29" w:line="288" w:lineRule="auto"/>
              <w:rPr>
                <w:sz w:val="24"/>
              </w:rPr>
            </w:pPr>
            <w:r w:rsidRPr="00B05262">
              <w:rPr>
                <w:rFonts w:hint="eastAsia"/>
                <w:sz w:val="24"/>
              </w:rPr>
              <w:t>基金名称</w:t>
            </w:r>
          </w:p>
        </w:tc>
        <w:tc>
          <w:tcPr>
            <w:tcW w:w="5879" w:type="dxa"/>
            <w:vAlign w:val="center"/>
          </w:tcPr>
          <w:p w:rsidR="007B62FA" w:rsidRPr="00282794" w:rsidRDefault="007B62FA" w:rsidP="00282794">
            <w:pPr>
              <w:spacing w:before="29" w:line="288" w:lineRule="auto"/>
              <w:jc w:val="center"/>
              <w:rPr>
                <w:sz w:val="24"/>
              </w:rPr>
            </w:pPr>
            <w:r w:rsidRPr="00282794">
              <w:rPr>
                <w:sz w:val="24"/>
              </w:rPr>
              <w:t>交银施罗德全球自然资源证券投资基金</w:t>
            </w:r>
          </w:p>
        </w:tc>
      </w:tr>
      <w:tr w:rsidR="007B62FA" w:rsidRPr="00D0372D" w:rsidTr="00360659">
        <w:tc>
          <w:tcPr>
            <w:tcW w:w="3119" w:type="dxa"/>
            <w:vAlign w:val="center"/>
          </w:tcPr>
          <w:p w:rsidR="007B62FA" w:rsidRPr="00B05262" w:rsidRDefault="007B62FA" w:rsidP="00B05262">
            <w:pPr>
              <w:spacing w:before="29" w:line="288" w:lineRule="auto"/>
              <w:rPr>
                <w:sz w:val="24"/>
              </w:rPr>
            </w:pPr>
            <w:r w:rsidRPr="00B05262">
              <w:rPr>
                <w:rFonts w:hint="eastAsia"/>
                <w:sz w:val="24"/>
              </w:rPr>
              <w:t>基金简称</w:t>
            </w:r>
          </w:p>
        </w:tc>
        <w:tc>
          <w:tcPr>
            <w:tcW w:w="5879" w:type="dxa"/>
            <w:vAlign w:val="center"/>
          </w:tcPr>
          <w:p w:rsidR="007B62FA" w:rsidRPr="00282794" w:rsidRDefault="007B62FA" w:rsidP="00282794">
            <w:pPr>
              <w:spacing w:before="29" w:line="288" w:lineRule="auto"/>
              <w:jc w:val="center"/>
              <w:rPr>
                <w:sz w:val="24"/>
              </w:rPr>
            </w:pPr>
            <w:r w:rsidRPr="00282794">
              <w:rPr>
                <w:sz w:val="24"/>
              </w:rPr>
              <w:t>交</w:t>
            </w:r>
            <w:proofErr w:type="gramStart"/>
            <w:r w:rsidRPr="00282794">
              <w:rPr>
                <w:sz w:val="24"/>
              </w:rPr>
              <w:t>银全球</w:t>
            </w:r>
            <w:proofErr w:type="gramEnd"/>
            <w:r w:rsidRPr="00282794">
              <w:rPr>
                <w:sz w:val="24"/>
              </w:rPr>
              <w:t>资源混合</w:t>
            </w:r>
            <w:r w:rsidRPr="00282794">
              <w:rPr>
                <w:sz w:val="24"/>
              </w:rPr>
              <w:t>(QDII)</w:t>
            </w:r>
          </w:p>
        </w:tc>
      </w:tr>
      <w:tr w:rsidR="007B62FA" w:rsidRPr="00D0372D" w:rsidTr="00360659">
        <w:tc>
          <w:tcPr>
            <w:tcW w:w="3119" w:type="dxa"/>
            <w:vAlign w:val="center"/>
          </w:tcPr>
          <w:p w:rsidR="007B62FA" w:rsidRPr="00B05262" w:rsidRDefault="007B62FA" w:rsidP="00B05262">
            <w:pPr>
              <w:spacing w:before="29" w:line="288" w:lineRule="auto"/>
              <w:rPr>
                <w:sz w:val="24"/>
              </w:rPr>
            </w:pPr>
            <w:r w:rsidRPr="00B05262">
              <w:rPr>
                <w:rFonts w:hint="eastAsia"/>
                <w:sz w:val="24"/>
              </w:rPr>
              <w:t>基金主代码</w:t>
            </w:r>
          </w:p>
        </w:tc>
        <w:tc>
          <w:tcPr>
            <w:tcW w:w="5879" w:type="dxa"/>
            <w:vAlign w:val="center"/>
          </w:tcPr>
          <w:p w:rsidR="007B62FA" w:rsidRPr="00282794" w:rsidRDefault="007B62FA" w:rsidP="00282794">
            <w:pPr>
              <w:spacing w:before="29" w:line="288" w:lineRule="auto"/>
              <w:jc w:val="center"/>
              <w:rPr>
                <w:sz w:val="24"/>
              </w:rPr>
            </w:pPr>
            <w:r w:rsidRPr="00282794">
              <w:rPr>
                <w:sz w:val="24"/>
              </w:rPr>
              <w:t>519709</w:t>
            </w:r>
          </w:p>
        </w:tc>
      </w:tr>
      <w:tr w:rsidR="00D13C61" w:rsidRPr="00D0372D" w:rsidTr="00360659">
        <w:tc>
          <w:tcPr>
            <w:tcW w:w="3119" w:type="dxa"/>
            <w:vAlign w:val="center"/>
          </w:tcPr>
          <w:p w:rsidR="00D13C61" w:rsidRPr="00B05262" w:rsidRDefault="00D13C61" w:rsidP="00B05262">
            <w:pPr>
              <w:spacing w:before="29" w:line="288" w:lineRule="auto"/>
              <w:rPr>
                <w:sz w:val="24"/>
              </w:rPr>
            </w:pPr>
            <w:r w:rsidRPr="00B05262">
              <w:rPr>
                <w:rFonts w:hint="eastAsia"/>
                <w:sz w:val="24"/>
              </w:rPr>
              <w:t>交易代码</w:t>
            </w:r>
          </w:p>
        </w:tc>
        <w:tc>
          <w:tcPr>
            <w:tcW w:w="5879" w:type="dxa"/>
            <w:vAlign w:val="center"/>
          </w:tcPr>
          <w:p w:rsidR="00D13C61" w:rsidRPr="00282794" w:rsidRDefault="00D13C61" w:rsidP="00282794">
            <w:pPr>
              <w:spacing w:before="29" w:line="288" w:lineRule="auto"/>
              <w:jc w:val="center"/>
              <w:rPr>
                <w:sz w:val="24"/>
              </w:rPr>
            </w:pPr>
            <w:r w:rsidRPr="00282794">
              <w:rPr>
                <w:rFonts w:hint="eastAsia"/>
                <w:sz w:val="24"/>
              </w:rPr>
              <w:t>519709</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基金运作方式</w:t>
            </w:r>
          </w:p>
        </w:tc>
        <w:tc>
          <w:tcPr>
            <w:tcW w:w="5879" w:type="dxa"/>
            <w:vAlign w:val="center"/>
          </w:tcPr>
          <w:p w:rsidR="0073375D" w:rsidRPr="00282794" w:rsidRDefault="0073375D" w:rsidP="00282794">
            <w:pPr>
              <w:spacing w:before="29" w:line="288" w:lineRule="auto"/>
              <w:jc w:val="center"/>
              <w:rPr>
                <w:sz w:val="24"/>
              </w:rPr>
            </w:pPr>
            <w:r w:rsidRPr="00282794">
              <w:rPr>
                <w:sz w:val="24"/>
              </w:rPr>
              <w:t>契约型开放式</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基金合同生效日</w:t>
            </w:r>
          </w:p>
        </w:tc>
        <w:tc>
          <w:tcPr>
            <w:tcW w:w="5879" w:type="dxa"/>
            <w:vAlign w:val="center"/>
          </w:tcPr>
          <w:p w:rsidR="0073375D" w:rsidRPr="00282794" w:rsidRDefault="0073375D" w:rsidP="00282794">
            <w:pPr>
              <w:spacing w:before="29" w:line="288" w:lineRule="auto"/>
              <w:jc w:val="center"/>
              <w:rPr>
                <w:sz w:val="24"/>
              </w:rPr>
            </w:pPr>
            <w:r w:rsidRPr="00282794">
              <w:rPr>
                <w:sz w:val="24"/>
              </w:rPr>
              <w:t>2012</w:t>
            </w:r>
            <w:r w:rsidRPr="00282794">
              <w:rPr>
                <w:sz w:val="24"/>
              </w:rPr>
              <w:t>年</w:t>
            </w:r>
            <w:r w:rsidRPr="00282794">
              <w:rPr>
                <w:sz w:val="24"/>
              </w:rPr>
              <w:t>5</w:t>
            </w:r>
            <w:r w:rsidRPr="00282794">
              <w:rPr>
                <w:sz w:val="24"/>
              </w:rPr>
              <w:t>月</w:t>
            </w:r>
            <w:r w:rsidRPr="00282794">
              <w:rPr>
                <w:sz w:val="24"/>
              </w:rPr>
              <w:t>22</w:t>
            </w:r>
            <w:r w:rsidRPr="00282794">
              <w:rPr>
                <w:sz w:val="24"/>
              </w:rPr>
              <w:t>日</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基金管理人</w:t>
            </w:r>
          </w:p>
        </w:tc>
        <w:tc>
          <w:tcPr>
            <w:tcW w:w="5879" w:type="dxa"/>
            <w:vAlign w:val="center"/>
          </w:tcPr>
          <w:p w:rsidR="0073375D" w:rsidRPr="00282794" w:rsidRDefault="0073375D" w:rsidP="00282794">
            <w:pPr>
              <w:spacing w:before="29" w:line="288" w:lineRule="auto"/>
              <w:jc w:val="center"/>
              <w:rPr>
                <w:sz w:val="24"/>
              </w:rPr>
            </w:pPr>
            <w:r w:rsidRPr="00282794">
              <w:rPr>
                <w:sz w:val="24"/>
              </w:rPr>
              <w:t>交银施罗德基金管理有限公司</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基金托管人</w:t>
            </w:r>
          </w:p>
        </w:tc>
        <w:tc>
          <w:tcPr>
            <w:tcW w:w="5879" w:type="dxa"/>
            <w:vAlign w:val="center"/>
          </w:tcPr>
          <w:p w:rsidR="0073375D" w:rsidRPr="00282794" w:rsidRDefault="0073375D" w:rsidP="00282794">
            <w:pPr>
              <w:spacing w:before="29" w:line="288" w:lineRule="auto"/>
              <w:jc w:val="center"/>
              <w:rPr>
                <w:sz w:val="24"/>
              </w:rPr>
            </w:pPr>
            <w:r w:rsidRPr="00282794">
              <w:rPr>
                <w:sz w:val="24"/>
              </w:rPr>
              <w:t>中国建设银行股份有限公司</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报告期末基金份额总额</w:t>
            </w:r>
          </w:p>
        </w:tc>
        <w:tc>
          <w:tcPr>
            <w:tcW w:w="5879" w:type="dxa"/>
            <w:vAlign w:val="center"/>
          </w:tcPr>
          <w:p w:rsidR="0073375D" w:rsidRPr="00282794" w:rsidRDefault="0073375D" w:rsidP="00282794">
            <w:pPr>
              <w:spacing w:before="29" w:line="288" w:lineRule="auto"/>
              <w:jc w:val="center"/>
              <w:rPr>
                <w:sz w:val="24"/>
              </w:rPr>
            </w:pPr>
            <w:r w:rsidRPr="00282794">
              <w:rPr>
                <w:sz w:val="24"/>
              </w:rPr>
              <w:t>32,063,310.06</w:t>
            </w:r>
            <w:r w:rsidRPr="00282794">
              <w:rPr>
                <w:rFonts w:hint="eastAsia"/>
                <w:sz w:val="24"/>
              </w:rPr>
              <w:t>份</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基金合同存续期</w:t>
            </w:r>
          </w:p>
        </w:tc>
        <w:tc>
          <w:tcPr>
            <w:tcW w:w="5879" w:type="dxa"/>
            <w:vAlign w:val="center"/>
          </w:tcPr>
          <w:p w:rsidR="0073375D" w:rsidRPr="00282794" w:rsidRDefault="0073375D" w:rsidP="00282794">
            <w:pPr>
              <w:spacing w:before="29" w:line="288" w:lineRule="auto"/>
              <w:jc w:val="center"/>
              <w:rPr>
                <w:sz w:val="24"/>
              </w:rPr>
            </w:pPr>
            <w:r w:rsidRPr="00282794">
              <w:rPr>
                <w:sz w:val="24"/>
              </w:rPr>
              <w:t>不定期</w:t>
            </w:r>
          </w:p>
        </w:tc>
      </w:tr>
    </w:tbl>
    <w:p w:rsidR="00DC6F0C" w:rsidRPr="00D0372D" w:rsidRDefault="00DC6F0C" w:rsidP="0026196C">
      <w:pPr>
        <w:tabs>
          <w:tab w:val="left" w:pos="426"/>
        </w:tabs>
        <w:spacing w:line="360" w:lineRule="auto"/>
        <w:jc w:val="left"/>
        <w:rPr>
          <w:rFonts w:ascii="宋体" w:hAnsi="宋体"/>
          <w:color w:val="000000"/>
          <w:szCs w:val="21"/>
        </w:rPr>
      </w:pPr>
    </w:p>
    <w:p w:rsidR="007B62FA" w:rsidRPr="00AF1225" w:rsidRDefault="007B62FA" w:rsidP="00AF1225">
      <w:pPr>
        <w:pStyle w:val="20"/>
        <w:spacing w:before="29" w:after="0" w:line="288" w:lineRule="auto"/>
        <w:rPr>
          <w:rFonts w:ascii="Times New Roman" w:hAnsi="Times New Roman"/>
          <w:kern w:val="0"/>
          <w:szCs w:val="24"/>
        </w:rPr>
      </w:pPr>
      <w:bookmarkStart w:id="36" w:name="_Toc352255962"/>
      <w:bookmarkStart w:id="37" w:name="_Toc352256030"/>
      <w:bookmarkStart w:id="38" w:name="_Toc352331208"/>
      <w:bookmarkStart w:id="39" w:name="_Toc362423986"/>
      <w:bookmarkStart w:id="40" w:name="_Toc478411377"/>
      <w:r w:rsidRPr="00AF1225">
        <w:rPr>
          <w:rFonts w:ascii="Times New Roman" w:hAnsi="Times New Roman"/>
          <w:kern w:val="0"/>
          <w:szCs w:val="24"/>
        </w:rPr>
        <w:t xml:space="preserve">2.2 </w:t>
      </w:r>
      <w:r w:rsidRPr="00AF1225">
        <w:rPr>
          <w:rFonts w:ascii="Times New Roman" w:hAnsi="Times New Roman" w:hint="eastAsia"/>
          <w:kern w:val="0"/>
          <w:szCs w:val="24"/>
        </w:rPr>
        <w:t>基金产品说明</w:t>
      </w:r>
      <w:bookmarkEnd w:id="36"/>
      <w:bookmarkEnd w:id="37"/>
      <w:bookmarkEnd w:id="38"/>
      <w:bookmarkEnd w:id="39"/>
      <w:bookmarkEnd w:id="4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7B62FA" w:rsidRPr="00D0372D" w:rsidTr="004B4637">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投资目标</w:t>
            </w:r>
          </w:p>
        </w:tc>
        <w:tc>
          <w:tcPr>
            <w:tcW w:w="5879" w:type="dxa"/>
            <w:vAlign w:val="center"/>
          </w:tcPr>
          <w:p w:rsidR="007B62FA" w:rsidRPr="00AF1225" w:rsidRDefault="007B62FA" w:rsidP="00AF1225">
            <w:pPr>
              <w:spacing w:before="29" w:line="288" w:lineRule="auto"/>
              <w:rPr>
                <w:sz w:val="24"/>
              </w:rPr>
            </w:pPr>
            <w:r w:rsidRPr="00AF1225">
              <w:rPr>
                <w:sz w:val="24"/>
              </w:rPr>
              <w:t>在全球范围内精选自然资源相关行业的上市公司，通过积极主动的资产配置和组合管理，在有效控制组合下行风险的前提下力争实现资本的长期保值增值。</w:t>
            </w:r>
          </w:p>
        </w:tc>
      </w:tr>
      <w:tr w:rsidR="007B62FA" w:rsidRPr="00D0372D" w:rsidTr="004B4637">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投资策略</w:t>
            </w:r>
          </w:p>
        </w:tc>
        <w:tc>
          <w:tcPr>
            <w:tcW w:w="5879" w:type="dxa"/>
            <w:vAlign w:val="center"/>
          </w:tcPr>
          <w:p w:rsidR="007B62FA" w:rsidRPr="00AF1225" w:rsidRDefault="007B62FA" w:rsidP="00AF1225">
            <w:pPr>
              <w:spacing w:before="29" w:line="288" w:lineRule="auto"/>
              <w:rPr>
                <w:sz w:val="24"/>
              </w:rPr>
            </w:pPr>
            <w:r w:rsidRPr="00AF1225">
              <w:rPr>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相关资源价格上涨的上市公司股票进行投资，在有效控制下行风险的前提下，优化组合收益，构建具有长期投资价值的投资组合，实现资产的保值增值。</w:t>
            </w:r>
          </w:p>
        </w:tc>
      </w:tr>
      <w:tr w:rsidR="007B62FA" w:rsidRPr="00D0372D" w:rsidTr="004B4637">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业绩比较基准</w:t>
            </w:r>
          </w:p>
        </w:tc>
        <w:tc>
          <w:tcPr>
            <w:tcW w:w="5879" w:type="dxa"/>
            <w:vAlign w:val="center"/>
          </w:tcPr>
          <w:p w:rsidR="007B62FA" w:rsidRPr="00AF1225" w:rsidRDefault="007B62FA" w:rsidP="00AF1225">
            <w:pPr>
              <w:spacing w:before="29" w:line="288" w:lineRule="auto"/>
              <w:rPr>
                <w:sz w:val="24"/>
              </w:rPr>
            </w:pPr>
            <w:r w:rsidRPr="00AF1225">
              <w:rPr>
                <w:sz w:val="24"/>
              </w:rPr>
              <w:t>MSCI</w:t>
            </w:r>
            <w:r w:rsidRPr="00AF1225">
              <w:rPr>
                <w:sz w:val="24"/>
              </w:rPr>
              <w:t>全球原材料总收益指数收益率</w:t>
            </w:r>
            <w:r w:rsidRPr="00AF1225">
              <w:rPr>
                <w:sz w:val="24"/>
              </w:rPr>
              <w:t>×65%</w:t>
            </w:r>
            <w:r w:rsidRPr="00AF1225">
              <w:rPr>
                <w:sz w:val="24"/>
              </w:rPr>
              <w:t>＋</w:t>
            </w:r>
            <w:r w:rsidRPr="00AF1225">
              <w:rPr>
                <w:sz w:val="24"/>
              </w:rPr>
              <w:t>MSCI</w:t>
            </w:r>
            <w:r w:rsidRPr="00AF1225">
              <w:rPr>
                <w:sz w:val="24"/>
              </w:rPr>
              <w:t>全球能源总收益指数收益率</w:t>
            </w:r>
            <w:r w:rsidRPr="00AF1225">
              <w:rPr>
                <w:sz w:val="24"/>
              </w:rPr>
              <w:t>×35%</w:t>
            </w:r>
          </w:p>
        </w:tc>
      </w:tr>
      <w:tr w:rsidR="007B62FA" w:rsidRPr="00D0372D" w:rsidTr="004B4637">
        <w:trPr>
          <w:trHeight w:val="70"/>
        </w:trPr>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风险收益特征</w:t>
            </w:r>
          </w:p>
        </w:tc>
        <w:tc>
          <w:tcPr>
            <w:tcW w:w="5879" w:type="dxa"/>
            <w:vAlign w:val="center"/>
          </w:tcPr>
          <w:p w:rsidR="007B62FA" w:rsidRPr="00AF1225" w:rsidRDefault="007B62FA" w:rsidP="00AF1225">
            <w:pPr>
              <w:spacing w:before="29" w:line="288" w:lineRule="auto"/>
              <w:rPr>
                <w:sz w:val="24"/>
              </w:rPr>
            </w:pPr>
            <w:r w:rsidRPr="00AF1225">
              <w:rPr>
                <w:sz w:val="24"/>
              </w:rPr>
              <w:t>本基金为主要投资全球范围内自然资源相关行业上市公司的主动混合型基金，基金所投之标的与全球经济景</w:t>
            </w:r>
            <w:r w:rsidRPr="00AF1225">
              <w:rPr>
                <w:sz w:val="24"/>
              </w:rPr>
              <w:lastRenderedPageBreak/>
              <w:t>气度、大宗商品市场表现及各相关产业联动性相对较高，波动性较大，其风险和预期收益高于债券型基金和货币市场基金，低于股票型基金。属于承担较高风险、预期收益较高的证券投资基金品种。</w:t>
            </w:r>
          </w:p>
        </w:tc>
      </w:tr>
    </w:tbl>
    <w:p w:rsidR="0092728A" w:rsidRPr="00B56CF4" w:rsidRDefault="0092728A" w:rsidP="00B56CF4">
      <w:pPr>
        <w:tabs>
          <w:tab w:val="left" w:pos="426"/>
        </w:tabs>
        <w:spacing w:before="29" w:line="288" w:lineRule="auto"/>
        <w:jc w:val="left"/>
        <w:rPr>
          <w:kern w:val="0"/>
          <w:sz w:val="24"/>
        </w:rPr>
      </w:pPr>
    </w:p>
    <w:p w:rsidR="007B62FA" w:rsidRPr="00953167" w:rsidRDefault="007B62FA" w:rsidP="00953167">
      <w:pPr>
        <w:pStyle w:val="20"/>
        <w:spacing w:before="29" w:after="0" w:line="288" w:lineRule="auto"/>
        <w:rPr>
          <w:rFonts w:ascii="Times New Roman" w:hAnsi="Times New Roman"/>
          <w:kern w:val="0"/>
          <w:szCs w:val="24"/>
        </w:rPr>
      </w:pPr>
      <w:bookmarkStart w:id="41" w:name="_Toc225498247"/>
      <w:bookmarkStart w:id="42" w:name="_Toc352255963"/>
      <w:bookmarkStart w:id="43" w:name="_Toc352256031"/>
      <w:bookmarkStart w:id="44" w:name="_Toc352331209"/>
      <w:bookmarkStart w:id="45" w:name="_Toc362423987"/>
      <w:bookmarkStart w:id="46" w:name="_Toc478411378"/>
      <w:r w:rsidRPr="00953167">
        <w:rPr>
          <w:rFonts w:ascii="Times New Roman" w:hAnsi="Times New Roman"/>
          <w:kern w:val="0"/>
          <w:szCs w:val="24"/>
        </w:rPr>
        <w:t xml:space="preserve">2.3 </w:t>
      </w:r>
      <w:r w:rsidRPr="00953167">
        <w:rPr>
          <w:rFonts w:ascii="Times New Roman" w:hAnsi="Times New Roman" w:hint="eastAsia"/>
          <w:kern w:val="0"/>
          <w:szCs w:val="24"/>
        </w:rPr>
        <w:t>基金管理人和基金托管人</w:t>
      </w:r>
      <w:bookmarkEnd w:id="41"/>
      <w:bookmarkEnd w:id="42"/>
      <w:bookmarkEnd w:id="43"/>
      <w:bookmarkEnd w:id="44"/>
      <w:bookmarkEnd w:id="45"/>
      <w:bookmarkEnd w:id="4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7B62FA" w:rsidRPr="00953167" w:rsidTr="00E96157">
        <w:tc>
          <w:tcPr>
            <w:tcW w:w="2552" w:type="dxa"/>
            <w:gridSpan w:val="2"/>
            <w:vAlign w:val="center"/>
          </w:tcPr>
          <w:p w:rsidR="007B62FA" w:rsidRPr="00953167" w:rsidRDefault="007B62FA" w:rsidP="00953167">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项目</w:t>
            </w:r>
          </w:p>
        </w:tc>
        <w:tc>
          <w:tcPr>
            <w:tcW w:w="3260" w:type="dxa"/>
            <w:vAlign w:val="center"/>
          </w:tcPr>
          <w:p w:rsidR="007B62FA" w:rsidRPr="00953167" w:rsidRDefault="007B62FA" w:rsidP="00953167">
            <w:pPr>
              <w:spacing w:line="288" w:lineRule="auto"/>
              <w:jc w:val="center"/>
              <w:rPr>
                <w:color w:val="000000"/>
                <w:kern w:val="0"/>
                <w:sz w:val="24"/>
              </w:rPr>
            </w:pPr>
            <w:r w:rsidRPr="00953167">
              <w:rPr>
                <w:rFonts w:hint="eastAsia"/>
                <w:color w:val="000000"/>
                <w:kern w:val="0"/>
                <w:sz w:val="24"/>
              </w:rPr>
              <w:t>基金管理人</w:t>
            </w:r>
          </w:p>
        </w:tc>
        <w:tc>
          <w:tcPr>
            <w:tcW w:w="3186" w:type="dxa"/>
            <w:vAlign w:val="center"/>
          </w:tcPr>
          <w:p w:rsidR="007B62FA" w:rsidRPr="00953167" w:rsidRDefault="007B62FA" w:rsidP="00953167">
            <w:pPr>
              <w:spacing w:line="288" w:lineRule="auto"/>
              <w:jc w:val="center"/>
              <w:rPr>
                <w:color w:val="000000"/>
                <w:kern w:val="0"/>
                <w:sz w:val="24"/>
              </w:rPr>
            </w:pPr>
            <w:r w:rsidRPr="00953167">
              <w:rPr>
                <w:rFonts w:hint="eastAsia"/>
                <w:color w:val="000000"/>
                <w:kern w:val="0"/>
                <w:sz w:val="24"/>
              </w:rPr>
              <w:t>基金托管人</w:t>
            </w:r>
          </w:p>
        </w:tc>
      </w:tr>
      <w:tr w:rsidR="007B62FA" w:rsidRPr="00D0372D" w:rsidTr="00E96157">
        <w:tc>
          <w:tcPr>
            <w:tcW w:w="2552" w:type="dxa"/>
            <w:gridSpan w:val="2"/>
            <w:vAlign w:val="center"/>
          </w:tcPr>
          <w:p w:rsidR="007B62FA" w:rsidRPr="00953167" w:rsidRDefault="007B62FA" w:rsidP="00953167">
            <w:pPr>
              <w:autoSpaceDE w:val="0"/>
              <w:autoSpaceDN w:val="0"/>
              <w:adjustRightInd w:val="0"/>
              <w:spacing w:before="29" w:line="288" w:lineRule="auto"/>
              <w:ind w:left="15"/>
              <w:rPr>
                <w:color w:val="000000"/>
                <w:kern w:val="0"/>
                <w:sz w:val="24"/>
              </w:rPr>
            </w:pPr>
            <w:r w:rsidRPr="00953167">
              <w:rPr>
                <w:rFonts w:hint="eastAsia"/>
                <w:color w:val="000000"/>
                <w:kern w:val="0"/>
                <w:sz w:val="24"/>
              </w:rPr>
              <w:t>名称</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交银施罗德基金管理有限公司</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中国建设银行股份有限公司</w:t>
            </w:r>
          </w:p>
        </w:tc>
      </w:tr>
      <w:tr w:rsidR="007B62FA" w:rsidRPr="00D0372D" w:rsidTr="00E96157">
        <w:tc>
          <w:tcPr>
            <w:tcW w:w="1276" w:type="dxa"/>
            <w:vMerge w:val="restart"/>
            <w:vAlign w:val="center"/>
          </w:tcPr>
          <w:p w:rsidR="007B62FA" w:rsidRPr="00953167" w:rsidRDefault="007B62FA" w:rsidP="00953167">
            <w:pPr>
              <w:autoSpaceDE w:val="0"/>
              <w:autoSpaceDN w:val="0"/>
              <w:adjustRightInd w:val="0"/>
              <w:spacing w:before="29" w:line="288" w:lineRule="auto"/>
              <w:ind w:left="15"/>
              <w:rPr>
                <w:color w:val="000000"/>
                <w:kern w:val="0"/>
                <w:sz w:val="24"/>
              </w:rPr>
            </w:pPr>
            <w:r w:rsidRPr="00953167">
              <w:rPr>
                <w:rFonts w:hint="eastAsia"/>
                <w:color w:val="000000"/>
                <w:kern w:val="0"/>
                <w:sz w:val="24"/>
              </w:rPr>
              <w:t>信息披露负责人</w:t>
            </w:r>
          </w:p>
        </w:tc>
        <w:tc>
          <w:tcPr>
            <w:tcW w:w="1276" w:type="dxa"/>
            <w:vAlign w:val="center"/>
          </w:tcPr>
          <w:p w:rsidR="007B62FA" w:rsidRPr="00953167" w:rsidRDefault="007B62FA" w:rsidP="00724E63">
            <w:pPr>
              <w:spacing w:line="288" w:lineRule="auto"/>
              <w:jc w:val="center"/>
              <w:rPr>
                <w:color w:val="000000"/>
                <w:kern w:val="0"/>
                <w:sz w:val="24"/>
              </w:rPr>
            </w:pPr>
            <w:r w:rsidRPr="00953167">
              <w:rPr>
                <w:rFonts w:hint="eastAsia"/>
                <w:color w:val="000000"/>
                <w:kern w:val="0"/>
                <w:sz w:val="24"/>
              </w:rPr>
              <w:t>姓名</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孙艳</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田青</w:t>
            </w:r>
          </w:p>
        </w:tc>
      </w:tr>
      <w:tr w:rsidR="007B62FA" w:rsidRPr="00D0372D" w:rsidTr="00E96157">
        <w:tc>
          <w:tcPr>
            <w:tcW w:w="1276" w:type="dxa"/>
            <w:vMerge/>
            <w:vAlign w:val="center"/>
          </w:tcPr>
          <w:p w:rsidR="007B62FA" w:rsidRPr="00953167" w:rsidRDefault="007B62FA" w:rsidP="00953167">
            <w:pPr>
              <w:autoSpaceDE w:val="0"/>
              <w:autoSpaceDN w:val="0"/>
              <w:adjustRightInd w:val="0"/>
              <w:spacing w:before="29" w:line="288" w:lineRule="auto"/>
              <w:ind w:left="15"/>
              <w:rPr>
                <w:color w:val="000000"/>
                <w:kern w:val="0"/>
                <w:sz w:val="24"/>
              </w:rPr>
            </w:pPr>
          </w:p>
        </w:tc>
        <w:tc>
          <w:tcPr>
            <w:tcW w:w="1276" w:type="dxa"/>
            <w:vAlign w:val="center"/>
          </w:tcPr>
          <w:p w:rsidR="007B62FA" w:rsidRPr="00953167" w:rsidRDefault="007B62FA" w:rsidP="00724E63">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联系电话</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w:t>
            </w:r>
            <w:r w:rsidRPr="00CC4B18">
              <w:rPr>
                <w:color w:val="000000"/>
                <w:kern w:val="0"/>
                <w:sz w:val="24"/>
              </w:rPr>
              <w:t>021</w:t>
            </w:r>
            <w:r w:rsidRPr="00CC4B18">
              <w:rPr>
                <w:color w:val="000000"/>
                <w:kern w:val="0"/>
                <w:sz w:val="24"/>
              </w:rPr>
              <w:t>）</w:t>
            </w:r>
            <w:r w:rsidRPr="00CC4B18">
              <w:rPr>
                <w:color w:val="000000"/>
                <w:kern w:val="0"/>
                <w:sz w:val="24"/>
              </w:rPr>
              <w:t>61055050</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010-67595096</w:t>
            </w:r>
          </w:p>
        </w:tc>
      </w:tr>
      <w:tr w:rsidR="007B62FA" w:rsidRPr="00D0372D" w:rsidTr="00E96157">
        <w:tc>
          <w:tcPr>
            <w:tcW w:w="1276" w:type="dxa"/>
            <w:vMerge/>
            <w:vAlign w:val="center"/>
          </w:tcPr>
          <w:p w:rsidR="007B62FA" w:rsidRPr="00953167" w:rsidRDefault="007B62FA" w:rsidP="00953167">
            <w:pPr>
              <w:autoSpaceDE w:val="0"/>
              <w:autoSpaceDN w:val="0"/>
              <w:adjustRightInd w:val="0"/>
              <w:spacing w:before="29" w:line="288" w:lineRule="auto"/>
              <w:ind w:left="15"/>
              <w:rPr>
                <w:color w:val="000000"/>
                <w:kern w:val="0"/>
                <w:sz w:val="24"/>
              </w:rPr>
            </w:pPr>
          </w:p>
        </w:tc>
        <w:tc>
          <w:tcPr>
            <w:tcW w:w="1276" w:type="dxa"/>
            <w:vAlign w:val="center"/>
          </w:tcPr>
          <w:p w:rsidR="007B62FA" w:rsidRPr="00953167" w:rsidRDefault="007B62FA" w:rsidP="00724E63">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电子邮箱</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xxpl@jysld.com,disclosure@jysld.com</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tianqing1.zh@ccb.com</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客户服务电话</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400-700-5000</w:t>
            </w:r>
            <w:r w:rsidRPr="00CC4B18">
              <w:rPr>
                <w:color w:val="000000"/>
                <w:kern w:val="0"/>
                <w:sz w:val="24"/>
              </w:rPr>
              <w:t>，</w:t>
            </w:r>
            <w:r w:rsidRPr="00CC4B18">
              <w:rPr>
                <w:color w:val="000000"/>
                <w:kern w:val="0"/>
                <w:sz w:val="24"/>
              </w:rPr>
              <w:t>021-61055000</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010-67595096</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传真</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w:t>
            </w:r>
            <w:r w:rsidRPr="00CC4B18">
              <w:rPr>
                <w:color w:val="000000"/>
                <w:kern w:val="0"/>
                <w:sz w:val="24"/>
              </w:rPr>
              <w:t>021</w:t>
            </w:r>
            <w:r w:rsidRPr="00CC4B18">
              <w:rPr>
                <w:color w:val="000000"/>
                <w:kern w:val="0"/>
                <w:sz w:val="24"/>
              </w:rPr>
              <w:t>）</w:t>
            </w:r>
            <w:r w:rsidRPr="00CC4B18">
              <w:rPr>
                <w:color w:val="000000"/>
                <w:kern w:val="0"/>
                <w:sz w:val="24"/>
              </w:rPr>
              <w:t>61055054</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010-66275853</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注册地址</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上海市浦东</w:t>
            </w:r>
            <w:proofErr w:type="gramStart"/>
            <w:r w:rsidRPr="00CC4B18">
              <w:rPr>
                <w:color w:val="000000"/>
                <w:kern w:val="0"/>
                <w:sz w:val="24"/>
              </w:rPr>
              <w:t>新区银</w:t>
            </w:r>
            <w:proofErr w:type="gramEnd"/>
            <w:r w:rsidRPr="00CC4B18">
              <w:rPr>
                <w:color w:val="000000"/>
                <w:kern w:val="0"/>
                <w:sz w:val="24"/>
              </w:rPr>
              <w:t>城中路</w:t>
            </w:r>
            <w:r w:rsidRPr="00CC4B18">
              <w:rPr>
                <w:color w:val="000000"/>
                <w:kern w:val="0"/>
                <w:sz w:val="24"/>
              </w:rPr>
              <w:t>188</w:t>
            </w:r>
            <w:r w:rsidRPr="00CC4B18">
              <w:rPr>
                <w:color w:val="000000"/>
                <w:kern w:val="0"/>
                <w:sz w:val="24"/>
              </w:rPr>
              <w:t>号交通银行大楼二层（裙）</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北京市西城区金融大街</w:t>
            </w:r>
            <w:r w:rsidRPr="00CC4B18">
              <w:rPr>
                <w:color w:val="000000"/>
                <w:kern w:val="0"/>
                <w:sz w:val="24"/>
              </w:rPr>
              <w:t>25</w:t>
            </w:r>
            <w:r w:rsidRPr="00CC4B18">
              <w:rPr>
                <w:color w:val="000000"/>
                <w:kern w:val="0"/>
                <w:sz w:val="24"/>
              </w:rPr>
              <w:t>号</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办公地址</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上海浦东</w:t>
            </w:r>
            <w:proofErr w:type="gramStart"/>
            <w:r w:rsidRPr="00CC4B18">
              <w:rPr>
                <w:color w:val="000000"/>
                <w:kern w:val="0"/>
                <w:sz w:val="24"/>
              </w:rPr>
              <w:t>新区世纪</w:t>
            </w:r>
            <w:proofErr w:type="gramEnd"/>
            <w:r w:rsidRPr="00CC4B18">
              <w:rPr>
                <w:color w:val="000000"/>
                <w:kern w:val="0"/>
                <w:sz w:val="24"/>
              </w:rPr>
              <w:t>大道</w:t>
            </w:r>
            <w:r w:rsidRPr="00CC4B18">
              <w:rPr>
                <w:color w:val="000000"/>
                <w:kern w:val="0"/>
                <w:sz w:val="24"/>
              </w:rPr>
              <w:t>8</w:t>
            </w:r>
            <w:r w:rsidRPr="00CC4B18">
              <w:rPr>
                <w:color w:val="000000"/>
                <w:kern w:val="0"/>
                <w:sz w:val="24"/>
              </w:rPr>
              <w:t>号国</w:t>
            </w:r>
            <w:proofErr w:type="gramStart"/>
            <w:r w:rsidRPr="00CC4B18">
              <w:rPr>
                <w:color w:val="000000"/>
                <w:kern w:val="0"/>
                <w:sz w:val="24"/>
              </w:rPr>
              <w:t>金中心</w:t>
            </w:r>
            <w:proofErr w:type="gramEnd"/>
            <w:r w:rsidRPr="00CC4B18">
              <w:rPr>
                <w:color w:val="000000"/>
                <w:kern w:val="0"/>
                <w:sz w:val="24"/>
              </w:rPr>
              <w:t>二期</w:t>
            </w:r>
            <w:r w:rsidRPr="00CC4B18">
              <w:rPr>
                <w:color w:val="000000"/>
                <w:kern w:val="0"/>
                <w:sz w:val="24"/>
              </w:rPr>
              <w:t>21-22</w:t>
            </w:r>
            <w:r w:rsidRPr="00CC4B18">
              <w:rPr>
                <w:color w:val="000000"/>
                <w:kern w:val="0"/>
                <w:sz w:val="24"/>
              </w:rPr>
              <w:t>楼</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北京市西城区闹市口大街</w:t>
            </w:r>
            <w:r w:rsidRPr="00CC4B18">
              <w:rPr>
                <w:color w:val="000000"/>
                <w:kern w:val="0"/>
                <w:sz w:val="24"/>
              </w:rPr>
              <w:t>1</w:t>
            </w:r>
            <w:r w:rsidRPr="00CC4B18">
              <w:rPr>
                <w:color w:val="000000"/>
                <w:kern w:val="0"/>
                <w:sz w:val="24"/>
              </w:rPr>
              <w:t>号院</w:t>
            </w:r>
            <w:r w:rsidRPr="00CC4B18">
              <w:rPr>
                <w:color w:val="000000"/>
                <w:kern w:val="0"/>
                <w:sz w:val="24"/>
              </w:rPr>
              <w:t>1</w:t>
            </w:r>
            <w:r w:rsidRPr="00CC4B18">
              <w:rPr>
                <w:color w:val="000000"/>
                <w:kern w:val="0"/>
                <w:sz w:val="24"/>
              </w:rPr>
              <w:t>号楼</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邮政编码</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200120</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100033</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法定代表人</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于亚利</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王洪章</w:t>
            </w:r>
          </w:p>
        </w:tc>
      </w:tr>
    </w:tbl>
    <w:p w:rsidR="007B62FA" w:rsidRPr="00D0372D" w:rsidRDefault="007B62FA" w:rsidP="00417F87">
      <w:pPr>
        <w:tabs>
          <w:tab w:val="left" w:pos="1740"/>
        </w:tabs>
        <w:spacing w:line="360" w:lineRule="auto"/>
        <w:rPr>
          <w:rFonts w:ascii="宋体" w:hAnsi="宋体"/>
          <w:color w:val="000000"/>
          <w:szCs w:val="21"/>
        </w:rPr>
      </w:pPr>
    </w:p>
    <w:p w:rsidR="007B62FA" w:rsidRPr="00D724BB" w:rsidRDefault="007B62FA" w:rsidP="00D724BB">
      <w:pPr>
        <w:pStyle w:val="20"/>
        <w:spacing w:before="29" w:after="0" w:line="288" w:lineRule="auto"/>
        <w:rPr>
          <w:rFonts w:ascii="Times New Roman" w:hAnsi="Times New Roman"/>
          <w:kern w:val="0"/>
          <w:szCs w:val="24"/>
        </w:rPr>
      </w:pPr>
      <w:bookmarkStart w:id="47" w:name="_Toc224618346"/>
      <w:bookmarkStart w:id="48" w:name="_Toc235605676"/>
      <w:bookmarkStart w:id="49" w:name="_Toc286929724"/>
      <w:bookmarkStart w:id="50" w:name="_Toc352255964"/>
      <w:bookmarkStart w:id="51" w:name="_Toc352256032"/>
      <w:bookmarkStart w:id="52" w:name="_Toc352331210"/>
      <w:bookmarkStart w:id="53" w:name="_Toc362423988"/>
      <w:bookmarkStart w:id="54" w:name="_Toc478411379"/>
      <w:r w:rsidRPr="00D724BB">
        <w:rPr>
          <w:rFonts w:ascii="Times New Roman" w:hAnsi="Times New Roman"/>
          <w:kern w:val="0"/>
          <w:szCs w:val="24"/>
        </w:rPr>
        <w:t xml:space="preserve">2.4 </w:t>
      </w:r>
      <w:r w:rsidRPr="00D724BB">
        <w:rPr>
          <w:rFonts w:ascii="Times New Roman" w:hAnsi="Times New Roman" w:hint="eastAsia"/>
          <w:kern w:val="0"/>
          <w:szCs w:val="24"/>
        </w:rPr>
        <w:t>境外投资顾问和境外资产托管人</w:t>
      </w:r>
      <w:bookmarkEnd w:id="47"/>
      <w:bookmarkEnd w:id="48"/>
      <w:bookmarkEnd w:id="49"/>
      <w:bookmarkEnd w:id="50"/>
      <w:bookmarkEnd w:id="51"/>
      <w:bookmarkEnd w:id="52"/>
      <w:bookmarkEnd w:id="53"/>
      <w:bookmarkEnd w:id="5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276"/>
        <w:gridCol w:w="3260"/>
        <w:gridCol w:w="3186"/>
      </w:tblGrid>
      <w:tr w:rsidR="007B62FA" w:rsidRPr="00D0372D" w:rsidTr="009C3238">
        <w:tc>
          <w:tcPr>
            <w:tcW w:w="2552" w:type="dxa"/>
            <w:gridSpan w:val="2"/>
            <w:vAlign w:val="center"/>
          </w:tcPr>
          <w:p w:rsidR="007B62FA" w:rsidRPr="00D724BB" w:rsidRDefault="007B62FA" w:rsidP="00D724BB">
            <w:pPr>
              <w:spacing w:before="29" w:line="288" w:lineRule="auto"/>
              <w:jc w:val="center"/>
              <w:rPr>
                <w:color w:val="000000"/>
                <w:sz w:val="24"/>
              </w:rPr>
            </w:pPr>
            <w:r w:rsidRPr="00D724BB">
              <w:rPr>
                <w:rFonts w:hint="eastAsia"/>
                <w:color w:val="000000"/>
                <w:sz w:val="24"/>
              </w:rPr>
              <w:t>项目</w:t>
            </w:r>
          </w:p>
        </w:tc>
        <w:tc>
          <w:tcPr>
            <w:tcW w:w="3260" w:type="dxa"/>
            <w:vAlign w:val="center"/>
          </w:tcPr>
          <w:p w:rsidR="007B62FA" w:rsidRPr="00D724BB" w:rsidRDefault="007B62FA" w:rsidP="00D724BB">
            <w:pPr>
              <w:spacing w:before="29" w:line="288" w:lineRule="auto"/>
              <w:jc w:val="center"/>
              <w:rPr>
                <w:color w:val="000000"/>
                <w:sz w:val="24"/>
              </w:rPr>
            </w:pPr>
            <w:r w:rsidRPr="00D724BB">
              <w:rPr>
                <w:rFonts w:hint="eastAsia"/>
                <w:color w:val="000000"/>
                <w:sz w:val="24"/>
              </w:rPr>
              <w:t>境外投资顾问</w:t>
            </w:r>
          </w:p>
        </w:tc>
        <w:tc>
          <w:tcPr>
            <w:tcW w:w="3186" w:type="dxa"/>
            <w:vAlign w:val="center"/>
          </w:tcPr>
          <w:p w:rsidR="007B62FA" w:rsidRPr="00D724BB" w:rsidRDefault="007B62FA" w:rsidP="00D724BB">
            <w:pPr>
              <w:spacing w:before="29" w:line="288" w:lineRule="auto"/>
              <w:jc w:val="center"/>
              <w:rPr>
                <w:color w:val="000000"/>
                <w:sz w:val="24"/>
              </w:rPr>
            </w:pPr>
            <w:r w:rsidRPr="00D724BB">
              <w:rPr>
                <w:rFonts w:hint="eastAsia"/>
                <w:color w:val="000000"/>
                <w:sz w:val="24"/>
              </w:rPr>
              <w:t>境外资产托管人</w:t>
            </w:r>
          </w:p>
        </w:tc>
      </w:tr>
      <w:tr w:rsidR="007B62FA" w:rsidRPr="00D0372D" w:rsidTr="009C3238">
        <w:trPr>
          <w:trHeight w:val="370"/>
        </w:trPr>
        <w:tc>
          <w:tcPr>
            <w:tcW w:w="1276" w:type="dxa"/>
            <w:vMerge w:val="restart"/>
            <w:vAlign w:val="center"/>
          </w:tcPr>
          <w:p w:rsidR="007B62FA" w:rsidRPr="00D724BB" w:rsidRDefault="007B62FA" w:rsidP="00D724BB">
            <w:pPr>
              <w:spacing w:before="29" w:line="288" w:lineRule="auto"/>
              <w:rPr>
                <w:color w:val="000000"/>
                <w:sz w:val="24"/>
              </w:rPr>
            </w:pPr>
            <w:r w:rsidRPr="00D724BB">
              <w:rPr>
                <w:rFonts w:hint="eastAsia"/>
                <w:color w:val="000000"/>
                <w:sz w:val="24"/>
              </w:rPr>
              <w:t>名称</w:t>
            </w:r>
          </w:p>
        </w:tc>
        <w:tc>
          <w:tcPr>
            <w:tcW w:w="1276" w:type="dxa"/>
            <w:vAlign w:val="center"/>
          </w:tcPr>
          <w:p w:rsidR="007B62FA" w:rsidRPr="00D724BB" w:rsidRDefault="007B62FA" w:rsidP="00D724BB">
            <w:pPr>
              <w:spacing w:before="29" w:line="288" w:lineRule="auto"/>
              <w:rPr>
                <w:color w:val="000000"/>
                <w:sz w:val="24"/>
              </w:rPr>
            </w:pPr>
            <w:r w:rsidRPr="00D724BB">
              <w:rPr>
                <w:rFonts w:hint="eastAsia"/>
                <w:color w:val="000000"/>
                <w:sz w:val="24"/>
              </w:rPr>
              <w:t>英文</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Schroder Investment Management Limited</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JPMorgan Chase Bank</w:t>
            </w:r>
            <w:r w:rsidRPr="00DE561B">
              <w:rPr>
                <w:color w:val="000000"/>
                <w:sz w:val="24"/>
              </w:rPr>
              <w:t>，</w:t>
            </w:r>
            <w:r w:rsidRPr="00DE561B">
              <w:rPr>
                <w:color w:val="000000"/>
                <w:sz w:val="24"/>
              </w:rPr>
              <w:t>National Association</w:t>
            </w:r>
          </w:p>
        </w:tc>
      </w:tr>
      <w:tr w:rsidR="007B62FA" w:rsidRPr="00D0372D" w:rsidTr="009C3238">
        <w:trPr>
          <w:trHeight w:val="335"/>
        </w:trPr>
        <w:tc>
          <w:tcPr>
            <w:tcW w:w="1276" w:type="dxa"/>
            <w:vMerge/>
            <w:vAlign w:val="center"/>
          </w:tcPr>
          <w:p w:rsidR="007B62FA" w:rsidRPr="00D724BB" w:rsidRDefault="007B62FA" w:rsidP="00D724BB">
            <w:pPr>
              <w:spacing w:before="29" w:line="288" w:lineRule="auto"/>
              <w:rPr>
                <w:color w:val="000000"/>
                <w:sz w:val="24"/>
              </w:rPr>
            </w:pPr>
          </w:p>
        </w:tc>
        <w:tc>
          <w:tcPr>
            <w:tcW w:w="1276" w:type="dxa"/>
            <w:vAlign w:val="center"/>
          </w:tcPr>
          <w:p w:rsidR="007B62FA" w:rsidRPr="00D724BB" w:rsidRDefault="007B62FA" w:rsidP="00D724BB">
            <w:pPr>
              <w:spacing w:before="29" w:line="288" w:lineRule="auto"/>
              <w:rPr>
                <w:color w:val="000000"/>
                <w:sz w:val="24"/>
              </w:rPr>
            </w:pPr>
            <w:r w:rsidRPr="00D724BB">
              <w:rPr>
                <w:rFonts w:hint="eastAsia"/>
                <w:color w:val="000000"/>
                <w:sz w:val="24"/>
              </w:rPr>
              <w:t>中文</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施罗德投资管理有限公司</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摩根大通银行</w:t>
            </w:r>
          </w:p>
        </w:tc>
      </w:tr>
      <w:tr w:rsidR="007B62FA" w:rsidRPr="00D0372D" w:rsidTr="009C3238">
        <w:tc>
          <w:tcPr>
            <w:tcW w:w="2552" w:type="dxa"/>
            <w:gridSpan w:val="2"/>
            <w:vAlign w:val="center"/>
          </w:tcPr>
          <w:p w:rsidR="007B62FA" w:rsidRPr="00D724BB" w:rsidRDefault="007B62FA" w:rsidP="00D724BB">
            <w:pPr>
              <w:spacing w:before="29" w:line="288" w:lineRule="auto"/>
              <w:rPr>
                <w:color w:val="000000"/>
                <w:sz w:val="24"/>
              </w:rPr>
            </w:pPr>
            <w:r w:rsidRPr="00D724BB">
              <w:rPr>
                <w:rFonts w:hint="eastAsia"/>
                <w:color w:val="000000"/>
                <w:sz w:val="24"/>
              </w:rPr>
              <w:t>注册地址</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英国伦敦</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1111 Polaris Parkway, Columbus, OH43240, U.S.A.</w:t>
            </w:r>
          </w:p>
        </w:tc>
      </w:tr>
      <w:tr w:rsidR="007B62FA" w:rsidRPr="00D0372D" w:rsidTr="009C3238">
        <w:tc>
          <w:tcPr>
            <w:tcW w:w="2552" w:type="dxa"/>
            <w:gridSpan w:val="2"/>
            <w:vAlign w:val="center"/>
          </w:tcPr>
          <w:p w:rsidR="007B62FA" w:rsidRPr="00D724BB" w:rsidRDefault="007B62FA" w:rsidP="00D724BB">
            <w:pPr>
              <w:spacing w:before="29" w:line="288" w:lineRule="auto"/>
              <w:rPr>
                <w:color w:val="000000"/>
                <w:sz w:val="24"/>
              </w:rPr>
            </w:pPr>
            <w:r w:rsidRPr="00D724BB">
              <w:rPr>
                <w:rFonts w:hint="eastAsia"/>
                <w:color w:val="000000"/>
                <w:sz w:val="24"/>
              </w:rPr>
              <w:t>办公地址</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31 Gresham Street London</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270 Park Avenue, New York, New York 10017</w:t>
            </w:r>
          </w:p>
        </w:tc>
      </w:tr>
      <w:tr w:rsidR="007B62FA" w:rsidRPr="00D0372D" w:rsidTr="009C3238">
        <w:tc>
          <w:tcPr>
            <w:tcW w:w="2552" w:type="dxa"/>
            <w:gridSpan w:val="2"/>
            <w:vAlign w:val="center"/>
          </w:tcPr>
          <w:p w:rsidR="007B62FA" w:rsidRPr="00D724BB" w:rsidRDefault="007B62FA" w:rsidP="00D724BB">
            <w:pPr>
              <w:spacing w:before="29" w:line="288" w:lineRule="auto"/>
              <w:rPr>
                <w:color w:val="000000"/>
                <w:sz w:val="24"/>
              </w:rPr>
            </w:pPr>
            <w:r w:rsidRPr="00D724BB">
              <w:rPr>
                <w:rFonts w:hint="eastAsia"/>
                <w:color w:val="000000"/>
                <w:sz w:val="24"/>
              </w:rPr>
              <w:t>邮政编码</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EC2V 7QA</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10017</w:t>
            </w:r>
          </w:p>
        </w:tc>
      </w:tr>
    </w:tbl>
    <w:p w:rsidR="007B62FA" w:rsidRPr="00D0372D" w:rsidRDefault="007B62FA" w:rsidP="00417F87">
      <w:pPr>
        <w:tabs>
          <w:tab w:val="left" w:pos="1740"/>
        </w:tabs>
        <w:spacing w:line="360" w:lineRule="auto"/>
        <w:rPr>
          <w:rFonts w:ascii="宋体" w:hAnsi="宋体"/>
          <w:color w:val="000000"/>
          <w:szCs w:val="21"/>
        </w:rPr>
      </w:pPr>
    </w:p>
    <w:p w:rsidR="007B62FA" w:rsidRPr="00A7275F" w:rsidRDefault="007B62FA" w:rsidP="00A7275F">
      <w:pPr>
        <w:pStyle w:val="20"/>
        <w:spacing w:before="29" w:after="0" w:line="288" w:lineRule="auto"/>
        <w:rPr>
          <w:rFonts w:ascii="Times New Roman" w:hAnsi="Times New Roman"/>
          <w:kern w:val="0"/>
          <w:szCs w:val="24"/>
        </w:rPr>
      </w:pPr>
      <w:bookmarkStart w:id="55" w:name="_Toc225498248"/>
      <w:bookmarkStart w:id="56" w:name="_Toc352255965"/>
      <w:bookmarkStart w:id="57" w:name="_Toc352256033"/>
      <w:bookmarkStart w:id="58" w:name="_Toc352331211"/>
      <w:bookmarkStart w:id="59" w:name="_Toc362423989"/>
      <w:bookmarkStart w:id="60" w:name="_Toc478411380"/>
      <w:r w:rsidRPr="00A7275F">
        <w:rPr>
          <w:rFonts w:ascii="Times New Roman" w:hAnsi="Times New Roman"/>
          <w:kern w:val="0"/>
          <w:szCs w:val="24"/>
        </w:rPr>
        <w:t xml:space="preserve">2.5 </w:t>
      </w:r>
      <w:r w:rsidRPr="00A7275F">
        <w:rPr>
          <w:rFonts w:ascii="Times New Roman" w:hAnsi="Times New Roman" w:hint="eastAsia"/>
          <w:kern w:val="0"/>
          <w:szCs w:val="24"/>
        </w:rPr>
        <w:t>信息披露方式</w:t>
      </w:r>
      <w:bookmarkEnd w:id="55"/>
      <w:bookmarkEnd w:id="56"/>
      <w:bookmarkEnd w:id="57"/>
      <w:bookmarkEnd w:id="58"/>
      <w:bookmarkEnd w:id="59"/>
      <w:bookmarkEnd w:id="6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7B62FA" w:rsidRPr="00D0372D" w:rsidTr="00A7275F">
        <w:tc>
          <w:tcPr>
            <w:tcW w:w="4820" w:type="dxa"/>
            <w:vAlign w:val="center"/>
          </w:tcPr>
          <w:p w:rsidR="007B62FA" w:rsidRPr="00A7275F" w:rsidRDefault="007B62FA" w:rsidP="00A7275F">
            <w:pPr>
              <w:tabs>
                <w:tab w:val="left" w:pos="1740"/>
              </w:tabs>
              <w:spacing w:before="29" w:line="288" w:lineRule="auto"/>
              <w:rPr>
                <w:color w:val="000000"/>
                <w:sz w:val="24"/>
              </w:rPr>
            </w:pPr>
            <w:r w:rsidRPr="00A7275F">
              <w:rPr>
                <w:rFonts w:hint="eastAsia"/>
                <w:color w:val="000000"/>
                <w:sz w:val="24"/>
              </w:rPr>
              <w:t>本基金选定的信息披露报纸名称</w:t>
            </w:r>
          </w:p>
        </w:tc>
        <w:tc>
          <w:tcPr>
            <w:tcW w:w="4178" w:type="dxa"/>
            <w:vAlign w:val="center"/>
          </w:tcPr>
          <w:p w:rsidR="007B62FA" w:rsidRPr="00A7275F" w:rsidRDefault="007B62FA" w:rsidP="00A7275F">
            <w:pPr>
              <w:tabs>
                <w:tab w:val="left" w:pos="1740"/>
              </w:tabs>
              <w:spacing w:before="29" w:line="288" w:lineRule="auto"/>
              <w:jc w:val="left"/>
              <w:rPr>
                <w:color w:val="000000"/>
                <w:sz w:val="24"/>
              </w:rPr>
            </w:pPr>
            <w:r w:rsidRPr="00A7275F">
              <w:rPr>
                <w:color w:val="000000"/>
                <w:sz w:val="24"/>
              </w:rPr>
              <w:t>《中国证券报》、《上海证券报》和《证</w:t>
            </w:r>
            <w:r w:rsidRPr="00A7275F">
              <w:rPr>
                <w:color w:val="000000"/>
                <w:sz w:val="24"/>
              </w:rPr>
              <w:lastRenderedPageBreak/>
              <w:t>券时报》</w:t>
            </w:r>
          </w:p>
        </w:tc>
      </w:tr>
      <w:tr w:rsidR="007B62FA" w:rsidRPr="00D0372D" w:rsidTr="00A7275F">
        <w:tc>
          <w:tcPr>
            <w:tcW w:w="4820" w:type="dxa"/>
            <w:vAlign w:val="center"/>
          </w:tcPr>
          <w:p w:rsidR="007B62FA" w:rsidRPr="00A7275F" w:rsidRDefault="007B62FA" w:rsidP="00A7275F">
            <w:pPr>
              <w:tabs>
                <w:tab w:val="left" w:pos="1740"/>
              </w:tabs>
              <w:spacing w:before="29" w:line="288" w:lineRule="auto"/>
              <w:rPr>
                <w:color w:val="000000"/>
                <w:sz w:val="24"/>
              </w:rPr>
            </w:pPr>
            <w:r w:rsidRPr="00A7275F">
              <w:rPr>
                <w:rFonts w:hint="eastAsia"/>
                <w:color w:val="000000"/>
                <w:sz w:val="24"/>
              </w:rPr>
              <w:lastRenderedPageBreak/>
              <w:t>登载基金年度报告正文的管理人互联网网址</w:t>
            </w:r>
          </w:p>
        </w:tc>
        <w:tc>
          <w:tcPr>
            <w:tcW w:w="4178" w:type="dxa"/>
            <w:vAlign w:val="center"/>
          </w:tcPr>
          <w:p w:rsidR="007B62FA" w:rsidRPr="00A7275F" w:rsidRDefault="007B62FA" w:rsidP="00A7275F">
            <w:pPr>
              <w:tabs>
                <w:tab w:val="left" w:pos="1740"/>
              </w:tabs>
              <w:spacing w:before="29" w:line="288" w:lineRule="auto"/>
              <w:jc w:val="left"/>
              <w:rPr>
                <w:color w:val="000000"/>
                <w:sz w:val="24"/>
              </w:rPr>
            </w:pPr>
            <w:r w:rsidRPr="00A7275F">
              <w:rPr>
                <w:color w:val="000000"/>
                <w:sz w:val="24"/>
              </w:rPr>
              <w:t>www.fund001.com</w:t>
            </w:r>
            <w:r w:rsidRPr="00A7275F">
              <w:rPr>
                <w:color w:val="000000"/>
                <w:sz w:val="24"/>
              </w:rPr>
              <w:t>，</w:t>
            </w:r>
            <w:r w:rsidRPr="00A7275F">
              <w:rPr>
                <w:color w:val="000000"/>
                <w:sz w:val="24"/>
              </w:rPr>
              <w:t>www.bocomschroder.com</w:t>
            </w:r>
          </w:p>
        </w:tc>
      </w:tr>
      <w:tr w:rsidR="007B62FA" w:rsidRPr="00D0372D" w:rsidTr="00A7275F">
        <w:tc>
          <w:tcPr>
            <w:tcW w:w="4820" w:type="dxa"/>
            <w:vAlign w:val="center"/>
          </w:tcPr>
          <w:p w:rsidR="007B62FA" w:rsidRPr="00A7275F" w:rsidRDefault="007B62FA" w:rsidP="00A7275F">
            <w:pPr>
              <w:tabs>
                <w:tab w:val="left" w:pos="1740"/>
              </w:tabs>
              <w:spacing w:before="29" w:line="288" w:lineRule="auto"/>
              <w:rPr>
                <w:color w:val="000000"/>
                <w:sz w:val="24"/>
              </w:rPr>
            </w:pPr>
            <w:r w:rsidRPr="00A7275F">
              <w:rPr>
                <w:rFonts w:hint="eastAsia"/>
                <w:color w:val="000000"/>
                <w:sz w:val="24"/>
              </w:rPr>
              <w:t>基金年度报告备置地点</w:t>
            </w:r>
          </w:p>
        </w:tc>
        <w:tc>
          <w:tcPr>
            <w:tcW w:w="4178" w:type="dxa"/>
            <w:vAlign w:val="center"/>
          </w:tcPr>
          <w:p w:rsidR="007B62FA" w:rsidRPr="00A7275F" w:rsidRDefault="007B62FA" w:rsidP="00A7275F">
            <w:pPr>
              <w:tabs>
                <w:tab w:val="left" w:pos="1740"/>
              </w:tabs>
              <w:spacing w:before="29" w:line="288" w:lineRule="auto"/>
              <w:jc w:val="left"/>
              <w:rPr>
                <w:color w:val="000000"/>
                <w:sz w:val="24"/>
              </w:rPr>
            </w:pPr>
            <w:r w:rsidRPr="00A7275F">
              <w:rPr>
                <w:color w:val="000000"/>
                <w:sz w:val="24"/>
              </w:rPr>
              <w:t>基金管理人的办公场所</w:t>
            </w:r>
          </w:p>
        </w:tc>
      </w:tr>
    </w:tbl>
    <w:p w:rsidR="007B62FA" w:rsidRPr="00D0372D" w:rsidRDefault="007B62FA" w:rsidP="00417F87">
      <w:pPr>
        <w:spacing w:line="360" w:lineRule="auto"/>
        <w:rPr>
          <w:rFonts w:ascii="宋体" w:hAnsi="宋体"/>
          <w:color w:val="000000"/>
          <w:szCs w:val="21"/>
        </w:rPr>
      </w:pPr>
    </w:p>
    <w:p w:rsidR="007B62FA" w:rsidRPr="00A7275F" w:rsidRDefault="007B62FA" w:rsidP="00A7275F">
      <w:pPr>
        <w:pStyle w:val="20"/>
        <w:spacing w:before="29" w:after="0" w:line="288" w:lineRule="auto"/>
        <w:rPr>
          <w:rFonts w:ascii="Times New Roman" w:hAnsi="Times New Roman"/>
          <w:kern w:val="0"/>
          <w:szCs w:val="24"/>
        </w:rPr>
      </w:pPr>
      <w:bookmarkStart w:id="61" w:name="_Toc225498249"/>
      <w:bookmarkStart w:id="62" w:name="_Toc352255966"/>
      <w:bookmarkStart w:id="63" w:name="_Toc352256034"/>
      <w:bookmarkStart w:id="64" w:name="_Toc352331212"/>
      <w:bookmarkStart w:id="65" w:name="_Toc362423990"/>
      <w:bookmarkStart w:id="66" w:name="_Toc478411381"/>
      <w:r w:rsidRPr="00A7275F">
        <w:rPr>
          <w:rFonts w:ascii="Times New Roman" w:hAnsi="Times New Roman"/>
          <w:kern w:val="0"/>
          <w:szCs w:val="24"/>
        </w:rPr>
        <w:t xml:space="preserve">2.6 </w:t>
      </w:r>
      <w:r w:rsidRPr="00A7275F">
        <w:rPr>
          <w:rFonts w:ascii="Times New Roman" w:hAnsi="Times New Roman" w:hint="eastAsia"/>
          <w:kern w:val="0"/>
          <w:szCs w:val="24"/>
        </w:rPr>
        <w:t>其他相关资料</w:t>
      </w:r>
      <w:bookmarkEnd w:id="61"/>
      <w:bookmarkEnd w:id="62"/>
      <w:bookmarkEnd w:id="63"/>
      <w:bookmarkEnd w:id="64"/>
      <w:bookmarkEnd w:id="65"/>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B62FA" w:rsidRPr="00D0372D" w:rsidTr="006D141C">
        <w:tc>
          <w:tcPr>
            <w:tcW w:w="1951" w:type="dxa"/>
          </w:tcPr>
          <w:p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项目</w:t>
            </w:r>
          </w:p>
        </w:tc>
        <w:tc>
          <w:tcPr>
            <w:tcW w:w="3260" w:type="dxa"/>
          </w:tcPr>
          <w:p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名称</w:t>
            </w:r>
          </w:p>
        </w:tc>
        <w:tc>
          <w:tcPr>
            <w:tcW w:w="4075" w:type="dxa"/>
          </w:tcPr>
          <w:p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办公地址</w:t>
            </w:r>
          </w:p>
        </w:tc>
      </w:tr>
      <w:tr w:rsidR="007B62FA" w:rsidRPr="00D0372D" w:rsidTr="00152443">
        <w:tc>
          <w:tcPr>
            <w:tcW w:w="1951" w:type="dxa"/>
            <w:vAlign w:val="center"/>
          </w:tcPr>
          <w:p w:rsidR="007B62FA" w:rsidRPr="008D68DB" w:rsidRDefault="007B62FA" w:rsidP="008D68DB">
            <w:pPr>
              <w:tabs>
                <w:tab w:val="left" w:pos="1740"/>
              </w:tabs>
              <w:spacing w:before="29" w:line="288" w:lineRule="auto"/>
              <w:rPr>
                <w:color w:val="000000"/>
                <w:sz w:val="24"/>
              </w:rPr>
            </w:pPr>
            <w:r w:rsidRPr="008D68DB">
              <w:rPr>
                <w:rFonts w:hint="eastAsia"/>
                <w:color w:val="000000"/>
                <w:sz w:val="24"/>
              </w:rPr>
              <w:t>会计师事务所</w:t>
            </w:r>
          </w:p>
        </w:tc>
        <w:tc>
          <w:tcPr>
            <w:tcW w:w="3260"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普华永道中天会计师事务所（特殊普通合伙）</w:t>
            </w:r>
          </w:p>
        </w:tc>
        <w:tc>
          <w:tcPr>
            <w:tcW w:w="4075"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上海市湖滨路</w:t>
            </w:r>
            <w:r w:rsidRPr="008D68DB">
              <w:rPr>
                <w:color w:val="000000"/>
                <w:sz w:val="24"/>
              </w:rPr>
              <w:t>202</w:t>
            </w:r>
            <w:r w:rsidRPr="008D68DB">
              <w:rPr>
                <w:color w:val="000000"/>
                <w:sz w:val="24"/>
              </w:rPr>
              <w:t>号普华永道中心</w:t>
            </w:r>
            <w:r w:rsidRPr="008D68DB">
              <w:rPr>
                <w:color w:val="000000"/>
                <w:sz w:val="24"/>
              </w:rPr>
              <w:t>11</w:t>
            </w:r>
            <w:r w:rsidRPr="008D68DB">
              <w:rPr>
                <w:color w:val="000000"/>
                <w:sz w:val="24"/>
              </w:rPr>
              <w:t>楼</w:t>
            </w:r>
          </w:p>
        </w:tc>
      </w:tr>
      <w:tr w:rsidR="007B62FA" w:rsidRPr="00D0372D" w:rsidTr="00152443">
        <w:tc>
          <w:tcPr>
            <w:tcW w:w="1951" w:type="dxa"/>
            <w:vAlign w:val="center"/>
          </w:tcPr>
          <w:p w:rsidR="007B62FA" w:rsidRPr="008D68DB" w:rsidRDefault="007B62FA" w:rsidP="008D68DB">
            <w:pPr>
              <w:tabs>
                <w:tab w:val="left" w:pos="1740"/>
              </w:tabs>
              <w:spacing w:before="29" w:line="288" w:lineRule="auto"/>
              <w:rPr>
                <w:color w:val="000000"/>
                <w:sz w:val="24"/>
              </w:rPr>
            </w:pPr>
            <w:r w:rsidRPr="008D68DB">
              <w:rPr>
                <w:rFonts w:hint="eastAsia"/>
                <w:color w:val="000000"/>
                <w:sz w:val="24"/>
              </w:rPr>
              <w:t>注册登记机构</w:t>
            </w:r>
          </w:p>
        </w:tc>
        <w:tc>
          <w:tcPr>
            <w:tcW w:w="3260"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中国证券登记结算有限责任公司</w:t>
            </w:r>
          </w:p>
        </w:tc>
        <w:tc>
          <w:tcPr>
            <w:tcW w:w="4075"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北京市西城区太平桥大街</w:t>
            </w:r>
            <w:r w:rsidRPr="008D68DB">
              <w:rPr>
                <w:color w:val="000000"/>
                <w:sz w:val="24"/>
              </w:rPr>
              <w:t>17</w:t>
            </w:r>
            <w:r w:rsidRPr="008D68DB">
              <w:rPr>
                <w:color w:val="000000"/>
                <w:sz w:val="24"/>
              </w:rPr>
              <w:t>号</w:t>
            </w:r>
          </w:p>
        </w:tc>
      </w:tr>
    </w:tbl>
    <w:p w:rsidR="007B62FA" w:rsidRPr="00D0372D" w:rsidRDefault="007B62FA" w:rsidP="00417F87">
      <w:pPr>
        <w:spacing w:line="360" w:lineRule="auto"/>
        <w:rPr>
          <w:rFonts w:ascii="宋体" w:hAnsi="宋体"/>
          <w:color w:val="000000"/>
          <w:szCs w:val="21"/>
        </w:rPr>
      </w:pPr>
    </w:p>
    <w:p w:rsidR="007B62FA" w:rsidRDefault="007B62FA" w:rsidP="000C7A13">
      <w:pPr>
        <w:pStyle w:val="1"/>
        <w:keepNext/>
        <w:keepLines/>
        <w:widowControl w:val="0"/>
        <w:spacing w:beforeLines="100" w:before="312" w:afterLines="100" w:after="312" w:line="288" w:lineRule="auto"/>
        <w:jc w:val="center"/>
        <w:rPr>
          <w:b/>
          <w:bCs/>
          <w:szCs w:val="24"/>
          <w:lang w:val="en-US"/>
        </w:rPr>
      </w:pPr>
      <w:bookmarkStart w:id="67" w:name="_Toc352255967"/>
      <w:bookmarkStart w:id="68" w:name="_Toc352256035"/>
      <w:bookmarkStart w:id="69" w:name="_Toc352331213"/>
      <w:bookmarkStart w:id="70" w:name="_Toc362423991"/>
      <w:bookmarkStart w:id="71" w:name="_Toc478411382"/>
      <w:r w:rsidRPr="008D68DB">
        <w:rPr>
          <w:rFonts w:hint="eastAsia"/>
          <w:b/>
          <w:bCs/>
          <w:szCs w:val="24"/>
          <w:lang w:val="en-US"/>
        </w:rPr>
        <w:t>§</w:t>
      </w:r>
      <w:r w:rsidR="003E5E48" w:rsidRPr="008D68DB">
        <w:rPr>
          <w:b/>
          <w:bCs/>
          <w:szCs w:val="24"/>
          <w:lang w:val="en-US"/>
        </w:rPr>
        <w:t>3</w:t>
      </w:r>
      <w:r w:rsidR="003E5E48" w:rsidRPr="008D68DB">
        <w:rPr>
          <w:rFonts w:hint="eastAsia"/>
          <w:b/>
          <w:bCs/>
          <w:szCs w:val="24"/>
          <w:lang w:val="en-US"/>
        </w:rPr>
        <w:tab/>
        <w:t xml:space="preserve">  </w:t>
      </w:r>
      <w:r w:rsidRPr="008D68DB">
        <w:rPr>
          <w:rFonts w:hint="eastAsia"/>
          <w:b/>
          <w:bCs/>
          <w:szCs w:val="24"/>
          <w:lang w:val="en-US"/>
        </w:rPr>
        <w:t>主要财务指标、基金净值表现及利润分配情况</w:t>
      </w:r>
      <w:bookmarkEnd w:id="67"/>
      <w:bookmarkEnd w:id="68"/>
      <w:bookmarkEnd w:id="69"/>
      <w:bookmarkEnd w:id="70"/>
      <w:bookmarkEnd w:id="71"/>
    </w:p>
    <w:p w:rsidR="00FC649E" w:rsidRPr="00FC649E" w:rsidRDefault="00FC649E" w:rsidP="00FC649E"/>
    <w:p w:rsidR="007B62FA" w:rsidRPr="005401BF" w:rsidRDefault="007B62FA" w:rsidP="005401BF">
      <w:pPr>
        <w:pStyle w:val="20"/>
        <w:spacing w:before="29" w:after="0" w:line="288" w:lineRule="auto"/>
        <w:rPr>
          <w:rFonts w:ascii="Times New Roman" w:hAnsi="Times New Roman"/>
          <w:kern w:val="0"/>
          <w:szCs w:val="24"/>
        </w:rPr>
      </w:pPr>
      <w:bookmarkStart w:id="72" w:name="_Toc286996129"/>
      <w:bookmarkStart w:id="73" w:name="_Toc352255968"/>
      <w:bookmarkStart w:id="74" w:name="_Toc352256036"/>
      <w:bookmarkStart w:id="75" w:name="_Toc352331214"/>
      <w:bookmarkStart w:id="76" w:name="_Toc362423992"/>
      <w:bookmarkStart w:id="77" w:name="_Toc478411383"/>
      <w:r w:rsidRPr="005401BF">
        <w:rPr>
          <w:rFonts w:ascii="Times New Roman" w:hAnsi="Times New Roman"/>
          <w:kern w:val="0"/>
          <w:szCs w:val="24"/>
        </w:rPr>
        <w:t xml:space="preserve">3.1 </w:t>
      </w:r>
      <w:r w:rsidRPr="005401BF">
        <w:rPr>
          <w:rFonts w:ascii="Times New Roman" w:hAnsi="Times New Roman" w:hint="eastAsia"/>
          <w:kern w:val="0"/>
          <w:szCs w:val="24"/>
        </w:rPr>
        <w:t>主要会计数据和财务指标</w:t>
      </w:r>
      <w:bookmarkEnd w:id="72"/>
      <w:bookmarkEnd w:id="73"/>
      <w:bookmarkEnd w:id="74"/>
      <w:bookmarkEnd w:id="75"/>
      <w:bookmarkEnd w:id="76"/>
      <w:bookmarkEnd w:id="77"/>
    </w:p>
    <w:p w:rsidR="007B62FA" w:rsidRPr="005401BF" w:rsidRDefault="007B62FA" w:rsidP="005401BF">
      <w:pPr>
        <w:autoSpaceDE w:val="0"/>
        <w:autoSpaceDN w:val="0"/>
        <w:adjustRightInd w:val="0"/>
        <w:spacing w:before="29" w:line="288" w:lineRule="auto"/>
        <w:ind w:left="15"/>
        <w:jc w:val="right"/>
        <w:rPr>
          <w:color w:val="000000"/>
          <w:kern w:val="0"/>
          <w:sz w:val="24"/>
        </w:rPr>
      </w:pPr>
      <w:r w:rsidRPr="005401BF">
        <w:rPr>
          <w:rFonts w:hint="eastAsia"/>
          <w:color w:val="000000"/>
          <w:kern w:val="0"/>
          <w:sz w:val="24"/>
        </w:rPr>
        <w:t>金额单位：人民币元</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126"/>
        <w:gridCol w:w="2126"/>
        <w:gridCol w:w="1944"/>
      </w:tblGrid>
      <w:tr w:rsidR="007B62FA" w:rsidRPr="00D0372D" w:rsidTr="00F876FB">
        <w:trPr>
          <w:trHeight w:val="487"/>
        </w:trPr>
        <w:tc>
          <w:tcPr>
            <w:tcW w:w="2802" w:type="dxa"/>
            <w:vAlign w:val="center"/>
          </w:tcPr>
          <w:p w:rsidR="007B62FA" w:rsidRPr="002E7213" w:rsidRDefault="007B62FA" w:rsidP="005401BF">
            <w:pPr>
              <w:spacing w:before="29" w:line="288" w:lineRule="auto"/>
              <w:rPr>
                <w:b/>
                <w:szCs w:val="21"/>
              </w:rPr>
            </w:pPr>
            <w:r w:rsidRPr="002E7213">
              <w:rPr>
                <w:b/>
                <w:szCs w:val="21"/>
              </w:rPr>
              <w:t xml:space="preserve">3.1.1 </w:t>
            </w:r>
            <w:r w:rsidRPr="002E7213">
              <w:rPr>
                <w:rFonts w:hint="eastAsia"/>
                <w:b/>
                <w:szCs w:val="21"/>
              </w:rPr>
              <w:t>期间数据和指标</w:t>
            </w:r>
          </w:p>
        </w:tc>
        <w:tc>
          <w:tcPr>
            <w:tcW w:w="2126" w:type="dxa"/>
            <w:vAlign w:val="center"/>
          </w:tcPr>
          <w:p w:rsidR="007B62FA" w:rsidRPr="002E7213" w:rsidRDefault="007B62FA" w:rsidP="005401BF">
            <w:pPr>
              <w:spacing w:before="29" w:line="288" w:lineRule="auto"/>
              <w:jc w:val="center"/>
              <w:rPr>
                <w:b/>
                <w:szCs w:val="21"/>
              </w:rPr>
            </w:pPr>
            <w:r w:rsidRPr="002E7213">
              <w:rPr>
                <w:b/>
                <w:szCs w:val="21"/>
              </w:rPr>
              <w:t>2016</w:t>
            </w:r>
            <w:r w:rsidRPr="002E7213">
              <w:rPr>
                <w:b/>
                <w:szCs w:val="21"/>
              </w:rPr>
              <w:t>年</w:t>
            </w:r>
          </w:p>
        </w:tc>
        <w:tc>
          <w:tcPr>
            <w:tcW w:w="2126" w:type="dxa"/>
            <w:vAlign w:val="center"/>
          </w:tcPr>
          <w:p w:rsidR="007B62FA" w:rsidRPr="002E7213" w:rsidRDefault="007B62FA" w:rsidP="005401BF">
            <w:pPr>
              <w:spacing w:before="29" w:line="288" w:lineRule="auto"/>
              <w:jc w:val="center"/>
              <w:rPr>
                <w:b/>
                <w:szCs w:val="21"/>
              </w:rPr>
            </w:pPr>
            <w:r w:rsidRPr="002E7213">
              <w:rPr>
                <w:b/>
                <w:szCs w:val="21"/>
              </w:rPr>
              <w:t>2015</w:t>
            </w:r>
            <w:r w:rsidRPr="002E7213">
              <w:rPr>
                <w:b/>
                <w:szCs w:val="21"/>
              </w:rPr>
              <w:t>年</w:t>
            </w:r>
          </w:p>
        </w:tc>
        <w:tc>
          <w:tcPr>
            <w:tcW w:w="1944" w:type="dxa"/>
            <w:vAlign w:val="center"/>
          </w:tcPr>
          <w:p w:rsidR="007B62FA" w:rsidRPr="002E7213" w:rsidRDefault="007B62FA" w:rsidP="005401BF">
            <w:pPr>
              <w:spacing w:before="29" w:line="288" w:lineRule="auto"/>
              <w:jc w:val="center"/>
              <w:rPr>
                <w:b/>
                <w:szCs w:val="21"/>
              </w:rPr>
            </w:pPr>
            <w:r w:rsidRPr="002E7213">
              <w:rPr>
                <w:b/>
                <w:szCs w:val="21"/>
              </w:rPr>
              <w:t>2014</w:t>
            </w:r>
            <w:r w:rsidRPr="002E7213">
              <w:rPr>
                <w:b/>
                <w:szCs w:val="21"/>
              </w:rPr>
              <w:t>年</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本期已实现收益</w:t>
            </w:r>
          </w:p>
        </w:tc>
        <w:tc>
          <w:tcPr>
            <w:tcW w:w="2126" w:type="dxa"/>
            <w:vAlign w:val="center"/>
          </w:tcPr>
          <w:p w:rsidR="007B62FA" w:rsidRPr="002E7213" w:rsidRDefault="007B62FA" w:rsidP="008A3521">
            <w:pPr>
              <w:spacing w:before="29" w:line="288" w:lineRule="auto"/>
              <w:jc w:val="right"/>
              <w:rPr>
                <w:szCs w:val="21"/>
              </w:rPr>
            </w:pPr>
            <w:r w:rsidRPr="002E7213">
              <w:rPr>
                <w:szCs w:val="21"/>
              </w:rPr>
              <w:t>-6,907,119.21</w:t>
            </w:r>
          </w:p>
        </w:tc>
        <w:tc>
          <w:tcPr>
            <w:tcW w:w="2126" w:type="dxa"/>
            <w:vAlign w:val="center"/>
          </w:tcPr>
          <w:p w:rsidR="007B62FA" w:rsidRPr="002E7213" w:rsidRDefault="007B62FA" w:rsidP="008A3521">
            <w:pPr>
              <w:spacing w:before="29" w:line="288" w:lineRule="auto"/>
              <w:jc w:val="right"/>
              <w:rPr>
                <w:szCs w:val="21"/>
              </w:rPr>
            </w:pPr>
            <w:r w:rsidRPr="002E7213">
              <w:rPr>
                <w:szCs w:val="21"/>
              </w:rPr>
              <w:t>-14,319,525.43</w:t>
            </w:r>
          </w:p>
        </w:tc>
        <w:tc>
          <w:tcPr>
            <w:tcW w:w="1944" w:type="dxa"/>
            <w:vAlign w:val="center"/>
          </w:tcPr>
          <w:p w:rsidR="007B62FA" w:rsidRPr="002E7213" w:rsidRDefault="007B62FA" w:rsidP="008A3521">
            <w:pPr>
              <w:spacing w:before="29" w:line="288" w:lineRule="auto"/>
              <w:jc w:val="right"/>
              <w:rPr>
                <w:szCs w:val="21"/>
              </w:rPr>
            </w:pPr>
            <w:r w:rsidRPr="002E7213">
              <w:rPr>
                <w:szCs w:val="21"/>
              </w:rPr>
              <w:t>1,009,026.76</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1,926,796.63</w:t>
            </w:r>
          </w:p>
        </w:tc>
        <w:tc>
          <w:tcPr>
            <w:tcW w:w="2126" w:type="dxa"/>
            <w:vAlign w:val="center"/>
          </w:tcPr>
          <w:p w:rsidR="007B62FA" w:rsidRPr="002E7213" w:rsidRDefault="007B62FA" w:rsidP="008A3521">
            <w:pPr>
              <w:spacing w:before="29" w:line="288" w:lineRule="auto"/>
              <w:jc w:val="right"/>
              <w:rPr>
                <w:szCs w:val="21"/>
              </w:rPr>
            </w:pPr>
            <w:r w:rsidRPr="002E7213">
              <w:rPr>
                <w:szCs w:val="21"/>
              </w:rPr>
              <w:t>-20,785,117.33</w:t>
            </w:r>
          </w:p>
        </w:tc>
        <w:tc>
          <w:tcPr>
            <w:tcW w:w="1944" w:type="dxa"/>
            <w:vAlign w:val="center"/>
          </w:tcPr>
          <w:p w:rsidR="007B62FA" w:rsidRPr="002E7213" w:rsidRDefault="007B62FA" w:rsidP="008A3521">
            <w:pPr>
              <w:spacing w:before="29" w:line="288" w:lineRule="auto"/>
              <w:jc w:val="right"/>
              <w:rPr>
                <w:szCs w:val="21"/>
              </w:rPr>
            </w:pPr>
            <w:r w:rsidRPr="002E7213">
              <w:rPr>
                <w:szCs w:val="21"/>
              </w:rPr>
              <w:t>-461,978.62</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加权平均基金份额本期利润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0.0723</w:t>
            </w:r>
          </w:p>
        </w:tc>
        <w:tc>
          <w:tcPr>
            <w:tcW w:w="2126" w:type="dxa"/>
            <w:vAlign w:val="center"/>
          </w:tcPr>
          <w:p w:rsidR="007B62FA" w:rsidRPr="002E7213" w:rsidRDefault="007B62FA" w:rsidP="008A3521">
            <w:pPr>
              <w:spacing w:before="29" w:line="288" w:lineRule="auto"/>
              <w:jc w:val="right"/>
              <w:rPr>
                <w:szCs w:val="21"/>
              </w:rPr>
            </w:pPr>
            <w:r w:rsidRPr="002E7213">
              <w:rPr>
                <w:szCs w:val="21"/>
              </w:rPr>
              <w:t>-0.5203</w:t>
            </w:r>
          </w:p>
        </w:tc>
        <w:tc>
          <w:tcPr>
            <w:tcW w:w="1944" w:type="dxa"/>
            <w:vAlign w:val="center"/>
          </w:tcPr>
          <w:p w:rsidR="007B62FA" w:rsidRPr="002E7213" w:rsidRDefault="007B62FA" w:rsidP="008A3521">
            <w:pPr>
              <w:spacing w:before="29" w:line="288" w:lineRule="auto"/>
              <w:jc w:val="right"/>
              <w:rPr>
                <w:szCs w:val="21"/>
              </w:rPr>
            </w:pPr>
            <w:r w:rsidRPr="002E7213">
              <w:rPr>
                <w:szCs w:val="21"/>
              </w:rPr>
              <w:t>-0.0593</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本期加权平均净值利润率</w:t>
            </w:r>
          </w:p>
        </w:tc>
        <w:tc>
          <w:tcPr>
            <w:tcW w:w="2126" w:type="dxa"/>
            <w:vAlign w:val="center"/>
          </w:tcPr>
          <w:p w:rsidR="007B62FA" w:rsidRPr="002E7213" w:rsidRDefault="007B62FA" w:rsidP="008A3521">
            <w:pPr>
              <w:spacing w:before="29" w:line="288" w:lineRule="auto"/>
              <w:jc w:val="right"/>
              <w:rPr>
                <w:szCs w:val="21"/>
              </w:rPr>
            </w:pPr>
            <w:r w:rsidRPr="002E7213">
              <w:rPr>
                <w:szCs w:val="21"/>
              </w:rPr>
              <w:t>6.33%</w:t>
            </w:r>
          </w:p>
        </w:tc>
        <w:tc>
          <w:tcPr>
            <w:tcW w:w="2126" w:type="dxa"/>
            <w:vAlign w:val="center"/>
          </w:tcPr>
          <w:p w:rsidR="007B62FA" w:rsidRPr="002E7213" w:rsidRDefault="007B62FA" w:rsidP="008A3521">
            <w:pPr>
              <w:spacing w:before="29" w:line="288" w:lineRule="auto"/>
              <w:jc w:val="right"/>
              <w:rPr>
                <w:szCs w:val="21"/>
              </w:rPr>
            </w:pPr>
            <w:r w:rsidRPr="002E7213">
              <w:rPr>
                <w:szCs w:val="21"/>
              </w:rPr>
              <w:t>-40.69%</w:t>
            </w:r>
          </w:p>
        </w:tc>
        <w:tc>
          <w:tcPr>
            <w:tcW w:w="1944" w:type="dxa"/>
            <w:vAlign w:val="center"/>
          </w:tcPr>
          <w:p w:rsidR="007B62FA" w:rsidRPr="002E7213" w:rsidRDefault="007B62FA" w:rsidP="008A3521">
            <w:pPr>
              <w:spacing w:before="29" w:line="288" w:lineRule="auto"/>
              <w:jc w:val="right"/>
              <w:rPr>
                <w:szCs w:val="21"/>
              </w:rPr>
            </w:pPr>
            <w:r w:rsidRPr="002E7213">
              <w:rPr>
                <w:szCs w:val="21"/>
              </w:rPr>
              <w:t>-4.90%</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本期基金份额净值增长率</w:t>
            </w:r>
          </w:p>
        </w:tc>
        <w:tc>
          <w:tcPr>
            <w:tcW w:w="2126" w:type="dxa"/>
            <w:vAlign w:val="center"/>
          </w:tcPr>
          <w:p w:rsidR="007B62FA" w:rsidRPr="002E7213" w:rsidRDefault="007B62FA" w:rsidP="008A3521">
            <w:pPr>
              <w:spacing w:before="29" w:line="288" w:lineRule="auto"/>
              <w:jc w:val="right"/>
              <w:rPr>
                <w:szCs w:val="21"/>
              </w:rPr>
            </w:pPr>
            <w:r w:rsidRPr="002E7213">
              <w:rPr>
                <w:szCs w:val="21"/>
              </w:rPr>
              <w:t>7.44%</w:t>
            </w:r>
          </w:p>
        </w:tc>
        <w:tc>
          <w:tcPr>
            <w:tcW w:w="2126" w:type="dxa"/>
            <w:vAlign w:val="center"/>
          </w:tcPr>
          <w:p w:rsidR="007B62FA" w:rsidRPr="002E7213" w:rsidRDefault="007B62FA" w:rsidP="008A3521">
            <w:pPr>
              <w:spacing w:before="29" w:line="288" w:lineRule="auto"/>
              <w:jc w:val="right"/>
              <w:rPr>
                <w:szCs w:val="21"/>
              </w:rPr>
            </w:pPr>
            <w:r w:rsidRPr="002E7213">
              <w:rPr>
                <w:szCs w:val="21"/>
              </w:rPr>
              <w:t>-3.14%</w:t>
            </w:r>
          </w:p>
        </w:tc>
        <w:tc>
          <w:tcPr>
            <w:tcW w:w="1944" w:type="dxa"/>
            <w:vAlign w:val="center"/>
          </w:tcPr>
          <w:p w:rsidR="007B62FA" w:rsidRPr="002E7213" w:rsidRDefault="007B62FA" w:rsidP="008A3521">
            <w:pPr>
              <w:spacing w:before="29" w:line="288" w:lineRule="auto"/>
              <w:jc w:val="right"/>
              <w:rPr>
                <w:szCs w:val="21"/>
              </w:rPr>
            </w:pPr>
            <w:r w:rsidRPr="002E7213">
              <w:rPr>
                <w:szCs w:val="21"/>
              </w:rPr>
              <w:t>-4.75%</w:t>
            </w:r>
          </w:p>
        </w:tc>
      </w:tr>
      <w:tr w:rsidR="00947254" w:rsidRPr="00D0372D" w:rsidTr="00F876FB">
        <w:tc>
          <w:tcPr>
            <w:tcW w:w="2802" w:type="dxa"/>
            <w:vAlign w:val="center"/>
          </w:tcPr>
          <w:p w:rsidR="00947254" w:rsidRPr="002E7213" w:rsidRDefault="00947254" w:rsidP="005401BF">
            <w:pPr>
              <w:spacing w:before="29" w:line="288" w:lineRule="auto"/>
              <w:rPr>
                <w:rFonts w:ascii="宋体" w:hAnsi="宋体"/>
                <w:b/>
                <w:szCs w:val="21"/>
              </w:rPr>
            </w:pPr>
            <w:r w:rsidRPr="002E7213">
              <w:rPr>
                <w:b/>
                <w:szCs w:val="21"/>
              </w:rPr>
              <w:t xml:space="preserve">3.1.2 </w:t>
            </w:r>
            <w:r w:rsidRPr="002E7213">
              <w:rPr>
                <w:rFonts w:hint="eastAsia"/>
                <w:b/>
                <w:szCs w:val="21"/>
              </w:rPr>
              <w:t>期末数据和指标</w:t>
            </w:r>
          </w:p>
        </w:tc>
        <w:tc>
          <w:tcPr>
            <w:tcW w:w="2126" w:type="dxa"/>
            <w:vAlign w:val="center"/>
          </w:tcPr>
          <w:p w:rsidR="00947254" w:rsidRPr="002E7213" w:rsidRDefault="0098537C" w:rsidP="00D775AA">
            <w:pPr>
              <w:spacing w:before="29" w:line="288" w:lineRule="auto"/>
              <w:jc w:val="center"/>
              <w:rPr>
                <w:b/>
                <w:szCs w:val="21"/>
              </w:rPr>
            </w:pPr>
            <w:r w:rsidRPr="002E7213">
              <w:rPr>
                <w:b/>
                <w:szCs w:val="21"/>
              </w:rPr>
              <w:t>2016</w:t>
            </w:r>
            <w:r w:rsidR="00447C32" w:rsidRPr="002E7213">
              <w:rPr>
                <w:rFonts w:hint="eastAsia"/>
                <w:b/>
                <w:szCs w:val="21"/>
              </w:rPr>
              <w:t>年</w:t>
            </w:r>
            <w:r w:rsidR="00947254" w:rsidRPr="002E7213">
              <w:rPr>
                <w:rFonts w:hint="eastAsia"/>
                <w:b/>
                <w:szCs w:val="21"/>
              </w:rPr>
              <w:t>末</w:t>
            </w:r>
          </w:p>
        </w:tc>
        <w:tc>
          <w:tcPr>
            <w:tcW w:w="2126" w:type="dxa"/>
            <w:vAlign w:val="center"/>
          </w:tcPr>
          <w:p w:rsidR="00947254" w:rsidRPr="002E7213" w:rsidRDefault="0098537C" w:rsidP="00D775AA">
            <w:pPr>
              <w:spacing w:before="29" w:line="288" w:lineRule="auto"/>
              <w:jc w:val="center"/>
              <w:rPr>
                <w:b/>
                <w:szCs w:val="21"/>
              </w:rPr>
            </w:pPr>
            <w:r w:rsidRPr="002E7213">
              <w:rPr>
                <w:b/>
                <w:szCs w:val="21"/>
              </w:rPr>
              <w:t>2015</w:t>
            </w:r>
            <w:r w:rsidR="00447C32" w:rsidRPr="002E7213">
              <w:rPr>
                <w:rFonts w:hint="eastAsia"/>
                <w:b/>
                <w:szCs w:val="21"/>
              </w:rPr>
              <w:t>年</w:t>
            </w:r>
            <w:r w:rsidR="00947254" w:rsidRPr="002E7213">
              <w:rPr>
                <w:rFonts w:hint="eastAsia"/>
                <w:b/>
                <w:szCs w:val="21"/>
              </w:rPr>
              <w:t>末</w:t>
            </w:r>
          </w:p>
        </w:tc>
        <w:tc>
          <w:tcPr>
            <w:tcW w:w="1944" w:type="dxa"/>
            <w:vAlign w:val="center"/>
          </w:tcPr>
          <w:p w:rsidR="00947254" w:rsidRPr="002E7213" w:rsidRDefault="0098537C" w:rsidP="00D775AA">
            <w:pPr>
              <w:spacing w:before="29" w:line="288" w:lineRule="auto"/>
              <w:jc w:val="center"/>
              <w:rPr>
                <w:b/>
                <w:szCs w:val="21"/>
              </w:rPr>
            </w:pPr>
            <w:r w:rsidRPr="002E7213">
              <w:rPr>
                <w:b/>
                <w:szCs w:val="21"/>
              </w:rPr>
              <w:t>2014</w:t>
            </w:r>
            <w:r w:rsidR="00447C32" w:rsidRPr="002E7213">
              <w:rPr>
                <w:rFonts w:hint="eastAsia"/>
                <w:b/>
                <w:szCs w:val="21"/>
              </w:rPr>
              <w:t>年</w:t>
            </w:r>
            <w:r w:rsidR="00947254" w:rsidRPr="002E7213">
              <w:rPr>
                <w:rFonts w:hint="eastAsia"/>
                <w:b/>
                <w:szCs w:val="21"/>
              </w:rPr>
              <w:t>末</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期末可供分配利润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-12,548,432.71</w:t>
            </w:r>
          </w:p>
        </w:tc>
        <w:tc>
          <w:tcPr>
            <w:tcW w:w="2126" w:type="dxa"/>
            <w:vAlign w:val="center"/>
          </w:tcPr>
          <w:p w:rsidR="007B62FA" w:rsidRPr="002E7213" w:rsidRDefault="007B62FA" w:rsidP="008A3521">
            <w:pPr>
              <w:spacing w:before="29" w:line="288" w:lineRule="auto"/>
              <w:jc w:val="right"/>
              <w:rPr>
                <w:szCs w:val="21"/>
              </w:rPr>
            </w:pPr>
            <w:r w:rsidRPr="002E7213">
              <w:rPr>
                <w:szCs w:val="21"/>
              </w:rPr>
              <w:t>-3,400,534.48</w:t>
            </w:r>
          </w:p>
        </w:tc>
        <w:tc>
          <w:tcPr>
            <w:tcW w:w="1944" w:type="dxa"/>
            <w:vAlign w:val="center"/>
          </w:tcPr>
          <w:p w:rsidR="007B62FA" w:rsidRPr="002E7213" w:rsidRDefault="007B62FA" w:rsidP="008A3521">
            <w:pPr>
              <w:spacing w:before="29" w:line="288" w:lineRule="auto"/>
              <w:jc w:val="right"/>
              <w:rPr>
                <w:szCs w:val="21"/>
              </w:rPr>
            </w:pPr>
            <w:r w:rsidRPr="002E7213">
              <w:rPr>
                <w:szCs w:val="21"/>
              </w:rPr>
              <w:t>720,399.77</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期末可供分配基金份额利润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-0.391</w:t>
            </w:r>
          </w:p>
        </w:tc>
        <w:tc>
          <w:tcPr>
            <w:tcW w:w="2126" w:type="dxa"/>
            <w:vAlign w:val="center"/>
          </w:tcPr>
          <w:p w:rsidR="007B62FA" w:rsidRPr="002E7213" w:rsidRDefault="007B62FA" w:rsidP="008A3521">
            <w:pPr>
              <w:spacing w:before="29" w:line="288" w:lineRule="auto"/>
              <w:jc w:val="right"/>
              <w:rPr>
                <w:szCs w:val="21"/>
              </w:rPr>
            </w:pPr>
            <w:r w:rsidRPr="002E7213">
              <w:rPr>
                <w:szCs w:val="21"/>
              </w:rPr>
              <w:t>-0.128</w:t>
            </w:r>
          </w:p>
        </w:tc>
        <w:tc>
          <w:tcPr>
            <w:tcW w:w="1944" w:type="dxa"/>
            <w:vAlign w:val="center"/>
          </w:tcPr>
          <w:p w:rsidR="007B62FA" w:rsidRPr="002E7213" w:rsidRDefault="007B62FA" w:rsidP="008A3521">
            <w:pPr>
              <w:spacing w:before="29" w:line="288" w:lineRule="auto"/>
              <w:jc w:val="right"/>
              <w:rPr>
                <w:szCs w:val="21"/>
              </w:rPr>
            </w:pPr>
            <w:r w:rsidRPr="002E7213">
              <w:rPr>
                <w:szCs w:val="21"/>
              </w:rPr>
              <w:t>0.179</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期末基金资产净值</w:t>
            </w:r>
          </w:p>
        </w:tc>
        <w:tc>
          <w:tcPr>
            <w:tcW w:w="2126" w:type="dxa"/>
            <w:vAlign w:val="center"/>
          </w:tcPr>
          <w:p w:rsidR="007B62FA" w:rsidRPr="002E7213" w:rsidRDefault="007B62FA" w:rsidP="008A3521">
            <w:pPr>
              <w:spacing w:before="29" w:line="288" w:lineRule="auto"/>
              <w:jc w:val="right"/>
              <w:rPr>
                <w:szCs w:val="21"/>
              </w:rPr>
            </w:pPr>
            <w:r w:rsidRPr="002E7213">
              <w:rPr>
                <w:szCs w:val="21"/>
              </w:rPr>
              <w:t>39,335,885.59</w:t>
            </w:r>
          </w:p>
        </w:tc>
        <w:tc>
          <w:tcPr>
            <w:tcW w:w="2126" w:type="dxa"/>
            <w:vAlign w:val="center"/>
          </w:tcPr>
          <w:p w:rsidR="007B62FA" w:rsidRPr="002E7213" w:rsidRDefault="007B62FA" w:rsidP="008A3521">
            <w:pPr>
              <w:spacing w:before="29" w:line="288" w:lineRule="auto"/>
              <w:jc w:val="right"/>
              <w:rPr>
                <w:szCs w:val="21"/>
              </w:rPr>
            </w:pPr>
            <w:r w:rsidRPr="002E7213">
              <w:rPr>
                <w:szCs w:val="21"/>
              </w:rPr>
              <w:t>30,444,707.66</w:t>
            </w:r>
          </w:p>
        </w:tc>
        <w:tc>
          <w:tcPr>
            <w:tcW w:w="1944" w:type="dxa"/>
            <w:vAlign w:val="center"/>
          </w:tcPr>
          <w:p w:rsidR="007B62FA" w:rsidRPr="002E7213" w:rsidRDefault="007B62FA" w:rsidP="008A3521">
            <w:pPr>
              <w:spacing w:before="29" w:line="288" w:lineRule="auto"/>
              <w:jc w:val="right"/>
              <w:rPr>
                <w:szCs w:val="21"/>
              </w:rPr>
            </w:pPr>
            <w:r w:rsidRPr="002E7213">
              <w:rPr>
                <w:szCs w:val="21"/>
              </w:rPr>
              <w:t>4,751,156.90</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期末基金份额净值</w:t>
            </w:r>
          </w:p>
        </w:tc>
        <w:tc>
          <w:tcPr>
            <w:tcW w:w="2126" w:type="dxa"/>
            <w:vAlign w:val="center"/>
          </w:tcPr>
          <w:p w:rsidR="007B62FA" w:rsidRPr="002E7213" w:rsidRDefault="007B62FA" w:rsidP="008A3521">
            <w:pPr>
              <w:spacing w:before="29" w:line="288" w:lineRule="auto"/>
              <w:jc w:val="right"/>
              <w:rPr>
                <w:szCs w:val="21"/>
              </w:rPr>
            </w:pPr>
            <w:r w:rsidRPr="002E7213">
              <w:rPr>
                <w:szCs w:val="21"/>
              </w:rPr>
              <w:t>1.227</w:t>
            </w:r>
          </w:p>
        </w:tc>
        <w:tc>
          <w:tcPr>
            <w:tcW w:w="2126" w:type="dxa"/>
            <w:vAlign w:val="center"/>
          </w:tcPr>
          <w:p w:rsidR="007B62FA" w:rsidRPr="002E7213" w:rsidRDefault="007B62FA" w:rsidP="008A3521">
            <w:pPr>
              <w:spacing w:before="29" w:line="288" w:lineRule="auto"/>
              <w:jc w:val="right"/>
              <w:rPr>
                <w:szCs w:val="21"/>
              </w:rPr>
            </w:pPr>
            <w:r w:rsidRPr="002E7213">
              <w:rPr>
                <w:szCs w:val="21"/>
              </w:rPr>
              <w:t>1.142</w:t>
            </w:r>
          </w:p>
        </w:tc>
        <w:tc>
          <w:tcPr>
            <w:tcW w:w="1944" w:type="dxa"/>
            <w:vAlign w:val="center"/>
          </w:tcPr>
          <w:p w:rsidR="007B62FA" w:rsidRPr="002E7213" w:rsidRDefault="007B62FA" w:rsidP="008A3521">
            <w:pPr>
              <w:spacing w:before="29" w:line="288" w:lineRule="auto"/>
              <w:jc w:val="right"/>
              <w:rPr>
                <w:szCs w:val="21"/>
              </w:rPr>
            </w:pPr>
            <w:r w:rsidRPr="002E7213">
              <w:rPr>
                <w:szCs w:val="21"/>
              </w:rPr>
              <w:t>1.179</w:t>
            </w:r>
          </w:p>
        </w:tc>
      </w:tr>
      <w:tr w:rsidR="00E53E25" w:rsidRPr="00D0372D" w:rsidTr="00F876FB">
        <w:tc>
          <w:tcPr>
            <w:tcW w:w="2802" w:type="dxa"/>
            <w:vAlign w:val="center"/>
          </w:tcPr>
          <w:p w:rsidR="00E53E25" w:rsidRPr="002E7213" w:rsidRDefault="00E53E25" w:rsidP="005401BF">
            <w:pPr>
              <w:spacing w:before="29" w:line="288" w:lineRule="auto"/>
              <w:rPr>
                <w:rFonts w:ascii="宋体" w:hAnsi="宋体"/>
                <w:b/>
                <w:szCs w:val="21"/>
              </w:rPr>
            </w:pPr>
            <w:r w:rsidRPr="002E7213">
              <w:rPr>
                <w:b/>
                <w:szCs w:val="21"/>
              </w:rPr>
              <w:t xml:space="preserve">3.1.3 </w:t>
            </w:r>
            <w:r w:rsidRPr="002E7213">
              <w:rPr>
                <w:rFonts w:hint="eastAsia"/>
                <w:b/>
                <w:szCs w:val="21"/>
              </w:rPr>
              <w:t>累计期末指标</w:t>
            </w:r>
          </w:p>
        </w:tc>
        <w:tc>
          <w:tcPr>
            <w:tcW w:w="2126" w:type="dxa"/>
            <w:vAlign w:val="center"/>
          </w:tcPr>
          <w:p w:rsidR="00E53E25" w:rsidRPr="002E7213" w:rsidRDefault="00242D7A" w:rsidP="00D775AA">
            <w:pPr>
              <w:spacing w:before="29" w:line="288" w:lineRule="auto"/>
              <w:jc w:val="center"/>
              <w:rPr>
                <w:b/>
                <w:szCs w:val="21"/>
              </w:rPr>
            </w:pPr>
            <w:r w:rsidRPr="002E7213">
              <w:rPr>
                <w:b/>
                <w:szCs w:val="21"/>
              </w:rPr>
              <w:t>2016</w:t>
            </w:r>
            <w:r w:rsidR="00447C32" w:rsidRPr="002E7213">
              <w:rPr>
                <w:rFonts w:hint="eastAsia"/>
                <w:b/>
                <w:szCs w:val="21"/>
              </w:rPr>
              <w:t>年</w:t>
            </w:r>
            <w:r w:rsidR="00E53E25" w:rsidRPr="002E7213">
              <w:rPr>
                <w:rFonts w:hint="eastAsia"/>
                <w:b/>
                <w:szCs w:val="21"/>
              </w:rPr>
              <w:t>末</w:t>
            </w:r>
          </w:p>
        </w:tc>
        <w:tc>
          <w:tcPr>
            <w:tcW w:w="2126" w:type="dxa"/>
            <w:vAlign w:val="center"/>
          </w:tcPr>
          <w:p w:rsidR="00E53E25" w:rsidRPr="002E7213" w:rsidRDefault="00242D7A" w:rsidP="00D775AA">
            <w:pPr>
              <w:spacing w:before="29" w:line="288" w:lineRule="auto"/>
              <w:jc w:val="center"/>
              <w:rPr>
                <w:b/>
                <w:szCs w:val="21"/>
              </w:rPr>
            </w:pPr>
            <w:r w:rsidRPr="002E7213">
              <w:rPr>
                <w:b/>
                <w:szCs w:val="21"/>
              </w:rPr>
              <w:t>2015</w:t>
            </w:r>
            <w:r w:rsidR="00447C32" w:rsidRPr="002E7213">
              <w:rPr>
                <w:rFonts w:hint="eastAsia"/>
                <w:b/>
                <w:szCs w:val="21"/>
              </w:rPr>
              <w:t>年</w:t>
            </w:r>
            <w:r w:rsidR="00E53E25" w:rsidRPr="002E7213">
              <w:rPr>
                <w:rFonts w:hint="eastAsia"/>
                <w:b/>
                <w:szCs w:val="21"/>
              </w:rPr>
              <w:t>末</w:t>
            </w:r>
          </w:p>
        </w:tc>
        <w:tc>
          <w:tcPr>
            <w:tcW w:w="1944" w:type="dxa"/>
            <w:vAlign w:val="center"/>
          </w:tcPr>
          <w:p w:rsidR="00E53E25" w:rsidRPr="002E7213" w:rsidRDefault="00242D7A" w:rsidP="00D775AA">
            <w:pPr>
              <w:spacing w:before="29" w:line="288" w:lineRule="auto"/>
              <w:jc w:val="center"/>
              <w:rPr>
                <w:b/>
                <w:szCs w:val="21"/>
              </w:rPr>
            </w:pPr>
            <w:r w:rsidRPr="002E7213">
              <w:rPr>
                <w:b/>
                <w:szCs w:val="21"/>
              </w:rPr>
              <w:t>2014</w:t>
            </w:r>
            <w:r w:rsidR="00447C32" w:rsidRPr="002E7213">
              <w:rPr>
                <w:rFonts w:hint="eastAsia"/>
                <w:b/>
                <w:szCs w:val="21"/>
              </w:rPr>
              <w:t>年</w:t>
            </w:r>
            <w:r w:rsidR="00E53E25" w:rsidRPr="002E7213">
              <w:rPr>
                <w:rFonts w:hint="eastAsia"/>
                <w:b/>
                <w:szCs w:val="21"/>
              </w:rPr>
              <w:t>末</w:t>
            </w:r>
          </w:p>
        </w:tc>
      </w:tr>
      <w:tr w:rsidR="007B62FA" w:rsidRPr="00D0372D" w:rsidTr="00F876FB">
        <w:tc>
          <w:tcPr>
            <w:tcW w:w="2802" w:type="dxa"/>
            <w:vAlign w:val="center"/>
          </w:tcPr>
          <w:p w:rsidR="007B62FA" w:rsidRPr="002E7213" w:rsidRDefault="007B62FA" w:rsidP="00417F87">
            <w:pPr>
              <w:spacing w:line="360" w:lineRule="auto"/>
              <w:rPr>
                <w:rFonts w:ascii="宋体" w:hAnsi="宋体"/>
                <w:szCs w:val="21"/>
              </w:rPr>
            </w:pPr>
            <w:r w:rsidRPr="002E7213">
              <w:rPr>
                <w:rFonts w:hint="eastAsia"/>
                <w:szCs w:val="21"/>
              </w:rPr>
              <w:t>基金份额累计净值增长率</w:t>
            </w:r>
          </w:p>
        </w:tc>
        <w:tc>
          <w:tcPr>
            <w:tcW w:w="2126" w:type="dxa"/>
            <w:vAlign w:val="center"/>
          </w:tcPr>
          <w:p w:rsidR="007B62FA" w:rsidRPr="002E7213" w:rsidRDefault="007B62FA" w:rsidP="008A3521">
            <w:pPr>
              <w:spacing w:before="29" w:line="288" w:lineRule="auto"/>
              <w:jc w:val="right"/>
              <w:rPr>
                <w:szCs w:val="21"/>
              </w:rPr>
            </w:pPr>
            <w:r w:rsidRPr="002E7213">
              <w:rPr>
                <w:szCs w:val="21"/>
              </w:rPr>
              <w:t>25.00%</w:t>
            </w:r>
          </w:p>
        </w:tc>
        <w:tc>
          <w:tcPr>
            <w:tcW w:w="2126" w:type="dxa"/>
            <w:vAlign w:val="center"/>
          </w:tcPr>
          <w:p w:rsidR="007B62FA" w:rsidRPr="002E7213" w:rsidRDefault="007B62FA" w:rsidP="008A3521">
            <w:pPr>
              <w:spacing w:before="29" w:line="288" w:lineRule="auto"/>
              <w:jc w:val="right"/>
              <w:rPr>
                <w:szCs w:val="21"/>
              </w:rPr>
            </w:pPr>
            <w:r w:rsidRPr="002E7213">
              <w:rPr>
                <w:szCs w:val="21"/>
              </w:rPr>
              <w:t>16.34%</w:t>
            </w:r>
          </w:p>
        </w:tc>
        <w:tc>
          <w:tcPr>
            <w:tcW w:w="1944" w:type="dxa"/>
            <w:vAlign w:val="center"/>
          </w:tcPr>
          <w:p w:rsidR="007B62FA" w:rsidRPr="002E7213" w:rsidRDefault="007B62FA" w:rsidP="008A3521">
            <w:pPr>
              <w:spacing w:before="29" w:line="288" w:lineRule="auto"/>
              <w:jc w:val="right"/>
              <w:rPr>
                <w:szCs w:val="21"/>
              </w:rPr>
            </w:pPr>
            <w:r w:rsidRPr="002E7213">
              <w:rPr>
                <w:szCs w:val="21"/>
              </w:rPr>
              <w:t>20.11%</w:t>
            </w:r>
          </w:p>
        </w:tc>
      </w:tr>
    </w:tbl>
    <w:p w:rsidR="00B536C4" w:rsidRDefault="00CC45D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7B62FA" w:rsidRPr="00B56CF4" w:rsidRDefault="007B62FA" w:rsidP="00B56CF4">
      <w:pPr>
        <w:tabs>
          <w:tab w:val="left" w:pos="426"/>
        </w:tabs>
        <w:spacing w:before="29" w:line="288" w:lineRule="auto"/>
        <w:jc w:val="left"/>
        <w:rPr>
          <w:kern w:val="0"/>
          <w:sz w:val="24"/>
        </w:rPr>
      </w:pPr>
      <w:r w:rsidRPr="00B56CF4">
        <w:rPr>
          <w:kern w:val="0"/>
          <w:sz w:val="24"/>
        </w:rPr>
        <w:t xml:space="preserve">    2</w:t>
      </w:r>
      <w:r w:rsidRPr="00B56CF4">
        <w:rPr>
          <w:kern w:val="0"/>
          <w:sz w:val="24"/>
        </w:rPr>
        <w:t>、</w:t>
      </w:r>
      <w:r w:rsidRPr="00B56CF4">
        <w:rPr>
          <w:kern w:val="0"/>
          <w:sz w:val="24"/>
        </w:rPr>
        <w:t xml:space="preserve"> </w:t>
      </w:r>
      <w:r w:rsidRPr="00B56CF4">
        <w:rPr>
          <w:kern w:val="0"/>
          <w:sz w:val="24"/>
        </w:rPr>
        <w:t>本期已实现收益指基金本期利息收入、投资收益、其他收入（不含公允价值变动收益）扣除相关费用后的余额，本期利润为本期已实现收益加上本期公允价值变动收</w:t>
      </w:r>
      <w:r w:rsidRPr="00B56CF4">
        <w:rPr>
          <w:kern w:val="0"/>
          <w:sz w:val="24"/>
        </w:rPr>
        <w:lastRenderedPageBreak/>
        <w:t>益。</w:t>
      </w:r>
    </w:p>
    <w:p w:rsidR="007B62FA" w:rsidRPr="00D0372D" w:rsidRDefault="007B62FA" w:rsidP="00417F87">
      <w:pPr>
        <w:spacing w:line="360" w:lineRule="auto"/>
        <w:rPr>
          <w:rFonts w:ascii="宋体" w:hAnsi="宋体"/>
          <w:color w:val="000000"/>
          <w:szCs w:val="21"/>
        </w:rPr>
      </w:pPr>
    </w:p>
    <w:p w:rsidR="007B62FA" w:rsidRPr="002245F9" w:rsidRDefault="007B62FA" w:rsidP="002245F9">
      <w:pPr>
        <w:pStyle w:val="20"/>
        <w:spacing w:before="29" w:after="0" w:line="288" w:lineRule="auto"/>
        <w:rPr>
          <w:rFonts w:ascii="Times New Roman" w:hAnsi="Times New Roman"/>
          <w:kern w:val="0"/>
          <w:szCs w:val="24"/>
        </w:rPr>
      </w:pPr>
      <w:bookmarkStart w:id="78" w:name="_Toc225498252"/>
      <w:bookmarkStart w:id="79" w:name="_Toc352255969"/>
      <w:bookmarkStart w:id="80" w:name="_Toc352256037"/>
      <w:bookmarkStart w:id="81" w:name="_Toc352331215"/>
      <w:bookmarkStart w:id="82" w:name="_Toc362423993"/>
      <w:bookmarkStart w:id="83" w:name="_Toc478411384"/>
      <w:r w:rsidRPr="002245F9">
        <w:rPr>
          <w:rFonts w:ascii="Times New Roman" w:hAnsi="Times New Roman"/>
          <w:kern w:val="0"/>
          <w:szCs w:val="24"/>
        </w:rPr>
        <w:t xml:space="preserve">3.2 </w:t>
      </w:r>
      <w:r w:rsidRPr="002245F9">
        <w:rPr>
          <w:rFonts w:ascii="Times New Roman" w:hAnsi="Times New Roman" w:hint="eastAsia"/>
          <w:kern w:val="0"/>
          <w:szCs w:val="24"/>
        </w:rPr>
        <w:t>基金净值表现</w:t>
      </w:r>
      <w:bookmarkEnd w:id="78"/>
      <w:bookmarkEnd w:id="79"/>
      <w:bookmarkEnd w:id="80"/>
      <w:bookmarkEnd w:id="81"/>
      <w:bookmarkEnd w:id="82"/>
      <w:bookmarkEnd w:id="83"/>
    </w:p>
    <w:p w:rsidR="007B62FA" w:rsidRPr="002245F9" w:rsidRDefault="007B62FA" w:rsidP="002245F9">
      <w:pPr>
        <w:autoSpaceDE w:val="0"/>
        <w:autoSpaceDN w:val="0"/>
        <w:adjustRightInd w:val="0"/>
        <w:spacing w:before="29" w:line="288" w:lineRule="auto"/>
        <w:jc w:val="left"/>
        <w:rPr>
          <w:b/>
          <w:color w:val="000000"/>
          <w:kern w:val="0"/>
          <w:sz w:val="24"/>
        </w:rPr>
      </w:pPr>
      <w:r w:rsidRPr="002245F9">
        <w:rPr>
          <w:b/>
          <w:color w:val="000000"/>
          <w:kern w:val="0"/>
          <w:sz w:val="24"/>
        </w:rPr>
        <w:t xml:space="preserve">3.2.1 </w:t>
      </w:r>
      <w:r w:rsidRPr="002245F9">
        <w:rPr>
          <w:rFonts w:hint="eastAsia"/>
          <w:b/>
          <w:color w:val="000000"/>
          <w:kern w:val="0"/>
          <w:sz w:val="24"/>
        </w:rPr>
        <w:t>基金份额净值增长率及其与同期业绩比较基准收益率的比较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5"/>
        <w:gridCol w:w="1218"/>
        <w:gridCol w:w="1184"/>
        <w:gridCol w:w="1239"/>
        <w:gridCol w:w="1185"/>
        <w:gridCol w:w="1242"/>
        <w:gridCol w:w="1208"/>
      </w:tblGrid>
      <w:tr w:rsidR="007B62FA" w:rsidRPr="002245F9" w:rsidTr="001A1A70">
        <w:tc>
          <w:tcPr>
            <w:tcW w:w="1323"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阶段</w:t>
            </w:r>
          </w:p>
        </w:tc>
        <w:tc>
          <w:tcPr>
            <w:tcW w:w="1324"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份额净值增长率①</w:t>
            </w:r>
          </w:p>
        </w:tc>
        <w:tc>
          <w:tcPr>
            <w:tcW w:w="1324"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份额净值增长率标准差②</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业绩比较基准收益率③</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业绩比较基准收益率标准差④</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①－③</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②－④</w:t>
            </w:r>
          </w:p>
        </w:tc>
      </w:tr>
      <w:tr w:rsidR="00B536C4">
        <w:tc>
          <w:tcPr>
            <w:tcW w:w="0" w:type="auto"/>
            <w:vAlign w:val="center"/>
          </w:tcPr>
          <w:p w:rsidR="00B536C4" w:rsidRDefault="00CC45D2">
            <w:pPr>
              <w:jc w:val="left"/>
            </w:pPr>
            <w:r>
              <w:rPr>
                <w:color w:val="000000"/>
                <w:sz w:val="24"/>
              </w:rPr>
              <w:t>过去三个月</w:t>
            </w:r>
          </w:p>
        </w:tc>
        <w:tc>
          <w:tcPr>
            <w:tcW w:w="0" w:type="auto"/>
            <w:vAlign w:val="center"/>
          </w:tcPr>
          <w:p w:rsidR="00B536C4" w:rsidRDefault="00CC45D2">
            <w:pPr>
              <w:jc w:val="center"/>
            </w:pPr>
            <w:r>
              <w:rPr>
                <w:color w:val="000000"/>
                <w:sz w:val="24"/>
              </w:rPr>
              <w:t>3.02%</w:t>
            </w:r>
          </w:p>
        </w:tc>
        <w:tc>
          <w:tcPr>
            <w:tcW w:w="0" w:type="auto"/>
            <w:vAlign w:val="center"/>
          </w:tcPr>
          <w:p w:rsidR="00B536C4" w:rsidRDefault="00CC45D2">
            <w:pPr>
              <w:jc w:val="center"/>
            </w:pPr>
            <w:r>
              <w:rPr>
                <w:color w:val="000000"/>
                <w:sz w:val="24"/>
              </w:rPr>
              <w:t>0.77%</w:t>
            </w:r>
          </w:p>
        </w:tc>
        <w:tc>
          <w:tcPr>
            <w:tcW w:w="0" w:type="auto"/>
            <w:vAlign w:val="center"/>
          </w:tcPr>
          <w:p w:rsidR="00B536C4" w:rsidRDefault="00CC45D2">
            <w:pPr>
              <w:jc w:val="center"/>
            </w:pPr>
            <w:r>
              <w:rPr>
                <w:color w:val="000000"/>
                <w:sz w:val="24"/>
              </w:rPr>
              <w:t>4.14%</w:t>
            </w:r>
          </w:p>
        </w:tc>
        <w:tc>
          <w:tcPr>
            <w:tcW w:w="0" w:type="auto"/>
            <w:vAlign w:val="center"/>
          </w:tcPr>
          <w:p w:rsidR="00B536C4" w:rsidRDefault="00CC45D2">
            <w:pPr>
              <w:jc w:val="center"/>
            </w:pPr>
            <w:r>
              <w:rPr>
                <w:color w:val="000000"/>
                <w:sz w:val="24"/>
              </w:rPr>
              <w:t>0.64%</w:t>
            </w:r>
          </w:p>
        </w:tc>
        <w:tc>
          <w:tcPr>
            <w:tcW w:w="0" w:type="auto"/>
            <w:vAlign w:val="center"/>
          </w:tcPr>
          <w:p w:rsidR="00B536C4" w:rsidRDefault="00CC45D2">
            <w:pPr>
              <w:jc w:val="center"/>
            </w:pPr>
            <w:r>
              <w:rPr>
                <w:color w:val="000000"/>
                <w:sz w:val="24"/>
              </w:rPr>
              <w:t>-1.12%</w:t>
            </w:r>
          </w:p>
        </w:tc>
        <w:tc>
          <w:tcPr>
            <w:tcW w:w="0" w:type="auto"/>
            <w:vAlign w:val="center"/>
          </w:tcPr>
          <w:p w:rsidR="00B536C4" w:rsidRDefault="00CC45D2">
            <w:pPr>
              <w:jc w:val="center"/>
            </w:pPr>
            <w:r>
              <w:rPr>
                <w:color w:val="000000"/>
                <w:sz w:val="24"/>
              </w:rPr>
              <w:t>0.13%</w:t>
            </w:r>
          </w:p>
        </w:tc>
      </w:tr>
      <w:tr w:rsidR="00B536C4">
        <w:tc>
          <w:tcPr>
            <w:tcW w:w="0" w:type="auto"/>
            <w:vAlign w:val="center"/>
          </w:tcPr>
          <w:p w:rsidR="00B536C4" w:rsidRDefault="00CC45D2">
            <w:pPr>
              <w:jc w:val="left"/>
            </w:pPr>
            <w:r>
              <w:rPr>
                <w:color w:val="000000"/>
                <w:sz w:val="24"/>
              </w:rPr>
              <w:t>过去六个月</w:t>
            </w:r>
          </w:p>
        </w:tc>
        <w:tc>
          <w:tcPr>
            <w:tcW w:w="0" w:type="auto"/>
            <w:vAlign w:val="center"/>
          </w:tcPr>
          <w:p w:rsidR="00B536C4" w:rsidRDefault="00CC45D2">
            <w:pPr>
              <w:jc w:val="center"/>
            </w:pPr>
            <w:r>
              <w:rPr>
                <w:color w:val="000000"/>
                <w:sz w:val="24"/>
              </w:rPr>
              <w:t>9.55%</w:t>
            </w:r>
          </w:p>
        </w:tc>
        <w:tc>
          <w:tcPr>
            <w:tcW w:w="0" w:type="auto"/>
            <w:vAlign w:val="center"/>
          </w:tcPr>
          <w:p w:rsidR="00B536C4" w:rsidRDefault="00CC45D2">
            <w:pPr>
              <w:jc w:val="center"/>
            </w:pPr>
            <w:r>
              <w:rPr>
                <w:color w:val="000000"/>
                <w:sz w:val="24"/>
              </w:rPr>
              <w:t>0.78%</w:t>
            </w:r>
          </w:p>
        </w:tc>
        <w:tc>
          <w:tcPr>
            <w:tcW w:w="0" w:type="auto"/>
            <w:vAlign w:val="center"/>
          </w:tcPr>
          <w:p w:rsidR="00B536C4" w:rsidRDefault="00CC45D2">
            <w:pPr>
              <w:jc w:val="center"/>
            </w:pPr>
            <w:r>
              <w:rPr>
                <w:color w:val="000000"/>
                <w:sz w:val="24"/>
              </w:rPr>
              <w:t>10.59%</w:t>
            </w:r>
          </w:p>
        </w:tc>
        <w:tc>
          <w:tcPr>
            <w:tcW w:w="0" w:type="auto"/>
            <w:vAlign w:val="center"/>
          </w:tcPr>
          <w:p w:rsidR="00B536C4" w:rsidRDefault="00CC45D2">
            <w:pPr>
              <w:jc w:val="center"/>
            </w:pPr>
            <w:r>
              <w:rPr>
                <w:color w:val="000000"/>
                <w:sz w:val="24"/>
              </w:rPr>
              <w:t>0.73%</w:t>
            </w:r>
          </w:p>
        </w:tc>
        <w:tc>
          <w:tcPr>
            <w:tcW w:w="0" w:type="auto"/>
            <w:vAlign w:val="center"/>
          </w:tcPr>
          <w:p w:rsidR="00B536C4" w:rsidRDefault="00CC45D2">
            <w:pPr>
              <w:jc w:val="center"/>
            </w:pPr>
            <w:r>
              <w:rPr>
                <w:color w:val="000000"/>
                <w:sz w:val="24"/>
              </w:rPr>
              <w:t>-1.04%</w:t>
            </w:r>
          </w:p>
        </w:tc>
        <w:tc>
          <w:tcPr>
            <w:tcW w:w="0" w:type="auto"/>
            <w:vAlign w:val="center"/>
          </w:tcPr>
          <w:p w:rsidR="00B536C4" w:rsidRDefault="00CC45D2">
            <w:pPr>
              <w:jc w:val="center"/>
            </w:pPr>
            <w:r>
              <w:rPr>
                <w:color w:val="000000"/>
                <w:sz w:val="24"/>
              </w:rPr>
              <w:t>0.05%</w:t>
            </w:r>
          </w:p>
        </w:tc>
      </w:tr>
      <w:tr w:rsidR="00B536C4">
        <w:tc>
          <w:tcPr>
            <w:tcW w:w="0" w:type="auto"/>
            <w:vAlign w:val="center"/>
          </w:tcPr>
          <w:p w:rsidR="00B536C4" w:rsidRDefault="00CC45D2">
            <w:pPr>
              <w:jc w:val="left"/>
            </w:pPr>
            <w:r>
              <w:rPr>
                <w:color w:val="000000"/>
                <w:sz w:val="24"/>
              </w:rPr>
              <w:t>过去一年</w:t>
            </w:r>
          </w:p>
        </w:tc>
        <w:tc>
          <w:tcPr>
            <w:tcW w:w="0" w:type="auto"/>
            <w:vAlign w:val="center"/>
          </w:tcPr>
          <w:p w:rsidR="00B536C4" w:rsidRDefault="00CC45D2">
            <w:pPr>
              <w:jc w:val="center"/>
            </w:pPr>
            <w:r>
              <w:rPr>
                <w:color w:val="000000"/>
                <w:sz w:val="24"/>
              </w:rPr>
              <w:t>7.44%</w:t>
            </w:r>
          </w:p>
        </w:tc>
        <w:tc>
          <w:tcPr>
            <w:tcW w:w="0" w:type="auto"/>
            <w:vAlign w:val="center"/>
          </w:tcPr>
          <w:p w:rsidR="00B536C4" w:rsidRDefault="00CC45D2">
            <w:pPr>
              <w:jc w:val="center"/>
            </w:pPr>
            <w:r>
              <w:rPr>
                <w:color w:val="000000"/>
                <w:sz w:val="24"/>
              </w:rPr>
              <w:t>0.93%</w:t>
            </w:r>
          </w:p>
        </w:tc>
        <w:tc>
          <w:tcPr>
            <w:tcW w:w="0" w:type="auto"/>
            <w:vAlign w:val="center"/>
          </w:tcPr>
          <w:p w:rsidR="00B536C4" w:rsidRDefault="00CC45D2">
            <w:pPr>
              <w:jc w:val="center"/>
            </w:pPr>
            <w:r>
              <w:rPr>
                <w:color w:val="000000"/>
                <w:sz w:val="24"/>
              </w:rPr>
              <w:t>21.39%</w:t>
            </w:r>
          </w:p>
        </w:tc>
        <w:tc>
          <w:tcPr>
            <w:tcW w:w="0" w:type="auto"/>
            <w:vAlign w:val="center"/>
          </w:tcPr>
          <w:p w:rsidR="00B536C4" w:rsidRDefault="00CC45D2">
            <w:pPr>
              <w:jc w:val="center"/>
            </w:pPr>
            <w:r>
              <w:rPr>
                <w:color w:val="000000"/>
                <w:sz w:val="24"/>
              </w:rPr>
              <w:t>1.17%</w:t>
            </w:r>
          </w:p>
        </w:tc>
        <w:tc>
          <w:tcPr>
            <w:tcW w:w="0" w:type="auto"/>
            <w:vAlign w:val="center"/>
          </w:tcPr>
          <w:p w:rsidR="00B536C4" w:rsidRDefault="00CC45D2">
            <w:pPr>
              <w:jc w:val="center"/>
            </w:pPr>
            <w:r>
              <w:rPr>
                <w:color w:val="000000"/>
                <w:sz w:val="24"/>
              </w:rPr>
              <w:t>-13.95%</w:t>
            </w:r>
          </w:p>
        </w:tc>
        <w:tc>
          <w:tcPr>
            <w:tcW w:w="0" w:type="auto"/>
            <w:vAlign w:val="center"/>
          </w:tcPr>
          <w:p w:rsidR="00B536C4" w:rsidRDefault="00CC45D2">
            <w:pPr>
              <w:jc w:val="center"/>
            </w:pPr>
            <w:r>
              <w:rPr>
                <w:color w:val="000000"/>
                <w:sz w:val="24"/>
              </w:rPr>
              <w:t>-0.24%</w:t>
            </w:r>
          </w:p>
        </w:tc>
      </w:tr>
      <w:tr w:rsidR="00B536C4">
        <w:tc>
          <w:tcPr>
            <w:tcW w:w="0" w:type="auto"/>
            <w:vAlign w:val="center"/>
          </w:tcPr>
          <w:p w:rsidR="00B536C4" w:rsidRDefault="00CC45D2">
            <w:pPr>
              <w:jc w:val="left"/>
            </w:pPr>
            <w:r>
              <w:rPr>
                <w:color w:val="000000"/>
                <w:sz w:val="24"/>
              </w:rPr>
              <w:t>过去三年</w:t>
            </w:r>
          </w:p>
        </w:tc>
        <w:tc>
          <w:tcPr>
            <w:tcW w:w="0" w:type="auto"/>
            <w:vAlign w:val="center"/>
          </w:tcPr>
          <w:p w:rsidR="00B536C4" w:rsidRDefault="00CC45D2">
            <w:pPr>
              <w:jc w:val="center"/>
            </w:pPr>
            <w:r>
              <w:rPr>
                <w:color w:val="000000"/>
                <w:sz w:val="24"/>
              </w:rPr>
              <w:t>-0.87%</w:t>
            </w:r>
          </w:p>
        </w:tc>
        <w:tc>
          <w:tcPr>
            <w:tcW w:w="0" w:type="auto"/>
            <w:vAlign w:val="center"/>
          </w:tcPr>
          <w:p w:rsidR="00B536C4" w:rsidRDefault="00CC45D2">
            <w:pPr>
              <w:jc w:val="center"/>
            </w:pPr>
            <w:r>
              <w:rPr>
                <w:color w:val="000000"/>
                <w:sz w:val="24"/>
              </w:rPr>
              <w:t>1.54%</w:t>
            </w:r>
          </w:p>
        </w:tc>
        <w:tc>
          <w:tcPr>
            <w:tcW w:w="0" w:type="auto"/>
            <w:vAlign w:val="center"/>
          </w:tcPr>
          <w:p w:rsidR="00B536C4" w:rsidRDefault="00CC45D2">
            <w:pPr>
              <w:jc w:val="center"/>
            </w:pPr>
            <w:r>
              <w:rPr>
                <w:color w:val="000000"/>
                <w:sz w:val="24"/>
              </w:rPr>
              <w:t>-11.72%</w:t>
            </w:r>
          </w:p>
        </w:tc>
        <w:tc>
          <w:tcPr>
            <w:tcW w:w="0" w:type="auto"/>
            <w:vAlign w:val="center"/>
          </w:tcPr>
          <w:p w:rsidR="00B536C4" w:rsidRDefault="00CC45D2">
            <w:pPr>
              <w:jc w:val="center"/>
            </w:pPr>
            <w:r>
              <w:rPr>
                <w:color w:val="000000"/>
                <w:sz w:val="24"/>
              </w:rPr>
              <w:t>1.11%</w:t>
            </w:r>
          </w:p>
        </w:tc>
        <w:tc>
          <w:tcPr>
            <w:tcW w:w="0" w:type="auto"/>
            <w:vAlign w:val="center"/>
          </w:tcPr>
          <w:p w:rsidR="00B536C4" w:rsidRDefault="00CC45D2">
            <w:pPr>
              <w:jc w:val="center"/>
            </w:pPr>
            <w:r>
              <w:rPr>
                <w:color w:val="000000"/>
                <w:sz w:val="24"/>
              </w:rPr>
              <w:t>10.85%</w:t>
            </w:r>
          </w:p>
        </w:tc>
        <w:tc>
          <w:tcPr>
            <w:tcW w:w="0" w:type="auto"/>
            <w:vAlign w:val="center"/>
          </w:tcPr>
          <w:p w:rsidR="00B536C4" w:rsidRDefault="00CC45D2">
            <w:pPr>
              <w:jc w:val="center"/>
            </w:pPr>
            <w:r>
              <w:rPr>
                <w:color w:val="000000"/>
                <w:sz w:val="24"/>
              </w:rPr>
              <w:t>0.43%</w:t>
            </w:r>
          </w:p>
        </w:tc>
      </w:tr>
      <w:tr w:rsidR="00B536C4">
        <w:tc>
          <w:tcPr>
            <w:tcW w:w="0" w:type="auto"/>
            <w:vAlign w:val="center"/>
          </w:tcPr>
          <w:p w:rsidR="00B536C4" w:rsidRDefault="00CC45D2">
            <w:pPr>
              <w:jc w:val="left"/>
            </w:pPr>
            <w:r>
              <w:rPr>
                <w:color w:val="000000"/>
                <w:sz w:val="24"/>
              </w:rPr>
              <w:t>自基金合同生效起至今</w:t>
            </w:r>
          </w:p>
        </w:tc>
        <w:tc>
          <w:tcPr>
            <w:tcW w:w="0" w:type="auto"/>
            <w:vAlign w:val="center"/>
          </w:tcPr>
          <w:p w:rsidR="00B536C4" w:rsidRDefault="00CC45D2">
            <w:pPr>
              <w:jc w:val="center"/>
            </w:pPr>
            <w:r>
              <w:rPr>
                <w:color w:val="000000"/>
                <w:sz w:val="24"/>
              </w:rPr>
              <w:t>25.00%</w:t>
            </w:r>
          </w:p>
        </w:tc>
        <w:tc>
          <w:tcPr>
            <w:tcW w:w="0" w:type="auto"/>
            <w:vAlign w:val="center"/>
          </w:tcPr>
          <w:p w:rsidR="00B536C4" w:rsidRDefault="00CC45D2">
            <w:pPr>
              <w:jc w:val="center"/>
            </w:pPr>
            <w:r>
              <w:rPr>
                <w:color w:val="000000"/>
                <w:sz w:val="24"/>
              </w:rPr>
              <w:t>1.34%</w:t>
            </w:r>
          </w:p>
        </w:tc>
        <w:tc>
          <w:tcPr>
            <w:tcW w:w="0" w:type="auto"/>
            <w:vAlign w:val="center"/>
          </w:tcPr>
          <w:p w:rsidR="00B536C4" w:rsidRDefault="00CC45D2">
            <w:pPr>
              <w:jc w:val="center"/>
            </w:pPr>
            <w:r>
              <w:rPr>
                <w:color w:val="000000"/>
                <w:sz w:val="24"/>
              </w:rPr>
              <w:t>5.60%</w:t>
            </w:r>
          </w:p>
        </w:tc>
        <w:tc>
          <w:tcPr>
            <w:tcW w:w="0" w:type="auto"/>
            <w:vAlign w:val="center"/>
          </w:tcPr>
          <w:p w:rsidR="00B536C4" w:rsidRDefault="00CC45D2">
            <w:pPr>
              <w:jc w:val="center"/>
            </w:pPr>
            <w:r>
              <w:rPr>
                <w:color w:val="000000"/>
                <w:sz w:val="24"/>
              </w:rPr>
              <w:t>1.05%</w:t>
            </w:r>
          </w:p>
        </w:tc>
        <w:tc>
          <w:tcPr>
            <w:tcW w:w="0" w:type="auto"/>
            <w:vAlign w:val="center"/>
          </w:tcPr>
          <w:p w:rsidR="00B536C4" w:rsidRDefault="00CC45D2">
            <w:pPr>
              <w:jc w:val="center"/>
            </w:pPr>
            <w:r>
              <w:rPr>
                <w:color w:val="000000"/>
                <w:sz w:val="24"/>
              </w:rPr>
              <w:t>19.40%</w:t>
            </w:r>
          </w:p>
        </w:tc>
        <w:tc>
          <w:tcPr>
            <w:tcW w:w="0" w:type="auto"/>
            <w:vAlign w:val="center"/>
          </w:tcPr>
          <w:p w:rsidR="00B536C4" w:rsidRDefault="00CC45D2">
            <w:pPr>
              <w:jc w:val="center"/>
            </w:pPr>
            <w:r>
              <w:rPr>
                <w:color w:val="000000"/>
                <w:sz w:val="24"/>
              </w:rPr>
              <w:t>0.29%</w:t>
            </w:r>
          </w:p>
        </w:tc>
      </w:tr>
    </w:tbl>
    <w:p w:rsidR="007B62FA" w:rsidRPr="00D0372D" w:rsidRDefault="007B62FA" w:rsidP="00A1027B">
      <w:pPr>
        <w:tabs>
          <w:tab w:val="left" w:pos="426"/>
        </w:tabs>
        <w:spacing w:before="29" w:line="288" w:lineRule="auto"/>
        <w:jc w:val="left"/>
        <w:rPr>
          <w:szCs w:val="21"/>
        </w:rPr>
      </w:pPr>
      <w:r w:rsidRPr="00B56CF4">
        <w:rPr>
          <w:kern w:val="0"/>
          <w:sz w:val="24"/>
        </w:rPr>
        <w:t>注：本基金的业绩比较基准为</w:t>
      </w:r>
      <w:r w:rsidRPr="00B56CF4">
        <w:rPr>
          <w:kern w:val="0"/>
          <w:sz w:val="24"/>
        </w:rPr>
        <w:t>MSCI</w:t>
      </w:r>
      <w:r w:rsidRPr="00B56CF4">
        <w:rPr>
          <w:kern w:val="0"/>
          <w:sz w:val="24"/>
        </w:rPr>
        <w:t>全球原材料总收益指数收益率</w:t>
      </w:r>
      <w:r w:rsidRPr="00B56CF4">
        <w:rPr>
          <w:kern w:val="0"/>
          <w:sz w:val="24"/>
        </w:rPr>
        <w:t>×65%</w:t>
      </w:r>
      <w:r w:rsidRPr="00B56CF4">
        <w:rPr>
          <w:kern w:val="0"/>
          <w:sz w:val="24"/>
        </w:rPr>
        <w:t>＋</w:t>
      </w:r>
      <w:r w:rsidRPr="00B56CF4">
        <w:rPr>
          <w:kern w:val="0"/>
          <w:sz w:val="24"/>
        </w:rPr>
        <w:t>MSCI</w:t>
      </w:r>
      <w:r w:rsidRPr="00B56CF4">
        <w:rPr>
          <w:kern w:val="0"/>
          <w:sz w:val="24"/>
        </w:rPr>
        <w:t>全球能源总收益指数收益率</w:t>
      </w:r>
      <w:r w:rsidRPr="00B56CF4">
        <w:rPr>
          <w:kern w:val="0"/>
          <w:sz w:val="24"/>
        </w:rPr>
        <w:t>×35%</w:t>
      </w:r>
      <w:r w:rsidRPr="00B56CF4">
        <w:rPr>
          <w:kern w:val="0"/>
          <w:sz w:val="24"/>
        </w:rPr>
        <w:t>，每日进行再平衡过程。</w:t>
      </w:r>
      <w:r w:rsidR="00A1027B">
        <w:rPr>
          <w:rFonts w:hint="eastAsia"/>
          <w:kern w:val="0"/>
          <w:sz w:val="24"/>
        </w:rPr>
        <w:br/>
      </w:r>
    </w:p>
    <w:p w:rsidR="007536B4" w:rsidRPr="00F655AA" w:rsidRDefault="007536B4" w:rsidP="00F655AA">
      <w:pPr>
        <w:spacing w:before="29" w:line="288" w:lineRule="auto"/>
        <w:rPr>
          <w:b/>
          <w:color w:val="000000"/>
          <w:kern w:val="0"/>
          <w:sz w:val="24"/>
        </w:rPr>
      </w:pPr>
      <w:r w:rsidRPr="00F655AA">
        <w:rPr>
          <w:rFonts w:hint="eastAsia"/>
          <w:b/>
          <w:color w:val="000000"/>
          <w:kern w:val="0"/>
          <w:sz w:val="24"/>
        </w:rPr>
        <w:t xml:space="preserve">3.2.2 </w:t>
      </w:r>
      <w:r w:rsidR="000041E0" w:rsidRPr="00D56D68">
        <w:rPr>
          <w:b/>
          <w:color w:val="000000"/>
          <w:kern w:val="0"/>
          <w:sz w:val="24"/>
        </w:rPr>
        <w:t>自基金合同生效以来</w:t>
      </w:r>
      <w:r w:rsidRPr="00F655AA">
        <w:rPr>
          <w:b/>
          <w:color w:val="000000"/>
          <w:kern w:val="0"/>
          <w:sz w:val="24"/>
        </w:rPr>
        <w:t>基金份额累计净值增长率变动及其与同期业绩比较基准收益率变动的比较</w:t>
      </w:r>
      <w:r w:rsidRPr="00F655AA">
        <w:rPr>
          <w:b/>
          <w:color w:val="000000"/>
          <w:kern w:val="0"/>
          <w:sz w:val="24"/>
        </w:rPr>
        <w:t xml:space="preserve"> </w:t>
      </w:r>
    </w:p>
    <w:p w:rsidR="007B62FA" w:rsidRPr="00930067" w:rsidRDefault="004F345B" w:rsidP="00417F87">
      <w:pPr>
        <w:spacing w:line="360" w:lineRule="auto"/>
        <w:jc w:val="center"/>
        <w:rPr>
          <w:rFonts w:ascii="宋体" w:hAnsi="宋体"/>
          <w:color w:val="000000"/>
          <w:szCs w:val="21"/>
        </w:rPr>
      </w:pPr>
      <w:r>
        <w:rPr>
          <w:rFonts w:ascii="宋体" w:hAnsi="宋体"/>
          <w:noProof/>
          <w:color w:val="000000"/>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B62FA" w:rsidRPr="00B56CF4" w:rsidRDefault="007B62FA" w:rsidP="00B56CF4">
      <w:pPr>
        <w:tabs>
          <w:tab w:val="left" w:pos="426"/>
        </w:tabs>
        <w:spacing w:before="29" w:line="288" w:lineRule="auto"/>
        <w:jc w:val="left"/>
        <w:rPr>
          <w:kern w:val="0"/>
          <w:sz w:val="24"/>
        </w:rPr>
      </w:pPr>
      <w:r w:rsidRPr="00B56CF4">
        <w:rPr>
          <w:kern w:val="0"/>
          <w:sz w:val="24"/>
        </w:rPr>
        <w:t>注：本基金建仓期为自基金合同生效日起的</w:t>
      </w:r>
      <w:r w:rsidRPr="00B56CF4">
        <w:rPr>
          <w:kern w:val="0"/>
          <w:sz w:val="24"/>
        </w:rPr>
        <w:t>6</w:t>
      </w:r>
      <w:r w:rsidRPr="00B56CF4">
        <w:rPr>
          <w:kern w:val="0"/>
          <w:sz w:val="24"/>
        </w:rPr>
        <w:t>个月。截至建仓期结束，本基金各项资产配置比例符合基金合同及招募说明书有关投资比例的约定。</w:t>
      </w:r>
    </w:p>
    <w:p w:rsidR="007B62FA" w:rsidRPr="00D0372D" w:rsidRDefault="007B62FA" w:rsidP="00417F87">
      <w:pPr>
        <w:spacing w:line="360" w:lineRule="auto"/>
        <w:rPr>
          <w:rFonts w:ascii="宋体" w:hAnsi="宋体"/>
          <w:color w:val="000000"/>
          <w:szCs w:val="21"/>
        </w:rPr>
      </w:pPr>
    </w:p>
    <w:p w:rsidR="007B62FA" w:rsidRPr="00870AA7" w:rsidRDefault="007B62FA" w:rsidP="00870AA7">
      <w:pPr>
        <w:spacing w:before="29" w:line="288" w:lineRule="auto"/>
        <w:rPr>
          <w:b/>
          <w:color w:val="000000"/>
          <w:kern w:val="0"/>
          <w:sz w:val="24"/>
        </w:rPr>
      </w:pPr>
      <w:r w:rsidRPr="00870AA7">
        <w:rPr>
          <w:b/>
          <w:color w:val="000000"/>
          <w:kern w:val="0"/>
          <w:sz w:val="24"/>
        </w:rPr>
        <w:lastRenderedPageBreak/>
        <w:t xml:space="preserve">3.2.3 </w:t>
      </w:r>
      <w:r w:rsidR="00BC75B8" w:rsidRPr="00870AA7">
        <w:rPr>
          <w:rFonts w:hint="eastAsia"/>
          <w:b/>
          <w:color w:val="000000"/>
          <w:kern w:val="0"/>
          <w:sz w:val="24"/>
        </w:rPr>
        <w:t>自基金合同生效以来</w:t>
      </w:r>
      <w:r w:rsidRPr="00870AA7">
        <w:rPr>
          <w:rFonts w:hint="eastAsia"/>
          <w:b/>
          <w:color w:val="000000"/>
          <w:kern w:val="0"/>
          <w:sz w:val="24"/>
        </w:rPr>
        <w:t>基金每年净值增长率及其与同期业绩比较基准收益率的比较</w:t>
      </w:r>
    </w:p>
    <w:p w:rsidR="007B62FA" w:rsidRPr="00D0372D" w:rsidRDefault="004F345B" w:rsidP="00417F87">
      <w:pPr>
        <w:spacing w:line="360" w:lineRule="auto"/>
        <w:jc w:val="center"/>
        <w:rPr>
          <w:rFonts w:ascii="宋体" w:hAnsi="宋体"/>
          <w:szCs w:val="21"/>
        </w:rPr>
      </w:pPr>
      <w:r>
        <w:rPr>
          <w:rFonts w:ascii="宋体" w:hAnsi="宋体"/>
          <w:noProof/>
          <w:szCs w:val="21"/>
        </w:rPr>
        <w:drawing>
          <wp:inline distT="0" distB="0" distL="0" distR="0">
            <wp:extent cx="5759450" cy="3372734"/>
            <wp:effectExtent l="0" t="0" r="0" b="0"/>
            <wp:docPr id="2" name="图片 2"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B62FA" w:rsidRPr="00B56CF4" w:rsidRDefault="007B62FA" w:rsidP="00B56CF4">
      <w:pPr>
        <w:tabs>
          <w:tab w:val="left" w:pos="426"/>
        </w:tabs>
        <w:spacing w:before="29" w:line="288" w:lineRule="auto"/>
        <w:jc w:val="left"/>
        <w:rPr>
          <w:kern w:val="0"/>
          <w:sz w:val="24"/>
        </w:rPr>
      </w:pPr>
      <w:r w:rsidRPr="00B56CF4">
        <w:rPr>
          <w:kern w:val="0"/>
          <w:sz w:val="24"/>
        </w:rPr>
        <w:t>注：图示日期为</w:t>
      </w:r>
      <w:r w:rsidRPr="00B56CF4">
        <w:rPr>
          <w:kern w:val="0"/>
          <w:sz w:val="24"/>
        </w:rPr>
        <w:t>2012</w:t>
      </w:r>
      <w:r w:rsidRPr="00B56CF4">
        <w:rPr>
          <w:kern w:val="0"/>
          <w:sz w:val="24"/>
        </w:rPr>
        <w:t>年</w:t>
      </w:r>
      <w:r w:rsidRPr="00B56CF4">
        <w:rPr>
          <w:kern w:val="0"/>
          <w:sz w:val="24"/>
        </w:rPr>
        <w:t>5</w:t>
      </w:r>
      <w:r w:rsidRPr="00B56CF4">
        <w:rPr>
          <w:kern w:val="0"/>
          <w:sz w:val="24"/>
        </w:rPr>
        <w:t>月</w:t>
      </w:r>
      <w:r w:rsidRPr="00B56CF4">
        <w:rPr>
          <w:kern w:val="0"/>
          <w:sz w:val="24"/>
        </w:rPr>
        <w:t>22</w:t>
      </w:r>
      <w:r w:rsidRPr="00B56CF4">
        <w:rPr>
          <w:kern w:val="0"/>
          <w:sz w:val="24"/>
        </w:rPr>
        <w:t>日至</w:t>
      </w:r>
      <w:r w:rsidRPr="00B56CF4">
        <w:rPr>
          <w:kern w:val="0"/>
          <w:sz w:val="24"/>
        </w:rPr>
        <w:t>2016</w:t>
      </w:r>
      <w:r w:rsidRPr="00B56CF4">
        <w:rPr>
          <w:kern w:val="0"/>
          <w:sz w:val="24"/>
        </w:rPr>
        <w:t>年</w:t>
      </w:r>
      <w:r w:rsidRPr="00B56CF4">
        <w:rPr>
          <w:kern w:val="0"/>
          <w:sz w:val="24"/>
        </w:rPr>
        <w:t>12</w:t>
      </w:r>
      <w:r w:rsidRPr="00B56CF4">
        <w:rPr>
          <w:kern w:val="0"/>
          <w:sz w:val="24"/>
        </w:rPr>
        <w:t>月</w:t>
      </w:r>
      <w:r w:rsidRPr="00B56CF4">
        <w:rPr>
          <w:kern w:val="0"/>
          <w:sz w:val="24"/>
        </w:rPr>
        <w:t>31</w:t>
      </w:r>
      <w:r w:rsidRPr="00B56CF4">
        <w:rPr>
          <w:kern w:val="0"/>
          <w:sz w:val="24"/>
        </w:rPr>
        <w:t>日。基金合同生效当年的净值增长率按照当年实际存续期计算。</w:t>
      </w:r>
    </w:p>
    <w:p w:rsidR="00CF2F9D" w:rsidRDefault="00CF2F9D" w:rsidP="00D21507">
      <w:pPr>
        <w:spacing w:line="360" w:lineRule="auto"/>
        <w:rPr>
          <w:rFonts w:ascii="宋体" w:hAnsi="宋体"/>
          <w:b/>
          <w:bCs/>
          <w:color w:val="000000"/>
          <w:kern w:val="0"/>
          <w:szCs w:val="21"/>
        </w:rPr>
      </w:pPr>
    </w:p>
    <w:p w:rsidR="007B62FA" w:rsidRPr="00D0372D" w:rsidRDefault="007B62FA" w:rsidP="00D21507">
      <w:pPr>
        <w:pStyle w:val="20"/>
        <w:spacing w:before="0" w:after="0"/>
        <w:rPr>
          <w:rFonts w:ascii="宋体" w:hAnsi="宋体"/>
          <w:color w:val="000000"/>
          <w:sz w:val="21"/>
          <w:szCs w:val="21"/>
        </w:rPr>
      </w:pPr>
      <w:bookmarkStart w:id="84" w:name="_Toc249760033"/>
      <w:bookmarkStart w:id="85" w:name="_Toc352255970"/>
      <w:bookmarkStart w:id="86" w:name="_Toc352256038"/>
      <w:bookmarkStart w:id="87" w:name="_Toc352331216"/>
      <w:bookmarkStart w:id="88" w:name="_Toc362423994"/>
      <w:bookmarkStart w:id="89" w:name="_Toc478411385"/>
      <w:r w:rsidRPr="009813F4">
        <w:rPr>
          <w:rFonts w:ascii="Times New Roman" w:hAnsi="Times New Roman"/>
          <w:color w:val="000000"/>
          <w:kern w:val="0"/>
          <w:szCs w:val="24"/>
        </w:rPr>
        <w:t>3.3</w:t>
      </w:r>
      <w:r w:rsidR="002D0B5F" w:rsidRPr="009813F4">
        <w:rPr>
          <w:rFonts w:ascii="Times New Roman" w:hAnsi="Times New Roman" w:hint="eastAsia"/>
          <w:color w:val="000000"/>
          <w:kern w:val="0"/>
          <w:szCs w:val="24"/>
        </w:rPr>
        <w:t xml:space="preserve"> </w:t>
      </w:r>
      <w:r w:rsidRPr="009813F4">
        <w:rPr>
          <w:rFonts w:ascii="Times New Roman" w:hAnsi="Times New Roman" w:hint="eastAsia"/>
          <w:color w:val="000000"/>
          <w:kern w:val="0"/>
          <w:szCs w:val="24"/>
        </w:rPr>
        <w:t>过去三年基金的利润分配情况</w:t>
      </w:r>
      <w:bookmarkEnd w:id="84"/>
      <w:bookmarkEnd w:id="85"/>
      <w:bookmarkEnd w:id="86"/>
      <w:bookmarkEnd w:id="87"/>
      <w:bookmarkEnd w:id="88"/>
      <w:bookmarkEnd w:id="89"/>
    </w:p>
    <w:p w:rsidR="007B62FA" w:rsidRPr="00D3750E" w:rsidRDefault="007B62FA" w:rsidP="00D3750E">
      <w:pPr>
        <w:autoSpaceDE w:val="0"/>
        <w:autoSpaceDN w:val="0"/>
        <w:adjustRightInd w:val="0"/>
        <w:spacing w:before="29" w:line="288" w:lineRule="auto"/>
        <w:ind w:left="15"/>
        <w:jc w:val="right"/>
        <w:rPr>
          <w:color w:val="000000"/>
          <w:kern w:val="0"/>
          <w:sz w:val="24"/>
        </w:rPr>
      </w:pPr>
      <w:r w:rsidRPr="00D3750E">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7B62FA" w:rsidRPr="00D0372D" w:rsidTr="006D141C">
        <w:trPr>
          <w:jc w:val="center"/>
        </w:trPr>
        <w:tc>
          <w:tcPr>
            <w:tcW w:w="1157"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年度</w:t>
            </w:r>
          </w:p>
        </w:tc>
        <w:tc>
          <w:tcPr>
            <w:tcW w:w="1378"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每</w:t>
            </w:r>
            <w:r w:rsidRPr="00D3750E">
              <w:rPr>
                <w:color w:val="000000"/>
                <w:sz w:val="24"/>
              </w:rPr>
              <w:t>10</w:t>
            </w:r>
            <w:r w:rsidRPr="00D3750E">
              <w:rPr>
                <w:rFonts w:hint="eastAsia"/>
                <w:color w:val="000000"/>
                <w:sz w:val="24"/>
              </w:rPr>
              <w:t>份基金份额分红数</w:t>
            </w:r>
          </w:p>
        </w:tc>
        <w:tc>
          <w:tcPr>
            <w:tcW w:w="1839"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现金形式发放总额</w:t>
            </w:r>
          </w:p>
        </w:tc>
        <w:tc>
          <w:tcPr>
            <w:tcW w:w="1950"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再投资形式发放总额</w:t>
            </w:r>
          </w:p>
        </w:tc>
        <w:tc>
          <w:tcPr>
            <w:tcW w:w="1894" w:type="dxa"/>
            <w:vAlign w:val="center"/>
          </w:tcPr>
          <w:p w:rsidR="007B62FA" w:rsidRPr="00D3750E" w:rsidRDefault="007B62FA" w:rsidP="00D3750E">
            <w:pPr>
              <w:adjustRightInd w:val="0"/>
              <w:spacing w:before="29" w:line="288" w:lineRule="auto"/>
              <w:ind w:left="15"/>
              <w:jc w:val="center"/>
              <w:rPr>
                <w:color w:val="000000"/>
                <w:sz w:val="24"/>
              </w:rPr>
            </w:pPr>
            <w:r w:rsidRPr="00D3750E">
              <w:rPr>
                <w:rFonts w:hint="eastAsia"/>
                <w:color w:val="000000"/>
                <w:sz w:val="24"/>
              </w:rPr>
              <w:t>年度利润分配合计</w:t>
            </w:r>
          </w:p>
        </w:tc>
        <w:tc>
          <w:tcPr>
            <w:tcW w:w="1068" w:type="dxa"/>
            <w:vAlign w:val="center"/>
          </w:tcPr>
          <w:p w:rsidR="007B62FA" w:rsidRPr="00D3750E" w:rsidRDefault="007B62FA" w:rsidP="00D3750E">
            <w:pPr>
              <w:adjustRightInd w:val="0"/>
              <w:spacing w:before="29" w:line="288" w:lineRule="auto"/>
              <w:ind w:left="15"/>
              <w:jc w:val="center"/>
              <w:rPr>
                <w:color w:val="000000"/>
                <w:sz w:val="24"/>
              </w:rPr>
            </w:pPr>
            <w:r w:rsidRPr="00D3750E">
              <w:rPr>
                <w:rFonts w:hint="eastAsia"/>
                <w:color w:val="000000"/>
                <w:sz w:val="24"/>
              </w:rPr>
              <w:t>备注</w:t>
            </w:r>
          </w:p>
        </w:tc>
      </w:tr>
      <w:tr w:rsidR="00B536C4">
        <w:trPr>
          <w:jc w:val="center"/>
        </w:trPr>
        <w:tc>
          <w:tcPr>
            <w:tcW w:w="1157" w:type="dxa"/>
            <w:vAlign w:val="center"/>
          </w:tcPr>
          <w:p w:rsidR="00B536C4" w:rsidRDefault="00CC45D2">
            <w:pPr>
              <w:jc w:val="center"/>
            </w:pPr>
            <w:r>
              <w:rPr>
                <w:color w:val="000000"/>
                <w:sz w:val="24"/>
              </w:rPr>
              <w:t>2016</w:t>
            </w:r>
            <w:r>
              <w:rPr>
                <w:color w:val="000000"/>
                <w:sz w:val="24"/>
              </w:rPr>
              <w:t>年</w:t>
            </w:r>
          </w:p>
        </w:tc>
        <w:tc>
          <w:tcPr>
            <w:tcW w:w="1378" w:type="dxa"/>
            <w:vAlign w:val="center"/>
          </w:tcPr>
          <w:p w:rsidR="00B536C4" w:rsidRDefault="00CC45D2">
            <w:pPr>
              <w:jc w:val="right"/>
            </w:pPr>
            <w:r>
              <w:rPr>
                <w:color w:val="000000"/>
                <w:sz w:val="24"/>
              </w:rPr>
              <w:t>-</w:t>
            </w:r>
          </w:p>
        </w:tc>
        <w:tc>
          <w:tcPr>
            <w:tcW w:w="1839" w:type="dxa"/>
            <w:vAlign w:val="center"/>
          </w:tcPr>
          <w:p w:rsidR="00B536C4" w:rsidRDefault="00CC45D2">
            <w:pPr>
              <w:jc w:val="right"/>
            </w:pPr>
            <w:r>
              <w:rPr>
                <w:color w:val="000000"/>
                <w:sz w:val="24"/>
              </w:rPr>
              <w:t>-</w:t>
            </w:r>
          </w:p>
        </w:tc>
        <w:tc>
          <w:tcPr>
            <w:tcW w:w="1950" w:type="dxa"/>
            <w:vAlign w:val="center"/>
          </w:tcPr>
          <w:p w:rsidR="00B536C4" w:rsidRDefault="00CC45D2">
            <w:pPr>
              <w:jc w:val="right"/>
            </w:pPr>
            <w:r>
              <w:rPr>
                <w:color w:val="000000"/>
                <w:sz w:val="24"/>
              </w:rPr>
              <w:t>-</w:t>
            </w:r>
          </w:p>
        </w:tc>
        <w:tc>
          <w:tcPr>
            <w:tcW w:w="1894" w:type="dxa"/>
            <w:vAlign w:val="center"/>
          </w:tcPr>
          <w:p w:rsidR="00B536C4" w:rsidRDefault="00CC45D2">
            <w:pPr>
              <w:jc w:val="right"/>
            </w:pPr>
            <w:r>
              <w:rPr>
                <w:color w:val="000000"/>
                <w:sz w:val="24"/>
              </w:rPr>
              <w:t>-</w:t>
            </w:r>
          </w:p>
        </w:tc>
        <w:tc>
          <w:tcPr>
            <w:tcW w:w="1068" w:type="dxa"/>
            <w:vAlign w:val="center"/>
          </w:tcPr>
          <w:p w:rsidR="00B536C4" w:rsidRDefault="00CC45D2">
            <w:pPr>
              <w:jc w:val="left"/>
            </w:pPr>
            <w:r>
              <w:rPr>
                <w:color w:val="000000"/>
                <w:sz w:val="24"/>
              </w:rPr>
              <w:t>-</w:t>
            </w:r>
          </w:p>
        </w:tc>
      </w:tr>
      <w:tr w:rsidR="00B536C4">
        <w:trPr>
          <w:jc w:val="center"/>
        </w:trPr>
        <w:tc>
          <w:tcPr>
            <w:tcW w:w="1157" w:type="dxa"/>
            <w:vAlign w:val="center"/>
          </w:tcPr>
          <w:p w:rsidR="00B536C4" w:rsidRDefault="00CC45D2">
            <w:pPr>
              <w:jc w:val="center"/>
            </w:pPr>
            <w:r>
              <w:rPr>
                <w:color w:val="000000"/>
                <w:sz w:val="24"/>
              </w:rPr>
              <w:t>2015</w:t>
            </w:r>
            <w:r>
              <w:rPr>
                <w:color w:val="000000"/>
                <w:sz w:val="24"/>
              </w:rPr>
              <w:t>年</w:t>
            </w:r>
          </w:p>
        </w:tc>
        <w:tc>
          <w:tcPr>
            <w:tcW w:w="1378" w:type="dxa"/>
            <w:vAlign w:val="center"/>
          </w:tcPr>
          <w:p w:rsidR="00B536C4" w:rsidRDefault="00CC45D2">
            <w:pPr>
              <w:jc w:val="right"/>
            </w:pPr>
            <w:r>
              <w:rPr>
                <w:color w:val="000000"/>
                <w:sz w:val="24"/>
              </w:rPr>
              <w:t>-</w:t>
            </w:r>
          </w:p>
        </w:tc>
        <w:tc>
          <w:tcPr>
            <w:tcW w:w="1839" w:type="dxa"/>
            <w:vAlign w:val="center"/>
          </w:tcPr>
          <w:p w:rsidR="00B536C4" w:rsidRDefault="00CC45D2">
            <w:pPr>
              <w:jc w:val="right"/>
            </w:pPr>
            <w:r>
              <w:rPr>
                <w:color w:val="000000"/>
                <w:sz w:val="24"/>
              </w:rPr>
              <w:t>-</w:t>
            </w:r>
          </w:p>
        </w:tc>
        <w:tc>
          <w:tcPr>
            <w:tcW w:w="1950" w:type="dxa"/>
            <w:vAlign w:val="center"/>
          </w:tcPr>
          <w:p w:rsidR="00B536C4" w:rsidRDefault="00CC45D2">
            <w:pPr>
              <w:jc w:val="right"/>
            </w:pPr>
            <w:r>
              <w:rPr>
                <w:color w:val="000000"/>
                <w:sz w:val="24"/>
              </w:rPr>
              <w:t>-</w:t>
            </w:r>
          </w:p>
        </w:tc>
        <w:tc>
          <w:tcPr>
            <w:tcW w:w="1894" w:type="dxa"/>
            <w:vAlign w:val="center"/>
          </w:tcPr>
          <w:p w:rsidR="00B536C4" w:rsidRDefault="00CC45D2">
            <w:pPr>
              <w:jc w:val="right"/>
            </w:pPr>
            <w:r>
              <w:rPr>
                <w:color w:val="000000"/>
                <w:sz w:val="24"/>
              </w:rPr>
              <w:t>-</w:t>
            </w:r>
          </w:p>
        </w:tc>
        <w:tc>
          <w:tcPr>
            <w:tcW w:w="1068" w:type="dxa"/>
            <w:vAlign w:val="center"/>
          </w:tcPr>
          <w:p w:rsidR="00B536C4" w:rsidRDefault="00CC45D2">
            <w:pPr>
              <w:jc w:val="left"/>
            </w:pPr>
            <w:r>
              <w:rPr>
                <w:color w:val="000000"/>
                <w:sz w:val="24"/>
              </w:rPr>
              <w:t>-</w:t>
            </w:r>
          </w:p>
        </w:tc>
      </w:tr>
      <w:tr w:rsidR="00B536C4">
        <w:trPr>
          <w:jc w:val="center"/>
        </w:trPr>
        <w:tc>
          <w:tcPr>
            <w:tcW w:w="1157" w:type="dxa"/>
            <w:vAlign w:val="center"/>
          </w:tcPr>
          <w:p w:rsidR="00B536C4" w:rsidRDefault="00CC45D2">
            <w:pPr>
              <w:jc w:val="center"/>
            </w:pPr>
            <w:r>
              <w:rPr>
                <w:color w:val="000000"/>
                <w:sz w:val="24"/>
              </w:rPr>
              <w:t>2014</w:t>
            </w:r>
            <w:r>
              <w:rPr>
                <w:color w:val="000000"/>
                <w:sz w:val="24"/>
              </w:rPr>
              <w:t>年</w:t>
            </w:r>
          </w:p>
        </w:tc>
        <w:tc>
          <w:tcPr>
            <w:tcW w:w="1378" w:type="dxa"/>
            <w:vAlign w:val="center"/>
          </w:tcPr>
          <w:p w:rsidR="00B536C4" w:rsidRDefault="00CC45D2">
            <w:pPr>
              <w:jc w:val="right"/>
            </w:pPr>
            <w:r>
              <w:rPr>
                <w:color w:val="000000"/>
                <w:sz w:val="24"/>
              </w:rPr>
              <w:t>0.230</w:t>
            </w:r>
          </w:p>
        </w:tc>
        <w:tc>
          <w:tcPr>
            <w:tcW w:w="1839" w:type="dxa"/>
            <w:vAlign w:val="center"/>
          </w:tcPr>
          <w:p w:rsidR="00B536C4" w:rsidRDefault="00CC45D2">
            <w:pPr>
              <w:jc w:val="right"/>
            </w:pPr>
            <w:r>
              <w:rPr>
                <w:color w:val="000000"/>
                <w:sz w:val="24"/>
              </w:rPr>
              <w:t>216,166.67</w:t>
            </w:r>
          </w:p>
        </w:tc>
        <w:tc>
          <w:tcPr>
            <w:tcW w:w="1950" w:type="dxa"/>
            <w:vAlign w:val="center"/>
          </w:tcPr>
          <w:p w:rsidR="00B536C4" w:rsidRDefault="00CC45D2">
            <w:pPr>
              <w:jc w:val="right"/>
            </w:pPr>
            <w:r>
              <w:rPr>
                <w:color w:val="000000"/>
                <w:sz w:val="24"/>
              </w:rPr>
              <w:t>42,017.74</w:t>
            </w:r>
          </w:p>
        </w:tc>
        <w:tc>
          <w:tcPr>
            <w:tcW w:w="1894" w:type="dxa"/>
            <w:vAlign w:val="center"/>
          </w:tcPr>
          <w:p w:rsidR="00B536C4" w:rsidRDefault="00CC45D2">
            <w:pPr>
              <w:jc w:val="right"/>
            </w:pPr>
            <w:r>
              <w:rPr>
                <w:color w:val="000000"/>
                <w:sz w:val="24"/>
              </w:rPr>
              <w:t>258,184.41</w:t>
            </w:r>
          </w:p>
        </w:tc>
        <w:tc>
          <w:tcPr>
            <w:tcW w:w="1068" w:type="dxa"/>
            <w:vAlign w:val="center"/>
          </w:tcPr>
          <w:p w:rsidR="00B536C4" w:rsidRDefault="00CC45D2">
            <w:pPr>
              <w:jc w:val="left"/>
            </w:pPr>
            <w:r>
              <w:rPr>
                <w:color w:val="000000"/>
                <w:sz w:val="24"/>
              </w:rPr>
              <w:t>-</w:t>
            </w:r>
          </w:p>
        </w:tc>
      </w:tr>
      <w:tr w:rsidR="007B62FA" w:rsidRPr="008F72BF" w:rsidTr="003E5A64">
        <w:trPr>
          <w:jc w:val="center"/>
        </w:trPr>
        <w:tc>
          <w:tcPr>
            <w:tcW w:w="1157" w:type="dxa"/>
            <w:vAlign w:val="center"/>
          </w:tcPr>
          <w:p w:rsidR="007B62FA" w:rsidRPr="003E5A64" w:rsidRDefault="007B62FA" w:rsidP="003E5A64">
            <w:pPr>
              <w:spacing w:before="29" w:line="288" w:lineRule="auto"/>
              <w:jc w:val="center"/>
              <w:rPr>
                <w:color w:val="000000"/>
                <w:sz w:val="24"/>
              </w:rPr>
            </w:pPr>
            <w:r w:rsidRPr="003E5A64">
              <w:rPr>
                <w:rFonts w:hint="eastAsia"/>
                <w:color w:val="000000"/>
                <w:sz w:val="24"/>
              </w:rPr>
              <w:t>合计</w:t>
            </w:r>
          </w:p>
        </w:tc>
        <w:tc>
          <w:tcPr>
            <w:tcW w:w="1378" w:type="dxa"/>
            <w:vAlign w:val="center"/>
          </w:tcPr>
          <w:p w:rsidR="007B62FA" w:rsidRPr="008F72BF" w:rsidRDefault="007B62FA" w:rsidP="008F72BF">
            <w:pPr>
              <w:spacing w:before="29" w:line="288" w:lineRule="auto"/>
              <w:jc w:val="right"/>
              <w:rPr>
                <w:sz w:val="24"/>
              </w:rPr>
            </w:pPr>
            <w:r w:rsidRPr="008F72BF">
              <w:rPr>
                <w:sz w:val="24"/>
              </w:rPr>
              <w:t>0.230</w:t>
            </w:r>
          </w:p>
        </w:tc>
        <w:tc>
          <w:tcPr>
            <w:tcW w:w="1839" w:type="dxa"/>
            <w:vAlign w:val="center"/>
          </w:tcPr>
          <w:p w:rsidR="007B62FA" w:rsidRPr="008F72BF" w:rsidRDefault="007B62FA" w:rsidP="008F72BF">
            <w:pPr>
              <w:spacing w:before="29" w:line="288" w:lineRule="auto"/>
              <w:jc w:val="right"/>
              <w:rPr>
                <w:sz w:val="24"/>
              </w:rPr>
            </w:pPr>
            <w:r w:rsidRPr="008F72BF">
              <w:rPr>
                <w:sz w:val="24"/>
              </w:rPr>
              <w:t>216,166.67</w:t>
            </w:r>
          </w:p>
        </w:tc>
        <w:tc>
          <w:tcPr>
            <w:tcW w:w="1950" w:type="dxa"/>
            <w:vAlign w:val="center"/>
          </w:tcPr>
          <w:p w:rsidR="007B62FA" w:rsidRPr="008F72BF" w:rsidRDefault="007B62FA" w:rsidP="008F72BF">
            <w:pPr>
              <w:spacing w:before="29" w:line="288" w:lineRule="auto"/>
              <w:jc w:val="right"/>
              <w:rPr>
                <w:sz w:val="24"/>
              </w:rPr>
            </w:pPr>
            <w:r w:rsidRPr="008F72BF">
              <w:rPr>
                <w:sz w:val="24"/>
              </w:rPr>
              <w:t>42,017.74</w:t>
            </w:r>
          </w:p>
        </w:tc>
        <w:tc>
          <w:tcPr>
            <w:tcW w:w="1894" w:type="dxa"/>
            <w:vAlign w:val="center"/>
          </w:tcPr>
          <w:p w:rsidR="007B62FA" w:rsidRPr="008F72BF" w:rsidRDefault="007B62FA" w:rsidP="008F72BF">
            <w:pPr>
              <w:spacing w:before="29" w:line="288" w:lineRule="auto"/>
              <w:jc w:val="right"/>
              <w:rPr>
                <w:sz w:val="24"/>
              </w:rPr>
            </w:pPr>
            <w:r w:rsidRPr="008F72BF">
              <w:rPr>
                <w:sz w:val="24"/>
              </w:rPr>
              <w:t>258,184.41</w:t>
            </w:r>
          </w:p>
        </w:tc>
        <w:tc>
          <w:tcPr>
            <w:tcW w:w="1068" w:type="dxa"/>
            <w:vAlign w:val="center"/>
          </w:tcPr>
          <w:p w:rsidR="007B62FA" w:rsidRPr="008F72BF" w:rsidRDefault="007B62FA" w:rsidP="008F72BF">
            <w:pPr>
              <w:spacing w:before="29" w:line="288" w:lineRule="auto"/>
              <w:rPr>
                <w:sz w:val="24"/>
              </w:rPr>
            </w:pPr>
            <w:r w:rsidRPr="008F72BF">
              <w:rPr>
                <w:sz w:val="24"/>
              </w:rPr>
              <w:t>-</w:t>
            </w:r>
          </w:p>
        </w:tc>
      </w:tr>
    </w:tbl>
    <w:p w:rsidR="001A355F" w:rsidRPr="00B56CF4" w:rsidRDefault="001A355F" w:rsidP="00B56CF4">
      <w:pPr>
        <w:tabs>
          <w:tab w:val="left" w:pos="426"/>
        </w:tabs>
        <w:spacing w:before="29" w:line="288" w:lineRule="auto"/>
        <w:jc w:val="left"/>
        <w:rPr>
          <w:kern w:val="0"/>
          <w:sz w:val="24"/>
        </w:rPr>
      </w:pPr>
    </w:p>
    <w:p w:rsidR="007B62FA" w:rsidRDefault="007B62FA" w:rsidP="000C7A13">
      <w:pPr>
        <w:pStyle w:val="1"/>
        <w:keepNext/>
        <w:keepLines/>
        <w:widowControl w:val="0"/>
        <w:spacing w:beforeLines="100" w:before="312" w:afterLines="100" w:after="312" w:line="288" w:lineRule="auto"/>
        <w:jc w:val="center"/>
        <w:rPr>
          <w:b/>
          <w:bCs/>
          <w:szCs w:val="24"/>
          <w:lang w:val="en-US"/>
        </w:rPr>
      </w:pPr>
      <w:bookmarkStart w:id="90" w:name="_Toc225498254"/>
      <w:bookmarkStart w:id="91" w:name="_Toc352255971"/>
      <w:bookmarkStart w:id="92" w:name="_Toc352256039"/>
      <w:bookmarkStart w:id="93" w:name="_Toc352331217"/>
      <w:bookmarkStart w:id="94" w:name="_Toc362423995"/>
      <w:bookmarkStart w:id="95" w:name="_Toc478411386"/>
      <w:r w:rsidRPr="007F3154">
        <w:rPr>
          <w:rFonts w:hint="eastAsia"/>
          <w:b/>
          <w:bCs/>
          <w:szCs w:val="24"/>
          <w:lang w:val="en-US"/>
        </w:rPr>
        <w:t>§</w:t>
      </w:r>
      <w:r w:rsidR="001822F7" w:rsidRPr="007F3154">
        <w:rPr>
          <w:b/>
          <w:bCs/>
          <w:szCs w:val="24"/>
          <w:lang w:val="en-US"/>
        </w:rPr>
        <w:t>4</w:t>
      </w:r>
      <w:r w:rsidR="003E5E48" w:rsidRPr="007F3154">
        <w:rPr>
          <w:rFonts w:hint="eastAsia"/>
          <w:b/>
          <w:bCs/>
          <w:szCs w:val="24"/>
          <w:lang w:val="en-US"/>
        </w:rPr>
        <w:t xml:space="preserve">  </w:t>
      </w:r>
      <w:r w:rsidRPr="007F3154">
        <w:rPr>
          <w:rFonts w:hint="eastAsia"/>
          <w:b/>
          <w:bCs/>
          <w:szCs w:val="24"/>
          <w:lang w:val="en-US"/>
        </w:rPr>
        <w:t>管理人报告</w:t>
      </w:r>
      <w:bookmarkEnd w:id="90"/>
      <w:bookmarkEnd w:id="91"/>
      <w:bookmarkEnd w:id="92"/>
      <w:bookmarkEnd w:id="93"/>
      <w:bookmarkEnd w:id="94"/>
      <w:bookmarkEnd w:id="95"/>
    </w:p>
    <w:p w:rsidR="00FC649E" w:rsidRPr="00FC649E" w:rsidRDefault="00FC649E" w:rsidP="00FC649E"/>
    <w:p w:rsidR="007B62FA" w:rsidRPr="00645C59" w:rsidRDefault="007B62FA" w:rsidP="00645C59">
      <w:pPr>
        <w:pStyle w:val="20"/>
        <w:spacing w:before="29" w:after="0" w:line="288" w:lineRule="auto"/>
        <w:rPr>
          <w:rFonts w:ascii="Times New Roman" w:hAnsi="Times New Roman"/>
          <w:kern w:val="0"/>
          <w:szCs w:val="24"/>
        </w:rPr>
      </w:pPr>
      <w:bookmarkStart w:id="96" w:name="_Toc352255972"/>
      <w:bookmarkStart w:id="97" w:name="_Toc352256040"/>
      <w:bookmarkStart w:id="98" w:name="_Toc352331218"/>
      <w:bookmarkStart w:id="99" w:name="_Toc362423996"/>
      <w:bookmarkStart w:id="100" w:name="_Toc478411387"/>
      <w:r w:rsidRPr="00645C59">
        <w:rPr>
          <w:rFonts w:ascii="Times New Roman" w:hAnsi="Times New Roman"/>
          <w:kern w:val="0"/>
          <w:szCs w:val="24"/>
        </w:rPr>
        <w:t xml:space="preserve">4.1 </w:t>
      </w:r>
      <w:r w:rsidRPr="00645C59">
        <w:rPr>
          <w:rFonts w:ascii="Times New Roman" w:hAnsi="Times New Roman" w:hint="eastAsia"/>
          <w:kern w:val="0"/>
          <w:szCs w:val="24"/>
        </w:rPr>
        <w:t>基金管理人及基金经理情况</w:t>
      </w:r>
      <w:bookmarkEnd w:id="96"/>
      <w:bookmarkEnd w:id="97"/>
      <w:bookmarkEnd w:id="98"/>
      <w:bookmarkEnd w:id="99"/>
      <w:bookmarkEnd w:id="100"/>
    </w:p>
    <w:p w:rsidR="007B62FA" w:rsidRPr="00645C59" w:rsidRDefault="007B62FA" w:rsidP="00645C59">
      <w:pPr>
        <w:pStyle w:val="20"/>
        <w:spacing w:before="29" w:after="0" w:line="288" w:lineRule="auto"/>
        <w:rPr>
          <w:rFonts w:ascii="Times New Roman" w:hAnsi="Times New Roman"/>
          <w:kern w:val="0"/>
          <w:szCs w:val="24"/>
        </w:rPr>
      </w:pPr>
      <w:bookmarkStart w:id="101" w:name="_Toc478410215"/>
      <w:bookmarkStart w:id="102" w:name="_Toc478411388"/>
      <w:r w:rsidRPr="00645C59">
        <w:rPr>
          <w:rFonts w:ascii="Times New Roman" w:hAnsi="Times New Roman"/>
          <w:kern w:val="0"/>
          <w:szCs w:val="24"/>
        </w:rPr>
        <w:t>4.1.1</w:t>
      </w:r>
      <w:r w:rsidR="006A6C3A" w:rsidRPr="00645C59">
        <w:rPr>
          <w:rFonts w:ascii="Times New Roman" w:hAnsi="Times New Roman" w:hint="eastAsia"/>
          <w:kern w:val="0"/>
          <w:szCs w:val="24"/>
        </w:rPr>
        <w:t xml:space="preserve"> </w:t>
      </w:r>
      <w:r w:rsidRPr="00645C59">
        <w:rPr>
          <w:rFonts w:ascii="Times New Roman" w:hAnsi="Times New Roman" w:hint="eastAsia"/>
          <w:kern w:val="0"/>
          <w:szCs w:val="24"/>
        </w:rPr>
        <w:t>基金管理人及其管理基金的经验</w:t>
      </w:r>
      <w:bookmarkEnd w:id="101"/>
      <w:bookmarkEnd w:id="102"/>
    </w:p>
    <w:p w:rsidR="00B536C4" w:rsidRDefault="00CC45D2">
      <w:pPr>
        <w:tabs>
          <w:tab w:val="left" w:pos="426"/>
        </w:tabs>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w:t>
      </w:r>
      <w:r>
        <w:rPr>
          <w:kern w:val="0"/>
          <w:sz w:val="24"/>
        </w:rPr>
        <w:lastRenderedPageBreak/>
        <w:t>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7B62FA" w:rsidRPr="00645C59" w:rsidRDefault="007B62FA" w:rsidP="00645C59">
      <w:pPr>
        <w:tabs>
          <w:tab w:val="left" w:pos="426"/>
        </w:tabs>
        <w:spacing w:before="29" w:line="288" w:lineRule="auto"/>
        <w:ind w:firstLineChars="200" w:firstLine="480"/>
        <w:rPr>
          <w:kern w:val="0"/>
          <w:sz w:val="24"/>
        </w:rPr>
      </w:pPr>
      <w:r w:rsidRPr="00645C59">
        <w:rPr>
          <w:kern w:val="0"/>
          <w:sz w:val="24"/>
        </w:rPr>
        <w:t>截至报告期末，公司管理了包括货币型、债券型、保本混合型、普通混合型和股票型在内的</w:t>
      </w:r>
      <w:r w:rsidRPr="00645C59">
        <w:rPr>
          <w:kern w:val="0"/>
          <w:sz w:val="24"/>
        </w:rPr>
        <w:t>69</w:t>
      </w:r>
      <w:r w:rsidRPr="00645C59">
        <w:rPr>
          <w:kern w:val="0"/>
          <w:sz w:val="24"/>
        </w:rPr>
        <w:t>只基金，其中股票型涵盖普通指数型、交易型开放式（</w:t>
      </w:r>
      <w:r w:rsidRPr="00645C59">
        <w:rPr>
          <w:kern w:val="0"/>
          <w:sz w:val="24"/>
        </w:rPr>
        <w:t>ETF</w:t>
      </w:r>
      <w:r w:rsidRPr="00645C59">
        <w:rPr>
          <w:kern w:val="0"/>
          <w:sz w:val="24"/>
        </w:rPr>
        <w:t>）、</w:t>
      </w:r>
      <w:r w:rsidRPr="00645C59">
        <w:rPr>
          <w:kern w:val="0"/>
          <w:sz w:val="24"/>
        </w:rPr>
        <w:t>QDII</w:t>
      </w:r>
      <w:r w:rsidRPr="00645C59">
        <w:rPr>
          <w:kern w:val="0"/>
          <w:sz w:val="24"/>
        </w:rPr>
        <w:t>等不同类型基金。</w:t>
      </w:r>
    </w:p>
    <w:p w:rsidR="007B62FA" w:rsidRPr="00D0372D" w:rsidRDefault="007B62FA" w:rsidP="00D21507">
      <w:pPr>
        <w:spacing w:line="360" w:lineRule="auto"/>
        <w:ind w:firstLineChars="200" w:firstLine="420"/>
        <w:rPr>
          <w:rFonts w:ascii="宋体" w:hAnsi="宋体"/>
          <w:color w:val="000000"/>
          <w:kern w:val="0"/>
          <w:szCs w:val="21"/>
        </w:rPr>
      </w:pPr>
    </w:p>
    <w:p w:rsidR="007B62FA" w:rsidRPr="00645C59" w:rsidRDefault="009D1492" w:rsidP="00645C59">
      <w:pPr>
        <w:autoSpaceDE w:val="0"/>
        <w:autoSpaceDN w:val="0"/>
        <w:adjustRightInd w:val="0"/>
        <w:spacing w:before="29" w:line="288" w:lineRule="auto"/>
        <w:jc w:val="left"/>
        <w:rPr>
          <w:b/>
          <w:color w:val="000000"/>
          <w:kern w:val="0"/>
          <w:sz w:val="24"/>
        </w:rPr>
      </w:pPr>
      <w:r w:rsidRPr="00645C59">
        <w:rPr>
          <w:rFonts w:hint="eastAsia"/>
          <w:b/>
          <w:color w:val="000000"/>
          <w:kern w:val="0"/>
          <w:sz w:val="24"/>
        </w:rPr>
        <w:t>4</w:t>
      </w:r>
      <w:r w:rsidRPr="00645C59">
        <w:rPr>
          <w:b/>
          <w:color w:val="000000"/>
          <w:kern w:val="0"/>
          <w:sz w:val="24"/>
        </w:rPr>
        <w:t>.</w:t>
      </w:r>
      <w:r w:rsidRPr="00645C59">
        <w:rPr>
          <w:rFonts w:hint="eastAsia"/>
          <w:b/>
          <w:color w:val="000000"/>
          <w:kern w:val="0"/>
          <w:sz w:val="24"/>
        </w:rPr>
        <w:t>1</w:t>
      </w:r>
      <w:r w:rsidRPr="00645C59">
        <w:rPr>
          <w:b/>
          <w:color w:val="000000"/>
          <w:kern w:val="0"/>
          <w:sz w:val="24"/>
        </w:rPr>
        <w:t>.</w:t>
      </w:r>
      <w:r w:rsidRPr="00645C59">
        <w:rPr>
          <w:rFonts w:hint="eastAsia"/>
          <w:b/>
          <w:color w:val="000000"/>
          <w:kern w:val="0"/>
          <w:sz w:val="24"/>
        </w:rPr>
        <w:t>2</w:t>
      </w:r>
      <w:r w:rsidR="006A6C3A" w:rsidRPr="00645C59">
        <w:rPr>
          <w:rFonts w:hint="eastAsia"/>
          <w:b/>
          <w:color w:val="000000"/>
          <w:kern w:val="0"/>
          <w:sz w:val="24"/>
        </w:rPr>
        <w:t xml:space="preserve"> </w:t>
      </w:r>
      <w:r w:rsidR="007B62FA" w:rsidRPr="00645C59">
        <w:rPr>
          <w:rFonts w:hint="eastAsia"/>
          <w:b/>
          <w:color w:val="000000"/>
          <w:kern w:val="0"/>
          <w:sz w:val="24"/>
        </w:rPr>
        <w:t>基金经理（或基金经理小组）及基金经理助理的简介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8"/>
        <w:gridCol w:w="1816"/>
        <w:gridCol w:w="1336"/>
        <w:gridCol w:w="1244"/>
        <w:gridCol w:w="1150"/>
        <w:gridCol w:w="2592"/>
      </w:tblGrid>
      <w:tr w:rsidR="00DB51BC" w:rsidRPr="00D0372D" w:rsidTr="00DB51BC">
        <w:trPr>
          <w:cantSplit/>
        </w:trPr>
        <w:tc>
          <w:tcPr>
            <w:tcW w:w="653"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姓名</w:t>
            </w:r>
          </w:p>
        </w:tc>
        <w:tc>
          <w:tcPr>
            <w:tcW w:w="854"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职务</w:t>
            </w:r>
          </w:p>
        </w:tc>
        <w:tc>
          <w:tcPr>
            <w:tcW w:w="1409" w:type="pct"/>
            <w:gridSpan w:val="2"/>
          </w:tcPr>
          <w:p w:rsidR="007B62FA" w:rsidRPr="00645C59" w:rsidRDefault="007B62FA" w:rsidP="00645C59">
            <w:pPr>
              <w:spacing w:before="29" w:line="288" w:lineRule="auto"/>
              <w:jc w:val="center"/>
              <w:rPr>
                <w:color w:val="000000"/>
                <w:sz w:val="24"/>
              </w:rPr>
            </w:pPr>
            <w:proofErr w:type="gramStart"/>
            <w:r w:rsidRPr="00645C59">
              <w:rPr>
                <w:rFonts w:hint="eastAsia"/>
                <w:color w:val="000000"/>
                <w:sz w:val="24"/>
              </w:rPr>
              <w:t>任本基金</w:t>
            </w:r>
            <w:proofErr w:type="gramEnd"/>
            <w:r w:rsidRPr="00645C59">
              <w:rPr>
                <w:rFonts w:hint="eastAsia"/>
                <w:color w:val="000000"/>
                <w:sz w:val="24"/>
              </w:rPr>
              <w:t>的基金经理</w:t>
            </w:r>
            <w:r w:rsidR="00165641" w:rsidRPr="00645C59">
              <w:rPr>
                <w:rFonts w:hint="eastAsia"/>
                <w:color w:val="000000"/>
                <w:sz w:val="24"/>
              </w:rPr>
              <w:t>（助理）</w:t>
            </w:r>
            <w:r w:rsidRPr="00645C59">
              <w:rPr>
                <w:rFonts w:hint="eastAsia"/>
                <w:color w:val="000000"/>
                <w:sz w:val="24"/>
              </w:rPr>
              <w:t>期限</w:t>
            </w:r>
          </w:p>
        </w:tc>
        <w:tc>
          <w:tcPr>
            <w:tcW w:w="654"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证券从业年限</w:t>
            </w:r>
          </w:p>
        </w:tc>
        <w:tc>
          <w:tcPr>
            <w:tcW w:w="1431"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说明</w:t>
            </w:r>
          </w:p>
        </w:tc>
      </w:tr>
      <w:tr w:rsidR="00DB51BC" w:rsidRPr="00D0372D" w:rsidTr="00DB51BC">
        <w:trPr>
          <w:cantSplit/>
        </w:trPr>
        <w:tc>
          <w:tcPr>
            <w:tcW w:w="653" w:type="pct"/>
            <w:vMerge/>
            <w:vAlign w:val="center"/>
          </w:tcPr>
          <w:p w:rsidR="007B62FA" w:rsidRPr="00D0372D" w:rsidRDefault="007B62FA" w:rsidP="00417F87">
            <w:pPr>
              <w:widowControl/>
              <w:spacing w:line="360" w:lineRule="auto"/>
              <w:jc w:val="left"/>
              <w:rPr>
                <w:rFonts w:ascii="宋体" w:hAnsi="宋体"/>
                <w:color w:val="000000"/>
                <w:szCs w:val="21"/>
              </w:rPr>
            </w:pPr>
          </w:p>
        </w:tc>
        <w:tc>
          <w:tcPr>
            <w:tcW w:w="854" w:type="pct"/>
            <w:vMerge/>
            <w:vAlign w:val="center"/>
          </w:tcPr>
          <w:p w:rsidR="007B62FA" w:rsidRPr="00D0372D" w:rsidRDefault="007B62FA" w:rsidP="00417F87">
            <w:pPr>
              <w:widowControl/>
              <w:spacing w:line="360" w:lineRule="auto"/>
              <w:jc w:val="left"/>
              <w:rPr>
                <w:rFonts w:ascii="宋体" w:hAnsi="宋体"/>
                <w:color w:val="000000"/>
                <w:szCs w:val="21"/>
              </w:rPr>
            </w:pPr>
          </w:p>
        </w:tc>
        <w:tc>
          <w:tcPr>
            <w:tcW w:w="704" w:type="pc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任职日期</w:t>
            </w:r>
          </w:p>
        </w:tc>
        <w:tc>
          <w:tcPr>
            <w:tcW w:w="704" w:type="pc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离任日期</w:t>
            </w:r>
          </w:p>
        </w:tc>
        <w:tc>
          <w:tcPr>
            <w:tcW w:w="654" w:type="pct"/>
            <w:vMerge/>
            <w:vAlign w:val="center"/>
          </w:tcPr>
          <w:p w:rsidR="007B62FA" w:rsidRPr="00D0372D" w:rsidRDefault="007B62FA" w:rsidP="00417F87">
            <w:pPr>
              <w:widowControl/>
              <w:spacing w:line="360" w:lineRule="auto"/>
              <w:jc w:val="left"/>
              <w:rPr>
                <w:rFonts w:ascii="宋体" w:hAnsi="宋体"/>
                <w:color w:val="000000"/>
                <w:szCs w:val="21"/>
              </w:rPr>
            </w:pPr>
          </w:p>
        </w:tc>
        <w:tc>
          <w:tcPr>
            <w:tcW w:w="1431" w:type="pct"/>
            <w:vMerge/>
            <w:vAlign w:val="center"/>
          </w:tcPr>
          <w:p w:rsidR="007B62FA" w:rsidRPr="00D0372D" w:rsidRDefault="007B62FA" w:rsidP="00417F87">
            <w:pPr>
              <w:widowControl/>
              <w:spacing w:line="360" w:lineRule="auto"/>
              <w:jc w:val="left"/>
              <w:rPr>
                <w:rFonts w:ascii="宋体" w:hAnsi="宋体"/>
                <w:color w:val="000000"/>
                <w:szCs w:val="21"/>
              </w:rPr>
            </w:pPr>
          </w:p>
        </w:tc>
      </w:tr>
      <w:tr w:rsidR="00B536C4">
        <w:tc>
          <w:tcPr>
            <w:tcW w:w="0" w:type="auto"/>
            <w:vAlign w:val="center"/>
          </w:tcPr>
          <w:p w:rsidR="00B536C4" w:rsidRDefault="00CC45D2">
            <w:pPr>
              <w:jc w:val="center"/>
            </w:pPr>
            <w:r>
              <w:rPr>
                <w:color w:val="000000"/>
                <w:sz w:val="24"/>
              </w:rPr>
              <w:t>蔡铮</w:t>
            </w:r>
          </w:p>
        </w:tc>
        <w:tc>
          <w:tcPr>
            <w:tcW w:w="0" w:type="auto"/>
            <w:vAlign w:val="center"/>
          </w:tcPr>
          <w:p w:rsidR="00B536C4" w:rsidRDefault="00CC45D2">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w:t>
            </w:r>
            <w:proofErr w:type="gramStart"/>
            <w:r>
              <w:rPr>
                <w:color w:val="000000"/>
                <w:sz w:val="24"/>
              </w:rPr>
              <w:t>交银深证</w:t>
            </w:r>
            <w:proofErr w:type="gramEnd"/>
            <w:r>
              <w:rPr>
                <w:color w:val="000000"/>
                <w:sz w:val="24"/>
              </w:rPr>
              <w:t>300</w:t>
            </w:r>
            <w:r>
              <w:rPr>
                <w:color w:val="000000"/>
                <w:sz w:val="24"/>
              </w:rPr>
              <w:t>价值</w:t>
            </w:r>
            <w:r>
              <w:rPr>
                <w:color w:val="000000"/>
                <w:sz w:val="24"/>
              </w:rPr>
              <w:t>ETF</w:t>
            </w:r>
            <w:r>
              <w:rPr>
                <w:color w:val="000000"/>
                <w:sz w:val="24"/>
              </w:rPr>
              <w:t>及其联接、交</w:t>
            </w:r>
            <w:proofErr w:type="gramStart"/>
            <w:r>
              <w:rPr>
                <w:color w:val="000000"/>
                <w:sz w:val="24"/>
              </w:rPr>
              <w:t>银全球</w:t>
            </w:r>
            <w:proofErr w:type="gramEnd"/>
            <w:r>
              <w:rPr>
                <w:color w:val="000000"/>
                <w:sz w:val="24"/>
              </w:rPr>
              <w:t>资源混合</w:t>
            </w:r>
            <w:r>
              <w:rPr>
                <w:color w:val="000000"/>
                <w:sz w:val="24"/>
              </w:rPr>
              <w:t>(QDII)</w:t>
            </w:r>
            <w:r>
              <w:rPr>
                <w:color w:val="000000"/>
                <w:sz w:val="24"/>
              </w:rPr>
              <w:t>、交</w:t>
            </w:r>
            <w:proofErr w:type="gramStart"/>
            <w:r>
              <w:rPr>
                <w:color w:val="000000"/>
                <w:sz w:val="24"/>
              </w:rPr>
              <w:t>银国证新能源</w:t>
            </w:r>
            <w:proofErr w:type="gramEnd"/>
            <w:r>
              <w:rPr>
                <w:color w:val="000000"/>
                <w:sz w:val="24"/>
              </w:rPr>
              <w:t>指数分级、交银中</w:t>
            </w:r>
            <w:proofErr w:type="gramStart"/>
            <w:r>
              <w:rPr>
                <w:color w:val="000000"/>
                <w:sz w:val="24"/>
              </w:rPr>
              <w:t>证海外</w:t>
            </w:r>
            <w:proofErr w:type="gramEnd"/>
            <w:r>
              <w:rPr>
                <w:color w:val="000000"/>
                <w:sz w:val="24"/>
              </w:rPr>
              <w:t>中国互联网指数（</w:t>
            </w:r>
            <w:r>
              <w:rPr>
                <w:color w:val="000000"/>
                <w:sz w:val="24"/>
              </w:rPr>
              <w:t>QDII-LOF)</w:t>
            </w:r>
            <w:r>
              <w:rPr>
                <w:color w:val="000000"/>
                <w:sz w:val="24"/>
              </w:rPr>
              <w:t>、交银中证互联网金融指数分级、交银中</w:t>
            </w:r>
            <w:proofErr w:type="gramStart"/>
            <w:r>
              <w:rPr>
                <w:color w:val="000000"/>
                <w:sz w:val="24"/>
              </w:rPr>
              <w:t>证环境</w:t>
            </w:r>
            <w:proofErr w:type="gramEnd"/>
            <w:r>
              <w:rPr>
                <w:color w:val="000000"/>
                <w:sz w:val="24"/>
              </w:rPr>
              <w:t>治理指数（</w:t>
            </w:r>
            <w:r>
              <w:rPr>
                <w:color w:val="000000"/>
                <w:sz w:val="24"/>
              </w:rPr>
              <w:t>LOF</w:t>
            </w:r>
            <w:r>
              <w:rPr>
                <w:color w:val="000000"/>
                <w:sz w:val="24"/>
              </w:rPr>
              <w:t>）的基金经理，公司量化投资部副总经理</w:t>
            </w:r>
          </w:p>
        </w:tc>
        <w:tc>
          <w:tcPr>
            <w:tcW w:w="0" w:type="auto"/>
            <w:vAlign w:val="center"/>
          </w:tcPr>
          <w:p w:rsidR="00B536C4" w:rsidRDefault="00CC45D2">
            <w:pPr>
              <w:jc w:val="center"/>
            </w:pPr>
            <w:r>
              <w:rPr>
                <w:color w:val="000000"/>
                <w:sz w:val="24"/>
              </w:rPr>
              <w:t>2015-04-22</w:t>
            </w:r>
          </w:p>
        </w:tc>
        <w:tc>
          <w:tcPr>
            <w:tcW w:w="0" w:type="auto"/>
            <w:vAlign w:val="center"/>
          </w:tcPr>
          <w:p w:rsidR="00B536C4" w:rsidRDefault="00CC45D2">
            <w:pPr>
              <w:jc w:val="center"/>
            </w:pPr>
            <w:r>
              <w:rPr>
                <w:color w:val="000000"/>
                <w:sz w:val="24"/>
              </w:rPr>
              <w:t>-</w:t>
            </w:r>
          </w:p>
        </w:tc>
        <w:tc>
          <w:tcPr>
            <w:tcW w:w="0" w:type="auto"/>
            <w:vAlign w:val="center"/>
          </w:tcPr>
          <w:p w:rsidR="00B536C4" w:rsidRDefault="00CC45D2">
            <w:pPr>
              <w:jc w:val="center"/>
            </w:pPr>
            <w:r>
              <w:rPr>
                <w:color w:val="000000"/>
                <w:sz w:val="24"/>
              </w:rPr>
              <w:t>7</w:t>
            </w:r>
            <w:r>
              <w:rPr>
                <w:color w:val="000000"/>
                <w:sz w:val="24"/>
              </w:rPr>
              <w:t>年</w:t>
            </w:r>
          </w:p>
        </w:tc>
        <w:tc>
          <w:tcPr>
            <w:tcW w:w="0" w:type="auto"/>
            <w:vAlign w:val="center"/>
          </w:tcPr>
          <w:p w:rsidR="00B536C4" w:rsidRDefault="00CC45D2">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w:t>
            </w:r>
            <w:proofErr w:type="gramStart"/>
            <w:r>
              <w:rPr>
                <w:color w:val="000000"/>
                <w:sz w:val="24"/>
              </w:rPr>
              <w:t>证环境</w:t>
            </w:r>
            <w:proofErr w:type="gramEnd"/>
            <w:r>
              <w:rPr>
                <w:color w:val="000000"/>
                <w:sz w:val="24"/>
              </w:rPr>
              <w:t>治理指数分级证券投资</w:t>
            </w:r>
            <w:proofErr w:type="gramStart"/>
            <w:r>
              <w:rPr>
                <w:color w:val="000000"/>
                <w:sz w:val="24"/>
              </w:rPr>
              <w:t>基金基金</w:t>
            </w:r>
            <w:proofErr w:type="gramEnd"/>
            <w:r>
              <w:rPr>
                <w:color w:val="000000"/>
                <w:sz w:val="24"/>
              </w:rPr>
              <w:t>经理。</w:t>
            </w:r>
          </w:p>
        </w:tc>
      </w:tr>
      <w:tr w:rsidR="00B536C4">
        <w:tc>
          <w:tcPr>
            <w:tcW w:w="0" w:type="auto"/>
            <w:vAlign w:val="center"/>
          </w:tcPr>
          <w:p w:rsidR="00B536C4" w:rsidRDefault="00CC45D2">
            <w:pPr>
              <w:jc w:val="center"/>
            </w:pPr>
            <w:r>
              <w:rPr>
                <w:color w:val="000000"/>
                <w:sz w:val="24"/>
              </w:rPr>
              <w:t>陈俊华</w:t>
            </w:r>
          </w:p>
        </w:tc>
        <w:tc>
          <w:tcPr>
            <w:tcW w:w="0" w:type="auto"/>
            <w:vAlign w:val="center"/>
          </w:tcPr>
          <w:p w:rsidR="00B536C4" w:rsidRDefault="00CC45D2">
            <w:pPr>
              <w:jc w:val="center"/>
            </w:pPr>
            <w:r>
              <w:rPr>
                <w:color w:val="000000"/>
                <w:sz w:val="24"/>
              </w:rPr>
              <w:t>交银环球精选混合</w:t>
            </w:r>
            <w:r>
              <w:rPr>
                <w:color w:val="000000"/>
                <w:sz w:val="24"/>
              </w:rPr>
              <w:t>(QDII)</w:t>
            </w:r>
            <w:r>
              <w:rPr>
                <w:color w:val="000000"/>
                <w:sz w:val="24"/>
              </w:rPr>
              <w:t>、交</w:t>
            </w:r>
            <w:proofErr w:type="gramStart"/>
            <w:r>
              <w:rPr>
                <w:color w:val="000000"/>
                <w:sz w:val="24"/>
              </w:rPr>
              <w:t>银全球</w:t>
            </w:r>
            <w:proofErr w:type="gramEnd"/>
            <w:r>
              <w:rPr>
                <w:color w:val="000000"/>
                <w:sz w:val="24"/>
              </w:rPr>
              <w:t>资源混合</w:t>
            </w:r>
            <w:r>
              <w:rPr>
                <w:color w:val="000000"/>
                <w:sz w:val="24"/>
              </w:rPr>
              <w:t>(QDII)</w:t>
            </w:r>
            <w:r>
              <w:rPr>
                <w:color w:val="000000"/>
                <w:sz w:val="24"/>
              </w:rPr>
              <w:t>、交</w:t>
            </w:r>
            <w:proofErr w:type="gramStart"/>
            <w:r>
              <w:rPr>
                <w:color w:val="000000"/>
                <w:sz w:val="24"/>
              </w:rPr>
              <w:t>银沪港深价值</w:t>
            </w:r>
            <w:proofErr w:type="gramEnd"/>
            <w:r>
              <w:rPr>
                <w:color w:val="000000"/>
                <w:sz w:val="24"/>
              </w:rPr>
              <w:t>精选混合的基金经理</w:t>
            </w:r>
          </w:p>
        </w:tc>
        <w:tc>
          <w:tcPr>
            <w:tcW w:w="0" w:type="auto"/>
            <w:vAlign w:val="center"/>
          </w:tcPr>
          <w:p w:rsidR="00B536C4" w:rsidRDefault="00CC45D2">
            <w:pPr>
              <w:jc w:val="center"/>
            </w:pPr>
            <w:r>
              <w:rPr>
                <w:color w:val="000000"/>
                <w:sz w:val="24"/>
              </w:rPr>
              <w:t>2015-11-21</w:t>
            </w:r>
          </w:p>
        </w:tc>
        <w:tc>
          <w:tcPr>
            <w:tcW w:w="0" w:type="auto"/>
            <w:vAlign w:val="center"/>
          </w:tcPr>
          <w:p w:rsidR="00B536C4" w:rsidRDefault="00CC45D2">
            <w:pPr>
              <w:jc w:val="center"/>
            </w:pPr>
            <w:r>
              <w:rPr>
                <w:color w:val="000000"/>
                <w:sz w:val="24"/>
              </w:rPr>
              <w:t>-</w:t>
            </w:r>
          </w:p>
        </w:tc>
        <w:tc>
          <w:tcPr>
            <w:tcW w:w="0" w:type="auto"/>
            <w:vAlign w:val="center"/>
          </w:tcPr>
          <w:p w:rsidR="00B536C4" w:rsidRDefault="00CC45D2">
            <w:pPr>
              <w:jc w:val="center"/>
            </w:pPr>
            <w:r>
              <w:rPr>
                <w:color w:val="000000"/>
                <w:sz w:val="24"/>
              </w:rPr>
              <w:t>11</w:t>
            </w:r>
            <w:r>
              <w:rPr>
                <w:color w:val="000000"/>
                <w:sz w:val="24"/>
              </w:rPr>
              <w:t>年</w:t>
            </w:r>
          </w:p>
        </w:tc>
        <w:tc>
          <w:tcPr>
            <w:tcW w:w="0" w:type="auto"/>
            <w:vAlign w:val="center"/>
          </w:tcPr>
          <w:p w:rsidR="00B536C4" w:rsidRDefault="00CC45D2">
            <w:pPr>
              <w:jc w:val="left"/>
            </w:pPr>
            <w:r>
              <w:rPr>
                <w:color w:val="000000"/>
                <w:sz w:val="24"/>
              </w:rPr>
              <w:t>陈俊华女士，中国国籍，上海交通大学金融学硕士。</w:t>
            </w:r>
            <w:proofErr w:type="gramStart"/>
            <w:r>
              <w:rPr>
                <w:color w:val="000000"/>
                <w:sz w:val="24"/>
              </w:rPr>
              <w:t>历任国</w:t>
            </w:r>
            <w:proofErr w:type="gramEnd"/>
            <w:r>
              <w:rPr>
                <w:color w:val="000000"/>
                <w:sz w:val="24"/>
              </w:rPr>
              <w:t>泰君安证券研究部研究员、中国国际金融有限公司研究部公用事业组负责人。</w:t>
            </w:r>
            <w:r>
              <w:rPr>
                <w:color w:val="000000"/>
                <w:sz w:val="24"/>
              </w:rPr>
              <w:t>2015</w:t>
            </w:r>
            <w:r>
              <w:rPr>
                <w:color w:val="000000"/>
                <w:sz w:val="24"/>
              </w:rPr>
              <w:t>年加入交银施罗德基金管理有限</w:t>
            </w:r>
            <w:r>
              <w:rPr>
                <w:color w:val="000000"/>
                <w:sz w:val="24"/>
              </w:rPr>
              <w:lastRenderedPageBreak/>
              <w:t>公司。</w:t>
            </w:r>
          </w:p>
        </w:tc>
      </w:tr>
      <w:tr w:rsidR="00B536C4">
        <w:tc>
          <w:tcPr>
            <w:tcW w:w="0" w:type="auto"/>
            <w:vAlign w:val="center"/>
          </w:tcPr>
          <w:p w:rsidR="00B536C4" w:rsidRDefault="00CC45D2">
            <w:pPr>
              <w:jc w:val="center"/>
            </w:pPr>
            <w:r>
              <w:rPr>
                <w:color w:val="000000"/>
                <w:sz w:val="24"/>
              </w:rPr>
              <w:lastRenderedPageBreak/>
              <w:t>周中</w:t>
            </w:r>
          </w:p>
        </w:tc>
        <w:tc>
          <w:tcPr>
            <w:tcW w:w="0" w:type="auto"/>
            <w:vAlign w:val="center"/>
          </w:tcPr>
          <w:p w:rsidR="00B536C4" w:rsidRDefault="00CC45D2">
            <w:pPr>
              <w:jc w:val="center"/>
            </w:pPr>
            <w:r>
              <w:rPr>
                <w:color w:val="000000"/>
                <w:sz w:val="24"/>
              </w:rPr>
              <w:t>交银环球精选混合</w:t>
            </w:r>
            <w:r>
              <w:rPr>
                <w:color w:val="000000"/>
                <w:sz w:val="24"/>
              </w:rPr>
              <w:t>(QDII)</w:t>
            </w:r>
            <w:r>
              <w:rPr>
                <w:color w:val="000000"/>
                <w:sz w:val="24"/>
              </w:rPr>
              <w:t>、交</w:t>
            </w:r>
            <w:proofErr w:type="gramStart"/>
            <w:r>
              <w:rPr>
                <w:color w:val="000000"/>
                <w:sz w:val="24"/>
              </w:rPr>
              <w:t>银全球</w:t>
            </w:r>
            <w:proofErr w:type="gramEnd"/>
            <w:r>
              <w:rPr>
                <w:color w:val="000000"/>
                <w:sz w:val="24"/>
              </w:rPr>
              <w:t>资源混合</w:t>
            </w:r>
            <w:r>
              <w:rPr>
                <w:color w:val="000000"/>
                <w:sz w:val="24"/>
              </w:rPr>
              <w:t>(QDII)</w:t>
            </w:r>
            <w:r>
              <w:rPr>
                <w:color w:val="000000"/>
                <w:sz w:val="24"/>
              </w:rPr>
              <w:t>的基金经理</w:t>
            </w:r>
          </w:p>
        </w:tc>
        <w:tc>
          <w:tcPr>
            <w:tcW w:w="0" w:type="auto"/>
            <w:vAlign w:val="center"/>
          </w:tcPr>
          <w:p w:rsidR="00B536C4" w:rsidRDefault="00CC45D2">
            <w:pPr>
              <w:jc w:val="center"/>
            </w:pPr>
            <w:r>
              <w:rPr>
                <w:color w:val="000000"/>
                <w:sz w:val="24"/>
              </w:rPr>
              <w:t>2015-12-12</w:t>
            </w:r>
          </w:p>
        </w:tc>
        <w:tc>
          <w:tcPr>
            <w:tcW w:w="0" w:type="auto"/>
            <w:vAlign w:val="center"/>
          </w:tcPr>
          <w:p w:rsidR="00B536C4" w:rsidRDefault="00CC45D2">
            <w:pPr>
              <w:jc w:val="center"/>
            </w:pPr>
            <w:r>
              <w:rPr>
                <w:color w:val="000000"/>
                <w:sz w:val="24"/>
              </w:rPr>
              <w:t>-</w:t>
            </w:r>
          </w:p>
        </w:tc>
        <w:tc>
          <w:tcPr>
            <w:tcW w:w="0" w:type="auto"/>
            <w:vAlign w:val="center"/>
          </w:tcPr>
          <w:p w:rsidR="00B536C4" w:rsidRDefault="00CC45D2">
            <w:pPr>
              <w:jc w:val="center"/>
            </w:pPr>
            <w:r>
              <w:rPr>
                <w:color w:val="000000"/>
                <w:sz w:val="24"/>
              </w:rPr>
              <w:t>7</w:t>
            </w:r>
            <w:r>
              <w:rPr>
                <w:color w:val="000000"/>
                <w:sz w:val="24"/>
              </w:rPr>
              <w:t>年</w:t>
            </w:r>
          </w:p>
        </w:tc>
        <w:tc>
          <w:tcPr>
            <w:tcW w:w="0" w:type="auto"/>
            <w:vAlign w:val="center"/>
          </w:tcPr>
          <w:p w:rsidR="00B536C4" w:rsidRDefault="00CC45D2">
            <w:pPr>
              <w:jc w:val="left"/>
            </w:pPr>
            <w:r>
              <w:rPr>
                <w:color w:val="000000"/>
                <w:sz w:val="24"/>
              </w:rPr>
              <w:t>周中先生，中国国籍，复旦大学金融学硕士。历任野村证券亚太区股票研究部研究助理，中银国际证券研究部研究员、高级经理，瑞银证券研究</w:t>
            </w:r>
            <w:proofErr w:type="gramStart"/>
            <w:r>
              <w:rPr>
                <w:color w:val="000000"/>
                <w:sz w:val="24"/>
              </w:rPr>
              <w:t>部行业</w:t>
            </w:r>
            <w:proofErr w:type="gramEnd"/>
            <w:r>
              <w:rPr>
                <w:color w:val="000000"/>
                <w:sz w:val="24"/>
              </w:rPr>
              <w:t>分析师、董事。</w:t>
            </w:r>
            <w:r>
              <w:rPr>
                <w:color w:val="000000"/>
                <w:sz w:val="24"/>
              </w:rPr>
              <w:t>2015</w:t>
            </w:r>
            <w:r>
              <w:rPr>
                <w:color w:val="000000"/>
                <w:sz w:val="24"/>
              </w:rPr>
              <w:t>年加入交银施罗德基金管理有限公司。</w:t>
            </w:r>
          </w:p>
        </w:tc>
      </w:tr>
    </w:tbl>
    <w:p w:rsidR="00B536C4" w:rsidRDefault="00CC45D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B536C4" w:rsidRDefault="00CC45D2">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7B62FA" w:rsidRPr="00B56CF4" w:rsidRDefault="00C322C9" w:rsidP="00B56CF4">
      <w:pPr>
        <w:tabs>
          <w:tab w:val="left" w:pos="426"/>
        </w:tabs>
        <w:spacing w:before="29" w:line="288" w:lineRule="auto"/>
        <w:jc w:val="left"/>
        <w:rPr>
          <w:kern w:val="0"/>
          <w:sz w:val="24"/>
        </w:rPr>
      </w:pPr>
      <w:r w:rsidRPr="00C65B39">
        <w:rPr>
          <w:kern w:val="0"/>
          <w:sz w:val="24"/>
        </w:rPr>
        <w:t>3</w:t>
      </w:r>
      <w:r w:rsidRPr="00C65B39">
        <w:rPr>
          <w:kern w:val="0"/>
          <w:sz w:val="24"/>
        </w:rPr>
        <w:t>、</w:t>
      </w:r>
      <w:r w:rsidRPr="00736361">
        <w:rPr>
          <w:rFonts w:hint="eastAsia"/>
          <w:kern w:val="0"/>
          <w:sz w:val="24"/>
        </w:rPr>
        <w:t>2017</w:t>
      </w:r>
      <w:r w:rsidRPr="00736361">
        <w:rPr>
          <w:rFonts w:hint="eastAsia"/>
          <w:kern w:val="0"/>
          <w:sz w:val="24"/>
        </w:rPr>
        <w:t>年</w:t>
      </w:r>
      <w:r w:rsidRPr="00736361">
        <w:rPr>
          <w:rFonts w:hint="eastAsia"/>
          <w:kern w:val="0"/>
          <w:sz w:val="24"/>
        </w:rPr>
        <w:t>3</w:t>
      </w:r>
      <w:r w:rsidRPr="00736361">
        <w:rPr>
          <w:rFonts w:hint="eastAsia"/>
          <w:kern w:val="0"/>
          <w:sz w:val="24"/>
        </w:rPr>
        <w:t>月</w:t>
      </w:r>
      <w:r w:rsidRPr="00736361">
        <w:rPr>
          <w:rFonts w:hint="eastAsia"/>
          <w:kern w:val="0"/>
          <w:sz w:val="24"/>
        </w:rPr>
        <w:t>25</w:t>
      </w:r>
      <w:r w:rsidRPr="00736361">
        <w:rPr>
          <w:rFonts w:hint="eastAsia"/>
          <w:kern w:val="0"/>
          <w:sz w:val="24"/>
        </w:rPr>
        <w:t>日本基金管理人发布公告，经公司领导办公会审议通过，蔡铮先生不再担任本</w:t>
      </w:r>
      <w:proofErr w:type="gramStart"/>
      <w:r w:rsidRPr="00736361">
        <w:rPr>
          <w:rFonts w:hint="eastAsia"/>
          <w:kern w:val="0"/>
          <w:sz w:val="24"/>
        </w:rPr>
        <w:t>基金基金</w:t>
      </w:r>
      <w:proofErr w:type="gramEnd"/>
      <w:r w:rsidRPr="00736361">
        <w:rPr>
          <w:rFonts w:hint="eastAsia"/>
          <w:kern w:val="0"/>
          <w:sz w:val="24"/>
        </w:rPr>
        <w:t>经理，本基金由陈俊华女士和周中先生共同管理。除此之外基金经理（或基金经理小组）期后变动（如有）敬请关注基金管理人发布的相关公告。</w:t>
      </w:r>
    </w:p>
    <w:p w:rsidR="007B62FA" w:rsidRPr="00D0372D" w:rsidRDefault="007B62FA" w:rsidP="00417F87">
      <w:pPr>
        <w:spacing w:line="360" w:lineRule="auto"/>
        <w:rPr>
          <w:rFonts w:ascii="宋体" w:hAnsi="宋体"/>
          <w:color w:val="000000"/>
          <w:szCs w:val="21"/>
        </w:rPr>
      </w:pPr>
    </w:p>
    <w:p w:rsidR="007B62FA" w:rsidRPr="00007D4F" w:rsidRDefault="009D1492" w:rsidP="00007D4F">
      <w:pPr>
        <w:pStyle w:val="20"/>
        <w:spacing w:before="29" w:after="0" w:line="288" w:lineRule="auto"/>
        <w:rPr>
          <w:rFonts w:ascii="Times New Roman" w:hAnsi="Times New Roman"/>
          <w:kern w:val="0"/>
          <w:szCs w:val="24"/>
        </w:rPr>
      </w:pPr>
      <w:bookmarkStart w:id="103" w:name="_Toc224618356"/>
      <w:bookmarkStart w:id="104" w:name="_Toc235605685"/>
      <w:bookmarkStart w:id="105" w:name="_Toc286929733"/>
      <w:bookmarkStart w:id="106" w:name="_Toc352255973"/>
      <w:bookmarkStart w:id="107" w:name="_Toc352256041"/>
      <w:bookmarkStart w:id="108" w:name="_Toc352331219"/>
      <w:bookmarkStart w:id="109" w:name="_Toc362423997"/>
      <w:bookmarkStart w:id="110" w:name="_Toc478411389"/>
      <w:r w:rsidRPr="00007D4F">
        <w:rPr>
          <w:rFonts w:ascii="Times New Roman" w:hAnsi="Times New Roman" w:hint="eastAsia"/>
          <w:kern w:val="0"/>
          <w:szCs w:val="24"/>
        </w:rPr>
        <w:t>4</w:t>
      </w:r>
      <w:r w:rsidRPr="00007D4F">
        <w:rPr>
          <w:rFonts w:ascii="Times New Roman" w:hAnsi="Times New Roman"/>
          <w:kern w:val="0"/>
          <w:szCs w:val="24"/>
        </w:rPr>
        <w:t>.</w:t>
      </w:r>
      <w:r w:rsidRPr="00007D4F">
        <w:rPr>
          <w:rFonts w:ascii="Times New Roman" w:hAnsi="Times New Roman" w:hint="eastAsia"/>
          <w:kern w:val="0"/>
          <w:szCs w:val="24"/>
        </w:rPr>
        <w:t>2</w:t>
      </w:r>
      <w:r w:rsidR="007B62FA" w:rsidRPr="00007D4F">
        <w:rPr>
          <w:rFonts w:ascii="Times New Roman" w:hAnsi="Times New Roman"/>
          <w:kern w:val="0"/>
          <w:szCs w:val="24"/>
        </w:rPr>
        <w:t xml:space="preserve"> </w:t>
      </w:r>
      <w:r w:rsidR="007B62FA" w:rsidRPr="00007D4F">
        <w:rPr>
          <w:rFonts w:ascii="Times New Roman" w:hAnsi="Times New Roman" w:hint="eastAsia"/>
          <w:kern w:val="0"/>
          <w:szCs w:val="24"/>
        </w:rPr>
        <w:t>境外投资顾问为本基金提供投资建议的主要成员简介</w:t>
      </w:r>
      <w:bookmarkEnd w:id="103"/>
      <w:bookmarkEnd w:id="104"/>
      <w:bookmarkEnd w:id="105"/>
      <w:bookmarkEnd w:id="106"/>
      <w:bookmarkEnd w:id="107"/>
      <w:bookmarkEnd w:id="108"/>
      <w:bookmarkEnd w:id="109"/>
      <w:bookmarkEnd w:id="110"/>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7B62FA" w:rsidRPr="00D0372D" w:rsidTr="00240DBE">
        <w:tc>
          <w:tcPr>
            <w:tcW w:w="1526"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姓名</w:t>
            </w:r>
          </w:p>
        </w:tc>
        <w:tc>
          <w:tcPr>
            <w:tcW w:w="2410"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在境外投资顾问所任职务</w:t>
            </w:r>
          </w:p>
        </w:tc>
        <w:tc>
          <w:tcPr>
            <w:tcW w:w="1417"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证券从业年限</w:t>
            </w:r>
          </w:p>
        </w:tc>
        <w:tc>
          <w:tcPr>
            <w:tcW w:w="3935"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说明</w:t>
            </w:r>
          </w:p>
        </w:tc>
      </w:tr>
      <w:tr w:rsidR="00B536C4">
        <w:tc>
          <w:tcPr>
            <w:tcW w:w="1526" w:type="dxa"/>
            <w:vAlign w:val="center"/>
          </w:tcPr>
          <w:p w:rsidR="00B536C4" w:rsidRDefault="00CC45D2">
            <w:pPr>
              <w:jc w:val="center"/>
            </w:pPr>
            <w:r>
              <w:rPr>
                <w:color w:val="000000"/>
                <w:sz w:val="24"/>
              </w:rPr>
              <w:t>Simon Webber</w:t>
            </w:r>
          </w:p>
        </w:tc>
        <w:tc>
          <w:tcPr>
            <w:tcW w:w="2410" w:type="dxa"/>
            <w:vAlign w:val="center"/>
          </w:tcPr>
          <w:p w:rsidR="00B536C4" w:rsidRDefault="00CC45D2">
            <w:pPr>
              <w:jc w:val="center"/>
            </w:pPr>
            <w:r>
              <w:rPr>
                <w:color w:val="000000"/>
                <w:sz w:val="24"/>
              </w:rPr>
              <w:t>施罗德集团多区域（全球及国际）股票投资主管、全球和国际股票基金经理、全球气候变化股票基金经理</w:t>
            </w:r>
          </w:p>
        </w:tc>
        <w:tc>
          <w:tcPr>
            <w:tcW w:w="1417" w:type="dxa"/>
            <w:vAlign w:val="center"/>
          </w:tcPr>
          <w:p w:rsidR="00B536C4" w:rsidRDefault="00CC45D2">
            <w:pPr>
              <w:jc w:val="center"/>
            </w:pPr>
            <w:r>
              <w:rPr>
                <w:color w:val="000000"/>
                <w:sz w:val="24"/>
              </w:rPr>
              <w:t>17</w:t>
            </w:r>
            <w:r>
              <w:rPr>
                <w:color w:val="000000"/>
                <w:sz w:val="24"/>
              </w:rPr>
              <w:t>年</w:t>
            </w:r>
          </w:p>
        </w:tc>
        <w:tc>
          <w:tcPr>
            <w:tcW w:w="3935" w:type="dxa"/>
            <w:vAlign w:val="center"/>
          </w:tcPr>
          <w:p w:rsidR="00B536C4" w:rsidRDefault="00CC45D2">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7B62FA" w:rsidRPr="00D0372D" w:rsidRDefault="007B62FA" w:rsidP="006F3BD2">
      <w:pPr>
        <w:spacing w:line="360" w:lineRule="auto"/>
        <w:rPr>
          <w:rFonts w:ascii="宋体" w:hAnsi="宋体"/>
          <w:color w:val="00000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11" w:name="_Toc225498256"/>
      <w:bookmarkStart w:id="112" w:name="_Toc352255974"/>
      <w:bookmarkStart w:id="113" w:name="_Toc352256042"/>
      <w:bookmarkStart w:id="114" w:name="_Toc352331220"/>
      <w:bookmarkStart w:id="115" w:name="_Toc362423998"/>
      <w:bookmarkStart w:id="116" w:name="_Toc478411390"/>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3</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管理人对报告期内本基金运作遵规守信情况的说明</w:t>
      </w:r>
      <w:bookmarkEnd w:id="111"/>
      <w:bookmarkEnd w:id="112"/>
      <w:bookmarkEnd w:id="113"/>
      <w:bookmarkEnd w:id="114"/>
      <w:bookmarkEnd w:id="115"/>
      <w:bookmarkEnd w:id="116"/>
    </w:p>
    <w:p w:rsidR="00B536C4" w:rsidRDefault="00CC45D2">
      <w:pPr>
        <w:tabs>
          <w:tab w:val="left" w:pos="426"/>
        </w:tabs>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本报告期内，本基金整体运作合</w:t>
      </w:r>
      <w:proofErr w:type="gramStart"/>
      <w:r w:rsidRPr="00F14763">
        <w:rPr>
          <w:kern w:val="0"/>
          <w:sz w:val="24"/>
        </w:rPr>
        <w:t>规</w:t>
      </w:r>
      <w:proofErr w:type="gramEnd"/>
      <w:r w:rsidRPr="00F14763">
        <w:rPr>
          <w:kern w:val="0"/>
          <w:sz w:val="24"/>
        </w:rPr>
        <w:t>合法，无不当内幕交易和关联交易，基金投资范围、投资比例及投资组合符合有关法律法规及基金合同的约定，未发生损害基金持有人利益的行为。</w:t>
      </w:r>
    </w:p>
    <w:p w:rsidR="007B62FA" w:rsidRPr="00D0372D" w:rsidRDefault="007B62FA" w:rsidP="006F3BD2">
      <w:pPr>
        <w:spacing w:line="360" w:lineRule="auto"/>
        <w:ind w:firstLineChars="200" w:firstLine="420"/>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17" w:name="_Toc225498257"/>
      <w:bookmarkStart w:id="118" w:name="_Toc352255975"/>
      <w:bookmarkStart w:id="119" w:name="_Toc352256043"/>
      <w:bookmarkStart w:id="120" w:name="_Toc352331221"/>
      <w:bookmarkStart w:id="121" w:name="_Toc362423999"/>
      <w:bookmarkStart w:id="122" w:name="_Toc478411391"/>
      <w:r w:rsidRPr="007C2D9E">
        <w:rPr>
          <w:rFonts w:ascii="Times New Roman" w:hAnsi="Times New Roman" w:hint="eastAsia"/>
          <w:kern w:val="0"/>
          <w:szCs w:val="24"/>
        </w:rPr>
        <w:lastRenderedPageBreak/>
        <w:t>4</w:t>
      </w:r>
      <w:r w:rsidRPr="007C2D9E">
        <w:rPr>
          <w:rFonts w:ascii="Times New Roman" w:hAnsi="Times New Roman"/>
          <w:kern w:val="0"/>
          <w:szCs w:val="24"/>
        </w:rPr>
        <w:t>.</w:t>
      </w:r>
      <w:r w:rsidRPr="007C2D9E">
        <w:rPr>
          <w:rFonts w:ascii="Times New Roman" w:hAnsi="Times New Roman" w:hint="eastAsia"/>
          <w:kern w:val="0"/>
          <w:szCs w:val="24"/>
        </w:rPr>
        <w:t>4</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管理人对报告期内公平交易情况的专项说明</w:t>
      </w:r>
      <w:bookmarkEnd w:id="117"/>
      <w:bookmarkEnd w:id="118"/>
      <w:bookmarkEnd w:id="119"/>
      <w:bookmarkEnd w:id="120"/>
      <w:bookmarkEnd w:id="121"/>
      <w:bookmarkEnd w:id="122"/>
    </w:p>
    <w:p w:rsidR="007B62FA" w:rsidRPr="007C2D9E" w:rsidRDefault="00633B6F" w:rsidP="007C2D9E">
      <w:pPr>
        <w:pStyle w:val="20"/>
        <w:spacing w:before="29" w:after="0" w:line="288" w:lineRule="auto"/>
        <w:rPr>
          <w:rFonts w:ascii="Times New Roman" w:hAnsi="Times New Roman"/>
          <w:kern w:val="0"/>
          <w:szCs w:val="24"/>
        </w:rPr>
      </w:pPr>
      <w:bookmarkStart w:id="123" w:name="_Toc478410219"/>
      <w:bookmarkStart w:id="124" w:name="_Toc478411392"/>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1</w:t>
      </w:r>
      <w:r w:rsidR="002D0B5F"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公平交易制度和控制方法</w:t>
      </w:r>
      <w:bookmarkEnd w:id="123"/>
      <w:bookmarkEnd w:id="124"/>
    </w:p>
    <w:p w:rsidR="00B536C4" w:rsidRDefault="00CC45D2">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536C4" w:rsidRDefault="00CC45D2">
      <w:pPr>
        <w:tabs>
          <w:tab w:val="left" w:pos="426"/>
        </w:tabs>
        <w:spacing w:before="29" w:line="288" w:lineRule="auto"/>
        <w:ind w:firstLineChars="200" w:firstLine="480"/>
        <w:rPr>
          <w:kern w:val="0"/>
          <w:sz w:val="24"/>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B536C4" w:rsidRDefault="00CC45D2">
      <w:pPr>
        <w:tabs>
          <w:tab w:val="left" w:pos="426"/>
        </w:tabs>
        <w:spacing w:before="29" w:line="288" w:lineRule="auto"/>
        <w:ind w:firstLineChars="200" w:firstLine="480"/>
        <w:rPr>
          <w:kern w:val="0"/>
          <w:sz w:val="24"/>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B536C4" w:rsidRDefault="00CC45D2">
      <w:pPr>
        <w:tabs>
          <w:tab w:val="left" w:pos="426"/>
        </w:tabs>
        <w:spacing w:before="29" w:line="288" w:lineRule="auto"/>
        <w:ind w:firstLineChars="200" w:firstLine="480"/>
        <w:rPr>
          <w:kern w:val="0"/>
          <w:sz w:val="24"/>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B536C4" w:rsidRDefault="00CC45D2">
      <w:pPr>
        <w:tabs>
          <w:tab w:val="left" w:pos="426"/>
        </w:tabs>
        <w:spacing w:before="29" w:line="288" w:lineRule="auto"/>
        <w:ind w:firstLineChars="200" w:firstLine="480"/>
        <w:rPr>
          <w:kern w:val="0"/>
          <w:sz w:val="24"/>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w:t>
      </w:r>
      <w:r w:rsidRPr="00F14763">
        <w:rPr>
          <w:kern w:val="0"/>
          <w:sz w:val="24"/>
        </w:rPr>
        <w:t>5</w:t>
      </w:r>
      <w:r w:rsidRPr="00F14763">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B62FA" w:rsidRPr="0062719D" w:rsidRDefault="007B62FA" w:rsidP="0062719D">
      <w:pPr>
        <w:spacing w:line="360" w:lineRule="auto"/>
        <w:jc w:val="left"/>
        <w:rPr>
          <w:rFonts w:ascii="宋体" w:hAnsi="宋体"/>
          <w:color w:val="000000"/>
          <w:szCs w:val="21"/>
        </w:rPr>
      </w:pPr>
    </w:p>
    <w:p w:rsidR="007B62FA" w:rsidRPr="007C2D9E" w:rsidRDefault="00633B6F" w:rsidP="007C2D9E">
      <w:pPr>
        <w:pStyle w:val="20"/>
        <w:spacing w:before="29" w:after="0" w:line="288" w:lineRule="auto"/>
        <w:rPr>
          <w:rFonts w:ascii="Times New Roman" w:hAnsi="Times New Roman"/>
          <w:kern w:val="0"/>
          <w:szCs w:val="24"/>
        </w:rPr>
      </w:pPr>
      <w:bookmarkStart w:id="125" w:name="_Toc478410220"/>
      <w:bookmarkStart w:id="126" w:name="_Toc478411393"/>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2</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公平交易制度的执行情况</w:t>
      </w:r>
      <w:bookmarkEnd w:id="125"/>
      <w:bookmarkEnd w:id="126"/>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本报告期内公司严格执行公平交易制度，公平对待旗下各投资组合。通过投资交易监控、交易数据分析、专项稽核检查等，本基金管理人未发现任何违反公平交易制度的行为。</w:t>
      </w:r>
    </w:p>
    <w:p w:rsidR="007B62FA" w:rsidRPr="00D0372D" w:rsidRDefault="007B62FA" w:rsidP="006F3BD2">
      <w:pPr>
        <w:spacing w:line="360" w:lineRule="auto"/>
        <w:jc w:val="left"/>
        <w:rPr>
          <w:rFonts w:ascii="宋体" w:hAnsi="宋体"/>
          <w:color w:val="000000"/>
          <w:szCs w:val="21"/>
        </w:rPr>
      </w:pPr>
    </w:p>
    <w:p w:rsidR="007B62FA" w:rsidRPr="007C2D9E" w:rsidRDefault="00633B6F" w:rsidP="007C2D9E">
      <w:pPr>
        <w:pStyle w:val="20"/>
        <w:spacing w:before="29" w:after="0" w:line="288" w:lineRule="auto"/>
        <w:rPr>
          <w:rFonts w:ascii="Times New Roman" w:hAnsi="Times New Roman"/>
          <w:kern w:val="0"/>
          <w:szCs w:val="24"/>
        </w:rPr>
      </w:pPr>
      <w:bookmarkStart w:id="127" w:name="_Toc478410221"/>
      <w:bookmarkStart w:id="128" w:name="_Toc478411394"/>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3</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异常交易行为的专项说明</w:t>
      </w:r>
      <w:bookmarkEnd w:id="127"/>
      <w:bookmarkEnd w:id="128"/>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本基金于本报告期内未发现异常交易行为。本报告期内，本公司管理的所有投资组合参与的交易所公开竞价同日反向交易成交较少的单边交易量超过该证券当日总成交量</w:t>
      </w:r>
      <w:r w:rsidRPr="00F14763">
        <w:rPr>
          <w:kern w:val="0"/>
          <w:sz w:val="24"/>
        </w:rPr>
        <w:t>5%</w:t>
      </w:r>
      <w:r w:rsidRPr="00F14763">
        <w:rPr>
          <w:kern w:val="0"/>
          <w:sz w:val="24"/>
        </w:rPr>
        <w:t>的情况有</w:t>
      </w:r>
      <w:r w:rsidRPr="00F14763">
        <w:rPr>
          <w:kern w:val="0"/>
          <w:sz w:val="24"/>
        </w:rPr>
        <w:t>2</w:t>
      </w:r>
      <w:r w:rsidRPr="00F14763">
        <w:rPr>
          <w:kern w:val="0"/>
          <w:sz w:val="24"/>
        </w:rPr>
        <w:t>次，是投资</w:t>
      </w:r>
      <w:proofErr w:type="gramStart"/>
      <w:r w:rsidRPr="00F14763">
        <w:rPr>
          <w:kern w:val="0"/>
          <w:sz w:val="24"/>
        </w:rPr>
        <w:t>组合因</w:t>
      </w:r>
      <w:proofErr w:type="gramEnd"/>
      <w:r w:rsidRPr="00F14763">
        <w:rPr>
          <w:kern w:val="0"/>
          <w:sz w:val="24"/>
        </w:rPr>
        <w:t>投资策略或在合规范围内因被动超标调整需要而发生同日反向交易，未发现不公平交易和利益输送的情况。本基金与本公司管理的其他投资组合在不同时间窗下（如日内、</w:t>
      </w:r>
      <w:r w:rsidRPr="00F14763">
        <w:rPr>
          <w:kern w:val="0"/>
          <w:sz w:val="24"/>
        </w:rPr>
        <w:t>3</w:t>
      </w:r>
      <w:r w:rsidRPr="00F14763">
        <w:rPr>
          <w:kern w:val="0"/>
          <w:sz w:val="24"/>
        </w:rPr>
        <w:t>日内、</w:t>
      </w:r>
      <w:r w:rsidRPr="00F14763">
        <w:rPr>
          <w:kern w:val="0"/>
          <w:sz w:val="24"/>
        </w:rPr>
        <w:t>5</w:t>
      </w:r>
      <w:r w:rsidRPr="00F14763">
        <w:rPr>
          <w:kern w:val="0"/>
          <w:sz w:val="24"/>
        </w:rPr>
        <w:t>日内）同向交易的交易价差未发现异常。</w:t>
      </w:r>
    </w:p>
    <w:p w:rsidR="007B62FA" w:rsidRPr="00D0372D" w:rsidRDefault="007B62FA" w:rsidP="006F3BD2">
      <w:pPr>
        <w:spacing w:line="360" w:lineRule="auto"/>
        <w:ind w:firstLineChars="200" w:firstLine="420"/>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29" w:name="_Toc225498258"/>
      <w:bookmarkStart w:id="130" w:name="_Toc352255976"/>
      <w:bookmarkStart w:id="131" w:name="_Toc352256044"/>
      <w:bookmarkStart w:id="132" w:name="_Toc352331222"/>
      <w:bookmarkStart w:id="133" w:name="_Toc362424000"/>
      <w:bookmarkStart w:id="134" w:name="_Toc478411395"/>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5</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管理人对报告期内基金的投资策略和业绩表现的说明</w:t>
      </w:r>
      <w:bookmarkEnd w:id="129"/>
      <w:bookmarkEnd w:id="130"/>
      <w:bookmarkEnd w:id="131"/>
      <w:bookmarkEnd w:id="132"/>
      <w:bookmarkEnd w:id="133"/>
      <w:bookmarkEnd w:id="134"/>
    </w:p>
    <w:p w:rsidR="007B62FA" w:rsidRPr="007C2D9E" w:rsidRDefault="009D1492" w:rsidP="007C2D9E">
      <w:pPr>
        <w:pStyle w:val="20"/>
        <w:spacing w:before="29" w:after="0" w:line="288" w:lineRule="auto"/>
        <w:rPr>
          <w:rFonts w:ascii="Times New Roman" w:hAnsi="Times New Roman"/>
          <w:kern w:val="0"/>
          <w:szCs w:val="24"/>
        </w:rPr>
      </w:pPr>
      <w:bookmarkStart w:id="135" w:name="_Toc478410223"/>
      <w:bookmarkStart w:id="136" w:name="_Toc478411396"/>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5</w:t>
      </w:r>
      <w:r w:rsidR="007B62FA" w:rsidRPr="007C2D9E">
        <w:rPr>
          <w:rFonts w:ascii="Times New Roman" w:hAnsi="Times New Roman"/>
          <w:kern w:val="0"/>
          <w:szCs w:val="24"/>
        </w:rPr>
        <w:t>.1</w:t>
      </w:r>
      <w:r w:rsidR="007B62FA" w:rsidRPr="007C2D9E">
        <w:rPr>
          <w:rFonts w:ascii="Times New Roman" w:hAnsi="Times New Roman" w:hint="eastAsia"/>
          <w:kern w:val="0"/>
          <w:szCs w:val="24"/>
        </w:rPr>
        <w:t>报告期内基金投资策略和运作分析</w:t>
      </w:r>
      <w:bookmarkEnd w:id="135"/>
      <w:bookmarkEnd w:id="136"/>
    </w:p>
    <w:p w:rsidR="00B536C4" w:rsidRDefault="00CC45D2">
      <w:pPr>
        <w:tabs>
          <w:tab w:val="left" w:pos="426"/>
        </w:tabs>
        <w:spacing w:before="29" w:line="288" w:lineRule="auto"/>
        <w:ind w:firstLineChars="200" w:firstLine="480"/>
        <w:rPr>
          <w:kern w:val="0"/>
          <w:sz w:val="24"/>
        </w:rPr>
      </w:pPr>
      <w:r>
        <w:rPr>
          <w:kern w:val="0"/>
          <w:sz w:val="24"/>
        </w:rPr>
        <w:t>2016</w:t>
      </w:r>
      <w:r>
        <w:rPr>
          <w:kern w:val="0"/>
          <w:sz w:val="24"/>
        </w:rPr>
        <w:t>年，欧美和香港市场表现完全不同。欧美股市受经济复苏预期影响，全年录得正收益。港股市</w:t>
      </w:r>
      <w:proofErr w:type="gramStart"/>
      <w:r>
        <w:rPr>
          <w:kern w:val="0"/>
          <w:sz w:val="24"/>
        </w:rPr>
        <w:t>场经历</w:t>
      </w:r>
      <w:proofErr w:type="gramEnd"/>
      <w:r>
        <w:rPr>
          <w:kern w:val="0"/>
          <w:sz w:val="24"/>
        </w:rPr>
        <w:t>震荡走势，最终全年收平：港股年初受到国内市场影响，单月跌幅超过</w:t>
      </w:r>
      <w:r>
        <w:rPr>
          <w:kern w:val="0"/>
          <w:sz w:val="24"/>
        </w:rPr>
        <w:t>10%</w:t>
      </w:r>
      <w:r>
        <w:rPr>
          <w:kern w:val="0"/>
          <w:sz w:val="24"/>
        </w:rPr>
        <w:t>，后续受到一定反弹，但四季度持续回落，基本抹杀全年涨幅。香港市场的交易量也较上年略有减少，全年主线也在不断切换：从抵御衰退、到追求稳健、到关注龙头业绩增长，到资金回流欧美。体现出在经济震荡期，离岸金融市场受到海外和国内双重不确定性因素的影响。</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本基金在</w:t>
      </w:r>
      <w:r w:rsidRPr="00F14763">
        <w:rPr>
          <w:kern w:val="0"/>
          <w:sz w:val="24"/>
        </w:rPr>
        <w:t>2016</w:t>
      </w:r>
      <w:r w:rsidRPr="00F14763">
        <w:rPr>
          <w:kern w:val="0"/>
          <w:sz w:val="24"/>
        </w:rPr>
        <w:t>年录得正收益。回顾一年的操作，我们的收获主要源自于：</w:t>
      </w:r>
      <w:r w:rsidRPr="00F14763">
        <w:rPr>
          <w:kern w:val="0"/>
          <w:sz w:val="24"/>
        </w:rPr>
        <w:t>1</w:t>
      </w:r>
      <w:r w:rsidRPr="00F14763">
        <w:rPr>
          <w:kern w:val="0"/>
          <w:sz w:val="24"/>
        </w:rPr>
        <w:t>）注重板块间的切换，二季度和年末加大了对贵金属及相关领域的投资比例，中间加大了农业和汽车板块的配置；</w:t>
      </w:r>
      <w:r w:rsidRPr="00F14763">
        <w:rPr>
          <w:kern w:val="0"/>
          <w:sz w:val="24"/>
        </w:rPr>
        <w:t>2</w:t>
      </w:r>
      <w:r w:rsidRPr="00F14763">
        <w:rPr>
          <w:kern w:val="0"/>
          <w:sz w:val="24"/>
        </w:rPr>
        <w:t>）在选个股层面，坚持</w:t>
      </w:r>
      <w:proofErr w:type="gramStart"/>
      <w:r w:rsidRPr="00F14763">
        <w:rPr>
          <w:kern w:val="0"/>
          <w:sz w:val="24"/>
        </w:rPr>
        <w:t>先行业</w:t>
      </w:r>
      <w:proofErr w:type="gramEnd"/>
      <w:r w:rsidRPr="00F14763">
        <w:rPr>
          <w:kern w:val="0"/>
          <w:sz w:val="24"/>
        </w:rPr>
        <w:t>后公司，从中观到微观的选股策略。精选个股，持股相对更加集中，且细分行业的龙头公司比例增多。</w:t>
      </w:r>
    </w:p>
    <w:p w:rsidR="007B62FA" w:rsidRPr="00D0372D" w:rsidRDefault="007B62FA" w:rsidP="006F3BD2">
      <w:pPr>
        <w:spacing w:line="360" w:lineRule="auto"/>
        <w:ind w:firstLineChars="200" w:firstLine="420"/>
        <w:rPr>
          <w:rFonts w:ascii="宋体" w:hAnsi="宋体"/>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37" w:name="_Toc478410224"/>
      <w:bookmarkStart w:id="138" w:name="_Toc478411397"/>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5</w:t>
      </w:r>
      <w:r w:rsidR="007B62FA" w:rsidRPr="007C2D9E">
        <w:rPr>
          <w:rFonts w:ascii="Times New Roman" w:hAnsi="Times New Roman"/>
          <w:kern w:val="0"/>
          <w:szCs w:val="24"/>
        </w:rPr>
        <w:t>.2</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报告期内基金的业绩表现</w:t>
      </w:r>
      <w:bookmarkEnd w:id="137"/>
      <w:bookmarkEnd w:id="138"/>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截至</w:t>
      </w:r>
      <w:r w:rsidRPr="00F14763">
        <w:rPr>
          <w:kern w:val="0"/>
          <w:sz w:val="24"/>
        </w:rPr>
        <w:t>2016</w:t>
      </w:r>
      <w:r w:rsidRPr="00F14763">
        <w:rPr>
          <w:kern w:val="0"/>
          <w:sz w:val="24"/>
        </w:rPr>
        <w:t>年</w:t>
      </w:r>
      <w:r w:rsidRPr="00F14763">
        <w:rPr>
          <w:kern w:val="0"/>
          <w:sz w:val="24"/>
        </w:rPr>
        <w:t>12</w:t>
      </w:r>
      <w:r w:rsidRPr="00F14763">
        <w:rPr>
          <w:kern w:val="0"/>
          <w:sz w:val="24"/>
        </w:rPr>
        <w:t>月</w:t>
      </w:r>
      <w:r w:rsidRPr="00F14763">
        <w:rPr>
          <w:kern w:val="0"/>
          <w:sz w:val="24"/>
        </w:rPr>
        <w:t>31</w:t>
      </w:r>
      <w:r w:rsidRPr="00F14763">
        <w:rPr>
          <w:kern w:val="0"/>
          <w:sz w:val="24"/>
        </w:rPr>
        <w:t>日，本基金份额净值为</w:t>
      </w:r>
      <w:r w:rsidRPr="00F14763">
        <w:rPr>
          <w:kern w:val="0"/>
          <w:sz w:val="24"/>
        </w:rPr>
        <w:t>1.227</w:t>
      </w:r>
      <w:r w:rsidRPr="00F14763">
        <w:rPr>
          <w:kern w:val="0"/>
          <w:sz w:val="24"/>
        </w:rPr>
        <w:t>元，本报告期份额净值增长率为</w:t>
      </w:r>
      <w:r w:rsidRPr="00F14763">
        <w:rPr>
          <w:kern w:val="0"/>
          <w:sz w:val="24"/>
        </w:rPr>
        <w:t>7.44%</w:t>
      </w:r>
      <w:r w:rsidRPr="00F14763">
        <w:rPr>
          <w:kern w:val="0"/>
          <w:sz w:val="24"/>
        </w:rPr>
        <w:t>，同期业绩比较基准增长率为</w:t>
      </w:r>
      <w:r w:rsidRPr="00F14763">
        <w:rPr>
          <w:kern w:val="0"/>
          <w:sz w:val="24"/>
        </w:rPr>
        <w:t>21.39%</w:t>
      </w:r>
      <w:r w:rsidRPr="00F14763">
        <w:rPr>
          <w:kern w:val="0"/>
          <w:sz w:val="24"/>
        </w:rPr>
        <w:t>。</w:t>
      </w:r>
    </w:p>
    <w:p w:rsidR="007B62FA" w:rsidRPr="00D0372D" w:rsidRDefault="007B62FA" w:rsidP="006F3BD2">
      <w:pPr>
        <w:spacing w:line="360" w:lineRule="auto"/>
        <w:ind w:firstLineChars="200" w:firstLine="420"/>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39" w:name="_Toc225498259"/>
      <w:bookmarkStart w:id="140" w:name="_Toc352255977"/>
      <w:bookmarkStart w:id="141" w:name="_Toc352256045"/>
      <w:bookmarkStart w:id="142" w:name="_Toc352331223"/>
      <w:bookmarkStart w:id="143" w:name="_Toc362424001"/>
      <w:bookmarkStart w:id="144" w:name="_Toc478411398"/>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6</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管理人对宏观经济、证券市场及行业走势的简要展望</w:t>
      </w:r>
      <w:bookmarkEnd w:id="139"/>
      <w:bookmarkEnd w:id="140"/>
      <w:bookmarkEnd w:id="141"/>
      <w:bookmarkEnd w:id="142"/>
      <w:bookmarkEnd w:id="143"/>
      <w:bookmarkEnd w:id="144"/>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展望</w:t>
      </w:r>
      <w:r w:rsidRPr="00F14763">
        <w:rPr>
          <w:kern w:val="0"/>
          <w:sz w:val="24"/>
        </w:rPr>
        <w:t>2017</w:t>
      </w:r>
      <w:r w:rsidRPr="00F14763">
        <w:rPr>
          <w:kern w:val="0"/>
          <w:sz w:val="24"/>
        </w:rPr>
        <w:t>年，我们认为海外市场的不确定性增大，总体呈谨慎乐观的态度，较</w:t>
      </w:r>
      <w:r w:rsidRPr="00F14763">
        <w:rPr>
          <w:kern w:val="0"/>
          <w:sz w:val="24"/>
        </w:rPr>
        <w:t>2016</w:t>
      </w:r>
      <w:r w:rsidRPr="00F14763">
        <w:rPr>
          <w:kern w:val="0"/>
          <w:sz w:val="24"/>
        </w:rPr>
        <w:t>年更加关注能源、石化、农业以及公用事业板块。欧美方面，我们更加关注经济复苏的步伐以及其对能源需求的影响。国内方面，我们更加关注过去几年行业经历了产业结构调整、完成供给</w:t>
      </w:r>
      <w:proofErr w:type="gramStart"/>
      <w:r w:rsidRPr="00F14763">
        <w:rPr>
          <w:kern w:val="0"/>
          <w:sz w:val="24"/>
        </w:rPr>
        <w:t>侧落后</w:t>
      </w:r>
      <w:proofErr w:type="gramEnd"/>
      <w:r w:rsidRPr="00F14763">
        <w:rPr>
          <w:kern w:val="0"/>
          <w:sz w:val="24"/>
        </w:rPr>
        <w:t>产能淘汰的领域，供给结构的优化，有望推动龙头公司的发展。我们仍将秉持勤勉尽责的态度，积极为投资者赚取业绩回报。</w:t>
      </w:r>
    </w:p>
    <w:p w:rsidR="007B62FA" w:rsidRPr="00D0372D" w:rsidRDefault="007B62FA" w:rsidP="006F3BD2">
      <w:pPr>
        <w:spacing w:line="360" w:lineRule="auto"/>
        <w:ind w:firstLineChars="200" w:firstLine="420"/>
        <w:rPr>
          <w:rFonts w:ascii="宋体" w:hAnsi="宋体"/>
          <w:color w:val="00000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45" w:name="_Toc247959456"/>
      <w:bookmarkStart w:id="146" w:name="_Toc245801806"/>
      <w:bookmarkStart w:id="147" w:name="_Toc352255978"/>
      <w:bookmarkStart w:id="148" w:name="_Toc352256046"/>
      <w:bookmarkStart w:id="149" w:name="_Toc352331224"/>
      <w:bookmarkStart w:id="150" w:name="_Toc362424002"/>
      <w:bookmarkStart w:id="151" w:name="_Toc478411399"/>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7</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管理人内部有关本基金的监察稽核工作情况</w:t>
      </w:r>
      <w:bookmarkEnd w:id="145"/>
      <w:bookmarkEnd w:id="146"/>
      <w:bookmarkEnd w:id="147"/>
      <w:bookmarkEnd w:id="148"/>
      <w:bookmarkEnd w:id="149"/>
      <w:bookmarkEnd w:id="150"/>
      <w:bookmarkEnd w:id="151"/>
    </w:p>
    <w:p w:rsidR="00B536C4" w:rsidRDefault="00CC45D2">
      <w:pPr>
        <w:tabs>
          <w:tab w:val="left" w:pos="426"/>
        </w:tabs>
        <w:spacing w:before="29" w:line="288" w:lineRule="auto"/>
        <w:ind w:firstLineChars="200" w:firstLine="480"/>
        <w:rPr>
          <w:kern w:val="0"/>
          <w:sz w:val="24"/>
        </w:rPr>
      </w:pPr>
      <w:r>
        <w:rPr>
          <w:kern w:val="0"/>
          <w:sz w:val="24"/>
        </w:rPr>
        <w:t>2016</w:t>
      </w:r>
      <w:r>
        <w:rPr>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B536C4" w:rsidRDefault="00CC45D2">
      <w:pPr>
        <w:tabs>
          <w:tab w:val="left" w:pos="426"/>
        </w:tabs>
        <w:spacing w:before="29" w:line="288" w:lineRule="auto"/>
        <w:ind w:firstLineChars="200" w:firstLine="480"/>
        <w:rPr>
          <w:kern w:val="0"/>
          <w:sz w:val="24"/>
        </w:rPr>
      </w:pPr>
      <w:r>
        <w:rPr>
          <w:kern w:val="0"/>
          <w:sz w:val="24"/>
        </w:rPr>
        <w:t>本报告期内，本基金管理人为了确保公司业务的规范运作，主要做了以下工作：</w:t>
      </w:r>
    </w:p>
    <w:p w:rsidR="00B536C4" w:rsidRDefault="00CC45D2">
      <w:pPr>
        <w:tabs>
          <w:tab w:val="left" w:pos="426"/>
        </w:tabs>
        <w:spacing w:before="29" w:line="288" w:lineRule="auto"/>
        <w:ind w:firstLineChars="200" w:firstLine="480"/>
        <w:rPr>
          <w:kern w:val="0"/>
          <w:sz w:val="24"/>
        </w:rPr>
      </w:pPr>
      <w:r>
        <w:rPr>
          <w:kern w:val="0"/>
          <w:sz w:val="24"/>
        </w:rPr>
        <w:t>（一）持续完善公司内部控制制度和业务流程，推动制度流程的及时更新。</w:t>
      </w:r>
    </w:p>
    <w:p w:rsidR="00B536C4" w:rsidRDefault="00CC45D2">
      <w:pPr>
        <w:tabs>
          <w:tab w:val="left" w:pos="426"/>
        </w:tabs>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w:t>
      </w:r>
      <w:r>
        <w:rPr>
          <w:kern w:val="0"/>
          <w:sz w:val="24"/>
        </w:rPr>
        <w:lastRenderedPageBreak/>
        <w:t>平衡。</w:t>
      </w:r>
    </w:p>
    <w:p w:rsidR="00B536C4" w:rsidRDefault="00CC45D2">
      <w:pPr>
        <w:tabs>
          <w:tab w:val="left" w:pos="426"/>
        </w:tabs>
        <w:spacing w:before="29" w:line="288" w:lineRule="auto"/>
        <w:ind w:firstLineChars="200" w:firstLine="480"/>
        <w:rPr>
          <w:kern w:val="0"/>
          <w:sz w:val="24"/>
        </w:rPr>
      </w:pPr>
      <w:r>
        <w:rPr>
          <w:kern w:val="0"/>
          <w:sz w:val="24"/>
        </w:rPr>
        <w:t>（二）全面开展内部监督检查，强化公司内部控制。</w:t>
      </w:r>
    </w:p>
    <w:p w:rsidR="00B536C4" w:rsidRDefault="00CC45D2">
      <w:pPr>
        <w:tabs>
          <w:tab w:val="left" w:pos="426"/>
        </w:tabs>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B536C4" w:rsidRDefault="00CC45D2">
      <w:pPr>
        <w:tabs>
          <w:tab w:val="left" w:pos="426"/>
        </w:tabs>
        <w:spacing w:before="29" w:line="288" w:lineRule="auto"/>
        <w:ind w:firstLineChars="200" w:firstLine="480"/>
        <w:rPr>
          <w:kern w:val="0"/>
          <w:sz w:val="24"/>
        </w:rPr>
      </w:pPr>
      <w:r>
        <w:rPr>
          <w:kern w:val="0"/>
          <w:sz w:val="24"/>
        </w:rPr>
        <w:t>（三）强化培训教育，持续提高全员风险合</w:t>
      </w:r>
      <w:proofErr w:type="gramStart"/>
      <w:r>
        <w:rPr>
          <w:kern w:val="0"/>
          <w:sz w:val="24"/>
        </w:rPr>
        <w:t>规</w:t>
      </w:r>
      <w:proofErr w:type="gramEnd"/>
      <w:r>
        <w:rPr>
          <w:kern w:val="0"/>
          <w:sz w:val="24"/>
        </w:rPr>
        <w:t>意识。</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公司积极推动各项新法规落实和风险合</w:t>
      </w:r>
      <w:proofErr w:type="gramStart"/>
      <w:r w:rsidRPr="00F14763">
        <w:rPr>
          <w:kern w:val="0"/>
          <w:sz w:val="24"/>
        </w:rPr>
        <w:t>规</w:t>
      </w:r>
      <w:proofErr w:type="gramEnd"/>
      <w:r w:rsidRPr="00F14763">
        <w:rPr>
          <w:kern w:val="0"/>
          <w:sz w:val="24"/>
        </w:rPr>
        <w:t>教育工作。通过及时、有序和针对性的法律法规、制度规章、风险案例的研讨、培训和交流，提升了员工的风险合</w:t>
      </w:r>
      <w:proofErr w:type="gramStart"/>
      <w:r w:rsidRPr="00F14763">
        <w:rPr>
          <w:kern w:val="0"/>
          <w:sz w:val="24"/>
        </w:rPr>
        <w:t>规</w:t>
      </w:r>
      <w:proofErr w:type="gramEnd"/>
      <w:r w:rsidRPr="00F14763">
        <w:rPr>
          <w:kern w:val="0"/>
          <w:sz w:val="24"/>
        </w:rPr>
        <w:t>意识，提高了员工内部控制、风险管理的技能和水平，公司内部控制和风险管理基础得到夯实和优化。</w:t>
      </w:r>
    </w:p>
    <w:p w:rsidR="007B62FA" w:rsidRPr="00D0372D" w:rsidRDefault="007B62FA" w:rsidP="006F3BD2">
      <w:pPr>
        <w:autoSpaceDE w:val="0"/>
        <w:autoSpaceDN w:val="0"/>
        <w:adjustRightInd w:val="0"/>
        <w:spacing w:line="360" w:lineRule="auto"/>
        <w:ind w:firstLine="482"/>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52" w:name="_Toc247959457"/>
      <w:bookmarkStart w:id="153" w:name="_Toc225570083"/>
      <w:bookmarkStart w:id="154" w:name="_Toc352255979"/>
      <w:bookmarkStart w:id="155" w:name="_Toc352256047"/>
      <w:bookmarkStart w:id="156" w:name="_Toc352331225"/>
      <w:bookmarkStart w:id="157" w:name="_Toc362424003"/>
      <w:bookmarkStart w:id="158" w:name="_Toc478411400"/>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8</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管理人对报告期内基金估值程序等事项的说明</w:t>
      </w:r>
      <w:bookmarkEnd w:id="152"/>
      <w:bookmarkEnd w:id="153"/>
      <w:bookmarkEnd w:id="154"/>
      <w:bookmarkEnd w:id="155"/>
      <w:bookmarkEnd w:id="156"/>
      <w:bookmarkEnd w:id="157"/>
      <w:bookmarkEnd w:id="158"/>
    </w:p>
    <w:p w:rsidR="00B536C4" w:rsidRDefault="00CC45D2">
      <w:pPr>
        <w:tabs>
          <w:tab w:val="left" w:pos="426"/>
        </w:tabs>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p>
    <w:p w:rsidR="00B536C4" w:rsidRDefault="00CC45D2">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7B62FA" w:rsidRPr="00D0372D" w:rsidRDefault="007B62FA" w:rsidP="006F3BD2">
      <w:pPr>
        <w:autoSpaceDE w:val="0"/>
        <w:autoSpaceDN w:val="0"/>
        <w:adjustRightInd w:val="0"/>
        <w:spacing w:line="360" w:lineRule="auto"/>
        <w:ind w:firstLine="482"/>
        <w:rPr>
          <w:rFonts w:ascii="宋体" w:hAnsi="宋体"/>
          <w:color w:val="000000"/>
          <w:kern w:val="0"/>
          <w:szCs w:val="21"/>
        </w:rPr>
      </w:pPr>
    </w:p>
    <w:p w:rsidR="005E0599" w:rsidRPr="00CB138F" w:rsidRDefault="005E0599" w:rsidP="00CB138F">
      <w:pPr>
        <w:pStyle w:val="20"/>
        <w:spacing w:before="29" w:after="0" w:line="288" w:lineRule="auto"/>
        <w:rPr>
          <w:rFonts w:ascii="Times New Roman" w:hAnsi="Times New Roman"/>
          <w:kern w:val="0"/>
          <w:szCs w:val="24"/>
        </w:rPr>
      </w:pPr>
      <w:bookmarkStart w:id="159" w:name="_Toc247959458"/>
      <w:bookmarkStart w:id="160" w:name="_Toc225570084"/>
      <w:bookmarkStart w:id="161" w:name="_Toc361324862"/>
      <w:bookmarkStart w:id="162" w:name="_Toc374374942"/>
      <w:bookmarkStart w:id="163" w:name="_Toc478411401"/>
      <w:r w:rsidRPr="00CB138F">
        <w:rPr>
          <w:rFonts w:ascii="Times New Roman" w:hAnsi="Times New Roman"/>
          <w:kern w:val="0"/>
          <w:szCs w:val="24"/>
        </w:rPr>
        <w:t>4.</w:t>
      </w:r>
      <w:r w:rsidRPr="00CB138F">
        <w:rPr>
          <w:rFonts w:ascii="Times New Roman" w:hAnsi="Times New Roman" w:hint="eastAsia"/>
          <w:kern w:val="0"/>
          <w:szCs w:val="24"/>
        </w:rPr>
        <w:t>9</w:t>
      </w:r>
      <w:r w:rsidRPr="00CB138F">
        <w:rPr>
          <w:rFonts w:ascii="Times New Roman" w:hAnsi="Times New Roman"/>
          <w:kern w:val="0"/>
          <w:szCs w:val="24"/>
        </w:rPr>
        <w:t xml:space="preserve"> </w:t>
      </w:r>
      <w:r w:rsidRPr="00CB138F">
        <w:rPr>
          <w:rFonts w:ascii="Times New Roman" w:hAnsi="Times New Roman"/>
          <w:kern w:val="0"/>
          <w:szCs w:val="24"/>
        </w:rPr>
        <w:t>管理人对报告期内基金利润分配情况的说明</w:t>
      </w:r>
      <w:bookmarkEnd w:id="159"/>
      <w:bookmarkEnd w:id="160"/>
      <w:bookmarkEnd w:id="161"/>
      <w:bookmarkEnd w:id="162"/>
      <w:bookmarkEnd w:id="163"/>
    </w:p>
    <w:p w:rsidR="005E0599" w:rsidRPr="00BB731C" w:rsidRDefault="005E0599" w:rsidP="005E0599">
      <w:pPr>
        <w:spacing w:before="29" w:line="288" w:lineRule="auto"/>
        <w:ind w:firstLineChars="200" w:firstLine="480"/>
        <w:rPr>
          <w:kern w:val="0"/>
          <w:sz w:val="24"/>
        </w:rPr>
      </w:pPr>
      <w:r w:rsidRPr="00BB731C">
        <w:rPr>
          <w:kern w:val="0"/>
          <w:sz w:val="24"/>
        </w:rPr>
        <w:t>本基金本报告期内未进行利润分配。</w:t>
      </w:r>
    </w:p>
    <w:p w:rsidR="005E0599" w:rsidRPr="00A4203E" w:rsidRDefault="005E0599" w:rsidP="005E0599">
      <w:pPr>
        <w:spacing w:line="360" w:lineRule="auto"/>
        <w:ind w:firstLineChars="200" w:firstLine="420"/>
        <w:rPr>
          <w:rFonts w:eastAsiaTheme="minorEastAsia"/>
          <w:color w:val="000000"/>
          <w:szCs w:val="21"/>
        </w:rPr>
      </w:pPr>
    </w:p>
    <w:p w:rsidR="005E0599" w:rsidRPr="00CB138F" w:rsidRDefault="005E0599" w:rsidP="00CB138F">
      <w:pPr>
        <w:pStyle w:val="20"/>
        <w:spacing w:before="29" w:after="0" w:line="288" w:lineRule="auto"/>
        <w:rPr>
          <w:rFonts w:ascii="Times New Roman" w:hAnsi="Times New Roman"/>
          <w:kern w:val="0"/>
          <w:szCs w:val="24"/>
        </w:rPr>
      </w:pPr>
      <w:bookmarkStart w:id="164" w:name="_Toc478411402"/>
      <w:r w:rsidRPr="00CB138F">
        <w:rPr>
          <w:rFonts w:ascii="Times New Roman" w:hAnsi="Times New Roman"/>
          <w:kern w:val="0"/>
          <w:szCs w:val="24"/>
        </w:rPr>
        <w:t>4.10</w:t>
      </w:r>
      <w:r w:rsidRPr="00CB138F">
        <w:rPr>
          <w:rFonts w:ascii="Times New Roman" w:hAnsi="Times New Roman" w:hint="eastAsia"/>
          <w:kern w:val="0"/>
          <w:szCs w:val="24"/>
        </w:rPr>
        <w:t xml:space="preserve"> </w:t>
      </w:r>
      <w:r w:rsidRPr="00CB138F">
        <w:rPr>
          <w:rFonts w:ascii="Times New Roman" w:hAnsi="Times New Roman" w:hint="eastAsia"/>
          <w:kern w:val="0"/>
          <w:szCs w:val="24"/>
        </w:rPr>
        <w:t>报告期内管理人对本基金持有人数或基金资产净值预警情形的说明</w:t>
      </w:r>
      <w:bookmarkEnd w:id="164"/>
    </w:p>
    <w:p w:rsidR="005E0599" w:rsidRPr="00BB731C" w:rsidRDefault="005E0599" w:rsidP="005E0599">
      <w:pPr>
        <w:spacing w:before="29" w:line="288" w:lineRule="auto"/>
        <w:ind w:firstLineChars="200" w:firstLine="480"/>
        <w:rPr>
          <w:kern w:val="0"/>
          <w:sz w:val="24"/>
        </w:rPr>
      </w:pPr>
      <w:r w:rsidRPr="00BB731C">
        <w:rPr>
          <w:kern w:val="0"/>
          <w:sz w:val="24"/>
        </w:rPr>
        <w:t>截至本报告期末，本基金已经连续六十个工作日以上出现基金资产净值低于五千万元的情形，基金管理人已向中国证券监督管理委员会进行了报告，拟通过终止基金合同等方式解决。</w:t>
      </w:r>
    </w:p>
    <w:p w:rsidR="00C856D0" w:rsidRPr="00D0372D" w:rsidRDefault="00C856D0" w:rsidP="006F3BD2">
      <w:pPr>
        <w:spacing w:line="360" w:lineRule="auto"/>
        <w:ind w:firstLineChars="200" w:firstLine="420"/>
        <w:rPr>
          <w:rFonts w:ascii="宋体" w:hAnsi="宋体"/>
          <w:color w:val="000000"/>
          <w:szCs w:val="21"/>
        </w:rPr>
      </w:pPr>
    </w:p>
    <w:p w:rsidR="007B62FA" w:rsidRDefault="007B62FA" w:rsidP="000C7A13">
      <w:pPr>
        <w:pStyle w:val="1"/>
        <w:keepNext/>
        <w:keepLines/>
        <w:widowControl w:val="0"/>
        <w:spacing w:beforeLines="100" w:before="312" w:afterLines="100" w:after="312" w:line="288" w:lineRule="auto"/>
        <w:jc w:val="center"/>
        <w:rPr>
          <w:b/>
          <w:bCs/>
          <w:szCs w:val="24"/>
          <w:lang w:val="en-US"/>
        </w:rPr>
      </w:pPr>
      <w:bookmarkStart w:id="165" w:name="_Toc225498263"/>
      <w:bookmarkStart w:id="166" w:name="_Toc352255982"/>
      <w:bookmarkStart w:id="167" w:name="_Toc352256050"/>
      <w:bookmarkStart w:id="168" w:name="_Toc352331228"/>
      <w:bookmarkStart w:id="169" w:name="_Toc362424006"/>
      <w:bookmarkStart w:id="170" w:name="_Toc478411403"/>
      <w:r w:rsidRPr="00C856D0">
        <w:rPr>
          <w:rFonts w:hint="eastAsia"/>
          <w:b/>
          <w:bCs/>
          <w:szCs w:val="24"/>
          <w:lang w:val="en-US"/>
        </w:rPr>
        <w:lastRenderedPageBreak/>
        <w:t>§</w:t>
      </w:r>
      <w:r w:rsidR="003E5E48" w:rsidRPr="00C856D0">
        <w:rPr>
          <w:b/>
          <w:bCs/>
          <w:szCs w:val="24"/>
          <w:lang w:val="en-US"/>
        </w:rPr>
        <w:t>5</w:t>
      </w:r>
      <w:r w:rsidR="003E5E48" w:rsidRPr="00C856D0">
        <w:rPr>
          <w:rFonts w:hint="eastAsia"/>
          <w:b/>
          <w:bCs/>
          <w:szCs w:val="24"/>
          <w:lang w:val="en-US"/>
        </w:rPr>
        <w:t xml:space="preserve">  </w:t>
      </w:r>
      <w:r w:rsidRPr="00C856D0">
        <w:rPr>
          <w:rFonts w:hint="eastAsia"/>
          <w:b/>
          <w:bCs/>
          <w:szCs w:val="24"/>
          <w:lang w:val="en-US"/>
        </w:rPr>
        <w:t>托管人报告</w:t>
      </w:r>
      <w:bookmarkEnd w:id="165"/>
      <w:bookmarkEnd w:id="166"/>
      <w:bookmarkEnd w:id="167"/>
      <w:bookmarkEnd w:id="168"/>
      <w:bookmarkEnd w:id="169"/>
      <w:bookmarkEnd w:id="170"/>
    </w:p>
    <w:p w:rsidR="00FC649E" w:rsidRPr="00FC649E" w:rsidRDefault="00FC649E" w:rsidP="00FC649E"/>
    <w:p w:rsidR="007B62FA" w:rsidRPr="007C2D9E" w:rsidRDefault="007B62FA" w:rsidP="007C2D9E">
      <w:pPr>
        <w:pStyle w:val="20"/>
        <w:spacing w:before="29" w:after="0" w:line="288" w:lineRule="auto"/>
        <w:rPr>
          <w:rFonts w:ascii="Times New Roman" w:hAnsi="Times New Roman"/>
          <w:kern w:val="0"/>
          <w:szCs w:val="24"/>
        </w:rPr>
      </w:pPr>
      <w:bookmarkStart w:id="171" w:name="_Toc225498264"/>
      <w:bookmarkStart w:id="172" w:name="_Toc352255983"/>
      <w:bookmarkStart w:id="173" w:name="_Toc352256051"/>
      <w:bookmarkStart w:id="174" w:name="_Toc352331229"/>
      <w:bookmarkStart w:id="175" w:name="_Toc362424007"/>
      <w:bookmarkStart w:id="176" w:name="_Toc478411404"/>
      <w:r w:rsidRPr="007C2D9E">
        <w:rPr>
          <w:rFonts w:ascii="Times New Roman" w:hAnsi="Times New Roman"/>
          <w:kern w:val="0"/>
          <w:szCs w:val="24"/>
        </w:rPr>
        <w:t xml:space="preserve">5.1 </w:t>
      </w:r>
      <w:r w:rsidRPr="007C2D9E">
        <w:rPr>
          <w:rFonts w:ascii="Times New Roman" w:hAnsi="Times New Roman" w:hint="eastAsia"/>
          <w:kern w:val="0"/>
          <w:szCs w:val="24"/>
        </w:rPr>
        <w:t>报告期内本基金托管人遵规守信情况声明</w:t>
      </w:r>
      <w:bookmarkEnd w:id="171"/>
      <w:bookmarkEnd w:id="172"/>
      <w:bookmarkEnd w:id="173"/>
      <w:bookmarkEnd w:id="174"/>
      <w:bookmarkEnd w:id="175"/>
      <w:bookmarkEnd w:id="176"/>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7B62FA" w:rsidRPr="00D0372D" w:rsidRDefault="007B62FA" w:rsidP="00A66DFB">
      <w:pPr>
        <w:spacing w:line="360" w:lineRule="auto"/>
        <w:ind w:firstLineChars="200" w:firstLine="420"/>
        <w:rPr>
          <w:rFonts w:ascii="宋体" w:hAnsi="宋体"/>
          <w:color w:val="000000"/>
          <w:kern w:val="0"/>
          <w:szCs w:val="21"/>
        </w:rPr>
      </w:pPr>
    </w:p>
    <w:p w:rsidR="007B62FA" w:rsidRPr="007C2D9E" w:rsidRDefault="007B62FA" w:rsidP="007C2D9E">
      <w:pPr>
        <w:pStyle w:val="20"/>
        <w:spacing w:before="29" w:after="0" w:line="288" w:lineRule="auto"/>
        <w:rPr>
          <w:rFonts w:ascii="Times New Roman" w:hAnsi="Times New Roman"/>
          <w:kern w:val="0"/>
          <w:szCs w:val="24"/>
        </w:rPr>
      </w:pPr>
      <w:bookmarkStart w:id="177" w:name="_Toc225498265"/>
      <w:bookmarkStart w:id="178" w:name="_Toc352255984"/>
      <w:bookmarkStart w:id="179" w:name="_Toc352256052"/>
      <w:bookmarkStart w:id="180" w:name="_Toc352331230"/>
      <w:bookmarkStart w:id="181" w:name="_Toc362424008"/>
      <w:bookmarkStart w:id="182" w:name="_Toc478411405"/>
      <w:r w:rsidRPr="007C2D9E">
        <w:rPr>
          <w:rFonts w:ascii="Times New Roman" w:hAnsi="Times New Roman"/>
          <w:kern w:val="0"/>
          <w:szCs w:val="24"/>
        </w:rPr>
        <w:t xml:space="preserve">5.2 </w:t>
      </w:r>
      <w:r w:rsidRPr="007C2D9E">
        <w:rPr>
          <w:rFonts w:ascii="Times New Roman" w:hAnsi="Times New Roman" w:hint="eastAsia"/>
          <w:kern w:val="0"/>
          <w:szCs w:val="24"/>
        </w:rPr>
        <w:t>托管人对报告期内本基金投资运作遵规守信、净值计算、利润分配等情况的</w:t>
      </w:r>
      <w:bookmarkEnd w:id="177"/>
      <w:r w:rsidRPr="007C2D9E">
        <w:rPr>
          <w:rFonts w:ascii="Times New Roman" w:hAnsi="Times New Roman" w:hint="eastAsia"/>
          <w:kern w:val="0"/>
          <w:szCs w:val="24"/>
        </w:rPr>
        <w:t>说明</w:t>
      </w:r>
      <w:bookmarkEnd w:id="178"/>
      <w:bookmarkEnd w:id="179"/>
      <w:bookmarkEnd w:id="180"/>
      <w:bookmarkEnd w:id="181"/>
      <w:bookmarkEnd w:id="182"/>
    </w:p>
    <w:p w:rsidR="00B536C4" w:rsidRDefault="00CC45D2">
      <w:pPr>
        <w:tabs>
          <w:tab w:val="left" w:pos="426"/>
        </w:tabs>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kern w:val="0"/>
          <w:sz w:val="24"/>
        </w:rPr>
        <w:t xml:space="preserve"> </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报告期内，本基金未实施利润分配。</w:t>
      </w:r>
    </w:p>
    <w:p w:rsidR="007B62FA" w:rsidRPr="00D0372D" w:rsidRDefault="007B62FA" w:rsidP="00C03E37">
      <w:pPr>
        <w:spacing w:line="360" w:lineRule="auto"/>
        <w:ind w:firstLineChars="200" w:firstLine="420"/>
        <w:rPr>
          <w:rFonts w:ascii="宋体" w:hAnsi="宋体"/>
          <w:color w:val="000000"/>
          <w:kern w:val="0"/>
          <w:szCs w:val="21"/>
        </w:rPr>
      </w:pPr>
    </w:p>
    <w:p w:rsidR="007B62FA" w:rsidRPr="007C2D9E" w:rsidRDefault="007B62FA" w:rsidP="007C2D9E">
      <w:pPr>
        <w:pStyle w:val="20"/>
        <w:spacing w:before="29" w:after="0" w:line="288" w:lineRule="auto"/>
        <w:rPr>
          <w:rFonts w:ascii="Times New Roman" w:hAnsi="Times New Roman"/>
          <w:kern w:val="0"/>
          <w:szCs w:val="24"/>
        </w:rPr>
      </w:pPr>
      <w:bookmarkStart w:id="183" w:name="_Toc225498266"/>
      <w:bookmarkStart w:id="184" w:name="_Toc352255985"/>
      <w:bookmarkStart w:id="185" w:name="_Toc352256053"/>
      <w:bookmarkStart w:id="186" w:name="_Toc352331231"/>
      <w:bookmarkStart w:id="187" w:name="_Toc362424009"/>
      <w:bookmarkStart w:id="188" w:name="_Toc478411406"/>
      <w:r w:rsidRPr="007C2D9E">
        <w:rPr>
          <w:rFonts w:ascii="Times New Roman" w:hAnsi="Times New Roman"/>
          <w:kern w:val="0"/>
          <w:szCs w:val="24"/>
        </w:rPr>
        <w:t xml:space="preserve">5.3 </w:t>
      </w:r>
      <w:r w:rsidRPr="007C2D9E">
        <w:rPr>
          <w:rFonts w:ascii="Times New Roman" w:hAnsi="Times New Roman" w:hint="eastAsia"/>
          <w:kern w:val="0"/>
          <w:szCs w:val="24"/>
        </w:rPr>
        <w:t>托管人对本年度报告中财务信息等内容的真实、准确和完整发表意见</w:t>
      </w:r>
      <w:bookmarkEnd w:id="183"/>
      <w:bookmarkEnd w:id="184"/>
      <w:bookmarkEnd w:id="185"/>
      <w:bookmarkEnd w:id="186"/>
      <w:bookmarkEnd w:id="187"/>
      <w:bookmarkEnd w:id="188"/>
    </w:p>
    <w:p w:rsidR="007B62FA" w:rsidRDefault="007B62FA" w:rsidP="00F14763">
      <w:pPr>
        <w:tabs>
          <w:tab w:val="left" w:pos="426"/>
        </w:tabs>
        <w:spacing w:before="29" w:line="288" w:lineRule="auto"/>
        <w:ind w:firstLineChars="200" w:firstLine="480"/>
        <w:rPr>
          <w:kern w:val="0"/>
          <w:sz w:val="24"/>
        </w:rPr>
      </w:pPr>
      <w:r w:rsidRPr="00F14763">
        <w:rPr>
          <w:kern w:val="0"/>
          <w:sz w:val="24"/>
        </w:rPr>
        <w:t>本托管人复核审查了本报告中的财务指标、净值表现、利润分配情况、财务会计报告、投资组合报告等内容，保证复核内容不存在虚假记载、误导性陈述或者重大遗漏。</w:t>
      </w:r>
    </w:p>
    <w:p w:rsidR="006A6C20" w:rsidRPr="00F14763" w:rsidRDefault="006A6C20" w:rsidP="00F14763">
      <w:pPr>
        <w:tabs>
          <w:tab w:val="left" w:pos="426"/>
        </w:tabs>
        <w:spacing w:before="29" w:line="288" w:lineRule="auto"/>
        <w:ind w:firstLineChars="200" w:firstLine="480"/>
        <w:rPr>
          <w:kern w:val="0"/>
          <w:sz w:val="24"/>
        </w:rPr>
      </w:pPr>
    </w:p>
    <w:p w:rsidR="007B62FA" w:rsidRDefault="007B62FA" w:rsidP="000C7A13">
      <w:pPr>
        <w:pStyle w:val="1"/>
        <w:keepNext/>
        <w:keepLines/>
        <w:widowControl w:val="0"/>
        <w:spacing w:beforeLines="100" w:before="312" w:afterLines="100" w:after="312" w:line="288" w:lineRule="auto"/>
        <w:jc w:val="center"/>
        <w:rPr>
          <w:b/>
          <w:bCs/>
          <w:szCs w:val="24"/>
          <w:lang w:val="en-US"/>
        </w:rPr>
      </w:pPr>
      <w:bookmarkStart w:id="189" w:name="_Toc245801814"/>
      <w:bookmarkStart w:id="190" w:name="_Toc247959464"/>
      <w:bookmarkStart w:id="191" w:name="_Toc352255986"/>
      <w:bookmarkStart w:id="192" w:name="_Toc352256054"/>
      <w:bookmarkStart w:id="193" w:name="_Toc352331232"/>
      <w:bookmarkStart w:id="194" w:name="_Toc362424010"/>
      <w:bookmarkStart w:id="195" w:name="_Toc478411407"/>
      <w:r w:rsidRPr="005439DB">
        <w:rPr>
          <w:rFonts w:hint="eastAsia"/>
          <w:b/>
          <w:bCs/>
          <w:szCs w:val="24"/>
          <w:lang w:val="en-US"/>
        </w:rPr>
        <w:t>§</w:t>
      </w:r>
      <w:r w:rsidR="001822F7" w:rsidRPr="005439DB">
        <w:rPr>
          <w:b/>
          <w:bCs/>
          <w:szCs w:val="24"/>
          <w:lang w:val="en-US"/>
        </w:rPr>
        <w:t xml:space="preserve">6 </w:t>
      </w:r>
      <w:r w:rsidR="003E5E48" w:rsidRPr="005439DB">
        <w:rPr>
          <w:rFonts w:hint="eastAsia"/>
          <w:b/>
          <w:bCs/>
          <w:szCs w:val="24"/>
          <w:lang w:val="en-US"/>
        </w:rPr>
        <w:t xml:space="preserve"> </w:t>
      </w:r>
      <w:r w:rsidRPr="005439DB">
        <w:rPr>
          <w:rFonts w:hint="eastAsia"/>
          <w:b/>
          <w:bCs/>
          <w:szCs w:val="24"/>
          <w:lang w:val="en-US"/>
        </w:rPr>
        <w:t>审计报告</w:t>
      </w:r>
      <w:bookmarkEnd w:id="189"/>
      <w:bookmarkEnd w:id="190"/>
      <w:bookmarkEnd w:id="191"/>
      <w:bookmarkEnd w:id="192"/>
      <w:bookmarkEnd w:id="193"/>
      <w:bookmarkEnd w:id="194"/>
      <w:bookmarkEnd w:id="195"/>
    </w:p>
    <w:p w:rsidR="00FC649E" w:rsidRPr="00FC649E" w:rsidRDefault="00FC649E" w:rsidP="00FC649E"/>
    <w:p w:rsidR="005807CD" w:rsidRDefault="005807CD" w:rsidP="005807CD">
      <w:pPr>
        <w:spacing w:before="29" w:line="288" w:lineRule="auto"/>
        <w:jc w:val="right"/>
        <w:rPr>
          <w:color w:val="000000"/>
          <w:sz w:val="24"/>
        </w:rPr>
      </w:pPr>
      <w:r w:rsidRPr="005807CD">
        <w:rPr>
          <w:rFonts w:hint="eastAsia"/>
          <w:color w:val="000000"/>
          <w:sz w:val="24"/>
        </w:rPr>
        <w:t>普华永道</w:t>
      </w:r>
      <w:proofErr w:type="gramStart"/>
      <w:r w:rsidRPr="005807CD">
        <w:rPr>
          <w:rFonts w:hint="eastAsia"/>
          <w:color w:val="000000"/>
          <w:sz w:val="24"/>
        </w:rPr>
        <w:t>中天审字</w:t>
      </w:r>
      <w:proofErr w:type="gramEnd"/>
      <w:r w:rsidRPr="005807CD">
        <w:rPr>
          <w:rFonts w:hint="eastAsia"/>
          <w:color w:val="000000"/>
          <w:sz w:val="24"/>
        </w:rPr>
        <w:t>(2017)</w:t>
      </w:r>
      <w:r w:rsidRPr="005807CD">
        <w:rPr>
          <w:rFonts w:hint="eastAsia"/>
          <w:color w:val="000000"/>
          <w:sz w:val="24"/>
        </w:rPr>
        <w:t>第</w:t>
      </w:r>
      <w:r w:rsidRPr="005807CD">
        <w:rPr>
          <w:rFonts w:hint="eastAsia"/>
          <w:color w:val="000000"/>
          <w:sz w:val="24"/>
        </w:rPr>
        <w:t xml:space="preserve">20188 </w:t>
      </w:r>
      <w:r w:rsidRPr="005807CD">
        <w:rPr>
          <w:rFonts w:hint="eastAsia"/>
          <w:color w:val="000000"/>
          <w:sz w:val="24"/>
        </w:rPr>
        <w:t>号</w:t>
      </w:r>
    </w:p>
    <w:p w:rsidR="007B62FA" w:rsidRPr="005439DB" w:rsidRDefault="007B62FA" w:rsidP="005439DB">
      <w:pPr>
        <w:spacing w:before="29" w:line="288" w:lineRule="auto"/>
        <w:rPr>
          <w:color w:val="000000"/>
          <w:sz w:val="24"/>
        </w:rPr>
      </w:pPr>
      <w:r w:rsidRPr="005439DB">
        <w:rPr>
          <w:color w:val="000000"/>
          <w:sz w:val="24"/>
        </w:rPr>
        <w:t>交银施罗德全球自然资源证券投资基金全体基金份额持有人</w:t>
      </w:r>
      <w:r w:rsidRPr="005439DB">
        <w:rPr>
          <w:rFonts w:hint="eastAsia"/>
          <w:color w:val="000000"/>
          <w:sz w:val="24"/>
        </w:rPr>
        <w:t>：</w:t>
      </w:r>
    </w:p>
    <w:p w:rsidR="007B62FA" w:rsidRPr="005439DB" w:rsidRDefault="007B62FA" w:rsidP="005439DB">
      <w:pPr>
        <w:spacing w:before="29" w:line="288" w:lineRule="auto"/>
        <w:rPr>
          <w:color w:val="000000"/>
          <w:sz w:val="24"/>
        </w:rPr>
      </w:pPr>
      <w:r w:rsidRPr="005439DB">
        <w:rPr>
          <w:color w:val="000000"/>
          <w:sz w:val="24"/>
        </w:rPr>
        <w:t xml:space="preserve">    </w:t>
      </w:r>
      <w:r w:rsidRPr="005439DB">
        <w:rPr>
          <w:color w:val="000000"/>
          <w:sz w:val="24"/>
        </w:rPr>
        <w:t>我们审计了后附的交银施罗德全球自然资源证券投资基金</w:t>
      </w:r>
      <w:r w:rsidRPr="005439DB">
        <w:rPr>
          <w:color w:val="000000"/>
          <w:sz w:val="24"/>
        </w:rPr>
        <w:t>(</w:t>
      </w:r>
      <w:r w:rsidRPr="005439DB">
        <w:rPr>
          <w:color w:val="000000"/>
          <w:sz w:val="24"/>
        </w:rPr>
        <w:t>以下简称</w:t>
      </w:r>
      <w:r w:rsidRPr="005439DB">
        <w:rPr>
          <w:color w:val="000000"/>
          <w:sz w:val="24"/>
        </w:rPr>
        <w:t>“</w:t>
      </w:r>
      <w:r w:rsidRPr="005439DB">
        <w:rPr>
          <w:color w:val="000000"/>
          <w:sz w:val="24"/>
        </w:rPr>
        <w:t>交银施罗德资源基金</w:t>
      </w:r>
      <w:r w:rsidRPr="005439DB">
        <w:rPr>
          <w:color w:val="000000"/>
          <w:sz w:val="24"/>
        </w:rPr>
        <w:t>”)</w:t>
      </w:r>
      <w:r w:rsidRPr="005439DB">
        <w:rPr>
          <w:color w:val="000000"/>
          <w:sz w:val="24"/>
        </w:rPr>
        <w:t>的财务报表，包括</w:t>
      </w:r>
      <w:r w:rsidR="006A1C10">
        <w:rPr>
          <w:color w:val="000000"/>
          <w:sz w:val="24"/>
        </w:rPr>
        <w:t>2016</w:t>
      </w:r>
      <w:r w:rsidRPr="005439DB">
        <w:rPr>
          <w:color w:val="000000"/>
          <w:sz w:val="24"/>
        </w:rPr>
        <w:t>年</w:t>
      </w:r>
      <w:r w:rsidRPr="005439DB">
        <w:rPr>
          <w:color w:val="000000"/>
          <w:sz w:val="24"/>
        </w:rPr>
        <w:t>12</w:t>
      </w:r>
      <w:r w:rsidRPr="005439DB">
        <w:rPr>
          <w:color w:val="000000"/>
          <w:sz w:val="24"/>
        </w:rPr>
        <w:t>月</w:t>
      </w:r>
      <w:r w:rsidRPr="005439DB">
        <w:rPr>
          <w:color w:val="000000"/>
          <w:sz w:val="24"/>
        </w:rPr>
        <w:t>31</w:t>
      </w:r>
      <w:r w:rsidRPr="005439DB">
        <w:rPr>
          <w:color w:val="000000"/>
          <w:sz w:val="24"/>
        </w:rPr>
        <w:t>日的资产负债表、</w:t>
      </w:r>
      <w:r w:rsidR="006A1C10">
        <w:rPr>
          <w:color w:val="000000"/>
          <w:sz w:val="24"/>
        </w:rPr>
        <w:t>2016</w:t>
      </w:r>
      <w:r w:rsidRPr="005439DB">
        <w:rPr>
          <w:color w:val="000000"/>
          <w:sz w:val="24"/>
        </w:rPr>
        <w:t>年度的利润表和所有者权益</w:t>
      </w:r>
      <w:r w:rsidRPr="005439DB">
        <w:rPr>
          <w:color w:val="000000"/>
          <w:sz w:val="24"/>
        </w:rPr>
        <w:t>(</w:t>
      </w:r>
      <w:r w:rsidRPr="005439DB">
        <w:rPr>
          <w:color w:val="000000"/>
          <w:sz w:val="24"/>
        </w:rPr>
        <w:t>基金净值</w:t>
      </w:r>
      <w:r w:rsidRPr="005439DB">
        <w:rPr>
          <w:color w:val="000000"/>
          <w:sz w:val="24"/>
        </w:rPr>
        <w:t>)</w:t>
      </w:r>
      <w:r w:rsidRPr="005439DB">
        <w:rPr>
          <w:color w:val="000000"/>
          <w:sz w:val="24"/>
        </w:rPr>
        <w:t>变动表以及财务报表附注。</w:t>
      </w:r>
    </w:p>
    <w:p w:rsidR="007B62FA" w:rsidRPr="00D0372D" w:rsidRDefault="007B62FA" w:rsidP="00C03E37">
      <w:pPr>
        <w:adjustRightInd w:val="0"/>
        <w:snapToGrid w:val="0"/>
        <w:spacing w:line="360" w:lineRule="auto"/>
        <w:rPr>
          <w:rFonts w:ascii="宋体" w:hAnsi="宋体"/>
          <w:b/>
          <w:bCs/>
          <w:color w:val="000000"/>
          <w:szCs w:val="21"/>
        </w:rPr>
      </w:pPr>
    </w:p>
    <w:p w:rsidR="007B62FA" w:rsidRPr="00AE537D" w:rsidRDefault="005C65BB" w:rsidP="00AE537D">
      <w:pPr>
        <w:pStyle w:val="20"/>
        <w:spacing w:before="29" w:after="0" w:line="288" w:lineRule="auto"/>
        <w:rPr>
          <w:rFonts w:ascii="Times New Roman" w:hAnsi="Times New Roman"/>
          <w:kern w:val="0"/>
          <w:szCs w:val="24"/>
        </w:rPr>
      </w:pPr>
      <w:bookmarkStart w:id="196" w:name="_Toc286996147"/>
      <w:bookmarkStart w:id="197" w:name="_Toc352255987"/>
      <w:bookmarkStart w:id="198" w:name="_Toc352256055"/>
      <w:bookmarkStart w:id="199" w:name="_Toc352331233"/>
      <w:bookmarkStart w:id="200" w:name="_Toc362424011"/>
      <w:bookmarkStart w:id="201" w:name="_Toc374459273"/>
      <w:bookmarkStart w:id="202" w:name="_Toc478410233"/>
      <w:bookmarkStart w:id="203" w:name="_Toc478411408"/>
      <w:r>
        <w:rPr>
          <w:rFonts w:ascii="Times New Roman" w:hAnsi="Times New Roman" w:hint="eastAsia"/>
          <w:kern w:val="0"/>
          <w:szCs w:val="24"/>
        </w:rPr>
        <w:t>一、</w:t>
      </w:r>
      <w:r w:rsidR="007B62FA" w:rsidRPr="00AE537D">
        <w:rPr>
          <w:rFonts w:ascii="Times New Roman" w:hAnsi="Times New Roman" w:hint="eastAsia"/>
          <w:kern w:val="0"/>
          <w:szCs w:val="24"/>
        </w:rPr>
        <w:t>管理层对财务报表的责任</w:t>
      </w:r>
      <w:bookmarkEnd w:id="196"/>
      <w:bookmarkEnd w:id="197"/>
      <w:bookmarkEnd w:id="198"/>
      <w:bookmarkEnd w:id="199"/>
      <w:bookmarkEnd w:id="200"/>
      <w:bookmarkEnd w:id="201"/>
      <w:bookmarkEnd w:id="202"/>
      <w:bookmarkEnd w:id="203"/>
    </w:p>
    <w:p w:rsidR="00B536C4" w:rsidRDefault="00CC45D2">
      <w:pPr>
        <w:tabs>
          <w:tab w:val="left" w:pos="426"/>
        </w:tabs>
        <w:spacing w:before="29" w:line="288" w:lineRule="auto"/>
        <w:ind w:firstLineChars="200" w:firstLine="480"/>
        <w:rPr>
          <w:kern w:val="0"/>
          <w:sz w:val="24"/>
        </w:rPr>
      </w:pPr>
      <w:r>
        <w:rPr>
          <w:kern w:val="0"/>
          <w:sz w:val="24"/>
        </w:rPr>
        <w:t>编制和公允列报财务报表是交银施罗德资源基金的基金管理人交银施罗德基金管理有限公司管理层的责任。这种责任包括：</w:t>
      </w:r>
    </w:p>
    <w:p w:rsidR="00B536C4" w:rsidRDefault="00CC45D2">
      <w:pPr>
        <w:tabs>
          <w:tab w:val="left" w:pos="426"/>
        </w:tabs>
        <w:spacing w:before="29" w:line="288" w:lineRule="auto"/>
        <w:ind w:firstLineChars="200" w:firstLine="480"/>
        <w:rPr>
          <w:kern w:val="0"/>
          <w:sz w:val="24"/>
        </w:rPr>
      </w:pPr>
      <w:r>
        <w:rPr>
          <w:kern w:val="0"/>
          <w:sz w:val="24"/>
        </w:rPr>
        <w:t>(1)</w:t>
      </w:r>
      <w:r>
        <w:rPr>
          <w:kern w:val="0"/>
          <w:sz w:val="24"/>
        </w:rPr>
        <w:t>按照企业会计准则和中国证券监督管理委员会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 xml:space="preserve">”) </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发布的有关规定及允许的基金行业实务操作编制财务报表，并使其实现公允反映；</w:t>
      </w:r>
    </w:p>
    <w:p w:rsidR="007B62FA" w:rsidRPr="006C0150" w:rsidRDefault="007B62FA" w:rsidP="006C0150">
      <w:pPr>
        <w:tabs>
          <w:tab w:val="left" w:pos="426"/>
        </w:tabs>
        <w:spacing w:before="29" w:line="288" w:lineRule="auto"/>
        <w:ind w:firstLineChars="200" w:firstLine="480"/>
        <w:rPr>
          <w:kern w:val="0"/>
          <w:sz w:val="24"/>
        </w:rPr>
      </w:pPr>
      <w:r w:rsidRPr="006C0150">
        <w:rPr>
          <w:kern w:val="0"/>
          <w:sz w:val="24"/>
        </w:rPr>
        <w:t>(2)</w:t>
      </w:r>
      <w:r w:rsidRPr="006C0150">
        <w:rPr>
          <w:kern w:val="0"/>
          <w:sz w:val="24"/>
        </w:rPr>
        <w:t>设计、执行和维护必要的内部控制，以使财务报表不存在由于舞弊或错误导致的重大错报。</w:t>
      </w:r>
    </w:p>
    <w:p w:rsidR="007B62FA" w:rsidRPr="00D0372D" w:rsidRDefault="007B62FA" w:rsidP="00C03E37">
      <w:pPr>
        <w:adjustRightInd w:val="0"/>
        <w:snapToGrid w:val="0"/>
        <w:spacing w:line="360" w:lineRule="auto"/>
        <w:rPr>
          <w:rFonts w:ascii="宋体" w:hAnsi="宋体"/>
          <w:color w:val="000000"/>
          <w:szCs w:val="21"/>
        </w:rPr>
      </w:pPr>
    </w:p>
    <w:p w:rsidR="007B62FA" w:rsidRPr="00AE537D" w:rsidRDefault="005C65BB" w:rsidP="00AE537D">
      <w:pPr>
        <w:pStyle w:val="20"/>
        <w:spacing w:before="29" w:after="0" w:line="288" w:lineRule="auto"/>
        <w:rPr>
          <w:rFonts w:ascii="Times New Roman" w:hAnsi="Times New Roman"/>
          <w:kern w:val="0"/>
          <w:szCs w:val="24"/>
        </w:rPr>
      </w:pPr>
      <w:bookmarkStart w:id="204" w:name="_Toc286996148"/>
      <w:bookmarkStart w:id="205" w:name="_Toc352255988"/>
      <w:bookmarkStart w:id="206" w:name="_Toc352256056"/>
      <w:bookmarkStart w:id="207" w:name="_Toc352331234"/>
      <w:bookmarkStart w:id="208" w:name="_Toc362424012"/>
      <w:bookmarkStart w:id="209" w:name="_Toc374459274"/>
      <w:bookmarkStart w:id="210" w:name="_Toc478410234"/>
      <w:bookmarkStart w:id="211" w:name="_Toc478411409"/>
      <w:r>
        <w:rPr>
          <w:rFonts w:ascii="Times New Roman" w:hAnsi="Times New Roman" w:hint="eastAsia"/>
          <w:kern w:val="0"/>
          <w:szCs w:val="24"/>
        </w:rPr>
        <w:lastRenderedPageBreak/>
        <w:t>二、</w:t>
      </w:r>
      <w:r w:rsidR="007B62FA" w:rsidRPr="00AE537D">
        <w:rPr>
          <w:rFonts w:ascii="Times New Roman" w:hAnsi="Times New Roman" w:hint="eastAsia"/>
          <w:kern w:val="0"/>
          <w:szCs w:val="24"/>
        </w:rPr>
        <w:t>注册会计师的责任</w:t>
      </w:r>
      <w:bookmarkEnd w:id="204"/>
      <w:bookmarkEnd w:id="205"/>
      <w:bookmarkEnd w:id="206"/>
      <w:bookmarkEnd w:id="207"/>
      <w:bookmarkEnd w:id="208"/>
      <w:bookmarkEnd w:id="209"/>
      <w:bookmarkEnd w:id="210"/>
      <w:bookmarkEnd w:id="211"/>
    </w:p>
    <w:p w:rsidR="00B536C4" w:rsidRDefault="00CC45D2">
      <w:pPr>
        <w:tabs>
          <w:tab w:val="left" w:pos="426"/>
        </w:tabs>
        <w:spacing w:before="29" w:line="288" w:lineRule="auto"/>
        <w:ind w:firstLineChars="200" w:firstLine="480"/>
        <w:rPr>
          <w:kern w:val="0"/>
          <w:sz w:val="24"/>
        </w:rPr>
      </w:pPr>
      <w:r>
        <w:rPr>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B536C4" w:rsidRDefault="00CC45D2">
      <w:pPr>
        <w:tabs>
          <w:tab w:val="left" w:pos="426"/>
        </w:tabs>
        <w:spacing w:before="29" w:line="288" w:lineRule="auto"/>
        <w:ind w:firstLineChars="200" w:firstLine="480"/>
        <w:rPr>
          <w:kern w:val="0"/>
          <w:sz w:val="24"/>
        </w:rPr>
      </w:pPr>
      <w:r>
        <w:rPr>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w:t>
      </w:r>
      <w:proofErr w:type="gramStart"/>
      <w:r>
        <w:rPr>
          <w:kern w:val="0"/>
          <w:sz w:val="24"/>
        </w:rPr>
        <w:t>作出</w:t>
      </w:r>
      <w:proofErr w:type="gramEnd"/>
      <w:r>
        <w:rPr>
          <w:kern w:val="0"/>
          <w:sz w:val="24"/>
        </w:rPr>
        <w:t>会计估计的合理性，以及评价财务报表的总</w:t>
      </w:r>
      <w:proofErr w:type="gramStart"/>
      <w:r>
        <w:rPr>
          <w:kern w:val="0"/>
          <w:sz w:val="24"/>
        </w:rPr>
        <w:t>体列</w:t>
      </w:r>
      <w:proofErr w:type="gramEnd"/>
      <w:r>
        <w:rPr>
          <w:kern w:val="0"/>
          <w:sz w:val="24"/>
        </w:rPr>
        <w:t>报。</w:t>
      </w:r>
    </w:p>
    <w:p w:rsidR="007B62FA" w:rsidRPr="006C0150" w:rsidRDefault="007B62FA" w:rsidP="006C0150">
      <w:pPr>
        <w:tabs>
          <w:tab w:val="left" w:pos="426"/>
        </w:tabs>
        <w:spacing w:before="29" w:line="288" w:lineRule="auto"/>
        <w:ind w:firstLineChars="200" w:firstLine="480"/>
        <w:rPr>
          <w:kern w:val="0"/>
          <w:sz w:val="24"/>
        </w:rPr>
      </w:pPr>
      <w:r w:rsidRPr="006C0150">
        <w:rPr>
          <w:kern w:val="0"/>
          <w:sz w:val="24"/>
        </w:rPr>
        <w:t>我们相信，我们获取的审计证据是充分、适当的，为发表审计意见提供了基础。</w:t>
      </w:r>
    </w:p>
    <w:p w:rsidR="007B62FA" w:rsidRPr="00D0372D" w:rsidRDefault="007B62FA" w:rsidP="00C03E37">
      <w:pPr>
        <w:adjustRightInd w:val="0"/>
        <w:snapToGrid w:val="0"/>
        <w:spacing w:line="360" w:lineRule="auto"/>
        <w:rPr>
          <w:rFonts w:ascii="宋体" w:hAnsi="宋体"/>
          <w:color w:val="000000"/>
          <w:szCs w:val="21"/>
        </w:rPr>
      </w:pPr>
    </w:p>
    <w:p w:rsidR="007B62FA" w:rsidRPr="00AE537D" w:rsidRDefault="005C65BB" w:rsidP="00AE537D">
      <w:pPr>
        <w:pStyle w:val="20"/>
        <w:spacing w:before="29" w:after="0" w:line="288" w:lineRule="auto"/>
        <w:rPr>
          <w:rFonts w:ascii="Times New Roman" w:hAnsi="Times New Roman"/>
          <w:kern w:val="0"/>
          <w:szCs w:val="24"/>
        </w:rPr>
      </w:pPr>
      <w:bookmarkStart w:id="212" w:name="_Toc286996149"/>
      <w:bookmarkStart w:id="213" w:name="_Toc352255989"/>
      <w:bookmarkStart w:id="214" w:name="_Toc352256057"/>
      <w:bookmarkStart w:id="215" w:name="_Toc352331235"/>
      <w:bookmarkStart w:id="216" w:name="_Toc362424013"/>
      <w:bookmarkStart w:id="217" w:name="_Toc374459275"/>
      <w:bookmarkStart w:id="218" w:name="_Toc478410235"/>
      <w:bookmarkStart w:id="219" w:name="_Toc478411410"/>
      <w:r>
        <w:rPr>
          <w:rFonts w:ascii="Times New Roman" w:hAnsi="Times New Roman" w:hint="eastAsia"/>
          <w:kern w:val="0"/>
          <w:szCs w:val="24"/>
        </w:rPr>
        <w:t>三、</w:t>
      </w:r>
      <w:r w:rsidR="007B62FA" w:rsidRPr="00AE537D">
        <w:rPr>
          <w:rFonts w:ascii="Times New Roman" w:hAnsi="Times New Roman" w:hint="eastAsia"/>
          <w:kern w:val="0"/>
          <w:szCs w:val="24"/>
        </w:rPr>
        <w:t>审计意见</w:t>
      </w:r>
      <w:bookmarkEnd w:id="212"/>
      <w:bookmarkEnd w:id="213"/>
      <w:bookmarkEnd w:id="214"/>
      <w:bookmarkEnd w:id="215"/>
      <w:bookmarkEnd w:id="216"/>
      <w:bookmarkEnd w:id="217"/>
      <w:bookmarkEnd w:id="218"/>
      <w:bookmarkEnd w:id="219"/>
    </w:p>
    <w:p w:rsidR="007B62FA" w:rsidRPr="006C0150" w:rsidRDefault="007B62FA" w:rsidP="006C0150">
      <w:pPr>
        <w:tabs>
          <w:tab w:val="left" w:pos="426"/>
        </w:tabs>
        <w:spacing w:before="29" w:line="288" w:lineRule="auto"/>
        <w:ind w:firstLineChars="200" w:firstLine="480"/>
        <w:rPr>
          <w:kern w:val="0"/>
          <w:sz w:val="24"/>
        </w:rPr>
      </w:pPr>
      <w:r w:rsidRPr="006C0150">
        <w:rPr>
          <w:kern w:val="0"/>
          <w:sz w:val="24"/>
        </w:rPr>
        <w:t>我们认为，上述交银施罗德全球资源基金的财务报表在所有重大方面按照企业会计准则和在财务报表附注中所列示的中国证监会、中国基金业协会发布的有关规定及允许的基金行业实务操作编制，公允反映了交银施罗德全球资源基金</w:t>
      </w:r>
      <w:r w:rsidR="006A1C10">
        <w:rPr>
          <w:kern w:val="0"/>
          <w:sz w:val="24"/>
        </w:rPr>
        <w:t>2016</w:t>
      </w:r>
      <w:r w:rsidRPr="006C0150">
        <w:rPr>
          <w:kern w:val="0"/>
          <w:sz w:val="24"/>
        </w:rPr>
        <w:t>年</w:t>
      </w:r>
      <w:r w:rsidRPr="006C0150">
        <w:rPr>
          <w:kern w:val="0"/>
          <w:sz w:val="24"/>
        </w:rPr>
        <w:t>12</w:t>
      </w:r>
      <w:r w:rsidRPr="006C0150">
        <w:rPr>
          <w:kern w:val="0"/>
          <w:sz w:val="24"/>
        </w:rPr>
        <w:t>月</w:t>
      </w:r>
      <w:r w:rsidRPr="006C0150">
        <w:rPr>
          <w:kern w:val="0"/>
          <w:sz w:val="24"/>
        </w:rPr>
        <w:t>31</w:t>
      </w:r>
      <w:r w:rsidRPr="006C0150">
        <w:rPr>
          <w:kern w:val="0"/>
          <w:sz w:val="24"/>
        </w:rPr>
        <w:t>日的财务状况以及</w:t>
      </w:r>
      <w:r w:rsidR="006A1C10">
        <w:rPr>
          <w:kern w:val="0"/>
          <w:sz w:val="24"/>
        </w:rPr>
        <w:t>2016</w:t>
      </w:r>
      <w:r w:rsidRPr="006C0150">
        <w:rPr>
          <w:kern w:val="0"/>
          <w:sz w:val="24"/>
        </w:rPr>
        <w:t>年度的经营成果和基金净值变动情况。</w:t>
      </w:r>
    </w:p>
    <w:p w:rsidR="007B62FA" w:rsidRPr="00D0372D" w:rsidRDefault="007B62FA" w:rsidP="00C03E37">
      <w:pPr>
        <w:adjustRightInd w:val="0"/>
        <w:snapToGrid w:val="0"/>
        <w:spacing w:line="360" w:lineRule="auto"/>
        <w:rPr>
          <w:rFonts w:ascii="宋体" w:hAnsi="宋体"/>
          <w:color w:val="000000"/>
          <w:szCs w:val="21"/>
        </w:rPr>
      </w:pPr>
    </w:p>
    <w:p w:rsidR="00770076" w:rsidRDefault="007B62FA" w:rsidP="00844AD1">
      <w:pPr>
        <w:tabs>
          <w:tab w:val="left" w:pos="426"/>
        </w:tabs>
        <w:wordWrap w:val="0"/>
        <w:spacing w:before="29" w:line="288" w:lineRule="auto"/>
        <w:ind w:firstLineChars="200" w:firstLine="480"/>
        <w:jc w:val="left"/>
        <w:rPr>
          <w:kern w:val="0"/>
          <w:sz w:val="24"/>
        </w:rPr>
      </w:pPr>
      <w:r w:rsidRPr="008B09A0">
        <w:rPr>
          <w:kern w:val="0"/>
          <w:sz w:val="24"/>
        </w:rPr>
        <w:t>普华永道中天会计师事务所（特殊普通合伙）</w:t>
      </w:r>
      <w:r w:rsidR="00AB16AA">
        <w:rPr>
          <w:rFonts w:hint="eastAsia"/>
          <w:kern w:val="0"/>
          <w:sz w:val="24"/>
        </w:rPr>
        <w:t xml:space="preserve">              </w:t>
      </w:r>
      <w:r w:rsidR="007539C6">
        <w:rPr>
          <w:rFonts w:hint="eastAsia"/>
          <w:kern w:val="0"/>
          <w:sz w:val="24"/>
        </w:rPr>
        <w:t xml:space="preserve">   </w:t>
      </w:r>
      <w:r w:rsidR="004A6885">
        <w:rPr>
          <w:rFonts w:hint="eastAsia"/>
          <w:kern w:val="0"/>
          <w:sz w:val="24"/>
        </w:rPr>
        <w:t xml:space="preserve"> </w:t>
      </w:r>
      <w:r w:rsidRPr="008B09A0">
        <w:rPr>
          <w:rFonts w:hint="eastAsia"/>
          <w:kern w:val="0"/>
          <w:sz w:val="24"/>
        </w:rPr>
        <w:t>中国注册会计师</w:t>
      </w:r>
    </w:p>
    <w:p w:rsidR="00326861" w:rsidRPr="008B09A0" w:rsidRDefault="00326861" w:rsidP="00326861">
      <w:pPr>
        <w:tabs>
          <w:tab w:val="left" w:pos="426"/>
        </w:tabs>
        <w:wordWrap w:val="0"/>
        <w:spacing w:before="29" w:line="288" w:lineRule="auto"/>
        <w:ind w:firstLineChars="200" w:firstLine="480"/>
        <w:jc w:val="right"/>
        <w:rPr>
          <w:kern w:val="0"/>
          <w:sz w:val="24"/>
        </w:rPr>
      </w:pPr>
      <w:r>
        <w:rPr>
          <w:rFonts w:hint="eastAsia"/>
          <w:kern w:val="0"/>
          <w:sz w:val="24"/>
        </w:rPr>
        <w:t>薛竞</w:t>
      </w:r>
      <w:r>
        <w:rPr>
          <w:rFonts w:hint="eastAsia"/>
          <w:kern w:val="0"/>
          <w:sz w:val="24"/>
        </w:rPr>
        <w:t xml:space="preserve">  </w:t>
      </w:r>
      <w:r>
        <w:rPr>
          <w:rFonts w:ascii="宋体" w:cs="宋体" w:hint="eastAsia"/>
          <w:kern w:val="0"/>
          <w:sz w:val="24"/>
        </w:rPr>
        <w:t>朱宏宇</w:t>
      </w:r>
    </w:p>
    <w:p w:rsidR="007B62FA" w:rsidRPr="008B09A0" w:rsidRDefault="007B62FA" w:rsidP="008B09A0">
      <w:pPr>
        <w:tabs>
          <w:tab w:val="left" w:pos="426"/>
        </w:tabs>
        <w:spacing w:before="29" w:line="288" w:lineRule="auto"/>
        <w:ind w:firstLineChars="200" w:firstLine="480"/>
        <w:jc w:val="right"/>
        <w:rPr>
          <w:kern w:val="0"/>
          <w:sz w:val="24"/>
        </w:rPr>
      </w:pPr>
      <w:r w:rsidRPr="008B09A0">
        <w:rPr>
          <w:kern w:val="0"/>
          <w:sz w:val="24"/>
        </w:rPr>
        <w:t>上海市湖滨路</w:t>
      </w:r>
      <w:r w:rsidRPr="008B09A0">
        <w:rPr>
          <w:kern w:val="0"/>
          <w:sz w:val="24"/>
        </w:rPr>
        <w:t>202</w:t>
      </w:r>
      <w:r w:rsidRPr="008B09A0">
        <w:rPr>
          <w:kern w:val="0"/>
          <w:sz w:val="24"/>
        </w:rPr>
        <w:t>号普华永道中心</w:t>
      </w:r>
      <w:r w:rsidRPr="008B09A0">
        <w:rPr>
          <w:kern w:val="0"/>
          <w:sz w:val="24"/>
        </w:rPr>
        <w:t>11</w:t>
      </w:r>
      <w:r w:rsidRPr="008B09A0">
        <w:rPr>
          <w:kern w:val="0"/>
          <w:sz w:val="24"/>
        </w:rPr>
        <w:t>楼</w:t>
      </w:r>
    </w:p>
    <w:p w:rsidR="007B62FA" w:rsidRDefault="007B62FA" w:rsidP="008B09A0">
      <w:pPr>
        <w:tabs>
          <w:tab w:val="left" w:pos="426"/>
        </w:tabs>
        <w:spacing w:before="29" w:line="288" w:lineRule="auto"/>
        <w:ind w:firstLineChars="200" w:firstLine="480"/>
        <w:jc w:val="right"/>
        <w:rPr>
          <w:kern w:val="0"/>
          <w:sz w:val="24"/>
        </w:rPr>
      </w:pPr>
      <w:r w:rsidRPr="008B09A0">
        <w:rPr>
          <w:kern w:val="0"/>
          <w:sz w:val="24"/>
        </w:rPr>
        <w:t>201</w:t>
      </w:r>
      <w:r w:rsidR="006A1C10">
        <w:rPr>
          <w:rFonts w:hint="eastAsia"/>
          <w:kern w:val="0"/>
          <w:sz w:val="24"/>
        </w:rPr>
        <w:t>7</w:t>
      </w:r>
      <w:r w:rsidRPr="008B09A0">
        <w:rPr>
          <w:kern w:val="0"/>
          <w:sz w:val="24"/>
        </w:rPr>
        <w:t>年</w:t>
      </w:r>
      <w:r w:rsidRPr="008B09A0">
        <w:rPr>
          <w:kern w:val="0"/>
          <w:sz w:val="24"/>
        </w:rPr>
        <w:t>3</w:t>
      </w:r>
      <w:r w:rsidRPr="008B09A0">
        <w:rPr>
          <w:kern w:val="0"/>
          <w:sz w:val="24"/>
        </w:rPr>
        <w:t>月</w:t>
      </w:r>
      <w:r w:rsidRPr="008B09A0">
        <w:rPr>
          <w:kern w:val="0"/>
          <w:sz w:val="24"/>
        </w:rPr>
        <w:t>2</w:t>
      </w:r>
      <w:r w:rsidR="006A1C10">
        <w:rPr>
          <w:rFonts w:hint="eastAsia"/>
          <w:kern w:val="0"/>
          <w:sz w:val="24"/>
        </w:rPr>
        <w:t>4</w:t>
      </w:r>
      <w:r w:rsidRPr="008B09A0">
        <w:rPr>
          <w:kern w:val="0"/>
          <w:sz w:val="24"/>
        </w:rPr>
        <w:t>日</w:t>
      </w:r>
    </w:p>
    <w:p w:rsidR="00220963" w:rsidRPr="008B09A0" w:rsidRDefault="00220963" w:rsidP="008B09A0">
      <w:pPr>
        <w:tabs>
          <w:tab w:val="left" w:pos="426"/>
        </w:tabs>
        <w:spacing w:before="29" w:line="288" w:lineRule="auto"/>
        <w:ind w:firstLineChars="200" w:firstLine="480"/>
        <w:jc w:val="right"/>
        <w:rPr>
          <w:kern w:val="0"/>
          <w:sz w:val="24"/>
        </w:rPr>
      </w:pPr>
    </w:p>
    <w:p w:rsidR="007B62FA" w:rsidRDefault="007B62FA" w:rsidP="000C7A13">
      <w:pPr>
        <w:pStyle w:val="1"/>
        <w:keepNext/>
        <w:keepLines/>
        <w:widowControl w:val="0"/>
        <w:spacing w:beforeLines="100" w:before="312" w:afterLines="100" w:after="312" w:line="288" w:lineRule="auto"/>
        <w:jc w:val="center"/>
        <w:rPr>
          <w:b/>
          <w:bCs/>
          <w:szCs w:val="24"/>
          <w:lang w:val="en-US"/>
        </w:rPr>
      </w:pPr>
      <w:bookmarkStart w:id="220" w:name="_Toc352255990"/>
      <w:bookmarkStart w:id="221" w:name="_Toc352256058"/>
      <w:bookmarkStart w:id="222" w:name="_Toc352331236"/>
      <w:bookmarkStart w:id="223" w:name="_Toc362424014"/>
      <w:bookmarkStart w:id="224" w:name="_Toc478411411"/>
      <w:r w:rsidRPr="008649BF">
        <w:rPr>
          <w:rFonts w:hint="eastAsia"/>
          <w:b/>
          <w:bCs/>
          <w:szCs w:val="24"/>
          <w:lang w:val="en-US"/>
        </w:rPr>
        <w:t>§</w:t>
      </w:r>
      <w:r w:rsidRPr="008649BF">
        <w:rPr>
          <w:b/>
          <w:bCs/>
          <w:szCs w:val="24"/>
          <w:lang w:val="en-US"/>
        </w:rPr>
        <w:t>7</w:t>
      </w:r>
      <w:r w:rsidR="001822F7" w:rsidRPr="008649BF">
        <w:rPr>
          <w:rFonts w:hint="eastAsia"/>
          <w:b/>
          <w:bCs/>
          <w:szCs w:val="24"/>
          <w:lang w:val="en-US"/>
        </w:rPr>
        <w:t xml:space="preserve"> </w:t>
      </w:r>
      <w:r w:rsidR="003E5E48" w:rsidRPr="008649BF">
        <w:rPr>
          <w:rFonts w:hint="eastAsia"/>
          <w:b/>
          <w:bCs/>
          <w:szCs w:val="24"/>
          <w:lang w:val="en-US"/>
        </w:rPr>
        <w:t xml:space="preserve"> </w:t>
      </w:r>
      <w:r w:rsidRPr="008649BF">
        <w:rPr>
          <w:rFonts w:hint="eastAsia"/>
          <w:b/>
          <w:bCs/>
          <w:szCs w:val="24"/>
          <w:lang w:val="en-US"/>
        </w:rPr>
        <w:t>年度财务报表</w:t>
      </w:r>
      <w:bookmarkEnd w:id="220"/>
      <w:bookmarkEnd w:id="221"/>
      <w:bookmarkEnd w:id="222"/>
      <w:bookmarkEnd w:id="223"/>
      <w:bookmarkEnd w:id="224"/>
    </w:p>
    <w:p w:rsidR="00FC649E" w:rsidRPr="00FC649E" w:rsidRDefault="00FC649E" w:rsidP="00FC649E"/>
    <w:p w:rsidR="007B62FA" w:rsidRPr="00AE537D" w:rsidRDefault="007B62FA" w:rsidP="00AE537D">
      <w:pPr>
        <w:pStyle w:val="20"/>
        <w:spacing w:before="29" w:after="0" w:line="288" w:lineRule="auto"/>
        <w:rPr>
          <w:rFonts w:ascii="Times New Roman" w:hAnsi="Times New Roman"/>
          <w:kern w:val="0"/>
          <w:szCs w:val="24"/>
        </w:rPr>
      </w:pPr>
      <w:bookmarkStart w:id="225" w:name="_Toc225498268"/>
      <w:bookmarkStart w:id="226" w:name="_Toc352255991"/>
      <w:bookmarkStart w:id="227" w:name="_Toc352256059"/>
      <w:bookmarkStart w:id="228" w:name="_Toc352331237"/>
      <w:bookmarkStart w:id="229" w:name="_Toc362424015"/>
      <w:bookmarkStart w:id="230" w:name="_Toc478411412"/>
      <w:r w:rsidRPr="00AE537D">
        <w:rPr>
          <w:rFonts w:ascii="Times New Roman" w:hAnsi="Times New Roman"/>
          <w:kern w:val="0"/>
          <w:szCs w:val="24"/>
        </w:rPr>
        <w:t xml:space="preserve">7.1 </w:t>
      </w:r>
      <w:r w:rsidRPr="00AE537D">
        <w:rPr>
          <w:rFonts w:ascii="Times New Roman" w:hAnsi="Times New Roman" w:hint="eastAsia"/>
          <w:kern w:val="0"/>
          <w:szCs w:val="24"/>
        </w:rPr>
        <w:t>资产负债表</w:t>
      </w:r>
      <w:bookmarkEnd w:id="225"/>
      <w:bookmarkEnd w:id="226"/>
      <w:bookmarkEnd w:id="227"/>
      <w:bookmarkEnd w:id="228"/>
      <w:bookmarkEnd w:id="229"/>
      <w:bookmarkEnd w:id="230"/>
    </w:p>
    <w:p w:rsidR="007B62FA" w:rsidRPr="008649BF" w:rsidRDefault="007B62FA" w:rsidP="008649BF">
      <w:pPr>
        <w:spacing w:before="29" w:line="288" w:lineRule="auto"/>
        <w:rPr>
          <w:color w:val="000000"/>
          <w:sz w:val="24"/>
        </w:rPr>
      </w:pPr>
      <w:r w:rsidRPr="008649BF">
        <w:rPr>
          <w:rFonts w:hint="eastAsia"/>
          <w:color w:val="000000"/>
          <w:sz w:val="24"/>
        </w:rPr>
        <w:t>会计主体：</w:t>
      </w:r>
      <w:r w:rsidRPr="008649BF">
        <w:rPr>
          <w:color w:val="000000"/>
          <w:sz w:val="24"/>
        </w:rPr>
        <w:t>交银施罗德全球自然资源证券投资基金</w:t>
      </w:r>
    </w:p>
    <w:p w:rsidR="007B62FA" w:rsidRPr="008649BF" w:rsidRDefault="007B62FA" w:rsidP="008649BF">
      <w:pPr>
        <w:spacing w:before="29" w:line="288" w:lineRule="auto"/>
        <w:rPr>
          <w:color w:val="000000"/>
          <w:sz w:val="24"/>
        </w:rPr>
      </w:pPr>
      <w:r w:rsidRPr="008649BF">
        <w:rPr>
          <w:rFonts w:hint="eastAsia"/>
          <w:color w:val="000000"/>
          <w:sz w:val="24"/>
        </w:rPr>
        <w:t>报告截止日：</w:t>
      </w:r>
      <w:r w:rsidR="00ED2997" w:rsidRPr="008649BF">
        <w:rPr>
          <w:color w:val="000000"/>
          <w:sz w:val="24"/>
        </w:rPr>
        <w:t>2016</w:t>
      </w:r>
      <w:r w:rsidR="00ED2997" w:rsidRPr="008649BF">
        <w:rPr>
          <w:color w:val="000000"/>
          <w:sz w:val="24"/>
        </w:rPr>
        <w:t>年</w:t>
      </w:r>
      <w:r w:rsidR="00ED2997" w:rsidRPr="008649BF">
        <w:rPr>
          <w:color w:val="000000"/>
          <w:sz w:val="24"/>
        </w:rPr>
        <w:t>12</w:t>
      </w:r>
      <w:r w:rsidR="00ED2997" w:rsidRPr="008649BF">
        <w:rPr>
          <w:color w:val="000000"/>
          <w:sz w:val="24"/>
        </w:rPr>
        <w:t>月</w:t>
      </w:r>
      <w:r w:rsidR="00ED2997" w:rsidRPr="008649BF">
        <w:rPr>
          <w:color w:val="000000"/>
          <w:sz w:val="24"/>
        </w:rPr>
        <w:t>31</w:t>
      </w:r>
      <w:r w:rsidR="00ED2997" w:rsidRPr="008649BF">
        <w:rPr>
          <w:color w:val="000000"/>
          <w:sz w:val="24"/>
        </w:rPr>
        <w:t>日</w:t>
      </w:r>
    </w:p>
    <w:p w:rsidR="007B62FA" w:rsidRPr="008649BF" w:rsidRDefault="007B62FA" w:rsidP="008649BF">
      <w:pPr>
        <w:autoSpaceDE w:val="0"/>
        <w:autoSpaceDN w:val="0"/>
        <w:adjustRightInd w:val="0"/>
        <w:spacing w:before="29" w:line="288" w:lineRule="auto"/>
        <w:ind w:left="15"/>
        <w:jc w:val="right"/>
        <w:rPr>
          <w:color w:val="000000"/>
          <w:kern w:val="0"/>
          <w:sz w:val="24"/>
        </w:rPr>
      </w:pPr>
      <w:r w:rsidRPr="008649BF">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992"/>
        <w:gridCol w:w="2781"/>
        <w:gridCol w:w="2250"/>
      </w:tblGrid>
      <w:tr w:rsidR="007B62FA" w:rsidRPr="00D0372D" w:rsidTr="00E255F2">
        <w:tc>
          <w:tcPr>
            <w:tcW w:w="2977" w:type="dxa"/>
            <w:vAlign w:val="center"/>
          </w:tcPr>
          <w:p w:rsidR="007B62FA" w:rsidRPr="00991A59" w:rsidRDefault="007B62FA" w:rsidP="00991A59">
            <w:pPr>
              <w:pStyle w:val="af6"/>
              <w:spacing w:before="29" w:beforeAutospacing="0" w:line="288" w:lineRule="auto"/>
              <w:jc w:val="center"/>
              <w:rPr>
                <w:rFonts w:ascii="Times New Roman" w:hAnsi="Times New Roman"/>
                <w:b/>
                <w:color w:val="000000"/>
              </w:rPr>
            </w:pPr>
            <w:r w:rsidRPr="00991A59">
              <w:rPr>
                <w:rFonts w:ascii="Times New Roman" w:hAnsi="Times New Roman" w:hint="eastAsia"/>
                <w:b/>
                <w:color w:val="000000"/>
              </w:rPr>
              <w:t>资产</w:t>
            </w:r>
          </w:p>
        </w:tc>
        <w:tc>
          <w:tcPr>
            <w:tcW w:w="992" w:type="dxa"/>
            <w:vAlign w:val="center"/>
          </w:tcPr>
          <w:p w:rsidR="007B62FA" w:rsidRPr="00991A59" w:rsidRDefault="007B62FA" w:rsidP="00417F87">
            <w:pPr>
              <w:pStyle w:val="af6"/>
              <w:spacing w:line="360" w:lineRule="auto"/>
              <w:jc w:val="center"/>
              <w:rPr>
                <w:rFonts w:ascii="Times New Roman" w:hAnsi="Times New Roman"/>
                <w:b/>
                <w:color w:val="000000"/>
              </w:rPr>
            </w:pPr>
            <w:r w:rsidRPr="00991A59">
              <w:rPr>
                <w:rFonts w:ascii="Times New Roman" w:hAnsi="Times New Roman" w:hint="eastAsia"/>
                <w:b/>
                <w:color w:val="000000"/>
              </w:rPr>
              <w:t>附注号</w:t>
            </w:r>
          </w:p>
        </w:tc>
        <w:tc>
          <w:tcPr>
            <w:tcW w:w="2781" w:type="dxa"/>
            <w:vAlign w:val="center"/>
          </w:tcPr>
          <w:p w:rsidR="007B62FA" w:rsidRPr="00991A59" w:rsidRDefault="007B62FA"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hint="eastAsia"/>
                <w:b/>
                <w:color w:val="000000"/>
              </w:rPr>
              <w:t>本期末</w:t>
            </w:r>
          </w:p>
          <w:p w:rsidR="007B62FA" w:rsidRPr="00991A59" w:rsidRDefault="00ED2997"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b/>
                <w:color w:val="000000"/>
              </w:rPr>
              <w:t>2016</w:t>
            </w:r>
            <w:r w:rsidRPr="00991A59">
              <w:rPr>
                <w:rFonts w:ascii="Times New Roman" w:hAnsi="Times New Roman"/>
                <w:b/>
                <w:color w:val="000000"/>
              </w:rPr>
              <w:t>年</w:t>
            </w:r>
            <w:r w:rsidRPr="00991A59">
              <w:rPr>
                <w:rFonts w:ascii="Times New Roman" w:hAnsi="Times New Roman"/>
                <w:b/>
                <w:color w:val="000000"/>
              </w:rPr>
              <w:t>12</w:t>
            </w:r>
            <w:r w:rsidRPr="00991A59">
              <w:rPr>
                <w:rFonts w:ascii="Times New Roman" w:hAnsi="Times New Roman"/>
                <w:b/>
                <w:color w:val="000000"/>
              </w:rPr>
              <w:t>月</w:t>
            </w:r>
            <w:r w:rsidRPr="00991A59">
              <w:rPr>
                <w:rFonts w:ascii="Times New Roman" w:hAnsi="Times New Roman"/>
                <w:b/>
                <w:color w:val="000000"/>
              </w:rPr>
              <w:t>31</w:t>
            </w:r>
            <w:r w:rsidRPr="00991A59">
              <w:rPr>
                <w:rFonts w:ascii="Times New Roman" w:hAnsi="Times New Roman"/>
                <w:b/>
                <w:color w:val="000000"/>
              </w:rPr>
              <w:t>日</w:t>
            </w:r>
          </w:p>
        </w:tc>
        <w:tc>
          <w:tcPr>
            <w:tcW w:w="2250" w:type="dxa"/>
            <w:vAlign w:val="center"/>
          </w:tcPr>
          <w:p w:rsidR="007B62FA" w:rsidRPr="00991A59" w:rsidRDefault="007B62FA"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hint="eastAsia"/>
                <w:b/>
                <w:color w:val="000000"/>
              </w:rPr>
              <w:t>上年度末</w:t>
            </w:r>
          </w:p>
          <w:p w:rsidR="007B62FA" w:rsidRPr="00991A59" w:rsidRDefault="00ED2997" w:rsidP="00361EF8">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b/>
                <w:color w:val="000000"/>
              </w:rPr>
              <w:t>2015</w:t>
            </w:r>
            <w:r w:rsidRPr="00991A59">
              <w:rPr>
                <w:rFonts w:ascii="Times New Roman" w:hAnsi="Times New Roman"/>
                <w:b/>
                <w:color w:val="000000"/>
              </w:rPr>
              <w:t>年</w:t>
            </w:r>
            <w:r w:rsidRPr="00991A59">
              <w:rPr>
                <w:rFonts w:ascii="Times New Roman" w:hAnsi="Times New Roman"/>
                <w:b/>
                <w:color w:val="000000"/>
              </w:rPr>
              <w:t>12</w:t>
            </w:r>
            <w:r w:rsidRPr="00991A59">
              <w:rPr>
                <w:rFonts w:ascii="Times New Roman" w:hAnsi="Times New Roman"/>
                <w:b/>
                <w:color w:val="000000"/>
              </w:rPr>
              <w:t>月</w:t>
            </w:r>
            <w:r w:rsidRPr="00991A59">
              <w:rPr>
                <w:rFonts w:ascii="Times New Roman" w:hAnsi="Times New Roman"/>
                <w:b/>
                <w:color w:val="000000"/>
              </w:rPr>
              <w:t>31</w:t>
            </w:r>
            <w:r w:rsidRPr="00991A59">
              <w:rPr>
                <w:rFonts w:ascii="Times New Roman" w:hAnsi="Times New Roman"/>
                <w:b/>
                <w:color w:val="000000"/>
              </w:rPr>
              <w:t>日</w:t>
            </w:r>
          </w:p>
        </w:tc>
      </w:tr>
      <w:tr w:rsidR="00733844" w:rsidRPr="00D0372D" w:rsidTr="00E255F2">
        <w:tc>
          <w:tcPr>
            <w:tcW w:w="2977" w:type="dxa"/>
            <w:vAlign w:val="center"/>
          </w:tcPr>
          <w:p w:rsidR="00733844" w:rsidRPr="00D0372D" w:rsidRDefault="00733844" w:rsidP="00991A59">
            <w:pPr>
              <w:spacing w:before="29" w:line="288" w:lineRule="auto"/>
              <w:rPr>
                <w:rFonts w:ascii="宋体" w:hAnsi="宋体"/>
                <w:b/>
                <w:color w:val="000000"/>
                <w:szCs w:val="21"/>
              </w:rPr>
            </w:pPr>
            <w:r w:rsidRPr="00991A59">
              <w:rPr>
                <w:rFonts w:hint="eastAsia"/>
                <w:b/>
                <w:color w:val="000000"/>
                <w:sz w:val="24"/>
              </w:rPr>
              <w:t>资产：</w:t>
            </w:r>
          </w:p>
        </w:tc>
        <w:tc>
          <w:tcPr>
            <w:tcW w:w="992" w:type="dxa"/>
            <w:vAlign w:val="center"/>
          </w:tcPr>
          <w:p w:rsidR="00733844" w:rsidRPr="00F21D28" w:rsidRDefault="00733844" w:rsidP="00520AAE">
            <w:pPr>
              <w:widowControl/>
              <w:autoSpaceDE w:val="0"/>
              <w:autoSpaceDN w:val="0"/>
              <w:ind w:right="-15"/>
              <w:jc w:val="center"/>
              <w:textAlignment w:val="bottom"/>
              <w:rPr>
                <w:color w:val="000000"/>
                <w:sz w:val="24"/>
              </w:rPr>
            </w:pPr>
          </w:p>
        </w:tc>
        <w:tc>
          <w:tcPr>
            <w:tcW w:w="2781" w:type="dxa"/>
            <w:vAlign w:val="center"/>
          </w:tcPr>
          <w:p w:rsidR="00733844" w:rsidRPr="00FA6B9A" w:rsidRDefault="00733844" w:rsidP="00FA6B9A">
            <w:pPr>
              <w:spacing w:before="29" w:line="288" w:lineRule="auto"/>
              <w:jc w:val="right"/>
              <w:rPr>
                <w:b/>
                <w:color w:val="000000"/>
                <w:sz w:val="24"/>
              </w:rPr>
            </w:pPr>
            <w:r w:rsidRPr="00FA6B9A">
              <w:rPr>
                <w:b/>
                <w:color w:val="000000"/>
                <w:sz w:val="24"/>
              </w:rPr>
              <w:t>-</w:t>
            </w:r>
          </w:p>
        </w:tc>
        <w:tc>
          <w:tcPr>
            <w:tcW w:w="2250" w:type="dxa"/>
            <w:vAlign w:val="center"/>
          </w:tcPr>
          <w:p w:rsidR="00733844" w:rsidRPr="00FA6B9A" w:rsidRDefault="00733844" w:rsidP="00FA6B9A">
            <w:pPr>
              <w:spacing w:before="29" w:line="288" w:lineRule="auto"/>
              <w:jc w:val="right"/>
              <w:rPr>
                <w:b/>
                <w:color w:val="000000"/>
                <w:sz w:val="24"/>
              </w:rPr>
            </w:pPr>
            <w:r w:rsidRPr="00FA6B9A">
              <w:rPr>
                <w:b/>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银行存款</w:t>
            </w:r>
          </w:p>
        </w:tc>
        <w:tc>
          <w:tcPr>
            <w:tcW w:w="992" w:type="dxa"/>
            <w:vAlign w:val="center"/>
          </w:tcPr>
          <w:p w:rsidR="00733844" w:rsidRPr="00F21D28" w:rsidRDefault="00733844" w:rsidP="00520AAE">
            <w:pPr>
              <w:widowControl/>
              <w:autoSpaceDE w:val="0"/>
              <w:autoSpaceDN w:val="0"/>
              <w:ind w:right="-15"/>
              <w:jc w:val="center"/>
              <w:textAlignment w:val="bottom"/>
              <w:rPr>
                <w:color w:val="000000"/>
                <w:sz w:val="24"/>
              </w:rPr>
            </w:pPr>
            <w:r w:rsidRPr="00F21D28">
              <w:rPr>
                <w:rFonts w:hint="eastAsia"/>
                <w:color w:val="000000"/>
                <w:sz w:val="24"/>
              </w:rPr>
              <w:t>7.4.7.1</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13,228,900.55</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8,583,652.24</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lastRenderedPageBreak/>
              <w:t>结算备付金</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存出保证金</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交易性金融资产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7.4.7.2</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26,641,411.59</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22,007,259.12</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其中：股票投资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26,641,411.59</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22,007,259.12</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基金投资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债券投资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资产支持证券投资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贵金属投资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rFonts w:hint="eastAsia"/>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rFonts w:hint="eastAsia"/>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衍生金融资产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7.4.7.3</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买入返售金融资产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7.4.7.4</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应收证券清算款</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应收利息</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7.4.7.5</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330.67</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1,440.19</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应收股利</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应收申购款</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31,061.05</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395.25</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递延所得税资产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其他资产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7.4.7.6</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CB6D13" w:rsidRDefault="00733844" w:rsidP="00991A59">
            <w:pPr>
              <w:spacing w:before="29" w:line="288" w:lineRule="auto"/>
              <w:rPr>
                <w:rFonts w:ascii="宋体" w:hAnsi="宋体"/>
                <w:color w:val="000000"/>
                <w:szCs w:val="21"/>
              </w:rPr>
            </w:pPr>
            <w:r w:rsidRPr="00CB6D13">
              <w:rPr>
                <w:rFonts w:hint="eastAsia"/>
                <w:color w:val="000000"/>
                <w:sz w:val="24"/>
              </w:rPr>
              <w:t>资产总计</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CB6D13" w:rsidRDefault="00733844" w:rsidP="00FA6B9A">
            <w:pPr>
              <w:spacing w:before="29" w:line="288" w:lineRule="auto"/>
              <w:jc w:val="right"/>
              <w:rPr>
                <w:color w:val="000000"/>
                <w:sz w:val="24"/>
              </w:rPr>
            </w:pPr>
            <w:r w:rsidRPr="00CB6D13">
              <w:rPr>
                <w:color w:val="000000"/>
                <w:sz w:val="24"/>
              </w:rPr>
              <w:t>39,901,703.86</w:t>
            </w:r>
          </w:p>
        </w:tc>
        <w:tc>
          <w:tcPr>
            <w:tcW w:w="2250" w:type="dxa"/>
            <w:vAlign w:val="center"/>
          </w:tcPr>
          <w:p w:rsidR="00733844" w:rsidRPr="00CB6D13" w:rsidRDefault="00733844" w:rsidP="00FA6B9A">
            <w:pPr>
              <w:spacing w:before="29" w:line="288" w:lineRule="auto"/>
              <w:jc w:val="right"/>
              <w:rPr>
                <w:color w:val="000000"/>
                <w:sz w:val="24"/>
              </w:rPr>
            </w:pPr>
            <w:r w:rsidRPr="00CB6D13">
              <w:rPr>
                <w:color w:val="000000"/>
                <w:sz w:val="24"/>
              </w:rPr>
              <w:t>30,592,746.80</w:t>
            </w:r>
          </w:p>
        </w:tc>
      </w:tr>
      <w:tr w:rsidR="007B62FA" w:rsidRPr="00FC2B25" w:rsidTr="00415F6B">
        <w:tc>
          <w:tcPr>
            <w:tcW w:w="2977" w:type="dxa"/>
            <w:vAlign w:val="center"/>
          </w:tcPr>
          <w:p w:rsidR="007B62FA" w:rsidRPr="00FC2B25" w:rsidRDefault="007B62FA" w:rsidP="00FC2B25">
            <w:pPr>
              <w:pStyle w:val="af6"/>
              <w:spacing w:before="29" w:beforeAutospacing="0" w:line="288" w:lineRule="auto"/>
              <w:jc w:val="center"/>
              <w:rPr>
                <w:rFonts w:ascii="Times New Roman" w:hAnsi="Times New Roman"/>
                <w:b/>
                <w:color w:val="000000"/>
              </w:rPr>
            </w:pPr>
            <w:r w:rsidRPr="00FC2B25">
              <w:rPr>
                <w:rFonts w:ascii="Times New Roman" w:hAnsi="Times New Roman" w:hint="eastAsia"/>
                <w:b/>
                <w:color w:val="000000"/>
              </w:rPr>
              <w:t>负债和所有者权益</w:t>
            </w:r>
          </w:p>
        </w:tc>
        <w:tc>
          <w:tcPr>
            <w:tcW w:w="992" w:type="dxa"/>
            <w:vAlign w:val="center"/>
          </w:tcPr>
          <w:p w:rsidR="007B62FA" w:rsidRPr="00FC2B25" w:rsidRDefault="007B62FA" w:rsidP="00FC2B25">
            <w:pPr>
              <w:pStyle w:val="af6"/>
              <w:spacing w:before="29" w:beforeAutospacing="0" w:line="288" w:lineRule="auto"/>
              <w:jc w:val="center"/>
              <w:rPr>
                <w:rFonts w:ascii="Times New Roman" w:hAnsi="Times New Roman"/>
                <w:b/>
                <w:color w:val="000000"/>
              </w:rPr>
            </w:pPr>
            <w:r w:rsidRPr="00FC2B25">
              <w:rPr>
                <w:rFonts w:ascii="Times New Roman" w:hAnsi="Times New Roman" w:hint="eastAsia"/>
                <w:b/>
                <w:color w:val="000000"/>
              </w:rPr>
              <w:t>附注号</w:t>
            </w:r>
          </w:p>
        </w:tc>
        <w:tc>
          <w:tcPr>
            <w:tcW w:w="2781" w:type="dxa"/>
            <w:vAlign w:val="center"/>
          </w:tcPr>
          <w:p w:rsidR="007B62FA" w:rsidRPr="00FC2B25" w:rsidRDefault="007B62FA"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hint="eastAsia"/>
                <w:b/>
                <w:color w:val="000000"/>
              </w:rPr>
              <w:t>本期末</w:t>
            </w:r>
          </w:p>
          <w:p w:rsidR="007B62FA" w:rsidRPr="00FC2B25" w:rsidRDefault="00ED2997"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b/>
                <w:color w:val="000000"/>
              </w:rPr>
              <w:t>2016</w:t>
            </w:r>
            <w:r w:rsidRPr="00FC2B25">
              <w:rPr>
                <w:rFonts w:ascii="Times New Roman" w:hAnsi="Times New Roman"/>
                <w:b/>
                <w:color w:val="000000"/>
              </w:rPr>
              <w:t>年</w:t>
            </w:r>
            <w:r w:rsidRPr="00FC2B25">
              <w:rPr>
                <w:rFonts w:ascii="Times New Roman" w:hAnsi="Times New Roman"/>
                <w:b/>
                <w:color w:val="000000"/>
              </w:rPr>
              <w:t>12</w:t>
            </w:r>
            <w:r w:rsidRPr="00FC2B25">
              <w:rPr>
                <w:rFonts w:ascii="Times New Roman" w:hAnsi="Times New Roman"/>
                <w:b/>
                <w:color w:val="000000"/>
              </w:rPr>
              <w:t>月</w:t>
            </w:r>
            <w:r w:rsidRPr="00FC2B25">
              <w:rPr>
                <w:rFonts w:ascii="Times New Roman" w:hAnsi="Times New Roman"/>
                <w:b/>
                <w:color w:val="000000"/>
              </w:rPr>
              <w:t>31</w:t>
            </w:r>
            <w:r w:rsidRPr="00FC2B25">
              <w:rPr>
                <w:rFonts w:ascii="Times New Roman" w:hAnsi="Times New Roman"/>
                <w:b/>
                <w:color w:val="000000"/>
              </w:rPr>
              <w:t>日</w:t>
            </w:r>
          </w:p>
        </w:tc>
        <w:tc>
          <w:tcPr>
            <w:tcW w:w="2250" w:type="dxa"/>
            <w:vAlign w:val="center"/>
          </w:tcPr>
          <w:p w:rsidR="007B62FA" w:rsidRPr="00FC2B25" w:rsidRDefault="007B62FA"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hint="eastAsia"/>
                <w:b/>
                <w:color w:val="000000"/>
              </w:rPr>
              <w:t>上年度末</w:t>
            </w:r>
          </w:p>
          <w:p w:rsidR="007B62FA" w:rsidRPr="00FC2B25" w:rsidRDefault="00264252"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b/>
                <w:color w:val="000000"/>
              </w:rPr>
              <w:t>2015</w:t>
            </w:r>
            <w:r w:rsidRPr="00FC2B25">
              <w:rPr>
                <w:rFonts w:ascii="Times New Roman" w:hAnsi="Times New Roman"/>
                <w:b/>
                <w:color w:val="000000"/>
              </w:rPr>
              <w:t>年</w:t>
            </w:r>
            <w:r w:rsidRPr="00FC2B25">
              <w:rPr>
                <w:rFonts w:ascii="Times New Roman" w:hAnsi="Times New Roman"/>
                <w:b/>
                <w:color w:val="000000"/>
              </w:rPr>
              <w:t>12</w:t>
            </w:r>
            <w:r w:rsidRPr="00FC2B25">
              <w:rPr>
                <w:rFonts w:ascii="Times New Roman" w:hAnsi="Times New Roman"/>
                <w:b/>
                <w:color w:val="000000"/>
              </w:rPr>
              <w:t>月</w:t>
            </w:r>
            <w:r w:rsidRPr="00FC2B25">
              <w:rPr>
                <w:rFonts w:ascii="Times New Roman" w:hAnsi="Times New Roman"/>
                <w:b/>
                <w:color w:val="000000"/>
              </w:rPr>
              <w:t>31</w:t>
            </w:r>
            <w:r w:rsidRPr="00FC2B25">
              <w:rPr>
                <w:rFonts w:ascii="Times New Roman" w:hAnsi="Times New Roman"/>
                <w:b/>
                <w:color w:val="000000"/>
              </w:rPr>
              <w:t>日</w:t>
            </w:r>
          </w:p>
        </w:tc>
      </w:tr>
      <w:tr w:rsidR="00136545" w:rsidRPr="00D0372D" w:rsidTr="00415F6B">
        <w:tc>
          <w:tcPr>
            <w:tcW w:w="2977" w:type="dxa"/>
            <w:vAlign w:val="center"/>
          </w:tcPr>
          <w:p w:rsidR="00136545" w:rsidRPr="00D0372D" w:rsidRDefault="00136545" w:rsidP="00991A59">
            <w:pPr>
              <w:spacing w:before="29" w:line="288" w:lineRule="auto"/>
              <w:rPr>
                <w:rFonts w:ascii="宋体" w:hAnsi="宋体"/>
                <w:b/>
                <w:color w:val="000000"/>
                <w:szCs w:val="21"/>
              </w:rPr>
            </w:pPr>
            <w:r w:rsidRPr="00991A59">
              <w:rPr>
                <w:rFonts w:hint="eastAsia"/>
                <w:b/>
                <w:color w:val="000000"/>
                <w:sz w:val="24"/>
              </w:rPr>
              <w:t>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FA6B9A" w:rsidRDefault="00136545" w:rsidP="00FA6B9A">
            <w:pPr>
              <w:spacing w:before="29" w:line="288" w:lineRule="auto"/>
              <w:jc w:val="right"/>
              <w:rPr>
                <w:b/>
                <w:color w:val="000000"/>
                <w:sz w:val="24"/>
              </w:rPr>
            </w:pPr>
            <w:r w:rsidRPr="00FA6B9A">
              <w:rPr>
                <w:b/>
                <w:color w:val="000000"/>
                <w:sz w:val="24"/>
              </w:rPr>
              <w:t>-</w:t>
            </w:r>
          </w:p>
        </w:tc>
        <w:tc>
          <w:tcPr>
            <w:tcW w:w="2250" w:type="dxa"/>
            <w:vAlign w:val="center"/>
          </w:tcPr>
          <w:p w:rsidR="00136545" w:rsidRPr="00FA6B9A" w:rsidRDefault="00136545" w:rsidP="00FA6B9A">
            <w:pPr>
              <w:spacing w:before="29" w:line="288" w:lineRule="auto"/>
              <w:jc w:val="right"/>
              <w:rPr>
                <w:b/>
                <w:color w:val="000000"/>
                <w:sz w:val="24"/>
              </w:rPr>
            </w:pPr>
            <w:r w:rsidRPr="00FA6B9A">
              <w:rPr>
                <w:b/>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短期借款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交易性金融负债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衍生金融负债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7.4.7.3</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卖出回购金融资产款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应付证券清算款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w:t>
            </w:r>
            <w:proofErr w:type="gramStart"/>
            <w:r w:rsidRPr="007F1025">
              <w:rPr>
                <w:rFonts w:hint="eastAsia"/>
                <w:color w:val="000000"/>
                <w:sz w:val="24"/>
              </w:rPr>
              <w:t>赎回款</w:t>
            </w:r>
            <w:proofErr w:type="gramEnd"/>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452,123.99</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52,884.64</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应付管理人报酬</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60,615.51</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46,030.30</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应付托管费</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11,786.33</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8,950.34</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应付销售服务费</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应付交易费用</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7.4.7.7</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应交税费</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应付利息</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应付利润</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递延所得税负债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lastRenderedPageBreak/>
              <w:t>其他负债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7.4.7.8</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41,292.44</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40,173.86</w:t>
            </w:r>
          </w:p>
        </w:tc>
      </w:tr>
      <w:tr w:rsidR="00136545" w:rsidRPr="00D0372D" w:rsidTr="00415F6B">
        <w:tc>
          <w:tcPr>
            <w:tcW w:w="2977" w:type="dxa"/>
            <w:vAlign w:val="center"/>
          </w:tcPr>
          <w:p w:rsidR="00136545" w:rsidRPr="00240616" w:rsidRDefault="00136545" w:rsidP="00991A59">
            <w:pPr>
              <w:spacing w:before="29" w:line="288" w:lineRule="auto"/>
              <w:rPr>
                <w:color w:val="000000"/>
                <w:sz w:val="24"/>
              </w:rPr>
            </w:pPr>
            <w:r w:rsidRPr="00240616">
              <w:rPr>
                <w:rFonts w:hint="eastAsia"/>
                <w:color w:val="000000"/>
                <w:sz w:val="24"/>
              </w:rPr>
              <w:t>负债合计</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240616" w:rsidRDefault="00136545" w:rsidP="00FA6B9A">
            <w:pPr>
              <w:spacing w:before="29" w:line="288" w:lineRule="auto"/>
              <w:jc w:val="right"/>
              <w:rPr>
                <w:color w:val="000000"/>
                <w:sz w:val="24"/>
              </w:rPr>
            </w:pPr>
            <w:r w:rsidRPr="00240616">
              <w:rPr>
                <w:color w:val="000000"/>
                <w:sz w:val="24"/>
              </w:rPr>
              <w:t>565,818.27</w:t>
            </w:r>
          </w:p>
        </w:tc>
        <w:tc>
          <w:tcPr>
            <w:tcW w:w="2250" w:type="dxa"/>
            <w:vAlign w:val="center"/>
          </w:tcPr>
          <w:p w:rsidR="00136545" w:rsidRPr="00240616" w:rsidRDefault="00136545" w:rsidP="00FA6B9A">
            <w:pPr>
              <w:spacing w:before="29" w:line="288" w:lineRule="auto"/>
              <w:jc w:val="right"/>
              <w:rPr>
                <w:color w:val="000000"/>
                <w:sz w:val="24"/>
              </w:rPr>
            </w:pPr>
            <w:r w:rsidRPr="00240616">
              <w:rPr>
                <w:color w:val="000000"/>
                <w:sz w:val="24"/>
              </w:rPr>
              <w:t>148,039.14</w:t>
            </w:r>
          </w:p>
        </w:tc>
      </w:tr>
      <w:tr w:rsidR="00136545" w:rsidRPr="00D0372D" w:rsidTr="00415F6B">
        <w:tc>
          <w:tcPr>
            <w:tcW w:w="2977" w:type="dxa"/>
            <w:vAlign w:val="center"/>
          </w:tcPr>
          <w:p w:rsidR="00136545" w:rsidRPr="00991A59" w:rsidRDefault="00136545" w:rsidP="00991A59">
            <w:pPr>
              <w:spacing w:before="29" w:line="288" w:lineRule="auto"/>
              <w:rPr>
                <w:b/>
                <w:color w:val="000000"/>
                <w:sz w:val="24"/>
              </w:rPr>
            </w:pPr>
            <w:r w:rsidRPr="00991A59">
              <w:rPr>
                <w:rFonts w:hint="eastAsia"/>
                <w:b/>
                <w:color w:val="000000"/>
                <w:sz w:val="24"/>
              </w:rPr>
              <w:t>所有者权益：</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FA6B9A" w:rsidRDefault="00136545" w:rsidP="00FA6B9A">
            <w:pPr>
              <w:spacing w:before="29" w:line="288" w:lineRule="auto"/>
              <w:jc w:val="right"/>
              <w:rPr>
                <w:b/>
                <w:color w:val="000000"/>
                <w:sz w:val="24"/>
              </w:rPr>
            </w:pPr>
            <w:r w:rsidRPr="00FA6B9A">
              <w:rPr>
                <w:b/>
                <w:color w:val="000000"/>
                <w:sz w:val="24"/>
              </w:rPr>
              <w:t>-</w:t>
            </w:r>
          </w:p>
        </w:tc>
        <w:tc>
          <w:tcPr>
            <w:tcW w:w="2250" w:type="dxa"/>
            <w:vAlign w:val="center"/>
          </w:tcPr>
          <w:p w:rsidR="00136545" w:rsidRPr="00FA6B9A" w:rsidRDefault="00136545" w:rsidP="00FA6B9A">
            <w:pPr>
              <w:spacing w:before="29" w:line="288" w:lineRule="auto"/>
              <w:jc w:val="right"/>
              <w:rPr>
                <w:b/>
                <w:color w:val="000000"/>
                <w:sz w:val="24"/>
              </w:rPr>
            </w:pPr>
            <w:r w:rsidRPr="00FA6B9A">
              <w:rPr>
                <w:b/>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实收基金</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7.4.7.9</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32,063,310.06</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26,648,861.69</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未分配利润</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7.4.7.10</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7,272,575.53</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3,795,845.97</w:t>
            </w:r>
          </w:p>
        </w:tc>
      </w:tr>
      <w:tr w:rsidR="00136545" w:rsidRPr="00D0372D" w:rsidTr="00415F6B">
        <w:tc>
          <w:tcPr>
            <w:tcW w:w="2977" w:type="dxa"/>
            <w:vAlign w:val="center"/>
          </w:tcPr>
          <w:p w:rsidR="00136545" w:rsidRPr="009C75E1" w:rsidRDefault="00136545" w:rsidP="00991A59">
            <w:pPr>
              <w:spacing w:before="29" w:line="288" w:lineRule="auto"/>
              <w:rPr>
                <w:color w:val="000000"/>
                <w:sz w:val="24"/>
              </w:rPr>
            </w:pPr>
            <w:r w:rsidRPr="009C75E1">
              <w:rPr>
                <w:rFonts w:hint="eastAsia"/>
                <w:color w:val="000000"/>
                <w:sz w:val="24"/>
              </w:rPr>
              <w:t>所有者权益合计</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75E1" w:rsidRDefault="00136545" w:rsidP="00FA6B9A">
            <w:pPr>
              <w:spacing w:before="29" w:line="288" w:lineRule="auto"/>
              <w:jc w:val="right"/>
              <w:rPr>
                <w:color w:val="000000"/>
                <w:sz w:val="24"/>
              </w:rPr>
            </w:pPr>
            <w:r w:rsidRPr="009C75E1">
              <w:rPr>
                <w:color w:val="000000"/>
                <w:sz w:val="24"/>
              </w:rPr>
              <w:t>39,335,885.59</w:t>
            </w:r>
          </w:p>
        </w:tc>
        <w:tc>
          <w:tcPr>
            <w:tcW w:w="2250" w:type="dxa"/>
            <w:vAlign w:val="center"/>
          </w:tcPr>
          <w:p w:rsidR="00136545" w:rsidRPr="009C75E1" w:rsidRDefault="00136545" w:rsidP="00FA6B9A">
            <w:pPr>
              <w:spacing w:before="29" w:line="288" w:lineRule="auto"/>
              <w:jc w:val="right"/>
              <w:rPr>
                <w:color w:val="000000"/>
                <w:sz w:val="24"/>
              </w:rPr>
            </w:pPr>
            <w:r w:rsidRPr="009C75E1">
              <w:rPr>
                <w:color w:val="000000"/>
                <w:sz w:val="24"/>
              </w:rPr>
              <w:t>30,444,707.66</w:t>
            </w:r>
          </w:p>
        </w:tc>
      </w:tr>
      <w:tr w:rsidR="00136545" w:rsidRPr="00D0372D" w:rsidTr="00415F6B">
        <w:tc>
          <w:tcPr>
            <w:tcW w:w="2977" w:type="dxa"/>
            <w:vAlign w:val="center"/>
          </w:tcPr>
          <w:p w:rsidR="00136545" w:rsidRPr="009C75E1" w:rsidRDefault="00136545" w:rsidP="00991A59">
            <w:pPr>
              <w:spacing w:before="29" w:line="288" w:lineRule="auto"/>
              <w:rPr>
                <w:color w:val="000000"/>
                <w:sz w:val="24"/>
              </w:rPr>
            </w:pPr>
            <w:r w:rsidRPr="009C75E1">
              <w:rPr>
                <w:rFonts w:hint="eastAsia"/>
                <w:color w:val="000000"/>
                <w:sz w:val="24"/>
              </w:rPr>
              <w:t>负债和所有者权益总计</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75E1" w:rsidRDefault="00136545" w:rsidP="00FA6B9A">
            <w:pPr>
              <w:spacing w:before="29" w:line="288" w:lineRule="auto"/>
              <w:jc w:val="right"/>
              <w:rPr>
                <w:color w:val="000000"/>
                <w:sz w:val="24"/>
              </w:rPr>
            </w:pPr>
            <w:r w:rsidRPr="009C75E1">
              <w:rPr>
                <w:color w:val="000000"/>
                <w:sz w:val="24"/>
              </w:rPr>
              <w:t>39,901,703.86</w:t>
            </w:r>
          </w:p>
        </w:tc>
        <w:tc>
          <w:tcPr>
            <w:tcW w:w="2250" w:type="dxa"/>
            <w:vAlign w:val="center"/>
          </w:tcPr>
          <w:p w:rsidR="00136545" w:rsidRPr="009C75E1" w:rsidRDefault="00136545" w:rsidP="00FA6B9A">
            <w:pPr>
              <w:spacing w:before="29" w:line="288" w:lineRule="auto"/>
              <w:jc w:val="right"/>
              <w:rPr>
                <w:color w:val="000000"/>
                <w:sz w:val="24"/>
              </w:rPr>
            </w:pPr>
            <w:r w:rsidRPr="009C75E1">
              <w:rPr>
                <w:color w:val="000000"/>
                <w:sz w:val="24"/>
              </w:rPr>
              <w:t>30,592,746.80</w:t>
            </w:r>
          </w:p>
        </w:tc>
      </w:tr>
    </w:tbl>
    <w:p w:rsidR="007B62FA" w:rsidRPr="00D0372D" w:rsidRDefault="007B62FA" w:rsidP="007E739B">
      <w:pPr>
        <w:tabs>
          <w:tab w:val="left" w:pos="426"/>
        </w:tabs>
        <w:spacing w:before="29" w:line="288" w:lineRule="auto"/>
        <w:jc w:val="left"/>
        <w:rPr>
          <w:rFonts w:ascii="宋体" w:hAnsi="宋体"/>
          <w:color w:val="000000"/>
          <w:kern w:val="0"/>
          <w:szCs w:val="21"/>
        </w:rPr>
      </w:pPr>
      <w:r w:rsidRPr="007E739B">
        <w:rPr>
          <w:kern w:val="0"/>
          <w:sz w:val="24"/>
        </w:rPr>
        <w:t>注：报告截止日</w:t>
      </w:r>
      <w:r w:rsidRPr="007E739B">
        <w:rPr>
          <w:kern w:val="0"/>
          <w:sz w:val="24"/>
        </w:rPr>
        <w:t>2016</w:t>
      </w:r>
      <w:r w:rsidRPr="007E739B">
        <w:rPr>
          <w:kern w:val="0"/>
          <w:sz w:val="24"/>
        </w:rPr>
        <w:t>年</w:t>
      </w:r>
      <w:r w:rsidRPr="007E739B">
        <w:rPr>
          <w:kern w:val="0"/>
          <w:sz w:val="24"/>
        </w:rPr>
        <w:t>12</w:t>
      </w:r>
      <w:r w:rsidRPr="007E739B">
        <w:rPr>
          <w:kern w:val="0"/>
          <w:sz w:val="24"/>
        </w:rPr>
        <w:t>月</w:t>
      </w:r>
      <w:r w:rsidRPr="007E739B">
        <w:rPr>
          <w:kern w:val="0"/>
          <w:sz w:val="24"/>
        </w:rPr>
        <w:t>31</w:t>
      </w:r>
      <w:r w:rsidRPr="007E739B">
        <w:rPr>
          <w:kern w:val="0"/>
          <w:sz w:val="24"/>
        </w:rPr>
        <w:t>日，基金份额净值</w:t>
      </w:r>
      <w:r w:rsidRPr="007E739B">
        <w:rPr>
          <w:kern w:val="0"/>
          <w:sz w:val="24"/>
        </w:rPr>
        <w:t>1.227</w:t>
      </w:r>
      <w:r w:rsidRPr="007E739B">
        <w:rPr>
          <w:kern w:val="0"/>
          <w:sz w:val="24"/>
        </w:rPr>
        <w:t>元，基金份额总额</w:t>
      </w:r>
      <w:r w:rsidRPr="007E739B">
        <w:rPr>
          <w:kern w:val="0"/>
          <w:sz w:val="24"/>
        </w:rPr>
        <w:t>32,063,310.06</w:t>
      </w:r>
      <w:r w:rsidRPr="007E739B">
        <w:rPr>
          <w:kern w:val="0"/>
          <w:sz w:val="24"/>
        </w:rPr>
        <w:t>份。</w:t>
      </w:r>
    </w:p>
    <w:p w:rsidR="007B62FA" w:rsidRPr="00D0372D" w:rsidRDefault="007B62FA" w:rsidP="00417F87">
      <w:pPr>
        <w:spacing w:line="360" w:lineRule="auto"/>
        <w:rPr>
          <w:rFonts w:ascii="宋体" w:hAnsi="宋体"/>
          <w:color w:val="000000"/>
          <w:kern w:val="0"/>
          <w:szCs w:val="21"/>
        </w:rPr>
      </w:pPr>
    </w:p>
    <w:p w:rsidR="007B62FA" w:rsidRPr="007E739B" w:rsidRDefault="007B62FA" w:rsidP="007E739B">
      <w:pPr>
        <w:pStyle w:val="20"/>
        <w:spacing w:before="29" w:after="0" w:line="288" w:lineRule="auto"/>
        <w:rPr>
          <w:rFonts w:ascii="Times New Roman" w:hAnsi="Times New Roman"/>
          <w:kern w:val="0"/>
          <w:szCs w:val="24"/>
        </w:rPr>
      </w:pPr>
      <w:bookmarkStart w:id="231" w:name="_Toc225498269"/>
      <w:bookmarkStart w:id="232" w:name="_Toc352255992"/>
      <w:bookmarkStart w:id="233" w:name="_Toc352256060"/>
      <w:bookmarkStart w:id="234" w:name="_Toc352331238"/>
      <w:bookmarkStart w:id="235" w:name="_Toc362424016"/>
      <w:bookmarkStart w:id="236" w:name="_Toc478411413"/>
      <w:r w:rsidRPr="007E739B">
        <w:rPr>
          <w:rFonts w:ascii="Times New Roman" w:hAnsi="Times New Roman"/>
          <w:kern w:val="0"/>
          <w:szCs w:val="24"/>
        </w:rPr>
        <w:t xml:space="preserve">7.2 </w:t>
      </w:r>
      <w:r w:rsidRPr="007E739B">
        <w:rPr>
          <w:rFonts w:ascii="Times New Roman" w:hAnsi="Times New Roman" w:hint="eastAsia"/>
          <w:kern w:val="0"/>
          <w:szCs w:val="24"/>
        </w:rPr>
        <w:t>利润表</w:t>
      </w:r>
      <w:bookmarkEnd w:id="231"/>
      <w:bookmarkEnd w:id="232"/>
      <w:bookmarkEnd w:id="233"/>
      <w:bookmarkEnd w:id="234"/>
      <w:bookmarkEnd w:id="235"/>
      <w:bookmarkEnd w:id="236"/>
    </w:p>
    <w:p w:rsidR="007B62FA" w:rsidRPr="007E739B" w:rsidRDefault="007B62FA" w:rsidP="007E739B">
      <w:pPr>
        <w:spacing w:before="29" w:line="288" w:lineRule="auto"/>
        <w:rPr>
          <w:color w:val="000000"/>
          <w:sz w:val="24"/>
        </w:rPr>
      </w:pPr>
      <w:r w:rsidRPr="007E739B">
        <w:rPr>
          <w:rFonts w:hint="eastAsia"/>
          <w:color w:val="000000"/>
          <w:sz w:val="24"/>
        </w:rPr>
        <w:t>会计主体：</w:t>
      </w:r>
      <w:r w:rsidRPr="007E739B">
        <w:rPr>
          <w:color w:val="000000"/>
          <w:sz w:val="24"/>
        </w:rPr>
        <w:t>交银施罗德全球自然资源证券投资基金</w:t>
      </w:r>
    </w:p>
    <w:p w:rsidR="007B62FA" w:rsidRPr="007E739B" w:rsidRDefault="007B62FA" w:rsidP="007E739B">
      <w:pPr>
        <w:spacing w:before="29" w:line="288" w:lineRule="auto"/>
        <w:rPr>
          <w:color w:val="000000"/>
          <w:sz w:val="24"/>
        </w:rPr>
      </w:pPr>
      <w:r w:rsidRPr="007E739B">
        <w:rPr>
          <w:rFonts w:hint="eastAsia"/>
          <w:color w:val="000000"/>
          <w:sz w:val="24"/>
        </w:rPr>
        <w:t>本报告期：</w:t>
      </w:r>
      <w:r w:rsidR="00ED2997" w:rsidRPr="007E739B">
        <w:rPr>
          <w:color w:val="000000"/>
          <w:sz w:val="24"/>
        </w:rPr>
        <w:t>2016</w:t>
      </w:r>
      <w:r w:rsidR="00ED2997" w:rsidRPr="007E739B">
        <w:rPr>
          <w:color w:val="000000"/>
          <w:sz w:val="24"/>
        </w:rPr>
        <w:t>年</w:t>
      </w:r>
      <w:r w:rsidR="00ED2997" w:rsidRPr="007E739B">
        <w:rPr>
          <w:color w:val="000000"/>
          <w:sz w:val="24"/>
        </w:rPr>
        <w:t>1</w:t>
      </w:r>
      <w:r w:rsidR="00ED2997" w:rsidRPr="007E739B">
        <w:rPr>
          <w:color w:val="000000"/>
          <w:sz w:val="24"/>
        </w:rPr>
        <w:t>月</w:t>
      </w:r>
      <w:r w:rsidR="00ED2997" w:rsidRPr="007E739B">
        <w:rPr>
          <w:color w:val="000000"/>
          <w:sz w:val="24"/>
        </w:rPr>
        <w:t>1</w:t>
      </w:r>
      <w:r w:rsidR="00ED2997" w:rsidRPr="007E739B">
        <w:rPr>
          <w:color w:val="000000"/>
          <w:sz w:val="24"/>
        </w:rPr>
        <w:t>日</w:t>
      </w:r>
      <w:r w:rsidRPr="007E739B">
        <w:rPr>
          <w:rFonts w:hint="eastAsia"/>
          <w:color w:val="000000"/>
          <w:sz w:val="24"/>
        </w:rPr>
        <w:t>至</w:t>
      </w:r>
      <w:r w:rsidR="00ED2997" w:rsidRPr="007E739B">
        <w:rPr>
          <w:color w:val="000000"/>
          <w:sz w:val="24"/>
        </w:rPr>
        <w:t>2016</w:t>
      </w:r>
      <w:r w:rsidR="00ED2997" w:rsidRPr="007E739B">
        <w:rPr>
          <w:color w:val="000000"/>
          <w:sz w:val="24"/>
        </w:rPr>
        <w:t>年</w:t>
      </w:r>
      <w:r w:rsidR="00ED2997" w:rsidRPr="007E739B">
        <w:rPr>
          <w:color w:val="000000"/>
          <w:sz w:val="24"/>
        </w:rPr>
        <w:t>12</w:t>
      </w:r>
      <w:r w:rsidR="00ED2997" w:rsidRPr="007E739B">
        <w:rPr>
          <w:color w:val="000000"/>
          <w:sz w:val="24"/>
        </w:rPr>
        <w:t>月</w:t>
      </w:r>
      <w:r w:rsidR="00ED2997" w:rsidRPr="007E739B">
        <w:rPr>
          <w:color w:val="000000"/>
          <w:sz w:val="24"/>
        </w:rPr>
        <w:t>31</w:t>
      </w:r>
      <w:r w:rsidR="00ED2997" w:rsidRPr="007E739B">
        <w:rPr>
          <w:color w:val="000000"/>
          <w:sz w:val="24"/>
        </w:rPr>
        <w:t>日</w:t>
      </w:r>
    </w:p>
    <w:p w:rsidR="007B62FA" w:rsidRPr="007E739B" w:rsidRDefault="007B62FA" w:rsidP="007E739B">
      <w:pPr>
        <w:autoSpaceDE w:val="0"/>
        <w:autoSpaceDN w:val="0"/>
        <w:adjustRightInd w:val="0"/>
        <w:spacing w:before="29" w:line="288" w:lineRule="auto"/>
        <w:ind w:left="15"/>
        <w:jc w:val="right"/>
        <w:rPr>
          <w:color w:val="000000"/>
          <w:kern w:val="0"/>
          <w:sz w:val="24"/>
        </w:rPr>
      </w:pPr>
      <w:r w:rsidRPr="007E739B">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13"/>
        <w:gridCol w:w="2249"/>
      </w:tblGrid>
      <w:tr w:rsidR="007B62FA" w:rsidRPr="00D0372D" w:rsidTr="00A24431">
        <w:tc>
          <w:tcPr>
            <w:tcW w:w="3544" w:type="dxa"/>
            <w:vAlign w:val="center"/>
          </w:tcPr>
          <w:p w:rsidR="007B62FA" w:rsidRPr="007E739B" w:rsidRDefault="007B62FA" w:rsidP="007E739B">
            <w:pPr>
              <w:pStyle w:val="af6"/>
              <w:spacing w:before="29" w:beforeAutospacing="0" w:line="288" w:lineRule="auto"/>
              <w:jc w:val="center"/>
              <w:rPr>
                <w:rFonts w:ascii="Times New Roman" w:hAnsi="Times New Roman"/>
                <w:b/>
                <w:color w:val="000000"/>
              </w:rPr>
            </w:pPr>
            <w:r w:rsidRPr="007E739B">
              <w:rPr>
                <w:rFonts w:ascii="Times New Roman" w:hAnsi="Times New Roman" w:hint="eastAsia"/>
                <w:b/>
                <w:color w:val="000000"/>
              </w:rPr>
              <w:t>项目</w:t>
            </w:r>
          </w:p>
        </w:tc>
        <w:tc>
          <w:tcPr>
            <w:tcW w:w="992" w:type="dxa"/>
            <w:vAlign w:val="center"/>
          </w:tcPr>
          <w:p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附注号</w:t>
            </w:r>
          </w:p>
        </w:tc>
        <w:tc>
          <w:tcPr>
            <w:tcW w:w="2213" w:type="dxa"/>
            <w:vAlign w:val="center"/>
          </w:tcPr>
          <w:p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本期</w:t>
            </w:r>
          </w:p>
          <w:p w:rsidR="007B62FA" w:rsidRPr="007E739B" w:rsidRDefault="00ED2997"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b/>
                <w:color w:val="000000"/>
              </w:rPr>
              <w:t>2016</w:t>
            </w:r>
            <w:r w:rsidRPr="007E739B">
              <w:rPr>
                <w:rFonts w:ascii="Times New Roman" w:hAnsi="Times New Roman"/>
                <w:b/>
                <w:color w:val="000000"/>
              </w:rPr>
              <w:t>年</w:t>
            </w:r>
            <w:r w:rsidRPr="007E739B">
              <w:rPr>
                <w:rFonts w:ascii="Times New Roman" w:hAnsi="Times New Roman"/>
                <w:b/>
                <w:color w:val="000000"/>
              </w:rPr>
              <w:t>1</w:t>
            </w:r>
            <w:r w:rsidRPr="007E739B">
              <w:rPr>
                <w:rFonts w:ascii="Times New Roman" w:hAnsi="Times New Roman"/>
                <w:b/>
                <w:color w:val="000000"/>
              </w:rPr>
              <w:t>月</w:t>
            </w:r>
            <w:r w:rsidRPr="007E739B">
              <w:rPr>
                <w:rFonts w:ascii="Times New Roman" w:hAnsi="Times New Roman"/>
                <w:b/>
                <w:color w:val="000000"/>
              </w:rPr>
              <w:t>1</w:t>
            </w:r>
            <w:r w:rsidRPr="007E739B">
              <w:rPr>
                <w:rFonts w:ascii="Times New Roman" w:hAnsi="Times New Roman"/>
                <w:b/>
                <w:color w:val="000000"/>
              </w:rPr>
              <w:t>日</w:t>
            </w:r>
            <w:r w:rsidR="007B62FA" w:rsidRPr="007E739B">
              <w:rPr>
                <w:rFonts w:ascii="Times New Roman" w:hAnsi="Times New Roman" w:hint="eastAsia"/>
                <w:b/>
                <w:color w:val="000000"/>
              </w:rPr>
              <w:t>至</w:t>
            </w:r>
            <w:r w:rsidRPr="007E739B">
              <w:rPr>
                <w:rFonts w:ascii="Times New Roman" w:hAnsi="Times New Roman"/>
                <w:b/>
                <w:color w:val="000000"/>
              </w:rPr>
              <w:t>2016</w:t>
            </w:r>
            <w:r w:rsidRPr="007E739B">
              <w:rPr>
                <w:rFonts w:ascii="Times New Roman" w:hAnsi="Times New Roman"/>
                <w:b/>
                <w:color w:val="000000"/>
              </w:rPr>
              <w:t>年</w:t>
            </w:r>
            <w:r w:rsidRPr="007E739B">
              <w:rPr>
                <w:rFonts w:ascii="Times New Roman" w:hAnsi="Times New Roman"/>
                <w:b/>
                <w:color w:val="000000"/>
              </w:rPr>
              <w:t>12</w:t>
            </w:r>
            <w:r w:rsidRPr="007E739B">
              <w:rPr>
                <w:rFonts w:ascii="Times New Roman" w:hAnsi="Times New Roman"/>
                <w:b/>
                <w:color w:val="000000"/>
              </w:rPr>
              <w:t>月</w:t>
            </w:r>
            <w:r w:rsidRPr="007E739B">
              <w:rPr>
                <w:rFonts w:ascii="Times New Roman" w:hAnsi="Times New Roman"/>
                <w:b/>
                <w:color w:val="000000"/>
              </w:rPr>
              <w:t>31</w:t>
            </w:r>
            <w:r w:rsidRPr="007E739B">
              <w:rPr>
                <w:rFonts w:ascii="Times New Roman" w:hAnsi="Times New Roman"/>
                <w:b/>
                <w:color w:val="000000"/>
              </w:rPr>
              <w:t>日</w:t>
            </w:r>
          </w:p>
        </w:tc>
        <w:tc>
          <w:tcPr>
            <w:tcW w:w="2249" w:type="dxa"/>
            <w:vAlign w:val="center"/>
          </w:tcPr>
          <w:p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上年度可比期间</w:t>
            </w:r>
          </w:p>
          <w:p w:rsidR="007B62FA" w:rsidRPr="007E739B" w:rsidRDefault="009A2393"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b/>
                <w:color w:val="000000"/>
              </w:rPr>
              <w:t>2015</w:t>
            </w:r>
            <w:r w:rsidRPr="007E739B">
              <w:rPr>
                <w:rFonts w:ascii="Times New Roman" w:hAnsi="Times New Roman"/>
                <w:b/>
                <w:color w:val="000000"/>
              </w:rPr>
              <w:t>年</w:t>
            </w:r>
            <w:r w:rsidRPr="007E739B">
              <w:rPr>
                <w:rFonts w:ascii="Times New Roman" w:hAnsi="Times New Roman"/>
                <w:b/>
                <w:color w:val="000000"/>
              </w:rPr>
              <w:t>1</w:t>
            </w:r>
            <w:r w:rsidRPr="007E739B">
              <w:rPr>
                <w:rFonts w:ascii="Times New Roman" w:hAnsi="Times New Roman"/>
                <w:b/>
                <w:color w:val="000000"/>
              </w:rPr>
              <w:t>月</w:t>
            </w:r>
            <w:r w:rsidRPr="007E739B">
              <w:rPr>
                <w:rFonts w:ascii="Times New Roman" w:hAnsi="Times New Roman"/>
                <w:b/>
                <w:color w:val="000000"/>
              </w:rPr>
              <w:t>1</w:t>
            </w:r>
            <w:r w:rsidRPr="007E739B">
              <w:rPr>
                <w:rFonts w:ascii="Times New Roman" w:hAnsi="Times New Roman"/>
                <w:b/>
                <w:color w:val="000000"/>
              </w:rPr>
              <w:t>日至</w:t>
            </w:r>
            <w:r w:rsidRPr="007E739B">
              <w:rPr>
                <w:rFonts w:ascii="Times New Roman" w:hAnsi="Times New Roman"/>
                <w:b/>
                <w:color w:val="000000"/>
              </w:rPr>
              <w:t>2015</w:t>
            </w:r>
            <w:r w:rsidRPr="007E739B">
              <w:rPr>
                <w:rFonts w:ascii="Times New Roman" w:hAnsi="Times New Roman"/>
                <w:b/>
                <w:color w:val="000000"/>
              </w:rPr>
              <w:t>年</w:t>
            </w:r>
            <w:r w:rsidRPr="007E739B">
              <w:rPr>
                <w:rFonts w:ascii="Times New Roman" w:hAnsi="Times New Roman"/>
                <w:b/>
                <w:color w:val="000000"/>
              </w:rPr>
              <w:t>12</w:t>
            </w:r>
            <w:r w:rsidRPr="007E739B">
              <w:rPr>
                <w:rFonts w:ascii="Times New Roman" w:hAnsi="Times New Roman"/>
                <w:b/>
                <w:color w:val="000000"/>
              </w:rPr>
              <w:t>月</w:t>
            </w:r>
            <w:r w:rsidRPr="007E739B">
              <w:rPr>
                <w:rFonts w:ascii="Times New Roman" w:hAnsi="Times New Roman"/>
                <w:b/>
                <w:color w:val="000000"/>
              </w:rPr>
              <w:t>31</w:t>
            </w:r>
            <w:r w:rsidRPr="007E739B">
              <w:rPr>
                <w:rFonts w:ascii="Times New Roman" w:hAnsi="Times New Roman"/>
                <w:b/>
                <w:color w:val="000000"/>
              </w:rPr>
              <w:t>日</w:t>
            </w:r>
          </w:p>
        </w:tc>
      </w:tr>
      <w:tr w:rsidR="002C2B83" w:rsidRPr="00D0372D" w:rsidTr="00A24431">
        <w:tc>
          <w:tcPr>
            <w:tcW w:w="3544" w:type="dxa"/>
            <w:vAlign w:val="center"/>
          </w:tcPr>
          <w:p w:rsidR="002C2B83" w:rsidRPr="00D0372D" w:rsidRDefault="002C2B83" w:rsidP="007E739B">
            <w:pPr>
              <w:spacing w:before="29" w:line="288" w:lineRule="auto"/>
              <w:rPr>
                <w:rFonts w:ascii="宋体" w:hAnsi="宋体"/>
                <w:b/>
                <w:color w:val="000000"/>
                <w:szCs w:val="21"/>
              </w:rPr>
            </w:pPr>
            <w:r w:rsidRPr="007E739B">
              <w:rPr>
                <w:rFonts w:hint="eastAsia"/>
                <w:b/>
                <w:color w:val="000000"/>
                <w:sz w:val="24"/>
              </w:rPr>
              <w:t>一、收入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FA6B9A" w:rsidRDefault="002C2B83" w:rsidP="00FA6B9A">
            <w:pPr>
              <w:spacing w:before="29" w:line="288" w:lineRule="auto"/>
              <w:jc w:val="right"/>
              <w:rPr>
                <w:b/>
                <w:color w:val="000000"/>
                <w:sz w:val="24"/>
              </w:rPr>
            </w:pPr>
            <w:r w:rsidRPr="00FA6B9A">
              <w:rPr>
                <w:b/>
                <w:color w:val="000000"/>
                <w:sz w:val="24"/>
              </w:rPr>
              <w:t>2,795,336.80</w:t>
            </w:r>
          </w:p>
        </w:tc>
        <w:tc>
          <w:tcPr>
            <w:tcW w:w="2249" w:type="dxa"/>
            <w:vAlign w:val="center"/>
          </w:tcPr>
          <w:p w:rsidR="002C2B83" w:rsidRPr="00FA6B9A" w:rsidRDefault="002C2B83" w:rsidP="00FA6B9A">
            <w:pPr>
              <w:spacing w:before="29" w:line="288" w:lineRule="auto"/>
              <w:jc w:val="right"/>
              <w:rPr>
                <w:b/>
                <w:color w:val="000000"/>
                <w:sz w:val="24"/>
              </w:rPr>
            </w:pPr>
            <w:r w:rsidRPr="00FA6B9A">
              <w:rPr>
                <w:b/>
                <w:color w:val="000000"/>
                <w:sz w:val="24"/>
              </w:rPr>
              <w:t>-19,232,246.71</w:t>
            </w:r>
          </w:p>
        </w:tc>
      </w:tr>
      <w:tr w:rsidR="002C2B83" w:rsidRPr="00D0372D" w:rsidTr="00A24431">
        <w:tc>
          <w:tcPr>
            <w:tcW w:w="3544" w:type="dxa"/>
            <w:vAlign w:val="center"/>
          </w:tcPr>
          <w:p w:rsidR="002C2B83" w:rsidRPr="00D0372D" w:rsidRDefault="002C2B83" w:rsidP="007E739B">
            <w:pPr>
              <w:spacing w:before="29" w:line="288" w:lineRule="auto"/>
              <w:rPr>
                <w:rFonts w:ascii="宋体" w:hAnsi="宋体"/>
                <w:color w:val="000000"/>
                <w:szCs w:val="21"/>
              </w:rPr>
            </w:pPr>
            <w:r w:rsidRPr="007E739B">
              <w:rPr>
                <w:color w:val="000000"/>
                <w:sz w:val="24"/>
              </w:rPr>
              <w:t>1.</w:t>
            </w:r>
            <w:r w:rsidRPr="007E739B">
              <w:rPr>
                <w:rFonts w:hint="eastAsia"/>
                <w:color w:val="000000"/>
                <w:sz w:val="24"/>
              </w:rPr>
              <w:t>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16,153.88</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76,252.34</w:t>
            </w:r>
          </w:p>
        </w:tc>
      </w:tr>
      <w:tr w:rsidR="002C2B83" w:rsidRPr="00D0372D" w:rsidTr="00A24431">
        <w:tc>
          <w:tcPr>
            <w:tcW w:w="3544" w:type="dxa"/>
            <w:vAlign w:val="center"/>
          </w:tcPr>
          <w:p w:rsidR="002C2B83" w:rsidRPr="00D0372D" w:rsidRDefault="002C2B83" w:rsidP="007E739B">
            <w:pPr>
              <w:spacing w:before="29" w:line="288" w:lineRule="auto"/>
              <w:rPr>
                <w:rFonts w:ascii="宋体" w:hAnsi="宋体"/>
                <w:color w:val="000000"/>
                <w:szCs w:val="21"/>
              </w:rPr>
            </w:pPr>
            <w:r w:rsidRPr="007E739B">
              <w:rPr>
                <w:rFonts w:hint="eastAsia"/>
                <w:color w:val="000000"/>
                <w:sz w:val="24"/>
              </w:rPr>
              <w:t>其中：存款利息收入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7.4.7.11</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16,153.88</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76,252.34</w:t>
            </w:r>
          </w:p>
        </w:tc>
      </w:tr>
      <w:tr w:rsidR="002C2B83" w:rsidRPr="00D0372D" w:rsidTr="00A24431">
        <w:tc>
          <w:tcPr>
            <w:tcW w:w="3544" w:type="dxa"/>
            <w:vAlign w:val="center"/>
          </w:tcPr>
          <w:p w:rsidR="002C2B83" w:rsidRPr="007E739B" w:rsidRDefault="002C2B83" w:rsidP="00A24431">
            <w:pPr>
              <w:spacing w:before="29" w:line="288" w:lineRule="auto"/>
              <w:ind w:firstLineChars="300" w:firstLine="720"/>
              <w:rPr>
                <w:color w:val="000000"/>
                <w:sz w:val="24"/>
              </w:rPr>
            </w:pPr>
            <w:r w:rsidRPr="007E739B">
              <w:rPr>
                <w:rFonts w:hint="eastAsia"/>
                <w:color w:val="000000"/>
                <w:sz w:val="24"/>
              </w:rPr>
              <w:t>债券利息收入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7E739B" w:rsidRDefault="002C2B83" w:rsidP="00A84132">
            <w:pPr>
              <w:spacing w:before="29" w:line="288" w:lineRule="auto"/>
              <w:ind w:firstLineChars="350" w:firstLine="840"/>
              <w:rPr>
                <w:color w:val="000000"/>
                <w:sz w:val="24"/>
              </w:rPr>
            </w:pPr>
            <w:r w:rsidRPr="007E739B">
              <w:rPr>
                <w:rFonts w:hint="eastAsia"/>
                <w:color w:val="000000"/>
                <w:sz w:val="24"/>
              </w:rPr>
              <w:t>资产支持证券利息收入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7E739B" w:rsidRDefault="002C2B83" w:rsidP="00A24431">
            <w:pPr>
              <w:spacing w:before="29" w:line="288" w:lineRule="auto"/>
              <w:ind w:firstLineChars="350" w:firstLine="840"/>
              <w:rPr>
                <w:color w:val="000000"/>
                <w:sz w:val="24"/>
              </w:rPr>
            </w:pPr>
            <w:r w:rsidRPr="007E739B">
              <w:rPr>
                <w:rFonts w:hint="eastAsia"/>
                <w:color w:val="000000"/>
                <w:sz w:val="24"/>
              </w:rPr>
              <w:t>买入返售金融资产收入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7E739B" w:rsidRDefault="002C2B83" w:rsidP="00A24431">
            <w:pPr>
              <w:spacing w:before="29" w:line="288" w:lineRule="auto"/>
              <w:ind w:firstLineChars="350" w:firstLine="840"/>
              <w:rPr>
                <w:color w:val="000000"/>
                <w:sz w:val="24"/>
              </w:rPr>
            </w:pPr>
            <w:r w:rsidRPr="007E739B">
              <w:rPr>
                <w:rFonts w:hint="eastAsia"/>
                <w:color w:val="000000"/>
                <w:sz w:val="24"/>
              </w:rPr>
              <w:t>其他利息收入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D0372D" w:rsidRDefault="002C2B83" w:rsidP="00096C31">
            <w:pPr>
              <w:spacing w:before="29" w:line="288" w:lineRule="auto"/>
              <w:rPr>
                <w:rFonts w:ascii="宋体" w:hAnsi="宋体"/>
                <w:color w:val="000000"/>
                <w:szCs w:val="21"/>
              </w:rPr>
            </w:pPr>
            <w:r w:rsidRPr="00096C31">
              <w:rPr>
                <w:color w:val="000000"/>
                <w:sz w:val="24"/>
              </w:rPr>
              <w:t>2.</w:t>
            </w:r>
            <w:r w:rsidRPr="00096C31">
              <w:rPr>
                <w:rFonts w:hint="eastAsia"/>
                <w:color w:val="000000"/>
                <w:sz w:val="24"/>
              </w:rPr>
              <w:t>投资收益（损失以</w:t>
            </w:r>
            <w:r w:rsidRPr="00323F0D">
              <w:rPr>
                <w:color w:val="000000"/>
                <w:sz w:val="24"/>
              </w:rPr>
              <w:t>“-”</w:t>
            </w:r>
            <w:r w:rsidRPr="00096C31">
              <w:rPr>
                <w:rFonts w:hint="eastAsia"/>
                <w:color w:val="000000"/>
                <w:sz w:val="24"/>
              </w:rPr>
              <w:t>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-6,516,396.73</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-12,541,093.50</w:t>
            </w:r>
          </w:p>
        </w:tc>
      </w:tr>
      <w:tr w:rsidR="002C2B83" w:rsidRPr="00D0372D" w:rsidTr="00A24431">
        <w:tc>
          <w:tcPr>
            <w:tcW w:w="3544" w:type="dxa"/>
            <w:vAlign w:val="center"/>
          </w:tcPr>
          <w:p w:rsidR="002C2B83" w:rsidRPr="00D0372D" w:rsidRDefault="002C2B83" w:rsidP="00F42E1D">
            <w:pPr>
              <w:spacing w:before="29" w:line="288" w:lineRule="auto"/>
              <w:rPr>
                <w:rFonts w:ascii="宋体" w:hAnsi="宋体"/>
                <w:color w:val="000000"/>
                <w:szCs w:val="21"/>
              </w:rPr>
            </w:pPr>
            <w:r w:rsidRPr="00F42E1D">
              <w:rPr>
                <w:rFonts w:hint="eastAsia"/>
                <w:color w:val="000000"/>
                <w:sz w:val="24"/>
              </w:rPr>
              <w:t>其中：股票投资收益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7.4.7.12</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-7,170,003.26</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-14,353,672.91</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基金投资收益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7.4.7.13</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债券投资收益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7.4.7.14</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资产支持证券投资收益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7.4.7.15</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贵金属投资收益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rFonts w:hint="eastAsia"/>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rFonts w:hint="eastAsia"/>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衍生工具收益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7.4.7.16</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36,670.20</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股利收益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7.4.7.17</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653,606.53</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1,775,909.21</w:t>
            </w:r>
          </w:p>
        </w:tc>
      </w:tr>
      <w:tr w:rsidR="002C2B83" w:rsidRPr="00D0372D" w:rsidTr="00A24431">
        <w:tc>
          <w:tcPr>
            <w:tcW w:w="3544" w:type="dxa"/>
            <w:vAlign w:val="center"/>
          </w:tcPr>
          <w:p w:rsidR="002C2B83" w:rsidRPr="00096C31" w:rsidRDefault="002C2B83" w:rsidP="00096C31">
            <w:pPr>
              <w:spacing w:before="29" w:line="288" w:lineRule="auto"/>
              <w:rPr>
                <w:color w:val="000000"/>
                <w:sz w:val="24"/>
              </w:rPr>
            </w:pPr>
            <w:r w:rsidRPr="00096C31">
              <w:rPr>
                <w:color w:val="000000"/>
                <w:sz w:val="24"/>
              </w:rPr>
              <w:t>3.</w:t>
            </w:r>
            <w:r w:rsidRPr="00096C31">
              <w:rPr>
                <w:rFonts w:hint="eastAsia"/>
                <w:color w:val="000000"/>
                <w:sz w:val="24"/>
              </w:rPr>
              <w:t>公允价值变动收益（损失以</w:t>
            </w:r>
            <w:r w:rsidRPr="00323F0D">
              <w:rPr>
                <w:color w:val="000000"/>
                <w:sz w:val="24"/>
              </w:rPr>
              <w:t>“-”</w:t>
            </w:r>
            <w:r w:rsidRPr="00096C31">
              <w:rPr>
                <w:rFonts w:hint="eastAsia"/>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7.4.7.18</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8,833,915.84</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-6,465,591.90</w:t>
            </w:r>
          </w:p>
        </w:tc>
      </w:tr>
      <w:tr w:rsidR="002C2B83" w:rsidRPr="00D0372D" w:rsidTr="00A24431">
        <w:tc>
          <w:tcPr>
            <w:tcW w:w="3544" w:type="dxa"/>
            <w:vAlign w:val="center"/>
          </w:tcPr>
          <w:p w:rsidR="002C2B83" w:rsidRPr="00096C31" w:rsidRDefault="002C2B83" w:rsidP="00096C31">
            <w:pPr>
              <w:spacing w:before="29" w:line="288" w:lineRule="auto"/>
              <w:rPr>
                <w:color w:val="000000"/>
                <w:sz w:val="24"/>
              </w:rPr>
            </w:pPr>
            <w:r w:rsidRPr="00096C31">
              <w:rPr>
                <w:color w:val="000000"/>
                <w:sz w:val="24"/>
              </w:rPr>
              <w:lastRenderedPageBreak/>
              <w:t>4.</w:t>
            </w:r>
            <w:r w:rsidRPr="00096C31">
              <w:rPr>
                <w:rFonts w:hint="eastAsia"/>
                <w:color w:val="000000"/>
                <w:sz w:val="24"/>
              </w:rPr>
              <w:t>汇兑收益（损失以</w:t>
            </w:r>
            <w:r w:rsidRPr="00323F0D">
              <w:rPr>
                <w:color w:val="000000"/>
                <w:sz w:val="24"/>
              </w:rPr>
              <w:t>“-”</w:t>
            </w:r>
            <w:r w:rsidRPr="00096C31">
              <w:rPr>
                <w:rFonts w:hint="eastAsia"/>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453,916.16</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-502,163.89</w:t>
            </w:r>
          </w:p>
        </w:tc>
      </w:tr>
      <w:tr w:rsidR="002C2B83" w:rsidRPr="00D0372D" w:rsidTr="00A24431">
        <w:tc>
          <w:tcPr>
            <w:tcW w:w="3544" w:type="dxa"/>
            <w:vAlign w:val="center"/>
          </w:tcPr>
          <w:p w:rsidR="002C2B83" w:rsidRPr="00096C31" w:rsidRDefault="002C2B83" w:rsidP="00096C31">
            <w:pPr>
              <w:spacing w:before="29" w:line="288" w:lineRule="auto"/>
              <w:rPr>
                <w:color w:val="000000"/>
                <w:sz w:val="24"/>
              </w:rPr>
            </w:pPr>
            <w:r w:rsidRPr="00096C31">
              <w:rPr>
                <w:color w:val="000000"/>
                <w:sz w:val="24"/>
              </w:rPr>
              <w:t>5.</w:t>
            </w:r>
            <w:r w:rsidRPr="00096C31">
              <w:rPr>
                <w:rFonts w:hint="eastAsia"/>
                <w:color w:val="000000"/>
                <w:sz w:val="24"/>
              </w:rPr>
              <w:t>其他收入（损失以</w:t>
            </w:r>
            <w:r w:rsidRPr="00323F0D">
              <w:rPr>
                <w:color w:val="000000"/>
                <w:sz w:val="24"/>
              </w:rPr>
              <w:t>“-”</w:t>
            </w:r>
            <w:r w:rsidRPr="00096C31">
              <w:rPr>
                <w:rFonts w:hint="eastAsia"/>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7.4.7.19</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7,747.65</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200,350.24</w:t>
            </w:r>
          </w:p>
        </w:tc>
      </w:tr>
      <w:tr w:rsidR="002C2B83" w:rsidRPr="00FA6B9A" w:rsidTr="00A24431">
        <w:tc>
          <w:tcPr>
            <w:tcW w:w="3544" w:type="dxa"/>
            <w:vAlign w:val="center"/>
          </w:tcPr>
          <w:p w:rsidR="002C2B83" w:rsidRPr="00D0372D" w:rsidRDefault="002C2B83" w:rsidP="008A665E">
            <w:pPr>
              <w:spacing w:before="29" w:line="288" w:lineRule="auto"/>
              <w:rPr>
                <w:rFonts w:ascii="宋体" w:hAnsi="宋体"/>
                <w:b/>
                <w:color w:val="000000"/>
                <w:szCs w:val="21"/>
              </w:rPr>
            </w:pPr>
            <w:r w:rsidRPr="008A665E">
              <w:rPr>
                <w:rFonts w:hint="eastAsia"/>
                <w:b/>
                <w:color w:val="000000"/>
                <w:sz w:val="24"/>
              </w:rPr>
              <w:t>减：二、费用</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FA6B9A" w:rsidRDefault="002C2B83" w:rsidP="00FA6B9A">
            <w:pPr>
              <w:spacing w:before="29" w:line="288" w:lineRule="auto"/>
              <w:jc w:val="right"/>
              <w:rPr>
                <w:b/>
                <w:color w:val="000000"/>
                <w:sz w:val="24"/>
              </w:rPr>
            </w:pPr>
            <w:r w:rsidRPr="00FA6B9A">
              <w:rPr>
                <w:b/>
                <w:color w:val="000000"/>
                <w:sz w:val="24"/>
              </w:rPr>
              <w:t>868,540.17</w:t>
            </w:r>
          </w:p>
        </w:tc>
        <w:tc>
          <w:tcPr>
            <w:tcW w:w="2249" w:type="dxa"/>
            <w:vAlign w:val="center"/>
          </w:tcPr>
          <w:p w:rsidR="002C2B83" w:rsidRPr="00FA6B9A" w:rsidRDefault="002C2B83" w:rsidP="00FA6B9A">
            <w:pPr>
              <w:spacing w:before="29" w:line="288" w:lineRule="auto"/>
              <w:jc w:val="right"/>
              <w:rPr>
                <w:b/>
                <w:color w:val="000000"/>
                <w:sz w:val="24"/>
              </w:rPr>
            </w:pPr>
            <w:r w:rsidRPr="00FA6B9A">
              <w:rPr>
                <w:b/>
                <w:color w:val="000000"/>
                <w:sz w:val="24"/>
              </w:rPr>
              <w:t>1,552,870.62</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1</w:t>
            </w:r>
            <w:r w:rsidRPr="008A665E">
              <w:rPr>
                <w:rFonts w:hint="eastAsia"/>
                <w:color w:val="000000"/>
                <w:sz w:val="24"/>
              </w:rPr>
              <w:t>．管理人报酬</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545,890.87</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894,294.68</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2</w:t>
            </w:r>
            <w:r w:rsidRPr="008A665E">
              <w:rPr>
                <w:rFonts w:hint="eastAsia"/>
                <w:color w:val="000000"/>
                <w:sz w:val="24"/>
              </w:rPr>
              <w:t>．托管费</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106,145.40</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173,890.65</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3</w:t>
            </w:r>
            <w:r w:rsidRPr="008A665E">
              <w:rPr>
                <w:rFonts w:hint="eastAsia"/>
                <w:color w:val="000000"/>
                <w:sz w:val="24"/>
              </w:rPr>
              <w:t>．销售服务费</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4</w:t>
            </w:r>
            <w:r w:rsidRPr="008A665E">
              <w:rPr>
                <w:rFonts w:hint="eastAsia"/>
                <w:color w:val="000000"/>
                <w:sz w:val="24"/>
              </w:rPr>
              <w:t>．交易费用</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7.4.7.20</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175,418.60</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438,296.11</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5</w:t>
            </w:r>
            <w:r w:rsidRPr="008A665E">
              <w:rPr>
                <w:rFonts w:hint="eastAsia"/>
                <w:color w:val="000000"/>
                <w:sz w:val="24"/>
              </w:rPr>
              <w:t>．利息支出</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rFonts w:hint="eastAsia"/>
                <w:color w:val="000000"/>
                <w:sz w:val="24"/>
              </w:rPr>
              <w:t>其中：卖出回购金融资产支出</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6</w:t>
            </w:r>
            <w:r w:rsidRPr="008A665E">
              <w:rPr>
                <w:rFonts w:hint="eastAsia"/>
                <w:color w:val="000000"/>
                <w:sz w:val="24"/>
              </w:rPr>
              <w:t>．其他费用</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7.4.7.21</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41,085.30</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46,389.18</w:t>
            </w:r>
          </w:p>
        </w:tc>
      </w:tr>
      <w:tr w:rsidR="002C2B83" w:rsidRPr="00D0372D" w:rsidTr="00A24431">
        <w:tc>
          <w:tcPr>
            <w:tcW w:w="3544" w:type="dxa"/>
            <w:vAlign w:val="center"/>
          </w:tcPr>
          <w:p w:rsidR="002C2B83" w:rsidRPr="00D0372D" w:rsidRDefault="002C2B83" w:rsidP="008A665E">
            <w:pPr>
              <w:spacing w:before="29" w:line="288" w:lineRule="auto"/>
              <w:rPr>
                <w:rFonts w:ascii="宋体" w:hAnsi="宋体"/>
                <w:b/>
                <w:color w:val="000000"/>
                <w:szCs w:val="21"/>
              </w:rPr>
            </w:pPr>
            <w:r w:rsidRPr="008A665E">
              <w:rPr>
                <w:rFonts w:hint="eastAsia"/>
                <w:b/>
                <w:color w:val="000000"/>
                <w:sz w:val="24"/>
              </w:rPr>
              <w:t>三、利润总额（亏损总额以</w:t>
            </w:r>
            <w:r w:rsidRPr="008A665E">
              <w:rPr>
                <w:b/>
                <w:color w:val="000000"/>
                <w:sz w:val="24"/>
              </w:rPr>
              <w:t>“-”</w:t>
            </w:r>
            <w:r w:rsidRPr="008A665E">
              <w:rPr>
                <w:rFonts w:hint="eastAsia"/>
                <w:b/>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FA6B9A" w:rsidRDefault="002C2B83" w:rsidP="00FA6B9A">
            <w:pPr>
              <w:spacing w:before="29" w:line="288" w:lineRule="auto"/>
              <w:jc w:val="right"/>
              <w:rPr>
                <w:b/>
                <w:color w:val="000000"/>
                <w:sz w:val="24"/>
              </w:rPr>
            </w:pPr>
            <w:r w:rsidRPr="00FA6B9A">
              <w:rPr>
                <w:b/>
                <w:color w:val="000000"/>
                <w:sz w:val="24"/>
              </w:rPr>
              <w:t>1,926,796.63</w:t>
            </w:r>
          </w:p>
        </w:tc>
        <w:tc>
          <w:tcPr>
            <w:tcW w:w="2249" w:type="dxa"/>
            <w:vAlign w:val="center"/>
          </w:tcPr>
          <w:p w:rsidR="002C2B83" w:rsidRPr="00FA6B9A" w:rsidRDefault="002C2B83" w:rsidP="00FA6B9A">
            <w:pPr>
              <w:spacing w:before="29" w:line="288" w:lineRule="auto"/>
              <w:jc w:val="right"/>
              <w:rPr>
                <w:b/>
                <w:color w:val="000000"/>
                <w:sz w:val="24"/>
              </w:rPr>
            </w:pPr>
            <w:r w:rsidRPr="00FA6B9A">
              <w:rPr>
                <w:b/>
                <w:color w:val="000000"/>
                <w:sz w:val="24"/>
              </w:rPr>
              <w:t>-20,785,117.33</w:t>
            </w:r>
          </w:p>
        </w:tc>
      </w:tr>
      <w:tr w:rsidR="002C2B83" w:rsidRPr="00D0372D" w:rsidTr="00A24431">
        <w:tc>
          <w:tcPr>
            <w:tcW w:w="3544" w:type="dxa"/>
            <w:vAlign w:val="center"/>
          </w:tcPr>
          <w:p w:rsidR="002C2B83" w:rsidRPr="00D0372D" w:rsidRDefault="002C2B83" w:rsidP="008A665E">
            <w:pPr>
              <w:spacing w:before="29" w:line="288" w:lineRule="auto"/>
              <w:rPr>
                <w:rFonts w:ascii="宋体" w:hAnsi="宋体"/>
                <w:b/>
                <w:color w:val="000000"/>
                <w:szCs w:val="21"/>
              </w:rPr>
            </w:pPr>
            <w:r w:rsidRPr="008A665E">
              <w:rPr>
                <w:rFonts w:hint="eastAsia"/>
                <w:color w:val="000000"/>
                <w:sz w:val="24"/>
              </w:rPr>
              <w:t>减：所得税费用</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D0372D" w:rsidRDefault="002C2B83" w:rsidP="008A665E">
            <w:pPr>
              <w:spacing w:before="29" w:line="288" w:lineRule="auto"/>
              <w:rPr>
                <w:rFonts w:ascii="宋体" w:hAnsi="宋体"/>
                <w:b/>
                <w:color w:val="000000"/>
                <w:szCs w:val="21"/>
              </w:rPr>
            </w:pPr>
            <w:r w:rsidRPr="008A665E">
              <w:rPr>
                <w:rFonts w:hint="eastAsia"/>
                <w:b/>
                <w:color w:val="000000"/>
                <w:sz w:val="24"/>
              </w:rPr>
              <w:t>四、净利润（净亏损以</w:t>
            </w:r>
            <w:r w:rsidRPr="008A665E">
              <w:rPr>
                <w:b/>
                <w:color w:val="000000"/>
                <w:sz w:val="24"/>
              </w:rPr>
              <w:t>“-”</w:t>
            </w:r>
            <w:r w:rsidRPr="008A665E">
              <w:rPr>
                <w:rFonts w:hint="eastAsia"/>
                <w:b/>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FA6B9A" w:rsidRDefault="002C2B83" w:rsidP="00FA6B9A">
            <w:pPr>
              <w:spacing w:before="29" w:line="288" w:lineRule="auto"/>
              <w:jc w:val="right"/>
              <w:rPr>
                <w:b/>
                <w:color w:val="000000"/>
                <w:sz w:val="24"/>
              </w:rPr>
            </w:pPr>
            <w:r w:rsidRPr="00FA6B9A">
              <w:rPr>
                <w:b/>
                <w:color w:val="000000"/>
                <w:sz w:val="24"/>
              </w:rPr>
              <w:t>1,926,796.63</w:t>
            </w:r>
          </w:p>
        </w:tc>
        <w:tc>
          <w:tcPr>
            <w:tcW w:w="2249" w:type="dxa"/>
            <w:vAlign w:val="center"/>
          </w:tcPr>
          <w:p w:rsidR="002C2B83" w:rsidRPr="00FA6B9A" w:rsidRDefault="002C2B83" w:rsidP="00FA6B9A">
            <w:pPr>
              <w:spacing w:before="29" w:line="288" w:lineRule="auto"/>
              <w:jc w:val="right"/>
              <w:rPr>
                <w:b/>
                <w:color w:val="000000"/>
                <w:sz w:val="24"/>
              </w:rPr>
            </w:pPr>
            <w:r w:rsidRPr="00FA6B9A">
              <w:rPr>
                <w:b/>
                <w:color w:val="000000"/>
                <w:sz w:val="24"/>
              </w:rPr>
              <w:t>-20,785,117.33</w:t>
            </w:r>
          </w:p>
        </w:tc>
      </w:tr>
    </w:tbl>
    <w:p w:rsidR="007B62FA" w:rsidRPr="00D0372D" w:rsidRDefault="007B62FA" w:rsidP="00417F87">
      <w:pPr>
        <w:spacing w:line="360" w:lineRule="auto"/>
        <w:rPr>
          <w:rFonts w:ascii="宋体" w:hAnsi="宋体"/>
          <w:color w:val="000000"/>
          <w:szCs w:val="21"/>
        </w:rPr>
      </w:pPr>
    </w:p>
    <w:p w:rsidR="007B62FA" w:rsidRPr="003E2211" w:rsidRDefault="007B62FA" w:rsidP="003E2211">
      <w:pPr>
        <w:pStyle w:val="20"/>
        <w:spacing w:before="29" w:after="0" w:line="288" w:lineRule="auto"/>
        <w:rPr>
          <w:rFonts w:ascii="Times New Roman" w:hAnsi="Times New Roman"/>
          <w:kern w:val="0"/>
          <w:szCs w:val="24"/>
        </w:rPr>
      </w:pPr>
      <w:bookmarkStart w:id="237" w:name="_Toc225498270"/>
      <w:bookmarkStart w:id="238" w:name="_Toc352255993"/>
      <w:bookmarkStart w:id="239" w:name="_Toc352256061"/>
      <w:bookmarkStart w:id="240" w:name="_Toc352331239"/>
      <w:bookmarkStart w:id="241" w:name="_Toc362424017"/>
      <w:bookmarkStart w:id="242" w:name="_Toc478411414"/>
      <w:r w:rsidRPr="003E2211">
        <w:rPr>
          <w:rFonts w:ascii="Times New Roman" w:hAnsi="Times New Roman"/>
          <w:kern w:val="0"/>
          <w:szCs w:val="24"/>
        </w:rPr>
        <w:t xml:space="preserve">7.3 </w:t>
      </w:r>
      <w:r w:rsidRPr="003E2211">
        <w:rPr>
          <w:rFonts w:ascii="Times New Roman" w:hAnsi="Times New Roman" w:hint="eastAsia"/>
          <w:kern w:val="0"/>
          <w:szCs w:val="24"/>
        </w:rPr>
        <w:t>所有者权益（基金净值）变动表</w:t>
      </w:r>
      <w:bookmarkEnd w:id="237"/>
      <w:bookmarkEnd w:id="238"/>
      <w:bookmarkEnd w:id="239"/>
      <w:bookmarkEnd w:id="240"/>
      <w:bookmarkEnd w:id="241"/>
      <w:bookmarkEnd w:id="242"/>
    </w:p>
    <w:p w:rsidR="007B62FA" w:rsidRPr="003E2211" w:rsidRDefault="007B62FA" w:rsidP="003E2211">
      <w:pPr>
        <w:spacing w:before="29" w:line="288" w:lineRule="auto"/>
        <w:rPr>
          <w:color w:val="000000"/>
          <w:sz w:val="24"/>
        </w:rPr>
      </w:pPr>
      <w:r w:rsidRPr="003E2211">
        <w:rPr>
          <w:rFonts w:hint="eastAsia"/>
          <w:color w:val="000000"/>
          <w:sz w:val="24"/>
        </w:rPr>
        <w:t>会计主体：</w:t>
      </w:r>
      <w:r w:rsidRPr="003E2211">
        <w:rPr>
          <w:color w:val="000000"/>
          <w:sz w:val="24"/>
        </w:rPr>
        <w:t>交银施罗德全球自然资源证券投资基金</w:t>
      </w:r>
    </w:p>
    <w:p w:rsidR="007B62FA" w:rsidRPr="003E2211" w:rsidRDefault="007B62FA" w:rsidP="003E2211">
      <w:pPr>
        <w:spacing w:before="29" w:line="288" w:lineRule="auto"/>
        <w:rPr>
          <w:color w:val="000000"/>
          <w:sz w:val="24"/>
        </w:rPr>
      </w:pPr>
      <w:r w:rsidRPr="003E2211">
        <w:rPr>
          <w:rFonts w:hint="eastAsia"/>
          <w:color w:val="000000"/>
          <w:sz w:val="24"/>
        </w:rPr>
        <w:t>本报告期：</w:t>
      </w:r>
      <w:r w:rsidR="00ED2997" w:rsidRPr="003E2211">
        <w:rPr>
          <w:color w:val="000000"/>
          <w:sz w:val="24"/>
        </w:rPr>
        <w:t>2016</w:t>
      </w:r>
      <w:r w:rsidR="00ED2997" w:rsidRPr="003E2211">
        <w:rPr>
          <w:color w:val="000000"/>
          <w:sz w:val="24"/>
        </w:rPr>
        <w:t>年</w:t>
      </w:r>
      <w:r w:rsidR="00ED2997" w:rsidRPr="003E2211">
        <w:rPr>
          <w:color w:val="000000"/>
          <w:sz w:val="24"/>
        </w:rPr>
        <w:t>1</w:t>
      </w:r>
      <w:r w:rsidR="00ED2997" w:rsidRPr="003E2211">
        <w:rPr>
          <w:color w:val="000000"/>
          <w:sz w:val="24"/>
        </w:rPr>
        <w:t>月</w:t>
      </w:r>
      <w:r w:rsidR="00ED2997" w:rsidRPr="003E2211">
        <w:rPr>
          <w:color w:val="000000"/>
          <w:sz w:val="24"/>
        </w:rPr>
        <w:t>1</w:t>
      </w:r>
      <w:r w:rsidR="00ED2997" w:rsidRPr="003E2211">
        <w:rPr>
          <w:color w:val="000000"/>
          <w:sz w:val="24"/>
        </w:rPr>
        <w:t>日</w:t>
      </w:r>
      <w:r w:rsidRPr="003E2211">
        <w:rPr>
          <w:rFonts w:hint="eastAsia"/>
          <w:color w:val="000000"/>
          <w:sz w:val="24"/>
        </w:rPr>
        <w:t>至</w:t>
      </w:r>
      <w:r w:rsidR="00ED2997" w:rsidRPr="003E2211">
        <w:rPr>
          <w:color w:val="000000"/>
          <w:sz w:val="24"/>
        </w:rPr>
        <w:t>2016</w:t>
      </w:r>
      <w:r w:rsidR="00ED2997" w:rsidRPr="003E2211">
        <w:rPr>
          <w:color w:val="000000"/>
          <w:sz w:val="24"/>
        </w:rPr>
        <w:t>年</w:t>
      </w:r>
      <w:r w:rsidR="00ED2997" w:rsidRPr="003E2211">
        <w:rPr>
          <w:color w:val="000000"/>
          <w:sz w:val="24"/>
        </w:rPr>
        <w:t>12</w:t>
      </w:r>
      <w:r w:rsidR="00ED2997" w:rsidRPr="003E2211">
        <w:rPr>
          <w:color w:val="000000"/>
          <w:sz w:val="24"/>
        </w:rPr>
        <w:t>月</w:t>
      </w:r>
      <w:r w:rsidR="00ED2997" w:rsidRPr="003E2211">
        <w:rPr>
          <w:color w:val="000000"/>
          <w:sz w:val="24"/>
        </w:rPr>
        <w:t>31</w:t>
      </w:r>
      <w:r w:rsidR="00ED2997" w:rsidRPr="003E2211">
        <w:rPr>
          <w:color w:val="000000"/>
          <w:sz w:val="24"/>
        </w:rPr>
        <w:t>日</w:t>
      </w:r>
    </w:p>
    <w:p w:rsidR="007B62FA" w:rsidRPr="003E2211" w:rsidRDefault="007B62FA" w:rsidP="003E2211">
      <w:pPr>
        <w:autoSpaceDE w:val="0"/>
        <w:autoSpaceDN w:val="0"/>
        <w:adjustRightInd w:val="0"/>
        <w:spacing w:before="29" w:line="288" w:lineRule="auto"/>
        <w:ind w:left="15"/>
        <w:jc w:val="right"/>
        <w:rPr>
          <w:color w:val="000000"/>
          <w:kern w:val="0"/>
          <w:sz w:val="24"/>
        </w:rPr>
      </w:pPr>
      <w:r w:rsidRPr="003E221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7B62FA" w:rsidRPr="00D0372D" w:rsidTr="0061194E">
        <w:tc>
          <w:tcPr>
            <w:tcW w:w="3459" w:type="dxa"/>
            <w:vMerge w:val="restart"/>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项目</w:t>
            </w:r>
          </w:p>
        </w:tc>
        <w:tc>
          <w:tcPr>
            <w:tcW w:w="3459" w:type="dxa"/>
            <w:gridSpan w:val="3"/>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本期</w:t>
            </w:r>
          </w:p>
          <w:p w:rsidR="007B62FA" w:rsidRPr="003E2211" w:rsidRDefault="00ED2997" w:rsidP="003E2211">
            <w:pPr>
              <w:pStyle w:val="af6"/>
              <w:spacing w:before="29" w:beforeAutospacing="0" w:after="0" w:afterAutospacing="0" w:line="288" w:lineRule="auto"/>
              <w:jc w:val="center"/>
              <w:rPr>
                <w:rFonts w:ascii="Times New Roman" w:hAnsi="Times New Roman"/>
                <w:b/>
                <w:color w:val="000000"/>
                <w:kern w:val="2"/>
              </w:rPr>
            </w:pPr>
            <w:r w:rsidRPr="003E2211">
              <w:rPr>
                <w:rFonts w:ascii="Times New Roman" w:hAnsi="Times New Roman"/>
                <w:b/>
                <w:color w:val="000000"/>
                <w:kern w:val="2"/>
              </w:rPr>
              <w:t>2016</w:t>
            </w:r>
            <w:r w:rsidRPr="003E2211">
              <w:rPr>
                <w:rFonts w:ascii="Times New Roman" w:hAnsi="Times New Roman"/>
                <w:b/>
                <w:color w:val="000000"/>
                <w:kern w:val="2"/>
              </w:rPr>
              <w:t>年</w:t>
            </w:r>
            <w:r w:rsidRPr="003E2211">
              <w:rPr>
                <w:rFonts w:ascii="Times New Roman" w:hAnsi="Times New Roman"/>
                <w:b/>
                <w:color w:val="000000"/>
                <w:kern w:val="2"/>
              </w:rPr>
              <w:t>1</w:t>
            </w:r>
            <w:r w:rsidRPr="003E2211">
              <w:rPr>
                <w:rFonts w:ascii="Times New Roman" w:hAnsi="Times New Roman"/>
                <w:b/>
                <w:color w:val="000000"/>
                <w:kern w:val="2"/>
              </w:rPr>
              <w:t>月</w:t>
            </w:r>
            <w:r w:rsidRPr="003E2211">
              <w:rPr>
                <w:rFonts w:ascii="Times New Roman" w:hAnsi="Times New Roman"/>
                <w:b/>
                <w:color w:val="000000"/>
                <w:kern w:val="2"/>
              </w:rPr>
              <w:t>1</w:t>
            </w:r>
            <w:r w:rsidRPr="003E2211">
              <w:rPr>
                <w:rFonts w:ascii="Times New Roman" w:hAnsi="Times New Roman"/>
                <w:b/>
                <w:color w:val="000000"/>
                <w:kern w:val="2"/>
              </w:rPr>
              <w:t>日</w:t>
            </w:r>
            <w:r w:rsidR="007B62FA" w:rsidRPr="003E2211">
              <w:rPr>
                <w:rFonts w:ascii="Times New Roman" w:hAnsi="Times New Roman" w:hint="eastAsia"/>
                <w:b/>
                <w:color w:val="000000"/>
                <w:kern w:val="2"/>
              </w:rPr>
              <w:t>至</w:t>
            </w:r>
            <w:r w:rsidRPr="003E2211">
              <w:rPr>
                <w:rFonts w:ascii="Times New Roman" w:hAnsi="Times New Roman"/>
                <w:b/>
                <w:color w:val="000000"/>
                <w:kern w:val="2"/>
              </w:rPr>
              <w:t>2016</w:t>
            </w:r>
            <w:r w:rsidRPr="003E2211">
              <w:rPr>
                <w:rFonts w:ascii="Times New Roman" w:hAnsi="Times New Roman"/>
                <w:b/>
                <w:color w:val="000000"/>
                <w:kern w:val="2"/>
              </w:rPr>
              <w:t>年</w:t>
            </w:r>
            <w:r w:rsidRPr="003E2211">
              <w:rPr>
                <w:rFonts w:ascii="Times New Roman" w:hAnsi="Times New Roman"/>
                <w:b/>
                <w:color w:val="000000"/>
                <w:kern w:val="2"/>
              </w:rPr>
              <w:t>12</w:t>
            </w:r>
            <w:r w:rsidRPr="003E2211">
              <w:rPr>
                <w:rFonts w:ascii="Times New Roman" w:hAnsi="Times New Roman"/>
                <w:b/>
                <w:color w:val="000000"/>
                <w:kern w:val="2"/>
              </w:rPr>
              <w:t>月</w:t>
            </w:r>
            <w:r w:rsidRPr="003E2211">
              <w:rPr>
                <w:rFonts w:ascii="Times New Roman" w:hAnsi="Times New Roman"/>
                <w:b/>
                <w:color w:val="000000"/>
                <w:kern w:val="2"/>
              </w:rPr>
              <w:t>31</w:t>
            </w:r>
            <w:r w:rsidRPr="003E2211">
              <w:rPr>
                <w:rFonts w:ascii="Times New Roman" w:hAnsi="Times New Roman"/>
                <w:b/>
                <w:color w:val="000000"/>
                <w:kern w:val="2"/>
              </w:rPr>
              <w:t>日</w:t>
            </w:r>
          </w:p>
        </w:tc>
      </w:tr>
      <w:tr w:rsidR="007B62FA" w:rsidRPr="00D0372D" w:rsidTr="0061194E">
        <w:tc>
          <w:tcPr>
            <w:tcW w:w="3459" w:type="dxa"/>
            <w:vMerge/>
            <w:vAlign w:val="center"/>
          </w:tcPr>
          <w:p w:rsidR="007B62FA" w:rsidRPr="003E2211" w:rsidRDefault="007B62FA" w:rsidP="003E2211">
            <w:pPr>
              <w:spacing w:before="29" w:line="288" w:lineRule="auto"/>
              <w:jc w:val="center"/>
              <w:rPr>
                <w:b/>
                <w:color w:val="000000"/>
                <w:sz w:val="24"/>
              </w:rPr>
            </w:pPr>
          </w:p>
        </w:tc>
        <w:tc>
          <w:tcPr>
            <w:tcW w:w="3459" w:type="dxa"/>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实收基金</w:t>
            </w:r>
          </w:p>
        </w:tc>
        <w:tc>
          <w:tcPr>
            <w:tcW w:w="3459" w:type="dxa"/>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未分配利润</w:t>
            </w:r>
          </w:p>
        </w:tc>
        <w:tc>
          <w:tcPr>
            <w:tcW w:w="3459" w:type="dxa"/>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所有者权益合计</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一、期初所有者权益（基金净值）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26,648,861.69</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3,795,845.97</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30,444,707.66</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二、本期经营活动产生的基金净值变动数（本期利润）</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1,926,796.63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1,926,796.63</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三、本期基金份额交易产生的基金净值变动数（净值减少以</w:t>
            </w:r>
            <w:r w:rsidR="00F42E1D" w:rsidRPr="00323F0D">
              <w:rPr>
                <w:color w:val="000000"/>
                <w:sz w:val="24"/>
              </w:rPr>
              <w:t>“-”</w:t>
            </w:r>
            <w:r w:rsidRPr="009C2C25">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5,414,448.37</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1,549,932.93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6,964,381.30</w:t>
            </w:r>
          </w:p>
        </w:tc>
      </w:tr>
      <w:tr w:rsidR="007B62FA" w:rsidRPr="009C2C25" w:rsidTr="0061194E">
        <w:tc>
          <w:tcPr>
            <w:tcW w:w="3459" w:type="dxa"/>
            <w:vAlign w:val="center"/>
          </w:tcPr>
          <w:p w:rsidR="007B62FA" w:rsidRPr="009C2C25" w:rsidRDefault="007B62FA" w:rsidP="00CB56FC">
            <w:pPr>
              <w:spacing w:before="29" w:line="288" w:lineRule="auto"/>
              <w:rPr>
                <w:color w:val="000000"/>
                <w:sz w:val="24"/>
              </w:rPr>
            </w:pPr>
            <w:r w:rsidRPr="009C2C25">
              <w:rPr>
                <w:rFonts w:hint="eastAsia"/>
                <w:color w:val="000000"/>
                <w:sz w:val="24"/>
              </w:rPr>
              <w:t>其中：</w:t>
            </w:r>
            <w:r w:rsidRPr="009C2C25">
              <w:rPr>
                <w:color w:val="000000"/>
                <w:sz w:val="24"/>
              </w:rPr>
              <w:t>1.</w:t>
            </w:r>
            <w:r w:rsidRPr="009C2C25">
              <w:rPr>
                <w:rFonts w:hint="eastAsia"/>
                <w:color w:val="000000"/>
                <w:sz w:val="24"/>
              </w:rPr>
              <w:t>基金申购款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13,009,704.26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2,879,830.65</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15,889,534.91</w:t>
            </w:r>
          </w:p>
        </w:tc>
      </w:tr>
      <w:tr w:rsidR="007B62FA" w:rsidRPr="009C2C25" w:rsidTr="0061194E">
        <w:tc>
          <w:tcPr>
            <w:tcW w:w="3459" w:type="dxa"/>
            <w:vAlign w:val="center"/>
          </w:tcPr>
          <w:p w:rsidR="007B62FA" w:rsidRPr="009C2C25" w:rsidRDefault="002B2919" w:rsidP="002B2919">
            <w:pPr>
              <w:spacing w:before="29" w:line="288" w:lineRule="auto"/>
              <w:rPr>
                <w:color w:val="000000"/>
                <w:sz w:val="24"/>
              </w:rPr>
            </w:pPr>
            <w:r>
              <w:rPr>
                <w:rFonts w:hint="eastAsia"/>
                <w:color w:val="000000"/>
                <w:sz w:val="24"/>
              </w:rPr>
              <w:t xml:space="preserve">     </w:t>
            </w:r>
            <w:r w:rsidR="007B62FA" w:rsidRPr="009C2C25">
              <w:rPr>
                <w:color w:val="000000"/>
                <w:sz w:val="24"/>
              </w:rPr>
              <w:t>2.</w:t>
            </w:r>
            <w:r w:rsidR="007B62FA" w:rsidRPr="009C2C25">
              <w:rPr>
                <w:rFonts w:hint="eastAsia"/>
                <w:color w:val="000000"/>
                <w:sz w:val="24"/>
              </w:rPr>
              <w:t>基金</w:t>
            </w:r>
            <w:proofErr w:type="gramStart"/>
            <w:r w:rsidR="007B62FA" w:rsidRPr="009C2C25">
              <w:rPr>
                <w:rFonts w:hint="eastAsia"/>
                <w:color w:val="000000"/>
                <w:sz w:val="24"/>
              </w:rPr>
              <w:t>赎回款</w:t>
            </w:r>
            <w:proofErr w:type="gramEnd"/>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-7,595,255.89</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-1,329,897.72</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-8,925,153.61</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四、本期向基金份</w:t>
            </w:r>
            <w:r w:rsidRPr="009C2C25">
              <w:rPr>
                <w:rFonts w:hint="eastAsia"/>
                <w:color w:val="000000"/>
                <w:sz w:val="24"/>
              </w:rPr>
              <w:lastRenderedPageBreak/>
              <w:t>额持有人分配利润产生的基金净值变动（净值减少以</w:t>
            </w:r>
            <w:r w:rsidR="00F42E1D" w:rsidRPr="00323F0D">
              <w:rPr>
                <w:color w:val="000000"/>
                <w:sz w:val="24"/>
              </w:rPr>
              <w:t>“-”</w:t>
            </w:r>
            <w:r w:rsidRPr="009C2C25">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lastRenderedPageBreak/>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lastRenderedPageBreak/>
              <w:t>五、期末所有者权益（基金净值）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32,063,310.06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7,272,575.53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39,335,885.59</w:t>
            </w:r>
          </w:p>
        </w:tc>
      </w:tr>
      <w:tr w:rsidR="007B62FA" w:rsidRPr="00D0372D" w:rsidTr="0061194E">
        <w:tc>
          <w:tcPr>
            <w:tcW w:w="3459" w:type="dxa"/>
            <w:vMerge w:val="restart"/>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项目</w:t>
            </w:r>
          </w:p>
        </w:tc>
        <w:tc>
          <w:tcPr>
            <w:tcW w:w="3459" w:type="dxa"/>
            <w:gridSpan w:val="3"/>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上年度可比期间</w:t>
            </w:r>
          </w:p>
          <w:p w:rsidR="007B62FA" w:rsidRPr="009F45DD" w:rsidRDefault="009A2393" w:rsidP="009F45DD">
            <w:pPr>
              <w:pStyle w:val="af6"/>
              <w:spacing w:before="29" w:beforeAutospacing="0" w:after="0" w:afterAutospacing="0" w:line="288" w:lineRule="auto"/>
              <w:jc w:val="center"/>
              <w:rPr>
                <w:rFonts w:ascii="Times New Roman" w:hAnsi="Times New Roman"/>
                <w:b/>
                <w:color w:val="000000"/>
                <w:kern w:val="2"/>
              </w:rPr>
            </w:pPr>
            <w:r w:rsidRPr="009F45DD">
              <w:rPr>
                <w:rFonts w:ascii="Times New Roman" w:hAnsi="Times New Roman"/>
                <w:b/>
                <w:color w:val="000000"/>
                <w:kern w:val="2"/>
              </w:rPr>
              <w:t>2015</w:t>
            </w:r>
            <w:r w:rsidRPr="009F45DD">
              <w:rPr>
                <w:rFonts w:ascii="Times New Roman" w:hAnsi="Times New Roman"/>
                <w:b/>
                <w:color w:val="000000"/>
                <w:kern w:val="2"/>
              </w:rPr>
              <w:t>年</w:t>
            </w:r>
            <w:r w:rsidRPr="009F45DD">
              <w:rPr>
                <w:rFonts w:ascii="Times New Roman" w:hAnsi="Times New Roman"/>
                <w:b/>
                <w:color w:val="000000"/>
                <w:kern w:val="2"/>
              </w:rPr>
              <w:t>1</w:t>
            </w:r>
            <w:r w:rsidRPr="009F45DD">
              <w:rPr>
                <w:rFonts w:ascii="Times New Roman" w:hAnsi="Times New Roman"/>
                <w:b/>
                <w:color w:val="000000"/>
                <w:kern w:val="2"/>
              </w:rPr>
              <w:t>月</w:t>
            </w:r>
            <w:r w:rsidRPr="009F45DD">
              <w:rPr>
                <w:rFonts w:ascii="Times New Roman" w:hAnsi="Times New Roman"/>
                <w:b/>
                <w:color w:val="000000"/>
                <w:kern w:val="2"/>
              </w:rPr>
              <w:t>1</w:t>
            </w:r>
            <w:r w:rsidRPr="009F45DD">
              <w:rPr>
                <w:rFonts w:ascii="Times New Roman" w:hAnsi="Times New Roman"/>
                <w:b/>
                <w:color w:val="000000"/>
                <w:kern w:val="2"/>
              </w:rPr>
              <w:t>日至</w:t>
            </w:r>
            <w:r w:rsidRPr="009F45DD">
              <w:rPr>
                <w:rFonts w:ascii="Times New Roman" w:hAnsi="Times New Roman"/>
                <w:b/>
                <w:color w:val="000000"/>
                <w:kern w:val="2"/>
              </w:rPr>
              <w:t>2015</w:t>
            </w:r>
            <w:r w:rsidRPr="009F45DD">
              <w:rPr>
                <w:rFonts w:ascii="Times New Roman" w:hAnsi="Times New Roman"/>
                <w:b/>
                <w:color w:val="000000"/>
                <w:kern w:val="2"/>
              </w:rPr>
              <w:t>年</w:t>
            </w:r>
            <w:r w:rsidRPr="009F45DD">
              <w:rPr>
                <w:rFonts w:ascii="Times New Roman" w:hAnsi="Times New Roman"/>
                <w:b/>
                <w:color w:val="000000"/>
                <w:kern w:val="2"/>
              </w:rPr>
              <w:t>12</w:t>
            </w:r>
            <w:r w:rsidRPr="009F45DD">
              <w:rPr>
                <w:rFonts w:ascii="Times New Roman" w:hAnsi="Times New Roman"/>
                <w:b/>
                <w:color w:val="000000"/>
                <w:kern w:val="2"/>
              </w:rPr>
              <w:t>月</w:t>
            </w:r>
            <w:r w:rsidRPr="009F45DD">
              <w:rPr>
                <w:rFonts w:ascii="Times New Roman" w:hAnsi="Times New Roman"/>
                <w:b/>
                <w:color w:val="000000"/>
                <w:kern w:val="2"/>
              </w:rPr>
              <w:t>31</w:t>
            </w:r>
            <w:r w:rsidRPr="009F45DD">
              <w:rPr>
                <w:rFonts w:ascii="Times New Roman" w:hAnsi="Times New Roman"/>
                <w:b/>
                <w:color w:val="000000"/>
                <w:kern w:val="2"/>
              </w:rPr>
              <w:t>日</w:t>
            </w:r>
          </w:p>
        </w:tc>
      </w:tr>
      <w:tr w:rsidR="007B62FA" w:rsidRPr="00D0372D" w:rsidTr="0061194E">
        <w:tc>
          <w:tcPr>
            <w:tcW w:w="3459" w:type="dxa"/>
            <w:vMerge/>
            <w:vAlign w:val="center"/>
          </w:tcPr>
          <w:p w:rsidR="007B62FA" w:rsidRPr="009F45DD" w:rsidRDefault="007B62FA" w:rsidP="009F45DD">
            <w:pPr>
              <w:spacing w:before="29" w:line="288" w:lineRule="auto"/>
              <w:jc w:val="center"/>
              <w:rPr>
                <w:b/>
                <w:color w:val="000000"/>
                <w:sz w:val="24"/>
              </w:rPr>
            </w:pPr>
          </w:p>
        </w:tc>
        <w:tc>
          <w:tcPr>
            <w:tcW w:w="3459" w:type="dxa"/>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实收基金</w:t>
            </w:r>
          </w:p>
        </w:tc>
        <w:tc>
          <w:tcPr>
            <w:tcW w:w="3459" w:type="dxa"/>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未分配利润</w:t>
            </w:r>
          </w:p>
        </w:tc>
        <w:tc>
          <w:tcPr>
            <w:tcW w:w="3459" w:type="dxa"/>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所有者权益合计</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一、期初所有者权益（基金净值）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4,030,757.13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720,399.77</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4,751,156.90</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二、本期经营活动产生的基金净值变动数（本期利润）</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-20,785,117.33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-20,785,117.33</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三、本期基金份额交易产生的基金净值变动数（净值减少以</w:t>
            </w:r>
            <w:r w:rsidR="00F42E1D" w:rsidRPr="00323F0D">
              <w:rPr>
                <w:color w:val="000000"/>
                <w:sz w:val="24"/>
              </w:rPr>
              <w:t>“-”</w:t>
            </w:r>
            <w:r w:rsidRPr="003E2211">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22,618,104.56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23,860,563.53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46,478,668.09</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其中：</w:t>
            </w:r>
            <w:r w:rsidRPr="003E2211">
              <w:rPr>
                <w:color w:val="000000"/>
                <w:sz w:val="24"/>
              </w:rPr>
              <w:t>1.</w:t>
            </w:r>
            <w:r w:rsidRPr="003E2211">
              <w:rPr>
                <w:rFonts w:hint="eastAsia"/>
                <w:color w:val="000000"/>
                <w:sz w:val="24"/>
              </w:rPr>
              <w:t>基金申购款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153,940,197.99</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55,132,460.57</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209,072,658.56</w:t>
            </w:r>
          </w:p>
        </w:tc>
      </w:tr>
      <w:tr w:rsidR="007B62FA" w:rsidRPr="00D0372D" w:rsidTr="0061194E">
        <w:tc>
          <w:tcPr>
            <w:tcW w:w="3459" w:type="dxa"/>
            <w:vAlign w:val="center"/>
          </w:tcPr>
          <w:p w:rsidR="007B62FA" w:rsidRPr="005A0ED5" w:rsidRDefault="001C4E1B" w:rsidP="001C4E1B">
            <w:pPr>
              <w:spacing w:before="29" w:line="288" w:lineRule="auto"/>
              <w:rPr>
                <w:color w:val="000000"/>
                <w:sz w:val="24"/>
              </w:rPr>
            </w:pPr>
            <w:r>
              <w:rPr>
                <w:rFonts w:hint="eastAsia"/>
                <w:color w:val="000000"/>
                <w:sz w:val="24"/>
              </w:rPr>
              <w:t xml:space="preserve">     </w:t>
            </w:r>
            <w:r w:rsidR="007B62FA" w:rsidRPr="005A0ED5">
              <w:rPr>
                <w:color w:val="000000"/>
                <w:sz w:val="24"/>
              </w:rPr>
              <w:t>2.</w:t>
            </w:r>
            <w:r w:rsidR="007B62FA" w:rsidRPr="005A0ED5">
              <w:rPr>
                <w:rFonts w:hint="eastAsia"/>
                <w:color w:val="000000"/>
                <w:sz w:val="24"/>
              </w:rPr>
              <w:t>基金</w:t>
            </w:r>
            <w:proofErr w:type="gramStart"/>
            <w:r w:rsidR="007B62FA" w:rsidRPr="005A0ED5">
              <w:rPr>
                <w:rFonts w:hint="eastAsia"/>
                <w:color w:val="000000"/>
                <w:sz w:val="24"/>
              </w:rPr>
              <w:t>赎回款</w:t>
            </w:r>
            <w:proofErr w:type="gramEnd"/>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-131,322,093.43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-31,271,897.04</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-162,593,990.47</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四、本期向基金份额持有人分配利润产生的基金净值变动（净值减少以</w:t>
            </w:r>
            <w:r w:rsidR="00F42E1D" w:rsidRPr="00323F0D">
              <w:rPr>
                <w:color w:val="000000"/>
                <w:sz w:val="24"/>
              </w:rPr>
              <w:t>“-”</w:t>
            </w:r>
            <w:r w:rsidRPr="003E2211">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五、期末所有者权益（基金净值）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26,648,861.69</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3,795,845.97</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30,444,707.66</w:t>
            </w:r>
          </w:p>
        </w:tc>
      </w:tr>
    </w:tbl>
    <w:p w:rsidR="007B62FA" w:rsidRPr="00D0372D" w:rsidRDefault="007B62FA" w:rsidP="00D0372D">
      <w:pPr>
        <w:spacing w:line="360" w:lineRule="auto"/>
        <w:ind w:firstLineChars="200" w:firstLine="420"/>
        <w:jc w:val="left"/>
        <w:rPr>
          <w:rFonts w:ascii="宋体" w:hAnsi="宋体"/>
          <w:color w:val="000000"/>
          <w:kern w:val="0"/>
          <w:szCs w:val="21"/>
        </w:rPr>
      </w:pPr>
    </w:p>
    <w:p w:rsidR="00C53104" w:rsidRPr="00054D7C" w:rsidRDefault="00C53104" w:rsidP="00054D7C">
      <w:pPr>
        <w:spacing w:before="29" w:line="288" w:lineRule="auto"/>
        <w:rPr>
          <w:sz w:val="24"/>
        </w:rPr>
      </w:pPr>
      <w:r w:rsidRPr="00054D7C">
        <w:rPr>
          <w:rFonts w:hint="eastAsia"/>
          <w:sz w:val="24"/>
        </w:rPr>
        <w:t>报表附注为财务报表的组成部分。</w:t>
      </w:r>
    </w:p>
    <w:p w:rsidR="00C53104" w:rsidRPr="00054D7C" w:rsidRDefault="00C53104" w:rsidP="00054D7C">
      <w:pPr>
        <w:spacing w:before="29" w:line="288" w:lineRule="auto"/>
        <w:rPr>
          <w:sz w:val="24"/>
        </w:rPr>
      </w:pPr>
      <w:r w:rsidRPr="00054D7C">
        <w:rPr>
          <w:rFonts w:hint="eastAsia"/>
          <w:sz w:val="24"/>
        </w:rPr>
        <w:t>本报告</w:t>
      </w:r>
      <w:r w:rsidR="003237EC" w:rsidRPr="00054D7C">
        <w:rPr>
          <w:rFonts w:hint="eastAsia"/>
          <w:sz w:val="24"/>
        </w:rPr>
        <w:t>页码（序号）从</w:t>
      </w:r>
      <w:r w:rsidRPr="00054D7C">
        <w:rPr>
          <w:rFonts w:hint="eastAsia"/>
          <w:sz w:val="24"/>
        </w:rPr>
        <w:t>7.1</w:t>
      </w:r>
      <w:r w:rsidRPr="00054D7C">
        <w:rPr>
          <w:rFonts w:hint="eastAsia"/>
          <w:sz w:val="24"/>
        </w:rPr>
        <w:t>至</w:t>
      </w:r>
      <w:r w:rsidRPr="00054D7C">
        <w:rPr>
          <w:rFonts w:hint="eastAsia"/>
          <w:sz w:val="24"/>
        </w:rPr>
        <w:t>7.4</w:t>
      </w:r>
      <w:r w:rsidRPr="00054D7C">
        <w:rPr>
          <w:rFonts w:hint="eastAsia"/>
          <w:sz w:val="24"/>
        </w:rPr>
        <w:t>，财务报表由下列负责人签署：</w:t>
      </w:r>
    </w:p>
    <w:p w:rsidR="00C53104" w:rsidRPr="00054D7C" w:rsidRDefault="004058FB" w:rsidP="00054D7C">
      <w:pPr>
        <w:spacing w:before="29" w:line="288" w:lineRule="auto"/>
        <w:rPr>
          <w:sz w:val="24"/>
        </w:rPr>
      </w:pPr>
      <w:r w:rsidRPr="00054D7C">
        <w:rPr>
          <w:rFonts w:hint="eastAsia"/>
          <w:sz w:val="24"/>
        </w:rPr>
        <w:t>基金管理人</w:t>
      </w:r>
      <w:r w:rsidR="00C53104" w:rsidRPr="00054D7C">
        <w:rPr>
          <w:rFonts w:hint="eastAsia"/>
          <w:sz w:val="24"/>
        </w:rPr>
        <w:t>负责人：阮红，主管会计工作负责人：</w:t>
      </w:r>
      <w:proofErr w:type="gramStart"/>
      <w:r w:rsidR="00C53104" w:rsidRPr="00054D7C">
        <w:rPr>
          <w:rFonts w:hint="eastAsia"/>
          <w:sz w:val="24"/>
        </w:rPr>
        <w:t>夏华龙</w:t>
      </w:r>
      <w:proofErr w:type="gramEnd"/>
      <w:r w:rsidR="00C53104" w:rsidRPr="00054D7C">
        <w:rPr>
          <w:rFonts w:hint="eastAsia"/>
          <w:sz w:val="24"/>
        </w:rPr>
        <w:t>，会计机构负责人：单江</w:t>
      </w:r>
    </w:p>
    <w:p w:rsidR="007B62FA" w:rsidRPr="00D0372D" w:rsidRDefault="007B62FA" w:rsidP="00C03E37">
      <w:pPr>
        <w:spacing w:line="360" w:lineRule="auto"/>
        <w:ind w:firstLineChars="200" w:firstLine="420"/>
        <w:rPr>
          <w:rFonts w:ascii="宋体" w:hAnsi="宋体"/>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3" w:name="_Toc225498271"/>
      <w:bookmarkStart w:id="244" w:name="_Toc352255994"/>
      <w:bookmarkStart w:id="245" w:name="_Toc352256062"/>
      <w:bookmarkStart w:id="246" w:name="_Toc352331240"/>
      <w:bookmarkStart w:id="247" w:name="_Toc362424018"/>
      <w:bookmarkStart w:id="248" w:name="_Toc478411415"/>
      <w:r w:rsidRPr="00E609DE">
        <w:rPr>
          <w:rFonts w:ascii="Times New Roman" w:hAnsi="Times New Roman"/>
          <w:kern w:val="0"/>
          <w:szCs w:val="24"/>
        </w:rPr>
        <w:t xml:space="preserve">7.4 </w:t>
      </w:r>
      <w:r w:rsidRPr="00E609DE">
        <w:rPr>
          <w:rFonts w:ascii="Times New Roman" w:hAnsi="Times New Roman" w:hint="eastAsia"/>
          <w:kern w:val="0"/>
          <w:szCs w:val="24"/>
        </w:rPr>
        <w:t>报表附注</w:t>
      </w:r>
      <w:bookmarkEnd w:id="243"/>
      <w:bookmarkEnd w:id="244"/>
      <w:bookmarkEnd w:id="245"/>
      <w:bookmarkEnd w:id="246"/>
      <w:bookmarkEnd w:id="247"/>
      <w:bookmarkEnd w:id="248"/>
    </w:p>
    <w:p w:rsidR="007B62FA" w:rsidRPr="00E609DE" w:rsidRDefault="007B62FA" w:rsidP="00E609DE">
      <w:pPr>
        <w:pStyle w:val="20"/>
        <w:spacing w:before="29" w:after="0" w:line="288" w:lineRule="auto"/>
        <w:rPr>
          <w:rFonts w:ascii="Times New Roman" w:hAnsi="Times New Roman"/>
          <w:kern w:val="0"/>
          <w:szCs w:val="24"/>
        </w:rPr>
      </w:pPr>
      <w:bookmarkStart w:id="249" w:name="_Toc478410241"/>
      <w:bookmarkStart w:id="250" w:name="_Toc478411416"/>
      <w:r w:rsidRPr="00E609DE">
        <w:rPr>
          <w:rFonts w:ascii="Times New Roman" w:hAnsi="Times New Roman"/>
          <w:kern w:val="0"/>
          <w:szCs w:val="24"/>
        </w:rPr>
        <w:t>7.4.1</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基金基本情况</w:t>
      </w:r>
      <w:bookmarkEnd w:id="249"/>
      <w:bookmarkEnd w:id="250"/>
    </w:p>
    <w:p w:rsidR="00B536C4" w:rsidRDefault="00CC45D2">
      <w:pPr>
        <w:tabs>
          <w:tab w:val="left" w:pos="426"/>
        </w:tabs>
        <w:spacing w:before="29" w:line="288" w:lineRule="auto"/>
        <w:ind w:firstLineChars="200" w:firstLine="480"/>
        <w:rPr>
          <w:kern w:val="0"/>
          <w:sz w:val="24"/>
        </w:rPr>
      </w:pPr>
      <w:r>
        <w:rPr>
          <w:kern w:val="0"/>
          <w:sz w:val="24"/>
        </w:rPr>
        <w:t>交银施罗德全球自然资源证券投资基金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w:t>
      </w:r>
      <w:r>
        <w:rPr>
          <w:kern w:val="0"/>
          <w:sz w:val="24"/>
        </w:rPr>
        <w:lastRenderedPageBreak/>
        <w:t>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[2011]</w:t>
      </w:r>
      <w:r>
        <w:rPr>
          <w:kern w:val="0"/>
          <w:sz w:val="24"/>
        </w:rPr>
        <w:t>第</w:t>
      </w:r>
      <w:r>
        <w:rPr>
          <w:kern w:val="0"/>
          <w:sz w:val="24"/>
        </w:rPr>
        <w:t>1628</w:t>
      </w:r>
      <w:r>
        <w:rPr>
          <w:kern w:val="0"/>
          <w:sz w:val="24"/>
        </w:rPr>
        <w:t>号《关于核准交银施罗德全球自然资源证券投资基金募集的批复》核准，由交银施罗德基金管理有限公司依照《中华人民共和国证券投资基金法》和《交银施罗德全球自然资源证券投资基金基金合同》负责公开募集。本基金为契约型开放式，存续期限不定，首次设立募集不包括认购资金利息共募集人民币</w:t>
      </w:r>
      <w:r>
        <w:rPr>
          <w:kern w:val="0"/>
          <w:sz w:val="24"/>
        </w:rPr>
        <w:t>628,260,071.31</w:t>
      </w:r>
      <w:r>
        <w:rPr>
          <w:kern w:val="0"/>
          <w:sz w:val="24"/>
        </w:rPr>
        <w:t>元，业经普华永道中天会计师事务所有限公司普华永道</w:t>
      </w:r>
      <w:proofErr w:type="gramStart"/>
      <w:r>
        <w:rPr>
          <w:kern w:val="0"/>
          <w:sz w:val="24"/>
        </w:rPr>
        <w:t>中天验字</w:t>
      </w:r>
      <w:proofErr w:type="gramEnd"/>
      <w:r>
        <w:rPr>
          <w:kern w:val="0"/>
          <w:sz w:val="24"/>
        </w:rPr>
        <w:t>(2012)</w:t>
      </w:r>
      <w:r>
        <w:rPr>
          <w:kern w:val="0"/>
          <w:sz w:val="24"/>
        </w:rPr>
        <w:t>第</w:t>
      </w:r>
      <w:r>
        <w:rPr>
          <w:kern w:val="0"/>
          <w:sz w:val="24"/>
        </w:rPr>
        <w:t>139</w:t>
      </w:r>
      <w:r>
        <w:rPr>
          <w:kern w:val="0"/>
          <w:sz w:val="24"/>
        </w:rPr>
        <w:t>号验资报告予以验证。经向中国证监会备案，《交银施罗德全球自然资源证券投资基金基金合同》于</w:t>
      </w:r>
      <w:r>
        <w:rPr>
          <w:kern w:val="0"/>
          <w:sz w:val="24"/>
        </w:rPr>
        <w:t>2012</w:t>
      </w:r>
      <w:r>
        <w:rPr>
          <w:kern w:val="0"/>
          <w:sz w:val="24"/>
        </w:rPr>
        <w:t>年</w:t>
      </w:r>
      <w:r>
        <w:rPr>
          <w:kern w:val="0"/>
          <w:sz w:val="24"/>
        </w:rPr>
        <w:t>5</w:t>
      </w:r>
      <w:r>
        <w:rPr>
          <w:kern w:val="0"/>
          <w:sz w:val="24"/>
        </w:rPr>
        <w:t>月</w:t>
      </w:r>
      <w:r>
        <w:rPr>
          <w:kern w:val="0"/>
          <w:sz w:val="24"/>
        </w:rPr>
        <w:t>22</w:t>
      </w:r>
      <w:r>
        <w:rPr>
          <w:kern w:val="0"/>
          <w:sz w:val="24"/>
        </w:rPr>
        <w:t>日正式生效，基金合同生效日的基金份额总额为</w:t>
      </w:r>
      <w:r>
        <w:rPr>
          <w:kern w:val="0"/>
          <w:sz w:val="24"/>
        </w:rPr>
        <w:t xml:space="preserve"> 628,520,198.14</w:t>
      </w:r>
      <w:r>
        <w:rPr>
          <w:kern w:val="0"/>
          <w:sz w:val="24"/>
        </w:rPr>
        <w:t>份基金份额，其中认购资金利息折合</w:t>
      </w:r>
      <w:r>
        <w:rPr>
          <w:kern w:val="0"/>
          <w:sz w:val="24"/>
        </w:rPr>
        <w:t>260,126.83</w:t>
      </w:r>
      <w:r>
        <w:rPr>
          <w:kern w:val="0"/>
          <w:sz w:val="24"/>
        </w:rPr>
        <w:t>份基金份额。本基金的基金管理人为交银施罗德基金管理有限公司，基金托管人为中国建设银行股份有限公司，境外资产托管人为摩根大通银行</w:t>
      </w:r>
      <w:r>
        <w:rPr>
          <w:kern w:val="0"/>
          <w:sz w:val="24"/>
        </w:rPr>
        <w:t>(JPMorgan &amp;Chase Bank, N.A.)</w:t>
      </w:r>
      <w:r>
        <w:rPr>
          <w:kern w:val="0"/>
          <w:sz w:val="24"/>
        </w:rPr>
        <w:t>，境外投资顾问为施罗德投资管理有限公司</w:t>
      </w:r>
      <w:r>
        <w:rPr>
          <w:kern w:val="0"/>
          <w:sz w:val="24"/>
        </w:rPr>
        <w:t>(Schroder Investment Management Limited)</w:t>
      </w:r>
      <w:r>
        <w:rPr>
          <w:kern w:val="0"/>
          <w:sz w:val="24"/>
        </w:rPr>
        <w:t>。</w:t>
      </w:r>
    </w:p>
    <w:p w:rsidR="00B536C4" w:rsidRDefault="00CC45D2">
      <w:pPr>
        <w:tabs>
          <w:tab w:val="left" w:pos="426"/>
        </w:tabs>
        <w:spacing w:before="29" w:line="288" w:lineRule="auto"/>
        <w:ind w:firstLineChars="200" w:firstLine="480"/>
        <w:rPr>
          <w:kern w:val="0"/>
          <w:sz w:val="24"/>
        </w:rPr>
      </w:pPr>
      <w:r>
        <w:rPr>
          <w:kern w:val="0"/>
          <w:sz w:val="24"/>
        </w:rPr>
        <w:t>根据《中华人民共和国证券投资基金法》、《合格境内机构投资者境外证券投资管理试行办法》和《交银施罗德全球自然资源证券投资基金基金合同》的有关规定，本基金的投资范围为在已与中国证监会签署双边监管合作谅解备忘录的国家或地区证券市场挂牌交易的股票</w:t>
      </w:r>
      <w:r>
        <w:rPr>
          <w:kern w:val="0"/>
          <w:sz w:val="24"/>
        </w:rPr>
        <w:t>(</w:t>
      </w:r>
      <w:r>
        <w:rPr>
          <w:kern w:val="0"/>
          <w:sz w:val="24"/>
        </w:rPr>
        <w:t>包括股票存托凭证</w:t>
      </w:r>
      <w:r>
        <w:rPr>
          <w:kern w:val="0"/>
          <w:sz w:val="24"/>
        </w:rPr>
        <w:t>)</w:t>
      </w:r>
      <w:r>
        <w:rPr>
          <w:kern w:val="0"/>
          <w:sz w:val="24"/>
        </w:rPr>
        <w:t>，于已与中国证监会签署双边监管合作谅解备忘录的国家或地区证券监管机构登记注册的公募基金，债券，货币市场工具以及中国证监会允许本基金投资的其他金融工具。本基金的投资组合为：股票、存托凭证、权证、股票基金</w:t>
      </w:r>
      <w:r>
        <w:rPr>
          <w:kern w:val="0"/>
          <w:sz w:val="24"/>
        </w:rPr>
        <w:t>(</w:t>
      </w:r>
      <w:r>
        <w:rPr>
          <w:kern w:val="0"/>
          <w:sz w:val="24"/>
        </w:rPr>
        <w:t>含</w:t>
      </w:r>
      <w:r>
        <w:rPr>
          <w:kern w:val="0"/>
          <w:sz w:val="24"/>
        </w:rPr>
        <w:t>ETF)</w:t>
      </w:r>
      <w:r>
        <w:rPr>
          <w:kern w:val="0"/>
          <w:sz w:val="24"/>
        </w:rPr>
        <w:t>等权益类证券占基金资产净值的</w:t>
      </w:r>
      <w:r>
        <w:rPr>
          <w:kern w:val="0"/>
          <w:sz w:val="24"/>
        </w:rPr>
        <w:t>60%-100%</w:t>
      </w:r>
      <w:r>
        <w:rPr>
          <w:kern w:val="0"/>
          <w:sz w:val="24"/>
        </w:rPr>
        <w:t>，其中权益类资产中不低于</w:t>
      </w:r>
      <w:r>
        <w:rPr>
          <w:kern w:val="0"/>
          <w:sz w:val="24"/>
        </w:rPr>
        <w:t>80%</w:t>
      </w:r>
      <w:r>
        <w:rPr>
          <w:kern w:val="0"/>
          <w:sz w:val="24"/>
        </w:rPr>
        <w:t>配置于自然资源相关行业股票；债券、货币市场工具、现金及中国证监会允许基金投资的其他证券品种占基金资产的</w:t>
      </w:r>
      <w:r>
        <w:rPr>
          <w:kern w:val="0"/>
          <w:sz w:val="24"/>
        </w:rPr>
        <w:t>0%-40%</w:t>
      </w:r>
      <w:r>
        <w:rPr>
          <w:kern w:val="0"/>
          <w:sz w:val="24"/>
        </w:rPr>
        <w:t>。本基金的业绩比较基准为：</w:t>
      </w:r>
      <w:r>
        <w:rPr>
          <w:kern w:val="0"/>
          <w:sz w:val="24"/>
        </w:rPr>
        <w:t>MSCI</w:t>
      </w:r>
      <w:r>
        <w:rPr>
          <w:kern w:val="0"/>
          <w:sz w:val="24"/>
        </w:rPr>
        <w:t>全球原材料总收益指数收益率</w:t>
      </w:r>
      <w:r>
        <w:rPr>
          <w:kern w:val="0"/>
          <w:sz w:val="24"/>
        </w:rPr>
        <w:t>×65%</w:t>
      </w:r>
      <w:r>
        <w:rPr>
          <w:kern w:val="0"/>
          <w:sz w:val="24"/>
        </w:rPr>
        <w:t>＋</w:t>
      </w:r>
      <w:r>
        <w:rPr>
          <w:kern w:val="0"/>
          <w:sz w:val="24"/>
        </w:rPr>
        <w:t>MSCI</w:t>
      </w:r>
      <w:r>
        <w:rPr>
          <w:kern w:val="0"/>
          <w:sz w:val="24"/>
        </w:rPr>
        <w:t>全球能源总收益指数收益率</w:t>
      </w:r>
      <w:r>
        <w:rPr>
          <w:kern w:val="0"/>
          <w:sz w:val="24"/>
        </w:rPr>
        <w:t>×35%</w:t>
      </w:r>
      <w:r>
        <w:rPr>
          <w:kern w:val="0"/>
          <w:sz w:val="24"/>
        </w:rPr>
        <w:t>。</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本财务报表由本基金的基金管理人交银施罗德基金管理有限公司于</w:t>
      </w:r>
      <w:r w:rsidRPr="004F7919">
        <w:rPr>
          <w:kern w:val="0"/>
          <w:sz w:val="24"/>
        </w:rPr>
        <w:t>201</w:t>
      </w:r>
      <w:r w:rsidR="00CC42B9">
        <w:rPr>
          <w:kern w:val="0"/>
          <w:sz w:val="24"/>
        </w:rPr>
        <w:t>7</w:t>
      </w:r>
      <w:r w:rsidRPr="004F7919">
        <w:rPr>
          <w:kern w:val="0"/>
          <w:sz w:val="24"/>
        </w:rPr>
        <w:t>年</w:t>
      </w:r>
      <w:r w:rsidRPr="004F7919">
        <w:rPr>
          <w:kern w:val="0"/>
          <w:sz w:val="24"/>
        </w:rPr>
        <w:t>3</w:t>
      </w:r>
      <w:r w:rsidRPr="004F7919">
        <w:rPr>
          <w:kern w:val="0"/>
          <w:sz w:val="24"/>
        </w:rPr>
        <w:t>月</w:t>
      </w:r>
      <w:r w:rsidR="00CC42B9">
        <w:rPr>
          <w:kern w:val="0"/>
          <w:sz w:val="24"/>
        </w:rPr>
        <w:t>24</w:t>
      </w:r>
      <w:r w:rsidRPr="004F7919">
        <w:rPr>
          <w:kern w:val="0"/>
          <w:sz w:val="24"/>
        </w:rPr>
        <w:t>日批准报出。</w:t>
      </w:r>
    </w:p>
    <w:p w:rsidR="007B62FA" w:rsidRPr="00D0372D" w:rsidRDefault="007B62FA" w:rsidP="00C03E37">
      <w:pPr>
        <w:tabs>
          <w:tab w:val="left" w:pos="2265"/>
        </w:tabs>
        <w:spacing w:line="360" w:lineRule="auto"/>
        <w:ind w:firstLineChars="200" w:firstLine="420"/>
        <w:rPr>
          <w:rFonts w:ascii="宋体" w:hAnsi="宋体"/>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1" w:name="_Toc478410242"/>
      <w:bookmarkStart w:id="252" w:name="_Toc478411417"/>
      <w:r w:rsidRPr="00E609DE">
        <w:rPr>
          <w:rFonts w:ascii="Times New Roman" w:hAnsi="Times New Roman"/>
          <w:kern w:val="0"/>
          <w:szCs w:val="24"/>
        </w:rPr>
        <w:t>7.4.2</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会计报表的编制基础</w:t>
      </w:r>
      <w:bookmarkEnd w:id="251"/>
      <w:bookmarkEnd w:id="252"/>
    </w:p>
    <w:p w:rsidR="00B536C4" w:rsidRDefault="00CC45D2">
      <w:pPr>
        <w:tabs>
          <w:tab w:val="left" w:pos="426"/>
        </w:tabs>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颁布的《证券投资基金会计核算业务指引》、《交银施罗德全球自然资源证券投资基金基金合同》和在财务报表附注</w:t>
      </w:r>
      <w:r>
        <w:rPr>
          <w:kern w:val="0"/>
          <w:sz w:val="24"/>
        </w:rPr>
        <w:t>7.4.4</w:t>
      </w:r>
      <w:r>
        <w:rPr>
          <w:kern w:val="0"/>
          <w:sz w:val="24"/>
        </w:rPr>
        <w:t>所列示的中国证监会、中国基金业协会发布的有关规定及允许的基金行业实务操作编制。</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根据《公开募集证券投资基金运作管理办法》的相关规定，开放式基金在基金合同生效后，连续</w:t>
      </w:r>
      <w:r w:rsidRPr="004F7919">
        <w:rPr>
          <w:kern w:val="0"/>
          <w:sz w:val="24"/>
        </w:rPr>
        <w:t>60</w:t>
      </w:r>
      <w:r w:rsidRPr="004F7919">
        <w:rPr>
          <w:kern w:val="0"/>
          <w:sz w:val="24"/>
        </w:rPr>
        <w:t>个工作日出现基金份额持有人数量不满</w:t>
      </w:r>
      <w:r w:rsidRPr="004F7919">
        <w:rPr>
          <w:kern w:val="0"/>
          <w:sz w:val="24"/>
        </w:rPr>
        <w:t>200</w:t>
      </w:r>
      <w:r w:rsidRPr="004F7919">
        <w:rPr>
          <w:kern w:val="0"/>
          <w:sz w:val="24"/>
        </w:rPr>
        <w:t>人或者基金资产净值低于</w:t>
      </w:r>
      <w:r w:rsidRPr="004F7919">
        <w:rPr>
          <w:kern w:val="0"/>
          <w:sz w:val="24"/>
        </w:rPr>
        <w:t>5000</w:t>
      </w:r>
      <w:r w:rsidRPr="004F7919">
        <w:rPr>
          <w:kern w:val="0"/>
          <w:sz w:val="24"/>
        </w:rPr>
        <w:t>万元情形的，基金管理人应当向中国证监会报告并提出解决方案，如转换运作方式、与其他基金合并或者终止基金合同等，并召开基金份额持有人大会进行表决。本基金于</w:t>
      </w:r>
      <w:r w:rsidR="00B378A6" w:rsidRPr="004F7919">
        <w:rPr>
          <w:kern w:val="0"/>
          <w:sz w:val="24"/>
        </w:rPr>
        <w:t>201</w:t>
      </w:r>
      <w:r w:rsidR="00B378A6">
        <w:rPr>
          <w:kern w:val="0"/>
          <w:sz w:val="24"/>
        </w:rPr>
        <w:t>6</w:t>
      </w:r>
      <w:r w:rsidRPr="004F7919">
        <w:rPr>
          <w:kern w:val="0"/>
          <w:sz w:val="24"/>
        </w:rPr>
        <w:t>年度出现连续</w:t>
      </w:r>
      <w:r w:rsidRPr="004F7919">
        <w:rPr>
          <w:kern w:val="0"/>
          <w:sz w:val="24"/>
        </w:rPr>
        <w:t>60</w:t>
      </w:r>
      <w:r w:rsidRPr="004F7919">
        <w:rPr>
          <w:kern w:val="0"/>
          <w:sz w:val="24"/>
        </w:rPr>
        <w:t>个工作日基金资产净值低于</w:t>
      </w:r>
      <w:r w:rsidRPr="004F7919">
        <w:rPr>
          <w:kern w:val="0"/>
          <w:sz w:val="24"/>
        </w:rPr>
        <w:t>5000</w:t>
      </w:r>
      <w:r w:rsidRPr="004F7919">
        <w:rPr>
          <w:kern w:val="0"/>
          <w:sz w:val="24"/>
        </w:rPr>
        <w:t>万元的情形，本基金的基金管理人已向中国证监会报告并在评估后续处理方案，故本财务报表以持续经营为编制基础。</w:t>
      </w:r>
    </w:p>
    <w:p w:rsidR="007B62FA" w:rsidRPr="00E609DE" w:rsidRDefault="007B62FA" w:rsidP="00E609DE">
      <w:pPr>
        <w:pStyle w:val="20"/>
        <w:spacing w:before="29" w:after="0" w:line="288" w:lineRule="auto"/>
        <w:rPr>
          <w:rFonts w:ascii="Times New Roman" w:hAnsi="Times New Roman"/>
          <w:kern w:val="0"/>
          <w:szCs w:val="24"/>
        </w:rPr>
      </w:pPr>
      <w:bookmarkStart w:id="253" w:name="_Toc478410243"/>
      <w:bookmarkStart w:id="254" w:name="_Toc478411418"/>
      <w:r w:rsidRPr="00E609DE">
        <w:rPr>
          <w:rFonts w:ascii="Times New Roman" w:hAnsi="Times New Roman"/>
          <w:kern w:val="0"/>
          <w:szCs w:val="24"/>
        </w:rPr>
        <w:lastRenderedPageBreak/>
        <w:t>7.4.3</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遵循企业会计准则及其他有关规定的声明</w:t>
      </w:r>
      <w:bookmarkEnd w:id="253"/>
      <w:bookmarkEnd w:id="254"/>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w:t>
      </w:r>
      <w:r w:rsidRPr="004F7919">
        <w:rPr>
          <w:kern w:val="0"/>
          <w:sz w:val="24"/>
        </w:rPr>
        <w:t>2016</w:t>
      </w:r>
      <w:r w:rsidRPr="004F7919">
        <w:rPr>
          <w:kern w:val="0"/>
          <w:sz w:val="24"/>
        </w:rPr>
        <w:t>年度财务报表符合企业会计准则的要求，真实、完整地反映了本基金</w:t>
      </w:r>
      <w:r w:rsidRPr="004F7919">
        <w:rPr>
          <w:kern w:val="0"/>
          <w:sz w:val="24"/>
        </w:rPr>
        <w:t>2016</w:t>
      </w:r>
      <w:r w:rsidRPr="004F7919">
        <w:rPr>
          <w:kern w:val="0"/>
          <w:sz w:val="24"/>
        </w:rPr>
        <w:t>年</w:t>
      </w:r>
      <w:r w:rsidRPr="004F7919">
        <w:rPr>
          <w:kern w:val="0"/>
          <w:sz w:val="24"/>
        </w:rPr>
        <w:t>12</w:t>
      </w:r>
      <w:r w:rsidRPr="004F7919">
        <w:rPr>
          <w:kern w:val="0"/>
          <w:sz w:val="24"/>
        </w:rPr>
        <w:t>月</w:t>
      </w:r>
      <w:r w:rsidRPr="004F7919">
        <w:rPr>
          <w:kern w:val="0"/>
          <w:sz w:val="24"/>
        </w:rPr>
        <w:t>31</w:t>
      </w:r>
      <w:r w:rsidRPr="004F7919">
        <w:rPr>
          <w:kern w:val="0"/>
          <w:sz w:val="24"/>
        </w:rPr>
        <w:t>日的财务状况以及</w:t>
      </w:r>
      <w:r w:rsidRPr="004F7919">
        <w:rPr>
          <w:kern w:val="0"/>
          <w:sz w:val="24"/>
        </w:rPr>
        <w:t>2016</w:t>
      </w:r>
      <w:r w:rsidRPr="004F7919">
        <w:rPr>
          <w:kern w:val="0"/>
          <w:sz w:val="24"/>
        </w:rPr>
        <w:t>年度的经营成果和基金净值变动情况等有关信息。</w:t>
      </w:r>
    </w:p>
    <w:p w:rsidR="007B62FA" w:rsidRPr="00D0372D" w:rsidRDefault="007B62FA" w:rsidP="00C03E37">
      <w:pPr>
        <w:spacing w:line="360" w:lineRule="auto"/>
        <w:ind w:firstLineChars="200" w:firstLine="422"/>
        <w:rPr>
          <w:rFonts w:ascii="宋体" w:hAnsi="宋体"/>
          <w:b/>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5" w:name="_Toc478410244"/>
      <w:bookmarkStart w:id="256" w:name="_Toc478411419"/>
      <w:r w:rsidRPr="00E609DE">
        <w:rPr>
          <w:rFonts w:ascii="Times New Roman" w:hAnsi="Times New Roman"/>
          <w:kern w:val="0"/>
          <w:szCs w:val="24"/>
        </w:rPr>
        <w:t>7.4.4</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重要会计政策和会计估计</w:t>
      </w:r>
      <w:bookmarkEnd w:id="255"/>
      <w:bookmarkEnd w:id="256"/>
    </w:p>
    <w:p w:rsidR="007B62FA" w:rsidRPr="00E609DE" w:rsidRDefault="007B62FA" w:rsidP="00E609DE">
      <w:pPr>
        <w:pStyle w:val="20"/>
        <w:spacing w:before="29" w:after="0" w:line="288" w:lineRule="auto"/>
        <w:rPr>
          <w:rFonts w:ascii="Times New Roman" w:hAnsi="Times New Roman"/>
          <w:kern w:val="0"/>
          <w:szCs w:val="24"/>
        </w:rPr>
      </w:pPr>
      <w:bookmarkStart w:id="257" w:name="_Toc478410245"/>
      <w:bookmarkStart w:id="258" w:name="_Toc478411420"/>
      <w:r w:rsidRPr="00E609DE">
        <w:rPr>
          <w:rFonts w:ascii="Times New Roman" w:hAnsi="Times New Roman"/>
          <w:kern w:val="0"/>
          <w:szCs w:val="24"/>
        </w:rPr>
        <w:t>7.4.4.1</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会计年度</w:t>
      </w:r>
      <w:bookmarkEnd w:id="257"/>
      <w:bookmarkEnd w:id="258"/>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本基金会计年度为公历</w:t>
      </w:r>
      <w:r w:rsidRPr="004F7919">
        <w:rPr>
          <w:kern w:val="0"/>
          <w:sz w:val="24"/>
        </w:rPr>
        <w:t>1</w:t>
      </w:r>
      <w:r w:rsidRPr="004F7919">
        <w:rPr>
          <w:kern w:val="0"/>
          <w:sz w:val="24"/>
        </w:rPr>
        <w:t>月</w:t>
      </w:r>
      <w:r w:rsidRPr="004F7919">
        <w:rPr>
          <w:kern w:val="0"/>
          <w:sz w:val="24"/>
        </w:rPr>
        <w:t>1</w:t>
      </w:r>
      <w:r w:rsidRPr="004F7919">
        <w:rPr>
          <w:kern w:val="0"/>
          <w:sz w:val="24"/>
        </w:rPr>
        <w:t>日起至</w:t>
      </w:r>
      <w:r w:rsidRPr="004F7919">
        <w:rPr>
          <w:kern w:val="0"/>
          <w:sz w:val="24"/>
        </w:rPr>
        <w:t>12</w:t>
      </w:r>
      <w:r w:rsidRPr="004F7919">
        <w:rPr>
          <w:kern w:val="0"/>
          <w:sz w:val="24"/>
        </w:rPr>
        <w:t>月</w:t>
      </w:r>
      <w:r w:rsidRPr="004F7919">
        <w:rPr>
          <w:kern w:val="0"/>
          <w:sz w:val="24"/>
        </w:rPr>
        <w:t>31</w:t>
      </w:r>
      <w:r w:rsidRPr="004F7919">
        <w:rPr>
          <w:kern w:val="0"/>
          <w:sz w:val="24"/>
        </w:rPr>
        <w:t>日止。</w:t>
      </w:r>
    </w:p>
    <w:p w:rsidR="007B62FA" w:rsidRPr="00D0372D" w:rsidRDefault="007B62FA" w:rsidP="00C03E37">
      <w:pPr>
        <w:spacing w:line="360" w:lineRule="auto"/>
        <w:ind w:firstLineChars="200" w:firstLine="422"/>
        <w:rPr>
          <w:rFonts w:ascii="宋体" w:hAnsi="宋体"/>
          <w:b/>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9" w:name="_Toc478410246"/>
      <w:bookmarkStart w:id="260" w:name="_Toc478411421"/>
      <w:r w:rsidRPr="00E609DE">
        <w:rPr>
          <w:rFonts w:ascii="Times New Roman" w:hAnsi="Times New Roman"/>
          <w:kern w:val="0"/>
          <w:szCs w:val="24"/>
        </w:rPr>
        <w:t xml:space="preserve">7.4.4.2 </w:t>
      </w:r>
      <w:r w:rsidRPr="00E609DE">
        <w:rPr>
          <w:rFonts w:ascii="Times New Roman" w:hAnsi="Times New Roman" w:hint="eastAsia"/>
          <w:kern w:val="0"/>
          <w:szCs w:val="24"/>
        </w:rPr>
        <w:t>记账本位币</w:t>
      </w:r>
      <w:bookmarkEnd w:id="259"/>
      <w:bookmarkEnd w:id="260"/>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本基金的记账本位币为人民币。</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61" w:name="_Toc478410247"/>
      <w:bookmarkStart w:id="262" w:name="_Toc478411422"/>
      <w:r w:rsidRPr="00E609DE">
        <w:rPr>
          <w:rFonts w:ascii="Times New Roman" w:hAnsi="Times New Roman"/>
          <w:kern w:val="0"/>
          <w:szCs w:val="24"/>
        </w:rPr>
        <w:t xml:space="preserve">7.4.4.3 </w:t>
      </w:r>
      <w:r w:rsidRPr="00E609DE">
        <w:rPr>
          <w:rFonts w:ascii="Times New Roman" w:hAnsi="Times New Roman" w:hint="eastAsia"/>
          <w:kern w:val="0"/>
          <w:szCs w:val="24"/>
        </w:rPr>
        <w:t>金融资产和金融负债的分类</w:t>
      </w:r>
      <w:bookmarkEnd w:id="261"/>
      <w:bookmarkEnd w:id="262"/>
    </w:p>
    <w:p w:rsidR="00B536C4" w:rsidRDefault="00CC45D2">
      <w:pPr>
        <w:tabs>
          <w:tab w:val="left" w:pos="426"/>
        </w:tabs>
        <w:spacing w:before="29" w:line="288" w:lineRule="auto"/>
        <w:ind w:firstLineChars="200" w:firstLine="480"/>
        <w:rPr>
          <w:kern w:val="0"/>
          <w:sz w:val="24"/>
        </w:rPr>
      </w:pPr>
      <w:r>
        <w:rPr>
          <w:kern w:val="0"/>
          <w:sz w:val="24"/>
        </w:rPr>
        <w:t>(1)</w:t>
      </w:r>
      <w:r>
        <w:rPr>
          <w:kern w:val="0"/>
          <w:sz w:val="24"/>
        </w:rPr>
        <w:t>金融资产的分类</w:t>
      </w:r>
    </w:p>
    <w:p w:rsidR="00B536C4" w:rsidRDefault="00CC45D2">
      <w:pPr>
        <w:tabs>
          <w:tab w:val="left" w:pos="426"/>
        </w:tabs>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B536C4" w:rsidRDefault="00CC45D2">
      <w:pPr>
        <w:tabs>
          <w:tab w:val="left" w:pos="426"/>
        </w:tabs>
        <w:spacing w:before="29" w:line="288" w:lineRule="auto"/>
        <w:ind w:firstLineChars="200" w:firstLine="480"/>
        <w:rPr>
          <w:kern w:val="0"/>
          <w:sz w:val="24"/>
        </w:rPr>
      </w:pPr>
      <w:r>
        <w:rPr>
          <w:kern w:val="0"/>
          <w:sz w:val="24"/>
        </w:rPr>
        <w:t>本基金以交易目的持有的股票投资</w:t>
      </w:r>
      <w:r>
        <w:rPr>
          <w:kern w:val="0"/>
          <w:sz w:val="24"/>
        </w:rPr>
        <w:t>(</w:t>
      </w:r>
      <w:r>
        <w:rPr>
          <w:kern w:val="0"/>
          <w:sz w:val="24"/>
        </w:rPr>
        <w:t>包括股票存托凭证</w:t>
      </w:r>
      <w:r>
        <w:rPr>
          <w:kern w:val="0"/>
          <w:sz w:val="24"/>
        </w:rPr>
        <w:t>)</w:t>
      </w:r>
      <w:r>
        <w:rPr>
          <w:kern w:val="0"/>
          <w:sz w:val="24"/>
        </w:rPr>
        <w:t>、基金投资、债券投资、资产支持证券投资和衍生工具</w:t>
      </w:r>
      <w:r>
        <w:rPr>
          <w:kern w:val="0"/>
          <w:sz w:val="24"/>
        </w:rPr>
        <w:t>(</w:t>
      </w:r>
      <w:r>
        <w:rPr>
          <w:kern w:val="0"/>
          <w:sz w:val="24"/>
        </w:rPr>
        <w:t>主要为权证投资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B536C4" w:rsidRDefault="00CC45D2">
      <w:pPr>
        <w:tabs>
          <w:tab w:val="left" w:pos="426"/>
        </w:tabs>
        <w:spacing w:before="29" w:line="288" w:lineRule="auto"/>
        <w:ind w:firstLineChars="200" w:firstLine="480"/>
        <w:rPr>
          <w:kern w:val="0"/>
          <w:sz w:val="24"/>
        </w:rPr>
      </w:pPr>
      <w:r>
        <w:rPr>
          <w:kern w:val="0"/>
          <w:sz w:val="24"/>
        </w:rPr>
        <w:t>本基金持有的其他金融资产分类为应收款项，包括银行存款和各类应收款项等。应收款项是指在活跃市场中没有报价、回收金额固定或可确定的非衍生金融资产。</w:t>
      </w:r>
    </w:p>
    <w:p w:rsidR="00B536C4" w:rsidRDefault="00CC45D2">
      <w:pPr>
        <w:tabs>
          <w:tab w:val="left" w:pos="426"/>
        </w:tabs>
        <w:spacing w:before="29" w:line="288" w:lineRule="auto"/>
        <w:ind w:firstLineChars="200" w:firstLine="480"/>
        <w:rPr>
          <w:kern w:val="0"/>
          <w:sz w:val="24"/>
        </w:rPr>
      </w:pPr>
      <w:r>
        <w:rPr>
          <w:kern w:val="0"/>
          <w:sz w:val="24"/>
        </w:rPr>
        <w:t>(2)</w:t>
      </w:r>
      <w:r>
        <w:rPr>
          <w:kern w:val="0"/>
          <w:sz w:val="24"/>
        </w:rPr>
        <w:t>金融负债的分类</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各类应付款项等。</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63" w:name="_Toc478410248"/>
      <w:bookmarkStart w:id="264" w:name="_Toc478411423"/>
      <w:r w:rsidRPr="00E609DE">
        <w:rPr>
          <w:rFonts w:ascii="Times New Roman" w:hAnsi="Times New Roman"/>
          <w:kern w:val="0"/>
          <w:szCs w:val="24"/>
        </w:rPr>
        <w:t xml:space="preserve">7.4.4.4 </w:t>
      </w:r>
      <w:r w:rsidRPr="00E609DE">
        <w:rPr>
          <w:rFonts w:ascii="Times New Roman" w:hAnsi="Times New Roman" w:hint="eastAsia"/>
          <w:kern w:val="0"/>
          <w:szCs w:val="24"/>
        </w:rPr>
        <w:t>金融资产和金融负债的初始确认、后续计量和终止确认</w:t>
      </w:r>
      <w:bookmarkEnd w:id="263"/>
      <w:bookmarkEnd w:id="264"/>
    </w:p>
    <w:p w:rsidR="00B536C4" w:rsidRDefault="00CC45D2">
      <w:pPr>
        <w:tabs>
          <w:tab w:val="left" w:pos="426"/>
        </w:tabs>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w:t>
      </w:r>
      <w:r>
        <w:rPr>
          <w:kern w:val="0"/>
          <w:sz w:val="24"/>
        </w:rPr>
        <w:lastRenderedPageBreak/>
        <w:t>入初始确认金额。</w:t>
      </w:r>
    </w:p>
    <w:p w:rsidR="00B536C4" w:rsidRDefault="00CC45D2">
      <w:pPr>
        <w:tabs>
          <w:tab w:val="left" w:pos="426"/>
        </w:tabs>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w:t>
      </w:r>
      <w:proofErr w:type="gramStart"/>
      <w:r>
        <w:rPr>
          <w:kern w:val="0"/>
          <w:sz w:val="24"/>
        </w:rPr>
        <w:t>余成本</w:t>
      </w:r>
      <w:proofErr w:type="gramEnd"/>
      <w:r>
        <w:rPr>
          <w:kern w:val="0"/>
          <w:sz w:val="24"/>
        </w:rPr>
        <w:t>进行后续计量。</w:t>
      </w:r>
    </w:p>
    <w:p w:rsidR="00B536C4" w:rsidRDefault="00CC45D2">
      <w:pPr>
        <w:tabs>
          <w:tab w:val="left" w:pos="426"/>
        </w:tabs>
        <w:spacing w:before="29" w:line="288" w:lineRule="auto"/>
        <w:ind w:firstLineChars="200" w:firstLine="480"/>
        <w:rPr>
          <w:kern w:val="0"/>
          <w:sz w:val="24"/>
        </w:rPr>
      </w:pPr>
      <w:r>
        <w:rPr>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B536C4" w:rsidRDefault="00CC45D2">
      <w:pPr>
        <w:tabs>
          <w:tab w:val="left" w:pos="426"/>
        </w:tabs>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B536C4" w:rsidRDefault="00CC45D2">
      <w:pPr>
        <w:tabs>
          <w:tab w:val="left" w:pos="426"/>
        </w:tabs>
        <w:spacing w:before="29" w:line="288" w:lineRule="auto"/>
        <w:ind w:firstLineChars="200" w:firstLine="480"/>
        <w:rPr>
          <w:kern w:val="0"/>
          <w:sz w:val="24"/>
        </w:rPr>
      </w:pPr>
      <w:r>
        <w:rPr>
          <w:kern w:val="0"/>
          <w:sz w:val="24"/>
        </w:rPr>
        <w:t>金融资产终止确认时，其账面价值与收到的对价的差额，计入当期损益。</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当金融负债的现时义务全部或部分已经解除时，终止确认该金融负债或义务已解除的部分。终止确认部分的账面价值与支付的对价之间的差额，计入当期损益。</w:t>
      </w:r>
    </w:p>
    <w:p w:rsidR="007B62FA" w:rsidRPr="00A66DFB" w:rsidRDefault="007B62FA" w:rsidP="00A66DFB">
      <w:pPr>
        <w:autoSpaceDE w:val="0"/>
        <w:autoSpaceDN w:val="0"/>
        <w:adjustRightInd w:val="0"/>
        <w:spacing w:line="360" w:lineRule="auto"/>
        <w:jc w:val="left"/>
        <w:rPr>
          <w:rFonts w:ascii="宋体" w:hAnsi="宋体"/>
          <w:b/>
          <w:color w:val="000000"/>
          <w:kern w:val="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65" w:name="_Toc478410249"/>
      <w:bookmarkStart w:id="266" w:name="_Toc478411424"/>
      <w:r w:rsidRPr="00E609DE">
        <w:rPr>
          <w:rFonts w:ascii="Times New Roman" w:hAnsi="Times New Roman"/>
          <w:kern w:val="0"/>
          <w:szCs w:val="24"/>
        </w:rPr>
        <w:t xml:space="preserve">7.4.4.5 </w:t>
      </w:r>
      <w:r w:rsidRPr="00E609DE">
        <w:rPr>
          <w:rFonts w:ascii="Times New Roman" w:hAnsi="Times New Roman" w:hint="eastAsia"/>
          <w:kern w:val="0"/>
          <w:szCs w:val="24"/>
        </w:rPr>
        <w:t>金融资产和金融负债的估值原则</w:t>
      </w:r>
      <w:bookmarkEnd w:id="265"/>
      <w:bookmarkEnd w:id="266"/>
    </w:p>
    <w:p w:rsidR="00B536C4" w:rsidRDefault="00CC45D2">
      <w:pPr>
        <w:tabs>
          <w:tab w:val="left" w:pos="426"/>
        </w:tabs>
        <w:spacing w:before="29" w:line="288" w:lineRule="auto"/>
        <w:ind w:firstLineChars="200" w:firstLine="480"/>
        <w:rPr>
          <w:kern w:val="0"/>
          <w:sz w:val="24"/>
        </w:rPr>
      </w:pPr>
      <w:r>
        <w:rPr>
          <w:kern w:val="0"/>
          <w:sz w:val="24"/>
        </w:rPr>
        <w:t>本基金持有的股票投资、基金投资、债券投资、资产支持证券投资和衍生工具</w:t>
      </w:r>
      <w:r>
        <w:rPr>
          <w:kern w:val="0"/>
          <w:sz w:val="24"/>
        </w:rPr>
        <w:t>(</w:t>
      </w:r>
      <w:r>
        <w:rPr>
          <w:kern w:val="0"/>
          <w:sz w:val="24"/>
        </w:rPr>
        <w:t>主要为权证投资</w:t>
      </w:r>
      <w:r>
        <w:rPr>
          <w:kern w:val="0"/>
          <w:sz w:val="24"/>
        </w:rPr>
        <w:t>)</w:t>
      </w:r>
      <w:r>
        <w:rPr>
          <w:kern w:val="0"/>
          <w:sz w:val="24"/>
        </w:rPr>
        <w:t>按如下原则确定公允价值并进行估值：</w:t>
      </w:r>
    </w:p>
    <w:p w:rsidR="00B536C4" w:rsidRDefault="00CC45D2">
      <w:pPr>
        <w:tabs>
          <w:tab w:val="left" w:pos="426"/>
        </w:tabs>
        <w:spacing w:before="29" w:line="288" w:lineRule="auto"/>
        <w:ind w:firstLineChars="200" w:firstLine="480"/>
        <w:rPr>
          <w:kern w:val="0"/>
          <w:sz w:val="24"/>
        </w:rPr>
      </w:pPr>
      <w:r>
        <w:rPr>
          <w:kern w:val="0"/>
          <w:sz w:val="24"/>
        </w:rPr>
        <w:t>(1)</w:t>
      </w:r>
      <w:r>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B536C4" w:rsidRDefault="00CC45D2">
      <w:pPr>
        <w:tabs>
          <w:tab w:val="left" w:pos="426"/>
        </w:tabs>
        <w:spacing w:before="29" w:line="288" w:lineRule="auto"/>
        <w:ind w:firstLineChars="200" w:firstLine="480"/>
        <w:rPr>
          <w:kern w:val="0"/>
          <w:sz w:val="24"/>
        </w:rPr>
      </w:pPr>
      <w:r>
        <w:rPr>
          <w:kern w:val="0"/>
          <w:sz w:val="24"/>
        </w:rPr>
        <w:t>(2)</w:t>
      </w:r>
      <w:r>
        <w:rPr>
          <w:kern w:val="0"/>
          <w:sz w:val="24"/>
        </w:rPr>
        <w:t>存在活跃市场的金融工具，如估值日无交易且最近交易日后经济环境发生了重大变化，参考类似投资品种的现行市价及重大变化等因素，调整最近交易市价以确定公允价值。</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(3)</w:t>
      </w:r>
      <w:r w:rsidRPr="004F7919">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7B62FA" w:rsidRPr="00D0372D" w:rsidRDefault="007B62FA" w:rsidP="00C03E37">
      <w:pPr>
        <w:autoSpaceDE w:val="0"/>
        <w:autoSpaceDN w:val="0"/>
        <w:adjustRightInd w:val="0"/>
        <w:spacing w:line="360" w:lineRule="auto"/>
        <w:jc w:val="left"/>
        <w:rPr>
          <w:rFonts w:ascii="宋体" w:hAnsi="宋体"/>
          <w:b/>
          <w:color w:val="000000"/>
          <w:kern w:val="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67" w:name="_Toc478410250"/>
      <w:bookmarkStart w:id="268" w:name="_Toc478411425"/>
      <w:r w:rsidRPr="00E609DE">
        <w:rPr>
          <w:rFonts w:ascii="Times New Roman" w:hAnsi="Times New Roman"/>
          <w:kern w:val="0"/>
          <w:szCs w:val="24"/>
        </w:rPr>
        <w:t xml:space="preserve">7.4.4.6 </w:t>
      </w:r>
      <w:r w:rsidRPr="00E609DE">
        <w:rPr>
          <w:rFonts w:ascii="Times New Roman" w:hAnsi="Times New Roman" w:hint="eastAsia"/>
          <w:kern w:val="0"/>
          <w:szCs w:val="24"/>
        </w:rPr>
        <w:t>金融资产和金融负债的</w:t>
      </w:r>
      <w:proofErr w:type="gramStart"/>
      <w:r w:rsidRPr="00E609DE">
        <w:rPr>
          <w:rFonts w:ascii="Times New Roman" w:hAnsi="Times New Roman" w:hint="eastAsia"/>
          <w:kern w:val="0"/>
          <w:szCs w:val="24"/>
        </w:rPr>
        <w:t>抵销</w:t>
      </w:r>
      <w:bookmarkEnd w:id="267"/>
      <w:bookmarkEnd w:id="268"/>
      <w:proofErr w:type="gramEnd"/>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本基金持有的资产和承担的负债基本为金融资产和金融负债。当本基金</w:t>
      </w:r>
      <w:r w:rsidRPr="004F7919">
        <w:rPr>
          <w:kern w:val="0"/>
          <w:sz w:val="24"/>
        </w:rPr>
        <w:t xml:space="preserve">1) </w:t>
      </w:r>
      <w:r w:rsidRPr="004F7919">
        <w:rPr>
          <w:kern w:val="0"/>
          <w:sz w:val="24"/>
        </w:rPr>
        <w:t>具有</w:t>
      </w:r>
      <w:proofErr w:type="gramStart"/>
      <w:r w:rsidRPr="004F7919">
        <w:rPr>
          <w:kern w:val="0"/>
          <w:sz w:val="24"/>
        </w:rPr>
        <w:t>抵销</w:t>
      </w:r>
      <w:proofErr w:type="gramEnd"/>
      <w:r w:rsidRPr="004F7919">
        <w:rPr>
          <w:kern w:val="0"/>
          <w:sz w:val="24"/>
        </w:rPr>
        <w:t>已确认金额的法定权利且该种法定权利现在是可执行的；且</w:t>
      </w:r>
      <w:r w:rsidRPr="004F7919">
        <w:rPr>
          <w:kern w:val="0"/>
          <w:sz w:val="24"/>
        </w:rPr>
        <w:t>2)</w:t>
      </w:r>
      <w:r w:rsidRPr="004F7919">
        <w:rPr>
          <w:kern w:val="0"/>
          <w:sz w:val="24"/>
        </w:rPr>
        <w:t>交易双方准备按净额结算时，金融资产与金融负债按</w:t>
      </w:r>
      <w:proofErr w:type="gramStart"/>
      <w:r w:rsidRPr="004F7919">
        <w:rPr>
          <w:kern w:val="0"/>
          <w:sz w:val="24"/>
        </w:rPr>
        <w:t>抵销</w:t>
      </w:r>
      <w:proofErr w:type="gramEnd"/>
      <w:r w:rsidRPr="004F7919">
        <w:rPr>
          <w:kern w:val="0"/>
          <w:sz w:val="24"/>
        </w:rPr>
        <w:t>后的净额在资产负债表中列示。</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69" w:name="_Toc478410251"/>
      <w:bookmarkStart w:id="270" w:name="_Toc478411426"/>
      <w:r w:rsidRPr="00E609DE">
        <w:rPr>
          <w:rFonts w:ascii="Times New Roman" w:hAnsi="Times New Roman"/>
          <w:kern w:val="0"/>
          <w:szCs w:val="24"/>
        </w:rPr>
        <w:t xml:space="preserve">7.4.4.7 </w:t>
      </w:r>
      <w:r w:rsidRPr="00E609DE">
        <w:rPr>
          <w:rFonts w:ascii="Times New Roman" w:hAnsi="Times New Roman" w:hint="eastAsia"/>
          <w:kern w:val="0"/>
          <w:szCs w:val="24"/>
        </w:rPr>
        <w:t>实收基金</w:t>
      </w:r>
      <w:bookmarkEnd w:id="269"/>
      <w:bookmarkEnd w:id="270"/>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实收基金为对外发行基金份额所募集的总金额在扣除</w:t>
      </w:r>
      <w:proofErr w:type="gramStart"/>
      <w:r w:rsidRPr="004F7919">
        <w:rPr>
          <w:kern w:val="0"/>
          <w:sz w:val="24"/>
        </w:rPr>
        <w:t>损益平准金</w:t>
      </w:r>
      <w:proofErr w:type="gramEnd"/>
      <w:r w:rsidRPr="004F7919">
        <w:rPr>
          <w:kern w:val="0"/>
          <w:sz w:val="24"/>
        </w:rPr>
        <w:t>分摊部分后的余</w:t>
      </w:r>
      <w:r w:rsidRPr="004F7919">
        <w:rPr>
          <w:kern w:val="0"/>
          <w:sz w:val="24"/>
        </w:rPr>
        <w:lastRenderedPageBreak/>
        <w:t>额。由于申购和赎回引起的实收基金变动分别于基金申购确认日及基金赎回确认</w:t>
      </w:r>
      <w:proofErr w:type="gramStart"/>
      <w:r w:rsidRPr="004F7919">
        <w:rPr>
          <w:kern w:val="0"/>
          <w:sz w:val="24"/>
        </w:rPr>
        <w:t>日认列</w:t>
      </w:r>
      <w:proofErr w:type="gramEnd"/>
      <w:r w:rsidRPr="004F7919">
        <w:rPr>
          <w:kern w:val="0"/>
          <w:sz w:val="24"/>
        </w:rPr>
        <w:t>。</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71" w:name="_Toc478410252"/>
      <w:bookmarkStart w:id="272" w:name="_Toc478411427"/>
      <w:r w:rsidRPr="00E609DE">
        <w:rPr>
          <w:rFonts w:ascii="Times New Roman" w:hAnsi="Times New Roman"/>
          <w:kern w:val="0"/>
          <w:szCs w:val="24"/>
        </w:rPr>
        <w:t xml:space="preserve">7.4.4.8 </w:t>
      </w:r>
      <w:proofErr w:type="gramStart"/>
      <w:r w:rsidRPr="00E609DE">
        <w:rPr>
          <w:rFonts w:ascii="Times New Roman" w:hAnsi="Times New Roman" w:hint="eastAsia"/>
          <w:kern w:val="0"/>
          <w:szCs w:val="24"/>
        </w:rPr>
        <w:t>损益平</w:t>
      </w:r>
      <w:proofErr w:type="gramEnd"/>
      <w:r w:rsidRPr="00E609DE">
        <w:rPr>
          <w:rFonts w:ascii="Times New Roman" w:hAnsi="Times New Roman" w:hint="eastAsia"/>
          <w:kern w:val="0"/>
          <w:szCs w:val="24"/>
        </w:rPr>
        <w:t>准金</w:t>
      </w:r>
      <w:bookmarkEnd w:id="271"/>
      <w:bookmarkEnd w:id="272"/>
    </w:p>
    <w:p w:rsidR="007B62FA" w:rsidRPr="004F7919" w:rsidRDefault="007B62FA" w:rsidP="004F7919">
      <w:pPr>
        <w:tabs>
          <w:tab w:val="left" w:pos="426"/>
        </w:tabs>
        <w:spacing w:before="29" w:line="288" w:lineRule="auto"/>
        <w:ind w:firstLineChars="200" w:firstLine="480"/>
        <w:rPr>
          <w:kern w:val="0"/>
          <w:sz w:val="24"/>
        </w:rPr>
      </w:pPr>
      <w:proofErr w:type="gramStart"/>
      <w:r w:rsidRPr="004F7919">
        <w:rPr>
          <w:kern w:val="0"/>
          <w:sz w:val="24"/>
        </w:rPr>
        <w:t>损益平准金包括</w:t>
      </w:r>
      <w:proofErr w:type="gramEnd"/>
      <w:r w:rsidRPr="004F7919">
        <w:rPr>
          <w:kern w:val="0"/>
          <w:sz w:val="24"/>
        </w:rPr>
        <w:t>已实现</w:t>
      </w:r>
      <w:proofErr w:type="gramStart"/>
      <w:r w:rsidRPr="004F7919">
        <w:rPr>
          <w:kern w:val="0"/>
          <w:sz w:val="24"/>
        </w:rPr>
        <w:t>平准金和</w:t>
      </w:r>
      <w:proofErr w:type="gramEnd"/>
      <w:r w:rsidRPr="004F7919">
        <w:rPr>
          <w:kern w:val="0"/>
          <w:sz w:val="24"/>
        </w:rPr>
        <w:t>未实现平准金。已实现</w:t>
      </w:r>
      <w:proofErr w:type="gramStart"/>
      <w:r w:rsidRPr="004F7919">
        <w:rPr>
          <w:kern w:val="0"/>
          <w:sz w:val="24"/>
        </w:rPr>
        <w:t>平准金指</w:t>
      </w:r>
      <w:proofErr w:type="gramEnd"/>
      <w:r w:rsidRPr="004F7919">
        <w:rPr>
          <w:kern w:val="0"/>
          <w:sz w:val="24"/>
        </w:rPr>
        <w:t>在申购或赎回基金份额时，申购或赎回款项中包含的按累计未分配的已实现</w:t>
      </w:r>
      <w:proofErr w:type="gramStart"/>
      <w:r w:rsidRPr="004F7919">
        <w:rPr>
          <w:kern w:val="0"/>
          <w:sz w:val="24"/>
        </w:rPr>
        <w:t>损益占</w:t>
      </w:r>
      <w:proofErr w:type="gramEnd"/>
      <w:r w:rsidRPr="004F7919">
        <w:rPr>
          <w:kern w:val="0"/>
          <w:sz w:val="24"/>
        </w:rPr>
        <w:t>基金净值比例计算的金额。未实现</w:t>
      </w:r>
      <w:proofErr w:type="gramStart"/>
      <w:r w:rsidRPr="004F7919">
        <w:rPr>
          <w:kern w:val="0"/>
          <w:sz w:val="24"/>
        </w:rPr>
        <w:t>平准金指</w:t>
      </w:r>
      <w:proofErr w:type="gramEnd"/>
      <w:r w:rsidRPr="004F7919">
        <w:rPr>
          <w:kern w:val="0"/>
          <w:sz w:val="24"/>
        </w:rPr>
        <w:t>在申购或赎回基金份额时，申购或赎回款项中包含的按累计未实现</w:t>
      </w:r>
      <w:proofErr w:type="gramStart"/>
      <w:r w:rsidRPr="004F7919">
        <w:rPr>
          <w:kern w:val="0"/>
          <w:sz w:val="24"/>
        </w:rPr>
        <w:t>损益占</w:t>
      </w:r>
      <w:proofErr w:type="gramEnd"/>
      <w:r w:rsidRPr="004F7919">
        <w:rPr>
          <w:kern w:val="0"/>
          <w:sz w:val="24"/>
        </w:rPr>
        <w:t>基金净值比例计算的金额。</w:t>
      </w:r>
      <w:proofErr w:type="gramStart"/>
      <w:r w:rsidRPr="004F7919">
        <w:rPr>
          <w:kern w:val="0"/>
          <w:sz w:val="24"/>
        </w:rPr>
        <w:t>损益平准金</w:t>
      </w:r>
      <w:proofErr w:type="gramEnd"/>
      <w:r w:rsidRPr="004F7919">
        <w:rPr>
          <w:kern w:val="0"/>
          <w:sz w:val="24"/>
        </w:rPr>
        <w:t>于基金申购确认日或基金赎回确认</w:t>
      </w:r>
      <w:proofErr w:type="gramStart"/>
      <w:r w:rsidRPr="004F7919">
        <w:rPr>
          <w:kern w:val="0"/>
          <w:sz w:val="24"/>
        </w:rPr>
        <w:t>日认列</w:t>
      </w:r>
      <w:proofErr w:type="gramEnd"/>
      <w:r w:rsidRPr="004F7919">
        <w:rPr>
          <w:kern w:val="0"/>
          <w:sz w:val="24"/>
        </w:rPr>
        <w:t>，并于期末全额转入未分配利润</w:t>
      </w:r>
      <w:r w:rsidRPr="004F7919">
        <w:rPr>
          <w:kern w:val="0"/>
          <w:sz w:val="24"/>
        </w:rPr>
        <w:t>/(</w:t>
      </w:r>
      <w:r w:rsidRPr="004F7919">
        <w:rPr>
          <w:kern w:val="0"/>
          <w:sz w:val="24"/>
        </w:rPr>
        <w:t>累计亏损</w:t>
      </w:r>
      <w:r w:rsidRPr="004F7919">
        <w:rPr>
          <w:kern w:val="0"/>
          <w:sz w:val="24"/>
        </w:rPr>
        <w:t>)</w:t>
      </w:r>
      <w:r w:rsidRPr="004F7919">
        <w:rPr>
          <w:kern w:val="0"/>
          <w:sz w:val="24"/>
        </w:rPr>
        <w:t>。</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73" w:name="_Toc478410253"/>
      <w:bookmarkStart w:id="274" w:name="_Toc478411428"/>
      <w:r w:rsidRPr="00E609DE">
        <w:rPr>
          <w:rFonts w:ascii="Times New Roman" w:hAnsi="Times New Roman"/>
          <w:kern w:val="0"/>
          <w:szCs w:val="24"/>
        </w:rPr>
        <w:t xml:space="preserve">7.4.4.9 </w:t>
      </w:r>
      <w:r w:rsidRPr="00E609DE">
        <w:rPr>
          <w:rFonts w:ascii="Times New Roman" w:hAnsi="Times New Roman" w:hint="eastAsia"/>
          <w:kern w:val="0"/>
          <w:szCs w:val="24"/>
        </w:rPr>
        <w:t>收入</w:t>
      </w:r>
      <w:r w:rsidRPr="00E609DE">
        <w:rPr>
          <w:rFonts w:ascii="Times New Roman" w:hAnsi="Times New Roman"/>
          <w:kern w:val="0"/>
          <w:szCs w:val="24"/>
        </w:rPr>
        <w:t>/(</w:t>
      </w:r>
      <w:r w:rsidRPr="00E609DE">
        <w:rPr>
          <w:rFonts w:ascii="Times New Roman" w:hAnsi="Times New Roman" w:hint="eastAsia"/>
          <w:kern w:val="0"/>
          <w:szCs w:val="24"/>
        </w:rPr>
        <w:t>损失</w:t>
      </w:r>
      <w:r w:rsidRPr="00E609DE">
        <w:rPr>
          <w:rFonts w:ascii="Times New Roman" w:hAnsi="Times New Roman"/>
          <w:kern w:val="0"/>
          <w:szCs w:val="24"/>
        </w:rPr>
        <w:t>)</w:t>
      </w:r>
      <w:r w:rsidRPr="00E609DE">
        <w:rPr>
          <w:rFonts w:ascii="Times New Roman" w:hAnsi="Times New Roman" w:hint="eastAsia"/>
          <w:kern w:val="0"/>
          <w:szCs w:val="24"/>
        </w:rPr>
        <w:t>的确认和计量</w:t>
      </w:r>
      <w:bookmarkEnd w:id="273"/>
      <w:bookmarkEnd w:id="274"/>
    </w:p>
    <w:p w:rsidR="00B536C4" w:rsidRDefault="00CC45D2">
      <w:pPr>
        <w:tabs>
          <w:tab w:val="left" w:pos="426"/>
        </w:tabs>
        <w:spacing w:before="29" w:line="288" w:lineRule="auto"/>
        <w:ind w:firstLineChars="200" w:firstLine="480"/>
        <w:rPr>
          <w:kern w:val="0"/>
          <w:sz w:val="24"/>
        </w:rPr>
      </w:pPr>
      <w:r>
        <w:rPr>
          <w:kern w:val="0"/>
          <w:sz w:val="24"/>
        </w:rPr>
        <w:t>股票投资和基金投资在持有期间应取得的现金股利及基金分红收益扣除股票和基金交易所在地适用的预缴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B536C4" w:rsidRDefault="00CC45D2">
      <w:pPr>
        <w:tabs>
          <w:tab w:val="left" w:pos="426"/>
        </w:tabs>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应收款项在持有期间确认的利息收入按实际利率法计算，实际利率法与直线法差异较小的则按直线法计算。</w:t>
      </w:r>
    </w:p>
    <w:p w:rsidR="007B62FA" w:rsidRPr="00D0372D" w:rsidRDefault="007B62FA" w:rsidP="00C03E37">
      <w:pPr>
        <w:spacing w:line="360" w:lineRule="auto"/>
        <w:ind w:firstLineChars="200" w:firstLine="420"/>
        <w:rPr>
          <w:rFonts w:ascii="宋体" w:hAnsi="宋体"/>
          <w:bCs/>
          <w:color w:val="000000"/>
          <w:szCs w:val="21"/>
        </w:rPr>
      </w:pPr>
    </w:p>
    <w:p w:rsidR="00EB7371" w:rsidRPr="00E609DE" w:rsidRDefault="007B62FA" w:rsidP="00E609DE">
      <w:pPr>
        <w:pStyle w:val="20"/>
        <w:spacing w:before="29" w:after="0" w:line="288" w:lineRule="auto"/>
        <w:rPr>
          <w:rFonts w:ascii="Times New Roman" w:hAnsi="Times New Roman"/>
          <w:kern w:val="0"/>
          <w:szCs w:val="24"/>
        </w:rPr>
      </w:pPr>
      <w:bookmarkStart w:id="275" w:name="_Toc478410254"/>
      <w:bookmarkStart w:id="276" w:name="_Toc478411429"/>
      <w:r w:rsidRPr="00E609DE">
        <w:rPr>
          <w:rFonts w:ascii="Times New Roman" w:hAnsi="Times New Roman"/>
          <w:kern w:val="0"/>
          <w:szCs w:val="24"/>
        </w:rPr>
        <w:t xml:space="preserve">7.4.4.10 </w:t>
      </w:r>
      <w:r w:rsidRPr="00E609DE">
        <w:rPr>
          <w:rFonts w:ascii="Times New Roman" w:hAnsi="Times New Roman" w:hint="eastAsia"/>
          <w:kern w:val="0"/>
          <w:szCs w:val="24"/>
        </w:rPr>
        <w:t>费用的确认和计量</w:t>
      </w:r>
      <w:bookmarkEnd w:id="275"/>
      <w:bookmarkEnd w:id="276"/>
    </w:p>
    <w:p w:rsidR="00B536C4" w:rsidRDefault="00CC45D2">
      <w:pPr>
        <w:tabs>
          <w:tab w:val="left" w:pos="426"/>
        </w:tabs>
        <w:spacing w:before="29" w:line="288" w:lineRule="auto"/>
        <w:ind w:firstLineChars="200" w:firstLine="480"/>
        <w:rPr>
          <w:kern w:val="0"/>
          <w:sz w:val="24"/>
        </w:rPr>
      </w:pPr>
      <w:r>
        <w:rPr>
          <w:kern w:val="0"/>
          <w:sz w:val="24"/>
        </w:rPr>
        <w:t>本基金的管理人报酬和托管费在费用涵盖期间按基金合同约定的费率和计算方法逐日确认。</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其他金融负债在持有期间确认的利息支出按实际利率法计算，实际利率法与直线法差异较小的则按直线法计算。</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77" w:name="_Toc478410255"/>
      <w:bookmarkStart w:id="278" w:name="_Toc478411430"/>
      <w:r w:rsidRPr="00E609DE">
        <w:rPr>
          <w:rFonts w:ascii="Times New Roman" w:hAnsi="Times New Roman"/>
          <w:kern w:val="0"/>
          <w:szCs w:val="24"/>
        </w:rPr>
        <w:t xml:space="preserve">7.4.4.11 </w:t>
      </w:r>
      <w:r w:rsidRPr="00E609DE">
        <w:rPr>
          <w:rFonts w:ascii="Times New Roman" w:hAnsi="Times New Roman" w:hint="eastAsia"/>
          <w:kern w:val="0"/>
          <w:szCs w:val="24"/>
        </w:rPr>
        <w:t>基金的收益分配政策</w:t>
      </w:r>
      <w:bookmarkEnd w:id="277"/>
      <w:bookmarkEnd w:id="278"/>
    </w:p>
    <w:p w:rsidR="00B536C4" w:rsidRDefault="00CC45D2">
      <w:pPr>
        <w:tabs>
          <w:tab w:val="left" w:pos="426"/>
        </w:tabs>
        <w:spacing w:before="29" w:line="288" w:lineRule="auto"/>
        <w:ind w:firstLineChars="200" w:firstLine="480"/>
        <w:rPr>
          <w:kern w:val="0"/>
          <w:sz w:val="24"/>
        </w:rPr>
      </w:pPr>
      <w:r>
        <w:rPr>
          <w:kern w:val="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kern w:val="0"/>
          <w:sz w:val="24"/>
        </w:rPr>
        <w:t>(</w:t>
      </w:r>
      <w:r>
        <w:rPr>
          <w:kern w:val="0"/>
          <w:sz w:val="24"/>
        </w:rPr>
        <w:t>包括基金经营活动产生的未实现损益以及基金份额交易产生的未实现</w:t>
      </w:r>
      <w:proofErr w:type="gramStart"/>
      <w:r>
        <w:rPr>
          <w:kern w:val="0"/>
          <w:sz w:val="24"/>
        </w:rPr>
        <w:t>平准金等</w:t>
      </w:r>
      <w:proofErr w:type="gramEnd"/>
      <w:r>
        <w:rPr>
          <w:kern w:val="0"/>
          <w:sz w:val="24"/>
        </w:rPr>
        <w:t>)</w:t>
      </w:r>
      <w:r>
        <w:rPr>
          <w:kern w:val="0"/>
          <w:sz w:val="24"/>
        </w:rPr>
        <w:t>为正数，则期末可供分配利润的金额为期末未分配利润中的已实现部分；若期末未分配利润的未实现部分为负数，则期末可供分配利润的金额为期末未分配利润</w:t>
      </w:r>
      <w:r>
        <w:rPr>
          <w:kern w:val="0"/>
          <w:sz w:val="24"/>
        </w:rPr>
        <w:t>(</w:t>
      </w:r>
      <w:r>
        <w:rPr>
          <w:kern w:val="0"/>
          <w:sz w:val="24"/>
        </w:rPr>
        <w:t>已实现部分相抵未实现部分后的余额</w:t>
      </w:r>
      <w:r>
        <w:rPr>
          <w:kern w:val="0"/>
          <w:sz w:val="24"/>
        </w:rPr>
        <w:t>)</w:t>
      </w:r>
      <w:r>
        <w:rPr>
          <w:kern w:val="0"/>
          <w:sz w:val="24"/>
        </w:rPr>
        <w:t>。</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经宣告的拟分配基金收益于分红除权日从所有者权益转出。</w:t>
      </w:r>
    </w:p>
    <w:p w:rsidR="007B62FA" w:rsidRPr="00E609DE" w:rsidRDefault="007B62FA" w:rsidP="00E609DE">
      <w:pPr>
        <w:pStyle w:val="20"/>
        <w:spacing w:before="29" w:after="0" w:line="288" w:lineRule="auto"/>
        <w:rPr>
          <w:rFonts w:ascii="Times New Roman" w:hAnsi="Times New Roman"/>
          <w:kern w:val="0"/>
          <w:szCs w:val="24"/>
        </w:rPr>
      </w:pPr>
      <w:bookmarkStart w:id="279" w:name="_Toc478410256"/>
      <w:bookmarkStart w:id="280" w:name="_Toc478411431"/>
      <w:r w:rsidRPr="00E609DE">
        <w:rPr>
          <w:rFonts w:ascii="Times New Roman" w:hAnsi="Times New Roman"/>
          <w:kern w:val="0"/>
          <w:szCs w:val="24"/>
        </w:rPr>
        <w:lastRenderedPageBreak/>
        <w:t>7.4.4.12</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外币交易</w:t>
      </w:r>
      <w:bookmarkEnd w:id="279"/>
      <w:bookmarkEnd w:id="280"/>
    </w:p>
    <w:p w:rsidR="00B536C4" w:rsidRDefault="00CC45D2">
      <w:pPr>
        <w:tabs>
          <w:tab w:val="left" w:pos="426"/>
        </w:tabs>
        <w:spacing w:before="29" w:line="288" w:lineRule="auto"/>
        <w:ind w:firstLineChars="200" w:firstLine="480"/>
        <w:rPr>
          <w:kern w:val="0"/>
          <w:sz w:val="24"/>
        </w:rPr>
      </w:pPr>
      <w:r>
        <w:rPr>
          <w:kern w:val="0"/>
          <w:sz w:val="24"/>
        </w:rPr>
        <w:t>外币交易按交易发生日的即期汇率将外币金额折算为人民币入账。</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外币货币性项目，于估值</w:t>
      </w:r>
      <w:proofErr w:type="gramStart"/>
      <w:r w:rsidRPr="004F7919">
        <w:rPr>
          <w:kern w:val="0"/>
          <w:sz w:val="24"/>
        </w:rPr>
        <w:t>日采用</w:t>
      </w:r>
      <w:proofErr w:type="gramEnd"/>
      <w:r w:rsidRPr="004F7919">
        <w:rPr>
          <w:kern w:val="0"/>
          <w:sz w:val="24"/>
        </w:rPr>
        <w:t>估值日的即期汇率折算为人民币，所产生的折算差额直接计入汇兑损益科目。以公允价值计量的外币非货币性项目，于估值</w:t>
      </w:r>
      <w:proofErr w:type="gramStart"/>
      <w:r w:rsidRPr="004F7919">
        <w:rPr>
          <w:kern w:val="0"/>
          <w:sz w:val="24"/>
        </w:rPr>
        <w:t>日采用</w:t>
      </w:r>
      <w:proofErr w:type="gramEnd"/>
      <w:r w:rsidRPr="004F7919">
        <w:rPr>
          <w:kern w:val="0"/>
          <w:sz w:val="24"/>
        </w:rPr>
        <w:t>估值日的即期汇率折算为人民币，所产生的折算差额直接计入公允价值变动损益科目。</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81" w:name="_Toc478410257"/>
      <w:bookmarkStart w:id="282" w:name="_Toc478411432"/>
      <w:r w:rsidRPr="00E609DE">
        <w:rPr>
          <w:rFonts w:ascii="Times New Roman" w:hAnsi="Times New Roman"/>
          <w:kern w:val="0"/>
          <w:szCs w:val="24"/>
        </w:rPr>
        <w:t xml:space="preserve">7.4.4.13 </w:t>
      </w:r>
      <w:r w:rsidRPr="00E609DE">
        <w:rPr>
          <w:rFonts w:ascii="Times New Roman" w:hAnsi="Times New Roman" w:hint="eastAsia"/>
          <w:kern w:val="0"/>
          <w:szCs w:val="24"/>
        </w:rPr>
        <w:t>分部报告</w:t>
      </w:r>
      <w:bookmarkEnd w:id="281"/>
      <w:bookmarkEnd w:id="282"/>
    </w:p>
    <w:p w:rsidR="00B536C4" w:rsidRDefault="00CC45D2">
      <w:pPr>
        <w:tabs>
          <w:tab w:val="left" w:pos="426"/>
        </w:tabs>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本基金目前以一个单一的经营分部运作，不需要进行分部报告的披露。</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83" w:name="_Toc478410258"/>
      <w:bookmarkStart w:id="284" w:name="_Toc478411433"/>
      <w:r w:rsidRPr="00E609DE">
        <w:rPr>
          <w:rFonts w:ascii="Times New Roman" w:hAnsi="Times New Roman"/>
          <w:kern w:val="0"/>
          <w:szCs w:val="24"/>
        </w:rPr>
        <w:t xml:space="preserve">7.4.4.14 </w:t>
      </w:r>
      <w:r w:rsidRPr="00E609DE">
        <w:rPr>
          <w:rFonts w:ascii="Times New Roman" w:hAnsi="Times New Roman" w:hint="eastAsia"/>
          <w:kern w:val="0"/>
          <w:szCs w:val="24"/>
        </w:rPr>
        <w:t>其他重要的会计政策和会计估计</w:t>
      </w:r>
      <w:bookmarkEnd w:id="283"/>
      <w:bookmarkEnd w:id="284"/>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无。</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85" w:name="_Toc478410259"/>
      <w:bookmarkStart w:id="286" w:name="_Toc478411434"/>
      <w:r w:rsidRPr="00E609DE">
        <w:rPr>
          <w:rFonts w:ascii="Times New Roman" w:hAnsi="Times New Roman"/>
          <w:kern w:val="0"/>
          <w:szCs w:val="24"/>
        </w:rPr>
        <w:t>7.4.5</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会计政策和会计估计变更以及差错更正的说明</w:t>
      </w:r>
      <w:bookmarkEnd w:id="285"/>
      <w:bookmarkEnd w:id="286"/>
    </w:p>
    <w:p w:rsidR="007B62FA" w:rsidRPr="00E609DE" w:rsidRDefault="007B62FA" w:rsidP="00E609DE">
      <w:pPr>
        <w:pStyle w:val="20"/>
        <w:spacing w:before="29" w:after="0" w:line="288" w:lineRule="auto"/>
        <w:rPr>
          <w:rFonts w:ascii="Times New Roman" w:hAnsi="Times New Roman"/>
          <w:kern w:val="0"/>
          <w:szCs w:val="24"/>
        </w:rPr>
      </w:pPr>
      <w:bookmarkStart w:id="287" w:name="_Toc478410260"/>
      <w:bookmarkStart w:id="288" w:name="_Toc478411435"/>
      <w:r w:rsidRPr="00E609DE">
        <w:rPr>
          <w:rFonts w:ascii="Times New Roman" w:hAnsi="Times New Roman"/>
          <w:kern w:val="0"/>
          <w:szCs w:val="24"/>
        </w:rPr>
        <w:t xml:space="preserve">7.4.5.1 </w:t>
      </w:r>
      <w:r w:rsidRPr="00E609DE">
        <w:rPr>
          <w:rFonts w:ascii="Times New Roman" w:hAnsi="Times New Roman" w:hint="eastAsia"/>
          <w:kern w:val="0"/>
          <w:szCs w:val="24"/>
        </w:rPr>
        <w:t>会计政策变更的说明</w:t>
      </w:r>
      <w:bookmarkEnd w:id="287"/>
      <w:bookmarkEnd w:id="288"/>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本基金本报告期未发生会计政策变更。</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89" w:name="_Toc478410261"/>
      <w:bookmarkStart w:id="290" w:name="_Toc478411436"/>
      <w:r w:rsidRPr="00E609DE">
        <w:rPr>
          <w:rFonts w:ascii="Times New Roman" w:hAnsi="Times New Roman"/>
          <w:kern w:val="0"/>
          <w:szCs w:val="24"/>
        </w:rPr>
        <w:t xml:space="preserve">7.4.5.2 </w:t>
      </w:r>
      <w:r w:rsidRPr="00E609DE">
        <w:rPr>
          <w:rFonts w:ascii="Times New Roman" w:hAnsi="Times New Roman" w:hint="eastAsia"/>
          <w:kern w:val="0"/>
          <w:szCs w:val="24"/>
        </w:rPr>
        <w:t>会计估计变更的说明</w:t>
      </w:r>
      <w:bookmarkEnd w:id="289"/>
      <w:bookmarkEnd w:id="290"/>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本基金本报告期未发生会计估计变更。</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91" w:name="_Toc478410262"/>
      <w:bookmarkStart w:id="292" w:name="_Toc478411437"/>
      <w:r w:rsidRPr="00E609DE">
        <w:rPr>
          <w:rFonts w:ascii="Times New Roman" w:hAnsi="Times New Roman"/>
          <w:kern w:val="0"/>
          <w:szCs w:val="24"/>
        </w:rPr>
        <w:t xml:space="preserve">7.4.5.3 </w:t>
      </w:r>
      <w:r w:rsidRPr="00E609DE">
        <w:rPr>
          <w:rFonts w:ascii="Times New Roman" w:hAnsi="Times New Roman" w:hint="eastAsia"/>
          <w:kern w:val="0"/>
          <w:szCs w:val="24"/>
        </w:rPr>
        <w:t>差错更正的说明</w:t>
      </w:r>
      <w:bookmarkEnd w:id="291"/>
      <w:bookmarkEnd w:id="292"/>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本基金在本报告期间无需说明的会计差错更正。</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93" w:name="_Toc478410263"/>
      <w:bookmarkStart w:id="294" w:name="_Toc478411438"/>
      <w:r w:rsidRPr="00E609DE">
        <w:rPr>
          <w:rFonts w:ascii="Times New Roman" w:hAnsi="Times New Roman"/>
          <w:kern w:val="0"/>
          <w:szCs w:val="24"/>
        </w:rPr>
        <w:t>7.4.6</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税项</w:t>
      </w:r>
      <w:bookmarkEnd w:id="293"/>
      <w:bookmarkEnd w:id="294"/>
    </w:p>
    <w:p w:rsidR="00CF02F5" w:rsidRPr="00CF02F5" w:rsidRDefault="00CF02F5" w:rsidP="00F97E35">
      <w:pPr>
        <w:tabs>
          <w:tab w:val="left" w:pos="426"/>
        </w:tabs>
        <w:spacing w:before="29" w:line="288" w:lineRule="auto"/>
        <w:ind w:firstLineChars="200" w:firstLine="480"/>
        <w:rPr>
          <w:kern w:val="0"/>
          <w:sz w:val="24"/>
        </w:rPr>
      </w:pPr>
      <w:r w:rsidRPr="00CF02F5">
        <w:rPr>
          <w:rFonts w:hint="eastAsia"/>
          <w:kern w:val="0"/>
          <w:sz w:val="24"/>
        </w:rPr>
        <w:t>根据财政部、国家税务总局财税</w:t>
      </w:r>
      <w:r w:rsidRPr="00CF02F5">
        <w:rPr>
          <w:rFonts w:hint="eastAsia"/>
          <w:kern w:val="0"/>
          <w:sz w:val="24"/>
        </w:rPr>
        <w:t>[2004]78</w:t>
      </w:r>
      <w:r w:rsidRPr="00CF02F5">
        <w:rPr>
          <w:rFonts w:hint="eastAsia"/>
          <w:kern w:val="0"/>
          <w:sz w:val="24"/>
        </w:rPr>
        <w:t>号《财政部、国家税务总局关于证券投资基金税收政策的通知》、财税</w:t>
      </w:r>
      <w:r w:rsidRPr="00CF02F5">
        <w:rPr>
          <w:rFonts w:hint="eastAsia"/>
          <w:kern w:val="0"/>
          <w:sz w:val="24"/>
        </w:rPr>
        <w:t>[2008]1</w:t>
      </w:r>
      <w:r w:rsidRPr="00CF02F5">
        <w:rPr>
          <w:rFonts w:hint="eastAsia"/>
          <w:kern w:val="0"/>
          <w:sz w:val="24"/>
        </w:rPr>
        <w:t>号《关于企业所得税若干优惠政策的通知》、财税</w:t>
      </w:r>
      <w:r w:rsidRPr="00CF02F5">
        <w:rPr>
          <w:rFonts w:hint="eastAsia"/>
          <w:kern w:val="0"/>
          <w:sz w:val="24"/>
        </w:rPr>
        <w:t>[2016]36</w:t>
      </w:r>
      <w:r w:rsidRPr="00CF02F5">
        <w:rPr>
          <w:rFonts w:hint="eastAsia"/>
          <w:kern w:val="0"/>
          <w:sz w:val="24"/>
        </w:rPr>
        <w:t>号《关于全面推开营业税改征增值税试点的通知》、财税</w:t>
      </w:r>
      <w:r w:rsidRPr="00CF02F5">
        <w:rPr>
          <w:rFonts w:hint="eastAsia"/>
          <w:kern w:val="0"/>
          <w:sz w:val="24"/>
        </w:rPr>
        <w:t>[2016]46</w:t>
      </w:r>
      <w:r w:rsidRPr="00CF02F5">
        <w:rPr>
          <w:rFonts w:hint="eastAsia"/>
          <w:kern w:val="0"/>
          <w:sz w:val="24"/>
        </w:rPr>
        <w:t>号《关于进一步明确全面推开营改增试点金融业有关政策的通知》、财税</w:t>
      </w:r>
      <w:r w:rsidRPr="00CF02F5">
        <w:rPr>
          <w:rFonts w:hint="eastAsia"/>
          <w:kern w:val="0"/>
          <w:sz w:val="24"/>
        </w:rPr>
        <w:t>[2016]70</w:t>
      </w:r>
      <w:r w:rsidRPr="00CF02F5">
        <w:rPr>
          <w:rFonts w:hint="eastAsia"/>
          <w:kern w:val="0"/>
          <w:sz w:val="24"/>
        </w:rPr>
        <w:t>号《关于金融机构同业往来等增值税政策的补充通知》及其他相关境内外税务法规和实务操作，主要税项列示如下：</w:t>
      </w:r>
    </w:p>
    <w:p w:rsidR="00CF02F5" w:rsidRPr="00CF02F5" w:rsidRDefault="00CF02F5" w:rsidP="00F97E35">
      <w:pPr>
        <w:tabs>
          <w:tab w:val="left" w:pos="426"/>
        </w:tabs>
        <w:spacing w:before="29" w:line="288" w:lineRule="auto"/>
        <w:ind w:firstLineChars="200" w:firstLine="480"/>
        <w:rPr>
          <w:kern w:val="0"/>
          <w:sz w:val="24"/>
        </w:rPr>
      </w:pPr>
      <w:r w:rsidRPr="00CF02F5">
        <w:rPr>
          <w:kern w:val="0"/>
          <w:sz w:val="24"/>
        </w:rPr>
        <w:lastRenderedPageBreak/>
        <w:t>(1)</w:t>
      </w:r>
      <w:r w:rsidRPr="00CF02F5">
        <w:rPr>
          <w:rFonts w:hint="eastAsia"/>
          <w:kern w:val="0"/>
          <w:sz w:val="24"/>
        </w:rPr>
        <w:t>于</w:t>
      </w:r>
      <w:r w:rsidRPr="00CF02F5">
        <w:rPr>
          <w:kern w:val="0"/>
          <w:sz w:val="24"/>
        </w:rPr>
        <w:t>2016</w:t>
      </w:r>
      <w:r w:rsidRPr="00CF02F5">
        <w:rPr>
          <w:rFonts w:hint="eastAsia"/>
          <w:kern w:val="0"/>
          <w:sz w:val="24"/>
        </w:rPr>
        <w:t>年</w:t>
      </w:r>
      <w:r w:rsidRPr="00CF02F5">
        <w:rPr>
          <w:kern w:val="0"/>
          <w:sz w:val="24"/>
        </w:rPr>
        <w:t>5</w:t>
      </w:r>
      <w:r w:rsidRPr="00CF02F5">
        <w:rPr>
          <w:rFonts w:hint="eastAsia"/>
          <w:kern w:val="0"/>
          <w:sz w:val="24"/>
        </w:rPr>
        <w:t>月</w:t>
      </w:r>
      <w:r w:rsidRPr="00CF02F5">
        <w:rPr>
          <w:kern w:val="0"/>
          <w:sz w:val="24"/>
        </w:rPr>
        <w:t>1</w:t>
      </w:r>
      <w:r w:rsidRPr="00CF02F5">
        <w:rPr>
          <w:rFonts w:hint="eastAsia"/>
          <w:kern w:val="0"/>
          <w:sz w:val="24"/>
        </w:rPr>
        <w:t>日前，以发行基金方式募集资金不属于营业税征收范围，不征收营业税。自</w:t>
      </w:r>
      <w:r w:rsidRPr="00CF02F5">
        <w:rPr>
          <w:kern w:val="0"/>
          <w:sz w:val="24"/>
        </w:rPr>
        <w:t>2016</w:t>
      </w:r>
      <w:r w:rsidRPr="00CF02F5">
        <w:rPr>
          <w:rFonts w:hint="eastAsia"/>
          <w:kern w:val="0"/>
          <w:sz w:val="24"/>
        </w:rPr>
        <w:t>年</w:t>
      </w:r>
      <w:r w:rsidRPr="00CF02F5">
        <w:rPr>
          <w:kern w:val="0"/>
          <w:sz w:val="24"/>
        </w:rPr>
        <w:t>5</w:t>
      </w:r>
      <w:r w:rsidRPr="00CF02F5">
        <w:rPr>
          <w:rFonts w:hint="eastAsia"/>
          <w:kern w:val="0"/>
          <w:sz w:val="24"/>
        </w:rPr>
        <w:t>月</w:t>
      </w:r>
      <w:r w:rsidRPr="00CF02F5">
        <w:rPr>
          <w:kern w:val="0"/>
          <w:sz w:val="24"/>
        </w:rPr>
        <w:t>1</w:t>
      </w:r>
      <w:r w:rsidRPr="00CF02F5">
        <w:rPr>
          <w:rFonts w:hint="eastAsia"/>
          <w:kern w:val="0"/>
          <w:sz w:val="24"/>
        </w:rPr>
        <w:t>日起，金融业由缴纳营业税改为缴纳增值税。对金融同业往来利息收入亦免征增值税。</w:t>
      </w:r>
      <w:r w:rsidRPr="00CF02F5">
        <w:rPr>
          <w:kern w:val="0"/>
          <w:sz w:val="24"/>
        </w:rPr>
        <w:t> </w:t>
      </w:r>
    </w:p>
    <w:p w:rsidR="00CF02F5" w:rsidRPr="00CF02F5" w:rsidRDefault="00CF02F5" w:rsidP="00F97E35">
      <w:pPr>
        <w:tabs>
          <w:tab w:val="left" w:pos="426"/>
        </w:tabs>
        <w:spacing w:before="29" w:line="288" w:lineRule="auto"/>
        <w:ind w:firstLineChars="200" w:firstLine="480"/>
        <w:rPr>
          <w:kern w:val="0"/>
          <w:sz w:val="24"/>
        </w:rPr>
      </w:pPr>
      <w:r w:rsidRPr="00CF02F5">
        <w:rPr>
          <w:rFonts w:hint="eastAsia"/>
          <w:kern w:val="0"/>
          <w:sz w:val="24"/>
        </w:rPr>
        <w:t xml:space="preserve"> (2)</w:t>
      </w:r>
      <w:r w:rsidRPr="00CF02F5">
        <w:rPr>
          <w:rFonts w:hint="eastAsia"/>
          <w:kern w:val="0"/>
          <w:sz w:val="24"/>
        </w:rPr>
        <w:t>目前基金取得的源自境外的差价收入，其涉及的境外所得税税收政策，按照相关国家或地区税收法律和法规执行，在境内</w:t>
      </w:r>
      <w:proofErr w:type="gramStart"/>
      <w:r w:rsidRPr="00CF02F5">
        <w:rPr>
          <w:rFonts w:hint="eastAsia"/>
          <w:kern w:val="0"/>
          <w:sz w:val="24"/>
        </w:rPr>
        <w:t>不予征收</w:t>
      </w:r>
      <w:proofErr w:type="gramEnd"/>
      <w:r w:rsidRPr="00CF02F5">
        <w:rPr>
          <w:rFonts w:hint="eastAsia"/>
          <w:kern w:val="0"/>
          <w:sz w:val="24"/>
        </w:rPr>
        <w:t>营业税</w:t>
      </w:r>
      <w:r w:rsidRPr="00CF02F5">
        <w:rPr>
          <w:rFonts w:hint="eastAsia"/>
          <w:kern w:val="0"/>
          <w:sz w:val="24"/>
        </w:rPr>
        <w:t>(</w:t>
      </w:r>
      <w:r w:rsidRPr="00CF02F5">
        <w:rPr>
          <w:rFonts w:hint="eastAsia"/>
          <w:kern w:val="0"/>
          <w:sz w:val="24"/>
        </w:rPr>
        <w:t>于</w:t>
      </w:r>
      <w:r w:rsidRPr="00CF02F5">
        <w:rPr>
          <w:rFonts w:hint="eastAsia"/>
          <w:kern w:val="0"/>
          <w:sz w:val="24"/>
        </w:rPr>
        <w:t>2016</w:t>
      </w:r>
      <w:r w:rsidRPr="00CF02F5">
        <w:rPr>
          <w:rFonts w:hint="eastAsia"/>
          <w:kern w:val="0"/>
          <w:sz w:val="24"/>
        </w:rPr>
        <w:t>年</w:t>
      </w:r>
      <w:r w:rsidRPr="00CF02F5">
        <w:rPr>
          <w:rFonts w:hint="eastAsia"/>
          <w:kern w:val="0"/>
          <w:sz w:val="24"/>
        </w:rPr>
        <w:t>5</w:t>
      </w:r>
      <w:r w:rsidRPr="00CF02F5">
        <w:rPr>
          <w:rFonts w:hint="eastAsia"/>
          <w:kern w:val="0"/>
          <w:sz w:val="24"/>
        </w:rPr>
        <w:t>月</w:t>
      </w:r>
      <w:r w:rsidRPr="00CF02F5">
        <w:rPr>
          <w:rFonts w:hint="eastAsia"/>
          <w:kern w:val="0"/>
          <w:sz w:val="24"/>
        </w:rPr>
        <w:t>1</w:t>
      </w:r>
      <w:r w:rsidRPr="00CF02F5">
        <w:rPr>
          <w:rFonts w:hint="eastAsia"/>
          <w:kern w:val="0"/>
          <w:sz w:val="24"/>
        </w:rPr>
        <w:t>日前</w:t>
      </w:r>
      <w:r w:rsidRPr="00CF02F5">
        <w:rPr>
          <w:rFonts w:hint="eastAsia"/>
          <w:kern w:val="0"/>
          <w:sz w:val="24"/>
        </w:rPr>
        <w:t>)</w:t>
      </w:r>
      <w:r w:rsidRPr="00CF02F5">
        <w:rPr>
          <w:rFonts w:hint="eastAsia"/>
          <w:kern w:val="0"/>
          <w:sz w:val="24"/>
        </w:rPr>
        <w:t>或增值税</w:t>
      </w:r>
      <w:r w:rsidRPr="00CF02F5">
        <w:rPr>
          <w:rFonts w:hint="eastAsia"/>
          <w:kern w:val="0"/>
          <w:sz w:val="24"/>
        </w:rPr>
        <w:t>(</w:t>
      </w:r>
      <w:r w:rsidRPr="00CF02F5">
        <w:rPr>
          <w:rFonts w:hint="eastAsia"/>
          <w:kern w:val="0"/>
          <w:sz w:val="24"/>
        </w:rPr>
        <w:t>自</w:t>
      </w:r>
      <w:r w:rsidRPr="00CF02F5">
        <w:rPr>
          <w:rFonts w:hint="eastAsia"/>
          <w:kern w:val="0"/>
          <w:sz w:val="24"/>
        </w:rPr>
        <w:t>2016</w:t>
      </w:r>
      <w:r w:rsidRPr="00CF02F5">
        <w:rPr>
          <w:rFonts w:hint="eastAsia"/>
          <w:kern w:val="0"/>
          <w:sz w:val="24"/>
        </w:rPr>
        <w:t>年</w:t>
      </w:r>
      <w:r w:rsidRPr="00CF02F5">
        <w:rPr>
          <w:rFonts w:hint="eastAsia"/>
          <w:kern w:val="0"/>
          <w:sz w:val="24"/>
        </w:rPr>
        <w:t>5</w:t>
      </w:r>
      <w:r w:rsidRPr="00CF02F5">
        <w:rPr>
          <w:rFonts w:hint="eastAsia"/>
          <w:kern w:val="0"/>
          <w:sz w:val="24"/>
        </w:rPr>
        <w:t>月</w:t>
      </w:r>
      <w:r w:rsidRPr="00CF02F5">
        <w:rPr>
          <w:rFonts w:hint="eastAsia"/>
          <w:kern w:val="0"/>
          <w:sz w:val="24"/>
        </w:rPr>
        <w:t>1</w:t>
      </w:r>
      <w:r w:rsidRPr="00CF02F5">
        <w:rPr>
          <w:rFonts w:hint="eastAsia"/>
          <w:kern w:val="0"/>
          <w:sz w:val="24"/>
        </w:rPr>
        <w:t>日起</w:t>
      </w:r>
      <w:r w:rsidRPr="00CF02F5">
        <w:rPr>
          <w:rFonts w:hint="eastAsia"/>
          <w:kern w:val="0"/>
          <w:sz w:val="24"/>
        </w:rPr>
        <w:t>)</w:t>
      </w:r>
      <w:r w:rsidRPr="00CF02F5">
        <w:rPr>
          <w:rFonts w:hint="eastAsia"/>
          <w:kern w:val="0"/>
          <w:sz w:val="24"/>
        </w:rPr>
        <w:t>且暂不征收企业所得税。</w:t>
      </w:r>
    </w:p>
    <w:p w:rsidR="007B62FA" w:rsidRDefault="00CF02F5" w:rsidP="00F97E35">
      <w:pPr>
        <w:tabs>
          <w:tab w:val="left" w:pos="426"/>
        </w:tabs>
        <w:spacing w:before="29" w:line="288" w:lineRule="auto"/>
        <w:ind w:firstLineChars="200" w:firstLine="480"/>
        <w:rPr>
          <w:kern w:val="0"/>
          <w:sz w:val="24"/>
        </w:rPr>
      </w:pPr>
      <w:r w:rsidRPr="00CF02F5">
        <w:rPr>
          <w:rFonts w:hint="eastAsia"/>
          <w:kern w:val="0"/>
          <w:sz w:val="24"/>
        </w:rPr>
        <w:t>(3)</w:t>
      </w:r>
      <w:r w:rsidRPr="00CF02F5">
        <w:rPr>
          <w:rFonts w:hint="eastAsia"/>
          <w:kern w:val="0"/>
          <w:sz w:val="24"/>
        </w:rPr>
        <w:t>目前基金取得的源自境外的股利收益，其涉及的境外所得税税收政策按照相关国家或地区税收法律和法规执行，在境内暂不征收个人所得税和企业所得税。</w:t>
      </w:r>
    </w:p>
    <w:p w:rsidR="00CF02F5" w:rsidRPr="00D0372D" w:rsidRDefault="00CF02F5" w:rsidP="00CF02F5">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95" w:name="_Toc478410264"/>
      <w:bookmarkStart w:id="296" w:name="_Toc478411439"/>
      <w:r w:rsidRPr="00E609DE">
        <w:rPr>
          <w:rFonts w:ascii="Times New Roman" w:hAnsi="Times New Roman"/>
          <w:kern w:val="0"/>
          <w:szCs w:val="24"/>
        </w:rPr>
        <w:t>7.4.7</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重要财务报表项目的说明</w:t>
      </w:r>
      <w:bookmarkEnd w:id="295"/>
      <w:bookmarkEnd w:id="296"/>
    </w:p>
    <w:p w:rsidR="007B62FA" w:rsidRPr="00E609DE" w:rsidRDefault="007B62FA" w:rsidP="00E609DE">
      <w:pPr>
        <w:pStyle w:val="20"/>
        <w:spacing w:before="29" w:after="0" w:line="288" w:lineRule="auto"/>
        <w:rPr>
          <w:rFonts w:ascii="Times New Roman" w:hAnsi="Times New Roman"/>
          <w:kern w:val="0"/>
          <w:szCs w:val="24"/>
        </w:rPr>
      </w:pPr>
      <w:bookmarkStart w:id="297" w:name="_Toc478410265"/>
      <w:bookmarkStart w:id="298" w:name="_Toc478411440"/>
      <w:r w:rsidRPr="00E609DE">
        <w:rPr>
          <w:rFonts w:ascii="Times New Roman" w:hAnsi="Times New Roman"/>
          <w:kern w:val="0"/>
          <w:szCs w:val="24"/>
        </w:rPr>
        <w:t>7.4.7.1</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银行存款</w:t>
      </w:r>
      <w:bookmarkEnd w:id="297"/>
      <w:bookmarkEnd w:id="298"/>
    </w:p>
    <w:p w:rsidR="007B62FA" w:rsidRPr="008805E9" w:rsidRDefault="007B62FA" w:rsidP="008805E9">
      <w:pPr>
        <w:autoSpaceDE w:val="0"/>
        <w:autoSpaceDN w:val="0"/>
        <w:adjustRightInd w:val="0"/>
        <w:spacing w:before="29" w:line="288" w:lineRule="auto"/>
        <w:ind w:left="15"/>
        <w:jc w:val="right"/>
        <w:rPr>
          <w:bCs/>
          <w:color w:val="000000"/>
          <w:sz w:val="24"/>
        </w:rPr>
      </w:pPr>
      <w:r w:rsidRPr="008805E9">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17"/>
        <w:gridCol w:w="2835"/>
        <w:gridCol w:w="3197"/>
      </w:tblGrid>
      <w:tr w:rsidR="007B62FA" w:rsidRPr="00D0372D" w:rsidTr="00E773F4">
        <w:trPr>
          <w:trHeight w:val="345"/>
          <w:jc w:val="center"/>
        </w:trPr>
        <w:tc>
          <w:tcPr>
            <w:tcW w:w="2917" w:type="dxa"/>
            <w:tcMar>
              <w:top w:w="15" w:type="dxa"/>
              <w:left w:w="15" w:type="dxa"/>
              <w:bottom w:w="0" w:type="dxa"/>
              <w:right w:w="15" w:type="dxa"/>
            </w:tcMar>
            <w:vAlign w:val="center"/>
          </w:tcPr>
          <w:p w:rsidR="007B62FA" w:rsidRPr="008805E9" w:rsidRDefault="007B62FA" w:rsidP="008805E9">
            <w:pPr>
              <w:spacing w:before="29" w:line="288" w:lineRule="auto"/>
              <w:jc w:val="center"/>
              <w:rPr>
                <w:kern w:val="0"/>
                <w:sz w:val="24"/>
              </w:rPr>
            </w:pPr>
            <w:r w:rsidRPr="008805E9">
              <w:rPr>
                <w:rFonts w:hint="eastAsia"/>
                <w:kern w:val="0"/>
                <w:sz w:val="24"/>
              </w:rPr>
              <w:t>项目</w:t>
            </w:r>
          </w:p>
        </w:tc>
        <w:tc>
          <w:tcPr>
            <w:tcW w:w="2835" w:type="dxa"/>
            <w:tcMar>
              <w:top w:w="15" w:type="dxa"/>
              <w:left w:w="15" w:type="dxa"/>
              <w:bottom w:w="0" w:type="dxa"/>
              <w:right w:w="15" w:type="dxa"/>
            </w:tcMar>
          </w:tcPr>
          <w:p w:rsidR="007B62FA" w:rsidRPr="008805E9" w:rsidRDefault="007B62FA" w:rsidP="008805E9">
            <w:pPr>
              <w:spacing w:before="29" w:line="288" w:lineRule="auto"/>
              <w:jc w:val="center"/>
              <w:rPr>
                <w:kern w:val="0"/>
                <w:sz w:val="24"/>
              </w:rPr>
            </w:pPr>
            <w:r w:rsidRPr="008805E9">
              <w:rPr>
                <w:rFonts w:hint="eastAsia"/>
                <w:kern w:val="0"/>
                <w:sz w:val="24"/>
              </w:rPr>
              <w:t>本期末</w:t>
            </w:r>
          </w:p>
          <w:p w:rsidR="007B62FA" w:rsidRPr="008805E9" w:rsidRDefault="00ED2997" w:rsidP="008805E9">
            <w:pPr>
              <w:spacing w:before="29" w:line="288" w:lineRule="auto"/>
              <w:jc w:val="center"/>
              <w:rPr>
                <w:kern w:val="0"/>
                <w:sz w:val="24"/>
              </w:rPr>
            </w:pPr>
            <w:r w:rsidRPr="008805E9">
              <w:rPr>
                <w:kern w:val="0"/>
                <w:sz w:val="24"/>
              </w:rPr>
              <w:t>2016</w:t>
            </w:r>
            <w:r w:rsidRPr="008805E9">
              <w:rPr>
                <w:kern w:val="0"/>
                <w:sz w:val="24"/>
              </w:rPr>
              <w:t>年</w:t>
            </w:r>
            <w:r w:rsidRPr="008805E9">
              <w:rPr>
                <w:kern w:val="0"/>
                <w:sz w:val="24"/>
              </w:rPr>
              <w:t>12</w:t>
            </w:r>
            <w:r w:rsidRPr="008805E9">
              <w:rPr>
                <w:kern w:val="0"/>
                <w:sz w:val="24"/>
              </w:rPr>
              <w:t>月</w:t>
            </w:r>
            <w:r w:rsidRPr="008805E9">
              <w:rPr>
                <w:kern w:val="0"/>
                <w:sz w:val="24"/>
              </w:rPr>
              <w:t>31</w:t>
            </w:r>
            <w:r w:rsidRPr="008805E9">
              <w:rPr>
                <w:kern w:val="0"/>
                <w:sz w:val="24"/>
              </w:rPr>
              <w:t>日</w:t>
            </w:r>
          </w:p>
        </w:tc>
        <w:tc>
          <w:tcPr>
            <w:tcW w:w="3197" w:type="dxa"/>
            <w:tcMar>
              <w:top w:w="15" w:type="dxa"/>
              <w:left w:w="15" w:type="dxa"/>
              <w:bottom w:w="0" w:type="dxa"/>
              <w:right w:w="15" w:type="dxa"/>
            </w:tcMar>
          </w:tcPr>
          <w:p w:rsidR="007B62FA" w:rsidRPr="008805E9" w:rsidRDefault="007B62FA" w:rsidP="008805E9">
            <w:pPr>
              <w:spacing w:before="29" w:line="288" w:lineRule="auto"/>
              <w:jc w:val="center"/>
              <w:rPr>
                <w:kern w:val="0"/>
                <w:sz w:val="24"/>
              </w:rPr>
            </w:pPr>
            <w:r w:rsidRPr="008805E9">
              <w:rPr>
                <w:rFonts w:hint="eastAsia"/>
                <w:kern w:val="0"/>
                <w:sz w:val="24"/>
              </w:rPr>
              <w:t>上年度末</w:t>
            </w:r>
          </w:p>
          <w:p w:rsidR="007B62FA" w:rsidRPr="008805E9" w:rsidRDefault="00264252" w:rsidP="008805E9">
            <w:pPr>
              <w:spacing w:before="29" w:line="288" w:lineRule="auto"/>
              <w:jc w:val="center"/>
              <w:rPr>
                <w:kern w:val="0"/>
                <w:sz w:val="24"/>
              </w:rPr>
            </w:pPr>
            <w:r w:rsidRPr="008805E9">
              <w:rPr>
                <w:kern w:val="0"/>
                <w:sz w:val="24"/>
              </w:rPr>
              <w:t>2015</w:t>
            </w:r>
            <w:r w:rsidRPr="008805E9">
              <w:rPr>
                <w:kern w:val="0"/>
                <w:sz w:val="24"/>
              </w:rPr>
              <w:t>年</w:t>
            </w:r>
            <w:r w:rsidRPr="008805E9">
              <w:rPr>
                <w:kern w:val="0"/>
                <w:sz w:val="24"/>
              </w:rPr>
              <w:t>12</w:t>
            </w:r>
            <w:r w:rsidRPr="008805E9">
              <w:rPr>
                <w:kern w:val="0"/>
                <w:sz w:val="24"/>
              </w:rPr>
              <w:t>月</w:t>
            </w:r>
            <w:r w:rsidRPr="008805E9">
              <w:rPr>
                <w:kern w:val="0"/>
                <w:sz w:val="24"/>
              </w:rPr>
              <w:t>31</w:t>
            </w:r>
            <w:r w:rsidRPr="008805E9">
              <w:rPr>
                <w:kern w:val="0"/>
                <w:sz w:val="24"/>
              </w:rPr>
              <w:t>日</w:t>
            </w:r>
          </w:p>
        </w:tc>
      </w:tr>
      <w:tr w:rsidR="007B62FA" w:rsidRPr="00D0372D" w:rsidTr="000D064E">
        <w:trPr>
          <w:trHeight w:val="315"/>
          <w:jc w:val="center"/>
        </w:trPr>
        <w:tc>
          <w:tcPr>
            <w:tcW w:w="2917" w:type="dxa"/>
            <w:tcMar>
              <w:top w:w="15" w:type="dxa"/>
              <w:left w:w="15" w:type="dxa"/>
              <w:bottom w:w="0" w:type="dxa"/>
              <w:right w:w="15" w:type="dxa"/>
            </w:tcMar>
            <w:vAlign w:val="center"/>
          </w:tcPr>
          <w:p w:rsidR="007B62FA" w:rsidRPr="008805E9" w:rsidRDefault="007B62FA" w:rsidP="008805E9">
            <w:pPr>
              <w:spacing w:before="29" w:line="288" w:lineRule="auto"/>
              <w:rPr>
                <w:kern w:val="0"/>
                <w:sz w:val="24"/>
              </w:rPr>
            </w:pPr>
            <w:r w:rsidRPr="008805E9">
              <w:rPr>
                <w:rFonts w:hint="eastAsia"/>
                <w:kern w:val="0"/>
                <w:sz w:val="24"/>
              </w:rPr>
              <w:t>活期存款</w:t>
            </w:r>
          </w:p>
        </w:tc>
        <w:tc>
          <w:tcPr>
            <w:tcW w:w="2835"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13,228,900.55</w:t>
            </w:r>
          </w:p>
        </w:tc>
        <w:tc>
          <w:tcPr>
            <w:tcW w:w="3197"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8,583,652.24</w:t>
            </w:r>
          </w:p>
        </w:tc>
      </w:tr>
      <w:tr w:rsidR="007B62FA" w:rsidRPr="00D0372D" w:rsidTr="000D064E">
        <w:trPr>
          <w:trHeight w:val="315"/>
          <w:jc w:val="center"/>
        </w:trPr>
        <w:tc>
          <w:tcPr>
            <w:tcW w:w="2917" w:type="dxa"/>
            <w:tcMar>
              <w:top w:w="15" w:type="dxa"/>
              <w:left w:w="15" w:type="dxa"/>
              <w:bottom w:w="0" w:type="dxa"/>
              <w:right w:w="15" w:type="dxa"/>
            </w:tcMar>
            <w:vAlign w:val="center"/>
          </w:tcPr>
          <w:p w:rsidR="007B62FA" w:rsidRPr="008805E9" w:rsidRDefault="007B62FA" w:rsidP="008805E9">
            <w:pPr>
              <w:spacing w:before="29" w:line="288" w:lineRule="auto"/>
              <w:rPr>
                <w:kern w:val="0"/>
                <w:sz w:val="24"/>
              </w:rPr>
            </w:pPr>
            <w:r w:rsidRPr="008805E9">
              <w:rPr>
                <w:rFonts w:hint="eastAsia"/>
                <w:kern w:val="0"/>
                <w:sz w:val="24"/>
              </w:rPr>
              <w:t>定期存款</w:t>
            </w:r>
          </w:p>
        </w:tc>
        <w:tc>
          <w:tcPr>
            <w:tcW w:w="2835"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w:t>
            </w:r>
          </w:p>
        </w:tc>
        <w:tc>
          <w:tcPr>
            <w:tcW w:w="3197"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w:t>
            </w:r>
          </w:p>
        </w:tc>
      </w:tr>
      <w:tr w:rsidR="007B62FA" w:rsidRPr="00D0372D" w:rsidTr="000D064E">
        <w:trPr>
          <w:trHeight w:val="315"/>
          <w:jc w:val="center"/>
        </w:trPr>
        <w:tc>
          <w:tcPr>
            <w:tcW w:w="2917" w:type="dxa"/>
            <w:tcMar>
              <w:top w:w="15" w:type="dxa"/>
              <w:left w:w="15" w:type="dxa"/>
              <w:bottom w:w="0" w:type="dxa"/>
              <w:right w:w="15" w:type="dxa"/>
            </w:tcMar>
            <w:vAlign w:val="center"/>
          </w:tcPr>
          <w:p w:rsidR="007B62FA" w:rsidRPr="008805E9" w:rsidRDefault="007B62FA" w:rsidP="008805E9">
            <w:pPr>
              <w:spacing w:before="29" w:line="288" w:lineRule="auto"/>
              <w:rPr>
                <w:kern w:val="0"/>
                <w:sz w:val="24"/>
              </w:rPr>
            </w:pPr>
            <w:r w:rsidRPr="008805E9">
              <w:rPr>
                <w:rFonts w:hint="eastAsia"/>
                <w:kern w:val="0"/>
                <w:sz w:val="24"/>
              </w:rPr>
              <w:t>其他存款</w:t>
            </w:r>
          </w:p>
        </w:tc>
        <w:tc>
          <w:tcPr>
            <w:tcW w:w="2835"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w:t>
            </w:r>
          </w:p>
        </w:tc>
        <w:tc>
          <w:tcPr>
            <w:tcW w:w="3197"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w:t>
            </w:r>
          </w:p>
        </w:tc>
      </w:tr>
      <w:tr w:rsidR="007B62FA" w:rsidRPr="00D0372D" w:rsidTr="000D064E">
        <w:trPr>
          <w:trHeight w:val="315"/>
          <w:jc w:val="center"/>
        </w:trPr>
        <w:tc>
          <w:tcPr>
            <w:tcW w:w="2917" w:type="dxa"/>
            <w:tcMar>
              <w:top w:w="15" w:type="dxa"/>
              <w:left w:w="15" w:type="dxa"/>
              <w:bottom w:w="0" w:type="dxa"/>
              <w:right w:w="15" w:type="dxa"/>
            </w:tcMar>
            <w:vAlign w:val="center"/>
          </w:tcPr>
          <w:p w:rsidR="007B62FA" w:rsidRPr="008805E9" w:rsidRDefault="007B62FA" w:rsidP="008805E9">
            <w:pPr>
              <w:spacing w:before="29" w:line="288" w:lineRule="auto"/>
              <w:rPr>
                <w:kern w:val="0"/>
                <w:sz w:val="24"/>
              </w:rPr>
            </w:pPr>
            <w:r w:rsidRPr="008805E9">
              <w:rPr>
                <w:rFonts w:hint="eastAsia"/>
                <w:kern w:val="0"/>
                <w:sz w:val="24"/>
              </w:rPr>
              <w:t>合计</w:t>
            </w:r>
          </w:p>
        </w:tc>
        <w:tc>
          <w:tcPr>
            <w:tcW w:w="2835"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13,228,900.55</w:t>
            </w:r>
          </w:p>
        </w:tc>
        <w:tc>
          <w:tcPr>
            <w:tcW w:w="3197"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8,583,652.24</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注：于</w:t>
      </w:r>
      <w:r w:rsidRPr="00B323A0">
        <w:rPr>
          <w:kern w:val="0"/>
          <w:sz w:val="24"/>
        </w:rPr>
        <w:t>2016</w:t>
      </w:r>
      <w:r w:rsidRPr="00B323A0">
        <w:rPr>
          <w:kern w:val="0"/>
          <w:sz w:val="24"/>
        </w:rPr>
        <w:t>年</w:t>
      </w:r>
      <w:r w:rsidRPr="00B323A0">
        <w:rPr>
          <w:kern w:val="0"/>
          <w:sz w:val="24"/>
        </w:rPr>
        <w:t>12</w:t>
      </w:r>
      <w:r w:rsidRPr="00B323A0">
        <w:rPr>
          <w:kern w:val="0"/>
          <w:sz w:val="24"/>
        </w:rPr>
        <w:t>月</w:t>
      </w:r>
      <w:r w:rsidRPr="00B323A0">
        <w:rPr>
          <w:kern w:val="0"/>
          <w:sz w:val="24"/>
        </w:rPr>
        <w:t>31</w:t>
      </w:r>
      <w:r w:rsidRPr="00B323A0">
        <w:rPr>
          <w:kern w:val="0"/>
          <w:sz w:val="24"/>
        </w:rPr>
        <w:t>日，活期存款中包括的外币余额为美元活期存款</w:t>
      </w:r>
      <w:r w:rsidRPr="00B323A0">
        <w:rPr>
          <w:kern w:val="0"/>
          <w:sz w:val="24"/>
        </w:rPr>
        <w:t>2,083.34</w:t>
      </w:r>
      <w:r w:rsidRPr="00B323A0">
        <w:rPr>
          <w:kern w:val="0"/>
          <w:sz w:val="24"/>
        </w:rPr>
        <w:t>元（折合人民币</w:t>
      </w:r>
      <w:r w:rsidRPr="00B323A0">
        <w:rPr>
          <w:kern w:val="0"/>
          <w:sz w:val="24"/>
        </w:rPr>
        <w:t>14,452.13</w:t>
      </w:r>
      <w:r w:rsidRPr="00B323A0">
        <w:rPr>
          <w:kern w:val="0"/>
          <w:sz w:val="24"/>
        </w:rPr>
        <w:t>元）和港币活期存款</w:t>
      </w:r>
      <w:r w:rsidRPr="00B323A0">
        <w:rPr>
          <w:kern w:val="0"/>
          <w:sz w:val="24"/>
        </w:rPr>
        <w:t>13,197,100.54</w:t>
      </w:r>
      <w:r w:rsidRPr="00B323A0">
        <w:rPr>
          <w:kern w:val="0"/>
          <w:sz w:val="24"/>
        </w:rPr>
        <w:t>元（折合人民币</w:t>
      </w:r>
      <w:r w:rsidRPr="00B323A0">
        <w:rPr>
          <w:kern w:val="0"/>
          <w:sz w:val="24"/>
        </w:rPr>
        <w:t>11,806,982.5</w:t>
      </w:r>
      <w:r w:rsidRPr="00B323A0">
        <w:rPr>
          <w:kern w:val="0"/>
          <w:sz w:val="24"/>
        </w:rPr>
        <w:t>元）。于</w:t>
      </w:r>
      <w:r w:rsidRPr="00B323A0">
        <w:rPr>
          <w:kern w:val="0"/>
          <w:sz w:val="24"/>
        </w:rPr>
        <w:t>2015</w:t>
      </w:r>
      <w:r w:rsidRPr="00B323A0">
        <w:rPr>
          <w:kern w:val="0"/>
          <w:sz w:val="24"/>
        </w:rPr>
        <w:t>年</w:t>
      </w:r>
      <w:r w:rsidRPr="00B323A0">
        <w:rPr>
          <w:kern w:val="0"/>
          <w:sz w:val="24"/>
        </w:rPr>
        <w:t>12</w:t>
      </w:r>
      <w:r w:rsidRPr="00B323A0">
        <w:rPr>
          <w:kern w:val="0"/>
          <w:sz w:val="24"/>
        </w:rPr>
        <w:t>月</w:t>
      </w:r>
      <w:r w:rsidRPr="00B323A0">
        <w:rPr>
          <w:kern w:val="0"/>
          <w:sz w:val="24"/>
        </w:rPr>
        <w:t>31</w:t>
      </w:r>
      <w:r w:rsidRPr="00B323A0">
        <w:rPr>
          <w:kern w:val="0"/>
          <w:sz w:val="24"/>
        </w:rPr>
        <w:t>日，活期存款中包括的外币余额为美元活期存款</w:t>
      </w:r>
      <w:r w:rsidRPr="00B323A0">
        <w:rPr>
          <w:kern w:val="0"/>
          <w:sz w:val="24"/>
        </w:rPr>
        <w:t>2,113.50</w:t>
      </w:r>
      <w:r w:rsidRPr="00B323A0">
        <w:rPr>
          <w:kern w:val="0"/>
          <w:sz w:val="24"/>
        </w:rPr>
        <w:t>元（折合人民币</w:t>
      </w:r>
      <w:r w:rsidRPr="00B323A0">
        <w:rPr>
          <w:kern w:val="0"/>
          <w:sz w:val="24"/>
        </w:rPr>
        <w:t>13,724.22</w:t>
      </w:r>
      <w:r w:rsidRPr="00B323A0">
        <w:rPr>
          <w:kern w:val="0"/>
          <w:sz w:val="24"/>
        </w:rPr>
        <w:t>元）和港币活期存款</w:t>
      </w:r>
      <w:r w:rsidRPr="00B323A0">
        <w:rPr>
          <w:kern w:val="0"/>
          <w:sz w:val="24"/>
        </w:rPr>
        <w:t>2,642,186.82</w:t>
      </w:r>
      <w:r w:rsidRPr="00B323A0">
        <w:rPr>
          <w:kern w:val="0"/>
          <w:sz w:val="24"/>
        </w:rPr>
        <w:t>元（折合人民币</w:t>
      </w:r>
      <w:r w:rsidRPr="00B323A0">
        <w:rPr>
          <w:kern w:val="0"/>
          <w:sz w:val="24"/>
        </w:rPr>
        <w:t>2,213,635.41</w:t>
      </w:r>
      <w:r w:rsidRPr="00B323A0">
        <w:rPr>
          <w:kern w:val="0"/>
          <w:sz w:val="24"/>
        </w:rPr>
        <w:t>元）。</w:t>
      </w:r>
    </w:p>
    <w:p w:rsidR="007B62FA" w:rsidRPr="00D0372D" w:rsidRDefault="007B62FA" w:rsidP="00B323A0">
      <w:pPr>
        <w:tabs>
          <w:tab w:val="left" w:pos="426"/>
        </w:tabs>
        <w:spacing w:before="29" w:line="288" w:lineRule="auto"/>
        <w:jc w:val="left"/>
        <w:rPr>
          <w:rFonts w:ascii="宋体" w:hAnsi="宋体"/>
          <w:bCs/>
          <w:color w:val="000000"/>
          <w:szCs w:val="21"/>
        </w:rPr>
      </w:pPr>
    </w:p>
    <w:p w:rsidR="007B62FA" w:rsidRPr="00B323A0" w:rsidRDefault="007B62FA" w:rsidP="00B323A0">
      <w:pPr>
        <w:spacing w:before="29" w:line="288" w:lineRule="auto"/>
        <w:rPr>
          <w:b/>
          <w:bCs/>
          <w:color w:val="000000"/>
          <w:kern w:val="0"/>
          <w:sz w:val="24"/>
        </w:rPr>
      </w:pPr>
      <w:r w:rsidRPr="00B323A0">
        <w:rPr>
          <w:b/>
          <w:bCs/>
          <w:color w:val="000000"/>
          <w:kern w:val="0"/>
          <w:sz w:val="24"/>
        </w:rPr>
        <w:t>7.4.7.2</w:t>
      </w:r>
      <w:r w:rsidR="002D0B5F" w:rsidRPr="00B323A0">
        <w:rPr>
          <w:rFonts w:hint="eastAsia"/>
          <w:b/>
          <w:bCs/>
          <w:color w:val="000000"/>
          <w:kern w:val="0"/>
          <w:sz w:val="24"/>
        </w:rPr>
        <w:t xml:space="preserve"> </w:t>
      </w:r>
      <w:r w:rsidRPr="00B323A0">
        <w:rPr>
          <w:rFonts w:hint="eastAsia"/>
          <w:b/>
          <w:bCs/>
          <w:color w:val="000000"/>
          <w:kern w:val="0"/>
          <w:sz w:val="24"/>
        </w:rPr>
        <w:t>交易性金融资产</w:t>
      </w:r>
    </w:p>
    <w:p w:rsidR="007B62FA" w:rsidRPr="00B323A0" w:rsidRDefault="007B62FA" w:rsidP="00B323A0">
      <w:pPr>
        <w:autoSpaceDE w:val="0"/>
        <w:autoSpaceDN w:val="0"/>
        <w:adjustRightInd w:val="0"/>
        <w:spacing w:before="29" w:line="288" w:lineRule="auto"/>
        <w:ind w:left="15"/>
        <w:jc w:val="right"/>
        <w:rPr>
          <w:bCs/>
          <w:color w:val="000000"/>
          <w:sz w:val="24"/>
        </w:rPr>
      </w:pPr>
      <w:r w:rsidRPr="00B323A0">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CD7E19" w:rsidRPr="00D0372D" w:rsidTr="00CB39C2">
        <w:trPr>
          <w:trHeight w:val="255"/>
          <w:jc w:val="center"/>
        </w:trPr>
        <w:tc>
          <w:tcPr>
            <w:tcW w:w="2268" w:type="dxa"/>
            <w:gridSpan w:val="2"/>
            <w:vMerge w:val="restart"/>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项目</w:t>
            </w:r>
          </w:p>
        </w:tc>
        <w:tc>
          <w:tcPr>
            <w:tcW w:w="7018" w:type="dxa"/>
            <w:gridSpan w:val="3"/>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本期末</w:t>
            </w:r>
          </w:p>
          <w:p w:rsidR="00CD7E19" w:rsidRPr="00B323A0" w:rsidRDefault="00CD7E19" w:rsidP="00B323A0">
            <w:pPr>
              <w:spacing w:before="29" w:line="288" w:lineRule="auto"/>
              <w:jc w:val="center"/>
              <w:rPr>
                <w:color w:val="000000"/>
                <w:kern w:val="0"/>
                <w:sz w:val="24"/>
              </w:rPr>
            </w:pPr>
            <w:r w:rsidRPr="00B323A0">
              <w:rPr>
                <w:color w:val="000000"/>
                <w:kern w:val="0"/>
                <w:sz w:val="24"/>
              </w:rPr>
              <w:t>2016</w:t>
            </w:r>
            <w:r w:rsidRPr="00B323A0">
              <w:rPr>
                <w:color w:val="000000"/>
                <w:kern w:val="0"/>
                <w:sz w:val="24"/>
              </w:rPr>
              <w:t>年</w:t>
            </w:r>
            <w:r w:rsidRPr="00B323A0">
              <w:rPr>
                <w:color w:val="000000"/>
                <w:kern w:val="0"/>
                <w:sz w:val="24"/>
              </w:rPr>
              <w:t>12</w:t>
            </w:r>
            <w:r w:rsidRPr="00B323A0">
              <w:rPr>
                <w:color w:val="000000"/>
                <w:kern w:val="0"/>
                <w:sz w:val="24"/>
              </w:rPr>
              <w:t>月</w:t>
            </w:r>
            <w:r w:rsidRPr="00B323A0">
              <w:rPr>
                <w:color w:val="000000"/>
                <w:kern w:val="0"/>
                <w:sz w:val="24"/>
              </w:rPr>
              <w:t>31</w:t>
            </w:r>
            <w:r w:rsidRPr="00B323A0">
              <w:rPr>
                <w:color w:val="000000"/>
                <w:kern w:val="0"/>
                <w:sz w:val="24"/>
              </w:rPr>
              <w:t>日</w:t>
            </w:r>
          </w:p>
        </w:tc>
      </w:tr>
      <w:tr w:rsidR="00CD7E19" w:rsidRPr="00D0372D" w:rsidTr="0082714C">
        <w:trPr>
          <w:trHeight w:val="270"/>
          <w:jc w:val="center"/>
        </w:trPr>
        <w:tc>
          <w:tcPr>
            <w:tcW w:w="2268" w:type="dxa"/>
            <w:gridSpan w:val="2"/>
            <w:vMerge/>
            <w:vAlign w:val="center"/>
          </w:tcPr>
          <w:p w:rsidR="00CD7E19" w:rsidRPr="00B323A0" w:rsidRDefault="00CD7E19" w:rsidP="00B323A0">
            <w:pPr>
              <w:spacing w:before="29" w:line="288" w:lineRule="auto"/>
              <w:jc w:val="center"/>
              <w:rPr>
                <w:color w:val="000000"/>
                <w:kern w:val="0"/>
                <w:sz w:val="24"/>
              </w:rPr>
            </w:pPr>
          </w:p>
        </w:tc>
        <w:tc>
          <w:tcPr>
            <w:tcW w:w="2339" w:type="dxa"/>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成本</w:t>
            </w:r>
          </w:p>
        </w:tc>
        <w:tc>
          <w:tcPr>
            <w:tcW w:w="2339" w:type="dxa"/>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公允价值</w:t>
            </w:r>
          </w:p>
        </w:tc>
        <w:tc>
          <w:tcPr>
            <w:tcW w:w="2340" w:type="dxa"/>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公允价值变动</w:t>
            </w:r>
          </w:p>
        </w:tc>
      </w:tr>
      <w:tr w:rsidR="00CD7E19" w:rsidRPr="00D0372D" w:rsidTr="00CB39C2">
        <w:trPr>
          <w:trHeight w:val="270"/>
          <w:jc w:val="center"/>
        </w:trPr>
        <w:tc>
          <w:tcPr>
            <w:tcW w:w="2268" w:type="dxa"/>
            <w:gridSpan w:val="2"/>
            <w:vAlign w:val="center"/>
          </w:tcPr>
          <w:p w:rsidR="00CD7E19" w:rsidRPr="00B323A0" w:rsidRDefault="00CD7E19" w:rsidP="00B323A0">
            <w:pPr>
              <w:widowControl/>
              <w:spacing w:before="29" w:line="288" w:lineRule="auto"/>
              <w:rPr>
                <w:color w:val="000000"/>
                <w:kern w:val="0"/>
                <w:sz w:val="24"/>
              </w:rPr>
            </w:pPr>
            <w:r w:rsidRPr="00B323A0">
              <w:rPr>
                <w:rFonts w:hint="eastAsia"/>
                <w:color w:val="000000"/>
                <w:kern w:val="0"/>
                <w:sz w:val="24"/>
              </w:rPr>
              <w:t>股票</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24,240,301.59</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26,641,411.59</w:t>
            </w:r>
          </w:p>
        </w:tc>
        <w:tc>
          <w:tcPr>
            <w:tcW w:w="2340"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2,401,110.00</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贵金属投资</w:t>
            </w:r>
            <w:r w:rsidRPr="00B323A0">
              <w:rPr>
                <w:rFonts w:hint="eastAsia"/>
                <w:color w:val="000000"/>
                <w:kern w:val="0"/>
                <w:sz w:val="24"/>
              </w:rPr>
              <w:t>-</w:t>
            </w:r>
            <w:r w:rsidRPr="00B323A0">
              <w:rPr>
                <w:rFonts w:hint="eastAsia"/>
                <w:color w:val="000000"/>
                <w:kern w:val="0"/>
                <w:sz w:val="24"/>
              </w:rPr>
              <w:t>金交所黄金合约</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r>
      <w:tr w:rsidR="0082714C" w:rsidRPr="00D0372D" w:rsidTr="00CB39C2">
        <w:trPr>
          <w:trHeight w:val="285"/>
          <w:jc w:val="center"/>
        </w:trPr>
        <w:tc>
          <w:tcPr>
            <w:tcW w:w="828" w:type="dxa"/>
            <w:vMerge w:val="restart"/>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债券</w:t>
            </w:r>
          </w:p>
        </w:tc>
        <w:tc>
          <w:tcPr>
            <w:tcW w:w="1440" w:type="dxa"/>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交易所市场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B323A0" w:rsidRDefault="0082714C" w:rsidP="00B323A0">
            <w:pPr>
              <w:widowControl/>
              <w:spacing w:before="29" w:line="288" w:lineRule="auto"/>
              <w:rPr>
                <w:color w:val="000000"/>
                <w:kern w:val="0"/>
                <w:sz w:val="24"/>
              </w:rPr>
            </w:pPr>
          </w:p>
        </w:tc>
        <w:tc>
          <w:tcPr>
            <w:tcW w:w="1440" w:type="dxa"/>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银行间市场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D0372D" w:rsidRDefault="0082714C" w:rsidP="00417F87">
            <w:pPr>
              <w:widowControl/>
              <w:spacing w:line="360" w:lineRule="auto"/>
              <w:jc w:val="left"/>
              <w:rPr>
                <w:rFonts w:ascii="宋体" w:hAnsi="宋体"/>
                <w:color w:val="000000"/>
                <w:kern w:val="0"/>
                <w:szCs w:val="21"/>
              </w:rPr>
            </w:pPr>
          </w:p>
        </w:tc>
        <w:tc>
          <w:tcPr>
            <w:tcW w:w="1440" w:type="dxa"/>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合计</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资产支持证券</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lastRenderedPageBreak/>
              <w:t>基金</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其他</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合计</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24,240,301.59</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26,641,411.59</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2,401,110.00</w:t>
            </w:r>
          </w:p>
        </w:tc>
      </w:tr>
      <w:tr w:rsidR="00CD7E19" w:rsidRPr="00D0372D" w:rsidTr="00CB39C2">
        <w:trPr>
          <w:trHeight w:val="255"/>
          <w:jc w:val="center"/>
        </w:trPr>
        <w:tc>
          <w:tcPr>
            <w:tcW w:w="2268" w:type="dxa"/>
            <w:gridSpan w:val="2"/>
            <w:vMerge w:val="restart"/>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项目</w:t>
            </w:r>
          </w:p>
        </w:tc>
        <w:tc>
          <w:tcPr>
            <w:tcW w:w="7018" w:type="dxa"/>
            <w:gridSpan w:val="3"/>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上年度末</w:t>
            </w:r>
          </w:p>
          <w:p w:rsidR="00CD7E19" w:rsidRPr="00EF7B93" w:rsidRDefault="00264252" w:rsidP="00EF7B93">
            <w:pPr>
              <w:spacing w:before="29" w:line="288" w:lineRule="auto"/>
              <w:jc w:val="center"/>
              <w:rPr>
                <w:color w:val="000000"/>
                <w:kern w:val="0"/>
                <w:sz w:val="24"/>
              </w:rPr>
            </w:pPr>
            <w:r w:rsidRPr="00EF7B93">
              <w:rPr>
                <w:color w:val="000000"/>
                <w:kern w:val="0"/>
                <w:sz w:val="24"/>
              </w:rPr>
              <w:t>2015</w:t>
            </w:r>
            <w:r w:rsidRPr="00EF7B93">
              <w:rPr>
                <w:color w:val="000000"/>
                <w:kern w:val="0"/>
                <w:sz w:val="24"/>
              </w:rPr>
              <w:t>年</w:t>
            </w:r>
            <w:r w:rsidRPr="00EF7B93">
              <w:rPr>
                <w:color w:val="000000"/>
                <w:kern w:val="0"/>
                <w:sz w:val="24"/>
              </w:rPr>
              <w:t>12</w:t>
            </w:r>
            <w:r w:rsidRPr="00EF7B93">
              <w:rPr>
                <w:color w:val="000000"/>
                <w:kern w:val="0"/>
                <w:sz w:val="24"/>
              </w:rPr>
              <w:t>月</w:t>
            </w:r>
            <w:r w:rsidRPr="00EF7B93">
              <w:rPr>
                <w:color w:val="000000"/>
                <w:kern w:val="0"/>
                <w:sz w:val="24"/>
              </w:rPr>
              <w:t>31</w:t>
            </w:r>
            <w:r w:rsidRPr="00EF7B93">
              <w:rPr>
                <w:color w:val="000000"/>
                <w:kern w:val="0"/>
                <w:sz w:val="24"/>
              </w:rPr>
              <w:t>日</w:t>
            </w:r>
          </w:p>
        </w:tc>
      </w:tr>
      <w:tr w:rsidR="00CD7E19" w:rsidRPr="00D0372D" w:rsidTr="0082714C">
        <w:trPr>
          <w:trHeight w:val="270"/>
          <w:jc w:val="center"/>
        </w:trPr>
        <w:tc>
          <w:tcPr>
            <w:tcW w:w="2268" w:type="dxa"/>
            <w:gridSpan w:val="2"/>
            <w:vMerge/>
            <w:vAlign w:val="center"/>
          </w:tcPr>
          <w:p w:rsidR="00CD7E19" w:rsidRPr="00EF7B93" w:rsidRDefault="00CD7E19" w:rsidP="00EF7B93">
            <w:pPr>
              <w:spacing w:before="29" w:line="288" w:lineRule="auto"/>
              <w:jc w:val="center"/>
              <w:rPr>
                <w:color w:val="000000"/>
                <w:kern w:val="0"/>
                <w:sz w:val="24"/>
              </w:rPr>
            </w:pPr>
          </w:p>
        </w:tc>
        <w:tc>
          <w:tcPr>
            <w:tcW w:w="2339" w:type="dxa"/>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成本</w:t>
            </w:r>
          </w:p>
        </w:tc>
        <w:tc>
          <w:tcPr>
            <w:tcW w:w="2339" w:type="dxa"/>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公允价值</w:t>
            </w:r>
          </w:p>
        </w:tc>
        <w:tc>
          <w:tcPr>
            <w:tcW w:w="2340" w:type="dxa"/>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公允价值变动</w:t>
            </w:r>
          </w:p>
        </w:tc>
      </w:tr>
      <w:tr w:rsidR="00CD7E19" w:rsidRPr="00D0372D" w:rsidTr="00CB39C2">
        <w:trPr>
          <w:trHeight w:val="270"/>
          <w:jc w:val="center"/>
        </w:trPr>
        <w:tc>
          <w:tcPr>
            <w:tcW w:w="2268" w:type="dxa"/>
            <w:gridSpan w:val="2"/>
            <w:vAlign w:val="center"/>
          </w:tcPr>
          <w:p w:rsidR="00CD7E19" w:rsidRPr="00465ECC" w:rsidRDefault="00CD7E19" w:rsidP="00465ECC">
            <w:pPr>
              <w:widowControl/>
              <w:spacing w:before="29" w:line="288" w:lineRule="auto"/>
              <w:rPr>
                <w:color w:val="000000"/>
                <w:kern w:val="0"/>
                <w:sz w:val="24"/>
              </w:rPr>
            </w:pPr>
            <w:r w:rsidRPr="00465ECC">
              <w:rPr>
                <w:rFonts w:hint="eastAsia"/>
                <w:color w:val="000000"/>
                <w:kern w:val="0"/>
                <w:sz w:val="24"/>
              </w:rPr>
              <w:t>股票</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28,440,064.96</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22,007,259.12</w:t>
            </w:r>
          </w:p>
        </w:tc>
        <w:tc>
          <w:tcPr>
            <w:tcW w:w="2340"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-6,432,805.84</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贵金属投资</w:t>
            </w:r>
            <w:r w:rsidRPr="00465ECC">
              <w:rPr>
                <w:rFonts w:hint="eastAsia"/>
                <w:color w:val="000000"/>
                <w:kern w:val="0"/>
                <w:sz w:val="24"/>
              </w:rPr>
              <w:t>-</w:t>
            </w:r>
            <w:r w:rsidRPr="00465ECC">
              <w:rPr>
                <w:rFonts w:hint="eastAsia"/>
                <w:color w:val="000000"/>
                <w:kern w:val="0"/>
                <w:sz w:val="24"/>
              </w:rPr>
              <w:t>金交所黄金合约</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r>
      <w:tr w:rsidR="0082714C" w:rsidRPr="00D0372D" w:rsidTr="00CB39C2">
        <w:trPr>
          <w:trHeight w:val="285"/>
          <w:jc w:val="center"/>
        </w:trPr>
        <w:tc>
          <w:tcPr>
            <w:tcW w:w="828" w:type="dxa"/>
            <w:vMerge w:val="restart"/>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债券</w:t>
            </w:r>
          </w:p>
        </w:tc>
        <w:tc>
          <w:tcPr>
            <w:tcW w:w="1440" w:type="dxa"/>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交易所市场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465ECC" w:rsidRDefault="0082714C" w:rsidP="00465ECC">
            <w:pPr>
              <w:widowControl/>
              <w:spacing w:before="29" w:line="288" w:lineRule="auto"/>
              <w:rPr>
                <w:color w:val="000000"/>
                <w:kern w:val="0"/>
                <w:sz w:val="24"/>
              </w:rPr>
            </w:pPr>
          </w:p>
        </w:tc>
        <w:tc>
          <w:tcPr>
            <w:tcW w:w="1440" w:type="dxa"/>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银行间市场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465ECC" w:rsidRDefault="0082714C" w:rsidP="00465ECC">
            <w:pPr>
              <w:widowControl/>
              <w:spacing w:before="29" w:line="288" w:lineRule="auto"/>
              <w:rPr>
                <w:color w:val="000000"/>
                <w:kern w:val="0"/>
                <w:sz w:val="24"/>
              </w:rPr>
            </w:pPr>
          </w:p>
        </w:tc>
        <w:tc>
          <w:tcPr>
            <w:tcW w:w="1440" w:type="dxa"/>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合计</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资产支持证券</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基金</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其他</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合计</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28,440,064.96</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22,007,259.12</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-6,432,805.84</w:t>
            </w:r>
          </w:p>
        </w:tc>
      </w:tr>
    </w:tbl>
    <w:p w:rsidR="007B62FA" w:rsidRPr="00D0372D" w:rsidRDefault="007B62FA" w:rsidP="00417F87">
      <w:pPr>
        <w:spacing w:line="360" w:lineRule="auto"/>
        <w:rPr>
          <w:rFonts w:ascii="宋体" w:hAnsi="宋体"/>
          <w:color w:val="000000"/>
          <w:szCs w:val="21"/>
        </w:rPr>
      </w:pPr>
    </w:p>
    <w:p w:rsidR="007B62FA" w:rsidRPr="00C73C14" w:rsidRDefault="007B62FA" w:rsidP="00C73C14">
      <w:pPr>
        <w:spacing w:before="29" w:line="288" w:lineRule="auto"/>
        <w:rPr>
          <w:b/>
          <w:bCs/>
          <w:color w:val="000000"/>
          <w:kern w:val="0"/>
          <w:sz w:val="24"/>
        </w:rPr>
      </w:pPr>
      <w:r w:rsidRPr="00C73C14">
        <w:rPr>
          <w:b/>
          <w:bCs/>
          <w:color w:val="000000"/>
          <w:kern w:val="0"/>
          <w:sz w:val="24"/>
        </w:rPr>
        <w:t>7.4.7.3</w:t>
      </w:r>
      <w:r w:rsidR="002D0B5F" w:rsidRPr="00C73C14">
        <w:rPr>
          <w:rFonts w:hint="eastAsia"/>
          <w:b/>
          <w:bCs/>
          <w:color w:val="000000"/>
          <w:kern w:val="0"/>
          <w:sz w:val="24"/>
        </w:rPr>
        <w:t xml:space="preserve"> </w:t>
      </w:r>
      <w:r w:rsidRPr="00C73C14">
        <w:rPr>
          <w:rFonts w:hint="eastAsia"/>
          <w:b/>
          <w:bCs/>
          <w:color w:val="000000"/>
          <w:kern w:val="0"/>
          <w:sz w:val="24"/>
        </w:rPr>
        <w:t>衍生金融资产</w:t>
      </w:r>
      <w:r w:rsidRPr="00C73C14">
        <w:rPr>
          <w:b/>
          <w:bCs/>
          <w:color w:val="000000"/>
          <w:kern w:val="0"/>
          <w:sz w:val="24"/>
        </w:rPr>
        <w:t>/</w:t>
      </w:r>
      <w:r w:rsidRPr="00C73C14">
        <w:rPr>
          <w:rFonts w:hint="eastAsia"/>
          <w:b/>
          <w:bCs/>
          <w:color w:val="000000"/>
          <w:kern w:val="0"/>
          <w:sz w:val="24"/>
        </w:rPr>
        <w:t>负债</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本基金本报告期末及上年度末未持有衍生金融工具。</w:t>
      </w:r>
    </w:p>
    <w:p w:rsidR="007B62FA" w:rsidRPr="00915C3C" w:rsidRDefault="007B62FA" w:rsidP="00915C3C">
      <w:pPr>
        <w:spacing w:before="29" w:line="288" w:lineRule="auto"/>
        <w:rPr>
          <w:b/>
          <w:bCs/>
          <w:color w:val="000000"/>
          <w:kern w:val="0"/>
          <w:sz w:val="24"/>
        </w:rPr>
      </w:pPr>
    </w:p>
    <w:p w:rsidR="007B62FA" w:rsidRPr="00915C3C" w:rsidRDefault="007B62FA" w:rsidP="00915C3C">
      <w:pPr>
        <w:spacing w:before="29" w:line="288" w:lineRule="auto"/>
        <w:rPr>
          <w:b/>
          <w:bCs/>
          <w:color w:val="000000"/>
          <w:kern w:val="0"/>
          <w:sz w:val="24"/>
        </w:rPr>
      </w:pPr>
      <w:r w:rsidRPr="00915C3C">
        <w:rPr>
          <w:b/>
          <w:bCs/>
          <w:color w:val="000000"/>
          <w:kern w:val="0"/>
          <w:sz w:val="24"/>
        </w:rPr>
        <w:t>7.4.7.4</w:t>
      </w:r>
      <w:r w:rsidR="002D0B5F" w:rsidRPr="00915C3C">
        <w:rPr>
          <w:rFonts w:hint="eastAsia"/>
          <w:b/>
          <w:bCs/>
          <w:color w:val="000000"/>
          <w:kern w:val="0"/>
          <w:sz w:val="24"/>
        </w:rPr>
        <w:t xml:space="preserve"> </w:t>
      </w:r>
      <w:r w:rsidRPr="00915C3C">
        <w:rPr>
          <w:rFonts w:hint="eastAsia"/>
          <w:b/>
          <w:bCs/>
          <w:color w:val="000000"/>
          <w:kern w:val="0"/>
          <w:sz w:val="24"/>
        </w:rPr>
        <w:t>买入返售金融资产</w:t>
      </w:r>
    </w:p>
    <w:p w:rsidR="00CB18D6" w:rsidRPr="00B323A0" w:rsidRDefault="00CB18D6" w:rsidP="00B323A0">
      <w:pPr>
        <w:tabs>
          <w:tab w:val="left" w:pos="426"/>
        </w:tabs>
        <w:spacing w:before="29" w:line="288" w:lineRule="auto"/>
        <w:jc w:val="left"/>
        <w:rPr>
          <w:kern w:val="0"/>
          <w:sz w:val="24"/>
        </w:rPr>
      </w:pPr>
      <w:r w:rsidRPr="00B323A0">
        <w:rPr>
          <w:kern w:val="0"/>
          <w:sz w:val="24"/>
        </w:rPr>
        <w:t>本基金本报告期末及上年度末未持有买入返售金融资产。</w:t>
      </w:r>
    </w:p>
    <w:p w:rsidR="007B62FA" w:rsidRPr="00D0372D" w:rsidRDefault="007B62FA" w:rsidP="00417F87">
      <w:pPr>
        <w:adjustRightInd w:val="0"/>
        <w:snapToGrid w:val="0"/>
        <w:spacing w:line="360" w:lineRule="auto"/>
        <w:jc w:val="left"/>
        <w:rPr>
          <w:rFonts w:ascii="宋体" w:hAnsi="宋体"/>
          <w:bCs/>
          <w:color w:val="000000"/>
          <w:szCs w:val="21"/>
        </w:rPr>
      </w:pPr>
    </w:p>
    <w:p w:rsidR="007B62FA" w:rsidRPr="00DA03CF" w:rsidRDefault="007B62FA" w:rsidP="00DA03CF">
      <w:pPr>
        <w:spacing w:before="29" w:line="288" w:lineRule="auto"/>
        <w:rPr>
          <w:b/>
          <w:bCs/>
          <w:color w:val="000000"/>
          <w:kern w:val="0"/>
          <w:sz w:val="24"/>
        </w:rPr>
      </w:pPr>
      <w:r w:rsidRPr="00DA03CF">
        <w:rPr>
          <w:b/>
          <w:bCs/>
          <w:color w:val="000000"/>
          <w:kern w:val="0"/>
          <w:sz w:val="24"/>
        </w:rPr>
        <w:t>7.4.7.5</w:t>
      </w:r>
      <w:r w:rsidR="002D0B5F" w:rsidRPr="00DA03CF">
        <w:rPr>
          <w:rFonts w:hint="eastAsia"/>
          <w:b/>
          <w:bCs/>
          <w:color w:val="000000"/>
          <w:kern w:val="0"/>
          <w:sz w:val="24"/>
        </w:rPr>
        <w:t xml:space="preserve"> </w:t>
      </w:r>
      <w:r w:rsidRPr="00DA03CF">
        <w:rPr>
          <w:rFonts w:hint="eastAsia"/>
          <w:b/>
          <w:bCs/>
          <w:color w:val="000000"/>
          <w:kern w:val="0"/>
          <w:sz w:val="24"/>
        </w:rPr>
        <w:t>应收利息</w:t>
      </w:r>
    </w:p>
    <w:p w:rsidR="007B62FA" w:rsidRPr="00DA03CF" w:rsidRDefault="007B62FA" w:rsidP="00DA03CF">
      <w:pPr>
        <w:spacing w:before="29" w:line="288" w:lineRule="auto"/>
        <w:jc w:val="right"/>
        <w:rPr>
          <w:color w:val="000000"/>
          <w:sz w:val="24"/>
        </w:rPr>
      </w:pPr>
      <w:r w:rsidRPr="00DA03CF">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92"/>
        <w:gridCol w:w="3011"/>
        <w:gridCol w:w="3012"/>
      </w:tblGrid>
      <w:tr w:rsidR="007B62FA" w:rsidRPr="00D0372D" w:rsidTr="007F1482">
        <w:trPr>
          <w:trHeight w:val="330"/>
        </w:trPr>
        <w:tc>
          <w:tcPr>
            <w:tcW w:w="2992" w:type="dxa"/>
            <w:vAlign w:val="center"/>
          </w:tcPr>
          <w:p w:rsidR="007B62FA" w:rsidRPr="00DA03CF" w:rsidRDefault="007B62FA" w:rsidP="00DA03CF">
            <w:pPr>
              <w:spacing w:before="29" w:line="288" w:lineRule="auto"/>
              <w:jc w:val="center"/>
              <w:rPr>
                <w:sz w:val="24"/>
              </w:rPr>
            </w:pPr>
            <w:r w:rsidRPr="00DA03CF">
              <w:rPr>
                <w:rFonts w:hint="eastAsia"/>
                <w:sz w:val="24"/>
              </w:rPr>
              <w:t>项目</w:t>
            </w:r>
          </w:p>
        </w:tc>
        <w:tc>
          <w:tcPr>
            <w:tcW w:w="3011" w:type="dxa"/>
            <w:vAlign w:val="bottom"/>
          </w:tcPr>
          <w:p w:rsidR="007B62FA" w:rsidRPr="00DA03CF" w:rsidRDefault="007B62FA" w:rsidP="00DA03CF">
            <w:pPr>
              <w:spacing w:before="29" w:line="288" w:lineRule="auto"/>
              <w:jc w:val="center"/>
              <w:rPr>
                <w:sz w:val="24"/>
              </w:rPr>
            </w:pPr>
            <w:r w:rsidRPr="00DA03CF">
              <w:rPr>
                <w:rFonts w:hint="eastAsia"/>
                <w:sz w:val="24"/>
              </w:rPr>
              <w:t>本期末</w:t>
            </w:r>
          </w:p>
          <w:p w:rsidR="007B62FA" w:rsidRPr="00DA03CF" w:rsidRDefault="00ED2997" w:rsidP="00DA03CF">
            <w:pPr>
              <w:spacing w:before="29" w:line="288" w:lineRule="auto"/>
              <w:jc w:val="center"/>
              <w:rPr>
                <w:sz w:val="24"/>
              </w:rPr>
            </w:pPr>
            <w:r w:rsidRPr="00DA03CF">
              <w:rPr>
                <w:sz w:val="24"/>
              </w:rPr>
              <w:t>2016</w:t>
            </w:r>
            <w:r w:rsidRPr="00DA03CF">
              <w:rPr>
                <w:sz w:val="24"/>
              </w:rPr>
              <w:t>年</w:t>
            </w:r>
            <w:r w:rsidRPr="00DA03CF">
              <w:rPr>
                <w:sz w:val="24"/>
              </w:rPr>
              <w:t>12</w:t>
            </w:r>
            <w:r w:rsidRPr="00DA03CF">
              <w:rPr>
                <w:sz w:val="24"/>
              </w:rPr>
              <w:t>月</w:t>
            </w:r>
            <w:r w:rsidRPr="00DA03CF">
              <w:rPr>
                <w:sz w:val="24"/>
              </w:rPr>
              <w:t>31</w:t>
            </w:r>
            <w:r w:rsidRPr="00DA03CF">
              <w:rPr>
                <w:sz w:val="24"/>
              </w:rPr>
              <w:t>日</w:t>
            </w:r>
          </w:p>
        </w:tc>
        <w:tc>
          <w:tcPr>
            <w:tcW w:w="3012" w:type="dxa"/>
          </w:tcPr>
          <w:p w:rsidR="007B62FA" w:rsidRPr="00DA03CF" w:rsidRDefault="007B62FA" w:rsidP="00DA03CF">
            <w:pPr>
              <w:spacing w:before="29" w:line="288" w:lineRule="auto"/>
              <w:jc w:val="center"/>
              <w:rPr>
                <w:sz w:val="24"/>
              </w:rPr>
            </w:pPr>
            <w:r w:rsidRPr="00DA03CF">
              <w:rPr>
                <w:rFonts w:hint="eastAsia"/>
                <w:sz w:val="24"/>
              </w:rPr>
              <w:t>上年度末</w:t>
            </w:r>
          </w:p>
          <w:p w:rsidR="007B62FA" w:rsidRPr="00DA03CF" w:rsidRDefault="00264252" w:rsidP="00DA03CF">
            <w:pPr>
              <w:spacing w:before="29" w:line="288" w:lineRule="auto"/>
              <w:jc w:val="center"/>
              <w:rPr>
                <w:sz w:val="24"/>
              </w:rPr>
            </w:pPr>
            <w:r w:rsidRPr="00DA03CF">
              <w:rPr>
                <w:sz w:val="24"/>
              </w:rPr>
              <w:t>2015</w:t>
            </w:r>
            <w:r w:rsidRPr="00DA03CF">
              <w:rPr>
                <w:sz w:val="24"/>
              </w:rPr>
              <w:t>年</w:t>
            </w:r>
            <w:r w:rsidRPr="00DA03CF">
              <w:rPr>
                <w:sz w:val="24"/>
              </w:rPr>
              <w:t>12</w:t>
            </w:r>
            <w:r w:rsidRPr="00DA03CF">
              <w:rPr>
                <w:sz w:val="24"/>
              </w:rPr>
              <w:t>月</w:t>
            </w:r>
            <w:r w:rsidRPr="00DA03CF">
              <w:rPr>
                <w:sz w:val="24"/>
              </w:rPr>
              <w:t>31</w:t>
            </w:r>
            <w:r w:rsidRPr="00DA03CF">
              <w:rPr>
                <w:sz w:val="24"/>
              </w:rPr>
              <w:t>日</w:t>
            </w:r>
          </w:p>
        </w:tc>
      </w:tr>
      <w:tr w:rsidR="007B62FA" w:rsidRPr="00D0372D" w:rsidTr="00F25111">
        <w:trPr>
          <w:trHeight w:val="257"/>
        </w:trPr>
        <w:tc>
          <w:tcPr>
            <w:tcW w:w="2992" w:type="dxa"/>
            <w:vAlign w:val="center"/>
          </w:tcPr>
          <w:p w:rsidR="007B62FA" w:rsidRPr="00DA03CF" w:rsidRDefault="007B62FA" w:rsidP="00DA03CF">
            <w:pPr>
              <w:spacing w:before="29" w:line="288" w:lineRule="auto"/>
              <w:rPr>
                <w:sz w:val="24"/>
              </w:rPr>
            </w:pPr>
            <w:r w:rsidRPr="00DA03CF">
              <w:rPr>
                <w:rFonts w:hint="eastAsia"/>
                <w:sz w:val="24"/>
              </w:rPr>
              <w:t>应收活期存款利息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330.67</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1,440.17</w:t>
            </w:r>
          </w:p>
        </w:tc>
      </w:tr>
      <w:tr w:rsidR="007B62FA" w:rsidRPr="00D0372D" w:rsidTr="00F25111">
        <w:trPr>
          <w:trHeight w:val="223"/>
        </w:trPr>
        <w:tc>
          <w:tcPr>
            <w:tcW w:w="2992" w:type="dxa"/>
            <w:vAlign w:val="center"/>
          </w:tcPr>
          <w:p w:rsidR="007B62FA" w:rsidRPr="00DA03CF" w:rsidRDefault="007B62FA" w:rsidP="00DA03CF">
            <w:pPr>
              <w:spacing w:before="29" w:line="288" w:lineRule="auto"/>
              <w:rPr>
                <w:sz w:val="24"/>
              </w:rPr>
            </w:pPr>
            <w:r w:rsidRPr="00DA03CF">
              <w:rPr>
                <w:rFonts w:hint="eastAsia"/>
                <w:sz w:val="24"/>
              </w:rPr>
              <w:t>应收定期存款利息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F25111">
        <w:trPr>
          <w:trHeight w:val="223"/>
        </w:trPr>
        <w:tc>
          <w:tcPr>
            <w:tcW w:w="2992" w:type="dxa"/>
            <w:vAlign w:val="center"/>
          </w:tcPr>
          <w:p w:rsidR="007B62FA" w:rsidRPr="00DA03CF" w:rsidRDefault="007B62FA" w:rsidP="00DA03CF">
            <w:pPr>
              <w:spacing w:before="29" w:line="288" w:lineRule="auto"/>
              <w:rPr>
                <w:sz w:val="24"/>
              </w:rPr>
            </w:pPr>
            <w:r w:rsidRPr="00DA03CF">
              <w:rPr>
                <w:rFonts w:hint="eastAsia"/>
                <w:sz w:val="24"/>
              </w:rPr>
              <w:t>应收其他存款利息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F25111">
        <w:trPr>
          <w:trHeight w:val="223"/>
        </w:trPr>
        <w:tc>
          <w:tcPr>
            <w:tcW w:w="2992" w:type="dxa"/>
            <w:vAlign w:val="center"/>
          </w:tcPr>
          <w:p w:rsidR="007B62FA" w:rsidRPr="00DA03CF" w:rsidRDefault="007B62FA" w:rsidP="00DA03CF">
            <w:pPr>
              <w:spacing w:before="29" w:line="288" w:lineRule="auto"/>
              <w:rPr>
                <w:sz w:val="24"/>
              </w:rPr>
            </w:pPr>
            <w:r w:rsidRPr="00DA03CF">
              <w:rPr>
                <w:rFonts w:hint="eastAsia"/>
                <w:sz w:val="24"/>
              </w:rPr>
              <w:t>应收结算备付金利息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F25111">
        <w:trPr>
          <w:trHeight w:val="269"/>
        </w:trPr>
        <w:tc>
          <w:tcPr>
            <w:tcW w:w="2992" w:type="dxa"/>
            <w:vAlign w:val="center"/>
          </w:tcPr>
          <w:p w:rsidR="007B62FA" w:rsidRPr="00DA03CF" w:rsidRDefault="007B62FA" w:rsidP="00DA03CF">
            <w:pPr>
              <w:spacing w:before="29" w:line="288" w:lineRule="auto"/>
              <w:rPr>
                <w:sz w:val="24"/>
              </w:rPr>
            </w:pPr>
            <w:r w:rsidRPr="00DA03CF">
              <w:rPr>
                <w:rFonts w:hint="eastAsia"/>
                <w:sz w:val="24"/>
              </w:rPr>
              <w:t>应收债券利息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F25111">
        <w:trPr>
          <w:trHeight w:val="287"/>
        </w:trPr>
        <w:tc>
          <w:tcPr>
            <w:tcW w:w="2992" w:type="dxa"/>
            <w:vAlign w:val="center"/>
          </w:tcPr>
          <w:p w:rsidR="007B62FA" w:rsidRPr="00DA03CF" w:rsidRDefault="007B62FA" w:rsidP="00DA03CF">
            <w:pPr>
              <w:spacing w:before="29" w:line="288" w:lineRule="auto"/>
              <w:rPr>
                <w:sz w:val="24"/>
              </w:rPr>
            </w:pPr>
            <w:r w:rsidRPr="00DA03CF">
              <w:rPr>
                <w:rFonts w:hint="eastAsia"/>
                <w:sz w:val="24"/>
              </w:rPr>
              <w:t>应收买入返售证券利息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F25111">
        <w:trPr>
          <w:trHeight w:val="305"/>
        </w:trPr>
        <w:tc>
          <w:tcPr>
            <w:tcW w:w="2992" w:type="dxa"/>
            <w:vAlign w:val="center"/>
          </w:tcPr>
          <w:p w:rsidR="007B62FA" w:rsidRPr="00DA03CF" w:rsidRDefault="007B62FA" w:rsidP="00DA03CF">
            <w:pPr>
              <w:spacing w:before="29" w:line="288" w:lineRule="auto"/>
              <w:rPr>
                <w:sz w:val="24"/>
              </w:rPr>
            </w:pPr>
            <w:r w:rsidRPr="00DA03CF">
              <w:rPr>
                <w:rFonts w:hint="eastAsia"/>
                <w:sz w:val="24"/>
              </w:rPr>
              <w:t>应收申购款利息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0.02</w:t>
            </w:r>
          </w:p>
        </w:tc>
      </w:tr>
      <w:tr w:rsidR="003530BA" w:rsidRPr="00D0372D" w:rsidTr="00F25111">
        <w:trPr>
          <w:trHeight w:val="305"/>
        </w:trPr>
        <w:tc>
          <w:tcPr>
            <w:tcW w:w="2992" w:type="dxa"/>
            <w:vAlign w:val="center"/>
          </w:tcPr>
          <w:p w:rsidR="003530BA" w:rsidRPr="00DA03CF" w:rsidRDefault="003530BA" w:rsidP="00DA03CF">
            <w:pPr>
              <w:spacing w:before="29" w:line="288" w:lineRule="auto"/>
              <w:rPr>
                <w:sz w:val="24"/>
              </w:rPr>
            </w:pPr>
            <w:r w:rsidRPr="00DA03CF">
              <w:rPr>
                <w:rFonts w:hint="eastAsia"/>
                <w:sz w:val="24"/>
              </w:rPr>
              <w:lastRenderedPageBreak/>
              <w:t>应收黄金合约拆借</w:t>
            </w:r>
            <w:proofErr w:type="gramStart"/>
            <w:r w:rsidRPr="00DA03CF">
              <w:rPr>
                <w:rFonts w:hint="eastAsia"/>
                <w:sz w:val="24"/>
              </w:rPr>
              <w:t>孳</w:t>
            </w:r>
            <w:proofErr w:type="gramEnd"/>
            <w:r w:rsidRPr="00DA03CF">
              <w:rPr>
                <w:rFonts w:hint="eastAsia"/>
                <w:sz w:val="24"/>
              </w:rPr>
              <w:t>息</w:t>
            </w:r>
          </w:p>
        </w:tc>
        <w:tc>
          <w:tcPr>
            <w:tcW w:w="3011" w:type="dxa"/>
            <w:vAlign w:val="center"/>
          </w:tcPr>
          <w:p w:rsidR="003530BA" w:rsidRPr="00052C7B" w:rsidRDefault="003530BA" w:rsidP="00052C7B">
            <w:pPr>
              <w:spacing w:before="29" w:line="288" w:lineRule="auto"/>
              <w:jc w:val="right"/>
              <w:rPr>
                <w:color w:val="000000"/>
                <w:kern w:val="0"/>
                <w:sz w:val="24"/>
              </w:rPr>
            </w:pPr>
            <w:r w:rsidRPr="00052C7B">
              <w:rPr>
                <w:rFonts w:hint="eastAsia"/>
                <w:color w:val="000000"/>
                <w:kern w:val="0"/>
                <w:sz w:val="24"/>
              </w:rPr>
              <w:t>-</w:t>
            </w:r>
          </w:p>
        </w:tc>
        <w:tc>
          <w:tcPr>
            <w:tcW w:w="3012" w:type="dxa"/>
            <w:noWrap/>
            <w:vAlign w:val="center"/>
          </w:tcPr>
          <w:p w:rsidR="003530BA" w:rsidRPr="00052C7B" w:rsidRDefault="003530BA" w:rsidP="00052C7B">
            <w:pPr>
              <w:spacing w:before="29" w:line="288" w:lineRule="auto"/>
              <w:jc w:val="right"/>
              <w:rPr>
                <w:color w:val="000000"/>
                <w:kern w:val="0"/>
                <w:sz w:val="24"/>
              </w:rPr>
            </w:pPr>
            <w:r w:rsidRPr="00052C7B">
              <w:rPr>
                <w:rFonts w:hint="eastAsia"/>
                <w:color w:val="000000"/>
                <w:kern w:val="0"/>
                <w:sz w:val="24"/>
              </w:rPr>
              <w:t>-</w:t>
            </w:r>
          </w:p>
        </w:tc>
      </w:tr>
      <w:tr w:rsidR="003530BA" w:rsidRPr="00D0372D" w:rsidTr="00F25111">
        <w:trPr>
          <w:trHeight w:val="305"/>
        </w:trPr>
        <w:tc>
          <w:tcPr>
            <w:tcW w:w="2992" w:type="dxa"/>
            <w:vAlign w:val="center"/>
          </w:tcPr>
          <w:p w:rsidR="003530BA" w:rsidRPr="00DA03CF" w:rsidRDefault="003530BA" w:rsidP="00DA03CF">
            <w:pPr>
              <w:spacing w:before="29" w:line="288" w:lineRule="auto"/>
              <w:rPr>
                <w:sz w:val="24"/>
              </w:rPr>
            </w:pPr>
            <w:r w:rsidRPr="00DA03CF">
              <w:rPr>
                <w:rFonts w:hint="eastAsia"/>
                <w:sz w:val="24"/>
              </w:rPr>
              <w:t>其他</w:t>
            </w:r>
          </w:p>
        </w:tc>
        <w:tc>
          <w:tcPr>
            <w:tcW w:w="3011" w:type="dxa"/>
            <w:vAlign w:val="center"/>
          </w:tcPr>
          <w:p w:rsidR="003530BA" w:rsidRPr="00052C7B" w:rsidRDefault="003530B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rsidR="003530BA" w:rsidRPr="00052C7B" w:rsidRDefault="003530BA" w:rsidP="00052C7B">
            <w:pPr>
              <w:spacing w:before="29" w:line="288" w:lineRule="auto"/>
              <w:jc w:val="right"/>
              <w:rPr>
                <w:color w:val="000000"/>
                <w:kern w:val="0"/>
                <w:sz w:val="24"/>
              </w:rPr>
            </w:pPr>
            <w:r w:rsidRPr="00052C7B">
              <w:rPr>
                <w:color w:val="000000"/>
                <w:kern w:val="0"/>
                <w:sz w:val="24"/>
              </w:rPr>
              <w:t>-</w:t>
            </w:r>
          </w:p>
        </w:tc>
      </w:tr>
      <w:tr w:rsidR="003530BA" w:rsidRPr="00D0372D" w:rsidTr="00DA03CF">
        <w:trPr>
          <w:trHeight w:val="330"/>
        </w:trPr>
        <w:tc>
          <w:tcPr>
            <w:tcW w:w="2992" w:type="dxa"/>
            <w:vAlign w:val="center"/>
          </w:tcPr>
          <w:p w:rsidR="003530BA" w:rsidRPr="00DA03CF" w:rsidRDefault="003530BA" w:rsidP="00DA03CF">
            <w:pPr>
              <w:spacing w:before="29" w:line="288" w:lineRule="auto"/>
              <w:jc w:val="center"/>
              <w:rPr>
                <w:sz w:val="24"/>
              </w:rPr>
            </w:pPr>
            <w:r w:rsidRPr="00DA03CF">
              <w:rPr>
                <w:rFonts w:hint="eastAsia"/>
                <w:sz w:val="24"/>
              </w:rPr>
              <w:t>合计</w:t>
            </w:r>
          </w:p>
        </w:tc>
        <w:tc>
          <w:tcPr>
            <w:tcW w:w="3011" w:type="dxa"/>
            <w:vAlign w:val="center"/>
          </w:tcPr>
          <w:p w:rsidR="003530BA" w:rsidRPr="00052C7B" w:rsidRDefault="003530BA" w:rsidP="00052C7B">
            <w:pPr>
              <w:spacing w:before="29" w:line="288" w:lineRule="auto"/>
              <w:jc w:val="right"/>
              <w:rPr>
                <w:color w:val="000000"/>
                <w:kern w:val="0"/>
                <w:sz w:val="24"/>
              </w:rPr>
            </w:pPr>
            <w:r w:rsidRPr="00052C7B">
              <w:rPr>
                <w:color w:val="000000"/>
                <w:kern w:val="0"/>
                <w:sz w:val="24"/>
              </w:rPr>
              <w:t>330.67</w:t>
            </w:r>
          </w:p>
        </w:tc>
        <w:tc>
          <w:tcPr>
            <w:tcW w:w="3012" w:type="dxa"/>
            <w:noWrap/>
            <w:vAlign w:val="center"/>
          </w:tcPr>
          <w:p w:rsidR="003530BA" w:rsidRPr="00052C7B" w:rsidRDefault="003530BA" w:rsidP="00052C7B">
            <w:pPr>
              <w:spacing w:before="29" w:line="288" w:lineRule="auto"/>
              <w:jc w:val="right"/>
              <w:rPr>
                <w:color w:val="000000"/>
                <w:kern w:val="0"/>
                <w:sz w:val="24"/>
              </w:rPr>
            </w:pPr>
            <w:r w:rsidRPr="00052C7B">
              <w:rPr>
                <w:color w:val="000000"/>
                <w:kern w:val="0"/>
                <w:sz w:val="24"/>
              </w:rPr>
              <w:t>1,440.19</w:t>
            </w:r>
          </w:p>
        </w:tc>
      </w:tr>
    </w:tbl>
    <w:p w:rsidR="007B62FA" w:rsidRPr="00D0372D" w:rsidRDefault="007B62FA" w:rsidP="00417F87">
      <w:pPr>
        <w:spacing w:line="360" w:lineRule="auto"/>
        <w:rPr>
          <w:rFonts w:ascii="宋体" w:hAnsi="宋体"/>
          <w:color w:val="000000"/>
          <w:szCs w:val="21"/>
        </w:rPr>
      </w:pPr>
    </w:p>
    <w:p w:rsidR="007B62FA" w:rsidRPr="00771C99" w:rsidRDefault="007B62FA" w:rsidP="00771C99">
      <w:pPr>
        <w:spacing w:before="29" w:line="288" w:lineRule="auto"/>
        <w:rPr>
          <w:b/>
          <w:bCs/>
          <w:color w:val="000000"/>
          <w:kern w:val="0"/>
          <w:sz w:val="24"/>
        </w:rPr>
      </w:pPr>
      <w:r w:rsidRPr="00771C99">
        <w:rPr>
          <w:b/>
          <w:bCs/>
          <w:color w:val="000000"/>
          <w:kern w:val="0"/>
          <w:sz w:val="24"/>
        </w:rPr>
        <w:t>7.4.7.6</w:t>
      </w:r>
      <w:r w:rsidR="002D0B5F" w:rsidRPr="00771C99">
        <w:rPr>
          <w:rFonts w:hint="eastAsia"/>
          <w:b/>
          <w:bCs/>
          <w:color w:val="000000"/>
          <w:kern w:val="0"/>
          <w:sz w:val="24"/>
        </w:rPr>
        <w:t xml:space="preserve"> </w:t>
      </w:r>
      <w:r w:rsidRPr="00771C99">
        <w:rPr>
          <w:rFonts w:hint="eastAsia"/>
          <w:b/>
          <w:bCs/>
          <w:color w:val="000000"/>
          <w:kern w:val="0"/>
          <w:sz w:val="24"/>
        </w:rPr>
        <w:t>其他资产</w:t>
      </w:r>
    </w:p>
    <w:p w:rsidR="00650BC5" w:rsidRPr="00D754A9" w:rsidRDefault="00650BC5" w:rsidP="00650BC5">
      <w:pPr>
        <w:tabs>
          <w:tab w:val="left" w:pos="426"/>
        </w:tabs>
        <w:spacing w:before="29" w:line="288" w:lineRule="auto"/>
        <w:jc w:val="left"/>
        <w:rPr>
          <w:kern w:val="0"/>
          <w:sz w:val="24"/>
        </w:rPr>
      </w:pPr>
      <w:r w:rsidRPr="00D754A9">
        <w:rPr>
          <w:kern w:val="0"/>
          <w:sz w:val="24"/>
        </w:rPr>
        <w:t>本基金本报告期末及上年度末未持有其他资产。</w:t>
      </w:r>
    </w:p>
    <w:p w:rsidR="007B62FA" w:rsidRPr="00650BC5" w:rsidRDefault="007B62FA" w:rsidP="00417F87">
      <w:pPr>
        <w:spacing w:line="360" w:lineRule="auto"/>
        <w:rPr>
          <w:rFonts w:ascii="宋体" w:hAnsi="宋体"/>
          <w:color w:val="000000"/>
          <w:szCs w:val="21"/>
        </w:rPr>
      </w:pPr>
    </w:p>
    <w:p w:rsidR="007B62FA" w:rsidRPr="00AD4493" w:rsidRDefault="007B62FA" w:rsidP="00AD4493">
      <w:pPr>
        <w:spacing w:before="29" w:line="288" w:lineRule="auto"/>
        <w:rPr>
          <w:b/>
          <w:bCs/>
          <w:color w:val="000000"/>
          <w:kern w:val="0"/>
          <w:sz w:val="24"/>
        </w:rPr>
      </w:pPr>
      <w:r w:rsidRPr="00AD4493">
        <w:rPr>
          <w:b/>
          <w:bCs/>
          <w:color w:val="000000"/>
          <w:kern w:val="0"/>
          <w:sz w:val="24"/>
        </w:rPr>
        <w:t>7.4.7.7</w:t>
      </w:r>
      <w:r w:rsidR="002D0B5F" w:rsidRPr="00AD4493">
        <w:rPr>
          <w:rFonts w:hint="eastAsia"/>
          <w:b/>
          <w:bCs/>
          <w:color w:val="000000"/>
          <w:kern w:val="0"/>
          <w:sz w:val="24"/>
        </w:rPr>
        <w:t xml:space="preserve"> </w:t>
      </w:r>
      <w:r w:rsidRPr="00AD4493">
        <w:rPr>
          <w:rFonts w:hint="eastAsia"/>
          <w:b/>
          <w:bCs/>
          <w:color w:val="000000"/>
          <w:kern w:val="0"/>
          <w:sz w:val="24"/>
        </w:rPr>
        <w:t>应付交易费用</w:t>
      </w:r>
    </w:p>
    <w:p w:rsidR="007B62FA" w:rsidRDefault="007B62FA" w:rsidP="00B323A0">
      <w:pPr>
        <w:tabs>
          <w:tab w:val="left" w:pos="426"/>
        </w:tabs>
        <w:spacing w:before="29" w:line="288" w:lineRule="auto"/>
        <w:jc w:val="left"/>
        <w:rPr>
          <w:kern w:val="0"/>
          <w:sz w:val="24"/>
        </w:rPr>
      </w:pPr>
      <w:r w:rsidRPr="00B323A0">
        <w:rPr>
          <w:kern w:val="0"/>
          <w:sz w:val="24"/>
        </w:rPr>
        <w:t>本基金本报告期末及上年度末无应付交易费用。</w:t>
      </w:r>
    </w:p>
    <w:p w:rsidR="004E02B0" w:rsidRPr="00B323A0" w:rsidRDefault="004E02B0" w:rsidP="00B323A0">
      <w:pPr>
        <w:tabs>
          <w:tab w:val="left" w:pos="426"/>
        </w:tabs>
        <w:spacing w:before="29" w:line="288" w:lineRule="auto"/>
        <w:jc w:val="left"/>
        <w:rPr>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7.4.7.8</w:t>
      </w:r>
      <w:r w:rsidR="002D0B5F" w:rsidRPr="00E53CFC">
        <w:rPr>
          <w:rFonts w:hint="eastAsia"/>
          <w:b/>
          <w:bCs/>
          <w:color w:val="000000"/>
          <w:kern w:val="0"/>
          <w:sz w:val="24"/>
        </w:rPr>
        <w:t xml:space="preserve"> </w:t>
      </w:r>
      <w:r w:rsidRPr="00E53CFC">
        <w:rPr>
          <w:rFonts w:hint="eastAsia"/>
          <w:b/>
          <w:bCs/>
          <w:color w:val="000000"/>
          <w:kern w:val="0"/>
          <w:sz w:val="24"/>
        </w:rPr>
        <w:t>其他负债</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566CD" w:rsidRPr="00D0372D" w:rsidTr="0026196C">
        <w:trPr>
          <w:trHeight w:val="330"/>
        </w:trPr>
        <w:tc>
          <w:tcPr>
            <w:tcW w:w="2715" w:type="dxa"/>
            <w:vAlign w:val="center"/>
          </w:tcPr>
          <w:p w:rsidR="007566CD" w:rsidRPr="00F4299A" w:rsidRDefault="007566CD" w:rsidP="00F4299A">
            <w:pPr>
              <w:spacing w:before="29" w:line="288" w:lineRule="auto"/>
              <w:jc w:val="center"/>
              <w:rPr>
                <w:sz w:val="24"/>
              </w:rPr>
            </w:pPr>
            <w:r w:rsidRPr="00F4299A">
              <w:rPr>
                <w:rFonts w:hint="eastAsia"/>
                <w:sz w:val="24"/>
              </w:rPr>
              <w:t>项目</w:t>
            </w:r>
          </w:p>
        </w:tc>
        <w:tc>
          <w:tcPr>
            <w:tcW w:w="3150" w:type="dxa"/>
            <w:vAlign w:val="center"/>
          </w:tcPr>
          <w:p w:rsidR="007566CD" w:rsidRPr="00F4299A" w:rsidRDefault="007566CD" w:rsidP="00F4299A">
            <w:pPr>
              <w:spacing w:before="29" w:line="288" w:lineRule="auto"/>
              <w:jc w:val="center"/>
              <w:rPr>
                <w:sz w:val="24"/>
              </w:rPr>
            </w:pPr>
            <w:r w:rsidRPr="00F4299A">
              <w:rPr>
                <w:rFonts w:hint="eastAsia"/>
                <w:sz w:val="24"/>
              </w:rPr>
              <w:t>本期末</w:t>
            </w:r>
          </w:p>
          <w:p w:rsidR="007566CD" w:rsidRPr="00F4299A" w:rsidRDefault="007566CD" w:rsidP="00F4299A">
            <w:pPr>
              <w:spacing w:before="29" w:line="288" w:lineRule="auto"/>
              <w:jc w:val="center"/>
              <w:rPr>
                <w:sz w:val="24"/>
              </w:rPr>
            </w:pPr>
            <w:r w:rsidRPr="00F4299A">
              <w:rPr>
                <w:sz w:val="24"/>
              </w:rPr>
              <w:t>2016</w:t>
            </w:r>
            <w:r w:rsidRPr="00F4299A">
              <w:rPr>
                <w:sz w:val="24"/>
              </w:rPr>
              <w:t>年</w:t>
            </w:r>
            <w:r w:rsidRPr="00F4299A">
              <w:rPr>
                <w:sz w:val="24"/>
              </w:rPr>
              <w:t>12</w:t>
            </w:r>
            <w:r w:rsidRPr="00F4299A">
              <w:rPr>
                <w:sz w:val="24"/>
              </w:rPr>
              <w:t>月</w:t>
            </w:r>
            <w:r w:rsidRPr="00F4299A">
              <w:rPr>
                <w:sz w:val="24"/>
              </w:rPr>
              <w:t>31</w:t>
            </w:r>
            <w:r w:rsidRPr="00F4299A">
              <w:rPr>
                <w:sz w:val="24"/>
              </w:rPr>
              <w:t>日</w:t>
            </w:r>
          </w:p>
        </w:tc>
        <w:tc>
          <w:tcPr>
            <w:tcW w:w="3150" w:type="dxa"/>
            <w:vAlign w:val="center"/>
          </w:tcPr>
          <w:p w:rsidR="007566CD" w:rsidRPr="00F4299A" w:rsidRDefault="007566CD" w:rsidP="00F4299A">
            <w:pPr>
              <w:spacing w:before="29" w:line="288" w:lineRule="auto"/>
              <w:jc w:val="center"/>
              <w:rPr>
                <w:sz w:val="24"/>
              </w:rPr>
            </w:pPr>
            <w:r w:rsidRPr="00F4299A">
              <w:rPr>
                <w:rFonts w:hint="eastAsia"/>
                <w:sz w:val="24"/>
              </w:rPr>
              <w:t>上年度末</w:t>
            </w:r>
          </w:p>
          <w:p w:rsidR="007566CD" w:rsidRPr="00F4299A" w:rsidRDefault="007566CD" w:rsidP="00F4299A">
            <w:pPr>
              <w:spacing w:before="29" w:line="288" w:lineRule="auto"/>
              <w:jc w:val="center"/>
              <w:rPr>
                <w:sz w:val="24"/>
              </w:rPr>
            </w:pPr>
            <w:r w:rsidRPr="00F4299A">
              <w:rPr>
                <w:sz w:val="24"/>
              </w:rPr>
              <w:t>2015</w:t>
            </w:r>
            <w:r w:rsidRPr="00F4299A">
              <w:rPr>
                <w:sz w:val="24"/>
              </w:rPr>
              <w:t>年</w:t>
            </w:r>
            <w:r w:rsidRPr="00F4299A">
              <w:rPr>
                <w:sz w:val="24"/>
              </w:rPr>
              <w:t>12</w:t>
            </w:r>
            <w:r w:rsidRPr="00F4299A">
              <w:rPr>
                <w:sz w:val="24"/>
              </w:rPr>
              <w:t>月</w:t>
            </w:r>
            <w:r w:rsidRPr="00F4299A">
              <w:rPr>
                <w:sz w:val="24"/>
              </w:rPr>
              <w:t>31</w:t>
            </w:r>
            <w:r w:rsidRPr="00F4299A">
              <w:rPr>
                <w:sz w:val="24"/>
              </w:rPr>
              <w:t>日</w:t>
            </w:r>
          </w:p>
        </w:tc>
      </w:tr>
      <w:tr w:rsidR="007566CD" w:rsidRPr="00D0372D" w:rsidTr="0026196C">
        <w:trPr>
          <w:trHeight w:val="325"/>
        </w:trPr>
        <w:tc>
          <w:tcPr>
            <w:tcW w:w="2715" w:type="dxa"/>
            <w:vAlign w:val="center"/>
          </w:tcPr>
          <w:p w:rsidR="007566CD" w:rsidRPr="00F4299A" w:rsidRDefault="007566CD" w:rsidP="00F4299A">
            <w:pPr>
              <w:spacing w:before="29" w:line="288" w:lineRule="auto"/>
              <w:rPr>
                <w:sz w:val="24"/>
              </w:rPr>
            </w:pPr>
            <w:r w:rsidRPr="00F4299A">
              <w:rPr>
                <w:rFonts w:hint="eastAsia"/>
                <w:sz w:val="24"/>
              </w:rPr>
              <w:t>应付券商交易单元保证金</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w:t>
            </w:r>
          </w:p>
        </w:tc>
      </w:tr>
      <w:tr w:rsidR="007566CD" w:rsidRPr="00D0372D" w:rsidTr="0026196C">
        <w:trPr>
          <w:trHeight w:val="325"/>
        </w:trPr>
        <w:tc>
          <w:tcPr>
            <w:tcW w:w="2715" w:type="dxa"/>
            <w:vAlign w:val="center"/>
          </w:tcPr>
          <w:p w:rsidR="007566CD" w:rsidRPr="00F4299A" w:rsidRDefault="007566CD" w:rsidP="00F4299A">
            <w:pPr>
              <w:spacing w:before="29" w:line="288" w:lineRule="auto"/>
              <w:rPr>
                <w:sz w:val="24"/>
              </w:rPr>
            </w:pPr>
            <w:r w:rsidRPr="00F4299A">
              <w:rPr>
                <w:rFonts w:hint="eastAsia"/>
                <w:sz w:val="24"/>
              </w:rPr>
              <w:t>应付赎回费</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1,292.44</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173.86</w:t>
            </w:r>
          </w:p>
        </w:tc>
      </w:tr>
      <w:tr w:rsidR="00B536C4">
        <w:tc>
          <w:tcPr>
            <w:tcW w:w="2715" w:type="dxa"/>
            <w:vAlign w:val="center"/>
          </w:tcPr>
          <w:p w:rsidR="00B536C4" w:rsidRDefault="00CC45D2">
            <w:pPr>
              <w:jc w:val="left"/>
            </w:pPr>
            <w:r>
              <w:rPr>
                <w:sz w:val="24"/>
              </w:rPr>
              <w:t>预提审计费</w:t>
            </w:r>
          </w:p>
        </w:tc>
        <w:tc>
          <w:tcPr>
            <w:tcW w:w="3150" w:type="dxa"/>
            <w:vAlign w:val="center"/>
          </w:tcPr>
          <w:p w:rsidR="00B536C4" w:rsidRDefault="00CC45D2">
            <w:pPr>
              <w:jc w:val="right"/>
            </w:pPr>
            <w:r>
              <w:rPr>
                <w:sz w:val="24"/>
              </w:rPr>
              <w:t>30,000.00</w:t>
            </w:r>
          </w:p>
        </w:tc>
        <w:tc>
          <w:tcPr>
            <w:tcW w:w="3150" w:type="dxa"/>
            <w:vAlign w:val="center"/>
          </w:tcPr>
          <w:p w:rsidR="00B536C4" w:rsidRDefault="00CC45D2">
            <w:pPr>
              <w:jc w:val="right"/>
            </w:pPr>
            <w:r>
              <w:rPr>
                <w:sz w:val="24"/>
              </w:rPr>
              <w:t>30,000.00</w:t>
            </w:r>
          </w:p>
        </w:tc>
      </w:tr>
      <w:tr w:rsidR="00B536C4">
        <w:tc>
          <w:tcPr>
            <w:tcW w:w="2715" w:type="dxa"/>
            <w:vAlign w:val="center"/>
          </w:tcPr>
          <w:p w:rsidR="00B536C4" w:rsidRDefault="00CC45D2">
            <w:pPr>
              <w:jc w:val="left"/>
            </w:pPr>
            <w:r>
              <w:rPr>
                <w:sz w:val="24"/>
              </w:rPr>
              <w:t>预提信息披露费</w:t>
            </w:r>
          </w:p>
        </w:tc>
        <w:tc>
          <w:tcPr>
            <w:tcW w:w="3150" w:type="dxa"/>
            <w:vAlign w:val="center"/>
          </w:tcPr>
          <w:p w:rsidR="00B536C4" w:rsidRDefault="00CC45D2">
            <w:pPr>
              <w:jc w:val="right"/>
            </w:pPr>
            <w:r>
              <w:rPr>
                <w:sz w:val="24"/>
              </w:rPr>
              <w:t>10,000.00</w:t>
            </w:r>
          </w:p>
        </w:tc>
        <w:tc>
          <w:tcPr>
            <w:tcW w:w="3150" w:type="dxa"/>
            <w:vAlign w:val="center"/>
          </w:tcPr>
          <w:p w:rsidR="00B536C4" w:rsidRDefault="00CC45D2">
            <w:pPr>
              <w:jc w:val="right"/>
            </w:pPr>
            <w:r>
              <w:rPr>
                <w:sz w:val="24"/>
              </w:rPr>
              <w:t>10,000.00</w:t>
            </w:r>
          </w:p>
        </w:tc>
      </w:tr>
      <w:tr w:rsidR="007566CD" w:rsidRPr="00D0372D" w:rsidTr="00F4299A">
        <w:trPr>
          <w:trHeight w:val="325"/>
        </w:trPr>
        <w:tc>
          <w:tcPr>
            <w:tcW w:w="2715" w:type="dxa"/>
            <w:vAlign w:val="center"/>
          </w:tcPr>
          <w:p w:rsidR="007566CD" w:rsidRPr="00D0372D" w:rsidRDefault="007566CD" w:rsidP="00F4299A">
            <w:pPr>
              <w:spacing w:before="29" w:line="288" w:lineRule="auto"/>
              <w:jc w:val="center"/>
              <w:rPr>
                <w:rFonts w:asciiTheme="minorEastAsia" w:eastAsiaTheme="minorEastAsia" w:hAnsiTheme="minorEastAsia"/>
                <w:szCs w:val="21"/>
              </w:rPr>
            </w:pPr>
            <w:r w:rsidRPr="00F4299A">
              <w:rPr>
                <w:rFonts w:hint="eastAsia"/>
                <w:sz w:val="24"/>
              </w:rPr>
              <w:t>合计</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41,292.44</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40,173.86</w:t>
            </w:r>
          </w:p>
        </w:tc>
      </w:tr>
    </w:tbl>
    <w:p w:rsidR="007B62FA" w:rsidRPr="00D0372D" w:rsidRDefault="007B62FA" w:rsidP="00417F87">
      <w:pPr>
        <w:spacing w:line="360" w:lineRule="auto"/>
        <w:rPr>
          <w:rFonts w:ascii="宋体" w:hAnsi="宋体"/>
          <w:b/>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7.4.7.9</w:t>
      </w:r>
      <w:r w:rsidR="002D0B5F" w:rsidRPr="00E53CFC">
        <w:rPr>
          <w:rFonts w:hint="eastAsia"/>
          <w:b/>
          <w:bCs/>
          <w:color w:val="000000"/>
          <w:kern w:val="0"/>
          <w:sz w:val="24"/>
        </w:rPr>
        <w:t xml:space="preserve"> </w:t>
      </w:r>
      <w:r w:rsidRPr="00E53CFC">
        <w:rPr>
          <w:rFonts w:hint="eastAsia"/>
          <w:b/>
          <w:bCs/>
          <w:color w:val="000000"/>
          <w:kern w:val="0"/>
          <w:sz w:val="24"/>
        </w:rPr>
        <w:t>实收基金</w:t>
      </w:r>
    </w:p>
    <w:p w:rsidR="002B1741" w:rsidRPr="00AD4493" w:rsidRDefault="006453AF"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w:t>
      </w:r>
      <w:r w:rsidR="002B1741" w:rsidRPr="00AD4493">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35"/>
        <w:gridCol w:w="3402"/>
      </w:tblGrid>
      <w:tr w:rsidR="007B62FA" w:rsidRPr="00D0372D" w:rsidTr="00EE1E0C">
        <w:tc>
          <w:tcPr>
            <w:tcW w:w="3119" w:type="dxa"/>
            <w:vMerge w:val="restart"/>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项目</w:t>
            </w:r>
          </w:p>
        </w:tc>
        <w:tc>
          <w:tcPr>
            <w:tcW w:w="6237" w:type="dxa"/>
            <w:gridSpan w:val="2"/>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本期</w:t>
            </w:r>
          </w:p>
          <w:p w:rsidR="007B62FA" w:rsidRPr="00A94DDB" w:rsidRDefault="00ED2997" w:rsidP="00A94DDB">
            <w:pPr>
              <w:spacing w:before="29" w:line="288" w:lineRule="auto"/>
              <w:jc w:val="center"/>
              <w:rPr>
                <w:color w:val="000000"/>
                <w:kern w:val="0"/>
                <w:sz w:val="24"/>
              </w:rPr>
            </w:pPr>
            <w:r w:rsidRPr="00A94DDB">
              <w:rPr>
                <w:color w:val="000000"/>
                <w:kern w:val="0"/>
                <w:sz w:val="24"/>
              </w:rPr>
              <w:t>2016</w:t>
            </w:r>
            <w:r w:rsidRPr="00A94DDB">
              <w:rPr>
                <w:color w:val="000000"/>
                <w:kern w:val="0"/>
                <w:sz w:val="24"/>
              </w:rPr>
              <w:t>年</w:t>
            </w:r>
            <w:r w:rsidRPr="00A94DDB">
              <w:rPr>
                <w:color w:val="000000"/>
                <w:kern w:val="0"/>
                <w:sz w:val="24"/>
              </w:rPr>
              <w:t>1</w:t>
            </w:r>
            <w:r w:rsidRPr="00A94DDB">
              <w:rPr>
                <w:color w:val="000000"/>
                <w:kern w:val="0"/>
                <w:sz w:val="24"/>
              </w:rPr>
              <w:t>月</w:t>
            </w:r>
            <w:r w:rsidRPr="00A94DDB">
              <w:rPr>
                <w:color w:val="000000"/>
                <w:kern w:val="0"/>
                <w:sz w:val="24"/>
              </w:rPr>
              <w:t>1</w:t>
            </w:r>
            <w:r w:rsidRPr="00A94DDB">
              <w:rPr>
                <w:color w:val="000000"/>
                <w:kern w:val="0"/>
                <w:sz w:val="24"/>
              </w:rPr>
              <w:t>日</w:t>
            </w:r>
            <w:r w:rsidR="007B62FA" w:rsidRPr="00A94DDB">
              <w:rPr>
                <w:rFonts w:hint="eastAsia"/>
                <w:color w:val="000000"/>
                <w:kern w:val="0"/>
                <w:sz w:val="24"/>
              </w:rPr>
              <w:t>至</w:t>
            </w:r>
            <w:r w:rsidRPr="00A94DDB">
              <w:rPr>
                <w:color w:val="000000"/>
                <w:kern w:val="0"/>
                <w:sz w:val="24"/>
              </w:rPr>
              <w:t>2016</w:t>
            </w:r>
            <w:r w:rsidRPr="00A94DDB">
              <w:rPr>
                <w:color w:val="000000"/>
                <w:kern w:val="0"/>
                <w:sz w:val="24"/>
              </w:rPr>
              <w:t>年</w:t>
            </w:r>
            <w:r w:rsidRPr="00A94DDB">
              <w:rPr>
                <w:color w:val="000000"/>
                <w:kern w:val="0"/>
                <w:sz w:val="24"/>
              </w:rPr>
              <w:t>12</w:t>
            </w:r>
            <w:r w:rsidRPr="00A94DDB">
              <w:rPr>
                <w:color w:val="000000"/>
                <w:kern w:val="0"/>
                <w:sz w:val="24"/>
              </w:rPr>
              <w:t>月</w:t>
            </w:r>
            <w:r w:rsidRPr="00A94DDB">
              <w:rPr>
                <w:color w:val="000000"/>
                <w:kern w:val="0"/>
                <w:sz w:val="24"/>
              </w:rPr>
              <w:t>31</w:t>
            </w:r>
            <w:r w:rsidRPr="00A94DDB">
              <w:rPr>
                <w:color w:val="000000"/>
                <w:kern w:val="0"/>
                <w:sz w:val="24"/>
              </w:rPr>
              <w:t>日</w:t>
            </w:r>
          </w:p>
        </w:tc>
      </w:tr>
      <w:tr w:rsidR="007B62FA" w:rsidRPr="00D0372D" w:rsidTr="00B54A05">
        <w:tc>
          <w:tcPr>
            <w:tcW w:w="3119" w:type="dxa"/>
            <w:vMerge/>
            <w:vAlign w:val="center"/>
          </w:tcPr>
          <w:p w:rsidR="007B62FA" w:rsidRPr="00A94DDB" w:rsidRDefault="007B62FA" w:rsidP="00A94DDB">
            <w:pPr>
              <w:spacing w:before="29" w:line="288" w:lineRule="auto"/>
              <w:jc w:val="center"/>
              <w:rPr>
                <w:color w:val="000000"/>
                <w:kern w:val="0"/>
                <w:sz w:val="24"/>
              </w:rPr>
            </w:pPr>
          </w:p>
        </w:tc>
        <w:tc>
          <w:tcPr>
            <w:tcW w:w="2835" w:type="dxa"/>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基金份额（份）</w:t>
            </w:r>
          </w:p>
        </w:tc>
        <w:tc>
          <w:tcPr>
            <w:tcW w:w="3402" w:type="dxa"/>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账面金额</w:t>
            </w:r>
          </w:p>
        </w:tc>
      </w:tr>
      <w:tr w:rsidR="007B62FA" w:rsidRPr="00D0372D" w:rsidTr="00A94DDB">
        <w:tc>
          <w:tcPr>
            <w:tcW w:w="3119" w:type="dxa"/>
            <w:vAlign w:val="center"/>
          </w:tcPr>
          <w:p w:rsidR="007B62FA" w:rsidRPr="00A94DDB" w:rsidRDefault="008F3D0D" w:rsidP="00A94DDB">
            <w:pPr>
              <w:spacing w:before="29" w:line="288" w:lineRule="auto"/>
              <w:rPr>
                <w:color w:val="000000"/>
                <w:sz w:val="24"/>
              </w:rPr>
            </w:pPr>
            <w:r w:rsidRPr="00A94DDB">
              <w:rPr>
                <w:color w:val="000000"/>
                <w:sz w:val="24"/>
              </w:rPr>
              <w:t>上年度末</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26,648,861.69</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26,648,861.69</w:t>
            </w:r>
          </w:p>
        </w:tc>
      </w:tr>
      <w:tr w:rsidR="007B62FA" w:rsidRPr="00D0372D" w:rsidTr="00A94DDB">
        <w:tc>
          <w:tcPr>
            <w:tcW w:w="3119" w:type="dxa"/>
            <w:vAlign w:val="center"/>
          </w:tcPr>
          <w:p w:rsidR="007B62FA" w:rsidRPr="00A94DDB" w:rsidRDefault="007B62FA" w:rsidP="00A94DDB">
            <w:pPr>
              <w:spacing w:before="29" w:line="288" w:lineRule="auto"/>
              <w:rPr>
                <w:color w:val="000000"/>
                <w:sz w:val="24"/>
              </w:rPr>
            </w:pPr>
            <w:r w:rsidRPr="00A94DDB">
              <w:rPr>
                <w:rFonts w:hint="eastAsia"/>
                <w:color w:val="000000"/>
                <w:sz w:val="24"/>
              </w:rPr>
              <w:t>本期申购</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13,009,704.26</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13,009,704.26</w:t>
            </w:r>
          </w:p>
        </w:tc>
      </w:tr>
      <w:tr w:rsidR="007B62FA" w:rsidRPr="00D0372D" w:rsidTr="00A94DDB">
        <w:tc>
          <w:tcPr>
            <w:tcW w:w="3119" w:type="dxa"/>
            <w:vAlign w:val="center"/>
          </w:tcPr>
          <w:p w:rsidR="007B62FA" w:rsidRPr="00A94DDB" w:rsidRDefault="007B62FA" w:rsidP="00A94DDB">
            <w:pPr>
              <w:spacing w:before="29" w:line="288" w:lineRule="auto"/>
              <w:rPr>
                <w:color w:val="000000"/>
                <w:sz w:val="24"/>
              </w:rPr>
            </w:pPr>
            <w:r w:rsidRPr="00A94DDB">
              <w:rPr>
                <w:rFonts w:hint="eastAsia"/>
                <w:color w:val="000000"/>
                <w:sz w:val="24"/>
              </w:rPr>
              <w:t>本期赎回（以</w:t>
            </w:r>
            <w:r w:rsidR="00A67A7E" w:rsidRPr="00323F0D">
              <w:rPr>
                <w:sz w:val="24"/>
              </w:rPr>
              <w:t>“-”</w:t>
            </w:r>
            <w:r w:rsidRPr="00A94DDB">
              <w:rPr>
                <w:rFonts w:hint="eastAsia"/>
                <w:color w:val="000000"/>
                <w:sz w:val="24"/>
              </w:rPr>
              <w:t>号填列）</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-7,595,255.89</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-7,595,255.89</w:t>
            </w:r>
          </w:p>
        </w:tc>
      </w:tr>
      <w:tr w:rsidR="007B62FA" w:rsidRPr="00D0372D" w:rsidTr="00A94DDB">
        <w:tc>
          <w:tcPr>
            <w:tcW w:w="3119" w:type="dxa"/>
            <w:vAlign w:val="center"/>
          </w:tcPr>
          <w:p w:rsidR="007B62FA" w:rsidRPr="00A94DDB" w:rsidRDefault="007B62FA" w:rsidP="00A94DDB">
            <w:pPr>
              <w:spacing w:before="29" w:line="288" w:lineRule="auto"/>
              <w:rPr>
                <w:color w:val="000000"/>
                <w:sz w:val="24"/>
              </w:rPr>
            </w:pPr>
            <w:r w:rsidRPr="00A94DDB">
              <w:rPr>
                <w:rFonts w:hint="eastAsia"/>
                <w:color w:val="000000"/>
                <w:sz w:val="24"/>
              </w:rPr>
              <w:t>本期末</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32,063,310.06</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32,063,310.06</w:t>
            </w:r>
          </w:p>
        </w:tc>
      </w:tr>
    </w:tbl>
    <w:p w:rsidR="00B536C4" w:rsidRDefault="00CC45D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B62FA" w:rsidRPr="00B323A0" w:rsidRDefault="007B62FA" w:rsidP="00B323A0">
      <w:pPr>
        <w:tabs>
          <w:tab w:val="left" w:pos="426"/>
        </w:tabs>
        <w:spacing w:before="29" w:line="288" w:lineRule="auto"/>
        <w:jc w:val="left"/>
        <w:rPr>
          <w:kern w:val="0"/>
          <w:sz w:val="24"/>
        </w:rPr>
      </w:pPr>
      <w:r w:rsidRPr="00B323A0">
        <w:rPr>
          <w:kern w:val="0"/>
          <w:sz w:val="24"/>
        </w:rPr>
        <w:t xml:space="preserve">    2</w:t>
      </w:r>
      <w:r w:rsidRPr="00B323A0">
        <w:rPr>
          <w:kern w:val="0"/>
          <w:sz w:val="24"/>
        </w:rPr>
        <w:t>、如果本报告期间发生转换出业务，则总赎回份额中包含该业务。</w:t>
      </w:r>
    </w:p>
    <w:p w:rsidR="007B62FA" w:rsidRPr="00D0372D" w:rsidRDefault="007B62FA" w:rsidP="00417F87">
      <w:pPr>
        <w:spacing w:line="360" w:lineRule="auto"/>
        <w:jc w:val="left"/>
        <w:rPr>
          <w:rFonts w:ascii="宋体" w:hAnsi="宋体"/>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7.4.7.10</w:t>
      </w:r>
      <w:r w:rsidR="002D0B5F" w:rsidRPr="00E53CFC">
        <w:rPr>
          <w:rFonts w:hint="eastAsia"/>
          <w:b/>
          <w:bCs/>
          <w:color w:val="000000"/>
          <w:kern w:val="0"/>
          <w:sz w:val="24"/>
        </w:rPr>
        <w:t xml:space="preserve"> </w:t>
      </w:r>
      <w:r w:rsidRPr="00E53CFC">
        <w:rPr>
          <w:rFonts w:hint="eastAsia"/>
          <w:b/>
          <w:bCs/>
          <w:color w:val="000000"/>
          <w:kern w:val="0"/>
          <w:sz w:val="24"/>
        </w:rPr>
        <w:t>未分配利润</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7B62FA" w:rsidRPr="00D0372D" w:rsidTr="006D141C">
        <w:tc>
          <w:tcPr>
            <w:tcW w:w="27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lastRenderedPageBreak/>
              <w:t>项目</w:t>
            </w:r>
          </w:p>
        </w:tc>
        <w:tc>
          <w:tcPr>
            <w:tcW w:w="21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已实现部分</w:t>
            </w:r>
          </w:p>
        </w:tc>
        <w:tc>
          <w:tcPr>
            <w:tcW w:w="21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未实现部分</w:t>
            </w:r>
          </w:p>
        </w:tc>
        <w:tc>
          <w:tcPr>
            <w:tcW w:w="21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未分配利润合计</w:t>
            </w:r>
          </w:p>
        </w:tc>
      </w:tr>
      <w:tr w:rsidR="007B62FA" w:rsidRPr="00D0372D" w:rsidTr="006B4141">
        <w:tc>
          <w:tcPr>
            <w:tcW w:w="2700" w:type="dxa"/>
            <w:vAlign w:val="center"/>
          </w:tcPr>
          <w:p w:rsidR="007B62FA" w:rsidRPr="007B2A83" w:rsidRDefault="008F3D0D" w:rsidP="007B2A83">
            <w:pPr>
              <w:spacing w:before="29" w:line="288" w:lineRule="auto"/>
              <w:rPr>
                <w:sz w:val="24"/>
              </w:rPr>
            </w:pPr>
            <w:r w:rsidRPr="007B2A83">
              <w:rPr>
                <w:sz w:val="24"/>
              </w:rPr>
              <w:t>上年度末</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-3,400,534.48</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7,196,380.45</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3,795,845.97</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本期利润</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-6,907,119.21</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8,833,915.84</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1,926,796.63</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本期基金份额交易产生的变动数</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-2,240,779.02</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3,790,711.95</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1,549,932.93</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其中：基金申购款</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-4,965,575.65</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7,845,406.30</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2,879,830.65</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基金</w:t>
            </w:r>
            <w:proofErr w:type="gramStart"/>
            <w:r w:rsidRPr="007B2A83">
              <w:rPr>
                <w:rFonts w:hint="eastAsia"/>
                <w:sz w:val="24"/>
              </w:rPr>
              <w:t>赎回款</w:t>
            </w:r>
            <w:proofErr w:type="gramEnd"/>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2,724,796.63</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-4,054,694.35</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-1,329,897.72</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本期已分配利润</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本期末</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-12,548,432.71</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19,821,008.24</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7,272,575.53</w:t>
            </w:r>
          </w:p>
        </w:tc>
      </w:tr>
    </w:tbl>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7.4.7.11</w:t>
      </w:r>
      <w:r w:rsidR="002D0B5F" w:rsidRPr="00E53CFC">
        <w:rPr>
          <w:rFonts w:hint="eastAsia"/>
          <w:b/>
          <w:bCs/>
          <w:color w:val="000000"/>
          <w:kern w:val="0"/>
          <w:sz w:val="24"/>
        </w:rPr>
        <w:t xml:space="preserve"> </w:t>
      </w:r>
      <w:r w:rsidRPr="00E53CFC">
        <w:rPr>
          <w:rFonts w:hint="eastAsia"/>
          <w:b/>
          <w:bCs/>
          <w:color w:val="000000"/>
          <w:kern w:val="0"/>
          <w:sz w:val="24"/>
        </w:rPr>
        <w:t>存款利息收入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7B62FA" w:rsidRPr="00D0372D" w:rsidTr="006D141C">
        <w:tc>
          <w:tcPr>
            <w:tcW w:w="2912" w:type="dxa"/>
            <w:vAlign w:val="center"/>
          </w:tcPr>
          <w:p w:rsidR="007B62FA" w:rsidRPr="003817C9" w:rsidRDefault="007B62FA" w:rsidP="003817C9">
            <w:pPr>
              <w:spacing w:before="29" w:line="288" w:lineRule="auto"/>
              <w:jc w:val="center"/>
              <w:rPr>
                <w:sz w:val="24"/>
              </w:rPr>
            </w:pPr>
            <w:r w:rsidRPr="003817C9">
              <w:rPr>
                <w:rFonts w:hint="eastAsia"/>
                <w:sz w:val="24"/>
              </w:rPr>
              <w:t>项目</w:t>
            </w:r>
          </w:p>
        </w:tc>
        <w:tc>
          <w:tcPr>
            <w:tcW w:w="3208" w:type="dxa"/>
            <w:vAlign w:val="center"/>
          </w:tcPr>
          <w:p w:rsidR="007B62FA" w:rsidRPr="003817C9" w:rsidRDefault="007B62FA" w:rsidP="003817C9">
            <w:pPr>
              <w:spacing w:before="29" w:line="288" w:lineRule="auto"/>
              <w:jc w:val="center"/>
              <w:rPr>
                <w:sz w:val="24"/>
              </w:rPr>
            </w:pPr>
            <w:r w:rsidRPr="003817C9">
              <w:rPr>
                <w:rFonts w:hint="eastAsia"/>
                <w:sz w:val="24"/>
              </w:rPr>
              <w:t>本期</w:t>
            </w:r>
          </w:p>
          <w:p w:rsidR="007B62FA" w:rsidRPr="003817C9" w:rsidRDefault="00ED2997" w:rsidP="003817C9">
            <w:pPr>
              <w:spacing w:before="29" w:line="288" w:lineRule="auto"/>
              <w:jc w:val="center"/>
              <w:rPr>
                <w:sz w:val="24"/>
              </w:rPr>
            </w:pPr>
            <w:r w:rsidRPr="003817C9">
              <w:rPr>
                <w:sz w:val="24"/>
              </w:rPr>
              <w:t>2016</w:t>
            </w:r>
            <w:r w:rsidRPr="003817C9">
              <w:rPr>
                <w:sz w:val="24"/>
              </w:rPr>
              <w:t>年</w:t>
            </w:r>
            <w:r w:rsidRPr="003817C9">
              <w:rPr>
                <w:sz w:val="24"/>
              </w:rPr>
              <w:t>1</w:t>
            </w:r>
            <w:r w:rsidRPr="003817C9">
              <w:rPr>
                <w:sz w:val="24"/>
              </w:rPr>
              <w:t>月</w:t>
            </w:r>
            <w:r w:rsidRPr="003817C9">
              <w:rPr>
                <w:sz w:val="24"/>
              </w:rPr>
              <w:t>1</w:t>
            </w:r>
            <w:r w:rsidRPr="003817C9">
              <w:rPr>
                <w:sz w:val="24"/>
              </w:rPr>
              <w:t>日</w:t>
            </w:r>
            <w:r w:rsidR="007B62FA" w:rsidRPr="003817C9">
              <w:rPr>
                <w:rFonts w:hint="eastAsia"/>
                <w:sz w:val="24"/>
              </w:rPr>
              <w:t>至</w:t>
            </w:r>
            <w:r w:rsidRPr="003817C9">
              <w:rPr>
                <w:sz w:val="24"/>
              </w:rPr>
              <w:t>2016</w:t>
            </w:r>
            <w:r w:rsidRPr="003817C9">
              <w:rPr>
                <w:sz w:val="24"/>
              </w:rPr>
              <w:t>年</w:t>
            </w:r>
            <w:r w:rsidRPr="003817C9">
              <w:rPr>
                <w:sz w:val="24"/>
              </w:rPr>
              <w:t>12</w:t>
            </w:r>
            <w:r w:rsidRPr="003817C9">
              <w:rPr>
                <w:sz w:val="24"/>
              </w:rPr>
              <w:t>月</w:t>
            </w:r>
            <w:r w:rsidRPr="003817C9">
              <w:rPr>
                <w:sz w:val="24"/>
              </w:rPr>
              <w:t>31</w:t>
            </w:r>
            <w:r w:rsidRPr="003817C9">
              <w:rPr>
                <w:sz w:val="24"/>
              </w:rPr>
              <w:t>日</w:t>
            </w:r>
          </w:p>
        </w:tc>
        <w:tc>
          <w:tcPr>
            <w:tcW w:w="2880" w:type="dxa"/>
            <w:vAlign w:val="center"/>
          </w:tcPr>
          <w:p w:rsidR="007B62FA" w:rsidRPr="003817C9" w:rsidRDefault="007B62FA" w:rsidP="003817C9">
            <w:pPr>
              <w:spacing w:before="29" w:line="288" w:lineRule="auto"/>
              <w:jc w:val="center"/>
              <w:rPr>
                <w:sz w:val="24"/>
              </w:rPr>
            </w:pPr>
            <w:r w:rsidRPr="003817C9">
              <w:rPr>
                <w:rFonts w:hint="eastAsia"/>
                <w:sz w:val="24"/>
              </w:rPr>
              <w:t>上年度可比期间</w:t>
            </w:r>
          </w:p>
          <w:p w:rsidR="007B62FA" w:rsidRPr="003817C9" w:rsidRDefault="009A2393" w:rsidP="003817C9">
            <w:pPr>
              <w:spacing w:before="29" w:line="288" w:lineRule="auto"/>
              <w:jc w:val="center"/>
              <w:rPr>
                <w:sz w:val="24"/>
              </w:rPr>
            </w:pPr>
            <w:r w:rsidRPr="003817C9">
              <w:rPr>
                <w:sz w:val="24"/>
              </w:rPr>
              <w:t>2015</w:t>
            </w:r>
            <w:r w:rsidRPr="003817C9">
              <w:rPr>
                <w:sz w:val="24"/>
              </w:rPr>
              <w:t>年</w:t>
            </w:r>
            <w:r w:rsidRPr="003817C9">
              <w:rPr>
                <w:sz w:val="24"/>
              </w:rPr>
              <w:t>1</w:t>
            </w:r>
            <w:r w:rsidRPr="003817C9">
              <w:rPr>
                <w:sz w:val="24"/>
              </w:rPr>
              <w:t>月</w:t>
            </w:r>
            <w:r w:rsidRPr="003817C9">
              <w:rPr>
                <w:sz w:val="24"/>
              </w:rPr>
              <w:t>1</w:t>
            </w:r>
            <w:r w:rsidRPr="003817C9">
              <w:rPr>
                <w:sz w:val="24"/>
              </w:rPr>
              <w:t>日至</w:t>
            </w:r>
            <w:r w:rsidRPr="003817C9">
              <w:rPr>
                <w:sz w:val="24"/>
              </w:rPr>
              <w:t>2015</w:t>
            </w:r>
            <w:r w:rsidRPr="003817C9">
              <w:rPr>
                <w:sz w:val="24"/>
              </w:rPr>
              <w:t>年</w:t>
            </w:r>
            <w:r w:rsidRPr="003817C9">
              <w:rPr>
                <w:sz w:val="24"/>
              </w:rPr>
              <w:t>12</w:t>
            </w:r>
            <w:r w:rsidRPr="003817C9">
              <w:rPr>
                <w:sz w:val="24"/>
              </w:rPr>
              <w:t>月</w:t>
            </w:r>
            <w:r w:rsidRPr="003817C9">
              <w:rPr>
                <w:sz w:val="24"/>
              </w:rPr>
              <w:t>31</w:t>
            </w:r>
            <w:r w:rsidRPr="003817C9">
              <w:rPr>
                <w:sz w:val="24"/>
              </w:rPr>
              <w:t>日</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活期存款利息收入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15,536.03</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74,044.81</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定期存款利息收入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其他存款利息收入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结算备付金利息收入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其他</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617.85</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2,207.53</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合计</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16,153.88</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76,252.34</w:t>
            </w:r>
          </w:p>
        </w:tc>
      </w:tr>
    </w:tbl>
    <w:p w:rsidR="007B62FA" w:rsidRPr="00D0372D" w:rsidRDefault="007B62FA" w:rsidP="00417F87">
      <w:pPr>
        <w:spacing w:line="360" w:lineRule="auto"/>
        <w:rPr>
          <w:rFonts w:ascii="宋体" w:hAnsi="宋体"/>
          <w:color w:val="000000"/>
          <w:szCs w:val="21"/>
        </w:rPr>
      </w:pPr>
    </w:p>
    <w:p w:rsidR="00EB5E43" w:rsidRPr="00E53CFC" w:rsidRDefault="00EB5E43" w:rsidP="00E53CFC">
      <w:pPr>
        <w:spacing w:before="29" w:line="288" w:lineRule="auto"/>
        <w:rPr>
          <w:b/>
          <w:bCs/>
          <w:color w:val="000000"/>
          <w:kern w:val="0"/>
          <w:sz w:val="24"/>
        </w:rPr>
      </w:pPr>
      <w:r w:rsidRPr="00E53CFC">
        <w:rPr>
          <w:b/>
          <w:bCs/>
          <w:color w:val="000000"/>
          <w:kern w:val="0"/>
          <w:sz w:val="24"/>
        </w:rPr>
        <w:t xml:space="preserve">7.4.7.12 </w:t>
      </w:r>
      <w:r w:rsidRPr="00E53CFC">
        <w:rPr>
          <w:rFonts w:hint="eastAsia"/>
          <w:b/>
          <w:bCs/>
          <w:color w:val="000000"/>
          <w:kern w:val="0"/>
          <w:sz w:val="24"/>
        </w:rPr>
        <w:t>股票投资收益</w:t>
      </w:r>
    </w:p>
    <w:p w:rsidR="00EB5E43" w:rsidRPr="00AD4493" w:rsidRDefault="00EB5E43" w:rsidP="00EB5E4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项目</w:t>
            </w:r>
          </w:p>
        </w:tc>
        <w:tc>
          <w:tcPr>
            <w:tcW w:w="2726" w:type="dxa"/>
            <w:tcMar>
              <w:top w:w="15" w:type="dxa"/>
              <w:left w:w="15" w:type="dxa"/>
              <w:bottom w:w="0" w:type="dxa"/>
              <w:right w:w="15" w:type="dxa"/>
            </w:tcMar>
            <w:vAlign w:val="center"/>
          </w:tcPr>
          <w:p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本期</w:t>
            </w:r>
          </w:p>
          <w:p w:rsidR="00EB5E43" w:rsidRPr="00B50D84" w:rsidRDefault="00EB5E43" w:rsidP="00B50D84">
            <w:pPr>
              <w:autoSpaceDE w:val="0"/>
              <w:autoSpaceDN w:val="0"/>
              <w:spacing w:before="29" w:line="288" w:lineRule="auto"/>
              <w:jc w:val="center"/>
              <w:textAlignment w:val="bottom"/>
              <w:rPr>
                <w:kern w:val="0"/>
                <w:sz w:val="24"/>
              </w:rPr>
            </w:pPr>
            <w:r w:rsidRPr="00B50D84">
              <w:rPr>
                <w:kern w:val="0"/>
                <w:sz w:val="24"/>
              </w:rPr>
              <w:t>2016</w:t>
            </w:r>
            <w:r w:rsidRPr="00B50D84">
              <w:rPr>
                <w:kern w:val="0"/>
                <w:sz w:val="24"/>
              </w:rPr>
              <w:t>年</w:t>
            </w:r>
            <w:r w:rsidRPr="00B50D84">
              <w:rPr>
                <w:kern w:val="0"/>
                <w:sz w:val="24"/>
              </w:rPr>
              <w:t>1</w:t>
            </w:r>
            <w:r w:rsidRPr="00B50D84">
              <w:rPr>
                <w:kern w:val="0"/>
                <w:sz w:val="24"/>
              </w:rPr>
              <w:t>月</w:t>
            </w:r>
            <w:r w:rsidRPr="00B50D84">
              <w:rPr>
                <w:kern w:val="0"/>
                <w:sz w:val="24"/>
              </w:rPr>
              <w:t>1</w:t>
            </w:r>
            <w:r w:rsidRPr="00B50D84">
              <w:rPr>
                <w:kern w:val="0"/>
                <w:sz w:val="24"/>
              </w:rPr>
              <w:t>日</w:t>
            </w:r>
            <w:r w:rsidRPr="00B50D84">
              <w:rPr>
                <w:rFonts w:hint="eastAsia"/>
                <w:kern w:val="0"/>
                <w:sz w:val="24"/>
              </w:rPr>
              <w:t>至</w:t>
            </w:r>
            <w:r w:rsidRPr="00B50D84">
              <w:rPr>
                <w:kern w:val="0"/>
                <w:sz w:val="24"/>
              </w:rPr>
              <w:t>2016</w:t>
            </w:r>
            <w:r w:rsidRPr="00B50D84">
              <w:rPr>
                <w:kern w:val="0"/>
                <w:sz w:val="24"/>
              </w:rPr>
              <w:t>年</w:t>
            </w:r>
            <w:r w:rsidRPr="00B50D84">
              <w:rPr>
                <w:kern w:val="0"/>
                <w:sz w:val="24"/>
              </w:rPr>
              <w:t>12</w:t>
            </w:r>
            <w:r w:rsidRPr="00B50D84">
              <w:rPr>
                <w:kern w:val="0"/>
                <w:sz w:val="24"/>
              </w:rPr>
              <w:t>月</w:t>
            </w:r>
            <w:r w:rsidRPr="00B50D84">
              <w:rPr>
                <w:kern w:val="0"/>
                <w:sz w:val="24"/>
              </w:rPr>
              <w:t>31</w:t>
            </w:r>
            <w:r w:rsidRPr="00B50D84">
              <w:rPr>
                <w:kern w:val="0"/>
                <w:sz w:val="24"/>
              </w:rPr>
              <w:t>日</w:t>
            </w:r>
          </w:p>
        </w:tc>
        <w:tc>
          <w:tcPr>
            <w:tcW w:w="2726" w:type="dxa"/>
            <w:vAlign w:val="center"/>
          </w:tcPr>
          <w:p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上年度可比期间</w:t>
            </w:r>
          </w:p>
          <w:p w:rsidR="00EB5E43" w:rsidRPr="00B50D84" w:rsidRDefault="00EB5E43" w:rsidP="00B50D84">
            <w:pPr>
              <w:autoSpaceDE w:val="0"/>
              <w:autoSpaceDN w:val="0"/>
              <w:spacing w:before="29" w:line="288" w:lineRule="auto"/>
              <w:jc w:val="center"/>
              <w:textAlignment w:val="bottom"/>
              <w:rPr>
                <w:kern w:val="0"/>
                <w:sz w:val="24"/>
              </w:rPr>
            </w:pPr>
            <w:r w:rsidRPr="00B50D84">
              <w:rPr>
                <w:kern w:val="0"/>
                <w:sz w:val="24"/>
              </w:rPr>
              <w:t>2015</w:t>
            </w:r>
            <w:r w:rsidRPr="00B50D84">
              <w:rPr>
                <w:kern w:val="0"/>
                <w:sz w:val="24"/>
              </w:rPr>
              <w:t>年</w:t>
            </w:r>
            <w:r w:rsidRPr="00B50D84">
              <w:rPr>
                <w:kern w:val="0"/>
                <w:sz w:val="24"/>
              </w:rPr>
              <w:t>1</w:t>
            </w:r>
            <w:r w:rsidRPr="00B50D84">
              <w:rPr>
                <w:kern w:val="0"/>
                <w:sz w:val="24"/>
              </w:rPr>
              <w:t>月</w:t>
            </w:r>
            <w:r w:rsidRPr="00B50D84">
              <w:rPr>
                <w:kern w:val="0"/>
                <w:sz w:val="24"/>
              </w:rPr>
              <w:t>1</w:t>
            </w:r>
            <w:r w:rsidRPr="00B50D84">
              <w:rPr>
                <w:kern w:val="0"/>
                <w:sz w:val="24"/>
              </w:rPr>
              <w:t>日至</w:t>
            </w:r>
            <w:r w:rsidRPr="00B50D84">
              <w:rPr>
                <w:kern w:val="0"/>
                <w:sz w:val="24"/>
              </w:rPr>
              <w:t>2015</w:t>
            </w:r>
            <w:r w:rsidRPr="00B50D84">
              <w:rPr>
                <w:kern w:val="0"/>
                <w:sz w:val="24"/>
              </w:rPr>
              <w:t>年</w:t>
            </w:r>
            <w:r w:rsidRPr="00B50D84">
              <w:rPr>
                <w:kern w:val="0"/>
                <w:sz w:val="24"/>
              </w:rPr>
              <w:t>12</w:t>
            </w:r>
            <w:r w:rsidRPr="00B50D84">
              <w:rPr>
                <w:kern w:val="0"/>
                <w:sz w:val="24"/>
              </w:rPr>
              <w:t>月</w:t>
            </w:r>
            <w:r w:rsidRPr="00B50D84">
              <w:rPr>
                <w:kern w:val="0"/>
                <w:sz w:val="24"/>
              </w:rPr>
              <w:t>31</w:t>
            </w:r>
            <w:r w:rsidRPr="00B50D84">
              <w:rPr>
                <w:kern w:val="0"/>
                <w:sz w:val="24"/>
              </w:rPr>
              <w:t>日</w:t>
            </w:r>
          </w:p>
        </w:tc>
      </w:tr>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卖出股票成交总额</w:t>
            </w:r>
          </w:p>
        </w:tc>
        <w:tc>
          <w:tcPr>
            <w:tcW w:w="2726" w:type="dxa"/>
            <w:tcMar>
              <w:top w:w="15" w:type="dxa"/>
              <w:left w:w="15" w:type="dxa"/>
              <w:bottom w:w="0" w:type="dxa"/>
              <w:right w:w="15" w:type="dxa"/>
            </w:tcMar>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37,350,595.73</w:t>
            </w:r>
          </w:p>
        </w:tc>
        <w:tc>
          <w:tcPr>
            <w:tcW w:w="2726" w:type="dxa"/>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69,614,444.26</w:t>
            </w:r>
          </w:p>
        </w:tc>
      </w:tr>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减：卖出股票成本总额</w:t>
            </w:r>
          </w:p>
        </w:tc>
        <w:tc>
          <w:tcPr>
            <w:tcW w:w="2726" w:type="dxa"/>
            <w:tcMar>
              <w:top w:w="15" w:type="dxa"/>
              <w:left w:w="15" w:type="dxa"/>
              <w:bottom w:w="0" w:type="dxa"/>
              <w:right w:w="15" w:type="dxa"/>
            </w:tcMar>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44,520,598.99</w:t>
            </w:r>
          </w:p>
        </w:tc>
        <w:tc>
          <w:tcPr>
            <w:tcW w:w="2726" w:type="dxa"/>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83,968,117.17</w:t>
            </w:r>
          </w:p>
        </w:tc>
      </w:tr>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买卖股票差价收入</w:t>
            </w:r>
          </w:p>
        </w:tc>
        <w:tc>
          <w:tcPr>
            <w:tcW w:w="2726" w:type="dxa"/>
            <w:tcMar>
              <w:top w:w="15" w:type="dxa"/>
              <w:left w:w="15" w:type="dxa"/>
              <w:bottom w:w="0" w:type="dxa"/>
              <w:right w:w="15" w:type="dxa"/>
            </w:tcMar>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-7,170,003.26</w:t>
            </w:r>
          </w:p>
        </w:tc>
        <w:tc>
          <w:tcPr>
            <w:tcW w:w="2726" w:type="dxa"/>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-14,353,672.91</w:t>
            </w:r>
          </w:p>
        </w:tc>
      </w:tr>
    </w:tbl>
    <w:p w:rsidR="000B1A3D" w:rsidRPr="00B323A0" w:rsidRDefault="000B1A3D" w:rsidP="00B323A0">
      <w:pPr>
        <w:tabs>
          <w:tab w:val="left" w:pos="426"/>
        </w:tabs>
        <w:spacing w:before="29" w:line="288" w:lineRule="auto"/>
        <w:jc w:val="left"/>
        <w:rPr>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7.4.7.13</w:t>
      </w:r>
      <w:r w:rsidR="002D0B5F" w:rsidRPr="00E53CFC">
        <w:rPr>
          <w:rFonts w:hint="eastAsia"/>
          <w:b/>
          <w:bCs/>
          <w:color w:val="000000"/>
          <w:kern w:val="0"/>
          <w:sz w:val="24"/>
        </w:rPr>
        <w:t xml:space="preserve"> </w:t>
      </w:r>
      <w:r w:rsidRPr="00E53CFC">
        <w:rPr>
          <w:rFonts w:hint="eastAsia"/>
          <w:b/>
          <w:bCs/>
          <w:color w:val="000000"/>
          <w:kern w:val="0"/>
          <w:sz w:val="24"/>
        </w:rPr>
        <w:t>基金投资收益</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本基金本报告期内及上年度可比期间</w:t>
      </w:r>
      <w:proofErr w:type="gramStart"/>
      <w:r w:rsidRPr="00B323A0">
        <w:rPr>
          <w:kern w:val="0"/>
          <w:sz w:val="24"/>
        </w:rPr>
        <w:t>无基金</w:t>
      </w:r>
      <w:proofErr w:type="gramEnd"/>
      <w:r w:rsidRPr="00B323A0">
        <w:rPr>
          <w:kern w:val="0"/>
          <w:sz w:val="24"/>
        </w:rPr>
        <w:t>投资收益。</w:t>
      </w:r>
    </w:p>
    <w:p w:rsidR="00471E18" w:rsidRDefault="00471E18" w:rsidP="00E53CFC">
      <w:pPr>
        <w:spacing w:before="29" w:line="288" w:lineRule="auto"/>
        <w:rPr>
          <w:b/>
          <w:bCs/>
          <w:color w:val="000000"/>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lastRenderedPageBreak/>
        <w:t>7.4.7.14</w:t>
      </w:r>
      <w:r w:rsidR="002D0B5F" w:rsidRPr="00E53CFC">
        <w:rPr>
          <w:rFonts w:hint="eastAsia"/>
          <w:b/>
          <w:bCs/>
          <w:color w:val="000000"/>
          <w:kern w:val="0"/>
          <w:sz w:val="24"/>
        </w:rPr>
        <w:t xml:space="preserve"> </w:t>
      </w:r>
      <w:r w:rsidRPr="00E53CFC">
        <w:rPr>
          <w:rFonts w:hint="eastAsia"/>
          <w:b/>
          <w:bCs/>
          <w:color w:val="000000"/>
          <w:kern w:val="0"/>
          <w:sz w:val="24"/>
        </w:rPr>
        <w:t>债券投资收益</w:t>
      </w:r>
    </w:p>
    <w:p w:rsidR="002047F1" w:rsidRDefault="002047F1" w:rsidP="002047F1">
      <w:pPr>
        <w:tabs>
          <w:tab w:val="left" w:pos="426"/>
        </w:tabs>
        <w:spacing w:before="29" w:line="288" w:lineRule="auto"/>
        <w:jc w:val="left"/>
        <w:rPr>
          <w:kern w:val="0"/>
          <w:sz w:val="24"/>
        </w:rPr>
      </w:pPr>
      <w:r w:rsidRPr="00DF3766">
        <w:rPr>
          <w:rFonts w:hint="eastAsia"/>
          <w:kern w:val="0"/>
          <w:sz w:val="24"/>
        </w:rPr>
        <w:t>本基金本报告期内及上年度可比期间无债券投资收益。</w:t>
      </w:r>
    </w:p>
    <w:p w:rsidR="00471E18" w:rsidRDefault="00471E18" w:rsidP="00E53CFC">
      <w:pPr>
        <w:spacing w:before="29" w:line="288" w:lineRule="auto"/>
        <w:rPr>
          <w:b/>
          <w:bCs/>
          <w:color w:val="000000"/>
          <w:kern w:val="0"/>
          <w:sz w:val="24"/>
        </w:rPr>
      </w:pPr>
    </w:p>
    <w:p w:rsidR="00215918" w:rsidRPr="00E53CFC" w:rsidRDefault="00206B18" w:rsidP="00E53CFC">
      <w:pPr>
        <w:spacing w:before="29" w:line="288" w:lineRule="auto"/>
        <w:rPr>
          <w:b/>
          <w:bCs/>
          <w:color w:val="000000"/>
          <w:kern w:val="0"/>
          <w:sz w:val="24"/>
        </w:rPr>
      </w:pPr>
      <w:r>
        <w:rPr>
          <w:b/>
          <w:bCs/>
          <w:color w:val="000000"/>
          <w:kern w:val="0"/>
          <w:sz w:val="24"/>
        </w:rPr>
        <w:t>7.4.7.</w:t>
      </w:r>
      <w:r w:rsidR="00215918" w:rsidRPr="00E53CFC">
        <w:rPr>
          <w:rFonts w:hint="eastAsia"/>
          <w:b/>
          <w:bCs/>
          <w:color w:val="000000"/>
          <w:kern w:val="0"/>
          <w:sz w:val="24"/>
        </w:rPr>
        <w:t xml:space="preserve">15 </w:t>
      </w:r>
      <w:r w:rsidR="00215918" w:rsidRPr="00E53CFC">
        <w:rPr>
          <w:rFonts w:hint="eastAsia"/>
          <w:b/>
          <w:bCs/>
          <w:color w:val="000000"/>
          <w:kern w:val="0"/>
          <w:sz w:val="24"/>
        </w:rPr>
        <w:t>资产支持证券投资收益</w:t>
      </w:r>
    </w:p>
    <w:p w:rsidR="00AE0211" w:rsidRPr="0091212A" w:rsidRDefault="00AE0211" w:rsidP="00AE0211">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7B62FA" w:rsidRPr="00AE0211"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7.4.7.16</w:t>
      </w:r>
      <w:r w:rsidR="002D0B5F" w:rsidRPr="00E53CFC">
        <w:rPr>
          <w:rFonts w:hint="eastAsia"/>
          <w:b/>
          <w:bCs/>
          <w:color w:val="000000"/>
          <w:kern w:val="0"/>
          <w:sz w:val="24"/>
        </w:rPr>
        <w:t xml:space="preserve"> </w:t>
      </w:r>
      <w:r w:rsidRPr="00E53CFC">
        <w:rPr>
          <w:rFonts w:hint="eastAsia"/>
          <w:b/>
          <w:bCs/>
          <w:color w:val="000000"/>
          <w:kern w:val="0"/>
          <w:sz w:val="24"/>
        </w:rPr>
        <w:t>衍生工具收益</w:t>
      </w:r>
    </w:p>
    <w:p w:rsidR="007B62FA" w:rsidRPr="00E53CFC" w:rsidRDefault="007B62FA" w:rsidP="00E53CFC">
      <w:pPr>
        <w:spacing w:before="29" w:line="288" w:lineRule="auto"/>
        <w:rPr>
          <w:b/>
          <w:bCs/>
          <w:color w:val="000000"/>
          <w:kern w:val="0"/>
          <w:sz w:val="24"/>
        </w:rPr>
      </w:pPr>
      <w:r w:rsidRPr="00E53CFC">
        <w:rPr>
          <w:b/>
          <w:bCs/>
          <w:color w:val="000000"/>
          <w:kern w:val="0"/>
          <w:sz w:val="24"/>
        </w:rPr>
        <w:t>7.4.7.16.1</w:t>
      </w:r>
      <w:r w:rsidR="002D0B5F" w:rsidRPr="00E53CFC">
        <w:rPr>
          <w:rFonts w:hint="eastAsia"/>
          <w:b/>
          <w:bCs/>
          <w:color w:val="000000"/>
          <w:kern w:val="0"/>
          <w:sz w:val="24"/>
        </w:rPr>
        <w:t xml:space="preserve"> </w:t>
      </w:r>
      <w:r w:rsidRPr="00E53CFC">
        <w:rPr>
          <w:rFonts w:hint="eastAsia"/>
          <w:b/>
          <w:bCs/>
          <w:color w:val="000000"/>
          <w:kern w:val="0"/>
          <w:sz w:val="24"/>
        </w:rPr>
        <w:t>衍生工具收益</w:t>
      </w:r>
      <w:r w:rsidRPr="00E53CFC">
        <w:rPr>
          <w:b/>
          <w:bCs/>
          <w:color w:val="000000"/>
          <w:kern w:val="0"/>
          <w:sz w:val="24"/>
        </w:rPr>
        <w:t>——</w:t>
      </w:r>
      <w:r w:rsidRPr="00E53CFC">
        <w:rPr>
          <w:rFonts w:hint="eastAsia"/>
          <w:b/>
          <w:bCs/>
          <w:color w:val="000000"/>
          <w:kern w:val="0"/>
          <w:sz w:val="24"/>
        </w:rPr>
        <w:t>买卖权证差价收入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70"/>
        <w:gridCol w:w="3220"/>
        <w:gridCol w:w="3220"/>
      </w:tblGrid>
      <w:tr w:rsidR="007B62FA" w:rsidRPr="00D0372D" w:rsidTr="00A2774D">
        <w:trPr>
          <w:trHeight w:val="285"/>
          <w:jc w:val="center"/>
        </w:trPr>
        <w:tc>
          <w:tcPr>
            <w:tcW w:w="2770"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220" w:type="dxa"/>
            <w:vAlign w:val="center"/>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220" w:type="dxa"/>
            <w:vAlign w:val="center"/>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2015</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2015</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A2774D">
        <w:trPr>
          <w:trHeight w:val="285"/>
          <w:jc w:val="center"/>
        </w:trPr>
        <w:tc>
          <w:tcPr>
            <w:tcW w:w="2770" w:type="dxa"/>
            <w:vAlign w:val="center"/>
          </w:tcPr>
          <w:p w:rsidR="007B62FA" w:rsidRPr="00972F24" w:rsidRDefault="007B62FA" w:rsidP="00972F24">
            <w:pPr>
              <w:spacing w:before="29" w:line="288" w:lineRule="auto"/>
              <w:rPr>
                <w:sz w:val="24"/>
              </w:rPr>
            </w:pPr>
            <w:r w:rsidRPr="00972F24">
              <w:rPr>
                <w:rFonts w:hint="eastAsia"/>
                <w:sz w:val="24"/>
              </w:rPr>
              <w:t>卖出权证成交总额</w:t>
            </w:r>
          </w:p>
        </w:tc>
        <w:tc>
          <w:tcPr>
            <w:tcW w:w="322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22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36,670.20</w:t>
            </w:r>
          </w:p>
        </w:tc>
      </w:tr>
      <w:tr w:rsidR="007B62FA" w:rsidRPr="00D0372D" w:rsidTr="00A2774D">
        <w:trPr>
          <w:trHeight w:val="285"/>
          <w:jc w:val="center"/>
        </w:trPr>
        <w:tc>
          <w:tcPr>
            <w:tcW w:w="2770" w:type="dxa"/>
            <w:vAlign w:val="center"/>
          </w:tcPr>
          <w:p w:rsidR="007B62FA" w:rsidRPr="00972F24" w:rsidRDefault="007B62FA" w:rsidP="00972F24">
            <w:pPr>
              <w:spacing w:before="29" w:line="288" w:lineRule="auto"/>
              <w:rPr>
                <w:sz w:val="24"/>
              </w:rPr>
            </w:pPr>
            <w:r w:rsidRPr="00972F24">
              <w:rPr>
                <w:rFonts w:hint="eastAsia"/>
                <w:sz w:val="24"/>
              </w:rPr>
              <w:t>减：卖出权证成本总额</w:t>
            </w:r>
          </w:p>
        </w:tc>
        <w:tc>
          <w:tcPr>
            <w:tcW w:w="322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22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A2774D">
        <w:trPr>
          <w:trHeight w:val="285"/>
          <w:jc w:val="center"/>
        </w:trPr>
        <w:tc>
          <w:tcPr>
            <w:tcW w:w="2770" w:type="dxa"/>
            <w:vAlign w:val="center"/>
          </w:tcPr>
          <w:p w:rsidR="007B62FA" w:rsidRPr="00972F24" w:rsidRDefault="007B62FA" w:rsidP="00972F24">
            <w:pPr>
              <w:spacing w:before="29" w:line="288" w:lineRule="auto"/>
              <w:rPr>
                <w:sz w:val="24"/>
              </w:rPr>
            </w:pPr>
            <w:r w:rsidRPr="00972F24">
              <w:rPr>
                <w:rFonts w:hint="eastAsia"/>
                <w:sz w:val="24"/>
              </w:rPr>
              <w:t>买卖权证差价收入</w:t>
            </w:r>
          </w:p>
        </w:tc>
        <w:tc>
          <w:tcPr>
            <w:tcW w:w="322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22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36,670.20</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注：买卖权证差价收入包含权证行权差价收入。</w:t>
      </w:r>
    </w:p>
    <w:p w:rsidR="007B62FA" w:rsidRPr="00D0372D" w:rsidRDefault="007B62FA" w:rsidP="00D0372D">
      <w:pPr>
        <w:spacing w:line="360" w:lineRule="auto"/>
        <w:ind w:firstLineChars="100" w:firstLine="210"/>
        <w:rPr>
          <w:rFonts w:ascii="宋体" w:hAnsi="宋体"/>
          <w:szCs w:val="21"/>
        </w:rPr>
      </w:pPr>
    </w:p>
    <w:p w:rsidR="00DF557F" w:rsidRPr="00E53CFC" w:rsidRDefault="00DF557F" w:rsidP="00E53CFC">
      <w:pPr>
        <w:spacing w:before="29" w:line="288" w:lineRule="auto"/>
        <w:rPr>
          <w:b/>
          <w:bCs/>
          <w:color w:val="000000"/>
          <w:kern w:val="0"/>
          <w:sz w:val="24"/>
        </w:rPr>
      </w:pPr>
      <w:r w:rsidRPr="00E53CFC">
        <w:rPr>
          <w:b/>
          <w:bCs/>
          <w:color w:val="000000"/>
          <w:kern w:val="0"/>
          <w:sz w:val="24"/>
        </w:rPr>
        <w:t>7.4.7.16.2</w:t>
      </w:r>
      <w:r w:rsidRPr="00E53CFC">
        <w:rPr>
          <w:rFonts w:hint="eastAsia"/>
          <w:b/>
          <w:bCs/>
          <w:color w:val="000000"/>
          <w:kern w:val="0"/>
          <w:sz w:val="24"/>
        </w:rPr>
        <w:t xml:space="preserve"> </w:t>
      </w:r>
      <w:r w:rsidRPr="00E53CFC">
        <w:rPr>
          <w:rFonts w:hint="eastAsia"/>
          <w:b/>
          <w:bCs/>
          <w:color w:val="000000"/>
          <w:kern w:val="0"/>
          <w:sz w:val="24"/>
        </w:rPr>
        <w:t>衍生工具收益</w:t>
      </w:r>
      <w:r w:rsidRPr="00E53CFC">
        <w:rPr>
          <w:b/>
          <w:bCs/>
          <w:color w:val="000000"/>
          <w:kern w:val="0"/>
          <w:sz w:val="24"/>
        </w:rPr>
        <w:t>——</w:t>
      </w:r>
      <w:r w:rsidRPr="00E53CFC">
        <w:rPr>
          <w:rFonts w:hint="eastAsia"/>
          <w:b/>
          <w:bCs/>
          <w:color w:val="000000"/>
          <w:kern w:val="0"/>
          <w:sz w:val="24"/>
        </w:rPr>
        <w:t>其他投资收益</w:t>
      </w:r>
    </w:p>
    <w:p w:rsidR="00DF557F" w:rsidRPr="00B323A0" w:rsidRDefault="00DF557F" w:rsidP="00B323A0">
      <w:pPr>
        <w:tabs>
          <w:tab w:val="left" w:pos="426"/>
        </w:tabs>
        <w:spacing w:before="29" w:line="288" w:lineRule="auto"/>
        <w:jc w:val="left"/>
        <w:rPr>
          <w:kern w:val="0"/>
          <w:sz w:val="24"/>
        </w:rPr>
      </w:pPr>
      <w:r w:rsidRPr="00B323A0">
        <w:rPr>
          <w:kern w:val="0"/>
          <w:sz w:val="24"/>
        </w:rPr>
        <w:t>本基金本报告期内及上年度可比期间无其他衍生工具投资收益。</w:t>
      </w:r>
    </w:p>
    <w:p w:rsidR="00881F31" w:rsidRDefault="00881F31" w:rsidP="00E53CFC">
      <w:pPr>
        <w:spacing w:before="29" w:line="288" w:lineRule="auto"/>
        <w:rPr>
          <w:b/>
          <w:bCs/>
          <w:color w:val="000000"/>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7.4.7.17</w:t>
      </w:r>
      <w:r w:rsidR="002D0B5F" w:rsidRPr="00E53CFC">
        <w:rPr>
          <w:rFonts w:hint="eastAsia"/>
          <w:b/>
          <w:bCs/>
          <w:color w:val="000000"/>
          <w:kern w:val="0"/>
          <w:sz w:val="24"/>
        </w:rPr>
        <w:t xml:space="preserve"> </w:t>
      </w:r>
      <w:r w:rsidRPr="00E53CFC">
        <w:rPr>
          <w:rFonts w:hint="eastAsia"/>
          <w:b/>
          <w:bCs/>
          <w:color w:val="000000"/>
          <w:kern w:val="0"/>
          <w:sz w:val="24"/>
        </w:rPr>
        <w:t>股利收益</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7B62FA" w:rsidRPr="00D0372D" w:rsidTr="006D141C">
        <w:tc>
          <w:tcPr>
            <w:tcW w:w="2988"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150"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150"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2015</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2015</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1E1033">
        <w:tc>
          <w:tcPr>
            <w:tcW w:w="2988" w:type="dxa"/>
            <w:vAlign w:val="center"/>
          </w:tcPr>
          <w:p w:rsidR="007B62FA" w:rsidRPr="00AC17A3" w:rsidRDefault="007B62FA" w:rsidP="00AC17A3">
            <w:pPr>
              <w:spacing w:before="29" w:line="288" w:lineRule="auto"/>
              <w:rPr>
                <w:sz w:val="24"/>
              </w:rPr>
            </w:pPr>
            <w:r w:rsidRPr="00AC17A3">
              <w:rPr>
                <w:rFonts w:hint="eastAsia"/>
                <w:sz w:val="24"/>
              </w:rPr>
              <w:t>股票投资产生的股利收益</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653,606.53</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1,775,909.21</w:t>
            </w:r>
          </w:p>
        </w:tc>
      </w:tr>
      <w:tr w:rsidR="007B62FA" w:rsidRPr="00D0372D" w:rsidTr="001E1033">
        <w:tc>
          <w:tcPr>
            <w:tcW w:w="2988" w:type="dxa"/>
            <w:vAlign w:val="center"/>
          </w:tcPr>
          <w:p w:rsidR="007B62FA" w:rsidRPr="00AC17A3" w:rsidRDefault="007B62FA" w:rsidP="00AC17A3">
            <w:pPr>
              <w:spacing w:before="29" w:line="288" w:lineRule="auto"/>
              <w:rPr>
                <w:sz w:val="24"/>
              </w:rPr>
            </w:pPr>
            <w:r w:rsidRPr="00AC17A3">
              <w:rPr>
                <w:rFonts w:hint="eastAsia"/>
                <w:sz w:val="24"/>
              </w:rPr>
              <w:t>基金投资产生的股利收益</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1E1033">
        <w:tc>
          <w:tcPr>
            <w:tcW w:w="2988" w:type="dxa"/>
            <w:vAlign w:val="center"/>
          </w:tcPr>
          <w:p w:rsidR="007B62FA" w:rsidRPr="00AC17A3" w:rsidRDefault="007B62FA" w:rsidP="00AC17A3">
            <w:pPr>
              <w:spacing w:before="29" w:line="288" w:lineRule="auto"/>
              <w:rPr>
                <w:sz w:val="24"/>
              </w:rPr>
            </w:pPr>
            <w:r w:rsidRPr="00AC17A3">
              <w:rPr>
                <w:rFonts w:hint="eastAsia"/>
                <w:sz w:val="24"/>
              </w:rPr>
              <w:t>合计</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653,606.53</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1,775,909.21</w:t>
            </w:r>
          </w:p>
        </w:tc>
      </w:tr>
    </w:tbl>
    <w:p w:rsidR="007B62FA" w:rsidRPr="00D0372D" w:rsidRDefault="007B62FA" w:rsidP="00D0372D">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7.4.7.18</w:t>
      </w:r>
      <w:r w:rsidR="002D0B5F" w:rsidRPr="00E53CFC">
        <w:rPr>
          <w:rFonts w:hint="eastAsia"/>
          <w:b/>
          <w:bCs/>
          <w:color w:val="000000"/>
          <w:kern w:val="0"/>
          <w:sz w:val="24"/>
        </w:rPr>
        <w:t xml:space="preserve"> </w:t>
      </w:r>
      <w:r w:rsidRPr="00E53CFC">
        <w:rPr>
          <w:rFonts w:hint="eastAsia"/>
          <w:b/>
          <w:bCs/>
          <w:color w:val="000000"/>
          <w:kern w:val="0"/>
          <w:sz w:val="24"/>
        </w:rPr>
        <w:t>公允价值变动收益</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7B62FA" w:rsidRPr="00D0372D" w:rsidTr="00B8010E">
        <w:trPr>
          <w:trHeight w:val="285"/>
        </w:trPr>
        <w:tc>
          <w:tcPr>
            <w:tcW w:w="2987" w:type="dxa"/>
            <w:vAlign w:val="center"/>
          </w:tcPr>
          <w:p w:rsidR="007B62FA" w:rsidRPr="001D1F29" w:rsidRDefault="007B62FA" w:rsidP="001D1F29">
            <w:pPr>
              <w:spacing w:before="29" w:line="288" w:lineRule="auto"/>
              <w:jc w:val="center"/>
              <w:rPr>
                <w:sz w:val="24"/>
              </w:rPr>
            </w:pPr>
            <w:r w:rsidRPr="001D1F29">
              <w:rPr>
                <w:rFonts w:hint="eastAsia"/>
                <w:sz w:val="24"/>
              </w:rPr>
              <w:t>项目名称</w:t>
            </w:r>
          </w:p>
        </w:tc>
        <w:tc>
          <w:tcPr>
            <w:tcW w:w="3149"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149"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2015</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2015</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1E1033">
        <w:trPr>
          <w:trHeight w:val="285"/>
        </w:trPr>
        <w:tc>
          <w:tcPr>
            <w:tcW w:w="2987" w:type="dxa"/>
            <w:vAlign w:val="center"/>
          </w:tcPr>
          <w:p w:rsidR="007B62FA" w:rsidRPr="008458C2" w:rsidRDefault="007B62FA" w:rsidP="008458C2">
            <w:pPr>
              <w:widowControl/>
              <w:spacing w:before="29" w:line="288" w:lineRule="auto"/>
              <w:jc w:val="left"/>
              <w:rPr>
                <w:kern w:val="0"/>
                <w:sz w:val="24"/>
              </w:rPr>
            </w:pPr>
            <w:r w:rsidRPr="008458C2">
              <w:rPr>
                <w:kern w:val="0"/>
                <w:sz w:val="24"/>
              </w:rPr>
              <w:lastRenderedPageBreak/>
              <w:t>1.</w:t>
            </w:r>
            <w:r w:rsidRPr="008458C2">
              <w:rPr>
                <w:rFonts w:hint="eastAsia"/>
                <w:kern w:val="0"/>
                <w:sz w:val="24"/>
              </w:rPr>
              <w:t>交易性金融资产</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8,833,915.84</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-6,465,591.90</w:t>
            </w:r>
          </w:p>
        </w:tc>
      </w:tr>
      <w:tr w:rsidR="007B62FA" w:rsidRPr="00D0372D" w:rsidTr="001E1033">
        <w:trPr>
          <w:trHeight w:val="285"/>
        </w:trPr>
        <w:tc>
          <w:tcPr>
            <w:tcW w:w="2987" w:type="dxa"/>
            <w:vAlign w:val="center"/>
          </w:tcPr>
          <w:p w:rsidR="007B62FA" w:rsidRPr="008458C2" w:rsidRDefault="007B62FA" w:rsidP="008458C2">
            <w:pPr>
              <w:widowControl/>
              <w:spacing w:before="29" w:line="288" w:lineRule="auto"/>
              <w:jc w:val="left"/>
              <w:rPr>
                <w:kern w:val="0"/>
                <w:sz w:val="24"/>
              </w:rPr>
            </w:pPr>
            <w:r w:rsidRPr="008458C2">
              <w:rPr>
                <w:kern w:val="0"/>
                <w:sz w:val="24"/>
              </w:rPr>
              <w:t>——</w:t>
            </w:r>
            <w:r w:rsidRPr="008458C2">
              <w:rPr>
                <w:rFonts w:hint="eastAsia"/>
                <w:kern w:val="0"/>
                <w:sz w:val="24"/>
              </w:rPr>
              <w:t>股票投资</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8,833,915.84</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-6,465,591.90</w:t>
            </w:r>
          </w:p>
        </w:tc>
      </w:tr>
      <w:tr w:rsidR="007B62FA" w:rsidRPr="00D0372D" w:rsidTr="001E1033">
        <w:trPr>
          <w:trHeight w:val="285"/>
        </w:trPr>
        <w:tc>
          <w:tcPr>
            <w:tcW w:w="2987" w:type="dxa"/>
            <w:vAlign w:val="center"/>
          </w:tcPr>
          <w:p w:rsidR="007B62FA" w:rsidRPr="008458C2" w:rsidRDefault="007B62FA" w:rsidP="008458C2">
            <w:pPr>
              <w:widowControl/>
              <w:spacing w:before="29" w:line="288" w:lineRule="auto"/>
              <w:jc w:val="left"/>
              <w:rPr>
                <w:kern w:val="0"/>
                <w:sz w:val="24"/>
              </w:rPr>
            </w:pPr>
            <w:r w:rsidRPr="008458C2">
              <w:rPr>
                <w:kern w:val="0"/>
                <w:sz w:val="24"/>
              </w:rPr>
              <w:t>——</w:t>
            </w:r>
            <w:r w:rsidRPr="008458C2">
              <w:rPr>
                <w:rFonts w:hint="eastAsia"/>
                <w:kern w:val="0"/>
                <w:sz w:val="24"/>
              </w:rPr>
              <w:t>债券投资</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1E1033">
        <w:trPr>
          <w:trHeight w:val="285"/>
        </w:trPr>
        <w:tc>
          <w:tcPr>
            <w:tcW w:w="2987" w:type="dxa"/>
            <w:vAlign w:val="center"/>
          </w:tcPr>
          <w:p w:rsidR="007B62FA" w:rsidRPr="008458C2" w:rsidRDefault="007B62FA" w:rsidP="008458C2">
            <w:pPr>
              <w:widowControl/>
              <w:spacing w:before="29" w:line="288" w:lineRule="auto"/>
              <w:jc w:val="left"/>
              <w:rPr>
                <w:kern w:val="0"/>
                <w:sz w:val="24"/>
              </w:rPr>
            </w:pPr>
            <w:r w:rsidRPr="008458C2">
              <w:rPr>
                <w:kern w:val="0"/>
                <w:sz w:val="24"/>
              </w:rPr>
              <w:t>——</w:t>
            </w:r>
            <w:r w:rsidRPr="008458C2">
              <w:rPr>
                <w:rFonts w:hint="eastAsia"/>
                <w:kern w:val="0"/>
                <w:sz w:val="24"/>
              </w:rPr>
              <w:t>资产支持证券投资</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1E1033">
        <w:trPr>
          <w:trHeight w:val="285"/>
        </w:trPr>
        <w:tc>
          <w:tcPr>
            <w:tcW w:w="2987" w:type="dxa"/>
            <w:vAlign w:val="center"/>
          </w:tcPr>
          <w:p w:rsidR="007B62FA" w:rsidRPr="008458C2" w:rsidRDefault="007B62FA" w:rsidP="008458C2">
            <w:pPr>
              <w:widowControl/>
              <w:spacing w:before="29" w:line="288" w:lineRule="auto"/>
              <w:jc w:val="left"/>
              <w:rPr>
                <w:kern w:val="0"/>
                <w:sz w:val="24"/>
              </w:rPr>
            </w:pPr>
            <w:r w:rsidRPr="008458C2">
              <w:rPr>
                <w:kern w:val="0"/>
                <w:sz w:val="24"/>
              </w:rPr>
              <w:t>——</w:t>
            </w:r>
            <w:r w:rsidRPr="008458C2">
              <w:rPr>
                <w:rFonts w:hint="eastAsia"/>
                <w:kern w:val="0"/>
                <w:sz w:val="24"/>
              </w:rPr>
              <w:t>基金投资</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C93177" w:rsidRPr="00D0372D" w:rsidTr="001E1033">
        <w:trPr>
          <w:trHeight w:val="285"/>
        </w:trPr>
        <w:tc>
          <w:tcPr>
            <w:tcW w:w="2987" w:type="dxa"/>
            <w:vAlign w:val="center"/>
          </w:tcPr>
          <w:p w:rsidR="00C93177" w:rsidRPr="008458C2" w:rsidRDefault="00F27C59" w:rsidP="008458C2">
            <w:pPr>
              <w:widowControl/>
              <w:spacing w:before="29" w:line="288" w:lineRule="auto"/>
              <w:jc w:val="left"/>
              <w:rPr>
                <w:kern w:val="0"/>
                <w:sz w:val="24"/>
              </w:rPr>
            </w:pPr>
            <w:r w:rsidRPr="008458C2">
              <w:rPr>
                <w:kern w:val="0"/>
                <w:sz w:val="24"/>
              </w:rPr>
              <w:t>——</w:t>
            </w:r>
            <w:r w:rsidR="00C93177" w:rsidRPr="008458C2">
              <w:rPr>
                <w:rFonts w:hint="eastAsia"/>
                <w:kern w:val="0"/>
                <w:sz w:val="24"/>
              </w:rPr>
              <w:t>贵金属投资</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rFonts w:hint="eastAsia"/>
                <w:color w:val="000000"/>
                <w:kern w:val="0"/>
                <w:sz w:val="24"/>
              </w:rPr>
              <w:t>-</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rFonts w:hint="eastAsia"/>
                <w:color w:val="000000"/>
                <w:kern w:val="0"/>
                <w:sz w:val="24"/>
              </w:rPr>
              <w:t>-</w:t>
            </w:r>
          </w:p>
        </w:tc>
      </w:tr>
      <w:tr w:rsidR="000C462E" w:rsidRPr="00D0372D" w:rsidTr="000C462E">
        <w:trPr>
          <w:trHeight w:val="285"/>
        </w:trPr>
        <w:tc>
          <w:tcPr>
            <w:tcW w:w="2987" w:type="dxa"/>
            <w:vAlign w:val="center"/>
          </w:tcPr>
          <w:p w:rsidR="000C462E" w:rsidRPr="008458C2" w:rsidRDefault="000C462E" w:rsidP="008458C2">
            <w:pPr>
              <w:widowControl/>
              <w:spacing w:before="29" w:line="288" w:lineRule="auto"/>
              <w:jc w:val="left"/>
              <w:rPr>
                <w:kern w:val="0"/>
                <w:sz w:val="24"/>
              </w:rPr>
            </w:pPr>
            <w:r w:rsidRPr="008458C2">
              <w:rPr>
                <w:kern w:val="0"/>
                <w:sz w:val="24"/>
              </w:rPr>
              <w:t>——</w:t>
            </w:r>
            <w:r w:rsidRPr="008458C2">
              <w:rPr>
                <w:rFonts w:hint="eastAsia"/>
                <w:kern w:val="0"/>
                <w:sz w:val="24"/>
              </w:rPr>
              <w:t>其他</w:t>
            </w:r>
          </w:p>
        </w:tc>
        <w:tc>
          <w:tcPr>
            <w:tcW w:w="3149" w:type="dxa"/>
            <w:vAlign w:val="center"/>
          </w:tcPr>
          <w:p w:rsidR="000C462E" w:rsidRPr="00052C7B" w:rsidRDefault="000C462E" w:rsidP="00052C7B">
            <w:pPr>
              <w:spacing w:before="29" w:line="288" w:lineRule="auto"/>
              <w:jc w:val="right"/>
              <w:rPr>
                <w:color w:val="000000"/>
                <w:kern w:val="0"/>
                <w:sz w:val="24"/>
              </w:rPr>
            </w:pPr>
            <w:r w:rsidRPr="00052C7B">
              <w:rPr>
                <w:rFonts w:hint="eastAsia"/>
                <w:color w:val="000000"/>
                <w:kern w:val="0"/>
                <w:sz w:val="24"/>
              </w:rPr>
              <w:t>-</w:t>
            </w:r>
          </w:p>
        </w:tc>
        <w:tc>
          <w:tcPr>
            <w:tcW w:w="3149" w:type="dxa"/>
            <w:vAlign w:val="center"/>
          </w:tcPr>
          <w:p w:rsidR="000C462E" w:rsidRPr="00052C7B" w:rsidRDefault="000C462E" w:rsidP="00052C7B">
            <w:pPr>
              <w:spacing w:before="29" w:line="288" w:lineRule="auto"/>
              <w:jc w:val="right"/>
              <w:rPr>
                <w:color w:val="000000"/>
                <w:kern w:val="0"/>
                <w:sz w:val="24"/>
              </w:rPr>
            </w:pPr>
            <w:r w:rsidRPr="00052C7B">
              <w:rPr>
                <w:rFonts w:hint="eastAsia"/>
                <w:color w:val="000000"/>
                <w:kern w:val="0"/>
                <w:sz w:val="24"/>
              </w:rPr>
              <w:t>-</w:t>
            </w:r>
          </w:p>
        </w:tc>
      </w:tr>
      <w:tr w:rsidR="00C93177" w:rsidRPr="00D0372D" w:rsidTr="001E1033">
        <w:trPr>
          <w:trHeight w:val="285"/>
        </w:trPr>
        <w:tc>
          <w:tcPr>
            <w:tcW w:w="2987" w:type="dxa"/>
            <w:vAlign w:val="center"/>
          </w:tcPr>
          <w:p w:rsidR="00C93177" w:rsidRPr="008458C2" w:rsidRDefault="00C93177" w:rsidP="008458C2">
            <w:pPr>
              <w:widowControl/>
              <w:spacing w:before="29" w:line="288" w:lineRule="auto"/>
              <w:jc w:val="left"/>
              <w:rPr>
                <w:kern w:val="0"/>
                <w:sz w:val="24"/>
              </w:rPr>
            </w:pPr>
            <w:r w:rsidRPr="008458C2">
              <w:rPr>
                <w:kern w:val="0"/>
                <w:sz w:val="24"/>
              </w:rPr>
              <w:t>2.</w:t>
            </w:r>
            <w:r w:rsidRPr="008458C2">
              <w:rPr>
                <w:rFonts w:hint="eastAsia"/>
                <w:kern w:val="0"/>
                <w:sz w:val="24"/>
              </w:rPr>
              <w:t>衍生工具</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w:t>
            </w:r>
          </w:p>
        </w:tc>
      </w:tr>
      <w:tr w:rsidR="00C93177" w:rsidRPr="00D0372D" w:rsidTr="001E1033">
        <w:trPr>
          <w:trHeight w:val="285"/>
        </w:trPr>
        <w:tc>
          <w:tcPr>
            <w:tcW w:w="2987" w:type="dxa"/>
            <w:vAlign w:val="center"/>
          </w:tcPr>
          <w:p w:rsidR="00C93177" w:rsidRPr="008458C2" w:rsidRDefault="00C93177" w:rsidP="008458C2">
            <w:pPr>
              <w:widowControl/>
              <w:spacing w:before="29" w:line="288" w:lineRule="auto"/>
              <w:jc w:val="left"/>
              <w:rPr>
                <w:kern w:val="0"/>
                <w:sz w:val="24"/>
              </w:rPr>
            </w:pPr>
            <w:r w:rsidRPr="008458C2">
              <w:rPr>
                <w:kern w:val="0"/>
                <w:sz w:val="24"/>
              </w:rPr>
              <w:t>——</w:t>
            </w:r>
            <w:r w:rsidRPr="008458C2">
              <w:rPr>
                <w:rFonts w:hint="eastAsia"/>
                <w:kern w:val="0"/>
                <w:sz w:val="24"/>
              </w:rPr>
              <w:t>权证投资</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w:t>
            </w:r>
          </w:p>
        </w:tc>
      </w:tr>
      <w:tr w:rsidR="00C93177" w:rsidRPr="00D0372D" w:rsidTr="001D2CCD">
        <w:trPr>
          <w:trHeight w:val="285"/>
        </w:trPr>
        <w:tc>
          <w:tcPr>
            <w:tcW w:w="2987" w:type="dxa"/>
            <w:vAlign w:val="center"/>
          </w:tcPr>
          <w:p w:rsidR="00C93177" w:rsidRPr="008458C2" w:rsidRDefault="00C93177" w:rsidP="008458C2">
            <w:pPr>
              <w:widowControl/>
              <w:spacing w:before="29" w:line="288" w:lineRule="auto"/>
              <w:jc w:val="left"/>
              <w:rPr>
                <w:kern w:val="0"/>
                <w:sz w:val="24"/>
              </w:rPr>
            </w:pPr>
            <w:r w:rsidRPr="008458C2">
              <w:rPr>
                <w:kern w:val="0"/>
                <w:sz w:val="24"/>
              </w:rPr>
              <w:t>3.</w:t>
            </w:r>
            <w:r w:rsidRPr="008458C2">
              <w:rPr>
                <w:rFonts w:hint="eastAsia"/>
                <w:kern w:val="0"/>
                <w:sz w:val="24"/>
              </w:rPr>
              <w:t>其他</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w:t>
            </w:r>
          </w:p>
        </w:tc>
      </w:tr>
      <w:tr w:rsidR="00C93177" w:rsidRPr="00D0372D" w:rsidTr="001D2CCD">
        <w:trPr>
          <w:trHeight w:val="285"/>
        </w:trPr>
        <w:tc>
          <w:tcPr>
            <w:tcW w:w="2987" w:type="dxa"/>
            <w:vAlign w:val="center"/>
          </w:tcPr>
          <w:p w:rsidR="00C93177" w:rsidRPr="008458C2" w:rsidRDefault="00C93177" w:rsidP="008458C2">
            <w:pPr>
              <w:widowControl/>
              <w:spacing w:before="29" w:line="288" w:lineRule="auto"/>
              <w:jc w:val="left"/>
              <w:rPr>
                <w:kern w:val="0"/>
                <w:sz w:val="24"/>
              </w:rPr>
            </w:pPr>
            <w:r w:rsidRPr="008458C2">
              <w:rPr>
                <w:rFonts w:hint="eastAsia"/>
                <w:kern w:val="0"/>
                <w:sz w:val="24"/>
              </w:rPr>
              <w:t>合计</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8,833,915.84</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-6,465,591.90</w:t>
            </w:r>
          </w:p>
        </w:tc>
      </w:tr>
    </w:tbl>
    <w:p w:rsidR="007B62FA" w:rsidRPr="00D0372D" w:rsidRDefault="007B62FA" w:rsidP="00D0372D">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7.4.7.19</w:t>
      </w:r>
      <w:r w:rsidR="002D0B5F" w:rsidRPr="00E53CFC">
        <w:rPr>
          <w:rFonts w:hint="eastAsia"/>
          <w:b/>
          <w:bCs/>
          <w:color w:val="000000"/>
          <w:kern w:val="0"/>
          <w:sz w:val="24"/>
        </w:rPr>
        <w:t xml:space="preserve"> </w:t>
      </w:r>
      <w:r w:rsidRPr="00E53CFC">
        <w:rPr>
          <w:rFonts w:hint="eastAsia"/>
          <w:b/>
          <w:bCs/>
          <w:color w:val="000000"/>
          <w:kern w:val="0"/>
          <w:sz w:val="24"/>
        </w:rPr>
        <w:t>其他收入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57"/>
        <w:gridCol w:w="3402"/>
        <w:gridCol w:w="3221"/>
      </w:tblGrid>
      <w:tr w:rsidR="007B62FA" w:rsidRPr="00D0372D" w:rsidTr="00B9543E">
        <w:trPr>
          <w:trHeight w:val="255"/>
        </w:trPr>
        <w:tc>
          <w:tcPr>
            <w:tcW w:w="2557"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402"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221"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2015</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2015</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767B59">
        <w:trPr>
          <w:trHeight w:val="255"/>
        </w:trPr>
        <w:tc>
          <w:tcPr>
            <w:tcW w:w="2557" w:type="dxa"/>
            <w:vAlign w:val="center"/>
          </w:tcPr>
          <w:p w:rsidR="007B62FA" w:rsidRPr="00D0372D" w:rsidRDefault="007B62FA" w:rsidP="003F68DC">
            <w:pPr>
              <w:widowControl/>
              <w:spacing w:before="29" w:line="288" w:lineRule="auto"/>
              <w:jc w:val="left"/>
              <w:rPr>
                <w:rFonts w:ascii="宋体" w:hAnsi="宋体"/>
                <w:szCs w:val="21"/>
              </w:rPr>
            </w:pPr>
            <w:r w:rsidRPr="003F68DC">
              <w:rPr>
                <w:rFonts w:hint="eastAsia"/>
                <w:kern w:val="0"/>
                <w:sz w:val="24"/>
              </w:rPr>
              <w:t>基金赎回费收入</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7,747.65</w:t>
            </w:r>
          </w:p>
        </w:tc>
        <w:tc>
          <w:tcPr>
            <w:tcW w:w="322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200,350.24</w:t>
            </w:r>
          </w:p>
        </w:tc>
      </w:tr>
      <w:tr w:rsidR="007B62FA" w:rsidRPr="00D0372D" w:rsidTr="00767B59">
        <w:trPr>
          <w:trHeight w:val="255"/>
        </w:trPr>
        <w:tc>
          <w:tcPr>
            <w:tcW w:w="2557" w:type="dxa"/>
            <w:vAlign w:val="center"/>
          </w:tcPr>
          <w:p w:rsidR="007B62FA" w:rsidRPr="00D0372D" w:rsidRDefault="007B62FA" w:rsidP="00417F87">
            <w:pPr>
              <w:spacing w:line="360" w:lineRule="auto"/>
              <w:rPr>
                <w:rFonts w:ascii="宋体" w:hAnsi="宋体"/>
                <w:szCs w:val="21"/>
              </w:rPr>
            </w:pPr>
            <w:r w:rsidRPr="003F68DC">
              <w:rPr>
                <w:rFonts w:hint="eastAsia"/>
                <w:kern w:val="0"/>
                <w:sz w:val="24"/>
              </w:rPr>
              <w:t>合计</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7,747.65</w:t>
            </w:r>
          </w:p>
        </w:tc>
        <w:tc>
          <w:tcPr>
            <w:tcW w:w="322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200,350.24</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注：本基金的赎回费率按持有期间递减，不低于赎回费总额的</w:t>
      </w:r>
      <w:r w:rsidRPr="00B323A0">
        <w:rPr>
          <w:kern w:val="0"/>
          <w:sz w:val="24"/>
        </w:rPr>
        <w:t>25%</w:t>
      </w:r>
      <w:r w:rsidRPr="00B323A0">
        <w:rPr>
          <w:kern w:val="0"/>
          <w:sz w:val="24"/>
        </w:rPr>
        <w:t>归入基金资产。</w:t>
      </w:r>
    </w:p>
    <w:p w:rsidR="007B62FA" w:rsidRPr="00D0372D" w:rsidRDefault="007B62FA" w:rsidP="00D0372D">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7.4.7.20</w:t>
      </w:r>
      <w:r w:rsidR="002D0B5F" w:rsidRPr="00E53CFC">
        <w:rPr>
          <w:rFonts w:hint="eastAsia"/>
          <w:b/>
          <w:bCs/>
          <w:color w:val="000000"/>
          <w:kern w:val="0"/>
          <w:sz w:val="24"/>
        </w:rPr>
        <w:t xml:space="preserve"> </w:t>
      </w:r>
      <w:r w:rsidRPr="00E53CFC">
        <w:rPr>
          <w:rFonts w:hint="eastAsia"/>
          <w:b/>
          <w:bCs/>
          <w:color w:val="000000"/>
          <w:kern w:val="0"/>
          <w:sz w:val="24"/>
        </w:rPr>
        <w:t>交易费用</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7B62FA" w:rsidRPr="00D0372D" w:rsidTr="006D141C">
        <w:trPr>
          <w:trHeight w:val="285"/>
          <w:jc w:val="center"/>
        </w:trPr>
        <w:tc>
          <w:tcPr>
            <w:tcW w:w="2530"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116" w:type="dxa"/>
            <w:vAlign w:val="center"/>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556" w:type="dxa"/>
            <w:vAlign w:val="center"/>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2015</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2015</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3C3B00">
        <w:trPr>
          <w:trHeight w:val="285"/>
          <w:jc w:val="center"/>
        </w:trPr>
        <w:tc>
          <w:tcPr>
            <w:tcW w:w="2530" w:type="dxa"/>
            <w:vAlign w:val="center"/>
          </w:tcPr>
          <w:p w:rsidR="007B62FA" w:rsidRPr="00F81CBB" w:rsidRDefault="007B62FA" w:rsidP="00F81CBB">
            <w:pPr>
              <w:spacing w:before="29" w:line="288" w:lineRule="auto"/>
              <w:rPr>
                <w:sz w:val="24"/>
              </w:rPr>
            </w:pPr>
            <w:r w:rsidRPr="00F81CBB">
              <w:rPr>
                <w:rFonts w:hint="eastAsia"/>
                <w:sz w:val="24"/>
              </w:rPr>
              <w:t>交易所市场交易费用</w:t>
            </w:r>
          </w:p>
        </w:tc>
        <w:tc>
          <w:tcPr>
            <w:tcW w:w="311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175,418.60</w:t>
            </w:r>
          </w:p>
        </w:tc>
        <w:tc>
          <w:tcPr>
            <w:tcW w:w="355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438,296.11</w:t>
            </w:r>
          </w:p>
        </w:tc>
      </w:tr>
      <w:tr w:rsidR="007B62FA" w:rsidRPr="00D0372D" w:rsidTr="003C3B00">
        <w:trPr>
          <w:trHeight w:val="285"/>
          <w:jc w:val="center"/>
        </w:trPr>
        <w:tc>
          <w:tcPr>
            <w:tcW w:w="2530" w:type="dxa"/>
            <w:vAlign w:val="center"/>
          </w:tcPr>
          <w:p w:rsidR="007B62FA" w:rsidRPr="00F81CBB" w:rsidRDefault="007B62FA" w:rsidP="00F81CBB">
            <w:pPr>
              <w:spacing w:before="29" w:line="288" w:lineRule="auto"/>
              <w:rPr>
                <w:sz w:val="24"/>
              </w:rPr>
            </w:pPr>
            <w:r w:rsidRPr="00F81CBB">
              <w:rPr>
                <w:rFonts w:hint="eastAsia"/>
                <w:sz w:val="24"/>
              </w:rPr>
              <w:t>银行间市场交易费用</w:t>
            </w:r>
          </w:p>
        </w:tc>
        <w:tc>
          <w:tcPr>
            <w:tcW w:w="311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55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3C3B00">
        <w:trPr>
          <w:trHeight w:val="285"/>
          <w:jc w:val="center"/>
        </w:trPr>
        <w:tc>
          <w:tcPr>
            <w:tcW w:w="2530" w:type="dxa"/>
            <w:vAlign w:val="center"/>
          </w:tcPr>
          <w:p w:rsidR="007B62FA" w:rsidRPr="00D0372D" w:rsidRDefault="007B62FA" w:rsidP="00F81CBB">
            <w:pPr>
              <w:spacing w:before="29" w:line="288" w:lineRule="auto"/>
              <w:rPr>
                <w:rFonts w:ascii="宋体" w:hAnsi="宋体"/>
                <w:szCs w:val="21"/>
              </w:rPr>
            </w:pPr>
            <w:r w:rsidRPr="00F81CBB">
              <w:rPr>
                <w:rFonts w:hint="eastAsia"/>
                <w:sz w:val="24"/>
              </w:rPr>
              <w:t>合计</w:t>
            </w:r>
          </w:p>
        </w:tc>
        <w:tc>
          <w:tcPr>
            <w:tcW w:w="311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175,418.60</w:t>
            </w:r>
          </w:p>
        </w:tc>
        <w:tc>
          <w:tcPr>
            <w:tcW w:w="355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438,296.11</w:t>
            </w:r>
          </w:p>
        </w:tc>
      </w:tr>
    </w:tbl>
    <w:p w:rsidR="007B62FA" w:rsidRPr="00D0372D" w:rsidRDefault="007B62FA" w:rsidP="00D0372D">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7.4.7.21</w:t>
      </w:r>
      <w:r w:rsidR="002D0B5F" w:rsidRPr="00E53CFC">
        <w:rPr>
          <w:rFonts w:hint="eastAsia"/>
          <w:b/>
          <w:bCs/>
          <w:color w:val="000000"/>
          <w:kern w:val="0"/>
          <w:sz w:val="24"/>
        </w:rPr>
        <w:t xml:space="preserve"> </w:t>
      </w:r>
      <w:r w:rsidRPr="00E53CFC">
        <w:rPr>
          <w:rFonts w:hint="eastAsia"/>
          <w:b/>
          <w:bCs/>
          <w:color w:val="000000"/>
          <w:kern w:val="0"/>
          <w:sz w:val="24"/>
        </w:rPr>
        <w:t>其他费用</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Style w:val="af7"/>
        <w:tblW w:w="0" w:type="auto"/>
        <w:tblLayout w:type="fixed"/>
        <w:tblLook w:val="04A0" w:firstRow="1" w:lastRow="0" w:firstColumn="1" w:lastColumn="0" w:noHBand="0" w:noVBand="1"/>
      </w:tblPr>
      <w:tblGrid>
        <w:gridCol w:w="2943"/>
        <w:gridCol w:w="2977"/>
        <w:gridCol w:w="3366"/>
      </w:tblGrid>
      <w:tr w:rsidR="008E2AFC" w:rsidRPr="00D0372D" w:rsidTr="008E2AFC">
        <w:tc>
          <w:tcPr>
            <w:tcW w:w="2943" w:type="dxa"/>
            <w:vAlign w:val="center"/>
          </w:tcPr>
          <w:p w:rsidR="008E2AFC" w:rsidRPr="001D1F29" w:rsidRDefault="008E2AFC" w:rsidP="001D1F29">
            <w:pPr>
              <w:spacing w:before="29" w:line="288" w:lineRule="auto"/>
              <w:jc w:val="center"/>
              <w:rPr>
                <w:sz w:val="24"/>
              </w:rPr>
            </w:pPr>
            <w:r w:rsidRPr="001D1F29">
              <w:rPr>
                <w:rFonts w:hint="eastAsia"/>
                <w:sz w:val="24"/>
              </w:rPr>
              <w:t>项目</w:t>
            </w:r>
          </w:p>
        </w:tc>
        <w:tc>
          <w:tcPr>
            <w:tcW w:w="2977" w:type="dxa"/>
          </w:tcPr>
          <w:p w:rsidR="008E2AFC" w:rsidRPr="001D1F29" w:rsidRDefault="008E2AFC" w:rsidP="001D1F29">
            <w:pPr>
              <w:spacing w:before="29" w:line="288" w:lineRule="auto"/>
              <w:jc w:val="center"/>
              <w:rPr>
                <w:sz w:val="24"/>
              </w:rPr>
            </w:pPr>
            <w:r w:rsidRPr="001D1F29">
              <w:rPr>
                <w:rFonts w:hint="eastAsia"/>
                <w:sz w:val="24"/>
              </w:rPr>
              <w:t>本期</w:t>
            </w:r>
          </w:p>
          <w:p w:rsidR="008E2AFC" w:rsidRPr="001D1F29" w:rsidRDefault="008E2AFC"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w:t>
            </w:r>
            <w:r w:rsidRPr="001D1F29">
              <w:rPr>
                <w:rFonts w:hint="eastAsia"/>
                <w:sz w:val="24"/>
              </w:rPr>
              <w:t>至</w:t>
            </w:r>
            <w:r w:rsidRPr="001D1F29">
              <w:rPr>
                <w:sz w:val="24"/>
              </w:rPr>
              <w:t>2016</w:t>
            </w:r>
            <w:r w:rsidRPr="001D1F29">
              <w:rPr>
                <w:sz w:val="24"/>
              </w:rPr>
              <w:t>年</w:t>
            </w:r>
            <w:r w:rsidRPr="001D1F29">
              <w:rPr>
                <w:sz w:val="24"/>
              </w:rPr>
              <w:t>12</w:t>
            </w:r>
            <w:r w:rsidRPr="001D1F29">
              <w:rPr>
                <w:sz w:val="24"/>
              </w:rPr>
              <w:lastRenderedPageBreak/>
              <w:t>月</w:t>
            </w:r>
            <w:r w:rsidRPr="001D1F29">
              <w:rPr>
                <w:sz w:val="24"/>
              </w:rPr>
              <w:t>31</w:t>
            </w:r>
            <w:r w:rsidRPr="001D1F29">
              <w:rPr>
                <w:sz w:val="24"/>
              </w:rPr>
              <w:t>日</w:t>
            </w:r>
          </w:p>
        </w:tc>
        <w:tc>
          <w:tcPr>
            <w:tcW w:w="3366" w:type="dxa"/>
          </w:tcPr>
          <w:p w:rsidR="008E2AFC" w:rsidRPr="001D1F29" w:rsidRDefault="008E2AFC" w:rsidP="001D1F29">
            <w:pPr>
              <w:spacing w:before="29" w:line="288" w:lineRule="auto"/>
              <w:jc w:val="center"/>
              <w:rPr>
                <w:sz w:val="24"/>
              </w:rPr>
            </w:pPr>
            <w:r w:rsidRPr="001D1F29">
              <w:rPr>
                <w:rFonts w:hint="eastAsia"/>
                <w:sz w:val="24"/>
              </w:rPr>
              <w:lastRenderedPageBreak/>
              <w:t>上年度可比期间</w:t>
            </w:r>
          </w:p>
          <w:p w:rsidR="008E2AFC" w:rsidRPr="001D1F29" w:rsidRDefault="008E2AFC" w:rsidP="001D1F29">
            <w:pPr>
              <w:widowControl/>
              <w:autoSpaceDE w:val="0"/>
              <w:autoSpaceDN w:val="0"/>
              <w:spacing w:before="29" w:line="288" w:lineRule="auto"/>
              <w:ind w:right="-15"/>
              <w:jc w:val="center"/>
              <w:textAlignment w:val="bottom"/>
              <w:rPr>
                <w:sz w:val="24"/>
              </w:rPr>
            </w:pPr>
            <w:r w:rsidRPr="001D1F29">
              <w:rPr>
                <w:sz w:val="24"/>
              </w:rPr>
              <w:t>2015</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2015</w:t>
            </w:r>
            <w:r w:rsidRPr="001D1F29">
              <w:rPr>
                <w:sz w:val="24"/>
              </w:rPr>
              <w:t>年</w:t>
            </w:r>
            <w:r w:rsidRPr="001D1F29">
              <w:rPr>
                <w:sz w:val="24"/>
              </w:rPr>
              <w:t>12</w:t>
            </w:r>
            <w:r w:rsidRPr="001D1F29">
              <w:rPr>
                <w:sz w:val="24"/>
              </w:rPr>
              <w:t>月</w:t>
            </w:r>
            <w:r w:rsidRPr="001D1F29">
              <w:rPr>
                <w:sz w:val="24"/>
              </w:rPr>
              <w:t>31</w:t>
            </w:r>
            <w:r w:rsidRPr="001D1F29">
              <w:rPr>
                <w:sz w:val="24"/>
              </w:rPr>
              <w:lastRenderedPageBreak/>
              <w:t>日</w:t>
            </w:r>
          </w:p>
        </w:tc>
      </w:tr>
      <w:tr w:rsidR="008E2AFC" w:rsidRPr="00D0372D" w:rsidTr="0026196C">
        <w:tc>
          <w:tcPr>
            <w:tcW w:w="2943" w:type="dxa"/>
            <w:vAlign w:val="center"/>
          </w:tcPr>
          <w:p w:rsidR="008E2AFC" w:rsidRPr="00B4041F" w:rsidRDefault="008E2AFC" w:rsidP="00B4041F">
            <w:pPr>
              <w:spacing w:before="29" w:line="288" w:lineRule="auto"/>
              <w:rPr>
                <w:sz w:val="24"/>
              </w:rPr>
            </w:pPr>
            <w:r w:rsidRPr="00B4041F">
              <w:rPr>
                <w:rFonts w:hint="eastAsia"/>
                <w:sz w:val="24"/>
              </w:rPr>
              <w:lastRenderedPageBreak/>
              <w:t>审计费用</w:t>
            </w:r>
          </w:p>
        </w:tc>
        <w:tc>
          <w:tcPr>
            <w:tcW w:w="2977"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30,000.00</w:t>
            </w:r>
          </w:p>
        </w:tc>
        <w:tc>
          <w:tcPr>
            <w:tcW w:w="3366"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30,000.00</w:t>
            </w:r>
          </w:p>
        </w:tc>
      </w:tr>
      <w:tr w:rsidR="008E2AFC" w:rsidRPr="00D0372D" w:rsidTr="0026196C">
        <w:tc>
          <w:tcPr>
            <w:tcW w:w="2943" w:type="dxa"/>
            <w:vAlign w:val="center"/>
          </w:tcPr>
          <w:p w:rsidR="008E2AFC" w:rsidRPr="00B4041F" w:rsidRDefault="008E2AFC" w:rsidP="00B4041F">
            <w:pPr>
              <w:spacing w:before="29" w:line="288" w:lineRule="auto"/>
              <w:rPr>
                <w:sz w:val="24"/>
              </w:rPr>
            </w:pPr>
            <w:r w:rsidRPr="00B4041F">
              <w:rPr>
                <w:rFonts w:hint="eastAsia"/>
                <w:sz w:val="24"/>
              </w:rPr>
              <w:t>信息披露费</w:t>
            </w:r>
          </w:p>
        </w:tc>
        <w:tc>
          <w:tcPr>
            <w:tcW w:w="2977"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10,000.00</w:t>
            </w:r>
          </w:p>
        </w:tc>
        <w:tc>
          <w:tcPr>
            <w:tcW w:w="3366"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10,000.00</w:t>
            </w:r>
          </w:p>
        </w:tc>
      </w:tr>
      <w:tr w:rsidR="00B536C4">
        <w:tc>
          <w:tcPr>
            <w:tcW w:w="2943" w:type="dxa"/>
            <w:vAlign w:val="center"/>
          </w:tcPr>
          <w:p w:rsidR="00B536C4" w:rsidRDefault="00CC45D2">
            <w:pPr>
              <w:jc w:val="left"/>
            </w:pPr>
            <w:r>
              <w:rPr>
                <w:sz w:val="24"/>
              </w:rPr>
              <w:t>银行汇划费用</w:t>
            </w:r>
          </w:p>
        </w:tc>
        <w:tc>
          <w:tcPr>
            <w:tcW w:w="2977" w:type="dxa"/>
            <w:vAlign w:val="center"/>
          </w:tcPr>
          <w:p w:rsidR="00B536C4" w:rsidRDefault="00CC45D2">
            <w:pPr>
              <w:jc w:val="right"/>
            </w:pPr>
            <w:r>
              <w:rPr>
                <w:sz w:val="24"/>
              </w:rPr>
              <w:t>890.00</w:t>
            </w:r>
          </w:p>
        </w:tc>
        <w:tc>
          <w:tcPr>
            <w:tcW w:w="3366" w:type="dxa"/>
            <w:vAlign w:val="center"/>
          </w:tcPr>
          <w:p w:rsidR="00B536C4" w:rsidRDefault="00CC45D2">
            <w:pPr>
              <w:jc w:val="right"/>
            </w:pPr>
            <w:r>
              <w:rPr>
                <w:sz w:val="24"/>
              </w:rPr>
              <w:t>2,047.20</w:t>
            </w:r>
          </w:p>
        </w:tc>
      </w:tr>
      <w:tr w:rsidR="00B536C4">
        <w:tc>
          <w:tcPr>
            <w:tcW w:w="2943" w:type="dxa"/>
            <w:vAlign w:val="center"/>
          </w:tcPr>
          <w:p w:rsidR="00B536C4" w:rsidRDefault="00CC45D2">
            <w:pPr>
              <w:jc w:val="left"/>
            </w:pPr>
            <w:r>
              <w:rPr>
                <w:sz w:val="24"/>
              </w:rPr>
              <w:t>存托凭证保管费</w:t>
            </w:r>
          </w:p>
        </w:tc>
        <w:tc>
          <w:tcPr>
            <w:tcW w:w="2977" w:type="dxa"/>
            <w:vAlign w:val="center"/>
          </w:tcPr>
          <w:p w:rsidR="00B536C4" w:rsidRDefault="00CC45D2">
            <w:pPr>
              <w:jc w:val="right"/>
            </w:pPr>
            <w:r>
              <w:rPr>
                <w:sz w:val="24"/>
              </w:rPr>
              <w:t>195.30</w:t>
            </w:r>
          </w:p>
        </w:tc>
        <w:tc>
          <w:tcPr>
            <w:tcW w:w="3366" w:type="dxa"/>
            <w:vAlign w:val="center"/>
          </w:tcPr>
          <w:p w:rsidR="00B536C4" w:rsidRDefault="00CC45D2">
            <w:pPr>
              <w:jc w:val="right"/>
            </w:pPr>
            <w:r>
              <w:rPr>
                <w:sz w:val="24"/>
              </w:rPr>
              <w:t>4,341.98</w:t>
            </w:r>
          </w:p>
        </w:tc>
      </w:tr>
      <w:tr w:rsidR="008E2AFC" w:rsidRPr="00D0372D" w:rsidTr="0026196C">
        <w:tc>
          <w:tcPr>
            <w:tcW w:w="2943" w:type="dxa"/>
            <w:vAlign w:val="center"/>
          </w:tcPr>
          <w:p w:rsidR="008E2AFC" w:rsidRPr="00832360" w:rsidRDefault="008E2AFC" w:rsidP="00832360">
            <w:pPr>
              <w:spacing w:before="29" w:line="288" w:lineRule="auto"/>
              <w:rPr>
                <w:sz w:val="24"/>
              </w:rPr>
            </w:pPr>
            <w:r w:rsidRPr="00832360">
              <w:rPr>
                <w:rFonts w:hint="eastAsia"/>
                <w:sz w:val="24"/>
              </w:rPr>
              <w:t>合计</w:t>
            </w:r>
          </w:p>
        </w:tc>
        <w:tc>
          <w:tcPr>
            <w:tcW w:w="2977"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41,085.30</w:t>
            </w:r>
          </w:p>
        </w:tc>
        <w:tc>
          <w:tcPr>
            <w:tcW w:w="3366"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46,389.18</w:t>
            </w:r>
          </w:p>
        </w:tc>
      </w:tr>
    </w:tbl>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 </w:t>
      </w:r>
      <w:r w:rsidRPr="00E53CFC">
        <w:rPr>
          <w:rFonts w:hint="eastAsia"/>
          <w:b/>
          <w:bCs/>
          <w:color w:val="000000"/>
          <w:kern w:val="0"/>
          <w:sz w:val="24"/>
        </w:rPr>
        <w:t>或有事项、资产负债表日后事项的说明</w:t>
      </w: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7.4.8.1 </w:t>
      </w:r>
      <w:r w:rsidRPr="00E53CFC">
        <w:rPr>
          <w:rFonts w:hint="eastAsia"/>
          <w:b/>
          <w:bCs/>
          <w:color w:val="000000"/>
          <w:kern w:val="0"/>
          <w:sz w:val="24"/>
        </w:rPr>
        <w:t>或有事项</w:t>
      </w:r>
    </w:p>
    <w:p w:rsidR="007B62FA" w:rsidRPr="00725251" w:rsidRDefault="007B62FA" w:rsidP="00725251">
      <w:pPr>
        <w:tabs>
          <w:tab w:val="left" w:pos="426"/>
        </w:tabs>
        <w:spacing w:before="29" w:line="288" w:lineRule="auto"/>
        <w:ind w:firstLineChars="200" w:firstLine="480"/>
        <w:rPr>
          <w:kern w:val="0"/>
          <w:sz w:val="24"/>
        </w:rPr>
      </w:pPr>
      <w:r w:rsidRPr="00725251">
        <w:rPr>
          <w:kern w:val="0"/>
          <w:sz w:val="24"/>
        </w:rPr>
        <w:t>无。</w:t>
      </w:r>
    </w:p>
    <w:p w:rsidR="007B62FA" w:rsidRPr="00E53CFC" w:rsidRDefault="007B62FA" w:rsidP="00E53CFC">
      <w:pPr>
        <w:spacing w:before="29" w:line="288" w:lineRule="auto"/>
        <w:rPr>
          <w:b/>
          <w:bCs/>
          <w:color w:val="000000"/>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7.4.8.2 </w:t>
      </w:r>
      <w:r w:rsidRPr="00E53CFC">
        <w:rPr>
          <w:rFonts w:hint="eastAsia"/>
          <w:b/>
          <w:bCs/>
          <w:color w:val="000000"/>
          <w:kern w:val="0"/>
          <w:sz w:val="24"/>
        </w:rPr>
        <w:t>资产负债表日后事项</w:t>
      </w:r>
    </w:p>
    <w:p w:rsidR="00B536C4" w:rsidRPr="000A2A64" w:rsidRDefault="00CC45D2" w:rsidP="000A2A64">
      <w:pPr>
        <w:tabs>
          <w:tab w:val="left" w:pos="426"/>
        </w:tabs>
        <w:spacing w:before="29" w:line="288" w:lineRule="auto"/>
        <w:ind w:firstLineChars="200" w:firstLine="480"/>
        <w:rPr>
          <w:kern w:val="0"/>
          <w:sz w:val="24"/>
        </w:rPr>
      </w:pPr>
      <w:r>
        <w:rPr>
          <w:kern w:val="0"/>
          <w:sz w:val="24"/>
        </w:rPr>
        <w:t>财政部、国家税务总局于</w:t>
      </w:r>
      <w:r>
        <w:rPr>
          <w:kern w:val="0"/>
          <w:sz w:val="24"/>
        </w:rPr>
        <w:t>2016</w:t>
      </w:r>
      <w:r>
        <w:rPr>
          <w:kern w:val="0"/>
          <w:sz w:val="24"/>
        </w:rPr>
        <w:t>年</w:t>
      </w:r>
      <w:r>
        <w:rPr>
          <w:kern w:val="0"/>
          <w:sz w:val="24"/>
        </w:rPr>
        <w:t>12</w:t>
      </w:r>
      <w:r>
        <w:rPr>
          <w:kern w:val="0"/>
          <w:sz w:val="24"/>
        </w:rPr>
        <w:t>月</w:t>
      </w:r>
      <w:r>
        <w:rPr>
          <w:kern w:val="0"/>
          <w:sz w:val="24"/>
        </w:rPr>
        <w:t>21</w:t>
      </w:r>
      <w:r>
        <w:rPr>
          <w:kern w:val="0"/>
          <w:sz w:val="24"/>
        </w:rPr>
        <w:t>日颁布《关于明确金融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w:t>
      </w:r>
      <w:r>
        <w:rPr>
          <w:kern w:val="0"/>
          <w:sz w:val="24"/>
        </w:rPr>
        <w:t>(</w:t>
      </w:r>
      <w:r>
        <w:rPr>
          <w:kern w:val="0"/>
          <w:sz w:val="24"/>
        </w:rPr>
        <w:t>财税</w:t>
      </w:r>
      <w:r>
        <w:rPr>
          <w:kern w:val="0"/>
          <w:sz w:val="24"/>
        </w:rPr>
        <w:t>[2016]140</w:t>
      </w:r>
      <w:r>
        <w:rPr>
          <w:kern w:val="0"/>
          <w:sz w:val="24"/>
        </w:rPr>
        <w:t>号</w:t>
      </w:r>
      <w:r>
        <w:rPr>
          <w:kern w:val="0"/>
          <w:sz w:val="24"/>
        </w:rPr>
        <w:t>)</w:t>
      </w:r>
      <w:r>
        <w:rPr>
          <w:kern w:val="0"/>
          <w:sz w:val="24"/>
        </w:rPr>
        <w:t>，</w:t>
      </w:r>
      <w:proofErr w:type="gramStart"/>
      <w:r>
        <w:rPr>
          <w:kern w:val="0"/>
          <w:sz w:val="24"/>
        </w:rPr>
        <w:t>要求资管产品</w:t>
      </w:r>
      <w:proofErr w:type="gramEnd"/>
      <w:r>
        <w:rPr>
          <w:kern w:val="0"/>
          <w:sz w:val="24"/>
        </w:rPr>
        <w:t>运营过程中发生的增值税应税行为，</w:t>
      </w:r>
      <w:proofErr w:type="gramStart"/>
      <w:r>
        <w:rPr>
          <w:kern w:val="0"/>
          <w:sz w:val="24"/>
        </w:rPr>
        <w:t>以资管</w:t>
      </w:r>
      <w:proofErr w:type="gramEnd"/>
      <w:r>
        <w:rPr>
          <w:kern w:val="0"/>
          <w:sz w:val="24"/>
        </w:rPr>
        <w:t>产品管理人为增值税纳税人，自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日起执行。</w:t>
      </w:r>
    </w:p>
    <w:p w:rsidR="007B62FA" w:rsidRPr="000A2A64" w:rsidRDefault="007B62FA" w:rsidP="000A2A64">
      <w:pPr>
        <w:tabs>
          <w:tab w:val="left" w:pos="426"/>
        </w:tabs>
        <w:spacing w:before="29" w:line="288" w:lineRule="auto"/>
        <w:ind w:firstLineChars="200" w:firstLine="480"/>
        <w:rPr>
          <w:kern w:val="0"/>
          <w:sz w:val="24"/>
        </w:rPr>
      </w:pPr>
      <w:r w:rsidRPr="00725251">
        <w:rPr>
          <w:kern w:val="0"/>
          <w:sz w:val="24"/>
        </w:rPr>
        <w:t>根据财政部、国家税务总局于</w:t>
      </w:r>
      <w:r w:rsidRPr="00725251">
        <w:rPr>
          <w:kern w:val="0"/>
          <w:sz w:val="24"/>
        </w:rPr>
        <w:t>2017</w:t>
      </w:r>
      <w:r w:rsidRPr="00725251">
        <w:rPr>
          <w:kern w:val="0"/>
          <w:sz w:val="24"/>
        </w:rPr>
        <w:t>年</w:t>
      </w:r>
      <w:r w:rsidRPr="00725251">
        <w:rPr>
          <w:kern w:val="0"/>
          <w:sz w:val="24"/>
        </w:rPr>
        <w:t>1</w:t>
      </w:r>
      <w:r w:rsidRPr="00725251">
        <w:rPr>
          <w:kern w:val="0"/>
          <w:sz w:val="24"/>
        </w:rPr>
        <w:t>月</w:t>
      </w:r>
      <w:r w:rsidRPr="00725251">
        <w:rPr>
          <w:kern w:val="0"/>
          <w:sz w:val="24"/>
        </w:rPr>
        <w:t>6</w:t>
      </w:r>
      <w:r w:rsidRPr="00725251">
        <w:rPr>
          <w:kern w:val="0"/>
          <w:sz w:val="24"/>
        </w:rPr>
        <w:t>日颁布的《关于资管产品增值税政策有关问题的补充通知》</w:t>
      </w:r>
      <w:r w:rsidRPr="00725251">
        <w:rPr>
          <w:kern w:val="0"/>
          <w:sz w:val="24"/>
        </w:rPr>
        <w:t>(</w:t>
      </w:r>
      <w:r w:rsidRPr="00725251">
        <w:rPr>
          <w:kern w:val="0"/>
          <w:sz w:val="24"/>
        </w:rPr>
        <w:t>财税</w:t>
      </w:r>
      <w:r w:rsidRPr="00725251">
        <w:rPr>
          <w:kern w:val="0"/>
          <w:sz w:val="24"/>
        </w:rPr>
        <w:t>[2017]2</w:t>
      </w:r>
      <w:r w:rsidRPr="00725251">
        <w:rPr>
          <w:kern w:val="0"/>
          <w:sz w:val="24"/>
        </w:rPr>
        <w:t>号</w:t>
      </w:r>
      <w:r w:rsidRPr="00725251">
        <w:rPr>
          <w:kern w:val="0"/>
          <w:sz w:val="24"/>
        </w:rPr>
        <w:t>)</w:t>
      </w:r>
      <w:r w:rsidRPr="00725251">
        <w:rPr>
          <w:kern w:val="0"/>
          <w:sz w:val="24"/>
        </w:rPr>
        <w:t>，</w:t>
      </w:r>
      <w:r w:rsidRPr="00725251">
        <w:rPr>
          <w:kern w:val="0"/>
          <w:sz w:val="24"/>
        </w:rPr>
        <w:t>2017</w:t>
      </w:r>
      <w:r w:rsidRPr="00725251">
        <w:rPr>
          <w:kern w:val="0"/>
          <w:sz w:val="24"/>
        </w:rPr>
        <w:t>年</w:t>
      </w:r>
      <w:r w:rsidRPr="00725251">
        <w:rPr>
          <w:kern w:val="0"/>
          <w:sz w:val="24"/>
        </w:rPr>
        <w:t>7</w:t>
      </w:r>
      <w:r w:rsidRPr="00725251">
        <w:rPr>
          <w:kern w:val="0"/>
          <w:sz w:val="24"/>
        </w:rPr>
        <w:t>月</w:t>
      </w:r>
      <w:r w:rsidRPr="00725251">
        <w:rPr>
          <w:kern w:val="0"/>
          <w:sz w:val="24"/>
        </w:rPr>
        <w:t>1</w:t>
      </w:r>
      <w:r w:rsidRPr="00725251">
        <w:rPr>
          <w:kern w:val="0"/>
          <w:sz w:val="24"/>
        </w:rPr>
        <w:t>日</w:t>
      </w:r>
      <w:r w:rsidRPr="00725251">
        <w:rPr>
          <w:kern w:val="0"/>
          <w:sz w:val="24"/>
        </w:rPr>
        <w:t>(</w:t>
      </w:r>
      <w:r w:rsidRPr="00725251">
        <w:rPr>
          <w:kern w:val="0"/>
          <w:sz w:val="24"/>
        </w:rPr>
        <w:t>含</w:t>
      </w:r>
      <w:r w:rsidRPr="00725251">
        <w:rPr>
          <w:kern w:val="0"/>
          <w:sz w:val="24"/>
        </w:rPr>
        <w:t>)</w:t>
      </w:r>
      <w:r w:rsidRPr="00725251">
        <w:rPr>
          <w:kern w:val="0"/>
          <w:sz w:val="24"/>
        </w:rPr>
        <w:t>以后，</w:t>
      </w:r>
      <w:proofErr w:type="gramStart"/>
      <w:r w:rsidRPr="00725251">
        <w:rPr>
          <w:kern w:val="0"/>
          <w:sz w:val="24"/>
        </w:rPr>
        <w:t>资管产品</w:t>
      </w:r>
      <w:proofErr w:type="gramEnd"/>
      <w:r w:rsidRPr="00725251">
        <w:rPr>
          <w:kern w:val="0"/>
          <w:sz w:val="24"/>
        </w:rPr>
        <w:t>运营过程中发生的增值税应税行为，</w:t>
      </w:r>
      <w:proofErr w:type="gramStart"/>
      <w:r w:rsidRPr="00725251">
        <w:rPr>
          <w:kern w:val="0"/>
          <w:sz w:val="24"/>
        </w:rPr>
        <w:t>以资管</w:t>
      </w:r>
      <w:proofErr w:type="gramEnd"/>
      <w:r w:rsidRPr="00725251">
        <w:rPr>
          <w:kern w:val="0"/>
          <w:sz w:val="24"/>
        </w:rPr>
        <w:t>产品管理人为增值税纳税人，按照现行规定缴纳增值税。</w:t>
      </w:r>
      <w:proofErr w:type="gramStart"/>
      <w:r w:rsidRPr="00725251">
        <w:rPr>
          <w:kern w:val="0"/>
          <w:sz w:val="24"/>
        </w:rPr>
        <w:t>对资管产品</w:t>
      </w:r>
      <w:proofErr w:type="gramEnd"/>
      <w:r w:rsidRPr="00725251">
        <w:rPr>
          <w:kern w:val="0"/>
          <w:sz w:val="24"/>
        </w:rPr>
        <w:t>在</w:t>
      </w:r>
      <w:r w:rsidRPr="00725251">
        <w:rPr>
          <w:kern w:val="0"/>
          <w:sz w:val="24"/>
        </w:rPr>
        <w:t>2017</w:t>
      </w:r>
      <w:r w:rsidRPr="00725251">
        <w:rPr>
          <w:kern w:val="0"/>
          <w:sz w:val="24"/>
        </w:rPr>
        <w:t>年</w:t>
      </w:r>
      <w:r w:rsidRPr="00725251">
        <w:rPr>
          <w:kern w:val="0"/>
          <w:sz w:val="24"/>
        </w:rPr>
        <w:t>7</w:t>
      </w:r>
      <w:r w:rsidRPr="00725251">
        <w:rPr>
          <w:kern w:val="0"/>
          <w:sz w:val="24"/>
        </w:rPr>
        <w:t>月</w:t>
      </w:r>
      <w:r w:rsidRPr="00725251">
        <w:rPr>
          <w:kern w:val="0"/>
          <w:sz w:val="24"/>
        </w:rPr>
        <w:t>1</w:t>
      </w:r>
      <w:r w:rsidRPr="00725251">
        <w:rPr>
          <w:kern w:val="0"/>
          <w:sz w:val="24"/>
        </w:rPr>
        <w:t>日前运营过程中发生的增值税应税行为，未缴纳增值税的，不再缴纳；已缴纳增值税的，已纳税额</w:t>
      </w:r>
      <w:proofErr w:type="gramStart"/>
      <w:r w:rsidRPr="00725251">
        <w:rPr>
          <w:kern w:val="0"/>
          <w:sz w:val="24"/>
        </w:rPr>
        <w:t>从资管产品</w:t>
      </w:r>
      <w:proofErr w:type="gramEnd"/>
      <w:r w:rsidRPr="00725251">
        <w:rPr>
          <w:kern w:val="0"/>
          <w:sz w:val="24"/>
        </w:rPr>
        <w:t>管理人以后月份的增值税应纳税额中抵减。</w:t>
      </w:r>
      <w:proofErr w:type="gramStart"/>
      <w:r w:rsidRPr="00725251">
        <w:rPr>
          <w:kern w:val="0"/>
          <w:sz w:val="24"/>
        </w:rPr>
        <w:t>资管产品</w:t>
      </w:r>
      <w:proofErr w:type="gramEnd"/>
      <w:r w:rsidRPr="00725251">
        <w:rPr>
          <w:kern w:val="0"/>
          <w:sz w:val="24"/>
        </w:rPr>
        <w:t>运营过程中发生增值税应税行为的具体征收管理办法，由国家税务总局另行制定。上述税收政策对本基金截至本财务报表批准报出日止的财务状况和经营成果无影响。</w:t>
      </w:r>
    </w:p>
    <w:p w:rsidR="007B62FA" w:rsidRPr="00D0372D" w:rsidRDefault="007B62FA" w:rsidP="00F60702">
      <w:pPr>
        <w:autoSpaceDE w:val="0"/>
        <w:autoSpaceDN w:val="0"/>
        <w:adjustRightInd w:val="0"/>
        <w:spacing w:line="360" w:lineRule="auto"/>
        <w:jc w:val="left"/>
        <w:rPr>
          <w:rFonts w:ascii="宋体" w:hAnsi="宋体"/>
          <w:color w:val="000000"/>
          <w:kern w:val="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7.4.9</w:t>
      </w:r>
      <w:r w:rsidR="002D0B5F" w:rsidRPr="00E53CFC">
        <w:rPr>
          <w:rFonts w:hint="eastAsia"/>
          <w:b/>
          <w:bCs/>
          <w:color w:val="000000"/>
          <w:kern w:val="0"/>
          <w:sz w:val="24"/>
        </w:rPr>
        <w:t xml:space="preserve"> </w:t>
      </w:r>
      <w:r w:rsidRPr="00E53CFC">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7B62FA" w:rsidRPr="00D0372D" w:rsidTr="007C55F6">
        <w:tc>
          <w:tcPr>
            <w:tcW w:w="4820" w:type="dxa"/>
          </w:tcPr>
          <w:p w:rsidR="007B62FA" w:rsidRPr="001D1F29" w:rsidRDefault="007B62FA" w:rsidP="001D1F29">
            <w:pPr>
              <w:spacing w:before="29" w:line="288" w:lineRule="auto"/>
              <w:jc w:val="center"/>
              <w:rPr>
                <w:sz w:val="24"/>
              </w:rPr>
            </w:pPr>
            <w:r w:rsidRPr="001D1F29">
              <w:rPr>
                <w:rFonts w:hint="eastAsia"/>
                <w:sz w:val="24"/>
              </w:rPr>
              <w:t>关联方名称</w:t>
            </w:r>
          </w:p>
        </w:tc>
        <w:tc>
          <w:tcPr>
            <w:tcW w:w="4180" w:type="dxa"/>
          </w:tcPr>
          <w:p w:rsidR="007B62FA" w:rsidRPr="001D1F29" w:rsidRDefault="007B62FA" w:rsidP="001D1F29">
            <w:pPr>
              <w:spacing w:before="29" w:line="288" w:lineRule="auto"/>
              <w:jc w:val="center"/>
              <w:rPr>
                <w:sz w:val="24"/>
              </w:rPr>
            </w:pPr>
            <w:r w:rsidRPr="001D1F29">
              <w:rPr>
                <w:rFonts w:hint="eastAsia"/>
                <w:sz w:val="24"/>
              </w:rPr>
              <w:t>与本基金的关系</w:t>
            </w:r>
          </w:p>
        </w:tc>
      </w:tr>
      <w:tr w:rsidR="00B536C4">
        <w:tc>
          <w:tcPr>
            <w:tcW w:w="4820" w:type="dxa"/>
            <w:vAlign w:val="center"/>
          </w:tcPr>
          <w:p w:rsidR="00B536C4" w:rsidRDefault="00CC45D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4180" w:type="dxa"/>
            <w:vAlign w:val="center"/>
          </w:tcPr>
          <w:p w:rsidR="00B536C4" w:rsidRDefault="00CC45D2">
            <w:pPr>
              <w:jc w:val="center"/>
            </w:pPr>
            <w:r>
              <w:rPr>
                <w:color w:val="000000"/>
                <w:sz w:val="24"/>
              </w:rPr>
              <w:t>基金管理人、基金销售机构</w:t>
            </w:r>
          </w:p>
        </w:tc>
      </w:tr>
      <w:tr w:rsidR="00B536C4">
        <w:tc>
          <w:tcPr>
            <w:tcW w:w="4820" w:type="dxa"/>
            <w:vAlign w:val="center"/>
          </w:tcPr>
          <w:p w:rsidR="00B536C4" w:rsidRDefault="00CC45D2">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4180" w:type="dxa"/>
            <w:vAlign w:val="center"/>
          </w:tcPr>
          <w:p w:rsidR="00B536C4" w:rsidRDefault="00CC45D2">
            <w:pPr>
              <w:jc w:val="center"/>
            </w:pPr>
            <w:r>
              <w:rPr>
                <w:color w:val="000000"/>
                <w:sz w:val="24"/>
              </w:rPr>
              <w:t>基金托管人、基金销售机构</w:t>
            </w:r>
          </w:p>
        </w:tc>
      </w:tr>
      <w:tr w:rsidR="00B536C4">
        <w:tc>
          <w:tcPr>
            <w:tcW w:w="4820" w:type="dxa"/>
            <w:vAlign w:val="center"/>
          </w:tcPr>
          <w:p w:rsidR="00B536C4" w:rsidRDefault="00CC45D2">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4180" w:type="dxa"/>
            <w:vAlign w:val="center"/>
          </w:tcPr>
          <w:p w:rsidR="00B536C4" w:rsidRDefault="00CC45D2">
            <w:pPr>
              <w:jc w:val="center"/>
            </w:pPr>
            <w:r>
              <w:rPr>
                <w:color w:val="000000"/>
                <w:sz w:val="24"/>
              </w:rPr>
              <w:t>基金管理人的股东、基金销售机构</w:t>
            </w:r>
          </w:p>
        </w:tc>
      </w:tr>
      <w:tr w:rsidR="00B536C4">
        <w:tc>
          <w:tcPr>
            <w:tcW w:w="4820" w:type="dxa"/>
            <w:vAlign w:val="center"/>
          </w:tcPr>
          <w:p w:rsidR="00B536C4" w:rsidRDefault="00CC45D2">
            <w:pPr>
              <w:jc w:val="left"/>
            </w:pPr>
            <w:r>
              <w:rPr>
                <w:color w:val="000000"/>
                <w:sz w:val="24"/>
              </w:rPr>
              <w:t>摩根大通银行</w:t>
            </w:r>
            <w:r>
              <w:rPr>
                <w:color w:val="000000"/>
                <w:sz w:val="24"/>
              </w:rPr>
              <w:t>(JPMorgan &amp;Chase  Bank, N.A.)</w:t>
            </w:r>
          </w:p>
        </w:tc>
        <w:tc>
          <w:tcPr>
            <w:tcW w:w="4180" w:type="dxa"/>
            <w:vAlign w:val="center"/>
          </w:tcPr>
          <w:p w:rsidR="00B536C4" w:rsidRDefault="00CC45D2">
            <w:pPr>
              <w:jc w:val="center"/>
            </w:pPr>
            <w:r>
              <w:rPr>
                <w:color w:val="000000"/>
                <w:sz w:val="24"/>
              </w:rPr>
              <w:t>境外资产托管人</w:t>
            </w:r>
          </w:p>
        </w:tc>
      </w:tr>
      <w:tr w:rsidR="00B536C4">
        <w:tc>
          <w:tcPr>
            <w:tcW w:w="4820" w:type="dxa"/>
            <w:vAlign w:val="center"/>
          </w:tcPr>
          <w:p w:rsidR="00B536C4" w:rsidRDefault="00CC45D2">
            <w:pPr>
              <w:jc w:val="left"/>
            </w:pPr>
            <w:r>
              <w:rPr>
                <w:color w:val="000000"/>
                <w:sz w:val="24"/>
              </w:rPr>
              <w:t>施罗德投资管理有限公司</w:t>
            </w:r>
            <w:r>
              <w:rPr>
                <w:color w:val="000000"/>
                <w:sz w:val="24"/>
              </w:rPr>
              <w:t>(Schroder Investment Management Limited)</w:t>
            </w:r>
          </w:p>
        </w:tc>
        <w:tc>
          <w:tcPr>
            <w:tcW w:w="4180" w:type="dxa"/>
            <w:vAlign w:val="center"/>
          </w:tcPr>
          <w:p w:rsidR="00B536C4" w:rsidRDefault="00CC45D2">
            <w:pPr>
              <w:jc w:val="center"/>
            </w:pPr>
            <w:r>
              <w:rPr>
                <w:color w:val="000000"/>
                <w:sz w:val="24"/>
              </w:rPr>
              <w:t>基金管理人的股东、境外投资顾问</w:t>
            </w:r>
          </w:p>
        </w:tc>
      </w:tr>
      <w:tr w:rsidR="00B536C4">
        <w:tc>
          <w:tcPr>
            <w:tcW w:w="4820" w:type="dxa"/>
            <w:vAlign w:val="center"/>
          </w:tcPr>
          <w:p w:rsidR="00B536C4" w:rsidRDefault="00CC45D2">
            <w:pPr>
              <w:jc w:val="left"/>
            </w:pPr>
            <w:r>
              <w:rPr>
                <w:color w:val="000000"/>
                <w:sz w:val="24"/>
              </w:rPr>
              <w:t>中国国际海运集装箱</w:t>
            </w:r>
            <w:r>
              <w:rPr>
                <w:color w:val="000000"/>
                <w:sz w:val="24"/>
              </w:rPr>
              <w:t xml:space="preserve"> (</w:t>
            </w:r>
            <w:r>
              <w:rPr>
                <w:color w:val="000000"/>
                <w:sz w:val="24"/>
              </w:rPr>
              <w:t>集团</w:t>
            </w:r>
            <w:r>
              <w:rPr>
                <w:color w:val="000000"/>
                <w:sz w:val="24"/>
              </w:rPr>
              <w:t>)</w:t>
            </w:r>
            <w:r>
              <w:rPr>
                <w:color w:val="000000"/>
                <w:sz w:val="24"/>
              </w:rPr>
              <w:t>股份有限公司</w:t>
            </w:r>
          </w:p>
        </w:tc>
        <w:tc>
          <w:tcPr>
            <w:tcW w:w="4180" w:type="dxa"/>
            <w:vAlign w:val="center"/>
          </w:tcPr>
          <w:p w:rsidR="00B536C4" w:rsidRDefault="00CC45D2">
            <w:pPr>
              <w:jc w:val="center"/>
            </w:pPr>
            <w:r>
              <w:rPr>
                <w:color w:val="000000"/>
                <w:sz w:val="24"/>
              </w:rPr>
              <w:t>基金管理人的股东</w:t>
            </w:r>
          </w:p>
        </w:tc>
      </w:tr>
      <w:tr w:rsidR="00B536C4">
        <w:tc>
          <w:tcPr>
            <w:tcW w:w="4820" w:type="dxa"/>
            <w:vAlign w:val="center"/>
          </w:tcPr>
          <w:p w:rsidR="00B536C4" w:rsidRDefault="00CC45D2">
            <w:pPr>
              <w:jc w:val="left"/>
            </w:pPr>
            <w:r>
              <w:rPr>
                <w:color w:val="000000"/>
                <w:sz w:val="24"/>
              </w:rPr>
              <w:t>交银施罗德资产管理有限公司</w:t>
            </w:r>
          </w:p>
        </w:tc>
        <w:tc>
          <w:tcPr>
            <w:tcW w:w="4180" w:type="dxa"/>
            <w:vAlign w:val="center"/>
          </w:tcPr>
          <w:p w:rsidR="00B536C4" w:rsidRDefault="00CC45D2">
            <w:pPr>
              <w:jc w:val="center"/>
            </w:pPr>
            <w:r>
              <w:rPr>
                <w:color w:val="000000"/>
                <w:sz w:val="24"/>
              </w:rPr>
              <w:t>基金管理人的子公司</w:t>
            </w:r>
          </w:p>
        </w:tc>
      </w:tr>
      <w:tr w:rsidR="00B536C4">
        <w:tc>
          <w:tcPr>
            <w:tcW w:w="4820" w:type="dxa"/>
            <w:vAlign w:val="center"/>
          </w:tcPr>
          <w:p w:rsidR="00B536C4" w:rsidRDefault="00CC45D2">
            <w:pPr>
              <w:jc w:val="left"/>
            </w:pPr>
            <w:r>
              <w:rPr>
                <w:color w:val="000000"/>
                <w:sz w:val="24"/>
              </w:rPr>
              <w:t>上海直源投资管理有限公司</w:t>
            </w:r>
          </w:p>
        </w:tc>
        <w:tc>
          <w:tcPr>
            <w:tcW w:w="4180" w:type="dxa"/>
            <w:vAlign w:val="center"/>
          </w:tcPr>
          <w:p w:rsidR="00B536C4" w:rsidRDefault="00CC45D2">
            <w:pPr>
              <w:jc w:val="center"/>
            </w:pPr>
            <w:r>
              <w:rPr>
                <w:color w:val="000000"/>
                <w:sz w:val="24"/>
              </w:rPr>
              <w:t>受基金管理人控制的公司</w:t>
            </w:r>
          </w:p>
        </w:tc>
      </w:tr>
      <w:tr w:rsidR="00B536C4">
        <w:tc>
          <w:tcPr>
            <w:tcW w:w="4820" w:type="dxa"/>
            <w:vAlign w:val="center"/>
          </w:tcPr>
          <w:p w:rsidR="00B536C4" w:rsidRDefault="00CC45D2">
            <w:pPr>
              <w:jc w:val="left"/>
            </w:pPr>
            <w:r>
              <w:rPr>
                <w:color w:val="000000"/>
                <w:sz w:val="24"/>
              </w:rPr>
              <w:lastRenderedPageBreak/>
              <w:t>交</w:t>
            </w:r>
            <w:proofErr w:type="gramStart"/>
            <w:r>
              <w:rPr>
                <w:color w:val="000000"/>
                <w:sz w:val="24"/>
              </w:rPr>
              <w:t>烨</w:t>
            </w:r>
            <w:proofErr w:type="gramEnd"/>
            <w:r>
              <w:rPr>
                <w:color w:val="000000"/>
                <w:sz w:val="24"/>
              </w:rPr>
              <w:t>投资管理（上海）有限公司</w:t>
            </w:r>
          </w:p>
        </w:tc>
        <w:tc>
          <w:tcPr>
            <w:tcW w:w="4180" w:type="dxa"/>
            <w:vAlign w:val="center"/>
          </w:tcPr>
          <w:p w:rsidR="00B536C4" w:rsidRDefault="00CC45D2">
            <w:pPr>
              <w:jc w:val="center"/>
            </w:pPr>
            <w:r>
              <w:rPr>
                <w:color w:val="000000"/>
                <w:sz w:val="24"/>
              </w:rPr>
              <w:t>受基金管理人控制的公司</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注：下述关联交易均在正常业务范围内按一般商业条款订立。</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7.4.10 </w:t>
      </w:r>
      <w:r w:rsidRPr="00E53CFC">
        <w:rPr>
          <w:rFonts w:hint="eastAsia"/>
          <w:b/>
          <w:bCs/>
          <w:color w:val="000000"/>
          <w:kern w:val="0"/>
          <w:sz w:val="24"/>
        </w:rPr>
        <w:t>本报告期及上年度可比期间的关联方交易</w:t>
      </w: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7.4.10.1 </w:t>
      </w:r>
      <w:r w:rsidRPr="00E53CFC">
        <w:rPr>
          <w:rFonts w:hint="eastAsia"/>
          <w:b/>
          <w:bCs/>
          <w:color w:val="000000"/>
          <w:kern w:val="0"/>
          <w:sz w:val="24"/>
        </w:rPr>
        <w:t>通过关联方交易单元进行的交易</w:t>
      </w:r>
    </w:p>
    <w:p w:rsidR="007B62FA" w:rsidRDefault="007B62FA" w:rsidP="00744AE3">
      <w:pPr>
        <w:tabs>
          <w:tab w:val="left" w:pos="426"/>
        </w:tabs>
        <w:spacing w:before="29" w:line="288" w:lineRule="auto"/>
        <w:ind w:firstLineChars="200" w:firstLine="480"/>
        <w:rPr>
          <w:rFonts w:ascii="宋体" w:hAnsi="宋体" w:cs="宋体"/>
          <w:kern w:val="0"/>
          <w:szCs w:val="21"/>
        </w:rPr>
      </w:pPr>
      <w:r w:rsidRPr="00744AE3">
        <w:rPr>
          <w:kern w:val="0"/>
          <w:sz w:val="24"/>
        </w:rPr>
        <w:t>本基金本报告期内及上年度可比期间</w:t>
      </w:r>
      <w:proofErr w:type="gramStart"/>
      <w:r w:rsidRPr="00744AE3">
        <w:rPr>
          <w:kern w:val="0"/>
          <w:sz w:val="24"/>
        </w:rPr>
        <w:t>无通过</w:t>
      </w:r>
      <w:proofErr w:type="gramEnd"/>
      <w:r w:rsidRPr="00744AE3">
        <w:rPr>
          <w:kern w:val="0"/>
          <w:sz w:val="24"/>
        </w:rPr>
        <w:t>关联方交易单元进行的交易。</w:t>
      </w:r>
    </w:p>
    <w:p w:rsidR="00DF287B" w:rsidRPr="00D0372D" w:rsidRDefault="00DF287B" w:rsidP="009138EB">
      <w:pPr>
        <w:widowControl/>
        <w:spacing w:line="360" w:lineRule="auto"/>
        <w:ind w:firstLineChars="200" w:firstLine="420"/>
        <w:rPr>
          <w:rFonts w:ascii="宋体" w:hAnsi="宋体" w:cs="宋体"/>
          <w:kern w:val="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7.4.10.2</w:t>
      </w:r>
      <w:r w:rsidR="002D0B5F" w:rsidRPr="00E53CFC">
        <w:rPr>
          <w:rFonts w:hint="eastAsia"/>
          <w:b/>
          <w:bCs/>
          <w:color w:val="000000"/>
          <w:kern w:val="0"/>
          <w:sz w:val="24"/>
        </w:rPr>
        <w:t xml:space="preserve"> </w:t>
      </w:r>
      <w:r w:rsidRPr="00E53CFC">
        <w:rPr>
          <w:rFonts w:hint="eastAsia"/>
          <w:b/>
          <w:bCs/>
          <w:color w:val="000000"/>
          <w:kern w:val="0"/>
          <w:sz w:val="24"/>
        </w:rPr>
        <w:t>关联方报酬</w:t>
      </w:r>
    </w:p>
    <w:p w:rsidR="007B62FA" w:rsidRPr="00E53CFC" w:rsidRDefault="007B62FA" w:rsidP="00E53CFC">
      <w:pPr>
        <w:spacing w:before="29" w:line="288" w:lineRule="auto"/>
        <w:rPr>
          <w:b/>
          <w:bCs/>
          <w:color w:val="000000"/>
          <w:kern w:val="0"/>
          <w:sz w:val="24"/>
        </w:rPr>
      </w:pPr>
      <w:r w:rsidRPr="00E53CFC">
        <w:rPr>
          <w:b/>
          <w:bCs/>
          <w:color w:val="000000"/>
          <w:kern w:val="0"/>
          <w:sz w:val="24"/>
        </w:rPr>
        <w:t>7.4.10.2.1</w:t>
      </w:r>
      <w:r w:rsidR="002D0B5F" w:rsidRPr="00E53CFC">
        <w:rPr>
          <w:rFonts w:hint="eastAsia"/>
          <w:b/>
          <w:bCs/>
          <w:color w:val="000000"/>
          <w:kern w:val="0"/>
          <w:sz w:val="24"/>
        </w:rPr>
        <w:t xml:space="preserve"> </w:t>
      </w:r>
      <w:r w:rsidRPr="00E53CFC">
        <w:rPr>
          <w:rFonts w:hint="eastAsia"/>
          <w:b/>
          <w:bCs/>
          <w:color w:val="000000"/>
          <w:kern w:val="0"/>
          <w:sz w:val="24"/>
        </w:rPr>
        <w:t>基金管理费</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7B62FA" w:rsidRPr="00D0372D" w:rsidTr="007E1697">
        <w:tc>
          <w:tcPr>
            <w:tcW w:w="3828"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2586"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2586"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2015</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2015</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1D7B2F">
        <w:tc>
          <w:tcPr>
            <w:tcW w:w="3828" w:type="dxa"/>
            <w:vAlign w:val="center"/>
          </w:tcPr>
          <w:p w:rsidR="007B62FA" w:rsidRPr="001D7B2F" w:rsidRDefault="007B62FA" w:rsidP="001D7B2F">
            <w:pPr>
              <w:spacing w:before="29" w:line="288" w:lineRule="auto"/>
              <w:rPr>
                <w:sz w:val="24"/>
              </w:rPr>
            </w:pPr>
            <w:r w:rsidRPr="001D7B2F">
              <w:rPr>
                <w:rFonts w:hint="eastAsia"/>
                <w:sz w:val="24"/>
              </w:rPr>
              <w:t>当期发生的基金应支付的管理费</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545,890.87</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894,294.68</w:t>
            </w:r>
          </w:p>
        </w:tc>
      </w:tr>
      <w:tr w:rsidR="007B62FA" w:rsidRPr="00D0372D" w:rsidTr="001D7B2F">
        <w:tc>
          <w:tcPr>
            <w:tcW w:w="3828" w:type="dxa"/>
            <w:vAlign w:val="center"/>
          </w:tcPr>
          <w:p w:rsidR="007B62FA" w:rsidRPr="001D7B2F" w:rsidRDefault="007B62FA" w:rsidP="001D7B2F">
            <w:pPr>
              <w:spacing w:before="29" w:line="288" w:lineRule="auto"/>
              <w:rPr>
                <w:sz w:val="24"/>
              </w:rPr>
            </w:pPr>
            <w:r w:rsidRPr="001D7B2F">
              <w:rPr>
                <w:rFonts w:hint="eastAsia"/>
                <w:sz w:val="24"/>
              </w:rPr>
              <w:t>其中：支付销售机构的客户维护费</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202,512.80</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252,485.57</w:t>
            </w:r>
          </w:p>
        </w:tc>
      </w:tr>
    </w:tbl>
    <w:p w:rsidR="00B536C4" w:rsidRDefault="00CC45D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1.8%</w:t>
      </w:r>
      <w:r>
        <w:rPr>
          <w:kern w:val="0"/>
          <w:sz w:val="24"/>
        </w:rPr>
        <w:t>的年费率计提，逐日累计至每月月底，按月支付。其计算公式为：</w:t>
      </w:r>
    </w:p>
    <w:p w:rsidR="007B62FA" w:rsidRPr="00B323A0" w:rsidRDefault="007B62FA" w:rsidP="00B323A0">
      <w:pPr>
        <w:tabs>
          <w:tab w:val="left" w:pos="426"/>
        </w:tabs>
        <w:spacing w:before="29" w:line="288" w:lineRule="auto"/>
        <w:jc w:val="left"/>
        <w:rPr>
          <w:kern w:val="0"/>
          <w:sz w:val="24"/>
        </w:rPr>
      </w:pPr>
      <w:r w:rsidRPr="00B323A0">
        <w:rPr>
          <w:kern w:val="0"/>
          <w:sz w:val="24"/>
        </w:rPr>
        <w:t>日管理人报酬＝前一日基金资产净值</w:t>
      </w:r>
      <w:r w:rsidRPr="00B323A0">
        <w:rPr>
          <w:kern w:val="0"/>
          <w:sz w:val="24"/>
        </w:rPr>
        <w:t>×1.8%÷</w:t>
      </w:r>
      <w:r w:rsidRPr="00B323A0">
        <w:rPr>
          <w:kern w:val="0"/>
          <w:sz w:val="24"/>
        </w:rPr>
        <w:t>当年天数。</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7.4.10.2.2</w:t>
      </w:r>
      <w:r w:rsidR="002D0B5F" w:rsidRPr="00E53CFC">
        <w:rPr>
          <w:rFonts w:hint="eastAsia"/>
          <w:b/>
          <w:bCs/>
          <w:color w:val="000000"/>
          <w:kern w:val="0"/>
          <w:sz w:val="24"/>
        </w:rPr>
        <w:t xml:space="preserve"> </w:t>
      </w:r>
      <w:r w:rsidRPr="00E53CFC">
        <w:rPr>
          <w:rFonts w:hint="eastAsia"/>
          <w:b/>
          <w:bCs/>
          <w:color w:val="000000"/>
          <w:kern w:val="0"/>
          <w:sz w:val="24"/>
        </w:rPr>
        <w:t>基金托管费</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7B62FA" w:rsidRPr="00D0372D" w:rsidTr="00D55AD2">
        <w:tc>
          <w:tcPr>
            <w:tcW w:w="3828"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2586"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2586"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2015</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2015</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D55AD2">
        <w:tc>
          <w:tcPr>
            <w:tcW w:w="3828" w:type="dxa"/>
            <w:vAlign w:val="center"/>
          </w:tcPr>
          <w:p w:rsidR="007B62FA" w:rsidRPr="00D0372D" w:rsidRDefault="007B62FA" w:rsidP="00EF6B58">
            <w:pPr>
              <w:spacing w:before="29" w:line="288" w:lineRule="auto"/>
              <w:rPr>
                <w:rFonts w:ascii="宋体" w:hAnsi="宋体"/>
                <w:color w:val="000000"/>
                <w:szCs w:val="21"/>
              </w:rPr>
            </w:pPr>
            <w:r w:rsidRPr="00EF6B58">
              <w:rPr>
                <w:rFonts w:hint="eastAsia"/>
                <w:sz w:val="24"/>
              </w:rPr>
              <w:t>当期发生的基金应支付的托管费</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106,145.40</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173,890.65</w:t>
            </w:r>
          </w:p>
        </w:tc>
      </w:tr>
    </w:tbl>
    <w:p w:rsidR="00B536C4" w:rsidRDefault="00CC45D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0.35%</w:t>
      </w:r>
      <w:r>
        <w:rPr>
          <w:kern w:val="0"/>
          <w:sz w:val="24"/>
        </w:rPr>
        <w:t>的年费率计提，逐日累计至每月月底，按月支付。其计算公式为：</w:t>
      </w:r>
    </w:p>
    <w:p w:rsidR="007B62FA" w:rsidRPr="00B323A0" w:rsidRDefault="007B62FA" w:rsidP="00B323A0">
      <w:pPr>
        <w:tabs>
          <w:tab w:val="left" w:pos="426"/>
        </w:tabs>
        <w:spacing w:before="29" w:line="288" w:lineRule="auto"/>
        <w:jc w:val="left"/>
        <w:rPr>
          <w:kern w:val="0"/>
          <w:sz w:val="24"/>
        </w:rPr>
      </w:pPr>
      <w:r w:rsidRPr="00B323A0">
        <w:rPr>
          <w:kern w:val="0"/>
          <w:sz w:val="24"/>
        </w:rPr>
        <w:t>日托管费＝前一日基金资产净值</w:t>
      </w:r>
      <w:r w:rsidRPr="00B323A0">
        <w:rPr>
          <w:kern w:val="0"/>
          <w:sz w:val="24"/>
        </w:rPr>
        <w:t>×0.35%÷</w:t>
      </w:r>
      <w:r w:rsidRPr="00B323A0">
        <w:rPr>
          <w:kern w:val="0"/>
          <w:sz w:val="24"/>
        </w:rPr>
        <w:t>当年天数。</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7.4.10.2.3</w:t>
      </w:r>
      <w:r w:rsidR="002D0B5F" w:rsidRPr="00E53CFC">
        <w:rPr>
          <w:rFonts w:hint="eastAsia"/>
          <w:b/>
          <w:bCs/>
          <w:color w:val="000000"/>
          <w:kern w:val="0"/>
          <w:sz w:val="24"/>
        </w:rPr>
        <w:t xml:space="preserve"> </w:t>
      </w:r>
      <w:r w:rsidRPr="00E53CFC">
        <w:rPr>
          <w:rFonts w:hint="eastAsia"/>
          <w:b/>
          <w:bCs/>
          <w:color w:val="000000"/>
          <w:kern w:val="0"/>
          <w:sz w:val="24"/>
        </w:rPr>
        <w:t>销售服务费</w:t>
      </w:r>
    </w:p>
    <w:p w:rsidR="000C5656" w:rsidRPr="00215394" w:rsidRDefault="000C5656" w:rsidP="000C5656">
      <w:pPr>
        <w:tabs>
          <w:tab w:val="left" w:pos="426"/>
        </w:tabs>
        <w:spacing w:before="29" w:line="288" w:lineRule="auto"/>
        <w:jc w:val="left"/>
        <w:rPr>
          <w:rFonts w:eastAsiaTheme="minorEastAsia"/>
          <w:color w:val="000000"/>
          <w:szCs w:val="21"/>
        </w:rPr>
      </w:pPr>
      <w:r w:rsidRPr="000C5656">
        <w:rPr>
          <w:kern w:val="0"/>
          <w:sz w:val="24"/>
        </w:rPr>
        <w:t>无。</w:t>
      </w:r>
    </w:p>
    <w:p w:rsidR="007B62FA" w:rsidRPr="009F349C"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7.4.10.3</w:t>
      </w:r>
      <w:r w:rsidR="002D0B5F" w:rsidRPr="00E53CFC">
        <w:rPr>
          <w:rFonts w:hint="eastAsia"/>
          <w:b/>
          <w:bCs/>
          <w:color w:val="000000"/>
          <w:kern w:val="0"/>
          <w:sz w:val="24"/>
        </w:rPr>
        <w:t xml:space="preserve"> </w:t>
      </w:r>
      <w:r w:rsidRPr="00E53CFC">
        <w:rPr>
          <w:rFonts w:hint="eastAsia"/>
          <w:b/>
          <w:bCs/>
          <w:color w:val="000000"/>
          <w:kern w:val="0"/>
          <w:sz w:val="24"/>
        </w:rPr>
        <w:t>与关联方进行银行间同业市场的债券</w:t>
      </w:r>
      <w:r w:rsidRPr="00E53CFC">
        <w:rPr>
          <w:b/>
          <w:bCs/>
          <w:color w:val="000000"/>
          <w:kern w:val="0"/>
          <w:sz w:val="24"/>
        </w:rPr>
        <w:t>(</w:t>
      </w:r>
      <w:r w:rsidRPr="00E53CFC">
        <w:rPr>
          <w:rFonts w:hint="eastAsia"/>
          <w:b/>
          <w:bCs/>
          <w:color w:val="000000"/>
          <w:kern w:val="0"/>
          <w:sz w:val="24"/>
        </w:rPr>
        <w:t>含回购</w:t>
      </w:r>
      <w:r w:rsidRPr="00E53CFC">
        <w:rPr>
          <w:b/>
          <w:bCs/>
          <w:color w:val="000000"/>
          <w:kern w:val="0"/>
          <w:sz w:val="24"/>
        </w:rPr>
        <w:t>)</w:t>
      </w:r>
      <w:r w:rsidRPr="00E53CFC">
        <w:rPr>
          <w:rFonts w:hint="eastAsia"/>
          <w:b/>
          <w:bCs/>
          <w:color w:val="000000"/>
          <w:kern w:val="0"/>
          <w:sz w:val="24"/>
        </w:rPr>
        <w:t>交易</w:t>
      </w:r>
    </w:p>
    <w:p w:rsidR="00AE30D0" w:rsidRPr="00B323A0" w:rsidRDefault="00AE30D0" w:rsidP="00B323A0">
      <w:pPr>
        <w:tabs>
          <w:tab w:val="left" w:pos="426"/>
        </w:tabs>
        <w:spacing w:before="29" w:line="288" w:lineRule="auto"/>
        <w:jc w:val="left"/>
        <w:rPr>
          <w:kern w:val="0"/>
          <w:sz w:val="24"/>
        </w:rPr>
      </w:pPr>
      <w:r w:rsidRPr="00B323A0">
        <w:rPr>
          <w:kern w:val="0"/>
          <w:sz w:val="24"/>
        </w:rPr>
        <w:t>本基金本报告期内及上年度可比期间未与关联方进行银行间同业市场的债券</w:t>
      </w:r>
      <w:r w:rsidRPr="00B323A0">
        <w:rPr>
          <w:kern w:val="0"/>
          <w:sz w:val="24"/>
        </w:rPr>
        <w:t>(</w:t>
      </w:r>
      <w:r w:rsidRPr="00B323A0">
        <w:rPr>
          <w:kern w:val="0"/>
          <w:sz w:val="24"/>
        </w:rPr>
        <w:t>含回购</w:t>
      </w:r>
      <w:r w:rsidRPr="00B323A0">
        <w:rPr>
          <w:kern w:val="0"/>
          <w:sz w:val="24"/>
        </w:rPr>
        <w:t>)</w:t>
      </w:r>
      <w:r w:rsidRPr="00B323A0">
        <w:rPr>
          <w:kern w:val="0"/>
          <w:sz w:val="24"/>
        </w:rPr>
        <w:t>交</w:t>
      </w:r>
      <w:r w:rsidRPr="00B323A0">
        <w:rPr>
          <w:kern w:val="0"/>
          <w:sz w:val="24"/>
        </w:rPr>
        <w:lastRenderedPageBreak/>
        <w:t>易。</w:t>
      </w:r>
    </w:p>
    <w:p w:rsidR="007B62FA" w:rsidRPr="00AE30D0"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7.4.10.4</w:t>
      </w:r>
      <w:r w:rsidR="002D0B5F" w:rsidRPr="00E53CFC">
        <w:rPr>
          <w:rFonts w:hint="eastAsia"/>
          <w:b/>
          <w:bCs/>
          <w:color w:val="000000"/>
          <w:kern w:val="0"/>
          <w:sz w:val="24"/>
        </w:rPr>
        <w:t xml:space="preserve"> </w:t>
      </w:r>
      <w:r w:rsidRPr="00E53CFC">
        <w:rPr>
          <w:rFonts w:hint="eastAsia"/>
          <w:b/>
          <w:bCs/>
          <w:color w:val="000000"/>
          <w:kern w:val="0"/>
          <w:sz w:val="24"/>
        </w:rPr>
        <w:t>各关联方投资本基金的情况</w:t>
      </w:r>
    </w:p>
    <w:p w:rsidR="007B62FA" w:rsidRPr="00E53CFC" w:rsidRDefault="007B62FA" w:rsidP="00E53CFC">
      <w:pPr>
        <w:spacing w:before="29" w:line="288" w:lineRule="auto"/>
        <w:rPr>
          <w:b/>
          <w:bCs/>
          <w:color w:val="000000"/>
          <w:kern w:val="0"/>
          <w:sz w:val="24"/>
        </w:rPr>
      </w:pPr>
      <w:r w:rsidRPr="00E53CFC">
        <w:rPr>
          <w:b/>
          <w:bCs/>
          <w:color w:val="000000"/>
          <w:kern w:val="0"/>
          <w:sz w:val="24"/>
        </w:rPr>
        <w:t>7.4.10.4.1</w:t>
      </w:r>
      <w:r w:rsidR="002D0B5F" w:rsidRPr="00E53CFC">
        <w:rPr>
          <w:rFonts w:hint="eastAsia"/>
          <w:b/>
          <w:bCs/>
          <w:color w:val="000000"/>
          <w:kern w:val="0"/>
          <w:sz w:val="24"/>
        </w:rPr>
        <w:t xml:space="preserve"> </w:t>
      </w:r>
      <w:r w:rsidRPr="00E53CFC">
        <w:rPr>
          <w:rFonts w:hint="eastAsia"/>
          <w:b/>
          <w:bCs/>
          <w:color w:val="000000"/>
          <w:kern w:val="0"/>
          <w:sz w:val="24"/>
        </w:rPr>
        <w:t>报告期内基金管理人运用</w:t>
      </w:r>
      <w:proofErr w:type="gramStart"/>
      <w:r w:rsidRPr="00E53CFC">
        <w:rPr>
          <w:rFonts w:hint="eastAsia"/>
          <w:b/>
          <w:bCs/>
          <w:color w:val="000000"/>
          <w:kern w:val="0"/>
          <w:sz w:val="24"/>
        </w:rPr>
        <w:t>固有资金</w:t>
      </w:r>
      <w:proofErr w:type="gramEnd"/>
      <w:r w:rsidRPr="00E53CFC">
        <w:rPr>
          <w:rFonts w:hint="eastAsia"/>
          <w:b/>
          <w:bCs/>
          <w:color w:val="000000"/>
          <w:kern w:val="0"/>
          <w:sz w:val="24"/>
        </w:rPr>
        <w:t>投资本基金的情况</w:t>
      </w:r>
    </w:p>
    <w:p w:rsidR="007B62FA" w:rsidRDefault="007B62FA" w:rsidP="00B323A0">
      <w:pPr>
        <w:tabs>
          <w:tab w:val="left" w:pos="426"/>
        </w:tabs>
        <w:spacing w:before="29" w:line="288" w:lineRule="auto"/>
        <w:jc w:val="left"/>
        <w:rPr>
          <w:kern w:val="0"/>
          <w:sz w:val="24"/>
        </w:rPr>
      </w:pPr>
      <w:r w:rsidRPr="00B323A0">
        <w:rPr>
          <w:kern w:val="0"/>
          <w:sz w:val="24"/>
        </w:rPr>
        <w:t>本报告期内及上年度可比期间未发生基金管理人运用</w:t>
      </w:r>
      <w:proofErr w:type="gramStart"/>
      <w:r w:rsidRPr="00B323A0">
        <w:rPr>
          <w:kern w:val="0"/>
          <w:sz w:val="24"/>
        </w:rPr>
        <w:t>固有资金</w:t>
      </w:r>
      <w:proofErr w:type="gramEnd"/>
      <w:r w:rsidRPr="00B323A0">
        <w:rPr>
          <w:kern w:val="0"/>
          <w:sz w:val="24"/>
        </w:rPr>
        <w:t>投资本基金的情况。</w:t>
      </w:r>
    </w:p>
    <w:p w:rsidR="00DA7A37" w:rsidRPr="00B323A0" w:rsidRDefault="00DA7A37" w:rsidP="00B323A0">
      <w:pPr>
        <w:tabs>
          <w:tab w:val="left" w:pos="426"/>
        </w:tabs>
        <w:spacing w:before="29" w:line="288" w:lineRule="auto"/>
        <w:jc w:val="left"/>
        <w:rPr>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7.4.10.4.2</w:t>
      </w:r>
      <w:r w:rsidR="002D0B5F" w:rsidRPr="00E53CFC">
        <w:rPr>
          <w:rFonts w:hint="eastAsia"/>
          <w:b/>
          <w:bCs/>
          <w:color w:val="000000"/>
          <w:kern w:val="0"/>
          <w:sz w:val="24"/>
        </w:rPr>
        <w:t xml:space="preserve"> </w:t>
      </w:r>
      <w:r w:rsidRPr="00E53CFC">
        <w:rPr>
          <w:rFonts w:hint="eastAsia"/>
          <w:b/>
          <w:bCs/>
          <w:color w:val="000000"/>
          <w:kern w:val="0"/>
          <w:sz w:val="24"/>
        </w:rPr>
        <w:t>报告期末除基金管理人之外的其他关联方投资本基金的情况</w:t>
      </w:r>
    </w:p>
    <w:p w:rsidR="007B62FA" w:rsidRPr="00D0372D" w:rsidRDefault="007B62FA" w:rsidP="00451542">
      <w:pPr>
        <w:tabs>
          <w:tab w:val="left" w:pos="426"/>
        </w:tabs>
        <w:spacing w:before="29" w:line="288" w:lineRule="auto"/>
        <w:jc w:val="left"/>
        <w:rPr>
          <w:rFonts w:ascii="宋体" w:hAnsi="宋体"/>
          <w:color w:val="000000"/>
          <w:kern w:val="0"/>
          <w:szCs w:val="21"/>
        </w:rPr>
      </w:pPr>
      <w:r w:rsidRPr="00B323A0">
        <w:rPr>
          <w:kern w:val="0"/>
          <w:sz w:val="24"/>
        </w:rPr>
        <w:t>本报告期末及上年度末除基金管理人之外的其他关联方未持有本基金。</w:t>
      </w:r>
      <w:r w:rsidR="00451542">
        <w:rPr>
          <w:rFonts w:hint="eastAsia"/>
          <w:kern w:val="0"/>
          <w:sz w:val="24"/>
        </w:rPr>
        <w:br/>
      </w:r>
    </w:p>
    <w:p w:rsidR="007B62FA" w:rsidRPr="00E53CFC" w:rsidRDefault="007B62FA" w:rsidP="00E53CFC">
      <w:pPr>
        <w:spacing w:before="29" w:line="288" w:lineRule="auto"/>
        <w:rPr>
          <w:b/>
          <w:bCs/>
          <w:color w:val="000000"/>
          <w:kern w:val="0"/>
          <w:sz w:val="24"/>
        </w:rPr>
      </w:pPr>
      <w:r w:rsidRPr="00E53CFC">
        <w:rPr>
          <w:b/>
          <w:bCs/>
          <w:color w:val="000000"/>
          <w:kern w:val="0"/>
          <w:sz w:val="24"/>
        </w:rPr>
        <w:t>7.4.10.5</w:t>
      </w:r>
      <w:r w:rsidR="002D0B5F" w:rsidRPr="00E53CFC">
        <w:rPr>
          <w:rFonts w:hint="eastAsia"/>
          <w:b/>
          <w:bCs/>
          <w:color w:val="000000"/>
          <w:kern w:val="0"/>
          <w:sz w:val="24"/>
        </w:rPr>
        <w:t xml:space="preserve"> </w:t>
      </w:r>
      <w:r w:rsidRPr="00E53CFC">
        <w:rPr>
          <w:rFonts w:hint="eastAsia"/>
          <w:b/>
          <w:bCs/>
          <w:color w:val="000000"/>
          <w:kern w:val="0"/>
          <w:sz w:val="24"/>
        </w:rPr>
        <w:t>由关联方保管的银行存款余额及当期产生的利息收入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701"/>
        <w:gridCol w:w="1701"/>
        <w:gridCol w:w="1701"/>
        <w:gridCol w:w="1770"/>
      </w:tblGrid>
      <w:tr w:rsidR="007B62FA" w:rsidRPr="00D833B4" w:rsidTr="009D206C">
        <w:tc>
          <w:tcPr>
            <w:tcW w:w="2127" w:type="dxa"/>
            <w:vMerge w:val="restart"/>
            <w:vAlign w:val="center"/>
          </w:tcPr>
          <w:p w:rsidR="007B62FA" w:rsidRPr="00D833B4" w:rsidRDefault="007B62FA" w:rsidP="00EF51C4">
            <w:pPr>
              <w:spacing w:before="29" w:line="288" w:lineRule="auto"/>
              <w:jc w:val="center"/>
              <w:rPr>
                <w:szCs w:val="21"/>
              </w:rPr>
            </w:pPr>
            <w:r w:rsidRPr="00D833B4">
              <w:rPr>
                <w:rFonts w:hint="eastAsia"/>
                <w:szCs w:val="21"/>
              </w:rPr>
              <w:t>关联方名称</w:t>
            </w:r>
            <w:r w:rsidR="00EF51C4" w:rsidRPr="00D833B4">
              <w:rPr>
                <w:szCs w:val="21"/>
              </w:rPr>
              <w:t xml:space="preserve"> </w:t>
            </w:r>
          </w:p>
        </w:tc>
        <w:tc>
          <w:tcPr>
            <w:tcW w:w="3402" w:type="dxa"/>
            <w:gridSpan w:val="2"/>
          </w:tcPr>
          <w:p w:rsidR="007B62FA" w:rsidRPr="00D833B4" w:rsidRDefault="007B62FA" w:rsidP="001D1F29">
            <w:pPr>
              <w:spacing w:before="29" w:line="288" w:lineRule="auto"/>
              <w:jc w:val="center"/>
              <w:rPr>
                <w:szCs w:val="21"/>
              </w:rPr>
            </w:pPr>
            <w:r w:rsidRPr="00D833B4">
              <w:rPr>
                <w:rFonts w:hint="eastAsia"/>
                <w:szCs w:val="21"/>
              </w:rPr>
              <w:t>本期</w:t>
            </w:r>
          </w:p>
          <w:p w:rsidR="007B62FA" w:rsidRPr="00D833B4" w:rsidRDefault="00ED2997" w:rsidP="001D1F29">
            <w:pPr>
              <w:widowControl/>
              <w:autoSpaceDE w:val="0"/>
              <w:autoSpaceDN w:val="0"/>
              <w:spacing w:before="29" w:line="288" w:lineRule="auto"/>
              <w:ind w:right="-15"/>
              <w:jc w:val="center"/>
              <w:textAlignment w:val="bottom"/>
              <w:rPr>
                <w:szCs w:val="21"/>
              </w:rPr>
            </w:pPr>
            <w:r w:rsidRPr="00D833B4">
              <w:rPr>
                <w:szCs w:val="21"/>
              </w:rPr>
              <w:t>2016</w:t>
            </w:r>
            <w:r w:rsidRPr="00D833B4">
              <w:rPr>
                <w:szCs w:val="21"/>
              </w:rPr>
              <w:t>年</w:t>
            </w:r>
            <w:r w:rsidRPr="00D833B4">
              <w:rPr>
                <w:szCs w:val="21"/>
              </w:rPr>
              <w:t>1</w:t>
            </w:r>
            <w:r w:rsidRPr="00D833B4">
              <w:rPr>
                <w:szCs w:val="21"/>
              </w:rPr>
              <w:t>月</w:t>
            </w:r>
            <w:r w:rsidRPr="00D833B4">
              <w:rPr>
                <w:szCs w:val="21"/>
              </w:rPr>
              <w:t>1</w:t>
            </w:r>
            <w:r w:rsidRPr="00D833B4">
              <w:rPr>
                <w:szCs w:val="21"/>
              </w:rPr>
              <w:t>日</w:t>
            </w:r>
            <w:r w:rsidR="007B62FA" w:rsidRPr="00D833B4">
              <w:rPr>
                <w:rFonts w:hint="eastAsia"/>
                <w:szCs w:val="21"/>
              </w:rPr>
              <w:t>至</w:t>
            </w:r>
            <w:r w:rsidRPr="00D833B4">
              <w:rPr>
                <w:szCs w:val="21"/>
              </w:rPr>
              <w:t>2016</w:t>
            </w:r>
            <w:r w:rsidRPr="00D833B4">
              <w:rPr>
                <w:szCs w:val="21"/>
              </w:rPr>
              <w:t>年</w:t>
            </w:r>
            <w:r w:rsidRPr="00D833B4">
              <w:rPr>
                <w:szCs w:val="21"/>
              </w:rPr>
              <w:t>12</w:t>
            </w:r>
            <w:r w:rsidRPr="00D833B4">
              <w:rPr>
                <w:szCs w:val="21"/>
              </w:rPr>
              <w:t>月</w:t>
            </w:r>
            <w:r w:rsidRPr="00D833B4">
              <w:rPr>
                <w:szCs w:val="21"/>
              </w:rPr>
              <w:t>31</w:t>
            </w:r>
            <w:r w:rsidRPr="00D833B4">
              <w:rPr>
                <w:szCs w:val="21"/>
              </w:rPr>
              <w:t>日</w:t>
            </w:r>
          </w:p>
        </w:tc>
        <w:tc>
          <w:tcPr>
            <w:tcW w:w="3471" w:type="dxa"/>
            <w:gridSpan w:val="2"/>
          </w:tcPr>
          <w:p w:rsidR="007B62FA" w:rsidRPr="00D833B4" w:rsidRDefault="007B62FA" w:rsidP="001D1F29">
            <w:pPr>
              <w:spacing w:before="29" w:line="288" w:lineRule="auto"/>
              <w:jc w:val="center"/>
              <w:rPr>
                <w:szCs w:val="21"/>
              </w:rPr>
            </w:pPr>
            <w:r w:rsidRPr="00D833B4">
              <w:rPr>
                <w:rFonts w:hint="eastAsia"/>
                <w:szCs w:val="21"/>
              </w:rPr>
              <w:t>上年度可比期间</w:t>
            </w:r>
          </w:p>
          <w:p w:rsidR="007B62FA" w:rsidRPr="00D833B4" w:rsidRDefault="009A2393" w:rsidP="001D1F29">
            <w:pPr>
              <w:widowControl/>
              <w:autoSpaceDE w:val="0"/>
              <w:autoSpaceDN w:val="0"/>
              <w:spacing w:before="29" w:line="288" w:lineRule="auto"/>
              <w:ind w:right="-15"/>
              <w:jc w:val="center"/>
              <w:textAlignment w:val="bottom"/>
              <w:rPr>
                <w:szCs w:val="21"/>
              </w:rPr>
            </w:pPr>
            <w:r w:rsidRPr="00D833B4">
              <w:rPr>
                <w:szCs w:val="21"/>
              </w:rPr>
              <w:t>2015</w:t>
            </w:r>
            <w:r w:rsidRPr="00D833B4">
              <w:rPr>
                <w:szCs w:val="21"/>
              </w:rPr>
              <w:t>年</w:t>
            </w:r>
            <w:r w:rsidRPr="00D833B4">
              <w:rPr>
                <w:szCs w:val="21"/>
              </w:rPr>
              <w:t>1</w:t>
            </w:r>
            <w:r w:rsidRPr="00D833B4">
              <w:rPr>
                <w:szCs w:val="21"/>
              </w:rPr>
              <w:t>月</w:t>
            </w:r>
            <w:r w:rsidRPr="00D833B4">
              <w:rPr>
                <w:szCs w:val="21"/>
              </w:rPr>
              <w:t>1</w:t>
            </w:r>
            <w:r w:rsidRPr="00D833B4">
              <w:rPr>
                <w:szCs w:val="21"/>
              </w:rPr>
              <w:t>日至</w:t>
            </w:r>
            <w:r w:rsidRPr="00D833B4">
              <w:rPr>
                <w:szCs w:val="21"/>
              </w:rPr>
              <w:t>2015</w:t>
            </w:r>
            <w:r w:rsidRPr="00D833B4">
              <w:rPr>
                <w:szCs w:val="21"/>
              </w:rPr>
              <w:t>年</w:t>
            </w:r>
            <w:r w:rsidRPr="00D833B4">
              <w:rPr>
                <w:szCs w:val="21"/>
              </w:rPr>
              <w:t>12</w:t>
            </w:r>
            <w:r w:rsidRPr="00D833B4">
              <w:rPr>
                <w:szCs w:val="21"/>
              </w:rPr>
              <w:t>月</w:t>
            </w:r>
            <w:r w:rsidRPr="00D833B4">
              <w:rPr>
                <w:szCs w:val="21"/>
              </w:rPr>
              <w:t>31</w:t>
            </w:r>
            <w:r w:rsidRPr="00D833B4">
              <w:rPr>
                <w:szCs w:val="21"/>
              </w:rPr>
              <w:t>日</w:t>
            </w:r>
          </w:p>
        </w:tc>
      </w:tr>
      <w:tr w:rsidR="007B62FA" w:rsidRPr="00D833B4" w:rsidTr="009D206C">
        <w:tc>
          <w:tcPr>
            <w:tcW w:w="2127" w:type="dxa"/>
            <w:vMerge/>
            <w:vAlign w:val="center"/>
          </w:tcPr>
          <w:p w:rsidR="007B62FA" w:rsidRPr="00D833B4" w:rsidRDefault="007B62FA" w:rsidP="001D1F29">
            <w:pPr>
              <w:spacing w:before="29" w:line="288" w:lineRule="auto"/>
              <w:jc w:val="center"/>
              <w:rPr>
                <w:szCs w:val="21"/>
              </w:rPr>
            </w:pPr>
          </w:p>
        </w:tc>
        <w:tc>
          <w:tcPr>
            <w:tcW w:w="1701" w:type="dxa"/>
            <w:vAlign w:val="center"/>
          </w:tcPr>
          <w:p w:rsidR="007B62FA" w:rsidRPr="00D833B4" w:rsidRDefault="007B62FA" w:rsidP="009D206C">
            <w:pPr>
              <w:spacing w:before="29" w:line="288" w:lineRule="auto"/>
              <w:jc w:val="center"/>
              <w:rPr>
                <w:szCs w:val="21"/>
              </w:rPr>
            </w:pPr>
            <w:r w:rsidRPr="00D833B4">
              <w:rPr>
                <w:rFonts w:hint="eastAsia"/>
                <w:szCs w:val="21"/>
              </w:rPr>
              <w:t>期末余额</w:t>
            </w:r>
          </w:p>
        </w:tc>
        <w:tc>
          <w:tcPr>
            <w:tcW w:w="1701" w:type="dxa"/>
            <w:vAlign w:val="center"/>
          </w:tcPr>
          <w:p w:rsidR="007B62FA" w:rsidRPr="00D833B4" w:rsidRDefault="007B62FA" w:rsidP="001D1F29">
            <w:pPr>
              <w:spacing w:before="29" w:line="288" w:lineRule="auto"/>
              <w:jc w:val="center"/>
              <w:rPr>
                <w:szCs w:val="21"/>
              </w:rPr>
            </w:pPr>
            <w:r w:rsidRPr="00D833B4">
              <w:rPr>
                <w:rFonts w:hint="eastAsia"/>
                <w:szCs w:val="21"/>
              </w:rPr>
              <w:t>当期利息收入</w:t>
            </w:r>
          </w:p>
        </w:tc>
        <w:tc>
          <w:tcPr>
            <w:tcW w:w="1701" w:type="dxa"/>
            <w:vAlign w:val="center"/>
          </w:tcPr>
          <w:p w:rsidR="007B62FA" w:rsidRPr="00D833B4" w:rsidRDefault="007B62FA" w:rsidP="009D206C">
            <w:pPr>
              <w:spacing w:before="29" w:line="288" w:lineRule="auto"/>
              <w:jc w:val="center"/>
              <w:rPr>
                <w:szCs w:val="21"/>
              </w:rPr>
            </w:pPr>
            <w:r w:rsidRPr="00D833B4">
              <w:rPr>
                <w:rFonts w:hint="eastAsia"/>
                <w:szCs w:val="21"/>
              </w:rPr>
              <w:t>期末余额</w:t>
            </w:r>
          </w:p>
        </w:tc>
        <w:tc>
          <w:tcPr>
            <w:tcW w:w="1770" w:type="dxa"/>
            <w:vAlign w:val="center"/>
          </w:tcPr>
          <w:p w:rsidR="007B62FA" w:rsidRPr="00D833B4" w:rsidRDefault="007B62FA" w:rsidP="001D1F29">
            <w:pPr>
              <w:spacing w:before="29" w:line="288" w:lineRule="auto"/>
              <w:jc w:val="center"/>
              <w:rPr>
                <w:szCs w:val="21"/>
              </w:rPr>
            </w:pPr>
            <w:r w:rsidRPr="00D833B4">
              <w:rPr>
                <w:rFonts w:hint="eastAsia"/>
                <w:szCs w:val="21"/>
              </w:rPr>
              <w:t>当期利息收入</w:t>
            </w:r>
          </w:p>
        </w:tc>
      </w:tr>
      <w:tr w:rsidR="00B536C4">
        <w:tc>
          <w:tcPr>
            <w:tcW w:w="2127" w:type="dxa"/>
            <w:vAlign w:val="center"/>
          </w:tcPr>
          <w:p w:rsidR="00B536C4" w:rsidRDefault="00CC45D2">
            <w:pPr>
              <w:jc w:val="left"/>
            </w:pPr>
            <w:r>
              <w:rPr>
                <w:bCs/>
                <w:color w:val="000000"/>
                <w:szCs w:val="21"/>
              </w:rPr>
              <w:t>中国建设银行</w:t>
            </w:r>
          </w:p>
        </w:tc>
        <w:tc>
          <w:tcPr>
            <w:tcW w:w="1701" w:type="dxa"/>
            <w:vAlign w:val="center"/>
          </w:tcPr>
          <w:p w:rsidR="00B536C4" w:rsidRDefault="00CC45D2">
            <w:pPr>
              <w:jc w:val="right"/>
            </w:pPr>
            <w:r>
              <w:rPr>
                <w:bCs/>
                <w:color w:val="000000"/>
                <w:szCs w:val="21"/>
              </w:rPr>
              <w:t>1,407,544.99</w:t>
            </w:r>
          </w:p>
        </w:tc>
        <w:tc>
          <w:tcPr>
            <w:tcW w:w="1701" w:type="dxa"/>
            <w:vAlign w:val="center"/>
          </w:tcPr>
          <w:p w:rsidR="00B536C4" w:rsidRDefault="00CC45D2">
            <w:pPr>
              <w:jc w:val="right"/>
            </w:pPr>
            <w:r>
              <w:rPr>
                <w:bCs/>
                <w:color w:val="000000"/>
                <w:szCs w:val="21"/>
              </w:rPr>
              <w:t>15,536.03</w:t>
            </w:r>
          </w:p>
        </w:tc>
        <w:tc>
          <w:tcPr>
            <w:tcW w:w="1701" w:type="dxa"/>
            <w:vAlign w:val="center"/>
          </w:tcPr>
          <w:p w:rsidR="00B536C4" w:rsidRDefault="00CC45D2">
            <w:pPr>
              <w:jc w:val="right"/>
            </w:pPr>
            <w:r>
              <w:rPr>
                <w:bCs/>
                <w:color w:val="000000"/>
                <w:szCs w:val="21"/>
              </w:rPr>
              <w:t>6,356,360.82</w:t>
            </w:r>
          </w:p>
        </w:tc>
        <w:tc>
          <w:tcPr>
            <w:tcW w:w="1770" w:type="dxa"/>
            <w:vAlign w:val="center"/>
          </w:tcPr>
          <w:p w:rsidR="00B536C4" w:rsidRDefault="00CC45D2">
            <w:pPr>
              <w:jc w:val="right"/>
            </w:pPr>
            <w:r>
              <w:rPr>
                <w:bCs/>
                <w:color w:val="000000"/>
                <w:szCs w:val="21"/>
              </w:rPr>
              <w:t>74,044.81</w:t>
            </w:r>
          </w:p>
        </w:tc>
      </w:tr>
      <w:tr w:rsidR="00B536C4">
        <w:tc>
          <w:tcPr>
            <w:tcW w:w="2127" w:type="dxa"/>
            <w:vAlign w:val="center"/>
          </w:tcPr>
          <w:p w:rsidR="00B536C4" w:rsidRDefault="00CC45D2">
            <w:pPr>
              <w:jc w:val="left"/>
            </w:pPr>
            <w:r>
              <w:rPr>
                <w:bCs/>
                <w:color w:val="000000"/>
                <w:szCs w:val="21"/>
              </w:rPr>
              <w:t>摩根大通银行</w:t>
            </w:r>
          </w:p>
        </w:tc>
        <w:tc>
          <w:tcPr>
            <w:tcW w:w="1701" w:type="dxa"/>
            <w:vAlign w:val="center"/>
          </w:tcPr>
          <w:p w:rsidR="00B536C4" w:rsidRDefault="00CC45D2">
            <w:pPr>
              <w:jc w:val="right"/>
            </w:pPr>
            <w:r>
              <w:rPr>
                <w:bCs/>
                <w:color w:val="000000"/>
                <w:szCs w:val="21"/>
              </w:rPr>
              <w:t>11,821,355.56</w:t>
            </w:r>
          </w:p>
        </w:tc>
        <w:tc>
          <w:tcPr>
            <w:tcW w:w="1701" w:type="dxa"/>
            <w:vAlign w:val="center"/>
          </w:tcPr>
          <w:p w:rsidR="00B536C4" w:rsidRDefault="00CC45D2">
            <w:pPr>
              <w:jc w:val="right"/>
            </w:pPr>
            <w:r>
              <w:rPr>
                <w:bCs/>
                <w:color w:val="000000"/>
                <w:szCs w:val="21"/>
              </w:rPr>
              <w:t>-</w:t>
            </w:r>
          </w:p>
        </w:tc>
        <w:tc>
          <w:tcPr>
            <w:tcW w:w="1701" w:type="dxa"/>
            <w:vAlign w:val="center"/>
          </w:tcPr>
          <w:p w:rsidR="00B536C4" w:rsidRDefault="00CC45D2">
            <w:pPr>
              <w:jc w:val="right"/>
            </w:pPr>
            <w:r>
              <w:rPr>
                <w:bCs/>
                <w:color w:val="000000"/>
                <w:szCs w:val="21"/>
              </w:rPr>
              <w:t>2,227,291.42</w:t>
            </w:r>
          </w:p>
        </w:tc>
        <w:tc>
          <w:tcPr>
            <w:tcW w:w="1770" w:type="dxa"/>
            <w:vAlign w:val="center"/>
          </w:tcPr>
          <w:p w:rsidR="00B536C4" w:rsidRDefault="00CC45D2">
            <w:pPr>
              <w:jc w:val="right"/>
            </w:pPr>
            <w:r>
              <w:rPr>
                <w:bCs/>
                <w:color w:val="000000"/>
                <w:szCs w:val="21"/>
              </w:rPr>
              <w:t>-</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注：本基金的银行存款分别由基金境内托管人和境外资产托管人保管，按适用利率或约定利率计息。</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7.4.10.6</w:t>
      </w:r>
      <w:r w:rsidR="002D0B5F" w:rsidRPr="00E53CFC">
        <w:rPr>
          <w:rFonts w:hint="eastAsia"/>
          <w:b/>
          <w:bCs/>
          <w:color w:val="000000"/>
          <w:kern w:val="0"/>
          <w:sz w:val="24"/>
        </w:rPr>
        <w:t xml:space="preserve"> </w:t>
      </w:r>
      <w:r w:rsidRPr="00E53CFC">
        <w:rPr>
          <w:rFonts w:hint="eastAsia"/>
          <w:b/>
          <w:bCs/>
          <w:color w:val="000000"/>
          <w:kern w:val="0"/>
          <w:sz w:val="24"/>
        </w:rPr>
        <w:t>本基金在承销期内参与关联方承销证券的情况</w:t>
      </w:r>
    </w:p>
    <w:p w:rsidR="009A6ECD" w:rsidRPr="00B323A0" w:rsidRDefault="009A6ECD" w:rsidP="00B323A0">
      <w:pPr>
        <w:tabs>
          <w:tab w:val="left" w:pos="426"/>
        </w:tabs>
        <w:spacing w:before="29" w:line="288" w:lineRule="auto"/>
        <w:jc w:val="left"/>
        <w:rPr>
          <w:kern w:val="0"/>
          <w:sz w:val="24"/>
        </w:rPr>
      </w:pPr>
      <w:r w:rsidRPr="00B323A0">
        <w:rPr>
          <w:kern w:val="0"/>
          <w:sz w:val="24"/>
        </w:rPr>
        <w:t>本基金本报告期内及上年度可比期间未在承销期内参与关联方承销证券。</w:t>
      </w:r>
    </w:p>
    <w:p w:rsidR="007B62FA" w:rsidRPr="00D0372D" w:rsidRDefault="007B62FA" w:rsidP="00417F87">
      <w:pPr>
        <w:adjustRightInd w:val="0"/>
        <w:snapToGrid w:val="0"/>
        <w:spacing w:line="360" w:lineRule="auto"/>
        <w:jc w:val="left"/>
        <w:rPr>
          <w:rFonts w:ascii="宋体" w:hAnsi="宋体"/>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7.4.10.7</w:t>
      </w:r>
      <w:r w:rsidR="002D0B5F" w:rsidRPr="00E53CFC">
        <w:rPr>
          <w:rFonts w:hint="eastAsia"/>
          <w:b/>
          <w:bCs/>
          <w:color w:val="000000"/>
          <w:kern w:val="0"/>
          <w:sz w:val="24"/>
        </w:rPr>
        <w:t xml:space="preserve"> </w:t>
      </w:r>
      <w:r w:rsidRPr="00E53CFC">
        <w:rPr>
          <w:rFonts w:hint="eastAsia"/>
          <w:b/>
          <w:bCs/>
          <w:color w:val="000000"/>
          <w:kern w:val="0"/>
          <w:sz w:val="24"/>
        </w:rPr>
        <w:t>其他关联交易事项的说明</w:t>
      </w:r>
    </w:p>
    <w:p w:rsidR="007B62FA" w:rsidRPr="004932B3" w:rsidRDefault="007B62FA" w:rsidP="00C0273E">
      <w:pPr>
        <w:tabs>
          <w:tab w:val="left" w:pos="426"/>
        </w:tabs>
        <w:spacing w:before="29" w:line="288" w:lineRule="auto"/>
        <w:rPr>
          <w:kern w:val="0"/>
          <w:sz w:val="24"/>
        </w:rPr>
      </w:pPr>
      <w:r w:rsidRPr="004932B3">
        <w:rPr>
          <w:kern w:val="0"/>
          <w:sz w:val="24"/>
        </w:rPr>
        <w:t>本基金本报告期内及上年度可比期间无其他关联交易事项。</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7.4.11</w:t>
      </w:r>
      <w:r w:rsidR="002D0B5F" w:rsidRPr="00E53CFC">
        <w:rPr>
          <w:rFonts w:hint="eastAsia"/>
          <w:b/>
          <w:bCs/>
          <w:color w:val="000000"/>
          <w:kern w:val="0"/>
          <w:sz w:val="24"/>
        </w:rPr>
        <w:t xml:space="preserve"> </w:t>
      </w:r>
      <w:r w:rsidRPr="00E53CFC">
        <w:rPr>
          <w:rFonts w:hint="eastAsia"/>
          <w:b/>
          <w:bCs/>
          <w:color w:val="000000"/>
          <w:kern w:val="0"/>
          <w:sz w:val="24"/>
        </w:rPr>
        <w:t>利润分配情况</w:t>
      </w:r>
    </w:p>
    <w:p w:rsidR="00A80D3B" w:rsidRDefault="00A80D3B" w:rsidP="00A80D3B">
      <w:pPr>
        <w:tabs>
          <w:tab w:val="left" w:pos="426"/>
        </w:tabs>
        <w:spacing w:before="29" w:line="288" w:lineRule="auto"/>
        <w:jc w:val="left"/>
        <w:rPr>
          <w:kern w:val="0"/>
          <w:sz w:val="24"/>
        </w:rPr>
      </w:pPr>
      <w:r w:rsidRPr="00A80D3B">
        <w:rPr>
          <w:kern w:val="0"/>
          <w:sz w:val="24"/>
        </w:rPr>
        <w:t>本基金本报告期内未进行利润分配。</w:t>
      </w:r>
    </w:p>
    <w:p w:rsidR="00DA7A37" w:rsidRPr="00A80D3B" w:rsidRDefault="00DA7A37" w:rsidP="00A80D3B">
      <w:pPr>
        <w:tabs>
          <w:tab w:val="left" w:pos="426"/>
        </w:tabs>
        <w:spacing w:before="29" w:line="288" w:lineRule="auto"/>
        <w:jc w:val="left"/>
        <w:rPr>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7.4.12</w:t>
      </w:r>
      <w:r w:rsidR="002D0B5F" w:rsidRPr="00E53CFC">
        <w:rPr>
          <w:rFonts w:hint="eastAsia"/>
          <w:b/>
          <w:bCs/>
          <w:color w:val="000000"/>
          <w:kern w:val="0"/>
          <w:sz w:val="24"/>
        </w:rPr>
        <w:t xml:space="preserve"> </w:t>
      </w:r>
      <w:r w:rsidRPr="00E53CFC">
        <w:rPr>
          <w:rFonts w:hint="eastAsia"/>
          <w:b/>
          <w:bCs/>
          <w:color w:val="000000"/>
          <w:kern w:val="0"/>
          <w:sz w:val="24"/>
        </w:rPr>
        <w:t>期末（</w:t>
      </w:r>
      <w:r w:rsidR="00ED2997" w:rsidRPr="00E53CFC">
        <w:rPr>
          <w:b/>
          <w:bCs/>
          <w:color w:val="000000"/>
          <w:kern w:val="0"/>
          <w:sz w:val="24"/>
        </w:rPr>
        <w:t>2016</w:t>
      </w:r>
      <w:r w:rsidR="00ED2997" w:rsidRPr="00E53CFC">
        <w:rPr>
          <w:b/>
          <w:bCs/>
          <w:color w:val="000000"/>
          <w:kern w:val="0"/>
          <w:sz w:val="24"/>
        </w:rPr>
        <w:t>年</w:t>
      </w:r>
      <w:r w:rsidR="00ED2997" w:rsidRPr="00E53CFC">
        <w:rPr>
          <w:b/>
          <w:bCs/>
          <w:color w:val="000000"/>
          <w:kern w:val="0"/>
          <w:sz w:val="24"/>
        </w:rPr>
        <w:t>12</w:t>
      </w:r>
      <w:r w:rsidR="00ED2997" w:rsidRPr="00E53CFC">
        <w:rPr>
          <w:b/>
          <w:bCs/>
          <w:color w:val="000000"/>
          <w:kern w:val="0"/>
          <w:sz w:val="24"/>
        </w:rPr>
        <w:t>月</w:t>
      </w:r>
      <w:r w:rsidR="00ED2997" w:rsidRPr="00E53CFC">
        <w:rPr>
          <w:b/>
          <w:bCs/>
          <w:color w:val="000000"/>
          <w:kern w:val="0"/>
          <w:sz w:val="24"/>
        </w:rPr>
        <w:t>31</w:t>
      </w:r>
      <w:r w:rsidR="00ED2997" w:rsidRPr="00E53CFC">
        <w:rPr>
          <w:b/>
          <w:bCs/>
          <w:color w:val="000000"/>
          <w:kern w:val="0"/>
          <w:sz w:val="24"/>
        </w:rPr>
        <w:t>日</w:t>
      </w:r>
      <w:r w:rsidRPr="00E53CFC">
        <w:rPr>
          <w:rFonts w:hint="eastAsia"/>
          <w:b/>
          <w:bCs/>
          <w:color w:val="000000"/>
          <w:kern w:val="0"/>
          <w:sz w:val="24"/>
        </w:rPr>
        <w:t>）本基金持有的流通受限证券</w:t>
      </w:r>
    </w:p>
    <w:p w:rsidR="007B62FA" w:rsidRPr="00E53CFC" w:rsidRDefault="007B62FA" w:rsidP="00E53CFC">
      <w:pPr>
        <w:spacing w:before="29" w:line="288" w:lineRule="auto"/>
        <w:rPr>
          <w:b/>
          <w:bCs/>
          <w:color w:val="000000"/>
          <w:kern w:val="0"/>
          <w:sz w:val="24"/>
        </w:rPr>
      </w:pPr>
      <w:r w:rsidRPr="00E53CFC">
        <w:rPr>
          <w:b/>
          <w:bCs/>
          <w:color w:val="000000"/>
          <w:kern w:val="0"/>
          <w:sz w:val="24"/>
        </w:rPr>
        <w:t>7.4.12.1</w:t>
      </w:r>
      <w:r w:rsidR="002D0B5F" w:rsidRPr="00E53CFC">
        <w:rPr>
          <w:rFonts w:hint="eastAsia"/>
          <w:b/>
          <w:bCs/>
          <w:color w:val="000000"/>
          <w:kern w:val="0"/>
          <w:sz w:val="24"/>
        </w:rPr>
        <w:t xml:space="preserve"> </w:t>
      </w:r>
      <w:r w:rsidRPr="00E53CFC">
        <w:rPr>
          <w:rFonts w:hint="eastAsia"/>
          <w:b/>
          <w:bCs/>
          <w:color w:val="000000"/>
          <w:kern w:val="0"/>
          <w:sz w:val="24"/>
        </w:rPr>
        <w:t>因认购新发</w:t>
      </w:r>
      <w:r w:rsidRPr="00E53CFC">
        <w:rPr>
          <w:b/>
          <w:bCs/>
          <w:color w:val="000000"/>
          <w:kern w:val="0"/>
          <w:sz w:val="24"/>
        </w:rPr>
        <w:t>/</w:t>
      </w:r>
      <w:r w:rsidRPr="00E53CFC">
        <w:rPr>
          <w:rFonts w:hint="eastAsia"/>
          <w:b/>
          <w:bCs/>
          <w:color w:val="000000"/>
          <w:kern w:val="0"/>
          <w:sz w:val="24"/>
        </w:rPr>
        <w:t>增发证券而于期末持有的流通受限证券</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本基金本报告期末未持有因认购新发</w:t>
      </w:r>
      <w:r w:rsidRPr="00B323A0">
        <w:rPr>
          <w:kern w:val="0"/>
          <w:sz w:val="24"/>
        </w:rPr>
        <w:t>/</w:t>
      </w:r>
      <w:r w:rsidRPr="00B323A0">
        <w:rPr>
          <w:kern w:val="0"/>
          <w:sz w:val="24"/>
        </w:rPr>
        <w:t>增发证券而流通受限的证券。</w:t>
      </w:r>
    </w:p>
    <w:p w:rsidR="007B62FA" w:rsidRPr="00D0372D" w:rsidRDefault="007B62FA" w:rsidP="00417F87">
      <w:pPr>
        <w:spacing w:line="360" w:lineRule="auto"/>
        <w:rPr>
          <w:rFonts w:ascii="宋体" w:hAnsi="宋体"/>
          <w:color w:val="000000"/>
          <w:szCs w:val="21"/>
        </w:rPr>
      </w:pPr>
    </w:p>
    <w:p w:rsidR="007B62FA" w:rsidRPr="00D0372D" w:rsidRDefault="007B62FA" w:rsidP="00E53CFC">
      <w:pPr>
        <w:spacing w:before="29" w:line="288" w:lineRule="auto"/>
        <w:rPr>
          <w:rFonts w:ascii="宋体" w:hAnsi="宋体"/>
          <w:b/>
          <w:bCs/>
          <w:color w:val="000000"/>
          <w:szCs w:val="21"/>
        </w:rPr>
      </w:pPr>
      <w:r w:rsidRPr="00E53CFC">
        <w:rPr>
          <w:b/>
          <w:bCs/>
          <w:color w:val="000000"/>
          <w:kern w:val="0"/>
          <w:sz w:val="24"/>
        </w:rPr>
        <w:t>7.4.12.2</w:t>
      </w:r>
      <w:r w:rsidR="002D0B5F" w:rsidRPr="00E53CFC">
        <w:rPr>
          <w:rFonts w:hint="eastAsia"/>
          <w:b/>
          <w:bCs/>
          <w:color w:val="000000"/>
          <w:kern w:val="0"/>
          <w:sz w:val="24"/>
        </w:rPr>
        <w:t xml:space="preserve"> </w:t>
      </w:r>
      <w:r w:rsidRPr="00E53CFC">
        <w:rPr>
          <w:rFonts w:hint="eastAsia"/>
          <w:b/>
          <w:bCs/>
          <w:color w:val="000000"/>
          <w:kern w:val="0"/>
          <w:sz w:val="24"/>
        </w:rPr>
        <w:t>期末持有的暂时停牌等流通受限股票</w:t>
      </w:r>
    </w:p>
    <w:p w:rsidR="00076F3E" w:rsidRPr="00D754A9" w:rsidRDefault="00076F3E" w:rsidP="00076F3E">
      <w:pPr>
        <w:tabs>
          <w:tab w:val="left" w:pos="426"/>
        </w:tabs>
        <w:spacing w:before="29" w:line="288" w:lineRule="auto"/>
        <w:jc w:val="left"/>
        <w:rPr>
          <w:kern w:val="0"/>
          <w:sz w:val="24"/>
        </w:rPr>
      </w:pPr>
      <w:r w:rsidRPr="00D754A9">
        <w:rPr>
          <w:kern w:val="0"/>
          <w:sz w:val="24"/>
        </w:rPr>
        <w:t>本基金本报告期末未持有暂时停牌等流通受限股票。</w:t>
      </w:r>
    </w:p>
    <w:p w:rsidR="0012764F" w:rsidRPr="00076F3E" w:rsidRDefault="0012764F"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lastRenderedPageBreak/>
        <w:t>7.4.12.3</w:t>
      </w:r>
      <w:r w:rsidR="002D0B5F" w:rsidRPr="00E53CFC">
        <w:rPr>
          <w:rFonts w:hint="eastAsia"/>
          <w:b/>
          <w:bCs/>
          <w:color w:val="000000"/>
          <w:kern w:val="0"/>
          <w:sz w:val="24"/>
        </w:rPr>
        <w:t xml:space="preserve"> </w:t>
      </w:r>
      <w:r w:rsidRPr="00E53CFC">
        <w:rPr>
          <w:rFonts w:hint="eastAsia"/>
          <w:b/>
          <w:bCs/>
          <w:color w:val="000000"/>
          <w:kern w:val="0"/>
          <w:sz w:val="24"/>
        </w:rPr>
        <w:t>期末债券正回购交易中作为抵押的债券</w:t>
      </w:r>
    </w:p>
    <w:p w:rsidR="00A675A4" w:rsidRPr="00BD2D67" w:rsidRDefault="007B62FA" w:rsidP="00BD2D67">
      <w:pPr>
        <w:tabs>
          <w:tab w:val="left" w:pos="426"/>
        </w:tabs>
        <w:spacing w:before="29" w:line="288" w:lineRule="auto"/>
        <w:rPr>
          <w:kern w:val="0"/>
          <w:sz w:val="24"/>
        </w:rPr>
      </w:pPr>
      <w:r w:rsidRPr="00BD2D67">
        <w:rPr>
          <w:kern w:val="0"/>
          <w:sz w:val="24"/>
        </w:rPr>
        <w:t>本基金本报告期末无从事债券正回购交易形成的卖出回购证券款余额。</w:t>
      </w:r>
    </w:p>
    <w:p w:rsidR="005C685C" w:rsidRDefault="005C685C" w:rsidP="00E53CFC">
      <w:pPr>
        <w:spacing w:before="29" w:line="288" w:lineRule="auto"/>
        <w:rPr>
          <w:b/>
          <w:bCs/>
          <w:color w:val="000000"/>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w:t>
      </w:r>
      <w:r w:rsidR="002D0B5F" w:rsidRPr="00E53CFC">
        <w:rPr>
          <w:rFonts w:hint="eastAsia"/>
          <w:b/>
          <w:bCs/>
          <w:color w:val="000000"/>
          <w:kern w:val="0"/>
          <w:sz w:val="24"/>
        </w:rPr>
        <w:t xml:space="preserve"> </w:t>
      </w:r>
      <w:r w:rsidRPr="00E53CFC">
        <w:rPr>
          <w:rFonts w:hint="eastAsia"/>
          <w:b/>
          <w:bCs/>
          <w:color w:val="000000"/>
          <w:kern w:val="0"/>
          <w:sz w:val="24"/>
        </w:rPr>
        <w:t>金融工具风险及管理</w:t>
      </w:r>
    </w:p>
    <w:p w:rsidR="007B62FA" w:rsidRPr="00E53CFC" w:rsidRDefault="007B62FA" w:rsidP="00E53CFC">
      <w:pPr>
        <w:spacing w:before="29" w:line="288" w:lineRule="auto"/>
        <w:rPr>
          <w:b/>
          <w:bCs/>
          <w:color w:val="000000"/>
          <w:kern w:val="0"/>
          <w:sz w:val="24"/>
        </w:rPr>
      </w:pPr>
      <w:r w:rsidRPr="00E53CFC">
        <w:rPr>
          <w:b/>
          <w:bCs/>
          <w:color w:val="000000"/>
          <w:kern w:val="0"/>
          <w:sz w:val="24"/>
        </w:rPr>
        <w:t>7.4.13.1</w:t>
      </w:r>
      <w:r w:rsidR="002D0B5F" w:rsidRPr="00E53CFC">
        <w:rPr>
          <w:rFonts w:hint="eastAsia"/>
          <w:b/>
          <w:bCs/>
          <w:color w:val="000000"/>
          <w:kern w:val="0"/>
          <w:sz w:val="24"/>
        </w:rPr>
        <w:t xml:space="preserve"> </w:t>
      </w:r>
      <w:r w:rsidRPr="00E53CFC">
        <w:rPr>
          <w:rFonts w:hint="eastAsia"/>
          <w:b/>
          <w:bCs/>
          <w:color w:val="000000"/>
          <w:kern w:val="0"/>
          <w:sz w:val="24"/>
        </w:rPr>
        <w:t>风险管理政策和组织架构</w:t>
      </w:r>
    </w:p>
    <w:p w:rsidR="00B536C4" w:rsidRDefault="00CC45D2">
      <w:pPr>
        <w:tabs>
          <w:tab w:val="left" w:pos="426"/>
        </w:tabs>
        <w:spacing w:before="29" w:line="288" w:lineRule="auto"/>
        <w:ind w:firstLineChars="200" w:firstLine="480"/>
        <w:rPr>
          <w:kern w:val="0"/>
          <w:sz w:val="24"/>
        </w:rPr>
      </w:pPr>
      <w:r>
        <w:rPr>
          <w:kern w:val="0"/>
          <w:sz w:val="24"/>
        </w:rPr>
        <w:t>本基金为主要投资全球范围内自然资源相关行业上市公司的主动股票型基金，风险与预期收益高于混合型基金和债券基金，属于承担较高风险、预期收益较高的证券投资基金品种。本基金在日常经营活动中涉及的风险主要包括信用风险、流动性风险及市场风险。此外，本基金在全球范围内进行投资，除了需要承担国际市场的市场波动风险之外，还面临汇率风险、国别风险、新兴市场风险等海外市场投资所面临的特别投资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风险和收益相匹配</w:t>
      </w:r>
      <w:r>
        <w:rPr>
          <w:kern w:val="0"/>
          <w:sz w:val="24"/>
        </w:rPr>
        <w:t>”</w:t>
      </w:r>
      <w:r>
        <w:rPr>
          <w:kern w:val="0"/>
          <w:sz w:val="24"/>
        </w:rPr>
        <w:t>的风险收益目标。</w:t>
      </w:r>
    </w:p>
    <w:p w:rsidR="00B536C4" w:rsidRDefault="00CC45D2">
      <w:pPr>
        <w:tabs>
          <w:tab w:val="left" w:pos="426"/>
        </w:tabs>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rsidR="00B536C4" w:rsidRDefault="00CC45D2">
      <w:pPr>
        <w:tabs>
          <w:tab w:val="left" w:pos="426"/>
        </w:tabs>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rsidR="007B62FA" w:rsidRPr="00173CE0" w:rsidRDefault="007B62FA" w:rsidP="00173CE0">
      <w:pPr>
        <w:tabs>
          <w:tab w:val="left" w:pos="426"/>
        </w:tabs>
        <w:spacing w:before="29" w:line="288" w:lineRule="auto"/>
        <w:ind w:firstLineChars="200" w:firstLine="480"/>
        <w:rPr>
          <w:kern w:val="0"/>
          <w:sz w:val="24"/>
        </w:rPr>
      </w:pPr>
      <w:r w:rsidRPr="00173CE0">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7B62FA" w:rsidRPr="00D0372D" w:rsidRDefault="007B62FA" w:rsidP="009138EB">
      <w:pPr>
        <w:adjustRightInd w:val="0"/>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7.4.13.2</w:t>
      </w:r>
      <w:r w:rsidR="002D0B5F" w:rsidRPr="00E53CFC">
        <w:rPr>
          <w:rFonts w:hint="eastAsia"/>
          <w:b/>
          <w:bCs/>
          <w:color w:val="000000"/>
          <w:kern w:val="0"/>
          <w:sz w:val="24"/>
        </w:rPr>
        <w:t xml:space="preserve"> </w:t>
      </w:r>
      <w:r w:rsidRPr="00E53CFC">
        <w:rPr>
          <w:rFonts w:hint="eastAsia"/>
          <w:b/>
          <w:bCs/>
          <w:color w:val="000000"/>
          <w:kern w:val="0"/>
          <w:sz w:val="24"/>
        </w:rPr>
        <w:t>信用风险</w:t>
      </w:r>
    </w:p>
    <w:p w:rsidR="00B536C4" w:rsidRDefault="00CC45D2">
      <w:pPr>
        <w:tabs>
          <w:tab w:val="left" w:pos="426"/>
        </w:tabs>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B536C4" w:rsidRDefault="00CC45D2">
      <w:pPr>
        <w:tabs>
          <w:tab w:val="left" w:pos="426"/>
        </w:tabs>
        <w:spacing w:before="29" w:line="288" w:lineRule="auto"/>
        <w:ind w:firstLineChars="200" w:firstLine="480"/>
        <w:rPr>
          <w:kern w:val="0"/>
          <w:sz w:val="24"/>
        </w:rPr>
      </w:pPr>
      <w:r>
        <w:rPr>
          <w:kern w:val="0"/>
          <w:sz w:val="24"/>
        </w:rPr>
        <w:t>为了规避信用风险，本基金的基金管理人在交易前对交易对手的资信状况进行充分的评估。本基金的银行存款存放在本基金的托管行中国建设银行以及</w:t>
      </w:r>
      <w:proofErr w:type="gramStart"/>
      <w:r>
        <w:rPr>
          <w:kern w:val="0"/>
          <w:sz w:val="24"/>
        </w:rPr>
        <w:t>境外次</w:t>
      </w:r>
      <w:proofErr w:type="gramEnd"/>
      <w:r>
        <w:rPr>
          <w:kern w:val="0"/>
          <w:sz w:val="24"/>
        </w:rPr>
        <w:t>托管行摩根大通银行，因而与银行存款相关的信用风险不重大。本基金在在境内交易所进行的债券交易均以中国证券登记结算有限责任公司为交易对手完成证券交收和款项清算，在境外</w:t>
      </w:r>
      <w:r>
        <w:rPr>
          <w:kern w:val="0"/>
          <w:sz w:val="24"/>
        </w:rPr>
        <w:lastRenderedPageBreak/>
        <w:t>交易所进行的交易均通过有资格的经纪商进行证券交收和款项清算，因此违约风险发生的可能性不重大。</w:t>
      </w:r>
    </w:p>
    <w:p w:rsidR="007B62FA" w:rsidRPr="00173CE0" w:rsidRDefault="007B62FA" w:rsidP="00173CE0">
      <w:pPr>
        <w:tabs>
          <w:tab w:val="left" w:pos="426"/>
        </w:tabs>
        <w:spacing w:before="29" w:line="288" w:lineRule="auto"/>
        <w:ind w:firstLineChars="200" w:firstLine="480"/>
        <w:rPr>
          <w:kern w:val="0"/>
          <w:sz w:val="24"/>
        </w:rPr>
      </w:pPr>
      <w:r w:rsidRPr="00173CE0">
        <w:rPr>
          <w:kern w:val="0"/>
          <w:sz w:val="24"/>
        </w:rPr>
        <w:t>本基金的基金管理人建立了信用风险管理流程，通过对投资品种的信用等级评估来控制证券发行人的信用风险，且通过分散化投资以分散信用风险。于</w:t>
      </w:r>
      <w:r w:rsidRPr="00173CE0">
        <w:rPr>
          <w:kern w:val="0"/>
          <w:sz w:val="24"/>
        </w:rPr>
        <w:t>2016</w:t>
      </w:r>
      <w:r w:rsidRPr="00173CE0">
        <w:rPr>
          <w:kern w:val="0"/>
          <w:sz w:val="24"/>
        </w:rPr>
        <w:t>年</w:t>
      </w:r>
      <w:r w:rsidRPr="00173CE0">
        <w:rPr>
          <w:kern w:val="0"/>
          <w:sz w:val="24"/>
        </w:rPr>
        <w:t>12</w:t>
      </w:r>
      <w:r w:rsidRPr="00173CE0">
        <w:rPr>
          <w:kern w:val="0"/>
          <w:sz w:val="24"/>
        </w:rPr>
        <w:t>月</w:t>
      </w:r>
      <w:r w:rsidRPr="00173CE0">
        <w:rPr>
          <w:kern w:val="0"/>
          <w:sz w:val="24"/>
        </w:rPr>
        <w:t>31</w:t>
      </w:r>
      <w:r w:rsidRPr="00173CE0">
        <w:rPr>
          <w:kern w:val="0"/>
          <w:sz w:val="24"/>
        </w:rPr>
        <w:t>日，本基金未持有信用类债券</w:t>
      </w:r>
      <w:r w:rsidRPr="00173CE0">
        <w:rPr>
          <w:kern w:val="0"/>
          <w:sz w:val="24"/>
        </w:rPr>
        <w:t>(2015</w:t>
      </w:r>
      <w:r w:rsidRPr="00173CE0">
        <w:rPr>
          <w:kern w:val="0"/>
          <w:sz w:val="24"/>
        </w:rPr>
        <w:t>年</w:t>
      </w:r>
      <w:r w:rsidRPr="00173CE0">
        <w:rPr>
          <w:kern w:val="0"/>
          <w:sz w:val="24"/>
        </w:rPr>
        <w:t>12</w:t>
      </w:r>
      <w:r w:rsidRPr="00173CE0">
        <w:rPr>
          <w:kern w:val="0"/>
          <w:sz w:val="24"/>
        </w:rPr>
        <w:t>月</w:t>
      </w:r>
      <w:r w:rsidRPr="00173CE0">
        <w:rPr>
          <w:kern w:val="0"/>
          <w:sz w:val="24"/>
        </w:rPr>
        <w:t>31</w:t>
      </w:r>
      <w:r w:rsidRPr="00173CE0">
        <w:rPr>
          <w:kern w:val="0"/>
          <w:sz w:val="24"/>
        </w:rPr>
        <w:t>日：无</w:t>
      </w:r>
      <w:r w:rsidRPr="00173CE0">
        <w:rPr>
          <w:kern w:val="0"/>
          <w:sz w:val="24"/>
        </w:rPr>
        <w:t>)</w:t>
      </w:r>
      <w:r w:rsidRPr="00173CE0">
        <w:rPr>
          <w:kern w:val="0"/>
          <w:sz w:val="24"/>
        </w:rPr>
        <w:t>。</w:t>
      </w:r>
    </w:p>
    <w:p w:rsidR="007B62FA" w:rsidRPr="00D0372D" w:rsidRDefault="007B62FA" w:rsidP="009138EB">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7.4.13.3</w:t>
      </w:r>
      <w:r w:rsidR="002D0B5F" w:rsidRPr="00E53CFC">
        <w:rPr>
          <w:rFonts w:hint="eastAsia"/>
          <w:b/>
          <w:bCs/>
          <w:color w:val="000000"/>
          <w:kern w:val="0"/>
          <w:sz w:val="24"/>
        </w:rPr>
        <w:t xml:space="preserve"> </w:t>
      </w:r>
      <w:r w:rsidRPr="00E53CFC">
        <w:rPr>
          <w:rFonts w:hint="eastAsia"/>
          <w:b/>
          <w:bCs/>
          <w:color w:val="000000"/>
          <w:kern w:val="0"/>
          <w:sz w:val="24"/>
        </w:rPr>
        <w:t>流动性风险</w:t>
      </w:r>
    </w:p>
    <w:p w:rsidR="00B536C4" w:rsidRDefault="00CC45D2">
      <w:pPr>
        <w:tabs>
          <w:tab w:val="left" w:pos="426"/>
        </w:tabs>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536C4" w:rsidRDefault="00CC45D2">
      <w:pPr>
        <w:tabs>
          <w:tab w:val="left" w:pos="426"/>
        </w:tabs>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536C4" w:rsidRDefault="00CC45D2">
      <w:pPr>
        <w:tabs>
          <w:tab w:val="left" w:pos="426"/>
        </w:tabs>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Pr>
          <w:kern w:val="0"/>
          <w:sz w:val="24"/>
        </w:rPr>
        <w:t>流通受</w:t>
      </w:r>
      <w:proofErr w:type="gramEnd"/>
      <w:r>
        <w:rPr>
          <w:kern w:val="0"/>
          <w:sz w:val="24"/>
        </w:rPr>
        <w:t>限制的投资品种比例等。本基金投资于一家公司发行的股票市值不超过基金资产净值的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。本基金持有境外基金的市值合计不得超过基金净值的</w:t>
      </w:r>
      <w:r>
        <w:rPr>
          <w:kern w:val="0"/>
          <w:sz w:val="24"/>
        </w:rPr>
        <w:t>10%</w:t>
      </w:r>
      <w:r>
        <w:rPr>
          <w:kern w:val="0"/>
          <w:sz w:val="24"/>
        </w:rPr>
        <w:t>，持有货币市场基金可以不受上述限制，且本基金与由本基金的基金管理人管理的其他基金共同持有任何一只境外基金，不得超过该境外基金总份额的</w:t>
      </w:r>
      <w:r>
        <w:rPr>
          <w:kern w:val="0"/>
          <w:sz w:val="24"/>
        </w:rPr>
        <w:t>20%</w:t>
      </w:r>
      <w:r>
        <w:rPr>
          <w:kern w:val="0"/>
          <w:sz w:val="24"/>
        </w:rPr>
        <w:t>。本基金所持所有证券均在证券交易所上市，均能以合理价格适时变现。</w:t>
      </w:r>
    </w:p>
    <w:p w:rsidR="007B62FA" w:rsidRPr="00BA2608" w:rsidRDefault="007B62FA" w:rsidP="00BA2608">
      <w:pPr>
        <w:tabs>
          <w:tab w:val="left" w:pos="426"/>
        </w:tabs>
        <w:spacing w:before="29" w:line="288" w:lineRule="auto"/>
        <w:ind w:firstLineChars="200" w:firstLine="480"/>
        <w:rPr>
          <w:kern w:val="0"/>
          <w:sz w:val="24"/>
        </w:rPr>
      </w:pPr>
      <w:r w:rsidRPr="00BA2608">
        <w:rPr>
          <w:kern w:val="0"/>
          <w:sz w:val="24"/>
        </w:rPr>
        <w:t>于</w:t>
      </w:r>
      <w:r w:rsidRPr="00BA2608">
        <w:rPr>
          <w:kern w:val="0"/>
          <w:sz w:val="24"/>
        </w:rPr>
        <w:t>2016</w:t>
      </w:r>
      <w:r w:rsidRPr="00BA2608">
        <w:rPr>
          <w:kern w:val="0"/>
          <w:sz w:val="24"/>
        </w:rPr>
        <w:t>年</w:t>
      </w:r>
      <w:r w:rsidRPr="00BA2608">
        <w:rPr>
          <w:kern w:val="0"/>
          <w:sz w:val="24"/>
        </w:rPr>
        <w:t>12</w:t>
      </w:r>
      <w:r w:rsidRPr="00BA2608">
        <w:rPr>
          <w:kern w:val="0"/>
          <w:sz w:val="24"/>
        </w:rPr>
        <w:t>月</w:t>
      </w:r>
      <w:r w:rsidRPr="00BA2608">
        <w:rPr>
          <w:kern w:val="0"/>
          <w:sz w:val="24"/>
        </w:rPr>
        <w:t>31</w:t>
      </w:r>
      <w:r w:rsidRPr="00BA2608">
        <w:rPr>
          <w:kern w:val="0"/>
          <w:sz w:val="24"/>
        </w:rPr>
        <w:t>日，本基金所承担的全部金融负债的合约约定到期日均为一个月以内且不计息，可赎回基金份额净值</w:t>
      </w:r>
      <w:r w:rsidRPr="00BA2608">
        <w:rPr>
          <w:kern w:val="0"/>
          <w:sz w:val="24"/>
        </w:rPr>
        <w:t xml:space="preserve"> (</w:t>
      </w:r>
      <w:r w:rsidRPr="00BA2608">
        <w:rPr>
          <w:kern w:val="0"/>
          <w:sz w:val="24"/>
        </w:rPr>
        <w:t>所有者权益</w:t>
      </w:r>
      <w:r w:rsidRPr="00BA2608">
        <w:rPr>
          <w:kern w:val="0"/>
          <w:sz w:val="24"/>
        </w:rPr>
        <w:t>)</w:t>
      </w:r>
      <w:r w:rsidRPr="00BA2608">
        <w:rPr>
          <w:kern w:val="0"/>
          <w:sz w:val="24"/>
        </w:rPr>
        <w:t>无固定</w:t>
      </w:r>
      <w:proofErr w:type="gramStart"/>
      <w:r w:rsidRPr="00BA2608">
        <w:rPr>
          <w:kern w:val="0"/>
          <w:sz w:val="24"/>
        </w:rPr>
        <w:t>到期日且不计</w:t>
      </w:r>
      <w:proofErr w:type="gramEnd"/>
      <w:r w:rsidRPr="00BA2608">
        <w:rPr>
          <w:kern w:val="0"/>
          <w:sz w:val="24"/>
        </w:rPr>
        <w:t>息，因此账面余额即为未折现的合约到期现金流量。</w:t>
      </w:r>
    </w:p>
    <w:p w:rsidR="00A853D5" w:rsidRPr="00D0372D" w:rsidRDefault="00A853D5" w:rsidP="009138EB">
      <w:pPr>
        <w:widowControl/>
        <w:spacing w:line="360" w:lineRule="auto"/>
        <w:ind w:firstLineChars="200" w:firstLine="420"/>
        <w:rPr>
          <w:rFonts w:ascii="宋体" w:hAnsi="宋体" w:cs="宋体"/>
          <w:kern w:val="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w:t>
      </w:r>
      <w:r w:rsidR="002D0B5F" w:rsidRPr="00E53CFC">
        <w:rPr>
          <w:rFonts w:hint="eastAsia"/>
          <w:b/>
          <w:bCs/>
          <w:color w:val="000000"/>
          <w:kern w:val="0"/>
          <w:sz w:val="24"/>
        </w:rPr>
        <w:t xml:space="preserve"> </w:t>
      </w:r>
      <w:r w:rsidRPr="00E53CFC">
        <w:rPr>
          <w:rFonts w:hint="eastAsia"/>
          <w:b/>
          <w:bCs/>
          <w:color w:val="000000"/>
          <w:kern w:val="0"/>
          <w:sz w:val="24"/>
        </w:rPr>
        <w:t>市场风险</w:t>
      </w:r>
    </w:p>
    <w:p w:rsidR="007B62FA" w:rsidRPr="005E72D6" w:rsidRDefault="007B62FA" w:rsidP="005E72D6">
      <w:pPr>
        <w:tabs>
          <w:tab w:val="left" w:pos="426"/>
        </w:tabs>
        <w:spacing w:before="29" w:line="288" w:lineRule="auto"/>
        <w:ind w:firstLineChars="200" w:firstLine="480"/>
        <w:rPr>
          <w:kern w:val="0"/>
          <w:sz w:val="24"/>
        </w:rPr>
      </w:pPr>
      <w:r w:rsidRPr="005E72D6">
        <w:rPr>
          <w:kern w:val="0"/>
          <w:sz w:val="24"/>
        </w:rPr>
        <w:t>市场风险是指基金所持金融工具的公允价值或未来现金流量因所处市场各类价格因素的变动而发生波动的风险，包括利率风险、外汇风险和其他价格风险。</w:t>
      </w:r>
    </w:p>
    <w:p w:rsidR="007B62FA" w:rsidRPr="00D0372D" w:rsidRDefault="007B62FA" w:rsidP="009138EB">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7.4.13.4.1</w:t>
      </w:r>
      <w:r w:rsidR="002D0B5F" w:rsidRPr="00E53CFC">
        <w:rPr>
          <w:rFonts w:hint="eastAsia"/>
          <w:b/>
          <w:bCs/>
          <w:color w:val="000000"/>
          <w:kern w:val="0"/>
          <w:sz w:val="24"/>
        </w:rPr>
        <w:t xml:space="preserve"> </w:t>
      </w:r>
      <w:r w:rsidRPr="00E53CFC">
        <w:rPr>
          <w:rFonts w:hint="eastAsia"/>
          <w:b/>
          <w:bCs/>
          <w:color w:val="000000"/>
          <w:kern w:val="0"/>
          <w:sz w:val="24"/>
        </w:rPr>
        <w:t>利率风险</w:t>
      </w:r>
    </w:p>
    <w:p w:rsidR="00B536C4" w:rsidRDefault="00CC45D2">
      <w:pPr>
        <w:tabs>
          <w:tab w:val="left" w:pos="426"/>
        </w:tabs>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w:t>
      </w:r>
      <w:r>
        <w:rPr>
          <w:kern w:val="0"/>
          <w:sz w:val="24"/>
        </w:rPr>
        <w:lastRenderedPageBreak/>
        <w:t>的风险。</w:t>
      </w:r>
    </w:p>
    <w:p w:rsidR="007B62FA" w:rsidRPr="005E72D6" w:rsidRDefault="007B62FA" w:rsidP="005E72D6">
      <w:pPr>
        <w:tabs>
          <w:tab w:val="left" w:pos="426"/>
        </w:tabs>
        <w:spacing w:before="29" w:line="288" w:lineRule="auto"/>
        <w:ind w:firstLineChars="200" w:firstLine="480"/>
        <w:rPr>
          <w:kern w:val="0"/>
          <w:sz w:val="24"/>
        </w:rPr>
      </w:pPr>
      <w:r w:rsidRPr="005E72D6">
        <w:rPr>
          <w:kern w:val="0"/>
          <w:sz w:val="24"/>
        </w:rPr>
        <w:t>本基金持有的利率敏感性资产主要为银行存款，除银行存款外大部分金融资产和金融负债不计息，因此本基金的收入及经营活动的现金流量在很大程度上独立于市场利率变化。</w:t>
      </w:r>
    </w:p>
    <w:p w:rsidR="007B62FA" w:rsidRPr="00D0372D" w:rsidRDefault="007B62FA" w:rsidP="009138EB">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7.4.13.4.1.1</w:t>
      </w:r>
      <w:r w:rsidR="002D0B5F" w:rsidRPr="00E53CFC">
        <w:rPr>
          <w:rFonts w:hint="eastAsia"/>
          <w:b/>
          <w:bCs/>
          <w:color w:val="000000"/>
          <w:kern w:val="0"/>
          <w:sz w:val="24"/>
        </w:rPr>
        <w:t xml:space="preserve"> </w:t>
      </w:r>
      <w:r w:rsidRPr="00E53CFC">
        <w:rPr>
          <w:rFonts w:hint="eastAsia"/>
          <w:b/>
          <w:bCs/>
          <w:color w:val="000000"/>
          <w:kern w:val="0"/>
          <w:sz w:val="24"/>
        </w:rPr>
        <w:t>利率风险敞口</w:t>
      </w:r>
    </w:p>
    <w:p w:rsidR="001550BA" w:rsidRPr="00AD4493" w:rsidRDefault="001550B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550BA" w:rsidRPr="0091212A" w:rsidTr="00EB4ED4">
        <w:trPr>
          <w:trHeight w:val="280"/>
          <w:jc w:val="center"/>
        </w:trPr>
        <w:tc>
          <w:tcPr>
            <w:tcW w:w="1588" w:type="dxa"/>
            <w:vAlign w:val="center"/>
          </w:tcPr>
          <w:p w:rsidR="001550BA" w:rsidRPr="009D715F" w:rsidRDefault="001550BA" w:rsidP="009D715F">
            <w:pPr>
              <w:spacing w:before="29" w:line="288" w:lineRule="auto"/>
              <w:jc w:val="center"/>
              <w:rPr>
                <w:b/>
                <w:sz w:val="18"/>
                <w:szCs w:val="18"/>
              </w:rPr>
            </w:pPr>
            <w:r w:rsidRPr="009D715F">
              <w:rPr>
                <w:rFonts w:hint="eastAsia"/>
                <w:b/>
                <w:sz w:val="18"/>
                <w:szCs w:val="18"/>
              </w:rPr>
              <w:t>本期末</w:t>
            </w:r>
          </w:p>
          <w:p w:rsidR="001550BA" w:rsidRPr="009D715F" w:rsidRDefault="001550BA" w:rsidP="009D715F">
            <w:pPr>
              <w:spacing w:before="29" w:line="288" w:lineRule="auto"/>
              <w:jc w:val="center"/>
              <w:rPr>
                <w:b/>
                <w:sz w:val="18"/>
                <w:szCs w:val="18"/>
              </w:rPr>
            </w:pPr>
            <w:r w:rsidRPr="009D715F">
              <w:rPr>
                <w:b/>
                <w:sz w:val="18"/>
                <w:szCs w:val="18"/>
              </w:rPr>
              <w:t>2016</w:t>
            </w:r>
            <w:r w:rsidRPr="009D715F">
              <w:rPr>
                <w:b/>
                <w:sz w:val="18"/>
                <w:szCs w:val="18"/>
              </w:rPr>
              <w:t>年</w:t>
            </w:r>
            <w:r w:rsidRPr="009D715F">
              <w:rPr>
                <w:b/>
                <w:sz w:val="18"/>
                <w:szCs w:val="18"/>
              </w:rPr>
              <w:t>12</w:t>
            </w:r>
            <w:r w:rsidRPr="009D715F">
              <w:rPr>
                <w:b/>
                <w:sz w:val="18"/>
                <w:szCs w:val="18"/>
              </w:rPr>
              <w:t>月</w:t>
            </w:r>
            <w:r w:rsidRPr="009D715F">
              <w:rPr>
                <w:b/>
                <w:sz w:val="18"/>
                <w:szCs w:val="18"/>
              </w:rPr>
              <w:t>31</w:t>
            </w:r>
            <w:r w:rsidRPr="009D715F">
              <w:rPr>
                <w:b/>
                <w:sz w:val="18"/>
                <w:szCs w:val="18"/>
              </w:rPr>
              <w:t>日</w:t>
            </w:r>
          </w:p>
        </w:tc>
        <w:tc>
          <w:tcPr>
            <w:tcW w:w="1701" w:type="dxa"/>
            <w:vAlign w:val="center"/>
          </w:tcPr>
          <w:p w:rsidR="001550BA" w:rsidRPr="009D715F" w:rsidRDefault="001550BA" w:rsidP="009D715F">
            <w:pPr>
              <w:spacing w:before="29" w:line="288" w:lineRule="auto"/>
              <w:jc w:val="center"/>
              <w:rPr>
                <w:b/>
                <w:sz w:val="18"/>
                <w:szCs w:val="18"/>
              </w:rPr>
            </w:pPr>
            <w:r w:rsidRPr="009D715F">
              <w:rPr>
                <w:b/>
                <w:sz w:val="18"/>
                <w:szCs w:val="18"/>
              </w:rPr>
              <w:t>1</w:t>
            </w:r>
            <w:r w:rsidRPr="009D715F">
              <w:rPr>
                <w:rFonts w:hint="eastAsia"/>
                <w:b/>
                <w:sz w:val="18"/>
                <w:szCs w:val="18"/>
              </w:rPr>
              <w:t>年以内</w:t>
            </w:r>
          </w:p>
        </w:tc>
        <w:tc>
          <w:tcPr>
            <w:tcW w:w="1701" w:type="dxa"/>
            <w:vAlign w:val="center"/>
          </w:tcPr>
          <w:p w:rsidR="001550BA" w:rsidRPr="009D715F" w:rsidRDefault="001550BA" w:rsidP="009D715F">
            <w:pPr>
              <w:spacing w:before="29" w:line="288" w:lineRule="auto"/>
              <w:jc w:val="center"/>
              <w:rPr>
                <w:b/>
                <w:sz w:val="18"/>
                <w:szCs w:val="18"/>
              </w:rPr>
            </w:pPr>
            <w:r w:rsidRPr="009D715F">
              <w:rPr>
                <w:b/>
                <w:sz w:val="18"/>
                <w:szCs w:val="18"/>
              </w:rPr>
              <w:t>1-5</w:t>
            </w:r>
            <w:r w:rsidRPr="009D715F">
              <w:rPr>
                <w:rFonts w:hint="eastAsia"/>
                <w:b/>
                <w:sz w:val="18"/>
                <w:szCs w:val="18"/>
              </w:rPr>
              <w:t>年</w:t>
            </w:r>
          </w:p>
        </w:tc>
        <w:tc>
          <w:tcPr>
            <w:tcW w:w="1559" w:type="dxa"/>
            <w:vAlign w:val="center"/>
          </w:tcPr>
          <w:p w:rsidR="001550BA" w:rsidRPr="009D715F" w:rsidRDefault="001550BA" w:rsidP="009D715F">
            <w:pPr>
              <w:spacing w:before="29" w:line="288" w:lineRule="auto"/>
              <w:jc w:val="center"/>
              <w:rPr>
                <w:b/>
                <w:sz w:val="18"/>
                <w:szCs w:val="18"/>
              </w:rPr>
            </w:pPr>
            <w:r w:rsidRPr="009D715F">
              <w:rPr>
                <w:b/>
                <w:sz w:val="18"/>
                <w:szCs w:val="18"/>
              </w:rPr>
              <w:t>5</w:t>
            </w:r>
            <w:r w:rsidRPr="009D715F">
              <w:rPr>
                <w:rFonts w:hint="eastAsia"/>
                <w:b/>
                <w:sz w:val="18"/>
                <w:szCs w:val="18"/>
              </w:rPr>
              <w:t>年以上</w:t>
            </w:r>
          </w:p>
        </w:tc>
        <w:tc>
          <w:tcPr>
            <w:tcW w:w="1559" w:type="dxa"/>
            <w:vAlign w:val="center"/>
          </w:tcPr>
          <w:p w:rsidR="001550BA" w:rsidRPr="009D715F" w:rsidRDefault="001550BA" w:rsidP="009D715F">
            <w:pPr>
              <w:spacing w:before="29" w:line="288" w:lineRule="auto"/>
              <w:jc w:val="center"/>
              <w:rPr>
                <w:b/>
                <w:sz w:val="18"/>
                <w:szCs w:val="18"/>
              </w:rPr>
            </w:pPr>
            <w:r w:rsidRPr="009D715F">
              <w:rPr>
                <w:rFonts w:hint="eastAsia"/>
                <w:b/>
                <w:sz w:val="18"/>
                <w:szCs w:val="18"/>
              </w:rPr>
              <w:t>不计息</w:t>
            </w:r>
          </w:p>
        </w:tc>
        <w:tc>
          <w:tcPr>
            <w:tcW w:w="1301" w:type="dxa"/>
            <w:vAlign w:val="center"/>
          </w:tcPr>
          <w:p w:rsidR="001550BA" w:rsidRPr="0091212A" w:rsidRDefault="001550BA" w:rsidP="00EB4ED4">
            <w:pPr>
              <w:spacing w:line="360" w:lineRule="auto"/>
              <w:jc w:val="center"/>
              <w:rPr>
                <w:rFonts w:ascii="宋体" w:hAnsi="宋体"/>
                <w:b/>
                <w:color w:val="000000"/>
                <w:szCs w:val="21"/>
              </w:rPr>
            </w:pPr>
            <w:r w:rsidRPr="0091212A">
              <w:rPr>
                <w:rFonts w:ascii="宋体" w:hAnsi="宋体" w:hint="eastAsia"/>
                <w:b/>
                <w:color w:val="000000"/>
                <w:szCs w:val="21"/>
              </w:rPr>
              <w:t>合计</w:t>
            </w:r>
          </w:p>
        </w:tc>
      </w:tr>
      <w:tr w:rsidR="001550BA" w:rsidRPr="0091212A" w:rsidTr="00CF3DE4">
        <w:trPr>
          <w:trHeight w:val="280"/>
          <w:jc w:val="center"/>
        </w:trPr>
        <w:tc>
          <w:tcPr>
            <w:tcW w:w="1588" w:type="dxa"/>
            <w:vAlign w:val="center"/>
          </w:tcPr>
          <w:p w:rsidR="001550BA" w:rsidRPr="00CF3DE4" w:rsidRDefault="001550BA" w:rsidP="00CF3DE4">
            <w:pPr>
              <w:spacing w:line="360" w:lineRule="auto"/>
              <w:rPr>
                <w:color w:val="000000"/>
                <w:sz w:val="18"/>
                <w:szCs w:val="18"/>
              </w:rPr>
            </w:pPr>
            <w:r w:rsidRPr="00CF3DE4">
              <w:rPr>
                <w:rFonts w:hint="eastAsia"/>
                <w:color w:val="000000"/>
                <w:sz w:val="18"/>
                <w:szCs w:val="18"/>
              </w:rPr>
              <w:t>资产</w:t>
            </w:r>
          </w:p>
        </w:tc>
        <w:tc>
          <w:tcPr>
            <w:tcW w:w="1701" w:type="dxa"/>
            <w:vAlign w:val="center"/>
          </w:tcPr>
          <w:p w:rsidR="001550BA" w:rsidRPr="009D715F" w:rsidRDefault="001550BA" w:rsidP="00EB4ED4">
            <w:pPr>
              <w:spacing w:line="360" w:lineRule="auto"/>
              <w:jc w:val="right"/>
              <w:rPr>
                <w:b/>
                <w:color w:val="000000"/>
                <w:sz w:val="18"/>
                <w:szCs w:val="18"/>
              </w:rPr>
            </w:pPr>
          </w:p>
        </w:tc>
        <w:tc>
          <w:tcPr>
            <w:tcW w:w="1701" w:type="dxa"/>
            <w:vAlign w:val="center"/>
          </w:tcPr>
          <w:p w:rsidR="001550BA" w:rsidRPr="00B328D8" w:rsidRDefault="001550BA" w:rsidP="00EB4ED4">
            <w:pPr>
              <w:spacing w:line="360" w:lineRule="auto"/>
              <w:jc w:val="right"/>
              <w:rPr>
                <w:rFonts w:ascii="宋体" w:hAnsi="宋体"/>
                <w:color w:val="000000"/>
                <w:szCs w:val="21"/>
              </w:rPr>
            </w:pPr>
          </w:p>
        </w:tc>
        <w:tc>
          <w:tcPr>
            <w:tcW w:w="1559" w:type="dxa"/>
            <w:vAlign w:val="center"/>
          </w:tcPr>
          <w:p w:rsidR="001550BA" w:rsidRPr="00B328D8" w:rsidRDefault="001550BA" w:rsidP="00EB4ED4">
            <w:pPr>
              <w:spacing w:line="360" w:lineRule="auto"/>
              <w:jc w:val="right"/>
              <w:rPr>
                <w:rFonts w:ascii="宋体" w:hAnsi="宋体"/>
                <w:color w:val="000000"/>
                <w:szCs w:val="21"/>
              </w:rPr>
            </w:pPr>
          </w:p>
        </w:tc>
        <w:tc>
          <w:tcPr>
            <w:tcW w:w="1559" w:type="dxa"/>
            <w:vAlign w:val="center"/>
          </w:tcPr>
          <w:p w:rsidR="001550BA" w:rsidRPr="00B328D8" w:rsidRDefault="001550BA" w:rsidP="00EB4ED4">
            <w:pPr>
              <w:spacing w:line="360" w:lineRule="auto"/>
              <w:jc w:val="right"/>
              <w:rPr>
                <w:rFonts w:ascii="宋体" w:hAnsi="宋体"/>
                <w:color w:val="000000"/>
                <w:szCs w:val="21"/>
              </w:rPr>
            </w:pPr>
          </w:p>
        </w:tc>
        <w:tc>
          <w:tcPr>
            <w:tcW w:w="1301" w:type="dxa"/>
            <w:vAlign w:val="center"/>
          </w:tcPr>
          <w:p w:rsidR="001550BA" w:rsidRPr="0091212A" w:rsidRDefault="001550BA" w:rsidP="00EB4ED4">
            <w:pPr>
              <w:spacing w:line="360" w:lineRule="auto"/>
              <w:jc w:val="right"/>
              <w:rPr>
                <w:rFonts w:ascii="宋体" w:hAnsi="宋体"/>
                <w:b/>
                <w:color w:val="000000"/>
                <w:szCs w:val="21"/>
              </w:rPr>
            </w:pPr>
          </w:p>
        </w:tc>
      </w:tr>
      <w:tr w:rsidR="00B536C4">
        <w:trPr>
          <w:jc w:val="center"/>
        </w:trPr>
        <w:tc>
          <w:tcPr>
            <w:tcW w:w="1588" w:type="dxa"/>
            <w:vAlign w:val="center"/>
          </w:tcPr>
          <w:p w:rsidR="00B536C4" w:rsidRDefault="00CC45D2" w:rsidP="000A2A64">
            <w:pPr>
              <w:jc w:val="left"/>
            </w:pPr>
            <w:r>
              <w:rPr>
                <w:color w:val="000000"/>
                <w:sz w:val="18"/>
                <w:szCs w:val="18"/>
              </w:rPr>
              <w:t>银行存款</w:t>
            </w:r>
          </w:p>
        </w:tc>
        <w:tc>
          <w:tcPr>
            <w:tcW w:w="1701" w:type="dxa"/>
            <w:vAlign w:val="center"/>
          </w:tcPr>
          <w:p w:rsidR="00B536C4" w:rsidRDefault="00CC45D2">
            <w:pPr>
              <w:jc w:val="right"/>
            </w:pPr>
            <w:r>
              <w:rPr>
                <w:color w:val="000000"/>
                <w:sz w:val="18"/>
                <w:szCs w:val="18"/>
              </w:rPr>
              <w:t>13,228,900.55</w:t>
            </w:r>
          </w:p>
        </w:tc>
        <w:tc>
          <w:tcPr>
            <w:tcW w:w="1701" w:type="dxa"/>
            <w:vAlign w:val="center"/>
          </w:tcPr>
          <w:p w:rsidR="00B536C4" w:rsidRDefault="00CC45D2">
            <w:pPr>
              <w:jc w:val="right"/>
            </w:pPr>
            <w:r>
              <w:rPr>
                <w:color w:val="000000"/>
                <w:sz w:val="18"/>
                <w:szCs w:val="18"/>
              </w:rPr>
              <w:t>-</w:t>
            </w:r>
          </w:p>
        </w:tc>
        <w:tc>
          <w:tcPr>
            <w:tcW w:w="1559" w:type="dxa"/>
            <w:vAlign w:val="center"/>
          </w:tcPr>
          <w:p w:rsidR="00B536C4" w:rsidRDefault="00CC45D2">
            <w:pPr>
              <w:jc w:val="right"/>
            </w:pPr>
            <w:r>
              <w:rPr>
                <w:color w:val="000000"/>
                <w:sz w:val="18"/>
                <w:szCs w:val="18"/>
              </w:rPr>
              <w:t>-</w:t>
            </w:r>
          </w:p>
        </w:tc>
        <w:tc>
          <w:tcPr>
            <w:tcW w:w="1559" w:type="dxa"/>
            <w:vAlign w:val="center"/>
          </w:tcPr>
          <w:p w:rsidR="00B536C4" w:rsidRDefault="00CC45D2">
            <w:pPr>
              <w:jc w:val="right"/>
            </w:pPr>
            <w:r>
              <w:rPr>
                <w:color w:val="000000"/>
                <w:sz w:val="18"/>
                <w:szCs w:val="18"/>
              </w:rPr>
              <w:t>-</w:t>
            </w:r>
          </w:p>
        </w:tc>
        <w:tc>
          <w:tcPr>
            <w:tcW w:w="1301" w:type="dxa"/>
            <w:vAlign w:val="center"/>
          </w:tcPr>
          <w:p w:rsidR="00B536C4" w:rsidRDefault="00CC45D2">
            <w:pPr>
              <w:jc w:val="right"/>
            </w:pPr>
            <w:r>
              <w:rPr>
                <w:color w:val="000000"/>
                <w:sz w:val="18"/>
                <w:szCs w:val="18"/>
              </w:rPr>
              <w:t>13,228,900.55</w:t>
            </w:r>
          </w:p>
        </w:tc>
      </w:tr>
      <w:tr w:rsidR="00B536C4">
        <w:trPr>
          <w:jc w:val="center"/>
        </w:trPr>
        <w:tc>
          <w:tcPr>
            <w:tcW w:w="1588" w:type="dxa"/>
            <w:vAlign w:val="center"/>
          </w:tcPr>
          <w:p w:rsidR="00B536C4" w:rsidRDefault="00CC45D2" w:rsidP="000A2A64">
            <w:pPr>
              <w:jc w:val="left"/>
            </w:pPr>
            <w:r>
              <w:rPr>
                <w:color w:val="000000"/>
                <w:sz w:val="18"/>
                <w:szCs w:val="18"/>
              </w:rPr>
              <w:t>交易性金融资产</w:t>
            </w:r>
          </w:p>
        </w:tc>
        <w:tc>
          <w:tcPr>
            <w:tcW w:w="1701" w:type="dxa"/>
            <w:vAlign w:val="center"/>
          </w:tcPr>
          <w:p w:rsidR="00B536C4" w:rsidRDefault="00CC45D2">
            <w:pPr>
              <w:jc w:val="right"/>
            </w:pPr>
            <w:r>
              <w:rPr>
                <w:color w:val="000000"/>
                <w:sz w:val="18"/>
                <w:szCs w:val="18"/>
              </w:rPr>
              <w:t>-</w:t>
            </w:r>
          </w:p>
        </w:tc>
        <w:tc>
          <w:tcPr>
            <w:tcW w:w="1701" w:type="dxa"/>
            <w:vAlign w:val="center"/>
          </w:tcPr>
          <w:p w:rsidR="00B536C4" w:rsidRDefault="00CC45D2">
            <w:pPr>
              <w:jc w:val="right"/>
            </w:pPr>
            <w:r>
              <w:rPr>
                <w:color w:val="000000"/>
                <w:sz w:val="18"/>
                <w:szCs w:val="18"/>
              </w:rPr>
              <w:t>-</w:t>
            </w:r>
          </w:p>
        </w:tc>
        <w:tc>
          <w:tcPr>
            <w:tcW w:w="1559" w:type="dxa"/>
            <w:vAlign w:val="center"/>
          </w:tcPr>
          <w:p w:rsidR="00B536C4" w:rsidRDefault="00CC45D2">
            <w:pPr>
              <w:jc w:val="right"/>
            </w:pPr>
            <w:r>
              <w:rPr>
                <w:color w:val="000000"/>
                <w:sz w:val="18"/>
                <w:szCs w:val="18"/>
              </w:rPr>
              <w:t>-</w:t>
            </w:r>
          </w:p>
        </w:tc>
        <w:tc>
          <w:tcPr>
            <w:tcW w:w="1559" w:type="dxa"/>
            <w:vAlign w:val="center"/>
          </w:tcPr>
          <w:p w:rsidR="00B536C4" w:rsidRDefault="00CC45D2">
            <w:pPr>
              <w:jc w:val="right"/>
            </w:pPr>
            <w:r>
              <w:rPr>
                <w:color w:val="000000"/>
                <w:sz w:val="18"/>
                <w:szCs w:val="18"/>
              </w:rPr>
              <w:t>26,641,411.59</w:t>
            </w:r>
          </w:p>
        </w:tc>
        <w:tc>
          <w:tcPr>
            <w:tcW w:w="1301" w:type="dxa"/>
            <w:vAlign w:val="center"/>
          </w:tcPr>
          <w:p w:rsidR="00B536C4" w:rsidRDefault="00CC45D2">
            <w:pPr>
              <w:jc w:val="right"/>
            </w:pPr>
            <w:r>
              <w:rPr>
                <w:color w:val="000000"/>
                <w:sz w:val="18"/>
                <w:szCs w:val="18"/>
              </w:rPr>
              <w:t>26,641,411.59</w:t>
            </w:r>
          </w:p>
        </w:tc>
      </w:tr>
      <w:tr w:rsidR="00B536C4">
        <w:trPr>
          <w:jc w:val="center"/>
        </w:trPr>
        <w:tc>
          <w:tcPr>
            <w:tcW w:w="1588" w:type="dxa"/>
            <w:vAlign w:val="center"/>
          </w:tcPr>
          <w:p w:rsidR="00B536C4" w:rsidRDefault="00CC45D2" w:rsidP="000A2A64">
            <w:pPr>
              <w:jc w:val="left"/>
            </w:pPr>
            <w:r>
              <w:rPr>
                <w:color w:val="000000"/>
                <w:sz w:val="18"/>
                <w:szCs w:val="18"/>
              </w:rPr>
              <w:t>应收利息</w:t>
            </w:r>
          </w:p>
        </w:tc>
        <w:tc>
          <w:tcPr>
            <w:tcW w:w="1701" w:type="dxa"/>
            <w:vAlign w:val="center"/>
          </w:tcPr>
          <w:p w:rsidR="00B536C4" w:rsidRDefault="00CC45D2">
            <w:pPr>
              <w:jc w:val="right"/>
            </w:pPr>
            <w:r>
              <w:rPr>
                <w:color w:val="000000"/>
                <w:sz w:val="18"/>
                <w:szCs w:val="18"/>
              </w:rPr>
              <w:t>-</w:t>
            </w:r>
          </w:p>
        </w:tc>
        <w:tc>
          <w:tcPr>
            <w:tcW w:w="1701" w:type="dxa"/>
            <w:vAlign w:val="center"/>
          </w:tcPr>
          <w:p w:rsidR="00B536C4" w:rsidRDefault="00CC45D2">
            <w:pPr>
              <w:jc w:val="right"/>
            </w:pPr>
            <w:r>
              <w:rPr>
                <w:color w:val="000000"/>
                <w:sz w:val="18"/>
                <w:szCs w:val="18"/>
              </w:rPr>
              <w:t>-</w:t>
            </w:r>
          </w:p>
        </w:tc>
        <w:tc>
          <w:tcPr>
            <w:tcW w:w="1559" w:type="dxa"/>
            <w:vAlign w:val="center"/>
          </w:tcPr>
          <w:p w:rsidR="00B536C4" w:rsidRDefault="00CC45D2">
            <w:pPr>
              <w:jc w:val="right"/>
            </w:pPr>
            <w:r>
              <w:rPr>
                <w:color w:val="000000"/>
                <w:sz w:val="18"/>
                <w:szCs w:val="18"/>
              </w:rPr>
              <w:t>-</w:t>
            </w:r>
          </w:p>
        </w:tc>
        <w:tc>
          <w:tcPr>
            <w:tcW w:w="1559" w:type="dxa"/>
            <w:vAlign w:val="center"/>
          </w:tcPr>
          <w:p w:rsidR="00B536C4" w:rsidRDefault="00CC45D2">
            <w:pPr>
              <w:jc w:val="right"/>
            </w:pPr>
            <w:r>
              <w:rPr>
                <w:color w:val="000000"/>
                <w:sz w:val="18"/>
                <w:szCs w:val="18"/>
              </w:rPr>
              <w:t>330.67</w:t>
            </w:r>
          </w:p>
        </w:tc>
        <w:tc>
          <w:tcPr>
            <w:tcW w:w="1301" w:type="dxa"/>
            <w:vAlign w:val="center"/>
          </w:tcPr>
          <w:p w:rsidR="00B536C4" w:rsidRDefault="00CC45D2">
            <w:pPr>
              <w:jc w:val="right"/>
            </w:pPr>
            <w:r>
              <w:rPr>
                <w:color w:val="000000"/>
                <w:sz w:val="18"/>
                <w:szCs w:val="18"/>
              </w:rPr>
              <w:t>330.67</w:t>
            </w:r>
          </w:p>
        </w:tc>
      </w:tr>
      <w:tr w:rsidR="00B536C4">
        <w:trPr>
          <w:jc w:val="center"/>
        </w:trPr>
        <w:tc>
          <w:tcPr>
            <w:tcW w:w="1588" w:type="dxa"/>
            <w:vAlign w:val="center"/>
          </w:tcPr>
          <w:p w:rsidR="00B536C4" w:rsidRDefault="00CC45D2" w:rsidP="000A2A64">
            <w:pPr>
              <w:jc w:val="left"/>
            </w:pPr>
            <w:r>
              <w:rPr>
                <w:color w:val="000000"/>
                <w:sz w:val="18"/>
                <w:szCs w:val="18"/>
              </w:rPr>
              <w:t>应收申购款</w:t>
            </w:r>
          </w:p>
        </w:tc>
        <w:tc>
          <w:tcPr>
            <w:tcW w:w="1701" w:type="dxa"/>
            <w:vAlign w:val="center"/>
          </w:tcPr>
          <w:p w:rsidR="00B536C4" w:rsidRDefault="00CC45D2">
            <w:pPr>
              <w:jc w:val="right"/>
            </w:pPr>
            <w:r>
              <w:rPr>
                <w:color w:val="000000"/>
                <w:sz w:val="18"/>
                <w:szCs w:val="18"/>
              </w:rPr>
              <w:t>-</w:t>
            </w:r>
          </w:p>
        </w:tc>
        <w:tc>
          <w:tcPr>
            <w:tcW w:w="1701" w:type="dxa"/>
            <w:vAlign w:val="center"/>
          </w:tcPr>
          <w:p w:rsidR="00B536C4" w:rsidRDefault="00CC45D2">
            <w:pPr>
              <w:jc w:val="right"/>
            </w:pPr>
            <w:r>
              <w:rPr>
                <w:color w:val="000000"/>
                <w:sz w:val="18"/>
                <w:szCs w:val="18"/>
              </w:rPr>
              <w:t>-</w:t>
            </w:r>
          </w:p>
        </w:tc>
        <w:tc>
          <w:tcPr>
            <w:tcW w:w="1559" w:type="dxa"/>
            <w:vAlign w:val="center"/>
          </w:tcPr>
          <w:p w:rsidR="00B536C4" w:rsidRDefault="00CC45D2">
            <w:pPr>
              <w:jc w:val="right"/>
            </w:pPr>
            <w:r>
              <w:rPr>
                <w:color w:val="000000"/>
                <w:sz w:val="18"/>
                <w:szCs w:val="18"/>
              </w:rPr>
              <w:t>-</w:t>
            </w:r>
          </w:p>
        </w:tc>
        <w:tc>
          <w:tcPr>
            <w:tcW w:w="1559" w:type="dxa"/>
            <w:vAlign w:val="center"/>
          </w:tcPr>
          <w:p w:rsidR="00B536C4" w:rsidRDefault="00CC45D2">
            <w:pPr>
              <w:jc w:val="right"/>
            </w:pPr>
            <w:r>
              <w:rPr>
                <w:color w:val="000000"/>
                <w:sz w:val="18"/>
                <w:szCs w:val="18"/>
              </w:rPr>
              <w:t>31,061.05</w:t>
            </w:r>
          </w:p>
        </w:tc>
        <w:tc>
          <w:tcPr>
            <w:tcW w:w="1301" w:type="dxa"/>
            <w:vAlign w:val="center"/>
          </w:tcPr>
          <w:p w:rsidR="00B536C4" w:rsidRDefault="00CC45D2">
            <w:pPr>
              <w:jc w:val="right"/>
            </w:pPr>
            <w:r>
              <w:rPr>
                <w:color w:val="000000"/>
                <w:sz w:val="18"/>
                <w:szCs w:val="18"/>
              </w:rPr>
              <w:t>31,061.05</w:t>
            </w:r>
          </w:p>
        </w:tc>
      </w:tr>
      <w:tr w:rsidR="001550BA" w:rsidRPr="00A12805" w:rsidTr="00D21434">
        <w:trPr>
          <w:trHeight w:val="280"/>
          <w:jc w:val="center"/>
        </w:trPr>
        <w:tc>
          <w:tcPr>
            <w:tcW w:w="1588" w:type="dxa"/>
            <w:vAlign w:val="center"/>
          </w:tcPr>
          <w:p w:rsidR="001550BA" w:rsidRPr="00CF3DE4" w:rsidRDefault="001550BA" w:rsidP="000A2A64">
            <w:pPr>
              <w:spacing w:before="29" w:line="288" w:lineRule="auto"/>
              <w:jc w:val="left"/>
              <w:rPr>
                <w:rFonts w:asciiTheme="minorEastAsia" w:eastAsiaTheme="minorEastAsia" w:hAnsiTheme="minorEastAsia"/>
                <w:color w:val="000000"/>
                <w:szCs w:val="21"/>
              </w:rPr>
            </w:pPr>
            <w:r w:rsidRPr="00CF3DE4">
              <w:rPr>
                <w:rFonts w:hint="eastAsia"/>
                <w:color w:val="000000"/>
                <w:sz w:val="18"/>
                <w:szCs w:val="18"/>
              </w:rPr>
              <w:t>资产总计</w:t>
            </w:r>
          </w:p>
        </w:tc>
        <w:tc>
          <w:tcPr>
            <w:tcW w:w="1701" w:type="dxa"/>
            <w:vAlign w:val="center"/>
          </w:tcPr>
          <w:p w:rsidR="001550BA" w:rsidRPr="002C07DD" w:rsidRDefault="001550BA" w:rsidP="00D21434">
            <w:pPr>
              <w:spacing w:before="29" w:line="288" w:lineRule="auto"/>
              <w:jc w:val="right"/>
              <w:rPr>
                <w:sz w:val="18"/>
                <w:szCs w:val="18"/>
              </w:rPr>
            </w:pPr>
            <w:r w:rsidRPr="002C07DD">
              <w:rPr>
                <w:sz w:val="18"/>
                <w:szCs w:val="18"/>
              </w:rPr>
              <w:t>13,228,900.55</w:t>
            </w:r>
          </w:p>
        </w:tc>
        <w:tc>
          <w:tcPr>
            <w:tcW w:w="1701" w:type="dxa"/>
            <w:vAlign w:val="center"/>
          </w:tcPr>
          <w:p w:rsidR="001550BA" w:rsidRPr="002C07DD" w:rsidRDefault="001550BA" w:rsidP="00D21434">
            <w:pPr>
              <w:spacing w:before="29" w:line="288" w:lineRule="auto"/>
              <w:jc w:val="right"/>
              <w:rPr>
                <w:sz w:val="18"/>
                <w:szCs w:val="18"/>
              </w:rPr>
            </w:pPr>
            <w:r w:rsidRPr="002C07DD">
              <w:rPr>
                <w:sz w:val="18"/>
                <w:szCs w:val="18"/>
              </w:rPr>
              <w:t>-</w:t>
            </w:r>
          </w:p>
        </w:tc>
        <w:tc>
          <w:tcPr>
            <w:tcW w:w="1559" w:type="dxa"/>
            <w:vAlign w:val="center"/>
          </w:tcPr>
          <w:p w:rsidR="001550BA" w:rsidRPr="002C07DD" w:rsidRDefault="001550BA" w:rsidP="00D21434">
            <w:pPr>
              <w:spacing w:before="29" w:line="288" w:lineRule="auto"/>
              <w:jc w:val="right"/>
              <w:rPr>
                <w:sz w:val="18"/>
                <w:szCs w:val="18"/>
              </w:rPr>
            </w:pPr>
            <w:r w:rsidRPr="002C07DD">
              <w:rPr>
                <w:sz w:val="18"/>
                <w:szCs w:val="18"/>
              </w:rPr>
              <w:t>-</w:t>
            </w:r>
          </w:p>
        </w:tc>
        <w:tc>
          <w:tcPr>
            <w:tcW w:w="1559" w:type="dxa"/>
            <w:vAlign w:val="center"/>
          </w:tcPr>
          <w:p w:rsidR="001550BA" w:rsidRPr="002C07DD" w:rsidRDefault="001550BA" w:rsidP="00D21434">
            <w:pPr>
              <w:spacing w:before="29" w:line="288" w:lineRule="auto"/>
              <w:jc w:val="right"/>
              <w:rPr>
                <w:sz w:val="18"/>
                <w:szCs w:val="18"/>
              </w:rPr>
            </w:pPr>
            <w:r w:rsidRPr="002C07DD">
              <w:rPr>
                <w:sz w:val="18"/>
                <w:szCs w:val="18"/>
              </w:rPr>
              <w:t>26,672,803.31</w:t>
            </w:r>
          </w:p>
        </w:tc>
        <w:tc>
          <w:tcPr>
            <w:tcW w:w="1301" w:type="dxa"/>
            <w:vAlign w:val="center"/>
          </w:tcPr>
          <w:p w:rsidR="001550BA" w:rsidRPr="002C07DD" w:rsidRDefault="001550BA" w:rsidP="00D21434">
            <w:pPr>
              <w:autoSpaceDE w:val="0"/>
              <w:autoSpaceDN w:val="0"/>
              <w:adjustRightInd w:val="0"/>
              <w:spacing w:before="29" w:line="360" w:lineRule="auto"/>
              <w:jc w:val="right"/>
              <w:rPr>
                <w:sz w:val="18"/>
                <w:szCs w:val="18"/>
              </w:rPr>
            </w:pPr>
            <w:r w:rsidRPr="002C07DD">
              <w:rPr>
                <w:sz w:val="18"/>
                <w:szCs w:val="18"/>
              </w:rPr>
              <w:t>39,901,703.86</w:t>
            </w:r>
          </w:p>
        </w:tc>
      </w:tr>
      <w:tr w:rsidR="001550BA" w:rsidRPr="006666AF" w:rsidTr="00CF3DE4">
        <w:trPr>
          <w:trHeight w:val="280"/>
          <w:jc w:val="center"/>
        </w:trPr>
        <w:tc>
          <w:tcPr>
            <w:tcW w:w="1588" w:type="dxa"/>
            <w:vAlign w:val="center"/>
          </w:tcPr>
          <w:p w:rsidR="001550BA" w:rsidRPr="006666AF" w:rsidRDefault="001550BA" w:rsidP="000A2A64">
            <w:pPr>
              <w:spacing w:line="360" w:lineRule="auto"/>
              <w:jc w:val="left"/>
              <w:rPr>
                <w:rFonts w:ascii="宋体" w:hAnsi="宋体"/>
                <w:color w:val="000000"/>
                <w:szCs w:val="21"/>
              </w:rPr>
            </w:pPr>
            <w:r w:rsidRPr="002C07DD">
              <w:rPr>
                <w:rFonts w:hint="eastAsia"/>
                <w:color w:val="000000"/>
                <w:sz w:val="18"/>
                <w:szCs w:val="18"/>
              </w:rPr>
              <w:t>负债</w:t>
            </w:r>
          </w:p>
        </w:tc>
        <w:tc>
          <w:tcPr>
            <w:tcW w:w="1701" w:type="dxa"/>
            <w:vAlign w:val="center"/>
          </w:tcPr>
          <w:p w:rsidR="001550BA" w:rsidRPr="006666AF" w:rsidRDefault="001550BA" w:rsidP="00EB4ED4">
            <w:pPr>
              <w:spacing w:line="360" w:lineRule="auto"/>
              <w:jc w:val="right"/>
              <w:rPr>
                <w:rFonts w:ascii="宋体" w:hAnsi="宋体"/>
                <w:color w:val="0000FF"/>
                <w:kern w:val="0"/>
                <w:szCs w:val="21"/>
              </w:rPr>
            </w:pPr>
          </w:p>
        </w:tc>
        <w:tc>
          <w:tcPr>
            <w:tcW w:w="1701" w:type="dxa"/>
            <w:vAlign w:val="center"/>
          </w:tcPr>
          <w:p w:rsidR="001550BA" w:rsidRPr="006666AF" w:rsidRDefault="001550BA" w:rsidP="00EB4ED4">
            <w:pPr>
              <w:spacing w:line="360" w:lineRule="auto"/>
              <w:jc w:val="right"/>
              <w:rPr>
                <w:rFonts w:ascii="宋体" w:hAnsi="宋体"/>
                <w:color w:val="000000"/>
                <w:szCs w:val="21"/>
              </w:rPr>
            </w:pPr>
          </w:p>
        </w:tc>
        <w:tc>
          <w:tcPr>
            <w:tcW w:w="1559" w:type="dxa"/>
            <w:vAlign w:val="center"/>
          </w:tcPr>
          <w:p w:rsidR="001550BA" w:rsidRPr="006666AF" w:rsidRDefault="001550BA" w:rsidP="00EB4ED4">
            <w:pPr>
              <w:spacing w:line="360" w:lineRule="auto"/>
              <w:jc w:val="right"/>
              <w:rPr>
                <w:rFonts w:ascii="宋体" w:hAnsi="宋体"/>
                <w:color w:val="000000"/>
                <w:szCs w:val="21"/>
              </w:rPr>
            </w:pPr>
          </w:p>
        </w:tc>
        <w:tc>
          <w:tcPr>
            <w:tcW w:w="1559" w:type="dxa"/>
            <w:vAlign w:val="center"/>
          </w:tcPr>
          <w:p w:rsidR="001550BA" w:rsidRPr="006666AF" w:rsidRDefault="001550BA" w:rsidP="00EB4ED4">
            <w:pPr>
              <w:spacing w:line="360" w:lineRule="auto"/>
              <w:jc w:val="right"/>
              <w:rPr>
                <w:rFonts w:ascii="宋体" w:hAnsi="宋体"/>
                <w:color w:val="000000"/>
                <w:szCs w:val="21"/>
              </w:rPr>
            </w:pPr>
          </w:p>
        </w:tc>
        <w:tc>
          <w:tcPr>
            <w:tcW w:w="1301" w:type="dxa"/>
            <w:vAlign w:val="center"/>
          </w:tcPr>
          <w:p w:rsidR="001550BA" w:rsidRPr="006666AF" w:rsidRDefault="001550BA" w:rsidP="00EB4ED4">
            <w:pPr>
              <w:spacing w:line="360" w:lineRule="auto"/>
              <w:jc w:val="right"/>
              <w:rPr>
                <w:rFonts w:ascii="宋体" w:hAnsi="宋体"/>
                <w:color w:val="000000"/>
                <w:szCs w:val="21"/>
              </w:rPr>
            </w:pPr>
          </w:p>
        </w:tc>
      </w:tr>
      <w:tr w:rsidR="00B536C4">
        <w:trPr>
          <w:jc w:val="center"/>
        </w:trPr>
        <w:tc>
          <w:tcPr>
            <w:tcW w:w="1588" w:type="dxa"/>
            <w:vAlign w:val="center"/>
          </w:tcPr>
          <w:p w:rsidR="00B536C4" w:rsidRDefault="00CC45D2" w:rsidP="000A2A64">
            <w:pPr>
              <w:jc w:val="left"/>
            </w:pPr>
            <w:r>
              <w:rPr>
                <w:color w:val="000000"/>
                <w:sz w:val="18"/>
                <w:szCs w:val="18"/>
              </w:rPr>
              <w:t>应付</w:t>
            </w:r>
            <w:proofErr w:type="gramStart"/>
            <w:r>
              <w:rPr>
                <w:color w:val="000000"/>
                <w:sz w:val="18"/>
                <w:szCs w:val="18"/>
              </w:rPr>
              <w:t>赎回款</w:t>
            </w:r>
            <w:proofErr w:type="gramEnd"/>
          </w:p>
        </w:tc>
        <w:tc>
          <w:tcPr>
            <w:tcW w:w="1701" w:type="dxa"/>
            <w:vAlign w:val="center"/>
          </w:tcPr>
          <w:p w:rsidR="00B536C4" w:rsidRDefault="00CC45D2">
            <w:pPr>
              <w:jc w:val="right"/>
            </w:pPr>
            <w:r>
              <w:rPr>
                <w:color w:val="000000"/>
                <w:sz w:val="18"/>
                <w:szCs w:val="18"/>
              </w:rPr>
              <w:t>-</w:t>
            </w:r>
          </w:p>
        </w:tc>
        <w:tc>
          <w:tcPr>
            <w:tcW w:w="1701" w:type="dxa"/>
            <w:vAlign w:val="center"/>
          </w:tcPr>
          <w:p w:rsidR="00B536C4" w:rsidRDefault="00CC45D2">
            <w:pPr>
              <w:jc w:val="right"/>
            </w:pPr>
            <w:r>
              <w:rPr>
                <w:color w:val="000000"/>
                <w:sz w:val="18"/>
                <w:szCs w:val="18"/>
              </w:rPr>
              <w:t>-</w:t>
            </w:r>
          </w:p>
        </w:tc>
        <w:tc>
          <w:tcPr>
            <w:tcW w:w="1559" w:type="dxa"/>
            <w:vAlign w:val="center"/>
          </w:tcPr>
          <w:p w:rsidR="00B536C4" w:rsidRDefault="00CC45D2">
            <w:pPr>
              <w:jc w:val="right"/>
            </w:pPr>
            <w:r>
              <w:rPr>
                <w:color w:val="000000"/>
                <w:sz w:val="18"/>
                <w:szCs w:val="18"/>
              </w:rPr>
              <w:t>-</w:t>
            </w:r>
          </w:p>
        </w:tc>
        <w:tc>
          <w:tcPr>
            <w:tcW w:w="1559" w:type="dxa"/>
            <w:vAlign w:val="center"/>
          </w:tcPr>
          <w:p w:rsidR="00B536C4" w:rsidRDefault="00CC45D2">
            <w:pPr>
              <w:jc w:val="right"/>
            </w:pPr>
            <w:r>
              <w:rPr>
                <w:color w:val="000000"/>
                <w:sz w:val="18"/>
                <w:szCs w:val="18"/>
              </w:rPr>
              <w:t>452,123.99</w:t>
            </w:r>
          </w:p>
        </w:tc>
        <w:tc>
          <w:tcPr>
            <w:tcW w:w="1301" w:type="dxa"/>
            <w:vAlign w:val="center"/>
          </w:tcPr>
          <w:p w:rsidR="00B536C4" w:rsidRDefault="00CC45D2">
            <w:pPr>
              <w:jc w:val="right"/>
            </w:pPr>
            <w:r>
              <w:rPr>
                <w:color w:val="000000"/>
                <w:sz w:val="18"/>
                <w:szCs w:val="18"/>
              </w:rPr>
              <w:t>452,123.99</w:t>
            </w:r>
          </w:p>
        </w:tc>
      </w:tr>
      <w:tr w:rsidR="00B536C4">
        <w:trPr>
          <w:jc w:val="center"/>
        </w:trPr>
        <w:tc>
          <w:tcPr>
            <w:tcW w:w="1588" w:type="dxa"/>
            <w:vAlign w:val="center"/>
          </w:tcPr>
          <w:p w:rsidR="00B536C4" w:rsidRDefault="00CC45D2" w:rsidP="000A2A64">
            <w:pPr>
              <w:jc w:val="left"/>
            </w:pPr>
            <w:r>
              <w:rPr>
                <w:color w:val="000000"/>
                <w:sz w:val="18"/>
                <w:szCs w:val="18"/>
              </w:rPr>
              <w:t>应付管理人报酬</w:t>
            </w:r>
          </w:p>
        </w:tc>
        <w:tc>
          <w:tcPr>
            <w:tcW w:w="1701" w:type="dxa"/>
            <w:vAlign w:val="center"/>
          </w:tcPr>
          <w:p w:rsidR="00B536C4" w:rsidRDefault="00CC45D2">
            <w:pPr>
              <w:jc w:val="right"/>
            </w:pPr>
            <w:r>
              <w:rPr>
                <w:color w:val="000000"/>
                <w:sz w:val="18"/>
                <w:szCs w:val="18"/>
              </w:rPr>
              <w:t>-</w:t>
            </w:r>
          </w:p>
        </w:tc>
        <w:tc>
          <w:tcPr>
            <w:tcW w:w="1701" w:type="dxa"/>
            <w:vAlign w:val="center"/>
          </w:tcPr>
          <w:p w:rsidR="00B536C4" w:rsidRDefault="00CC45D2">
            <w:pPr>
              <w:jc w:val="right"/>
            </w:pPr>
            <w:r>
              <w:rPr>
                <w:color w:val="000000"/>
                <w:sz w:val="18"/>
                <w:szCs w:val="18"/>
              </w:rPr>
              <w:t>-</w:t>
            </w:r>
          </w:p>
        </w:tc>
        <w:tc>
          <w:tcPr>
            <w:tcW w:w="1559" w:type="dxa"/>
            <w:vAlign w:val="center"/>
          </w:tcPr>
          <w:p w:rsidR="00B536C4" w:rsidRDefault="00CC45D2">
            <w:pPr>
              <w:jc w:val="right"/>
            </w:pPr>
            <w:r>
              <w:rPr>
                <w:color w:val="000000"/>
                <w:sz w:val="18"/>
                <w:szCs w:val="18"/>
              </w:rPr>
              <w:t>-</w:t>
            </w:r>
          </w:p>
        </w:tc>
        <w:tc>
          <w:tcPr>
            <w:tcW w:w="1559" w:type="dxa"/>
            <w:vAlign w:val="center"/>
          </w:tcPr>
          <w:p w:rsidR="00B536C4" w:rsidRDefault="00CC45D2">
            <w:pPr>
              <w:jc w:val="right"/>
            </w:pPr>
            <w:r>
              <w:rPr>
                <w:color w:val="000000"/>
                <w:sz w:val="18"/>
                <w:szCs w:val="18"/>
              </w:rPr>
              <w:t>60,615.51</w:t>
            </w:r>
          </w:p>
        </w:tc>
        <w:tc>
          <w:tcPr>
            <w:tcW w:w="1301" w:type="dxa"/>
            <w:vAlign w:val="center"/>
          </w:tcPr>
          <w:p w:rsidR="00B536C4" w:rsidRDefault="00CC45D2">
            <w:pPr>
              <w:jc w:val="right"/>
            </w:pPr>
            <w:r>
              <w:rPr>
                <w:color w:val="000000"/>
                <w:sz w:val="18"/>
                <w:szCs w:val="18"/>
              </w:rPr>
              <w:t>60,615.51</w:t>
            </w:r>
          </w:p>
        </w:tc>
      </w:tr>
      <w:tr w:rsidR="00B536C4">
        <w:trPr>
          <w:jc w:val="center"/>
        </w:trPr>
        <w:tc>
          <w:tcPr>
            <w:tcW w:w="1588" w:type="dxa"/>
            <w:vAlign w:val="center"/>
          </w:tcPr>
          <w:p w:rsidR="00B536C4" w:rsidRDefault="00CC45D2" w:rsidP="000A2A64">
            <w:pPr>
              <w:jc w:val="left"/>
            </w:pPr>
            <w:r>
              <w:rPr>
                <w:color w:val="000000"/>
                <w:sz w:val="18"/>
                <w:szCs w:val="18"/>
              </w:rPr>
              <w:t>应付托管费</w:t>
            </w:r>
          </w:p>
        </w:tc>
        <w:tc>
          <w:tcPr>
            <w:tcW w:w="1701" w:type="dxa"/>
            <w:vAlign w:val="center"/>
          </w:tcPr>
          <w:p w:rsidR="00B536C4" w:rsidRDefault="00CC45D2">
            <w:pPr>
              <w:jc w:val="right"/>
            </w:pPr>
            <w:r>
              <w:rPr>
                <w:color w:val="000000"/>
                <w:sz w:val="18"/>
                <w:szCs w:val="18"/>
              </w:rPr>
              <w:t>-</w:t>
            </w:r>
          </w:p>
        </w:tc>
        <w:tc>
          <w:tcPr>
            <w:tcW w:w="1701" w:type="dxa"/>
            <w:vAlign w:val="center"/>
          </w:tcPr>
          <w:p w:rsidR="00B536C4" w:rsidRDefault="00CC45D2">
            <w:pPr>
              <w:jc w:val="right"/>
            </w:pPr>
            <w:r>
              <w:rPr>
                <w:color w:val="000000"/>
                <w:sz w:val="18"/>
                <w:szCs w:val="18"/>
              </w:rPr>
              <w:t>-</w:t>
            </w:r>
          </w:p>
        </w:tc>
        <w:tc>
          <w:tcPr>
            <w:tcW w:w="1559" w:type="dxa"/>
            <w:vAlign w:val="center"/>
          </w:tcPr>
          <w:p w:rsidR="00B536C4" w:rsidRDefault="00CC45D2">
            <w:pPr>
              <w:jc w:val="right"/>
            </w:pPr>
            <w:r>
              <w:rPr>
                <w:color w:val="000000"/>
                <w:sz w:val="18"/>
                <w:szCs w:val="18"/>
              </w:rPr>
              <w:t>-</w:t>
            </w:r>
          </w:p>
        </w:tc>
        <w:tc>
          <w:tcPr>
            <w:tcW w:w="1559" w:type="dxa"/>
            <w:vAlign w:val="center"/>
          </w:tcPr>
          <w:p w:rsidR="00B536C4" w:rsidRDefault="00CC45D2">
            <w:pPr>
              <w:jc w:val="right"/>
            </w:pPr>
            <w:r>
              <w:rPr>
                <w:color w:val="000000"/>
                <w:sz w:val="18"/>
                <w:szCs w:val="18"/>
              </w:rPr>
              <w:t>11,786.33</w:t>
            </w:r>
          </w:p>
        </w:tc>
        <w:tc>
          <w:tcPr>
            <w:tcW w:w="1301" w:type="dxa"/>
            <w:vAlign w:val="center"/>
          </w:tcPr>
          <w:p w:rsidR="00B536C4" w:rsidRDefault="00CC45D2">
            <w:pPr>
              <w:jc w:val="right"/>
            </w:pPr>
            <w:r>
              <w:rPr>
                <w:color w:val="000000"/>
                <w:sz w:val="18"/>
                <w:szCs w:val="18"/>
              </w:rPr>
              <w:t>11,786.33</w:t>
            </w:r>
          </w:p>
        </w:tc>
      </w:tr>
      <w:tr w:rsidR="00B536C4">
        <w:trPr>
          <w:jc w:val="center"/>
        </w:trPr>
        <w:tc>
          <w:tcPr>
            <w:tcW w:w="1588" w:type="dxa"/>
            <w:vAlign w:val="center"/>
          </w:tcPr>
          <w:p w:rsidR="00B536C4" w:rsidRDefault="00CC45D2" w:rsidP="000A2A64">
            <w:pPr>
              <w:jc w:val="left"/>
            </w:pPr>
            <w:r>
              <w:rPr>
                <w:color w:val="000000"/>
                <w:sz w:val="18"/>
                <w:szCs w:val="18"/>
              </w:rPr>
              <w:t>其他负债</w:t>
            </w:r>
          </w:p>
        </w:tc>
        <w:tc>
          <w:tcPr>
            <w:tcW w:w="1701" w:type="dxa"/>
            <w:vAlign w:val="center"/>
          </w:tcPr>
          <w:p w:rsidR="00B536C4" w:rsidRDefault="00CC45D2">
            <w:pPr>
              <w:jc w:val="right"/>
            </w:pPr>
            <w:r>
              <w:rPr>
                <w:color w:val="000000"/>
                <w:sz w:val="18"/>
                <w:szCs w:val="18"/>
              </w:rPr>
              <w:t>-</w:t>
            </w:r>
          </w:p>
        </w:tc>
        <w:tc>
          <w:tcPr>
            <w:tcW w:w="1701" w:type="dxa"/>
            <w:vAlign w:val="center"/>
          </w:tcPr>
          <w:p w:rsidR="00B536C4" w:rsidRDefault="00CC45D2">
            <w:pPr>
              <w:jc w:val="right"/>
            </w:pPr>
            <w:r>
              <w:rPr>
                <w:color w:val="000000"/>
                <w:sz w:val="18"/>
                <w:szCs w:val="18"/>
              </w:rPr>
              <w:t>-</w:t>
            </w:r>
          </w:p>
        </w:tc>
        <w:tc>
          <w:tcPr>
            <w:tcW w:w="1559" w:type="dxa"/>
            <w:vAlign w:val="center"/>
          </w:tcPr>
          <w:p w:rsidR="00B536C4" w:rsidRDefault="00CC45D2">
            <w:pPr>
              <w:jc w:val="right"/>
            </w:pPr>
            <w:r>
              <w:rPr>
                <w:color w:val="000000"/>
                <w:sz w:val="18"/>
                <w:szCs w:val="18"/>
              </w:rPr>
              <w:t>-</w:t>
            </w:r>
          </w:p>
        </w:tc>
        <w:tc>
          <w:tcPr>
            <w:tcW w:w="1559" w:type="dxa"/>
            <w:vAlign w:val="center"/>
          </w:tcPr>
          <w:p w:rsidR="00B536C4" w:rsidRDefault="00CC45D2">
            <w:pPr>
              <w:jc w:val="right"/>
            </w:pPr>
            <w:r>
              <w:rPr>
                <w:color w:val="000000"/>
                <w:sz w:val="18"/>
                <w:szCs w:val="18"/>
              </w:rPr>
              <w:t>41,292.44</w:t>
            </w:r>
          </w:p>
        </w:tc>
        <w:tc>
          <w:tcPr>
            <w:tcW w:w="1301" w:type="dxa"/>
            <w:vAlign w:val="center"/>
          </w:tcPr>
          <w:p w:rsidR="00B536C4" w:rsidRDefault="00CC45D2">
            <w:pPr>
              <w:jc w:val="right"/>
            </w:pPr>
            <w:r>
              <w:rPr>
                <w:color w:val="000000"/>
                <w:sz w:val="18"/>
                <w:szCs w:val="18"/>
              </w:rPr>
              <w:t>41,292.44</w:t>
            </w:r>
          </w:p>
        </w:tc>
      </w:tr>
      <w:tr w:rsidR="001550BA" w:rsidRPr="0091212A" w:rsidTr="00D21434">
        <w:trPr>
          <w:trHeight w:val="280"/>
          <w:jc w:val="center"/>
        </w:trPr>
        <w:tc>
          <w:tcPr>
            <w:tcW w:w="1588" w:type="dxa"/>
            <w:vAlign w:val="center"/>
          </w:tcPr>
          <w:p w:rsidR="001550BA" w:rsidRPr="00872649" w:rsidRDefault="001550BA" w:rsidP="000A2A64">
            <w:pPr>
              <w:spacing w:before="29" w:line="288" w:lineRule="auto"/>
              <w:jc w:val="left"/>
              <w:rPr>
                <w:color w:val="000000"/>
                <w:sz w:val="18"/>
                <w:szCs w:val="18"/>
              </w:rPr>
            </w:pPr>
            <w:r w:rsidRPr="00872649">
              <w:rPr>
                <w:rFonts w:hint="eastAsia"/>
                <w:color w:val="000000"/>
                <w:sz w:val="18"/>
                <w:szCs w:val="18"/>
              </w:rPr>
              <w:t>负债总计</w:t>
            </w:r>
          </w:p>
        </w:tc>
        <w:tc>
          <w:tcPr>
            <w:tcW w:w="1701"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701"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rsidR="001550BA" w:rsidRPr="003820A6" w:rsidRDefault="001550BA" w:rsidP="00D21434">
            <w:pPr>
              <w:spacing w:before="29" w:line="288" w:lineRule="auto"/>
              <w:jc w:val="right"/>
              <w:rPr>
                <w:sz w:val="18"/>
                <w:szCs w:val="18"/>
              </w:rPr>
            </w:pPr>
            <w:r w:rsidRPr="003820A6">
              <w:rPr>
                <w:sz w:val="18"/>
                <w:szCs w:val="18"/>
              </w:rPr>
              <w:t>565,818.27</w:t>
            </w:r>
          </w:p>
        </w:tc>
        <w:tc>
          <w:tcPr>
            <w:tcW w:w="1301" w:type="dxa"/>
            <w:vAlign w:val="center"/>
          </w:tcPr>
          <w:p w:rsidR="001550BA" w:rsidRPr="003820A6" w:rsidRDefault="001550BA" w:rsidP="00D21434">
            <w:pPr>
              <w:spacing w:before="29" w:line="288" w:lineRule="auto"/>
              <w:ind w:right="210"/>
              <w:jc w:val="right"/>
              <w:rPr>
                <w:sz w:val="18"/>
                <w:szCs w:val="18"/>
              </w:rPr>
            </w:pPr>
            <w:r w:rsidRPr="003820A6">
              <w:rPr>
                <w:sz w:val="18"/>
                <w:szCs w:val="18"/>
              </w:rPr>
              <w:t>565,818.27</w:t>
            </w:r>
          </w:p>
        </w:tc>
      </w:tr>
      <w:tr w:rsidR="001550BA" w:rsidRPr="0091212A" w:rsidTr="00D21434">
        <w:trPr>
          <w:trHeight w:val="280"/>
          <w:jc w:val="center"/>
        </w:trPr>
        <w:tc>
          <w:tcPr>
            <w:tcW w:w="1588" w:type="dxa"/>
            <w:vAlign w:val="center"/>
          </w:tcPr>
          <w:p w:rsidR="001550BA" w:rsidRPr="00872649" w:rsidRDefault="001550BA" w:rsidP="000A2A64">
            <w:pPr>
              <w:spacing w:before="29" w:line="288" w:lineRule="auto"/>
              <w:jc w:val="left"/>
              <w:rPr>
                <w:color w:val="000000"/>
                <w:sz w:val="18"/>
                <w:szCs w:val="18"/>
              </w:rPr>
            </w:pPr>
            <w:r w:rsidRPr="00872649">
              <w:rPr>
                <w:rFonts w:hint="eastAsia"/>
                <w:color w:val="000000"/>
                <w:sz w:val="18"/>
                <w:szCs w:val="18"/>
              </w:rPr>
              <w:t>利率敏感度缺口</w:t>
            </w:r>
          </w:p>
        </w:tc>
        <w:tc>
          <w:tcPr>
            <w:tcW w:w="1701" w:type="dxa"/>
            <w:vAlign w:val="center"/>
          </w:tcPr>
          <w:p w:rsidR="001550BA" w:rsidRPr="003820A6" w:rsidRDefault="001550BA" w:rsidP="00D21434">
            <w:pPr>
              <w:spacing w:before="29" w:line="288" w:lineRule="auto"/>
              <w:jc w:val="right"/>
              <w:rPr>
                <w:sz w:val="18"/>
                <w:szCs w:val="18"/>
              </w:rPr>
            </w:pPr>
            <w:r w:rsidRPr="003820A6">
              <w:rPr>
                <w:sz w:val="18"/>
                <w:szCs w:val="18"/>
              </w:rPr>
              <w:t>13,228,900.55</w:t>
            </w:r>
          </w:p>
        </w:tc>
        <w:tc>
          <w:tcPr>
            <w:tcW w:w="1701"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rsidR="001550BA" w:rsidRPr="003820A6" w:rsidRDefault="001550BA" w:rsidP="00D21434">
            <w:pPr>
              <w:spacing w:before="29" w:line="288" w:lineRule="auto"/>
              <w:jc w:val="right"/>
              <w:rPr>
                <w:sz w:val="18"/>
                <w:szCs w:val="18"/>
              </w:rPr>
            </w:pPr>
            <w:r w:rsidRPr="003820A6">
              <w:rPr>
                <w:sz w:val="18"/>
                <w:szCs w:val="18"/>
              </w:rPr>
              <w:t>26,106,985.04</w:t>
            </w:r>
          </w:p>
        </w:tc>
        <w:tc>
          <w:tcPr>
            <w:tcW w:w="1301" w:type="dxa"/>
            <w:vAlign w:val="center"/>
          </w:tcPr>
          <w:p w:rsidR="001550BA" w:rsidRPr="003820A6" w:rsidRDefault="001550BA" w:rsidP="00D21434">
            <w:pPr>
              <w:spacing w:before="29" w:line="288" w:lineRule="auto"/>
              <w:jc w:val="right"/>
              <w:rPr>
                <w:sz w:val="18"/>
                <w:szCs w:val="18"/>
              </w:rPr>
            </w:pPr>
            <w:r w:rsidRPr="003820A6">
              <w:rPr>
                <w:sz w:val="18"/>
                <w:szCs w:val="18"/>
              </w:rPr>
              <w:t>39,335,885.59</w:t>
            </w:r>
          </w:p>
        </w:tc>
      </w:tr>
      <w:tr w:rsidR="001550BA" w:rsidRPr="00F659AA" w:rsidTr="00EB4ED4">
        <w:trPr>
          <w:trHeight w:val="280"/>
          <w:jc w:val="center"/>
        </w:trPr>
        <w:tc>
          <w:tcPr>
            <w:tcW w:w="1588" w:type="dxa"/>
            <w:vAlign w:val="center"/>
          </w:tcPr>
          <w:p w:rsidR="001550BA" w:rsidRPr="00F659AA" w:rsidRDefault="001550BA" w:rsidP="00F659AA">
            <w:pPr>
              <w:spacing w:before="29" w:line="288" w:lineRule="auto"/>
              <w:jc w:val="center"/>
              <w:rPr>
                <w:b/>
                <w:sz w:val="18"/>
                <w:szCs w:val="18"/>
              </w:rPr>
            </w:pPr>
            <w:r w:rsidRPr="00F659AA">
              <w:rPr>
                <w:rFonts w:hint="eastAsia"/>
                <w:b/>
                <w:sz w:val="18"/>
                <w:szCs w:val="18"/>
              </w:rPr>
              <w:t>上年度末</w:t>
            </w:r>
          </w:p>
          <w:p w:rsidR="001550BA" w:rsidRPr="00F659AA" w:rsidRDefault="001550BA" w:rsidP="00F659AA">
            <w:pPr>
              <w:spacing w:before="29" w:line="288" w:lineRule="auto"/>
              <w:jc w:val="center"/>
              <w:rPr>
                <w:b/>
                <w:sz w:val="18"/>
                <w:szCs w:val="18"/>
              </w:rPr>
            </w:pPr>
            <w:r w:rsidRPr="00F659AA">
              <w:rPr>
                <w:b/>
                <w:sz w:val="18"/>
                <w:szCs w:val="18"/>
              </w:rPr>
              <w:t>2015</w:t>
            </w:r>
            <w:r w:rsidRPr="00F659AA">
              <w:rPr>
                <w:b/>
                <w:sz w:val="18"/>
                <w:szCs w:val="18"/>
              </w:rPr>
              <w:t>年</w:t>
            </w:r>
            <w:r w:rsidRPr="00F659AA">
              <w:rPr>
                <w:b/>
                <w:sz w:val="18"/>
                <w:szCs w:val="18"/>
              </w:rPr>
              <w:t>12</w:t>
            </w:r>
            <w:r w:rsidRPr="00F659AA">
              <w:rPr>
                <w:b/>
                <w:sz w:val="18"/>
                <w:szCs w:val="18"/>
              </w:rPr>
              <w:t>月</w:t>
            </w:r>
            <w:r w:rsidRPr="00F659AA">
              <w:rPr>
                <w:b/>
                <w:sz w:val="18"/>
                <w:szCs w:val="18"/>
              </w:rPr>
              <w:t>31</w:t>
            </w:r>
            <w:r w:rsidRPr="00F659AA">
              <w:rPr>
                <w:b/>
                <w:sz w:val="18"/>
                <w:szCs w:val="18"/>
              </w:rPr>
              <w:t>日</w:t>
            </w:r>
          </w:p>
        </w:tc>
        <w:tc>
          <w:tcPr>
            <w:tcW w:w="1701" w:type="dxa"/>
            <w:vAlign w:val="center"/>
          </w:tcPr>
          <w:p w:rsidR="001550BA" w:rsidRPr="00F659AA" w:rsidRDefault="001550BA" w:rsidP="00F659AA">
            <w:pPr>
              <w:spacing w:before="29" w:line="288" w:lineRule="auto"/>
              <w:jc w:val="center"/>
              <w:rPr>
                <w:b/>
                <w:sz w:val="18"/>
                <w:szCs w:val="18"/>
              </w:rPr>
            </w:pPr>
            <w:r w:rsidRPr="00F659AA">
              <w:rPr>
                <w:b/>
                <w:sz w:val="18"/>
                <w:szCs w:val="18"/>
              </w:rPr>
              <w:t>1</w:t>
            </w:r>
            <w:r w:rsidRPr="00F659AA">
              <w:rPr>
                <w:rFonts w:hint="eastAsia"/>
                <w:b/>
                <w:sz w:val="18"/>
                <w:szCs w:val="18"/>
              </w:rPr>
              <w:t>年以内</w:t>
            </w:r>
          </w:p>
        </w:tc>
        <w:tc>
          <w:tcPr>
            <w:tcW w:w="1701" w:type="dxa"/>
            <w:vAlign w:val="center"/>
          </w:tcPr>
          <w:p w:rsidR="001550BA" w:rsidRPr="00F659AA" w:rsidRDefault="001550BA" w:rsidP="00F659AA">
            <w:pPr>
              <w:spacing w:before="29" w:line="288" w:lineRule="auto"/>
              <w:jc w:val="center"/>
              <w:rPr>
                <w:b/>
                <w:sz w:val="18"/>
                <w:szCs w:val="18"/>
              </w:rPr>
            </w:pPr>
            <w:r w:rsidRPr="00F659AA">
              <w:rPr>
                <w:b/>
                <w:sz w:val="18"/>
                <w:szCs w:val="18"/>
              </w:rPr>
              <w:t>1-5</w:t>
            </w:r>
            <w:r w:rsidRPr="00F659AA">
              <w:rPr>
                <w:rFonts w:hint="eastAsia"/>
                <w:b/>
                <w:sz w:val="18"/>
                <w:szCs w:val="18"/>
              </w:rPr>
              <w:t>年</w:t>
            </w:r>
          </w:p>
        </w:tc>
        <w:tc>
          <w:tcPr>
            <w:tcW w:w="1559" w:type="dxa"/>
            <w:vAlign w:val="center"/>
          </w:tcPr>
          <w:p w:rsidR="001550BA" w:rsidRPr="00F659AA" w:rsidRDefault="001550BA" w:rsidP="00F659AA">
            <w:pPr>
              <w:spacing w:before="29" w:line="288" w:lineRule="auto"/>
              <w:jc w:val="center"/>
              <w:rPr>
                <w:b/>
                <w:sz w:val="18"/>
                <w:szCs w:val="18"/>
              </w:rPr>
            </w:pPr>
            <w:r w:rsidRPr="00F659AA">
              <w:rPr>
                <w:b/>
                <w:sz w:val="18"/>
                <w:szCs w:val="18"/>
              </w:rPr>
              <w:t>5</w:t>
            </w:r>
            <w:r w:rsidRPr="00F659AA">
              <w:rPr>
                <w:rFonts w:hint="eastAsia"/>
                <w:b/>
                <w:sz w:val="18"/>
                <w:szCs w:val="18"/>
              </w:rPr>
              <w:t>年以上</w:t>
            </w:r>
          </w:p>
        </w:tc>
        <w:tc>
          <w:tcPr>
            <w:tcW w:w="1559" w:type="dxa"/>
            <w:vAlign w:val="center"/>
          </w:tcPr>
          <w:p w:rsidR="001550BA" w:rsidRPr="00F659AA" w:rsidRDefault="001550BA" w:rsidP="00F659AA">
            <w:pPr>
              <w:spacing w:before="29" w:line="288" w:lineRule="auto"/>
              <w:jc w:val="center"/>
              <w:rPr>
                <w:b/>
                <w:sz w:val="18"/>
                <w:szCs w:val="18"/>
              </w:rPr>
            </w:pPr>
            <w:r w:rsidRPr="00F659AA">
              <w:rPr>
                <w:rFonts w:hint="eastAsia"/>
                <w:b/>
                <w:sz w:val="18"/>
                <w:szCs w:val="18"/>
              </w:rPr>
              <w:t>不计息</w:t>
            </w:r>
          </w:p>
        </w:tc>
        <w:tc>
          <w:tcPr>
            <w:tcW w:w="1301" w:type="dxa"/>
            <w:vAlign w:val="center"/>
          </w:tcPr>
          <w:p w:rsidR="001550BA" w:rsidRPr="00F659AA" w:rsidRDefault="001550BA" w:rsidP="00F659AA">
            <w:pPr>
              <w:spacing w:before="29" w:line="288" w:lineRule="auto"/>
              <w:jc w:val="center"/>
              <w:rPr>
                <w:b/>
                <w:sz w:val="18"/>
                <w:szCs w:val="18"/>
              </w:rPr>
            </w:pPr>
            <w:r w:rsidRPr="00F659AA">
              <w:rPr>
                <w:rFonts w:hint="eastAsia"/>
                <w:b/>
                <w:sz w:val="18"/>
                <w:szCs w:val="18"/>
              </w:rPr>
              <w:t>合计</w:t>
            </w:r>
          </w:p>
        </w:tc>
      </w:tr>
      <w:tr w:rsidR="001550BA" w:rsidRPr="0091212A" w:rsidTr="00CF3DE4">
        <w:trPr>
          <w:trHeight w:val="280"/>
          <w:jc w:val="center"/>
        </w:trPr>
        <w:tc>
          <w:tcPr>
            <w:tcW w:w="1588" w:type="dxa"/>
            <w:vAlign w:val="center"/>
          </w:tcPr>
          <w:p w:rsidR="001550BA" w:rsidRPr="00CF3DE4" w:rsidRDefault="001550BA" w:rsidP="000A2A64">
            <w:pPr>
              <w:spacing w:line="360" w:lineRule="auto"/>
              <w:jc w:val="left"/>
              <w:rPr>
                <w:color w:val="000000"/>
                <w:sz w:val="18"/>
                <w:szCs w:val="18"/>
              </w:rPr>
            </w:pPr>
            <w:r w:rsidRPr="00CF3DE4">
              <w:rPr>
                <w:rFonts w:hint="eastAsia"/>
                <w:color w:val="000000"/>
                <w:sz w:val="18"/>
                <w:szCs w:val="18"/>
              </w:rPr>
              <w:t>资产</w:t>
            </w:r>
          </w:p>
        </w:tc>
        <w:tc>
          <w:tcPr>
            <w:tcW w:w="1701" w:type="dxa"/>
            <w:vAlign w:val="center"/>
          </w:tcPr>
          <w:p w:rsidR="001550BA" w:rsidRPr="00F659AA" w:rsidRDefault="001550BA" w:rsidP="00EB4ED4">
            <w:pPr>
              <w:spacing w:line="360" w:lineRule="auto"/>
              <w:jc w:val="right"/>
              <w:rPr>
                <w:b/>
                <w:color w:val="000000"/>
                <w:sz w:val="18"/>
                <w:szCs w:val="18"/>
              </w:rPr>
            </w:pPr>
          </w:p>
        </w:tc>
        <w:tc>
          <w:tcPr>
            <w:tcW w:w="1701" w:type="dxa"/>
            <w:vAlign w:val="center"/>
          </w:tcPr>
          <w:p w:rsidR="001550BA" w:rsidRPr="0091212A" w:rsidRDefault="001550BA" w:rsidP="00EB4ED4">
            <w:pPr>
              <w:spacing w:line="360" w:lineRule="auto"/>
              <w:jc w:val="right"/>
              <w:rPr>
                <w:rFonts w:ascii="宋体" w:hAnsi="宋体"/>
                <w:b/>
                <w:color w:val="000000"/>
                <w:szCs w:val="21"/>
              </w:rPr>
            </w:pPr>
          </w:p>
        </w:tc>
        <w:tc>
          <w:tcPr>
            <w:tcW w:w="1559" w:type="dxa"/>
            <w:vAlign w:val="center"/>
          </w:tcPr>
          <w:p w:rsidR="001550BA" w:rsidRPr="0091212A" w:rsidRDefault="001550BA" w:rsidP="00EB4ED4">
            <w:pPr>
              <w:spacing w:line="360" w:lineRule="auto"/>
              <w:jc w:val="right"/>
              <w:rPr>
                <w:rFonts w:ascii="宋体" w:hAnsi="宋体"/>
                <w:b/>
                <w:color w:val="000000"/>
                <w:szCs w:val="21"/>
              </w:rPr>
            </w:pPr>
          </w:p>
        </w:tc>
        <w:tc>
          <w:tcPr>
            <w:tcW w:w="1559" w:type="dxa"/>
            <w:vAlign w:val="center"/>
          </w:tcPr>
          <w:p w:rsidR="001550BA" w:rsidRPr="0091212A" w:rsidRDefault="001550BA" w:rsidP="00EB4ED4">
            <w:pPr>
              <w:spacing w:line="360" w:lineRule="auto"/>
              <w:jc w:val="right"/>
              <w:rPr>
                <w:rFonts w:ascii="宋体" w:hAnsi="宋体"/>
                <w:b/>
                <w:color w:val="000000"/>
                <w:szCs w:val="21"/>
              </w:rPr>
            </w:pPr>
          </w:p>
        </w:tc>
        <w:tc>
          <w:tcPr>
            <w:tcW w:w="1301" w:type="dxa"/>
            <w:vAlign w:val="center"/>
          </w:tcPr>
          <w:p w:rsidR="001550BA" w:rsidRPr="0091212A" w:rsidRDefault="001550BA" w:rsidP="00EB4ED4">
            <w:pPr>
              <w:spacing w:line="360" w:lineRule="auto"/>
              <w:jc w:val="right"/>
              <w:rPr>
                <w:rFonts w:ascii="宋体" w:hAnsi="宋体"/>
                <w:b/>
                <w:color w:val="000000"/>
                <w:szCs w:val="21"/>
              </w:rPr>
            </w:pPr>
          </w:p>
        </w:tc>
      </w:tr>
      <w:tr w:rsidR="00B536C4">
        <w:trPr>
          <w:jc w:val="center"/>
        </w:trPr>
        <w:tc>
          <w:tcPr>
            <w:tcW w:w="1588" w:type="dxa"/>
            <w:vAlign w:val="center"/>
          </w:tcPr>
          <w:p w:rsidR="00B536C4" w:rsidRDefault="00CC45D2" w:rsidP="000A2A64">
            <w:pPr>
              <w:jc w:val="left"/>
            </w:pPr>
            <w:r>
              <w:rPr>
                <w:color w:val="000000"/>
                <w:sz w:val="18"/>
                <w:szCs w:val="18"/>
              </w:rPr>
              <w:t>银行存款</w:t>
            </w:r>
          </w:p>
        </w:tc>
        <w:tc>
          <w:tcPr>
            <w:tcW w:w="1701" w:type="dxa"/>
            <w:vAlign w:val="center"/>
          </w:tcPr>
          <w:p w:rsidR="00B536C4" w:rsidRDefault="00CC45D2">
            <w:pPr>
              <w:jc w:val="right"/>
            </w:pPr>
            <w:r>
              <w:rPr>
                <w:color w:val="000000"/>
                <w:sz w:val="18"/>
                <w:szCs w:val="18"/>
              </w:rPr>
              <w:t>8,583,652.24</w:t>
            </w:r>
          </w:p>
        </w:tc>
        <w:tc>
          <w:tcPr>
            <w:tcW w:w="1701" w:type="dxa"/>
            <w:vAlign w:val="center"/>
          </w:tcPr>
          <w:p w:rsidR="00B536C4" w:rsidRDefault="00CC45D2">
            <w:pPr>
              <w:jc w:val="right"/>
            </w:pPr>
            <w:r>
              <w:rPr>
                <w:color w:val="000000"/>
                <w:sz w:val="18"/>
                <w:szCs w:val="18"/>
              </w:rPr>
              <w:t>-</w:t>
            </w:r>
          </w:p>
        </w:tc>
        <w:tc>
          <w:tcPr>
            <w:tcW w:w="1559" w:type="dxa"/>
            <w:vAlign w:val="center"/>
          </w:tcPr>
          <w:p w:rsidR="00B536C4" w:rsidRDefault="00CC45D2">
            <w:pPr>
              <w:jc w:val="right"/>
            </w:pPr>
            <w:r>
              <w:rPr>
                <w:color w:val="000000"/>
                <w:sz w:val="18"/>
                <w:szCs w:val="18"/>
              </w:rPr>
              <w:t>-</w:t>
            </w:r>
          </w:p>
        </w:tc>
        <w:tc>
          <w:tcPr>
            <w:tcW w:w="1559" w:type="dxa"/>
            <w:vAlign w:val="center"/>
          </w:tcPr>
          <w:p w:rsidR="00B536C4" w:rsidRDefault="00CC45D2">
            <w:pPr>
              <w:jc w:val="right"/>
            </w:pPr>
            <w:r>
              <w:rPr>
                <w:color w:val="000000"/>
                <w:sz w:val="18"/>
                <w:szCs w:val="18"/>
              </w:rPr>
              <w:t>-</w:t>
            </w:r>
          </w:p>
        </w:tc>
        <w:tc>
          <w:tcPr>
            <w:tcW w:w="1301" w:type="dxa"/>
            <w:vAlign w:val="center"/>
          </w:tcPr>
          <w:p w:rsidR="00B536C4" w:rsidRDefault="00CC45D2">
            <w:pPr>
              <w:jc w:val="right"/>
            </w:pPr>
            <w:r>
              <w:rPr>
                <w:color w:val="000000"/>
                <w:sz w:val="18"/>
                <w:szCs w:val="18"/>
              </w:rPr>
              <w:t>8,583,652.24</w:t>
            </w:r>
          </w:p>
        </w:tc>
      </w:tr>
      <w:tr w:rsidR="00B536C4">
        <w:trPr>
          <w:jc w:val="center"/>
        </w:trPr>
        <w:tc>
          <w:tcPr>
            <w:tcW w:w="1588" w:type="dxa"/>
            <w:vAlign w:val="center"/>
          </w:tcPr>
          <w:p w:rsidR="00B536C4" w:rsidRDefault="00CC45D2" w:rsidP="000A2A64">
            <w:pPr>
              <w:jc w:val="left"/>
            </w:pPr>
            <w:r>
              <w:rPr>
                <w:color w:val="000000"/>
                <w:sz w:val="18"/>
                <w:szCs w:val="18"/>
              </w:rPr>
              <w:t>交易性金融资产</w:t>
            </w:r>
          </w:p>
        </w:tc>
        <w:tc>
          <w:tcPr>
            <w:tcW w:w="1701" w:type="dxa"/>
            <w:vAlign w:val="center"/>
          </w:tcPr>
          <w:p w:rsidR="00B536C4" w:rsidRDefault="00CC45D2">
            <w:pPr>
              <w:jc w:val="right"/>
            </w:pPr>
            <w:r>
              <w:rPr>
                <w:color w:val="000000"/>
                <w:sz w:val="18"/>
                <w:szCs w:val="18"/>
              </w:rPr>
              <w:t>-</w:t>
            </w:r>
          </w:p>
        </w:tc>
        <w:tc>
          <w:tcPr>
            <w:tcW w:w="1701" w:type="dxa"/>
            <w:vAlign w:val="center"/>
          </w:tcPr>
          <w:p w:rsidR="00B536C4" w:rsidRDefault="00CC45D2">
            <w:pPr>
              <w:jc w:val="right"/>
            </w:pPr>
            <w:r>
              <w:rPr>
                <w:color w:val="000000"/>
                <w:sz w:val="18"/>
                <w:szCs w:val="18"/>
              </w:rPr>
              <w:t>-</w:t>
            </w:r>
          </w:p>
        </w:tc>
        <w:tc>
          <w:tcPr>
            <w:tcW w:w="1559" w:type="dxa"/>
            <w:vAlign w:val="center"/>
          </w:tcPr>
          <w:p w:rsidR="00B536C4" w:rsidRDefault="00CC45D2">
            <w:pPr>
              <w:jc w:val="right"/>
            </w:pPr>
            <w:r>
              <w:rPr>
                <w:color w:val="000000"/>
                <w:sz w:val="18"/>
                <w:szCs w:val="18"/>
              </w:rPr>
              <w:t>-</w:t>
            </w:r>
          </w:p>
        </w:tc>
        <w:tc>
          <w:tcPr>
            <w:tcW w:w="1559" w:type="dxa"/>
            <w:vAlign w:val="center"/>
          </w:tcPr>
          <w:p w:rsidR="00B536C4" w:rsidRDefault="00CC45D2">
            <w:pPr>
              <w:jc w:val="right"/>
            </w:pPr>
            <w:r>
              <w:rPr>
                <w:color w:val="000000"/>
                <w:sz w:val="18"/>
                <w:szCs w:val="18"/>
              </w:rPr>
              <w:t>22,007,259.12</w:t>
            </w:r>
          </w:p>
        </w:tc>
        <w:tc>
          <w:tcPr>
            <w:tcW w:w="1301" w:type="dxa"/>
            <w:vAlign w:val="center"/>
          </w:tcPr>
          <w:p w:rsidR="00B536C4" w:rsidRDefault="00CC45D2">
            <w:pPr>
              <w:jc w:val="right"/>
            </w:pPr>
            <w:r>
              <w:rPr>
                <w:color w:val="000000"/>
                <w:sz w:val="18"/>
                <w:szCs w:val="18"/>
              </w:rPr>
              <w:t>22,007,259.12</w:t>
            </w:r>
          </w:p>
        </w:tc>
      </w:tr>
      <w:tr w:rsidR="00B536C4">
        <w:trPr>
          <w:jc w:val="center"/>
        </w:trPr>
        <w:tc>
          <w:tcPr>
            <w:tcW w:w="1588" w:type="dxa"/>
            <w:vAlign w:val="center"/>
          </w:tcPr>
          <w:p w:rsidR="00B536C4" w:rsidRDefault="00CC45D2" w:rsidP="000A2A64">
            <w:pPr>
              <w:jc w:val="left"/>
            </w:pPr>
            <w:r>
              <w:rPr>
                <w:color w:val="000000"/>
                <w:sz w:val="18"/>
                <w:szCs w:val="18"/>
              </w:rPr>
              <w:t>应收利息</w:t>
            </w:r>
          </w:p>
        </w:tc>
        <w:tc>
          <w:tcPr>
            <w:tcW w:w="1701" w:type="dxa"/>
            <w:vAlign w:val="center"/>
          </w:tcPr>
          <w:p w:rsidR="00B536C4" w:rsidRDefault="00CC45D2">
            <w:pPr>
              <w:jc w:val="right"/>
            </w:pPr>
            <w:r>
              <w:rPr>
                <w:color w:val="000000"/>
                <w:sz w:val="18"/>
                <w:szCs w:val="18"/>
              </w:rPr>
              <w:t>-</w:t>
            </w:r>
          </w:p>
        </w:tc>
        <w:tc>
          <w:tcPr>
            <w:tcW w:w="1701" w:type="dxa"/>
            <w:vAlign w:val="center"/>
          </w:tcPr>
          <w:p w:rsidR="00B536C4" w:rsidRDefault="00CC45D2">
            <w:pPr>
              <w:jc w:val="right"/>
            </w:pPr>
            <w:r>
              <w:rPr>
                <w:color w:val="000000"/>
                <w:sz w:val="18"/>
                <w:szCs w:val="18"/>
              </w:rPr>
              <w:t>-</w:t>
            </w:r>
          </w:p>
        </w:tc>
        <w:tc>
          <w:tcPr>
            <w:tcW w:w="1559" w:type="dxa"/>
            <w:vAlign w:val="center"/>
          </w:tcPr>
          <w:p w:rsidR="00B536C4" w:rsidRDefault="00CC45D2">
            <w:pPr>
              <w:jc w:val="right"/>
            </w:pPr>
            <w:r>
              <w:rPr>
                <w:color w:val="000000"/>
                <w:sz w:val="18"/>
                <w:szCs w:val="18"/>
              </w:rPr>
              <w:t>-</w:t>
            </w:r>
          </w:p>
        </w:tc>
        <w:tc>
          <w:tcPr>
            <w:tcW w:w="1559" w:type="dxa"/>
            <w:vAlign w:val="center"/>
          </w:tcPr>
          <w:p w:rsidR="00B536C4" w:rsidRDefault="00CC45D2">
            <w:pPr>
              <w:jc w:val="right"/>
            </w:pPr>
            <w:r>
              <w:rPr>
                <w:color w:val="000000"/>
                <w:sz w:val="18"/>
                <w:szCs w:val="18"/>
              </w:rPr>
              <w:t>1,440.19</w:t>
            </w:r>
          </w:p>
        </w:tc>
        <w:tc>
          <w:tcPr>
            <w:tcW w:w="1301" w:type="dxa"/>
            <w:vAlign w:val="center"/>
          </w:tcPr>
          <w:p w:rsidR="00B536C4" w:rsidRDefault="00CC45D2">
            <w:pPr>
              <w:jc w:val="right"/>
            </w:pPr>
            <w:r>
              <w:rPr>
                <w:color w:val="000000"/>
                <w:sz w:val="18"/>
                <w:szCs w:val="18"/>
              </w:rPr>
              <w:t>1,440.19</w:t>
            </w:r>
          </w:p>
        </w:tc>
      </w:tr>
      <w:tr w:rsidR="00B536C4">
        <w:trPr>
          <w:jc w:val="center"/>
        </w:trPr>
        <w:tc>
          <w:tcPr>
            <w:tcW w:w="1588" w:type="dxa"/>
            <w:vAlign w:val="center"/>
          </w:tcPr>
          <w:p w:rsidR="00B536C4" w:rsidRDefault="00CC45D2" w:rsidP="000A2A64">
            <w:pPr>
              <w:jc w:val="left"/>
            </w:pPr>
            <w:r>
              <w:rPr>
                <w:color w:val="000000"/>
                <w:sz w:val="18"/>
                <w:szCs w:val="18"/>
              </w:rPr>
              <w:t>应收申购款</w:t>
            </w:r>
          </w:p>
        </w:tc>
        <w:tc>
          <w:tcPr>
            <w:tcW w:w="1701" w:type="dxa"/>
            <w:vAlign w:val="center"/>
          </w:tcPr>
          <w:p w:rsidR="00B536C4" w:rsidRDefault="00CC45D2">
            <w:pPr>
              <w:jc w:val="right"/>
            </w:pPr>
            <w:r>
              <w:rPr>
                <w:color w:val="000000"/>
                <w:sz w:val="18"/>
                <w:szCs w:val="18"/>
              </w:rPr>
              <w:t>-</w:t>
            </w:r>
          </w:p>
        </w:tc>
        <w:tc>
          <w:tcPr>
            <w:tcW w:w="1701" w:type="dxa"/>
            <w:vAlign w:val="center"/>
          </w:tcPr>
          <w:p w:rsidR="00B536C4" w:rsidRDefault="00CC45D2">
            <w:pPr>
              <w:jc w:val="right"/>
            </w:pPr>
            <w:r>
              <w:rPr>
                <w:color w:val="000000"/>
                <w:sz w:val="18"/>
                <w:szCs w:val="18"/>
              </w:rPr>
              <w:t>-</w:t>
            </w:r>
          </w:p>
        </w:tc>
        <w:tc>
          <w:tcPr>
            <w:tcW w:w="1559" w:type="dxa"/>
            <w:vAlign w:val="center"/>
          </w:tcPr>
          <w:p w:rsidR="00B536C4" w:rsidRDefault="00CC45D2">
            <w:pPr>
              <w:jc w:val="right"/>
            </w:pPr>
            <w:r>
              <w:rPr>
                <w:color w:val="000000"/>
                <w:sz w:val="18"/>
                <w:szCs w:val="18"/>
              </w:rPr>
              <w:t>-</w:t>
            </w:r>
          </w:p>
        </w:tc>
        <w:tc>
          <w:tcPr>
            <w:tcW w:w="1559" w:type="dxa"/>
            <w:vAlign w:val="center"/>
          </w:tcPr>
          <w:p w:rsidR="00B536C4" w:rsidRDefault="00CC45D2">
            <w:pPr>
              <w:jc w:val="right"/>
            </w:pPr>
            <w:r>
              <w:rPr>
                <w:color w:val="000000"/>
                <w:sz w:val="18"/>
                <w:szCs w:val="18"/>
              </w:rPr>
              <w:t>395.25</w:t>
            </w:r>
          </w:p>
        </w:tc>
        <w:tc>
          <w:tcPr>
            <w:tcW w:w="1301" w:type="dxa"/>
            <w:vAlign w:val="center"/>
          </w:tcPr>
          <w:p w:rsidR="00B536C4" w:rsidRDefault="00CC45D2">
            <w:pPr>
              <w:jc w:val="right"/>
            </w:pPr>
            <w:r>
              <w:rPr>
                <w:color w:val="000000"/>
                <w:sz w:val="18"/>
                <w:szCs w:val="18"/>
              </w:rPr>
              <w:t>395.25</w:t>
            </w:r>
          </w:p>
        </w:tc>
      </w:tr>
      <w:tr w:rsidR="001550BA" w:rsidRPr="006666AF" w:rsidTr="00D21434">
        <w:trPr>
          <w:trHeight w:val="280"/>
          <w:jc w:val="center"/>
        </w:trPr>
        <w:tc>
          <w:tcPr>
            <w:tcW w:w="1588" w:type="dxa"/>
            <w:vAlign w:val="center"/>
          </w:tcPr>
          <w:p w:rsidR="001550BA" w:rsidRPr="00CF3DE4" w:rsidRDefault="001550BA" w:rsidP="000A2A64">
            <w:pPr>
              <w:spacing w:before="29" w:line="288" w:lineRule="auto"/>
              <w:jc w:val="left"/>
              <w:rPr>
                <w:rFonts w:ascii="宋体" w:hAnsi="宋体"/>
                <w:color w:val="000000"/>
                <w:szCs w:val="21"/>
              </w:rPr>
            </w:pPr>
            <w:r w:rsidRPr="00CF3DE4">
              <w:rPr>
                <w:rFonts w:hint="eastAsia"/>
                <w:color w:val="000000"/>
                <w:sz w:val="18"/>
                <w:szCs w:val="18"/>
              </w:rPr>
              <w:t>资产总计</w:t>
            </w:r>
          </w:p>
        </w:tc>
        <w:tc>
          <w:tcPr>
            <w:tcW w:w="1701" w:type="dxa"/>
            <w:vAlign w:val="center"/>
          </w:tcPr>
          <w:p w:rsidR="001550BA" w:rsidRPr="00942B48" w:rsidRDefault="001550BA" w:rsidP="00D21434">
            <w:pPr>
              <w:spacing w:before="29" w:line="288" w:lineRule="auto"/>
              <w:jc w:val="right"/>
              <w:rPr>
                <w:sz w:val="18"/>
                <w:szCs w:val="18"/>
              </w:rPr>
            </w:pPr>
            <w:r w:rsidRPr="00942B48">
              <w:rPr>
                <w:sz w:val="18"/>
                <w:szCs w:val="18"/>
              </w:rPr>
              <w:t>8,583,652.24</w:t>
            </w:r>
          </w:p>
        </w:tc>
        <w:tc>
          <w:tcPr>
            <w:tcW w:w="1701" w:type="dxa"/>
            <w:vAlign w:val="center"/>
          </w:tcPr>
          <w:p w:rsidR="001550BA" w:rsidRPr="00942B48" w:rsidRDefault="001550BA" w:rsidP="00D21434">
            <w:pPr>
              <w:spacing w:before="29" w:line="288" w:lineRule="auto"/>
              <w:jc w:val="right"/>
              <w:rPr>
                <w:sz w:val="18"/>
                <w:szCs w:val="18"/>
              </w:rPr>
            </w:pPr>
            <w:r w:rsidRPr="00942B48">
              <w:rPr>
                <w:sz w:val="18"/>
                <w:szCs w:val="18"/>
              </w:rPr>
              <w:t>-</w:t>
            </w:r>
          </w:p>
        </w:tc>
        <w:tc>
          <w:tcPr>
            <w:tcW w:w="1559" w:type="dxa"/>
            <w:vAlign w:val="center"/>
          </w:tcPr>
          <w:p w:rsidR="001550BA" w:rsidRPr="00942B48" w:rsidRDefault="001550BA" w:rsidP="00D21434">
            <w:pPr>
              <w:spacing w:before="29" w:line="288" w:lineRule="auto"/>
              <w:jc w:val="right"/>
              <w:rPr>
                <w:sz w:val="18"/>
                <w:szCs w:val="18"/>
              </w:rPr>
            </w:pPr>
            <w:r w:rsidRPr="00942B48">
              <w:rPr>
                <w:sz w:val="18"/>
                <w:szCs w:val="18"/>
              </w:rPr>
              <w:t>-</w:t>
            </w:r>
          </w:p>
        </w:tc>
        <w:tc>
          <w:tcPr>
            <w:tcW w:w="1559" w:type="dxa"/>
            <w:vAlign w:val="center"/>
          </w:tcPr>
          <w:p w:rsidR="001550BA" w:rsidRPr="00942B48" w:rsidRDefault="001550BA" w:rsidP="00D21434">
            <w:pPr>
              <w:spacing w:before="29" w:line="288" w:lineRule="auto"/>
              <w:jc w:val="right"/>
              <w:rPr>
                <w:sz w:val="18"/>
                <w:szCs w:val="18"/>
              </w:rPr>
            </w:pPr>
            <w:r w:rsidRPr="00942B48">
              <w:rPr>
                <w:sz w:val="18"/>
                <w:szCs w:val="18"/>
              </w:rPr>
              <w:t>22,009,094.56</w:t>
            </w:r>
          </w:p>
        </w:tc>
        <w:tc>
          <w:tcPr>
            <w:tcW w:w="1301" w:type="dxa"/>
            <w:vAlign w:val="center"/>
          </w:tcPr>
          <w:p w:rsidR="001550BA" w:rsidRPr="00942B48" w:rsidRDefault="001550BA" w:rsidP="00D21434">
            <w:pPr>
              <w:spacing w:before="29" w:line="288" w:lineRule="auto"/>
              <w:jc w:val="right"/>
              <w:rPr>
                <w:sz w:val="18"/>
                <w:szCs w:val="18"/>
              </w:rPr>
            </w:pPr>
            <w:r w:rsidRPr="00942B48">
              <w:rPr>
                <w:sz w:val="18"/>
                <w:szCs w:val="18"/>
              </w:rPr>
              <w:t>30,592,746.80</w:t>
            </w:r>
          </w:p>
        </w:tc>
      </w:tr>
      <w:tr w:rsidR="001550BA" w:rsidRPr="006666AF" w:rsidTr="009311F7">
        <w:trPr>
          <w:trHeight w:val="278"/>
          <w:jc w:val="center"/>
        </w:trPr>
        <w:tc>
          <w:tcPr>
            <w:tcW w:w="1588" w:type="dxa"/>
            <w:vAlign w:val="center"/>
          </w:tcPr>
          <w:p w:rsidR="001550BA" w:rsidRPr="003C64EE" w:rsidRDefault="001550BA" w:rsidP="000A2A64">
            <w:pPr>
              <w:spacing w:line="360" w:lineRule="auto"/>
              <w:jc w:val="left"/>
              <w:rPr>
                <w:color w:val="000000"/>
                <w:sz w:val="18"/>
                <w:szCs w:val="18"/>
              </w:rPr>
            </w:pPr>
            <w:r w:rsidRPr="003C64EE">
              <w:rPr>
                <w:rFonts w:hint="eastAsia"/>
                <w:color w:val="000000"/>
                <w:sz w:val="18"/>
                <w:szCs w:val="18"/>
              </w:rPr>
              <w:t>负债</w:t>
            </w:r>
          </w:p>
        </w:tc>
        <w:tc>
          <w:tcPr>
            <w:tcW w:w="1701" w:type="dxa"/>
            <w:vAlign w:val="bottom"/>
          </w:tcPr>
          <w:p w:rsidR="001550BA" w:rsidRPr="003C64EE" w:rsidRDefault="001550BA" w:rsidP="00EB4ED4">
            <w:pPr>
              <w:spacing w:line="360" w:lineRule="auto"/>
              <w:jc w:val="right"/>
              <w:rPr>
                <w:color w:val="000000"/>
                <w:sz w:val="18"/>
                <w:szCs w:val="18"/>
              </w:rPr>
            </w:pPr>
          </w:p>
        </w:tc>
        <w:tc>
          <w:tcPr>
            <w:tcW w:w="1701" w:type="dxa"/>
            <w:vAlign w:val="bottom"/>
          </w:tcPr>
          <w:p w:rsidR="001550BA" w:rsidRPr="006666AF" w:rsidRDefault="001550BA" w:rsidP="00EB4ED4">
            <w:pPr>
              <w:spacing w:line="360" w:lineRule="auto"/>
              <w:jc w:val="right"/>
              <w:rPr>
                <w:rFonts w:ascii="宋体" w:hAnsi="宋体"/>
                <w:color w:val="000000"/>
                <w:szCs w:val="21"/>
              </w:rPr>
            </w:pPr>
          </w:p>
        </w:tc>
        <w:tc>
          <w:tcPr>
            <w:tcW w:w="1559" w:type="dxa"/>
            <w:vAlign w:val="bottom"/>
          </w:tcPr>
          <w:p w:rsidR="001550BA" w:rsidRPr="006666AF" w:rsidRDefault="001550BA" w:rsidP="00EB4ED4">
            <w:pPr>
              <w:spacing w:line="360" w:lineRule="auto"/>
              <w:jc w:val="right"/>
              <w:rPr>
                <w:rFonts w:ascii="宋体" w:hAnsi="宋体"/>
                <w:color w:val="000000"/>
                <w:szCs w:val="21"/>
              </w:rPr>
            </w:pPr>
          </w:p>
        </w:tc>
        <w:tc>
          <w:tcPr>
            <w:tcW w:w="1559" w:type="dxa"/>
            <w:vAlign w:val="bottom"/>
          </w:tcPr>
          <w:p w:rsidR="001550BA" w:rsidRPr="006666AF" w:rsidRDefault="001550BA" w:rsidP="00EB4ED4">
            <w:pPr>
              <w:spacing w:line="360" w:lineRule="auto"/>
              <w:jc w:val="right"/>
              <w:rPr>
                <w:rFonts w:ascii="宋体" w:hAnsi="宋体"/>
                <w:color w:val="000000"/>
                <w:szCs w:val="21"/>
              </w:rPr>
            </w:pPr>
          </w:p>
        </w:tc>
        <w:tc>
          <w:tcPr>
            <w:tcW w:w="1301" w:type="dxa"/>
            <w:vAlign w:val="bottom"/>
          </w:tcPr>
          <w:p w:rsidR="001550BA" w:rsidRPr="006666AF" w:rsidRDefault="001550BA" w:rsidP="00EB4ED4">
            <w:pPr>
              <w:spacing w:line="360" w:lineRule="auto"/>
              <w:jc w:val="right"/>
              <w:rPr>
                <w:rFonts w:ascii="宋体" w:hAnsi="宋体"/>
                <w:color w:val="000000"/>
                <w:szCs w:val="21"/>
              </w:rPr>
            </w:pPr>
          </w:p>
        </w:tc>
      </w:tr>
      <w:tr w:rsidR="00B536C4">
        <w:trPr>
          <w:jc w:val="center"/>
        </w:trPr>
        <w:tc>
          <w:tcPr>
            <w:tcW w:w="1588" w:type="dxa"/>
            <w:vAlign w:val="center"/>
          </w:tcPr>
          <w:p w:rsidR="00B536C4" w:rsidRDefault="00CC45D2" w:rsidP="000A2A64">
            <w:pPr>
              <w:jc w:val="left"/>
            </w:pPr>
            <w:r>
              <w:rPr>
                <w:color w:val="000000"/>
                <w:sz w:val="18"/>
                <w:szCs w:val="18"/>
              </w:rPr>
              <w:t>应付</w:t>
            </w:r>
            <w:proofErr w:type="gramStart"/>
            <w:r>
              <w:rPr>
                <w:color w:val="000000"/>
                <w:sz w:val="18"/>
                <w:szCs w:val="18"/>
              </w:rPr>
              <w:t>赎回款</w:t>
            </w:r>
            <w:proofErr w:type="gramEnd"/>
          </w:p>
        </w:tc>
        <w:tc>
          <w:tcPr>
            <w:tcW w:w="1701" w:type="dxa"/>
            <w:vAlign w:val="center"/>
          </w:tcPr>
          <w:p w:rsidR="00B536C4" w:rsidRDefault="00CC45D2">
            <w:pPr>
              <w:jc w:val="right"/>
            </w:pPr>
            <w:r>
              <w:rPr>
                <w:color w:val="000000"/>
                <w:sz w:val="18"/>
                <w:szCs w:val="18"/>
              </w:rPr>
              <w:t>-</w:t>
            </w:r>
          </w:p>
        </w:tc>
        <w:tc>
          <w:tcPr>
            <w:tcW w:w="1701" w:type="dxa"/>
            <w:vAlign w:val="center"/>
          </w:tcPr>
          <w:p w:rsidR="00B536C4" w:rsidRDefault="00CC45D2">
            <w:pPr>
              <w:jc w:val="right"/>
            </w:pPr>
            <w:r>
              <w:rPr>
                <w:color w:val="000000"/>
                <w:sz w:val="18"/>
                <w:szCs w:val="18"/>
              </w:rPr>
              <w:t>-</w:t>
            </w:r>
          </w:p>
        </w:tc>
        <w:tc>
          <w:tcPr>
            <w:tcW w:w="1559" w:type="dxa"/>
            <w:vAlign w:val="center"/>
          </w:tcPr>
          <w:p w:rsidR="00B536C4" w:rsidRDefault="00CC45D2">
            <w:pPr>
              <w:jc w:val="right"/>
            </w:pPr>
            <w:r>
              <w:rPr>
                <w:color w:val="000000"/>
                <w:sz w:val="18"/>
                <w:szCs w:val="18"/>
              </w:rPr>
              <w:t>-</w:t>
            </w:r>
          </w:p>
        </w:tc>
        <w:tc>
          <w:tcPr>
            <w:tcW w:w="1559" w:type="dxa"/>
            <w:vAlign w:val="center"/>
          </w:tcPr>
          <w:p w:rsidR="00B536C4" w:rsidRDefault="00CC45D2">
            <w:pPr>
              <w:jc w:val="right"/>
            </w:pPr>
            <w:r>
              <w:rPr>
                <w:color w:val="000000"/>
                <w:sz w:val="18"/>
                <w:szCs w:val="18"/>
              </w:rPr>
              <w:t>52,884.64</w:t>
            </w:r>
          </w:p>
        </w:tc>
        <w:tc>
          <w:tcPr>
            <w:tcW w:w="1301" w:type="dxa"/>
            <w:vAlign w:val="center"/>
          </w:tcPr>
          <w:p w:rsidR="00B536C4" w:rsidRDefault="00CC45D2">
            <w:pPr>
              <w:jc w:val="right"/>
            </w:pPr>
            <w:r>
              <w:rPr>
                <w:color w:val="000000"/>
                <w:sz w:val="18"/>
                <w:szCs w:val="18"/>
              </w:rPr>
              <w:t>52,884.64</w:t>
            </w:r>
          </w:p>
        </w:tc>
      </w:tr>
      <w:tr w:rsidR="00B536C4">
        <w:trPr>
          <w:jc w:val="center"/>
        </w:trPr>
        <w:tc>
          <w:tcPr>
            <w:tcW w:w="1588" w:type="dxa"/>
            <w:vAlign w:val="center"/>
          </w:tcPr>
          <w:p w:rsidR="00B536C4" w:rsidRDefault="00CC45D2" w:rsidP="000A2A64">
            <w:pPr>
              <w:jc w:val="left"/>
            </w:pPr>
            <w:r>
              <w:rPr>
                <w:color w:val="000000"/>
                <w:sz w:val="18"/>
                <w:szCs w:val="18"/>
              </w:rPr>
              <w:t>应付管理人报酬</w:t>
            </w:r>
          </w:p>
        </w:tc>
        <w:tc>
          <w:tcPr>
            <w:tcW w:w="1701" w:type="dxa"/>
            <w:vAlign w:val="center"/>
          </w:tcPr>
          <w:p w:rsidR="00B536C4" w:rsidRDefault="00CC45D2">
            <w:pPr>
              <w:jc w:val="right"/>
            </w:pPr>
            <w:r>
              <w:rPr>
                <w:color w:val="000000"/>
                <w:sz w:val="18"/>
                <w:szCs w:val="18"/>
              </w:rPr>
              <w:t>-</w:t>
            </w:r>
          </w:p>
        </w:tc>
        <w:tc>
          <w:tcPr>
            <w:tcW w:w="1701" w:type="dxa"/>
            <w:vAlign w:val="center"/>
          </w:tcPr>
          <w:p w:rsidR="00B536C4" w:rsidRDefault="00CC45D2">
            <w:pPr>
              <w:jc w:val="right"/>
            </w:pPr>
            <w:r>
              <w:rPr>
                <w:color w:val="000000"/>
                <w:sz w:val="18"/>
                <w:szCs w:val="18"/>
              </w:rPr>
              <w:t>-</w:t>
            </w:r>
          </w:p>
        </w:tc>
        <w:tc>
          <w:tcPr>
            <w:tcW w:w="1559" w:type="dxa"/>
            <w:vAlign w:val="center"/>
          </w:tcPr>
          <w:p w:rsidR="00B536C4" w:rsidRDefault="00CC45D2">
            <w:pPr>
              <w:jc w:val="right"/>
            </w:pPr>
            <w:r>
              <w:rPr>
                <w:color w:val="000000"/>
                <w:sz w:val="18"/>
                <w:szCs w:val="18"/>
              </w:rPr>
              <w:t>-</w:t>
            </w:r>
          </w:p>
        </w:tc>
        <w:tc>
          <w:tcPr>
            <w:tcW w:w="1559" w:type="dxa"/>
            <w:vAlign w:val="center"/>
          </w:tcPr>
          <w:p w:rsidR="00B536C4" w:rsidRDefault="00CC45D2">
            <w:pPr>
              <w:jc w:val="right"/>
            </w:pPr>
            <w:r>
              <w:rPr>
                <w:color w:val="000000"/>
                <w:sz w:val="18"/>
                <w:szCs w:val="18"/>
              </w:rPr>
              <w:t>46,030.30</w:t>
            </w:r>
          </w:p>
        </w:tc>
        <w:tc>
          <w:tcPr>
            <w:tcW w:w="1301" w:type="dxa"/>
            <w:vAlign w:val="center"/>
          </w:tcPr>
          <w:p w:rsidR="00B536C4" w:rsidRDefault="00CC45D2">
            <w:pPr>
              <w:jc w:val="right"/>
            </w:pPr>
            <w:r>
              <w:rPr>
                <w:color w:val="000000"/>
                <w:sz w:val="18"/>
                <w:szCs w:val="18"/>
              </w:rPr>
              <w:t>46,030.30</w:t>
            </w:r>
          </w:p>
        </w:tc>
      </w:tr>
      <w:tr w:rsidR="00B536C4">
        <w:trPr>
          <w:jc w:val="center"/>
        </w:trPr>
        <w:tc>
          <w:tcPr>
            <w:tcW w:w="1588" w:type="dxa"/>
            <w:vAlign w:val="center"/>
          </w:tcPr>
          <w:p w:rsidR="00B536C4" w:rsidRDefault="00CC45D2" w:rsidP="000A2A64">
            <w:pPr>
              <w:jc w:val="left"/>
            </w:pPr>
            <w:r>
              <w:rPr>
                <w:color w:val="000000"/>
                <w:sz w:val="18"/>
                <w:szCs w:val="18"/>
              </w:rPr>
              <w:t>应付托管费</w:t>
            </w:r>
          </w:p>
        </w:tc>
        <w:tc>
          <w:tcPr>
            <w:tcW w:w="1701" w:type="dxa"/>
            <w:vAlign w:val="center"/>
          </w:tcPr>
          <w:p w:rsidR="00B536C4" w:rsidRDefault="00CC45D2">
            <w:pPr>
              <w:jc w:val="right"/>
            </w:pPr>
            <w:r>
              <w:rPr>
                <w:color w:val="000000"/>
                <w:sz w:val="18"/>
                <w:szCs w:val="18"/>
              </w:rPr>
              <w:t>-</w:t>
            </w:r>
          </w:p>
        </w:tc>
        <w:tc>
          <w:tcPr>
            <w:tcW w:w="1701" w:type="dxa"/>
            <w:vAlign w:val="center"/>
          </w:tcPr>
          <w:p w:rsidR="00B536C4" w:rsidRDefault="00CC45D2">
            <w:pPr>
              <w:jc w:val="right"/>
            </w:pPr>
            <w:r>
              <w:rPr>
                <w:color w:val="000000"/>
                <w:sz w:val="18"/>
                <w:szCs w:val="18"/>
              </w:rPr>
              <w:t>-</w:t>
            </w:r>
          </w:p>
        </w:tc>
        <w:tc>
          <w:tcPr>
            <w:tcW w:w="1559" w:type="dxa"/>
            <w:vAlign w:val="center"/>
          </w:tcPr>
          <w:p w:rsidR="00B536C4" w:rsidRDefault="00CC45D2">
            <w:pPr>
              <w:jc w:val="right"/>
            </w:pPr>
            <w:r>
              <w:rPr>
                <w:color w:val="000000"/>
                <w:sz w:val="18"/>
                <w:szCs w:val="18"/>
              </w:rPr>
              <w:t>-</w:t>
            </w:r>
          </w:p>
        </w:tc>
        <w:tc>
          <w:tcPr>
            <w:tcW w:w="1559" w:type="dxa"/>
            <w:vAlign w:val="center"/>
          </w:tcPr>
          <w:p w:rsidR="00B536C4" w:rsidRDefault="00CC45D2">
            <w:pPr>
              <w:jc w:val="right"/>
            </w:pPr>
            <w:r>
              <w:rPr>
                <w:color w:val="000000"/>
                <w:sz w:val="18"/>
                <w:szCs w:val="18"/>
              </w:rPr>
              <w:t>8,950.34</w:t>
            </w:r>
          </w:p>
        </w:tc>
        <w:tc>
          <w:tcPr>
            <w:tcW w:w="1301" w:type="dxa"/>
            <w:vAlign w:val="center"/>
          </w:tcPr>
          <w:p w:rsidR="00B536C4" w:rsidRDefault="00CC45D2">
            <w:pPr>
              <w:jc w:val="right"/>
            </w:pPr>
            <w:r>
              <w:rPr>
                <w:color w:val="000000"/>
                <w:sz w:val="18"/>
                <w:szCs w:val="18"/>
              </w:rPr>
              <w:t>8,950.34</w:t>
            </w:r>
          </w:p>
        </w:tc>
      </w:tr>
      <w:tr w:rsidR="00B536C4">
        <w:trPr>
          <w:jc w:val="center"/>
        </w:trPr>
        <w:tc>
          <w:tcPr>
            <w:tcW w:w="1588" w:type="dxa"/>
            <w:vAlign w:val="center"/>
          </w:tcPr>
          <w:p w:rsidR="00B536C4" w:rsidRDefault="00CC45D2" w:rsidP="000A2A64">
            <w:pPr>
              <w:jc w:val="left"/>
            </w:pPr>
            <w:r>
              <w:rPr>
                <w:color w:val="000000"/>
                <w:sz w:val="18"/>
                <w:szCs w:val="18"/>
              </w:rPr>
              <w:t>其他负债</w:t>
            </w:r>
          </w:p>
        </w:tc>
        <w:tc>
          <w:tcPr>
            <w:tcW w:w="1701" w:type="dxa"/>
            <w:vAlign w:val="center"/>
          </w:tcPr>
          <w:p w:rsidR="00B536C4" w:rsidRDefault="00CC45D2">
            <w:pPr>
              <w:jc w:val="right"/>
            </w:pPr>
            <w:r>
              <w:rPr>
                <w:color w:val="000000"/>
                <w:sz w:val="18"/>
                <w:szCs w:val="18"/>
              </w:rPr>
              <w:t>-</w:t>
            </w:r>
          </w:p>
        </w:tc>
        <w:tc>
          <w:tcPr>
            <w:tcW w:w="1701" w:type="dxa"/>
            <w:vAlign w:val="center"/>
          </w:tcPr>
          <w:p w:rsidR="00B536C4" w:rsidRDefault="00CC45D2">
            <w:pPr>
              <w:jc w:val="right"/>
            </w:pPr>
            <w:r>
              <w:rPr>
                <w:color w:val="000000"/>
                <w:sz w:val="18"/>
                <w:szCs w:val="18"/>
              </w:rPr>
              <w:t>-</w:t>
            </w:r>
          </w:p>
        </w:tc>
        <w:tc>
          <w:tcPr>
            <w:tcW w:w="1559" w:type="dxa"/>
            <w:vAlign w:val="center"/>
          </w:tcPr>
          <w:p w:rsidR="00B536C4" w:rsidRDefault="00CC45D2">
            <w:pPr>
              <w:jc w:val="right"/>
            </w:pPr>
            <w:r>
              <w:rPr>
                <w:color w:val="000000"/>
                <w:sz w:val="18"/>
                <w:szCs w:val="18"/>
              </w:rPr>
              <w:t>-</w:t>
            </w:r>
          </w:p>
        </w:tc>
        <w:tc>
          <w:tcPr>
            <w:tcW w:w="1559" w:type="dxa"/>
            <w:vAlign w:val="center"/>
          </w:tcPr>
          <w:p w:rsidR="00B536C4" w:rsidRDefault="00CC45D2">
            <w:pPr>
              <w:jc w:val="right"/>
            </w:pPr>
            <w:r>
              <w:rPr>
                <w:color w:val="000000"/>
                <w:sz w:val="18"/>
                <w:szCs w:val="18"/>
              </w:rPr>
              <w:t>40,173.86</w:t>
            </w:r>
          </w:p>
        </w:tc>
        <w:tc>
          <w:tcPr>
            <w:tcW w:w="1301" w:type="dxa"/>
            <w:vAlign w:val="center"/>
          </w:tcPr>
          <w:p w:rsidR="00B536C4" w:rsidRDefault="00CC45D2">
            <w:pPr>
              <w:jc w:val="right"/>
            </w:pPr>
            <w:r>
              <w:rPr>
                <w:color w:val="000000"/>
                <w:sz w:val="18"/>
                <w:szCs w:val="18"/>
              </w:rPr>
              <w:t>40,173.86</w:t>
            </w:r>
          </w:p>
        </w:tc>
      </w:tr>
      <w:tr w:rsidR="001550BA" w:rsidRPr="0091212A" w:rsidTr="00D21434">
        <w:trPr>
          <w:trHeight w:val="278"/>
          <w:jc w:val="center"/>
        </w:trPr>
        <w:tc>
          <w:tcPr>
            <w:tcW w:w="1588" w:type="dxa"/>
            <w:vAlign w:val="center"/>
          </w:tcPr>
          <w:p w:rsidR="001550BA" w:rsidRPr="003C64EE" w:rsidRDefault="001550BA" w:rsidP="000A2A64">
            <w:pPr>
              <w:spacing w:before="29" w:line="288" w:lineRule="auto"/>
              <w:jc w:val="left"/>
              <w:rPr>
                <w:color w:val="000000"/>
                <w:sz w:val="18"/>
                <w:szCs w:val="18"/>
              </w:rPr>
            </w:pPr>
            <w:r w:rsidRPr="003C64EE">
              <w:rPr>
                <w:rFonts w:hint="eastAsia"/>
                <w:color w:val="000000"/>
                <w:sz w:val="18"/>
                <w:szCs w:val="18"/>
              </w:rPr>
              <w:t>负债总计</w:t>
            </w:r>
          </w:p>
        </w:tc>
        <w:tc>
          <w:tcPr>
            <w:tcW w:w="1701" w:type="dxa"/>
            <w:vAlign w:val="center"/>
          </w:tcPr>
          <w:p w:rsidR="001550BA" w:rsidRPr="00657E49" w:rsidRDefault="001550BA" w:rsidP="00D21434">
            <w:pPr>
              <w:spacing w:before="29" w:line="288" w:lineRule="auto"/>
              <w:jc w:val="right"/>
              <w:rPr>
                <w:sz w:val="18"/>
                <w:szCs w:val="18"/>
              </w:rPr>
            </w:pPr>
            <w:r w:rsidRPr="00657E49">
              <w:rPr>
                <w:rFonts w:hint="eastAsia"/>
                <w:sz w:val="18"/>
                <w:szCs w:val="18"/>
              </w:rPr>
              <w:t>-</w:t>
            </w:r>
          </w:p>
        </w:tc>
        <w:tc>
          <w:tcPr>
            <w:tcW w:w="1701" w:type="dxa"/>
            <w:vAlign w:val="center"/>
          </w:tcPr>
          <w:p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rsidR="001550BA" w:rsidRPr="00657E49" w:rsidRDefault="001550BA" w:rsidP="00D21434">
            <w:pPr>
              <w:spacing w:before="29" w:line="288" w:lineRule="auto"/>
              <w:jc w:val="right"/>
              <w:rPr>
                <w:sz w:val="18"/>
                <w:szCs w:val="18"/>
              </w:rPr>
            </w:pPr>
            <w:r w:rsidRPr="00657E49">
              <w:rPr>
                <w:sz w:val="18"/>
                <w:szCs w:val="18"/>
              </w:rPr>
              <w:t>148,039.14</w:t>
            </w:r>
          </w:p>
        </w:tc>
        <w:tc>
          <w:tcPr>
            <w:tcW w:w="1301" w:type="dxa"/>
            <w:vAlign w:val="center"/>
          </w:tcPr>
          <w:p w:rsidR="001550BA" w:rsidRPr="00657E49" w:rsidRDefault="001550BA" w:rsidP="00D21434">
            <w:pPr>
              <w:spacing w:before="29" w:line="288" w:lineRule="auto"/>
              <w:jc w:val="right"/>
              <w:rPr>
                <w:sz w:val="18"/>
                <w:szCs w:val="18"/>
              </w:rPr>
            </w:pPr>
            <w:r w:rsidRPr="00657E49">
              <w:rPr>
                <w:rFonts w:hint="eastAsia"/>
                <w:sz w:val="18"/>
                <w:szCs w:val="18"/>
              </w:rPr>
              <w:t>148,039.14</w:t>
            </w:r>
          </w:p>
        </w:tc>
      </w:tr>
      <w:tr w:rsidR="001550BA" w:rsidRPr="0091212A" w:rsidTr="00D21434">
        <w:trPr>
          <w:trHeight w:val="278"/>
          <w:jc w:val="center"/>
        </w:trPr>
        <w:tc>
          <w:tcPr>
            <w:tcW w:w="1588" w:type="dxa"/>
            <w:vAlign w:val="center"/>
          </w:tcPr>
          <w:p w:rsidR="001550BA" w:rsidRPr="003C64EE" w:rsidRDefault="001550BA" w:rsidP="000A2A64">
            <w:pPr>
              <w:spacing w:before="29" w:line="288" w:lineRule="auto"/>
              <w:jc w:val="left"/>
              <w:rPr>
                <w:color w:val="000000"/>
                <w:sz w:val="18"/>
                <w:szCs w:val="18"/>
              </w:rPr>
            </w:pPr>
            <w:r w:rsidRPr="003C64EE">
              <w:rPr>
                <w:rFonts w:hint="eastAsia"/>
                <w:color w:val="000000"/>
                <w:sz w:val="18"/>
                <w:szCs w:val="18"/>
              </w:rPr>
              <w:t>利率敏感度缺口</w:t>
            </w:r>
          </w:p>
        </w:tc>
        <w:tc>
          <w:tcPr>
            <w:tcW w:w="1701" w:type="dxa"/>
            <w:vAlign w:val="center"/>
          </w:tcPr>
          <w:p w:rsidR="001550BA" w:rsidRPr="00657E49" w:rsidRDefault="001550BA" w:rsidP="00D21434">
            <w:pPr>
              <w:spacing w:before="29" w:line="288" w:lineRule="auto"/>
              <w:jc w:val="right"/>
              <w:rPr>
                <w:sz w:val="18"/>
                <w:szCs w:val="18"/>
              </w:rPr>
            </w:pPr>
            <w:r w:rsidRPr="00657E49">
              <w:rPr>
                <w:sz w:val="18"/>
                <w:szCs w:val="18"/>
              </w:rPr>
              <w:t>8,583,652.24</w:t>
            </w:r>
          </w:p>
        </w:tc>
        <w:tc>
          <w:tcPr>
            <w:tcW w:w="1701" w:type="dxa"/>
            <w:vAlign w:val="center"/>
          </w:tcPr>
          <w:p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rsidR="001550BA" w:rsidRPr="00657E49" w:rsidRDefault="001550BA" w:rsidP="00D21434">
            <w:pPr>
              <w:spacing w:before="29" w:line="288" w:lineRule="auto"/>
              <w:jc w:val="right"/>
              <w:rPr>
                <w:sz w:val="18"/>
                <w:szCs w:val="18"/>
              </w:rPr>
            </w:pPr>
            <w:r w:rsidRPr="00657E49">
              <w:rPr>
                <w:sz w:val="18"/>
                <w:szCs w:val="18"/>
              </w:rPr>
              <w:t>21,861,055.42</w:t>
            </w:r>
          </w:p>
        </w:tc>
        <w:tc>
          <w:tcPr>
            <w:tcW w:w="1301" w:type="dxa"/>
            <w:vAlign w:val="center"/>
          </w:tcPr>
          <w:p w:rsidR="001550BA" w:rsidRPr="00657E49" w:rsidRDefault="001550BA" w:rsidP="00D21434">
            <w:pPr>
              <w:spacing w:before="29" w:line="288" w:lineRule="auto"/>
              <w:jc w:val="right"/>
              <w:rPr>
                <w:sz w:val="18"/>
                <w:szCs w:val="18"/>
              </w:rPr>
            </w:pPr>
            <w:r w:rsidRPr="00657E49">
              <w:rPr>
                <w:sz w:val="18"/>
                <w:szCs w:val="18"/>
              </w:rPr>
              <w:t>30,444,707.66</w:t>
            </w:r>
          </w:p>
        </w:tc>
      </w:tr>
    </w:tbl>
    <w:p w:rsidR="001550BA" w:rsidRPr="00840516" w:rsidRDefault="001550BA" w:rsidP="00840516">
      <w:pPr>
        <w:tabs>
          <w:tab w:val="left" w:pos="426"/>
        </w:tabs>
        <w:spacing w:before="29" w:line="288" w:lineRule="auto"/>
        <w:jc w:val="left"/>
        <w:rPr>
          <w:kern w:val="0"/>
          <w:sz w:val="24"/>
        </w:rPr>
      </w:pPr>
      <w:r w:rsidRPr="00840516">
        <w:rPr>
          <w:kern w:val="0"/>
          <w:sz w:val="24"/>
        </w:rPr>
        <w:lastRenderedPageBreak/>
        <w:t>注：表中所示为本基金资产及负债的账面价值，并按照合约规定的利率重新定价日或到期</w:t>
      </w:r>
      <w:proofErr w:type="gramStart"/>
      <w:r w:rsidRPr="00840516">
        <w:rPr>
          <w:kern w:val="0"/>
          <w:sz w:val="24"/>
        </w:rPr>
        <w:t>日孰早予以</w:t>
      </w:r>
      <w:proofErr w:type="gramEnd"/>
      <w:r w:rsidRPr="00840516">
        <w:rPr>
          <w:kern w:val="0"/>
          <w:sz w:val="24"/>
        </w:rPr>
        <w:t>分类。</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7.4.13.4.1.2</w:t>
      </w:r>
      <w:r w:rsidR="002D0B5F" w:rsidRPr="00E53CFC">
        <w:rPr>
          <w:rFonts w:hint="eastAsia"/>
          <w:b/>
          <w:bCs/>
          <w:color w:val="000000"/>
          <w:kern w:val="0"/>
          <w:sz w:val="24"/>
        </w:rPr>
        <w:t xml:space="preserve"> </w:t>
      </w:r>
      <w:r w:rsidRPr="00E53CFC">
        <w:rPr>
          <w:rFonts w:hint="eastAsia"/>
          <w:b/>
          <w:bCs/>
          <w:color w:val="000000"/>
          <w:kern w:val="0"/>
          <w:sz w:val="24"/>
        </w:rPr>
        <w:t>利率风险的敏感性分析</w:t>
      </w:r>
    </w:p>
    <w:p w:rsidR="00EA53F6" w:rsidRPr="002071E5" w:rsidRDefault="00EA53F6" w:rsidP="002071E5">
      <w:pPr>
        <w:tabs>
          <w:tab w:val="left" w:pos="426"/>
        </w:tabs>
        <w:spacing w:before="29" w:line="288" w:lineRule="auto"/>
        <w:jc w:val="left"/>
        <w:rPr>
          <w:kern w:val="0"/>
          <w:sz w:val="24"/>
        </w:rPr>
      </w:pPr>
      <w:r w:rsidRPr="002071E5">
        <w:rPr>
          <w:kern w:val="0"/>
          <w:sz w:val="24"/>
        </w:rPr>
        <w:t xml:space="preserve">    </w:t>
      </w:r>
      <w:r w:rsidRPr="002071E5">
        <w:rPr>
          <w:kern w:val="0"/>
          <w:sz w:val="24"/>
        </w:rPr>
        <w:t>于</w:t>
      </w:r>
      <w:r w:rsidRPr="002071E5">
        <w:rPr>
          <w:kern w:val="0"/>
          <w:sz w:val="24"/>
        </w:rPr>
        <w:t>2016</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日，本基金未持有交易性债券投资</w:t>
      </w:r>
      <w:r w:rsidRPr="002071E5">
        <w:rPr>
          <w:kern w:val="0"/>
          <w:sz w:val="24"/>
        </w:rPr>
        <w:t>(2015</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日：无</w:t>
      </w:r>
      <w:r w:rsidRPr="002071E5">
        <w:rPr>
          <w:kern w:val="0"/>
          <w:sz w:val="24"/>
        </w:rPr>
        <w:t>)</w:t>
      </w:r>
      <w:r w:rsidRPr="002071E5">
        <w:rPr>
          <w:kern w:val="0"/>
          <w:sz w:val="24"/>
        </w:rPr>
        <w:t>，因此市场利率的变动对于本基金资产净值无重大影响</w:t>
      </w:r>
      <w:r w:rsidRPr="002071E5">
        <w:rPr>
          <w:kern w:val="0"/>
          <w:sz w:val="24"/>
        </w:rPr>
        <w:t>(2015</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日：同</w:t>
      </w:r>
      <w:r w:rsidRPr="002071E5">
        <w:rPr>
          <w:kern w:val="0"/>
          <w:sz w:val="24"/>
        </w:rPr>
        <w:t>)</w:t>
      </w:r>
      <w:r w:rsidRPr="002071E5">
        <w:rPr>
          <w:kern w:val="0"/>
          <w:sz w:val="24"/>
        </w:rPr>
        <w:t>。</w:t>
      </w:r>
    </w:p>
    <w:p w:rsidR="007B62FA" w:rsidRPr="00EA53F6" w:rsidRDefault="007B62FA" w:rsidP="00B323A0">
      <w:pPr>
        <w:tabs>
          <w:tab w:val="left" w:pos="426"/>
        </w:tabs>
        <w:spacing w:before="29" w:line="288" w:lineRule="auto"/>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7.4.13.4.2</w:t>
      </w:r>
      <w:r w:rsidR="002D0B5F" w:rsidRPr="00E53CFC">
        <w:rPr>
          <w:rFonts w:hint="eastAsia"/>
          <w:b/>
          <w:bCs/>
          <w:color w:val="000000"/>
          <w:kern w:val="0"/>
          <w:sz w:val="24"/>
        </w:rPr>
        <w:t xml:space="preserve"> </w:t>
      </w:r>
      <w:r w:rsidRPr="00E53CFC">
        <w:rPr>
          <w:rFonts w:hint="eastAsia"/>
          <w:b/>
          <w:bCs/>
          <w:color w:val="000000"/>
          <w:kern w:val="0"/>
          <w:sz w:val="24"/>
        </w:rPr>
        <w:t>外汇风险</w:t>
      </w:r>
    </w:p>
    <w:p w:rsidR="007B62FA" w:rsidRPr="001C6561" w:rsidRDefault="007B62FA" w:rsidP="001C6561">
      <w:pPr>
        <w:tabs>
          <w:tab w:val="left" w:pos="426"/>
        </w:tabs>
        <w:spacing w:before="29" w:line="288" w:lineRule="auto"/>
        <w:ind w:firstLineChars="200" w:firstLine="480"/>
        <w:rPr>
          <w:kern w:val="0"/>
          <w:sz w:val="24"/>
        </w:rPr>
      </w:pPr>
      <w:r w:rsidRPr="001C6561">
        <w:rPr>
          <w:kern w:val="0"/>
          <w:sz w:val="24"/>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2071E5" w:rsidRPr="00D0372D" w:rsidRDefault="002071E5" w:rsidP="00340730">
      <w:pPr>
        <w:widowControl/>
        <w:spacing w:line="360" w:lineRule="auto"/>
        <w:ind w:firstLineChars="200" w:firstLine="42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7.4.13.4.2.1</w:t>
      </w:r>
      <w:r w:rsidR="002D0B5F" w:rsidRPr="00E53CFC">
        <w:rPr>
          <w:rFonts w:hint="eastAsia"/>
          <w:b/>
          <w:bCs/>
          <w:color w:val="000000"/>
          <w:kern w:val="0"/>
          <w:sz w:val="24"/>
        </w:rPr>
        <w:t xml:space="preserve"> </w:t>
      </w:r>
      <w:r w:rsidRPr="00E53CFC">
        <w:rPr>
          <w:rFonts w:hint="eastAsia"/>
          <w:b/>
          <w:bCs/>
          <w:color w:val="000000"/>
          <w:kern w:val="0"/>
          <w:sz w:val="24"/>
        </w:rPr>
        <w:t>外汇风险敞口</w:t>
      </w:r>
    </w:p>
    <w:p w:rsidR="00C81775" w:rsidRPr="00AD4493" w:rsidRDefault="00C81775"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810"/>
        <w:gridCol w:w="1770"/>
      </w:tblGrid>
      <w:tr w:rsidR="0061774F" w:rsidRPr="00D0372D" w:rsidTr="007A1EA9">
        <w:tc>
          <w:tcPr>
            <w:tcW w:w="1477" w:type="dxa"/>
            <w:vMerge w:val="restart"/>
            <w:vAlign w:val="center"/>
          </w:tcPr>
          <w:p w:rsidR="0061774F" w:rsidRPr="005416E1" w:rsidRDefault="0061774F" w:rsidP="00F23B66">
            <w:pPr>
              <w:autoSpaceDE w:val="0"/>
              <w:autoSpaceDN w:val="0"/>
              <w:adjustRightInd w:val="0"/>
              <w:spacing w:before="29" w:line="288" w:lineRule="auto"/>
              <w:ind w:left="15"/>
              <w:jc w:val="center"/>
              <w:rPr>
                <w:color w:val="000000"/>
                <w:sz w:val="24"/>
              </w:rPr>
            </w:pPr>
            <w:r w:rsidRPr="005416E1">
              <w:rPr>
                <w:rFonts w:hint="eastAsia"/>
                <w:color w:val="000000"/>
                <w:sz w:val="24"/>
              </w:rPr>
              <w:t>项目</w:t>
            </w:r>
          </w:p>
        </w:tc>
        <w:tc>
          <w:tcPr>
            <w:tcW w:w="7523" w:type="dxa"/>
            <w:gridSpan w:val="3"/>
          </w:tcPr>
          <w:p w:rsidR="0061774F" w:rsidRPr="005416E1" w:rsidRDefault="0061774F" w:rsidP="00F23B66">
            <w:pPr>
              <w:spacing w:line="288" w:lineRule="auto"/>
              <w:jc w:val="center"/>
              <w:rPr>
                <w:color w:val="000000"/>
                <w:sz w:val="24"/>
              </w:rPr>
            </w:pPr>
            <w:r w:rsidRPr="005416E1">
              <w:rPr>
                <w:rFonts w:hint="eastAsia"/>
                <w:color w:val="000000"/>
                <w:sz w:val="24"/>
              </w:rPr>
              <w:t>本期末</w:t>
            </w:r>
          </w:p>
          <w:p w:rsidR="0061774F" w:rsidRPr="005416E1" w:rsidRDefault="0061774F" w:rsidP="00F23B66">
            <w:pPr>
              <w:autoSpaceDE w:val="0"/>
              <w:autoSpaceDN w:val="0"/>
              <w:adjustRightInd w:val="0"/>
              <w:spacing w:before="29" w:line="288" w:lineRule="auto"/>
              <w:ind w:left="15"/>
              <w:jc w:val="center"/>
              <w:rPr>
                <w:color w:val="000000"/>
                <w:sz w:val="24"/>
              </w:rPr>
            </w:pPr>
            <w:r w:rsidRPr="005416E1">
              <w:rPr>
                <w:color w:val="000000"/>
                <w:sz w:val="24"/>
              </w:rPr>
              <w:t>2016</w:t>
            </w:r>
            <w:r w:rsidRPr="005416E1">
              <w:rPr>
                <w:color w:val="000000"/>
                <w:sz w:val="24"/>
              </w:rPr>
              <w:t>年</w:t>
            </w:r>
            <w:r w:rsidRPr="005416E1">
              <w:rPr>
                <w:color w:val="000000"/>
                <w:sz w:val="24"/>
              </w:rPr>
              <w:t>12</w:t>
            </w:r>
            <w:r w:rsidRPr="005416E1">
              <w:rPr>
                <w:color w:val="000000"/>
                <w:sz w:val="24"/>
              </w:rPr>
              <w:t>月</w:t>
            </w:r>
            <w:r w:rsidRPr="005416E1">
              <w:rPr>
                <w:color w:val="000000"/>
                <w:sz w:val="24"/>
              </w:rPr>
              <w:t>31</w:t>
            </w:r>
            <w:r w:rsidRPr="005416E1">
              <w:rPr>
                <w:color w:val="000000"/>
                <w:sz w:val="24"/>
              </w:rPr>
              <w:t>日</w:t>
            </w:r>
          </w:p>
        </w:tc>
      </w:tr>
      <w:tr w:rsidR="0083628E" w:rsidRPr="00D0372D" w:rsidTr="0083628E">
        <w:tc>
          <w:tcPr>
            <w:tcW w:w="1477" w:type="dxa"/>
            <w:vMerge/>
            <w:vAlign w:val="center"/>
          </w:tcPr>
          <w:p w:rsidR="0061774F" w:rsidRPr="00D0372D" w:rsidRDefault="0061774F" w:rsidP="00417F87">
            <w:pPr>
              <w:autoSpaceDE w:val="0"/>
              <w:autoSpaceDN w:val="0"/>
              <w:adjustRightInd w:val="0"/>
              <w:spacing w:before="29" w:line="360" w:lineRule="auto"/>
              <w:ind w:left="15"/>
              <w:jc w:val="left"/>
              <w:rPr>
                <w:rFonts w:ascii="宋体"/>
                <w:color w:val="000000"/>
                <w:kern w:val="0"/>
                <w:szCs w:val="21"/>
              </w:rPr>
            </w:pPr>
          </w:p>
        </w:tc>
        <w:tc>
          <w:tcPr>
            <w:tcW w:w="1943" w:type="dxa"/>
            <w:vAlign w:val="center"/>
          </w:tcPr>
          <w:p w:rsidR="0061774F" w:rsidRPr="00DB3A5F" w:rsidRDefault="0061774F" w:rsidP="00DB3A5F">
            <w:pPr>
              <w:spacing w:before="29" w:line="288" w:lineRule="auto"/>
              <w:jc w:val="center"/>
              <w:rPr>
                <w:color w:val="000000"/>
                <w:sz w:val="24"/>
              </w:rPr>
            </w:pPr>
            <w:r w:rsidRPr="00DB3A5F">
              <w:rPr>
                <w:rFonts w:hint="eastAsia"/>
                <w:color w:val="000000"/>
                <w:sz w:val="24"/>
              </w:rPr>
              <w:t>美元</w:t>
            </w:r>
          </w:p>
          <w:p w:rsidR="00CE6E12" w:rsidRPr="00DB3A5F" w:rsidRDefault="0061774F" w:rsidP="00CE6E12">
            <w:pPr>
              <w:spacing w:before="29" w:line="288" w:lineRule="auto"/>
              <w:jc w:val="center"/>
              <w:rPr>
                <w:color w:val="000000"/>
                <w:sz w:val="24"/>
              </w:rPr>
            </w:pPr>
            <w:r w:rsidRPr="00DB3A5F">
              <w:rPr>
                <w:rFonts w:hint="eastAsia"/>
                <w:color w:val="000000"/>
                <w:sz w:val="24"/>
              </w:rPr>
              <w:t>折合人民币</w:t>
            </w:r>
          </w:p>
        </w:tc>
        <w:tc>
          <w:tcPr>
            <w:tcW w:w="3810" w:type="dxa"/>
            <w:vAlign w:val="center"/>
          </w:tcPr>
          <w:p w:rsidR="0061774F" w:rsidRPr="00DB3A5F" w:rsidRDefault="0061774F" w:rsidP="00DB3A5F">
            <w:pPr>
              <w:spacing w:before="29" w:line="288" w:lineRule="auto"/>
              <w:jc w:val="center"/>
              <w:rPr>
                <w:color w:val="000000"/>
                <w:sz w:val="24"/>
              </w:rPr>
            </w:pPr>
            <w:r w:rsidRPr="00DB3A5F">
              <w:rPr>
                <w:rFonts w:hint="eastAsia"/>
                <w:color w:val="000000"/>
                <w:sz w:val="24"/>
              </w:rPr>
              <w:t>港币</w:t>
            </w:r>
          </w:p>
          <w:p w:rsidR="0061774F" w:rsidRPr="00DB3A5F" w:rsidRDefault="0061774F" w:rsidP="00CE6E12">
            <w:pPr>
              <w:spacing w:before="29" w:line="288" w:lineRule="auto"/>
              <w:jc w:val="center"/>
              <w:rPr>
                <w:color w:val="000000"/>
                <w:sz w:val="24"/>
              </w:rPr>
            </w:pPr>
            <w:r w:rsidRPr="00DB3A5F">
              <w:rPr>
                <w:rFonts w:hint="eastAsia"/>
                <w:color w:val="000000"/>
                <w:sz w:val="24"/>
              </w:rPr>
              <w:t>折合人民币</w:t>
            </w:r>
          </w:p>
        </w:tc>
        <w:tc>
          <w:tcPr>
            <w:tcW w:w="1770" w:type="dxa"/>
            <w:vAlign w:val="center"/>
          </w:tcPr>
          <w:p w:rsidR="00CE6E12" w:rsidRPr="00DB3A5F" w:rsidRDefault="0061774F" w:rsidP="00E738C2">
            <w:pPr>
              <w:spacing w:before="29" w:line="288" w:lineRule="auto"/>
              <w:jc w:val="center"/>
              <w:rPr>
                <w:color w:val="000000"/>
                <w:sz w:val="24"/>
              </w:rPr>
            </w:pPr>
            <w:r w:rsidRPr="00DB3A5F">
              <w:rPr>
                <w:rFonts w:hint="eastAsia"/>
                <w:color w:val="000000"/>
                <w:sz w:val="24"/>
              </w:rPr>
              <w:t>合计</w:t>
            </w:r>
          </w:p>
        </w:tc>
      </w:tr>
      <w:tr w:rsidR="0083628E" w:rsidRPr="00D0372D" w:rsidTr="0083628E">
        <w:tc>
          <w:tcPr>
            <w:tcW w:w="1477" w:type="dxa"/>
            <w:vAlign w:val="center"/>
          </w:tcPr>
          <w:p w:rsidR="00C81775" w:rsidRPr="002063BA" w:rsidRDefault="00C81775" w:rsidP="002063BA">
            <w:pPr>
              <w:autoSpaceDE w:val="0"/>
              <w:autoSpaceDN w:val="0"/>
              <w:adjustRightInd w:val="0"/>
              <w:spacing w:before="29" w:line="288" w:lineRule="auto"/>
              <w:ind w:left="15"/>
              <w:rPr>
                <w:rFonts w:ascii="宋体"/>
                <w:color w:val="000000"/>
                <w:kern w:val="0"/>
                <w:szCs w:val="21"/>
              </w:rPr>
            </w:pPr>
            <w:r w:rsidRPr="002063BA">
              <w:rPr>
                <w:rFonts w:hint="eastAsia"/>
                <w:color w:val="000000"/>
                <w:sz w:val="24"/>
              </w:rPr>
              <w:t>以外币计价的资产</w:t>
            </w:r>
          </w:p>
        </w:tc>
        <w:tc>
          <w:tcPr>
            <w:tcW w:w="1943"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381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770" w:type="dxa"/>
            <w:vAlign w:val="center"/>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r>
      <w:tr w:rsidR="0083628E" w:rsidTr="0083628E">
        <w:tc>
          <w:tcPr>
            <w:tcW w:w="1477" w:type="dxa"/>
            <w:vAlign w:val="center"/>
          </w:tcPr>
          <w:p w:rsidR="00B536C4" w:rsidRDefault="00CC45D2">
            <w:pPr>
              <w:jc w:val="left"/>
            </w:pPr>
            <w:r>
              <w:rPr>
                <w:color w:val="000000"/>
                <w:sz w:val="24"/>
              </w:rPr>
              <w:t>银行存款</w:t>
            </w:r>
          </w:p>
        </w:tc>
        <w:tc>
          <w:tcPr>
            <w:tcW w:w="1943" w:type="dxa"/>
            <w:vAlign w:val="center"/>
          </w:tcPr>
          <w:p w:rsidR="00B536C4" w:rsidRDefault="00CC45D2">
            <w:pPr>
              <w:jc w:val="right"/>
            </w:pPr>
            <w:r>
              <w:rPr>
                <w:color w:val="000000"/>
                <w:sz w:val="24"/>
              </w:rPr>
              <w:t>14,452.13</w:t>
            </w:r>
          </w:p>
        </w:tc>
        <w:tc>
          <w:tcPr>
            <w:tcW w:w="3810" w:type="dxa"/>
            <w:vAlign w:val="center"/>
          </w:tcPr>
          <w:p w:rsidR="00B536C4" w:rsidRDefault="00CC45D2">
            <w:pPr>
              <w:jc w:val="right"/>
            </w:pPr>
            <w:r>
              <w:rPr>
                <w:color w:val="000000"/>
                <w:sz w:val="24"/>
              </w:rPr>
              <w:t>11,806,982.50</w:t>
            </w:r>
          </w:p>
        </w:tc>
        <w:tc>
          <w:tcPr>
            <w:tcW w:w="1770" w:type="dxa"/>
            <w:vAlign w:val="center"/>
          </w:tcPr>
          <w:p w:rsidR="00B536C4" w:rsidRDefault="00CC45D2">
            <w:pPr>
              <w:jc w:val="right"/>
            </w:pPr>
            <w:r>
              <w:rPr>
                <w:color w:val="000000"/>
                <w:sz w:val="24"/>
              </w:rPr>
              <w:t>11,821,434.63</w:t>
            </w:r>
          </w:p>
        </w:tc>
      </w:tr>
      <w:tr w:rsidR="0083628E" w:rsidTr="0083628E">
        <w:tc>
          <w:tcPr>
            <w:tcW w:w="1477" w:type="dxa"/>
            <w:vAlign w:val="center"/>
          </w:tcPr>
          <w:p w:rsidR="00B536C4" w:rsidRDefault="00CC45D2">
            <w:pPr>
              <w:jc w:val="left"/>
            </w:pPr>
            <w:r>
              <w:rPr>
                <w:color w:val="000000"/>
                <w:sz w:val="24"/>
              </w:rPr>
              <w:t>交易性金融资产</w:t>
            </w:r>
          </w:p>
        </w:tc>
        <w:tc>
          <w:tcPr>
            <w:tcW w:w="1943" w:type="dxa"/>
            <w:vAlign w:val="center"/>
          </w:tcPr>
          <w:p w:rsidR="00B536C4" w:rsidRDefault="00CC45D2">
            <w:pPr>
              <w:jc w:val="right"/>
            </w:pPr>
            <w:r>
              <w:rPr>
                <w:color w:val="000000"/>
                <w:sz w:val="24"/>
              </w:rPr>
              <w:t>-</w:t>
            </w:r>
          </w:p>
        </w:tc>
        <w:tc>
          <w:tcPr>
            <w:tcW w:w="3810" w:type="dxa"/>
            <w:vAlign w:val="center"/>
          </w:tcPr>
          <w:p w:rsidR="00B536C4" w:rsidRDefault="00CC45D2">
            <w:pPr>
              <w:jc w:val="right"/>
            </w:pPr>
            <w:r>
              <w:rPr>
                <w:color w:val="000000"/>
                <w:sz w:val="24"/>
              </w:rPr>
              <w:t>26,641,411.59</w:t>
            </w:r>
          </w:p>
        </w:tc>
        <w:tc>
          <w:tcPr>
            <w:tcW w:w="1770" w:type="dxa"/>
            <w:vAlign w:val="center"/>
          </w:tcPr>
          <w:p w:rsidR="00B536C4" w:rsidRDefault="00CC45D2">
            <w:pPr>
              <w:jc w:val="right"/>
            </w:pPr>
            <w:r>
              <w:rPr>
                <w:color w:val="000000"/>
                <w:sz w:val="24"/>
              </w:rPr>
              <w:t>26,641,411.59</w:t>
            </w:r>
          </w:p>
        </w:tc>
      </w:tr>
      <w:tr w:rsidR="0083628E" w:rsidRPr="00D0372D" w:rsidTr="0083628E">
        <w:tc>
          <w:tcPr>
            <w:tcW w:w="1477" w:type="dxa"/>
            <w:vAlign w:val="center"/>
          </w:tcPr>
          <w:p w:rsidR="00C81775" w:rsidRPr="002063BA" w:rsidRDefault="00C81775" w:rsidP="002063BA">
            <w:pPr>
              <w:spacing w:before="29" w:line="288" w:lineRule="auto"/>
              <w:rPr>
                <w:sz w:val="24"/>
              </w:rPr>
            </w:pPr>
            <w:r w:rsidRPr="002063BA">
              <w:rPr>
                <w:rFonts w:hint="eastAsia"/>
                <w:sz w:val="24"/>
              </w:rPr>
              <w:t>资产合计</w:t>
            </w:r>
          </w:p>
        </w:tc>
        <w:tc>
          <w:tcPr>
            <w:tcW w:w="1943" w:type="dxa"/>
            <w:vAlign w:val="center"/>
          </w:tcPr>
          <w:p w:rsidR="00C81775" w:rsidRPr="002063BA" w:rsidRDefault="00C81775" w:rsidP="00CC4A8D">
            <w:pPr>
              <w:spacing w:before="29" w:line="288" w:lineRule="auto"/>
              <w:jc w:val="right"/>
              <w:rPr>
                <w:sz w:val="24"/>
              </w:rPr>
            </w:pPr>
            <w:r w:rsidRPr="002063BA">
              <w:rPr>
                <w:sz w:val="24"/>
              </w:rPr>
              <w:t>14,452.13</w:t>
            </w:r>
          </w:p>
        </w:tc>
        <w:tc>
          <w:tcPr>
            <w:tcW w:w="3810" w:type="dxa"/>
            <w:vAlign w:val="center"/>
          </w:tcPr>
          <w:p w:rsidR="00C81775" w:rsidRPr="002063BA" w:rsidRDefault="00592786" w:rsidP="00CC4A8D">
            <w:pPr>
              <w:spacing w:before="29" w:line="288" w:lineRule="auto"/>
              <w:jc w:val="right"/>
              <w:rPr>
                <w:sz w:val="24"/>
              </w:rPr>
            </w:pPr>
            <w:r w:rsidRPr="002063BA">
              <w:rPr>
                <w:sz w:val="24"/>
              </w:rPr>
              <w:t>38,448,394.09</w:t>
            </w:r>
          </w:p>
        </w:tc>
        <w:tc>
          <w:tcPr>
            <w:tcW w:w="1770" w:type="dxa"/>
            <w:vAlign w:val="center"/>
          </w:tcPr>
          <w:p w:rsidR="00C81775" w:rsidRPr="002063BA" w:rsidRDefault="00A8103E" w:rsidP="00CC4A8D">
            <w:pPr>
              <w:spacing w:before="29" w:line="288" w:lineRule="auto"/>
              <w:jc w:val="right"/>
              <w:rPr>
                <w:sz w:val="24"/>
              </w:rPr>
            </w:pPr>
            <w:r w:rsidRPr="002063BA">
              <w:rPr>
                <w:sz w:val="24"/>
              </w:rPr>
              <w:t>38,462,846.22</w:t>
            </w:r>
          </w:p>
        </w:tc>
      </w:tr>
      <w:tr w:rsidR="0083628E" w:rsidRPr="00D0372D" w:rsidTr="0083628E">
        <w:tc>
          <w:tcPr>
            <w:tcW w:w="1477" w:type="dxa"/>
            <w:vAlign w:val="center"/>
          </w:tcPr>
          <w:p w:rsidR="00C81775" w:rsidRPr="002063BA" w:rsidRDefault="00C81775" w:rsidP="002063BA">
            <w:pPr>
              <w:spacing w:before="29" w:line="288" w:lineRule="auto"/>
              <w:rPr>
                <w:sz w:val="24"/>
              </w:rPr>
            </w:pPr>
            <w:r w:rsidRPr="002063BA">
              <w:rPr>
                <w:rFonts w:hint="eastAsia"/>
                <w:sz w:val="24"/>
              </w:rPr>
              <w:t>以外币计价的负债</w:t>
            </w:r>
          </w:p>
        </w:tc>
        <w:tc>
          <w:tcPr>
            <w:tcW w:w="1943" w:type="dxa"/>
          </w:tcPr>
          <w:p w:rsidR="00C81775" w:rsidRPr="002063BA" w:rsidRDefault="00C81775" w:rsidP="001F391E">
            <w:pPr>
              <w:autoSpaceDE w:val="0"/>
              <w:autoSpaceDN w:val="0"/>
              <w:adjustRightInd w:val="0"/>
              <w:spacing w:before="29" w:line="288" w:lineRule="auto"/>
              <w:ind w:left="15"/>
              <w:jc w:val="right"/>
              <w:rPr>
                <w:sz w:val="24"/>
              </w:rPr>
            </w:pPr>
          </w:p>
        </w:tc>
        <w:tc>
          <w:tcPr>
            <w:tcW w:w="3810" w:type="dxa"/>
          </w:tcPr>
          <w:p w:rsidR="00C81775" w:rsidRPr="002063BA" w:rsidRDefault="00C81775" w:rsidP="001F391E">
            <w:pPr>
              <w:autoSpaceDE w:val="0"/>
              <w:autoSpaceDN w:val="0"/>
              <w:adjustRightInd w:val="0"/>
              <w:spacing w:before="29" w:line="288" w:lineRule="auto"/>
              <w:ind w:left="15"/>
              <w:jc w:val="right"/>
              <w:rPr>
                <w:sz w:val="24"/>
              </w:rPr>
            </w:pPr>
          </w:p>
        </w:tc>
        <w:tc>
          <w:tcPr>
            <w:tcW w:w="1770" w:type="dxa"/>
          </w:tcPr>
          <w:p w:rsidR="00C81775" w:rsidRPr="001F391E" w:rsidRDefault="00C81775" w:rsidP="001F391E">
            <w:pPr>
              <w:autoSpaceDE w:val="0"/>
              <w:autoSpaceDN w:val="0"/>
              <w:adjustRightInd w:val="0"/>
              <w:spacing w:before="29" w:line="288" w:lineRule="auto"/>
              <w:ind w:left="15"/>
              <w:jc w:val="right"/>
              <w:rPr>
                <w:b/>
                <w:sz w:val="24"/>
              </w:rPr>
            </w:pPr>
          </w:p>
        </w:tc>
      </w:tr>
      <w:tr w:rsidR="0083628E" w:rsidRPr="00D0372D" w:rsidTr="0083628E">
        <w:tc>
          <w:tcPr>
            <w:tcW w:w="1477" w:type="dxa"/>
            <w:vAlign w:val="center"/>
          </w:tcPr>
          <w:p w:rsidR="00C81775" w:rsidRPr="002063BA" w:rsidRDefault="00C81775" w:rsidP="002063BA">
            <w:pPr>
              <w:spacing w:before="29" w:line="288" w:lineRule="auto"/>
              <w:rPr>
                <w:sz w:val="24"/>
              </w:rPr>
            </w:pPr>
            <w:r w:rsidRPr="002063BA">
              <w:rPr>
                <w:rFonts w:hint="eastAsia"/>
                <w:sz w:val="24"/>
              </w:rPr>
              <w:t>负债合计</w:t>
            </w:r>
          </w:p>
        </w:tc>
        <w:tc>
          <w:tcPr>
            <w:tcW w:w="1943" w:type="dxa"/>
            <w:vAlign w:val="center"/>
          </w:tcPr>
          <w:p w:rsidR="00C81775" w:rsidRPr="002063BA" w:rsidRDefault="00C81775" w:rsidP="00CC4A8D">
            <w:pPr>
              <w:spacing w:before="29" w:line="288" w:lineRule="auto"/>
              <w:jc w:val="right"/>
              <w:rPr>
                <w:sz w:val="24"/>
              </w:rPr>
            </w:pPr>
            <w:r w:rsidRPr="002063BA">
              <w:rPr>
                <w:sz w:val="24"/>
              </w:rPr>
              <w:t>-</w:t>
            </w:r>
          </w:p>
        </w:tc>
        <w:tc>
          <w:tcPr>
            <w:tcW w:w="3810" w:type="dxa"/>
            <w:vAlign w:val="center"/>
          </w:tcPr>
          <w:p w:rsidR="00C81775" w:rsidRPr="002063BA" w:rsidRDefault="00592786" w:rsidP="00CC4A8D">
            <w:pPr>
              <w:spacing w:before="29" w:line="288" w:lineRule="auto"/>
              <w:jc w:val="right"/>
              <w:rPr>
                <w:sz w:val="24"/>
              </w:rPr>
            </w:pPr>
            <w:r w:rsidRPr="002063BA">
              <w:rPr>
                <w:sz w:val="24"/>
              </w:rPr>
              <w:t>-</w:t>
            </w:r>
          </w:p>
        </w:tc>
        <w:tc>
          <w:tcPr>
            <w:tcW w:w="1770" w:type="dxa"/>
            <w:vAlign w:val="center"/>
          </w:tcPr>
          <w:p w:rsidR="00C81775" w:rsidRPr="002063BA" w:rsidRDefault="0039108D" w:rsidP="00CC4A8D">
            <w:pPr>
              <w:spacing w:line="360" w:lineRule="auto"/>
              <w:jc w:val="right"/>
              <w:rPr>
                <w:sz w:val="24"/>
              </w:rPr>
            </w:pPr>
            <w:r w:rsidRPr="002063BA">
              <w:rPr>
                <w:sz w:val="24"/>
              </w:rPr>
              <w:t>-</w:t>
            </w:r>
          </w:p>
        </w:tc>
      </w:tr>
      <w:tr w:rsidR="0083628E" w:rsidRPr="001F391E" w:rsidTr="0083628E">
        <w:tc>
          <w:tcPr>
            <w:tcW w:w="1477" w:type="dxa"/>
            <w:vAlign w:val="center"/>
          </w:tcPr>
          <w:p w:rsidR="00C81775" w:rsidRPr="002063BA" w:rsidRDefault="00C81775" w:rsidP="002063BA">
            <w:pPr>
              <w:spacing w:before="29" w:line="288" w:lineRule="auto"/>
              <w:rPr>
                <w:sz w:val="24"/>
              </w:rPr>
            </w:pPr>
            <w:r w:rsidRPr="002063BA">
              <w:rPr>
                <w:rFonts w:hint="eastAsia"/>
                <w:sz w:val="24"/>
              </w:rPr>
              <w:t>资产负债表外汇风险敞口净额</w:t>
            </w:r>
          </w:p>
        </w:tc>
        <w:tc>
          <w:tcPr>
            <w:tcW w:w="1943" w:type="dxa"/>
            <w:vAlign w:val="center"/>
          </w:tcPr>
          <w:p w:rsidR="00C81775" w:rsidRPr="002063BA" w:rsidRDefault="00C81775" w:rsidP="00CC4A8D">
            <w:pPr>
              <w:spacing w:line="360" w:lineRule="auto"/>
              <w:jc w:val="right"/>
              <w:rPr>
                <w:sz w:val="24"/>
              </w:rPr>
            </w:pPr>
            <w:r w:rsidRPr="002063BA">
              <w:rPr>
                <w:sz w:val="24"/>
              </w:rPr>
              <w:t>14,452.13</w:t>
            </w:r>
          </w:p>
        </w:tc>
        <w:tc>
          <w:tcPr>
            <w:tcW w:w="3810" w:type="dxa"/>
            <w:vAlign w:val="center"/>
          </w:tcPr>
          <w:p w:rsidR="00C81775" w:rsidRPr="002063BA" w:rsidRDefault="00592786" w:rsidP="00CC4A8D">
            <w:pPr>
              <w:spacing w:line="360" w:lineRule="auto"/>
              <w:jc w:val="right"/>
              <w:rPr>
                <w:sz w:val="24"/>
              </w:rPr>
            </w:pPr>
            <w:r w:rsidRPr="002063BA">
              <w:rPr>
                <w:sz w:val="24"/>
              </w:rPr>
              <w:t>38,448,394.09</w:t>
            </w:r>
          </w:p>
        </w:tc>
        <w:tc>
          <w:tcPr>
            <w:tcW w:w="1770" w:type="dxa"/>
            <w:vAlign w:val="center"/>
          </w:tcPr>
          <w:p w:rsidR="00C81775" w:rsidRPr="002063BA" w:rsidRDefault="00626E98" w:rsidP="00CC4A8D">
            <w:pPr>
              <w:spacing w:line="360" w:lineRule="auto"/>
              <w:jc w:val="right"/>
              <w:rPr>
                <w:sz w:val="24"/>
              </w:rPr>
            </w:pPr>
            <w:r w:rsidRPr="002063BA">
              <w:rPr>
                <w:sz w:val="24"/>
              </w:rPr>
              <w:t>38,462,846.22</w:t>
            </w:r>
          </w:p>
        </w:tc>
      </w:tr>
      <w:tr w:rsidR="00D24F39" w:rsidRPr="00D0372D" w:rsidTr="007A1EA9">
        <w:tc>
          <w:tcPr>
            <w:tcW w:w="1477" w:type="dxa"/>
            <w:vMerge w:val="restart"/>
            <w:vAlign w:val="center"/>
          </w:tcPr>
          <w:p w:rsidR="00D24F39" w:rsidRPr="005416E1" w:rsidRDefault="00D24F39" w:rsidP="001A3287">
            <w:pPr>
              <w:autoSpaceDE w:val="0"/>
              <w:autoSpaceDN w:val="0"/>
              <w:adjustRightInd w:val="0"/>
              <w:spacing w:before="29" w:line="288" w:lineRule="auto"/>
              <w:ind w:left="15"/>
              <w:jc w:val="center"/>
              <w:rPr>
                <w:color w:val="000000"/>
                <w:sz w:val="24"/>
              </w:rPr>
            </w:pPr>
            <w:r w:rsidRPr="005416E1">
              <w:rPr>
                <w:rFonts w:hint="eastAsia"/>
                <w:color w:val="000000"/>
                <w:sz w:val="24"/>
              </w:rPr>
              <w:t>项目</w:t>
            </w:r>
          </w:p>
        </w:tc>
        <w:tc>
          <w:tcPr>
            <w:tcW w:w="7523" w:type="dxa"/>
            <w:gridSpan w:val="3"/>
          </w:tcPr>
          <w:p w:rsidR="00D24F39" w:rsidRPr="005416E1" w:rsidRDefault="00D24F39" w:rsidP="001A3287">
            <w:pPr>
              <w:spacing w:line="288" w:lineRule="auto"/>
              <w:jc w:val="center"/>
              <w:rPr>
                <w:color w:val="000000"/>
                <w:sz w:val="24"/>
              </w:rPr>
            </w:pPr>
            <w:r w:rsidRPr="005416E1">
              <w:rPr>
                <w:rFonts w:hint="eastAsia"/>
                <w:color w:val="000000"/>
                <w:sz w:val="24"/>
              </w:rPr>
              <w:t>上年度末</w:t>
            </w:r>
          </w:p>
          <w:p w:rsidR="00D24F39" w:rsidRPr="005416E1" w:rsidRDefault="00D24F39" w:rsidP="001A3287">
            <w:pPr>
              <w:autoSpaceDE w:val="0"/>
              <w:autoSpaceDN w:val="0"/>
              <w:adjustRightInd w:val="0"/>
              <w:spacing w:before="29" w:line="288" w:lineRule="auto"/>
              <w:ind w:left="15"/>
              <w:jc w:val="center"/>
              <w:rPr>
                <w:color w:val="000000"/>
                <w:sz w:val="24"/>
              </w:rPr>
            </w:pPr>
            <w:r w:rsidRPr="005416E1">
              <w:rPr>
                <w:color w:val="000000"/>
                <w:sz w:val="24"/>
              </w:rPr>
              <w:t>2015</w:t>
            </w:r>
            <w:r w:rsidRPr="005416E1">
              <w:rPr>
                <w:color w:val="000000"/>
                <w:sz w:val="24"/>
              </w:rPr>
              <w:t>年</w:t>
            </w:r>
            <w:r w:rsidRPr="005416E1">
              <w:rPr>
                <w:color w:val="000000"/>
                <w:sz w:val="24"/>
              </w:rPr>
              <w:t>12</w:t>
            </w:r>
            <w:r w:rsidRPr="005416E1">
              <w:rPr>
                <w:color w:val="000000"/>
                <w:sz w:val="24"/>
              </w:rPr>
              <w:t>月</w:t>
            </w:r>
            <w:r w:rsidRPr="005416E1">
              <w:rPr>
                <w:color w:val="000000"/>
                <w:sz w:val="24"/>
              </w:rPr>
              <w:t>31</w:t>
            </w:r>
            <w:r w:rsidRPr="005416E1">
              <w:rPr>
                <w:color w:val="000000"/>
                <w:sz w:val="24"/>
              </w:rPr>
              <w:t>日</w:t>
            </w:r>
          </w:p>
        </w:tc>
      </w:tr>
      <w:tr w:rsidR="0083628E" w:rsidRPr="00D0372D" w:rsidTr="0083628E">
        <w:tc>
          <w:tcPr>
            <w:tcW w:w="1477" w:type="dxa"/>
            <w:vMerge/>
            <w:vAlign w:val="center"/>
          </w:tcPr>
          <w:p w:rsidR="00D24F39" w:rsidRPr="00D0372D" w:rsidRDefault="00D24F39" w:rsidP="00417F87">
            <w:pPr>
              <w:autoSpaceDE w:val="0"/>
              <w:autoSpaceDN w:val="0"/>
              <w:adjustRightInd w:val="0"/>
              <w:spacing w:before="29" w:line="360" w:lineRule="auto"/>
              <w:ind w:left="15"/>
              <w:jc w:val="left"/>
              <w:rPr>
                <w:rFonts w:ascii="宋体"/>
                <w:color w:val="000000"/>
                <w:kern w:val="0"/>
                <w:szCs w:val="21"/>
              </w:rPr>
            </w:pPr>
          </w:p>
        </w:tc>
        <w:tc>
          <w:tcPr>
            <w:tcW w:w="1943" w:type="dxa"/>
            <w:vAlign w:val="center"/>
          </w:tcPr>
          <w:p w:rsidR="00D24F39" w:rsidRPr="001A3287" w:rsidRDefault="00D24F39" w:rsidP="001A3287">
            <w:pPr>
              <w:spacing w:before="29" w:line="288" w:lineRule="auto"/>
              <w:jc w:val="center"/>
              <w:rPr>
                <w:color w:val="000000"/>
                <w:sz w:val="24"/>
              </w:rPr>
            </w:pPr>
            <w:r w:rsidRPr="001A3287">
              <w:rPr>
                <w:rFonts w:hint="eastAsia"/>
                <w:color w:val="000000"/>
                <w:sz w:val="24"/>
              </w:rPr>
              <w:t>美元</w:t>
            </w:r>
          </w:p>
          <w:p w:rsidR="00D24F39" w:rsidRPr="001A3287" w:rsidRDefault="00D24F39" w:rsidP="001A3287">
            <w:pPr>
              <w:spacing w:before="29" w:line="288" w:lineRule="auto"/>
              <w:jc w:val="center"/>
              <w:rPr>
                <w:color w:val="000000"/>
                <w:sz w:val="24"/>
              </w:rPr>
            </w:pPr>
            <w:r w:rsidRPr="001A3287">
              <w:rPr>
                <w:rFonts w:hint="eastAsia"/>
                <w:color w:val="000000"/>
                <w:sz w:val="24"/>
              </w:rPr>
              <w:t>折合人民币</w:t>
            </w:r>
          </w:p>
        </w:tc>
        <w:tc>
          <w:tcPr>
            <w:tcW w:w="3810" w:type="dxa"/>
            <w:vAlign w:val="center"/>
          </w:tcPr>
          <w:p w:rsidR="00D24F39" w:rsidRPr="001A3287" w:rsidRDefault="00D24F39" w:rsidP="001A3287">
            <w:pPr>
              <w:spacing w:before="29" w:line="288" w:lineRule="auto"/>
              <w:jc w:val="center"/>
              <w:rPr>
                <w:color w:val="000000"/>
                <w:sz w:val="24"/>
              </w:rPr>
            </w:pPr>
            <w:r w:rsidRPr="001A3287">
              <w:rPr>
                <w:rFonts w:hint="eastAsia"/>
                <w:color w:val="000000"/>
                <w:sz w:val="24"/>
              </w:rPr>
              <w:t>港币</w:t>
            </w:r>
          </w:p>
          <w:p w:rsidR="00D24F39" w:rsidRPr="001A3287" w:rsidRDefault="00D24F39" w:rsidP="001A3287">
            <w:pPr>
              <w:spacing w:before="29" w:line="288" w:lineRule="auto"/>
              <w:jc w:val="center"/>
              <w:rPr>
                <w:color w:val="000000"/>
                <w:sz w:val="24"/>
              </w:rPr>
            </w:pPr>
            <w:r w:rsidRPr="001A3287">
              <w:rPr>
                <w:rFonts w:hint="eastAsia"/>
                <w:color w:val="000000"/>
                <w:sz w:val="24"/>
              </w:rPr>
              <w:t>折合人民币</w:t>
            </w:r>
          </w:p>
        </w:tc>
        <w:tc>
          <w:tcPr>
            <w:tcW w:w="1770" w:type="dxa"/>
            <w:vAlign w:val="center"/>
          </w:tcPr>
          <w:p w:rsidR="00D24F39" w:rsidRPr="001A3287" w:rsidRDefault="00D24F39" w:rsidP="001A3287">
            <w:pPr>
              <w:spacing w:before="29" w:line="288" w:lineRule="auto"/>
              <w:jc w:val="center"/>
              <w:rPr>
                <w:color w:val="000000"/>
                <w:sz w:val="24"/>
              </w:rPr>
            </w:pPr>
            <w:r w:rsidRPr="001A3287">
              <w:rPr>
                <w:rFonts w:hint="eastAsia"/>
                <w:color w:val="000000"/>
                <w:sz w:val="24"/>
              </w:rPr>
              <w:t>合计</w:t>
            </w:r>
          </w:p>
        </w:tc>
      </w:tr>
      <w:tr w:rsidR="0083628E" w:rsidRPr="00D0372D" w:rsidTr="0083628E">
        <w:tc>
          <w:tcPr>
            <w:tcW w:w="1477" w:type="dxa"/>
            <w:vAlign w:val="center"/>
          </w:tcPr>
          <w:p w:rsidR="00C81775" w:rsidRPr="002063BA" w:rsidRDefault="00C81775" w:rsidP="002063BA">
            <w:pPr>
              <w:spacing w:before="29" w:line="288" w:lineRule="auto"/>
              <w:rPr>
                <w:rFonts w:ascii="宋体"/>
                <w:szCs w:val="21"/>
              </w:rPr>
            </w:pPr>
            <w:r w:rsidRPr="002063BA">
              <w:rPr>
                <w:rFonts w:hint="eastAsia"/>
                <w:sz w:val="24"/>
              </w:rPr>
              <w:t>以外币计价</w:t>
            </w:r>
            <w:r w:rsidRPr="002063BA">
              <w:rPr>
                <w:rFonts w:hint="eastAsia"/>
                <w:sz w:val="24"/>
              </w:rPr>
              <w:lastRenderedPageBreak/>
              <w:t>的资产</w:t>
            </w:r>
          </w:p>
        </w:tc>
        <w:tc>
          <w:tcPr>
            <w:tcW w:w="1943"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381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770" w:type="dxa"/>
            <w:vAlign w:val="center"/>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r>
      <w:tr w:rsidR="0083628E" w:rsidTr="0083628E">
        <w:tc>
          <w:tcPr>
            <w:tcW w:w="1477" w:type="dxa"/>
            <w:vAlign w:val="center"/>
          </w:tcPr>
          <w:p w:rsidR="00B536C4" w:rsidRDefault="00CC45D2">
            <w:pPr>
              <w:jc w:val="left"/>
            </w:pPr>
            <w:r>
              <w:rPr>
                <w:color w:val="000000"/>
                <w:sz w:val="24"/>
              </w:rPr>
              <w:lastRenderedPageBreak/>
              <w:t>银行存款</w:t>
            </w:r>
          </w:p>
        </w:tc>
        <w:tc>
          <w:tcPr>
            <w:tcW w:w="1943" w:type="dxa"/>
            <w:vAlign w:val="center"/>
          </w:tcPr>
          <w:p w:rsidR="00B536C4" w:rsidRDefault="00CC45D2">
            <w:pPr>
              <w:jc w:val="right"/>
            </w:pPr>
            <w:r>
              <w:rPr>
                <w:color w:val="000000"/>
                <w:sz w:val="24"/>
              </w:rPr>
              <w:t>13,724.22</w:t>
            </w:r>
          </w:p>
        </w:tc>
        <w:tc>
          <w:tcPr>
            <w:tcW w:w="3810" w:type="dxa"/>
            <w:vAlign w:val="center"/>
          </w:tcPr>
          <w:p w:rsidR="00B536C4" w:rsidRDefault="00CC45D2">
            <w:pPr>
              <w:jc w:val="right"/>
            </w:pPr>
            <w:r>
              <w:rPr>
                <w:color w:val="000000"/>
                <w:sz w:val="24"/>
              </w:rPr>
              <w:t>2,213,635.41</w:t>
            </w:r>
          </w:p>
        </w:tc>
        <w:tc>
          <w:tcPr>
            <w:tcW w:w="1770" w:type="dxa"/>
            <w:vAlign w:val="center"/>
          </w:tcPr>
          <w:p w:rsidR="00B536C4" w:rsidRDefault="00CC45D2">
            <w:pPr>
              <w:jc w:val="right"/>
            </w:pPr>
            <w:r>
              <w:rPr>
                <w:color w:val="000000"/>
                <w:sz w:val="24"/>
              </w:rPr>
              <w:t>2,227,359.63</w:t>
            </w:r>
          </w:p>
        </w:tc>
      </w:tr>
      <w:tr w:rsidR="0083628E" w:rsidTr="0083628E">
        <w:tc>
          <w:tcPr>
            <w:tcW w:w="1477" w:type="dxa"/>
            <w:vAlign w:val="center"/>
          </w:tcPr>
          <w:p w:rsidR="00B536C4" w:rsidRDefault="00CC45D2">
            <w:pPr>
              <w:jc w:val="left"/>
            </w:pPr>
            <w:r>
              <w:rPr>
                <w:color w:val="000000"/>
                <w:sz w:val="24"/>
              </w:rPr>
              <w:t>交易性金融资产</w:t>
            </w:r>
          </w:p>
        </w:tc>
        <w:tc>
          <w:tcPr>
            <w:tcW w:w="1943" w:type="dxa"/>
            <w:vAlign w:val="center"/>
          </w:tcPr>
          <w:p w:rsidR="00B536C4" w:rsidRDefault="00CC45D2">
            <w:pPr>
              <w:jc w:val="right"/>
            </w:pPr>
            <w:r>
              <w:rPr>
                <w:color w:val="000000"/>
                <w:sz w:val="24"/>
              </w:rPr>
              <w:t>-</w:t>
            </w:r>
          </w:p>
        </w:tc>
        <w:tc>
          <w:tcPr>
            <w:tcW w:w="3810" w:type="dxa"/>
            <w:vAlign w:val="center"/>
          </w:tcPr>
          <w:p w:rsidR="00B536C4" w:rsidRDefault="00CC45D2">
            <w:pPr>
              <w:jc w:val="right"/>
            </w:pPr>
            <w:r>
              <w:rPr>
                <w:color w:val="000000"/>
                <w:sz w:val="24"/>
              </w:rPr>
              <w:t>22,007,259.12</w:t>
            </w:r>
          </w:p>
        </w:tc>
        <w:tc>
          <w:tcPr>
            <w:tcW w:w="1770" w:type="dxa"/>
            <w:vAlign w:val="center"/>
          </w:tcPr>
          <w:p w:rsidR="00B536C4" w:rsidRDefault="00CC45D2">
            <w:pPr>
              <w:jc w:val="right"/>
            </w:pPr>
            <w:r>
              <w:rPr>
                <w:color w:val="000000"/>
                <w:sz w:val="24"/>
              </w:rPr>
              <w:t>22,007,259.12</w:t>
            </w:r>
          </w:p>
        </w:tc>
      </w:tr>
      <w:tr w:rsidR="0083628E" w:rsidRPr="00612228" w:rsidTr="0083628E">
        <w:tc>
          <w:tcPr>
            <w:tcW w:w="1477" w:type="dxa"/>
            <w:vAlign w:val="center"/>
          </w:tcPr>
          <w:p w:rsidR="009B47DE" w:rsidRPr="002063BA" w:rsidRDefault="009B47DE" w:rsidP="002063BA">
            <w:pPr>
              <w:spacing w:before="29" w:line="288" w:lineRule="auto"/>
              <w:rPr>
                <w:sz w:val="24"/>
              </w:rPr>
            </w:pPr>
            <w:r w:rsidRPr="002063BA">
              <w:rPr>
                <w:rFonts w:hint="eastAsia"/>
                <w:sz w:val="24"/>
              </w:rPr>
              <w:t>资产合计</w:t>
            </w:r>
          </w:p>
        </w:tc>
        <w:tc>
          <w:tcPr>
            <w:tcW w:w="1943" w:type="dxa"/>
            <w:vAlign w:val="center"/>
          </w:tcPr>
          <w:p w:rsidR="009B47DE" w:rsidRPr="002063BA" w:rsidRDefault="009B47DE" w:rsidP="00CC4A8D">
            <w:pPr>
              <w:spacing w:before="29" w:line="288" w:lineRule="auto"/>
              <w:jc w:val="right"/>
              <w:rPr>
                <w:sz w:val="24"/>
              </w:rPr>
            </w:pPr>
            <w:r w:rsidRPr="002063BA">
              <w:rPr>
                <w:sz w:val="24"/>
              </w:rPr>
              <w:t>13,724.22</w:t>
            </w:r>
          </w:p>
        </w:tc>
        <w:tc>
          <w:tcPr>
            <w:tcW w:w="3810" w:type="dxa"/>
            <w:vAlign w:val="center"/>
          </w:tcPr>
          <w:p w:rsidR="009B47DE" w:rsidRPr="002063BA" w:rsidRDefault="00592786" w:rsidP="00CC4A8D">
            <w:pPr>
              <w:spacing w:before="29" w:line="288" w:lineRule="auto"/>
              <w:jc w:val="right"/>
              <w:rPr>
                <w:sz w:val="24"/>
              </w:rPr>
            </w:pPr>
            <w:r w:rsidRPr="002063BA">
              <w:rPr>
                <w:sz w:val="24"/>
              </w:rPr>
              <w:t>24,220,894.53</w:t>
            </w:r>
          </w:p>
        </w:tc>
        <w:tc>
          <w:tcPr>
            <w:tcW w:w="1770" w:type="dxa"/>
            <w:vAlign w:val="center"/>
          </w:tcPr>
          <w:p w:rsidR="009B47DE" w:rsidRPr="002063BA" w:rsidRDefault="009B47DE" w:rsidP="00CC4A8D">
            <w:pPr>
              <w:spacing w:before="29" w:line="288" w:lineRule="auto"/>
              <w:jc w:val="right"/>
              <w:rPr>
                <w:sz w:val="24"/>
              </w:rPr>
            </w:pPr>
            <w:r w:rsidRPr="002063BA">
              <w:rPr>
                <w:sz w:val="24"/>
              </w:rPr>
              <w:t>24,234,618.75</w:t>
            </w:r>
          </w:p>
        </w:tc>
      </w:tr>
      <w:tr w:rsidR="0083628E" w:rsidRPr="00D0372D" w:rsidTr="0083628E">
        <w:tc>
          <w:tcPr>
            <w:tcW w:w="1477" w:type="dxa"/>
            <w:vAlign w:val="center"/>
          </w:tcPr>
          <w:p w:rsidR="00C81775" w:rsidRPr="002063BA" w:rsidRDefault="00C81775" w:rsidP="002063BA">
            <w:pPr>
              <w:spacing w:before="29" w:line="288" w:lineRule="auto"/>
              <w:rPr>
                <w:rFonts w:ascii="宋体"/>
                <w:color w:val="000000"/>
                <w:kern w:val="0"/>
                <w:szCs w:val="21"/>
              </w:rPr>
            </w:pPr>
            <w:r w:rsidRPr="002063BA">
              <w:rPr>
                <w:rFonts w:hint="eastAsia"/>
                <w:sz w:val="24"/>
              </w:rPr>
              <w:t>以外币计价的负债</w:t>
            </w:r>
          </w:p>
        </w:tc>
        <w:tc>
          <w:tcPr>
            <w:tcW w:w="1943" w:type="dxa"/>
          </w:tcPr>
          <w:p w:rsidR="00C81775" w:rsidRPr="002063BA" w:rsidRDefault="00C81775" w:rsidP="00417F87">
            <w:pPr>
              <w:autoSpaceDE w:val="0"/>
              <w:autoSpaceDN w:val="0"/>
              <w:adjustRightInd w:val="0"/>
              <w:spacing w:before="29" w:line="360" w:lineRule="auto"/>
              <w:ind w:left="15"/>
              <w:jc w:val="right"/>
              <w:rPr>
                <w:rFonts w:ascii="宋体"/>
                <w:color w:val="000000"/>
                <w:kern w:val="0"/>
                <w:szCs w:val="21"/>
              </w:rPr>
            </w:pPr>
          </w:p>
        </w:tc>
        <w:tc>
          <w:tcPr>
            <w:tcW w:w="3810" w:type="dxa"/>
          </w:tcPr>
          <w:p w:rsidR="00C81775" w:rsidRPr="002063BA" w:rsidRDefault="00C81775" w:rsidP="00FC1A03">
            <w:pPr>
              <w:spacing w:before="29" w:line="288" w:lineRule="auto"/>
              <w:rPr>
                <w:sz w:val="24"/>
              </w:rPr>
            </w:pPr>
          </w:p>
        </w:tc>
        <w:tc>
          <w:tcPr>
            <w:tcW w:w="177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r>
      <w:tr w:rsidR="0083628E" w:rsidRPr="00D0372D" w:rsidTr="0083628E">
        <w:tc>
          <w:tcPr>
            <w:tcW w:w="1477" w:type="dxa"/>
            <w:vAlign w:val="center"/>
          </w:tcPr>
          <w:p w:rsidR="009B47DE" w:rsidRPr="002063BA" w:rsidRDefault="009B47DE" w:rsidP="002063BA">
            <w:pPr>
              <w:spacing w:before="29" w:line="288" w:lineRule="auto"/>
              <w:rPr>
                <w:sz w:val="24"/>
              </w:rPr>
            </w:pPr>
            <w:r w:rsidRPr="002063BA">
              <w:rPr>
                <w:rFonts w:hint="eastAsia"/>
                <w:sz w:val="24"/>
              </w:rPr>
              <w:t>负债合计</w:t>
            </w:r>
          </w:p>
        </w:tc>
        <w:tc>
          <w:tcPr>
            <w:tcW w:w="1943" w:type="dxa"/>
            <w:vAlign w:val="center"/>
          </w:tcPr>
          <w:p w:rsidR="009B47DE" w:rsidRPr="002063BA" w:rsidRDefault="009B47DE" w:rsidP="00CC4A8D">
            <w:pPr>
              <w:spacing w:before="29" w:line="288" w:lineRule="auto"/>
              <w:jc w:val="right"/>
              <w:rPr>
                <w:sz w:val="24"/>
              </w:rPr>
            </w:pPr>
            <w:r w:rsidRPr="002063BA">
              <w:rPr>
                <w:sz w:val="24"/>
              </w:rPr>
              <w:t>-</w:t>
            </w:r>
          </w:p>
        </w:tc>
        <w:tc>
          <w:tcPr>
            <w:tcW w:w="3810" w:type="dxa"/>
            <w:vAlign w:val="center"/>
          </w:tcPr>
          <w:p w:rsidR="009B47DE" w:rsidRPr="002063BA" w:rsidRDefault="00592786" w:rsidP="00CC4A8D">
            <w:pPr>
              <w:spacing w:before="29" w:line="288" w:lineRule="auto"/>
              <w:jc w:val="right"/>
              <w:rPr>
                <w:sz w:val="24"/>
              </w:rPr>
            </w:pPr>
            <w:r w:rsidRPr="002063BA">
              <w:rPr>
                <w:sz w:val="24"/>
              </w:rPr>
              <w:t>-</w:t>
            </w:r>
          </w:p>
        </w:tc>
        <w:tc>
          <w:tcPr>
            <w:tcW w:w="1770" w:type="dxa"/>
            <w:vAlign w:val="center"/>
          </w:tcPr>
          <w:p w:rsidR="009B47DE" w:rsidRPr="002063BA" w:rsidRDefault="009B47DE" w:rsidP="00CC4A8D">
            <w:pPr>
              <w:spacing w:before="29" w:line="288" w:lineRule="auto"/>
              <w:jc w:val="right"/>
              <w:rPr>
                <w:sz w:val="24"/>
              </w:rPr>
            </w:pPr>
            <w:r w:rsidRPr="002063BA">
              <w:rPr>
                <w:sz w:val="24"/>
              </w:rPr>
              <w:t>-</w:t>
            </w:r>
          </w:p>
        </w:tc>
      </w:tr>
      <w:tr w:rsidR="0083628E" w:rsidRPr="00D0372D" w:rsidTr="0083628E">
        <w:tc>
          <w:tcPr>
            <w:tcW w:w="1477" w:type="dxa"/>
            <w:vAlign w:val="center"/>
          </w:tcPr>
          <w:p w:rsidR="00C81775" w:rsidRPr="002063BA" w:rsidRDefault="00C81775" w:rsidP="002063BA">
            <w:pPr>
              <w:spacing w:before="29" w:line="288" w:lineRule="auto"/>
              <w:rPr>
                <w:sz w:val="24"/>
              </w:rPr>
            </w:pPr>
            <w:r w:rsidRPr="002063BA">
              <w:rPr>
                <w:rFonts w:hint="eastAsia"/>
                <w:sz w:val="24"/>
              </w:rPr>
              <w:t>资产负债表外汇风险敞口净额</w:t>
            </w:r>
          </w:p>
        </w:tc>
        <w:tc>
          <w:tcPr>
            <w:tcW w:w="1943" w:type="dxa"/>
            <w:vAlign w:val="center"/>
          </w:tcPr>
          <w:p w:rsidR="00C81775" w:rsidRPr="002063BA" w:rsidRDefault="00C81775" w:rsidP="00CC4A8D">
            <w:pPr>
              <w:spacing w:before="29" w:line="288" w:lineRule="auto"/>
              <w:jc w:val="right"/>
              <w:rPr>
                <w:sz w:val="24"/>
              </w:rPr>
            </w:pPr>
            <w:r w:rsidRPr="002063BA">
              <w:rPr>
                <w:sz w:val="24"/>
              </w:rPr>
              <w:t>13,724.22</w:t>
            </w:r>
          </w:p>
        </w:tc>
        <w:tc>
          <w:tcPr>
            <w:tcW w:w="3810" w:type="dxa"/>
            <w:vAlign w:val="center"/>
          </w:tcPr>
          <w:p w:rsidR="00C81775" w:rsidRPr="002063BA" w:rsidRDefault="00592786" w:rsidP="00CC4A8D">
            <w:pPr>
              <w:spacing w:before="29" w:line="288" w:lineRule="auto"/>
              <w:jc w:val="right"/>
              <w:rPr>
                <w:sz w:val="24"/>
              </w:rPr>
            </w:pPr>
            <w:r w:rsidRPr="002063BA">
              <w:rPr>
                <w:sz w:val="24"/>
              </w:rPr>
              <w:t>24,220,894.53</w:t>
            </w:r>
          </w:p>
        </w:tc>
        <w:tc>
          <w:tcPr>
            <w:tcW w:w="1770" w:type="dxa"/>
            <w:vAlign w:val="center"/>
          </w:tcPr>
          <w:p w:rsidR="00C81775" w:rsidRPr="002063BA" w:rsidRDefault="009B47DE" w:rsidP="00CC4A8D">
            <w:pPr>
              <w:spacing w:before="29" w:line="288" w:lineRule="auto"/>
              <w:jc w:val="right"/>
              <w:rPr>
                <w:sz w:val="24"/>
              </w:rPr>
            </w:pPr>
            <w:r w:rsidRPr="002063BA">
              <w:rPr>
                <w:sz w:val="24"/>
              </w:rPr>
              <w:t>24,234,618.75</w:t>
            </w:r>
          </w:p>
        </w:tc>
      </w:tr>
    </w:tbl>
    <w:p w:rsidR="007B62FA" w:rsidRPr="00D0372D" w:rsidRDefault="007B62FA" w:rsidP="00417F87">
      <w:pPr>
        <w:spacing w:line="360" w:lineRule="auto"/>
        <w:rPr>
          <w:rFonts w:ascii="宋体" w:hAnsi="宋体"/>
          <w:b/>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7.4.13.4.2.2</w:t>
      </w:r>
      <w:r w:rsidR="002D0B5F" w:rsidRPr="00E53CFC">
        <w:rPr>
          <w:rFonts w:hint="eastAsia"/>
          <w:b/>
          <w:bCs/>
          <w:color w:val="000000"/>
          <w:kern w:val="0"/>
          <w:sz w:val="24"/>
        </w:rPr>
        <w:t xml:space="preserve"> </w:t>
      </w:r>
      <w:r w:rsidRPr="00E53CFC">
        <w:rPr>
          <w:rFonts w:hint="eastAsia"/>
          <w:b/>
          <w:bCs/>
          <w:color w:val="000000"/>
          <w:kern w:val="0"/>
          <w:sz w:val="24"/>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543"/>
        <w:gridCol w:w="2268"/>
        <w:gridCol w:w="2196"/>
      </w:tblGrid>
      <w:tr w:rsidR="00B536C4">
        <w:tc>
          <w:tcPr>
            <w:tcW w:w="993" w:type="dxa"/>
            <w:vAlign w:val="center"/>
          </w:tcPr>
          <w:p w:rsidR="00B536C4" w:rsidRDefault="00CC45D2">
            <w:pPr>
              <w:jc w:val="left"/>
            </w:pPr>
            <w:r>
              <w:rPr>
                <w:bCs/>
                <w:color w:val="000000"/>
                <w:sz w:val="24"/>
              </w:rPr>
              <w:t>假设</w:t>
            </w:r>
          </w:p>
        </w:tc>
        <w:tc>
          <w:tcPr>
            <w:tcW w:w="8007" w:type="dxa"/>
            <w:gridSpan w:val="3"/>
            <w:vAlign w:val="center"/>
          </w:tcPr>
          <w:p w:rsidR="00B536C4" w:rsidRDefault="00CC45D2">
            <w:pPr>
              <w:jc w:val="left"/>
            </w:pPr>
            <w:r>
              <w:rPr>
                <w:bCs/>
                <w:color w:val="000000"/>
                <w:sz w:val="24"/>
              </w:rPr>
              <w:t>除汇率以外的其他市场变量保持不变</w:t>
            </w:r>
          </w:p>
        </w:tc>
      </w:tr>
      <w:tr w:rsidR="007B62FA" w:rsidRPr="00D0372D" w:rsidTr="00760925">
        <w:tc>
          <w:tcPr>
            <w:tcW w:w="993" w:type="dxa"/>
            <w:vMerge w:val="restart"/>
            <w:vAlign w:val="center"/>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分析</w:t>
            </w:r>
          </w:p>
        </w:tc>
        <w:tc>
          <w:tcPr>
            <w:tcW w:w="3543" w:type="dxa"/>
            <w:vMerge w:val="restart"/>
            <w:vAlign w:val="center"/>
          </w:tcPr>
          <w:p w:rsidR="007B62FA" w:rsidRPr="00FA7E5F" w:rsidRDefault="007B62FA" w:rsidP="00760925">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相关风险变量的变动</w:t>
            </w:r>
          </w:p>
        </w:tc>
        <w:tc>
          <w:tcPr>
            <w:tcW w:w="4464" w:type="dxa"/>
            <w:gridSpan w:val="2"/>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对资产负债表日基金资产净值的</w:t>
            </w:r>
          </w:p>
          <w:p w:rsidR="007B62FA" w:rsidRPr="00FA7E5F" w:rsidRDefault="00C01772"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影响金额（</w:t>
            </w:r>
            <w:r w:rsidR="007B62FA" w:rsidRPr="00FA7E5F">
              <w:rPr>
                <w:rFonts w:hint="eastAsia"/>
                <w:bCs/>
                <w:color w:val="000000"/>
                <w:sz w:val="24"/>
              </w:rPr>
              <w:t>单位：人民币万元</w:t>
            </w:r>
            <w:r w:rsidRPr="00FA7E5F">
              <w:rPr>
                <w:rFonts w:hint="eastAsia"/>
                <w:bCs/>
                <w:color w:val="000000"/>
                <w:sz w:val="24"/>
              </w:rPr>
              <w:t>）</w:t>
            </w:r>
          </w:p>
        </w:tc>
      </w:tr>
      <w:tr w:rsidR="007B62FA" w:rsidRPr="00D0372D" w:rsidTr="00760925">
        <w:tc>
          <w:tcPr>
            <w:tcW w:w="993" w:type="dxa"/>
            <w:vMerge/>
            <w:vAlign w:val="center"/>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p>
        </w:tc>
        <w:tc>
          <w:tcPr>
            <w:tcW w:w="3543" w:type="dxa"/>
            <w:vMerge/>
            <w:vAlign w:val="center"/>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p>
        </w:tc>
        <w:tc>
          <w:tcPr>
            <w:tcW w:w="2268" w:type="dxa"/>
          </w:tcPr>
          <w:p w:rsidR="007B62FA" w:rsidRPr="00FA7E5F" w:rsidRDefault="007B62FA" w:rsidP="00FA7E5F">
            <w:pPr>
              <w:autoSpaceDE w:val="0"/>
              <w:autoSpaceDN w:val="0"/>
              <w:spacing w:before="29" w:line="288" w:lineRule="auto"/>
              <w:ind w:right="-15"/>
              <w:jc w:val="center"/>
              <w:textAlignment w:val="bottom"/>
              <w:rPr>
                <w:bCs/>
                <w:color w:val="000000"/>
                <w:sz w:val="24"/>
              </w:rPr>
            </w:pPr>
            <w:r w:rsidRPr="00FA7E5F">
              <w:rPr>
                <w:rFonts w:hint="eastAsia"/>
                <w:bCs/>
                <w:color w:val="000000"/>
                <w:sz w:val="24"/>
              </w:rPr>
              <w:t>本期末</w:t>
            </w:r>
          </w:p>
          <w:p w:rsidR="007B62FA" w:rsidRPr="00FA7E5F" w:rsidRDefault="00ED2997" w:rsidP="00FA7E5F">
            <w:pPr>
              <w:autoSpaceDE w:val="0"/>
              <w:autoSpaceDN w:val="0"/>
              <w:spacing w:before="29" w:line="288" w:lineRule="auto"/>
              <w:ind w:right="-15"/>
              <w:jc w:val="center"/>
              <w:textAlignment w:val="bottom"/>
              <w:rPr>
                <w:bCs/>
                <w:color w:val="000000"/>
                <w:sz w:val="24"/>
              </w:rPr>
            </w:pPr>
            <w:r w:rsidRPr="00FA7E5F">
              <w:rPr>
                <w:bCs/>
                <w:color w:val="000000"/>
                <w:sz w:val="24"/>
              </w:rPr>
              <w:t>2016</w:t>
            </w:r>
            <w:r w:rsidRPr="00FA7E5F">
              <w:rPr>
                <w:bCs/>
                <w:color w:val="000000"/>
                <w:sz w:val="24"/>
              </w:rPr>
              <w:t>年</w:t>
            </w:r>
            <w:r w:rsidRPr="00FA7E5F">
              <w:rPr>
                <w:bCs/>
                <w:color w:val="000000"/>
                <w:sz w:val="24"/>
              </w:rPr>
              <w:t>12</w:t>
            </w:r>
            <w:r w:rsidRPr="00FA7E5F">
              <w:rPr>
                <w:bCs/>
                <w:color w:val="000000"/>
                <w:sz w:val="24"/>
              </w:rPr>
              <w:t>月</w:t>
            </w:r>
            <w:r w:rsidRPr="00FA7E5F">
              <w:rPr>
                <w:bCs/>
                <w:color w:val="000000"/>
                <w:sz w:val="24"/>
              </w:rPr>
              <w:t>31</w:t>
            </w:r>
            <w:r w:rsidRPr="00FA7E5F">
              <w:rPr>
                <w:bCs/>
                <w:color w:val="000000"/>
                <w:sz w:val="24"/>
              </w:rPr>
              <w:t>日</w:t>
            </w:r>
          </w:p>
        </w:tc>
        <w:tc>
          <w:tcPr>
            <w:tcW w:w="2196" w:type="dxa"/>
          </w:tcPr>
          <w:p w:rsidR="007B62FA" w:rsidRPr="00FA7E5F" w:rsidRDefault="007B62FA" w:rsidP="00417F87">
            <w:pPr>
              <w:spacing w:line="360" w:lineRule="auto"/>
              <w:jc w:val="center"/>
              <w:rPr>
                <w:bCs/>
                <w:color w:val="000000"/>
                <w:sz w:val="24"/>
              </w:rPr>
            </w:pPr>
            <w:r w:rsidRPr="00FA7E5F">
              <w:rPr>
                <w:rFonts w:hint="eastAsia"/>
                <w:bCs/>
                <w:color w:val="000000"/>
                <w:sz w:val="24"/>
              </w:rPr>
              <w:t>上年度末</w:t>
            </w:r>
          </w:p>
          <w:p w:rsidR="007B62FA" w:rsidRPr="00FA7E5F" w:rsidRDefault="00264252" w:rsidP="00417F87">
            <w:pPr>
              <w:spacing w:line="360" w:lineRule="auto"/>
              <w:jc w:val="center"/>
              <w:rPr>
                <w:bCs/>
                <w:color w:val="000000"/>
                <w:sz w:val="24"/>
              </w:rPr>
            </w:pPr>
            <w:r w:rsidRPr="00FA7E5F">
              <w:rPr>
                <w:bCs/>
                <w:color w:val="000000"/>
                <w:sz w:val="24"/>
              </w:rPr>
              <w:t>2015</w:t>
            </w:r>
            <w:r w:rsidRPr="00FA7E5F">
              <w:rPr>
                <w:bCs/>
                <w:color w:val="000000"/>
                <w:sz w:val="24"/>
              </w:rPr>
              <w:t>年</w:t>
            </w:r>
            <w:r w:rsidRPr="00FA7E5F">
              <w:rPr>
                <w:bCs/>
                <w:color w:val="000000"/>
                <w:sz w:val="24"/>
              </w:rPr>
              <w:t>12</w:t>
            </w:r>
            <w:r w:rsidRPr="00FA7E5F">
              <w:rPr>
                <w:bCs/>
                <w:color w:val="000000"/>
                <w:sz w:val="24"/>
              </w:rPr>
              <w:t>月</w:t>
            </w:r>
            <w:r w:rsidRPr="00FA7E5F">
              <w:rPr>
                <w:bCs/>
                <w:color w:val="000000"/>
                <w:sz w:val="24"/>
              </w:rPr>
              <w:t>31</w:t>
            </w:r>
            <w:r w:rsidRPr="00FA7E5F">
              <w:rPr>
                <w:bCs/>
                <w:color w:val="000000"/>
                <w:sz w:val="24"/>
              </w:rPr>
              <w:t>日</w:t>
            </w:r>
          </w:p>
        </w:tc>
      </w:tr>
      <w:tr w:rsidR="00B536C4">
        <w:tc>
          <w:tcPr>
            <w:tcW w:w="993" w:type="dxa"/>
            <w:vMerge/>
          </w:tcPr>
          <w:p w:rsidR="00B536C4" w:rsidRDefault="00B536C4"/>
        </w:tc>
        <w:tc>
          <w:tcPr>
            <w:tcW w:w="3543" w:type="dxa"/>
            <w:vAlign w:val="center"/>
          </w:tcPr>
          <w:p w:rsidR="00B536C4" w:rsidRDefault="00CC45D2">
            <w:pPr>
              <w:jc w:val="left"/>
            </w:pPr>
            <w:r>
              <w:rPr>
                <w:color w:val="000000"/>
                <w:sz w:val="24"/>
              </w:rPr>
              <w:t>1.</w:t>
            </w:r>
            <w:r>
              <w:rPr>
                <w:color w:val="000000"/>
                <w:sz w:val="24"/>
              </w:rPr>
              <w:t>所有外币相对人民币升值</w:t>
            </w:r>
            <w:r>
              <w:rPr>
                <w:color w:val="000000"/>
                <w:sz w:val="24"/>
              </w:rPr>
              <w:t>5%</w:t>
            </w:r>
          </w:p>
        </w:tc>
        <w:tc>
          <w:tcPr>
            <w:tcW w:w="2268" w:type="dxa"/>
            <w:vAlign w:val="center"/>
          </w:tcPr>
          <w:p w:rsidR="00B536C4" w:rsidRDefault="00CC45D2">
            <w:pPr>
              <w:jc w:val="right"/>
            </w:pPr>
            <w:r>
              <w:rPr>
                <w:color w:val="000000"/>
                <w:sz w:val="24"/>
              </w:rPr>
              <w:t>增加约</w:t>
            </w:r>
            <w:r>
              <w:rPr>
                <w:color w:val="000000"/>
                <w:sz w:val="24"/>
              </w:rPr>
              <w:t>192</w:t>
            </w:r>
          </w:p>
        </w:tc>
        <w:tc>
          <w:tcPr>
            <w:tcW w:w="2196" w:type="dxa"/>
            <w:vAlign w:val="center"/>
          </w:tcPr>
          <w:p w:rsidR="00B536C4" w:rsidRDefault="00CC45D2">
            <w:pPr>
              <w:jc w:val="right"/>
            </w:pPr>
            <w:r>
              <w:rPr>
                <w:color w:val="000000"/>
                <w:sz w:val="24"/>
              </w:rPr>
              <w:t>增加约</w:t>
            </w:r>
            <w:r>
              <w:rPr>
                <w:color w:val="000000"/>
                <w:sz w:val="24"/>
              </w:rPr>
              <w:t>121</w:t>
            </w:r>
          </w:p>
        </w:tc>
      </w:tr>
      <w:tr w:rsidR="00B536C4">
        <w:tc>
          <w:tcPr>
            <w:tcW w:w="993" w:type="dxa"/>
            <w:vMerge/>
          </w:tcPr>
          <w:p w:rsidR="00B536C4" w:rsidRDefault="00B536C4"/>
        </w:tc>
        <w:tc>
          <w:tcPr>
            <w:tcW w:w="3543" w:type="dxa"/>
            <w:vAlign w:val="center"/>
          </w:tcPr>
          <w:p w:rsidR="00B536C4" w:rsidRDefault="00CC45D2">
            <w:pPr>
              <w:jc w:val="left"/>
            </w:pPr>
            <w:r>
              <w:rPr>
                <w:color w:val="000000"/>
                <w:sz w:val="24"/>
              </w:rPr>
              <w:t>2.</w:t>
            </w:r>
            <w:r>
              <w:rPr>
                <w:color w:val="000000"/>
                <w:sz w:val="24"/>
              </w:rPr>
              <w:t>所有外币相对人民币贬值</w:t>
            </w:r>
            <w:r>
              <w:rPr>
                <w:color w:val="000000"/>
                <w:sz w:val="24"/>
              </w:rPr>
              <w:t>5%</w:t>
            </w:r>
          </w:p>
        </w:tc>
        <w:tc>
          <w:tcPr>
            <w:tcW w:w="2268" w:type="dxa"/>
            <w:vAlign w:val="center"/>
          </w:tcPr>
          <w:p w:rsidR="00B536C4" w:rsidRDefault="00CC45D2">
            <w:pPr>
              <w:jc w:val="right"/>
            </w:pPr>
            <w:r>
              <w:rPr>
                <w:color w:val="000000"/>
                <w:sz w:val="24"/>
              </w:rPr>
              <w:t>减少约</w:t>
            </w:r>
            <w:r>
              <w:rPr>
                <w:color w:val="000000"/>
                <w:sz w:val="24"/>
              </w:rPr>
              <w:t>192</w:t>
            </w:r>
          </w:p>
        </w:tc>
        <w:tc>
          <w:tcPr>
            <w:tcW w:w="2196" w:type="dxa"/>
            <w:vAlign w:val="center"/>
          </w:tcPr>
          <w:p w:rsidR="00B536C4" w:rsidRDefault="00CC45D2">
            <w:pPr>
              <w:jc w:val="right"/>
            </w:pPr>
            <w:r>
              <w:rPr>
                <w:color w:val="000000"/>
                <w:sz w:val="24"/>
              </w:rPr>
              <w:t>减少约</w:t>
            </w:r>
            <w:r>
              <w:rPr>
                <w:color w:val="000000"/>
                <w:sz w:val="24"/>
              </w:rPr>
              <w:t>121</w:t>
            </w:r>
          </w:p>
        </w:tc>
      </w:tr>
    </w:tbl>
    <w:p w:rsidR="007B62FA" w:rsidRPr="00D0372D" w:rsidRDefault="007B62FA" w:rsidP="00417F87">
      <w:pPr>
        <w:spacing w:line="360" w:lineRule="auto"/>
        <w:rPr>
          <w:rFonts w:ascii="宋体" w:hAnsi="宋体"/>
          <w:b/>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7.4.13.4.3</w:t>
      </w:r>
      <w:r w:rsidR="002D0B5F" w:rsidRPr="00E53CFC">
        <w:rPr>
          <w:rFonts w:hint="eastAsia"/>
          <w:b/>
          <w:bCs/>
          <w:color w:val="000000"/>
          <w:kern w:val="0"/>
          <w:sz w:val="24"/>
        </w:rPr>
        <w:t xml:space="preserve"> </w:t>
      </w:r>
      <w:r w:rsidRPr="00E53CFC">
        <w:rPr>
          <w:rFonts w:hint="eastAsia"/>
          <w:b/>
          <w:bCs/>
          <w:color w:val="000000"/>
          <w:kern w:val="0"/>
          <w:sz w:val="24"/>
        </w:rPr>
        <w:t>其他价格风险</w:t>
      </w:r>
    </w:p>
    <w:p w:rsidR="00B536C4" w:rsidRDefault="00CC45D2">
      <w:pPr>
        <w:tabs>
          <w:tab w:val="left" w:pos="426"/>
        </w:tabs>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的股票，所面临的其他价格风险来源于单个证券发行主体自身经营情况或特殊事项的影响，也可能来源于证券市场整体波动的影响。</w:t>
      </w:r>
    </w:p>
    <w:p w:rsidR="00B536C4" w:rsidRDefault="00CC45D2">
      <w:pPr>
        <w:tabs>
          <w:tab w:val="left" w:pos="426"/>
        </w:tabs>
        <w:spacing w:before="29" w:line="288" w:lineRule="auto"/>
        <w:ind w:firstLineChars="200" w:firstLine="480"/>
        <w:rPr>
          <w:kern w:val="0"/>
          <w:sz w:val="24"/>
        </w:rPr>
      </w:pPr>
      <w:r>
        <w:rPr>
          <w:kern w:val="0"/>
          <w:sz w:val="24"/>
        </w:rPr>
        <w:t>本基金的基金管理人在构建和管理投资组合的过程中，采用</w:t>
      </w:r>
      <w:r>
        <w:rPr>
          <w:kern w:val="0"/>
          <w:sz w:val="24"/>
        </w:rPr>
        <w:t>“</w:t>
      </w:r>
      <w:r>
        <w:rPr>
          <w:kern w:val="0"/>
          <w:sz w:val="24"/>
        </w:rPr>
        <w:t>自上而下</w:t>
      </w:r>
      <w:r>
        <w:rPr>
          <w:kern w:val="0"/>
          <w:sz w:val="24"/>
        </w:rPr>
        <w:t>”</w:t>
      </w:r>
      <w:r>
        <w:rPr>
          <w:kern w:val="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7B62FA" w:rsidRPr="002463BF" w:rsidRDefault="007B62FA" w:rsidP="002463BF">
      <w:pPr>
        <w:tabs>
          <w:tab w:val="left" w:pos="426"/>
        </w:tabs>
        <w:spacing w:before="29" w:line="288" w:lineRule="auto"/>
        <w:ind w:firstLineChars="200" w:firstLine="480"/>
        <w:rPr>
          <w:kern w:val="0"/>
          <w:sz w:val="24"/>
        </w:rPr>
      </w:pPr>
      <w:r w:rsidRPr="002463BF">
        <w:rPr>
          <w:kern w:val="0"/>
          <w:sz w:val="24"/>
        </w:rPr>
        <w:t>本基金通过投资组合的分散化降低市场价格风险。股票、存托凭证、权证、股票基金</w:t>
      </w:r>
      <w:r w:rsidRPr="002463BF">
        <w:rPr>
          <w:kern w:val="0"/>
          <w:sz w:val="24"/>
        </w:rPr>
        <w:t>(</w:t>
      </w:r>
      <w:r w:rsidRPr="002463BF">
        <w:rPr>
          <w:kern w:val="0"/>
          <w:sz w:val="24"/>
        </w:rPr>
        <w:t>含</w:t>
      </w:r>
      <w:r w:rsidRPr="002463BF">
        <w:rPr>
          <w:kern w:val="0"/>
          <w:sz w:val="24"/>
        </w:rPr>
        <w:t>ETF)</w:t>
      </w:r>
      <w:r w:rsidRPr="002463BF">
        <w:rPr>
          <w:kern w:val="0"/>
          <w:sz w:val="24"/>
        </w:rPr>
        <w:t>等权益类证券占基金资产净值的</w:t>
      </w:r>
      <w:r w:rsidRPr="002463BF">
        <w:rPr>
          <w:kern w:val="0"/>
          <w:sz w:val="24"/>
        </w:rPr>
        <w:t>60%-100%</w:t>
      </w:r>
      <w:r w:rsidRPr="002463BF">
        <w:rPr>
          <w:kern w:val="0"/>
          <w:sz w:val="24"/>
        </w:rPr>
        <w:t>，其中权益类资产中不低于</w:t>
      </w:r>
      <w:r w:rsidRPr="002463BF">
        <w:rPr>
          <w:kern w:val="0"/>
          <w:sz w:val="24"/>
        </w:rPr>
        <w:t>80%</w:t>
      </w:r>
      <w:r w:rsidRPr="002463BF">
        <w:rPr>
          <w:kern w:val="0"/>
          <w:sz w:val="24"/>
        </w:rPr>
        <w:t>配置于自然资源相关行业股票；债券、货币市场工具、现金及中国证监会允许基金投资的其他证券品种占基金资产的</w:t>
      </w:r>
      <w:r w:rsidRPr="002463BF">
        <w:rPr>
          <w:kern w:val="0"/>
          <w:sz w:val="24"/>
        </w:rPr>
        <w:t>0%-40%</w:t>
      </w:r>
      <w:r w:rsidRPr="002463BF">
        <w:rPr>
          <w:kern w:val="0"/>
          <w:sz w:val="24"/>
        </w:rPr>
        <w:t>。此外，本基金的基金管理人每日对本基金所持有的证券价格实施监控，定期运用多种定量方法对基金进行风险度量，来测试本基金面</w:t>
      </w:r>
      <w:r w:rsidRPr="002463BF">
        <w:rPr>
          <w:kern w:val="0"/>
          <w:sz w:val="24"/>
        </w:rPr>
        <w:lastRenderedPageBreak/>
        <w:t>临的潜在价格风险，及时可靠地对风险进行跟踪和控制。</w:t>
      </w:r>
    </w:p>
    <w:p w:rsidR="007B62FA" w:rsidRPr="00D0372D" w:rsidRDefault="007B62FA" w:rsidP="00602A38">
      <w:pPr>
        <w:spacing w:line="360" w:lineRule="auto"/>
        <w:ind w:firstLineChars="200" w:firstLine="422"/>
        <w:rPr>
          <w:rFonts w:ascii="宋体" w:hAnsi="宋体"/>
          <w:b/>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7.4.13.4.3.1</w:t>
      </w:r>
      <w:r w:rsidR="002D0B5F" w:rsidRPr="00E53CFC">
        <w:rPr>
          <w:rFonts w:hint="eastAsia"/>
          <w:b/>
          <w:bCs/>
          <w:color w:val="000000"/>
          <w:kern w:val="0"/>
          <w:sz w:val="24"/>
        </w:rPr>
        <w:t xml:space="preserve"> </w:t>
      </w:r>
      <w:r w:rsidRPr="00E53CFC">
        <w:rPr>
          <w:rFonts w:hint="eastAsia"/>
          <w:b/>
          <w:bCs/>
          <w:color w:val="000000"/>
          <w:kern w:val="0"/>
          <w:sz w:val="24"/>
        </w:rPr>
        <w:t>其他价格风险敞口</w:t>
      </w:r>
    </w:p>
    <w:p w:rsidR="007E6DF3" w:rsidRPr="00AD4493" w:rsidRDefault="007E6DF3"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7B62FA" w:rsidRPr="00D0372D" w:rsidTr="009569B4">
        <w:tc>
          <w:tcPr>
            <w:tcW w:w="3119" w:type="dxa"/>
            <w:vMerge w:val="restart"/>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项目</w:t>
            </w:r>
          </w:p>
        </w:tc>
        <w:tc>
          <w:tcPr>
            <w:tcW w:w="2940" w:type="dxa"/>
            <w:gridSpan w:val="2"/>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本期末</w:t>
            </w:r>
          </w:p>
          <w:p w:rsidR="007B62FA" w:rsidRPr="002463BF" w:rsidRDefault="00ED2997" w:rsidP="002463BF">
            <w:pPr>
              <w:spacing w:before="29" w:line="288" w:lineRule="auto"/>
              <w:jc w:val="center"/>
              <w:rPr>
                <w:color w:val="000000"/>
                <w:sz w:val="24"/>
              </w:rPr>
            </w:pPr>
            <w:r w:rsidRPr="002463BF">
              <w:rPr>
                <w:color w:val="000000"/>
                <w:sz w:val="24"/>
              </w:rPr>
              <w:t>2016</w:t>
            </w:r>
            <w:r w:rsidRPr="002463BF">
              <w:rPr>
                <w:color w:val="000000"/>
                <w:sz w:val="24"/>
              </w:rPr>
              <w:t>年</w:t>
            </w:r>
            <w:r w:rsidRPr="002463BF">
              <w:rPr>
                <w:color w:val="000000"/>
                <w:sz w:val="24"/>
              </w:rPr>
              <w:t>12</w:t>
            </w:r>
            <w:r w:rsidRPr="002463BF">
              <w:rPr>
                <w:color w:val="000000"/>
                <w:sz w:val="24"/>
              </w:rPr>
              <w:t>月</w:t>
            </w:r>
            <w:r w:rsidRPr="002463BF">
              <w:rPr>
                <w:color w:val="000000"/>
                <w:sz w:val="24"/>
              </w:rPr>
              <w:t>31</w:t>
            </w:r>
            <w:r w:rsidRPr="002463BF">
              <w:rPr>
                <w:color w:val="000000"/>
                <w:sz w:val="24"/>
              </w:rPr>
              <w:t>日</w:t>
            </w:r>
          </w:p>
        </w:tc>
        <w:tc>
          <w:tcPr>
            <w:tcW w:w="2941" w:type="dxa"/>
            <w:gridSpan w:val="2"/>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上年度末</w:t>
            </w:r>
          </w:p>
          <w:p w:rsidR="007B62FA" w:rsidRPr="002463BF" w:rsidRDefault="00264252" w:rsidP="002463BF">
            <w:pPr>
              <w:spacing w:before="29" w:line="288" w:lineRule="auto"/>
              <w:jc w:val="center"/>
              <w:rPr>
                <w:color w:val="000000"/>
                <w:sz w:val="24"/>
              </w:rPr>
            </w:pPr>
            <w:r w:rsidRPr="002463BF">
              <w:rPr>
                <w:color w:val="000000"/>
                <w:sz w:val="24"/>
              </w:rPr>
              <w:t>2015</w:t>
            </w:r>
            <w:r w:rsidRPr="002463BF">
              <w:rPr>
                <w:color w:val="000000"/>
                <w:sz w:val="24"/>
              </w:rPr>
              <w:t>年</w:t>
            </w:r>
            <w:r w:rsidRPr="002463BF">
              <w:rPr>
                <w:color w:val="000000"/>
                <w:sz w:val="24"/>
              </w:rPr>
              <w:t>12</w:t>
            </w:r>
            <w:r w:rsidRPr="002463BF">
              <w:rPr>
                <w:color w:val="000000"/>
                <w:sz w:val="24"/>
              </w:rPr>
              <w:t>月</w:t>
            </w:r>
            <w:r w:rsidRPr="002463BF">
              <w:rPr>
                <w:color w:val="000000"/>
                <w:sz w:val="24"/>
              </w:rPr>
              <w:t>31</w:t>
            </w:r>
            <w:r w:rsidRPr="002463BF">
              <w:rPr>
                <w:color w:val="000000"/>
                <w:sz w:val="24"/>
              </w:rPr>
              <w:t>日</w:t>
            </w:r>
          </w:p>
        </w:tc>
      </w:tr>
      <w:tr w:rsidR="007B62FA" w:rsidRPr="00D0372D" w:rsidTr="009569B4">
        <w:tc>
          <w:tcPr>
            <w:tcW w:w="3119" w:type="dxa"/>
            <w:vMerge/>
            <w:vAlign w:val="center"/>
          </w:tcPr>
          <w:p w:rsidR="007B62FA" w:rsidRPr="002463BF" w:rsidRDefault="007B62FA" w:rsidP="002463BF">
            <w:pPr>
              <w:spacing w:before="29" w:line="288" w:lineRule="auto"/>
              <w:jc w:val="center"/>
              <w:rPr>
                <w:color w:val="000000"/>
                <w:sz w:val="24"/>
              </w:rPr>
            </w:pPr>
          </w:p>
        </w:tc>
        <w:tc>
          <w:tcPr>
            <w:tcW w:w="1843" w:type="dxa"/>
            <w:vAlign w:val="center"/>
          </w:tcPr>
          <w:p w:rsidR="007B62FA" w:rsidRPr="002463BF" w:rsidRDefault="007B62FA" w:rsidP="002463BF">
            <w:pPr>
              <w:spacing w:before="29" w:line="288" w:lineRule="auto"/>
              <w:ind w:right="142"/>
              <w:jc w:val="center"/>
              <w:rPr>
                <w:color w:val="000000"/>
                <w:sz w:val="24"/>
              </w:rPr>
            </w:pPr>
            <w:r w:rsidRPr="002463BF">
              <w:rPr>
                <w:rFonts w:hint="eastAsia"/>
                <w:color w:val="000000"/>
                <w:sz w:val="24"/>
              </w:rPr>
              <w:t>公允价值</w:t>
            </w:r>
          </w:p>
        </w:tc>
        <w:tc>
          <w:tcPr>
            <w:tcW w:w="1097" w:type="dxa"/>
            <w:vAlign w:val="center"/>
          </w:tcPr>
          <w:p w:rsidR="007B62FA" w:rsidRPr="002463BF" w:rsidRDefault="007B62FA" w:rsidP="002463BF">
            <w:pPr>
              <w:spacing w:before="29" w:line="288" w:lineRule="auto"/>
              <w:ind w:right="141"/>
              <w:jc w:val="center"/>
              <w:rPr>
                <w:color w:val="000000"/>
                <w:sz w:val="24"/>
              </w:rPr>
            </w:pPr>
            <w:r w:rsidRPr="002463BF">
              <w:rPr>
                <w:rFonts w:hint="eastAsia"/>
                <w:color w:val="000000"/>
                <w:sz w:val="24"/>
              </w:rPr>
              <w:t>占基金资产净值比例（</w:t>
            </w:r>
            <w:r w:rsidRPr="002463BF">
              <w:rPr>
                <w:color w:val="000000"/>
                <w:sz w:val="24"/>
              </w:rPr>
              <w:t>%</w:t>
            </w:r>
            <w:r w:rsidRPr="002463BF">
              <w:rPr>
                <w:rFonts w:hint="eastAsia"/>
                <w:color w:val="000000"/>
                <w:sz w:val="24"/>
              </w:rPr>
              <w:t>）</w:t>
            </w:r>
          </w:p>
        </w:tc>
        <w:tc>
          <w:tcPr>
            <w:tcW w:w="1879" w:type="dxa"/>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公允价值</w:t>
            </w:r>
          </w:p>
        </w:tc>
        <w:tc>
          <w:tcPr>
            <w:tcW w:w="1062" w:type="dxa"/>
            <w:vAlign w:val="center"/>
          </w:tcPr>
          <w:p w:rsidR="007B62FA" w:rsidRPr="002463BF" w:rsidRDefault="007B62FA" w:rsidP="002463BF">
            <w:pPr>
              <w:spacing w:line="360" w:lineRule="auto"/>
              <w:jc w:val="center"/>
              <w:rPr>
                <w:color w:val="000000"/>
                <w:sz w:val="24"/>
              </w:rPr>
            </w:pPr>
            <w:r w:rsidRPr="002463BF">
              <w:rPr>
                <w:rFonts w:hint="eastAsia"/>
                <w:color w:val="000000"/>
                <w:sz w:val="24"/>
              </w:rPr>
              <w:t>占基金资产净值比例（</w:t>
            </w:r>
            <w:r w:rsidRPr="002463BF">
              <w:rPr>
                <w:color w:val="000000"/>
                <w:sz w:val="24"/>
              </w:rPr>
              <w:t>%</w:t>
            </w:r>
            <w:r w:rsidRPr="002463BF">
              <w:rPr>
                <w:rFonts w:hint="eastAsia"/>
                <w:color w:val="000000"/>
                <w:sz w:val="24"/>
              </w:rPr>
              <w:t>）</w:t>
            </w:r>
          </w:p>
        </w:tc>
      </w:tr>
      <w:tr w:rsidR="007B62FA" w:rsidRPr="00D0372D" w:rsidTr="009569B4">
        <w:tc>
          <w:tcPr>
            <w:tcW w:w="3119" w:type="dxa"/>
            <w:vAlign w:val="center"/>
          </w:tcPr>
          <w:p w:rsidR="007B62FA" w:rsidRPr="00AA734A" w:rsidRDefault="007B62FA" w:rsidP="00AA734A">
            <w:pPr>
              <w:spacing w:before="29" w:line="288" w:lineRule="auto"/>
              <w:jc w:val="left"/>
              <w:rPr>
                <w:color w:val="000000"/>
                <w:sz w:val="24"/>
              </w:rPr>
            </w:pPr>
            <w:r w:rsidRPr="00AA734A">
              <w:rPr>
                <w:rFonts w:hint="eastAsia"/>
                <w:color w:val="000000"/>
                <w:sz w:val="24"/>
              </w:rPr>
              <w:t>交易性金融资产－股票投资</w:t>
            </w:r>
          </w:p>
        </w:tc>
        <w:tc>
          <w:tcPr>
            <w:tcW w:w="1843" w:type="dxa"/>
            <w:vAlign w:val="center"/>
          </w:tcPr>
          <w:p w:rsidR="007B62FA" w:rsidRPr="00AA734A" w:rsidRDefault="007B62FA" w:rsidP="00AA734A">
            <w:pPr>
              <w:spacing w:before="29" w:line="288" w:lineRule="auto"/>
              <w:jc w:val="right"/>
              <w:rPr>
                <w:color w:val="000000"/>
                <w:sz w:val="24"/>
              </w:rPr>
            </w:pPr>
            <w:r w:rsidRPr="00AA734A">
              <w:rPr>
                <w:color w:val="000000"/>
                <w:sz w:val="24"/>
              </w:rPr>
              <w:t>26,641,411.59</w:t>
            </w:r>
          </w:p>
        </w:tc>
        <w:tc>
          <w:tcPr>
            <w:tcW w:w="1097" w:type="dxa"/>
            <w:vAlign w:val="center"/>
          </w:tcPr>
          <w:p w:rsidR="007B62FA" w:rsidRPr="00AA734A" w:rsidRDefault="007B62FA" w:rsidP="00AA734A">
            <w:pPr>
              <w:spacing w:before="29" w:line="288" w:lineRule="auto"/>
              <w:jc w:val="right"/>
              <w:rPr>
                <w:color w:val="000000"/>
                <w:sz w:val="24"/>
              </w:rPr>
            </w:pPr>
            <w:r w:rsidRPr="00AA734A">
              <w:rPr>
                <w:color w:val="000000"/>
                <w:sz w:val="24"/>
              </w:rPr>
              <w:t>67.73</w:t>
            </w:r>
          </w:p>
        </w:tc>
        <w:tc>
          <w:tcPr>
            <w:tcW w:w="1879" w:type="dxa"/>
            <w:vAlign w:val="center"/>
          </w:tcPr>
          <w:p w:rsidR="007B62FA" w:rsidRPr="00AA734A" w:rsidRDefault="00654F26" w:rsidP="00AA734A">
            <w:pPr>
              <w:spacing w:before="29" w:line="288" w:lineRule="auto"/>
              <w:jc w:val="right"/>
              <w:rPr>
                <w:color w:val="000000"/>
                <w:sz w:val="24"/>
              </w:rPr>
            </w:pPr>
            <w:r w:rsidRPr="00AA734A">
              <w:rPr>
                <w:color w:val="000000"/>
                <w:sz w:val="24"/>
              </w:rPr>
              <w:t>22,007,259.12</w:t>
            </w:r>
          </w:p>
        </w:tc>
        <w:tc>
          <w:tcPr>
            <w:tcW w:w="1062" w:type="dxa"/>
            <w:vAlign w:val="center"/>
          </w:tcPr>
          <w:p w:rsidR="007B62FA" w:rsidRPr="00AA734A" w:rsidRDefault="00654F26" w:rsidP="00AA734A">
            <w:pPr>
              <w:spacing w:before="29" w:line="288" w:lineRule="auto"/>
              <w:jc w:val="right"/>
              <w:rPr>
                <w:color w:val="000000"/>
                <w:sz w:val="24"/>
              </w:rPr>
            </w:pPr>
            <w:r w:rsidRPr="00AA734A">
              <w:rPr>
                <w:color w:val="000000"/>
                <w:sz w:val="24"/>
              </w:rPr>
              <w:t>72.29</w:t>
            </w:r>
          </w:p>
        </w:tc>
      </w:tr>
      <w:tr w:rsidR="007B62FA" w:rsidRPr="00D0372D" w:rsidTr="009569B4">
        <w:tc>
          <w:tcPr>
            <w:tcW w:w="3119" w:type="dxa"/>
            <w:vAlign w:val="center"/>
          </w:tcPr>
          <w:p w:rsidR="007B62FA" w:rsidRPr="00AA734A" w:rsidRDefault="007B62FA" w:rsidP="00AA734A">
            <w:pPr>
              <w:spacing w:before="29" w:line="288" w:lineRule="auto"/>
              <w:jc w:val="left"/>
              <w:rPr>
                <w:color w:val="000000"/>
                <w:sz w:val="24"/>
              </w:rPr>
            </w:pPr>
            <w:r w:rsidRPr="00AA734A">
              <w:rPr>
                <w:rFonts w:hint="eastAsia"/>
                <w:color w:val="000000"/>
                <w:sz w:val="24"/>
              </w:rPr>
              <w:t>交易性金融资产</w:t>
            </w:r>
            <w:r w:rsidR="00843EA1" w:rsidRPr="00AA734A">
              <w:rPr>
                <w:rFonts w:hint="eastAsia"/>
                <w:color w:val="000000"/>
                <w:sz w:val="24"/>
              </w:rPr>
              <w:t>－</w:t>
            </w:r>
            <w:r w:rsidRPr="00AA734A">
              <w:rPr>
                <w:rFonts w:hint="eastAsia"/>
                <w:color w:val="000000"/>
                <w:sz w:val="24"/>
              </w:rPr>
              <w:t>基金投资</w:t>
            </w:r>
          </w:p>
        </w:tc>
        <w:tc>
          <w:tcPr>
            <w:tcW w:w="1843" w:type="dxa"/>
          </w:tcPr>
          <w:p w:rsidR="007B62FA" w:rsidRPr="00AA734A" w:rsidRDefault="007B62FA" w:rsidP="00AA734A">
            <w:pPr>
              <w:spacing w:before="29" w:line="288" w:lineRule="auto"/>
              <w:jc w:val="right"/>
              <w:rPr>
                <w:color w:val="000000"/>
                <w:sz w:val="24"/>
              </w:rPr>
            </w:pPr>
            <w:r w:rsidRPr="00AA734A">
              <w:rPr>
                <w:color w:val="000000"/>
                <w:sz w:val="24"/>
              </w:rPr>
              <w:t>-</w:t>
            </w:r>
          </w:p>
        </w:tc>
        <w:tc>
          <w:tcPr>
            <w:tcW w:w="1097" w:type="dxa"/>
          </w:tcPr>
          <w:p w:rsidR="007B62FA" w:rsidRPr="00AA734A" w:rsidRDefault="007B62FA" w:rsidP="00AA734A">
            <w:pPr>
              <w:spacing w:before="29" w:line="288" w:lineRule="auto"/>
              <w:jc w:val="right"/>
              <w:rPr>
                <w:color w:val="000000"/>
                <w:sz w:val="24"/>
              </w:rPr>
            </w:pPr>
            <w:r w:rsidRPr="00AA734A">
              <w:rPr>
                <w:color w:val="000000"/>
                <w:sz w:val="24"/>
              </w:rPr>
              <w:t>-</w:t>
            </w:r>
          </w:p>
        </w:tc>
        <w:tc>
          <w:tcPr>
            <w:tcW w:w="1879" w:type="dxa"/>
          </w:tcPr>
          <w:p w:rsidR="007B62FA" w:rsidRPr="00AA734A" w:rsidRDefault="00654F26" w:rsidP="00AA734A">
            <w:pPr>
              <w:spacing w:before="29" w:line="288" w:lineRule="auto"/>
              <w:jc w:val="right"/>
              <w:rPr>
                <w:color w:val="000000"/>
                <w:sz w:val="24"/>
              </w:rPr>
            </w:pPr>
            <w:r w:rsidRPr="00AA734A">
              <w:rPr>
                <w:color w:val="000000"/>
                <w:sz w:val="24"/>
              </w:rPr>
              <w:t>-</w:t>
            </w:r>
          </w:p>
        </w:tc>
        <w:tc>
          <w:tcPr>
            <w:tcW w:w="1062" w:type="dxa"/>
          </w:tcPr>
          <w:p w:rsidR="007B62FA" w:rsidRPr="00AA734A" w:rsidRDefault="00654F26" w:rsidP="00AA734A">
            <w:pPr>
              <w:spacing w:before="29" w:line="288" w:lineRule="auto"/>
              <w:jc w:val="right"/>
              <w:rPr>
                <w:color w:val="000000"/>
                <w:sz w:val="24"/>
              </w:rPr>
            </w:pPr>
            <w:r w:rsidRPr="00AA734A">
              <w:rPr>
                <w:color w:val="000000"/>
                <w:sz w:val="24"/>
              </w:rPr>
              <w:t>-</w:t>
            </w:r>
          </w:p>
        </w:tc>
      </w:tr>
      <w:tr w:rsidR="00CB785A" w:rsidRPr="00D0372D" w:rsidTr="009569B4">
        <w:tc>
          <w:tcPr>
            <w:tcW w:w="3119" w:type="dxa"/>
            <w:vAlign w:val="center"/>
          </w:tcPr>
          <w:p w:rsidR="00CB785A" w:rsidRPr="00AA734A" w:rsidRDefault="00CB785A" w:rsidP="00AA734A">
            <w:pPr>
              <w:spacing w:before="29" w:line="288" w:lineRule="auto"/>
              <w:jc w:val="left"/>
              <w:rPr>
                <w:color w:val="000000"/>
                <w:sz w:val="24"/>
              </w:rPr>
            </w:pPr>
            <w:r w:rsidRPr="00AA734A">
              <w:rPr>
                <w:rFonts w:hint="eastAsia"/>
                <w:color w:val="000000"/>
                <w:sz w:val="24"/>
              </w:rPr>
              <w:t>衍生金融资产－权证投资</w:t>
            </w:r>
          </w:p>
        </w:tc>
        <w:tc>
          <w:tcPr>
            <w:tcW w:w="1843"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97"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879"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62" w:type="dxa"/>
          </w:tcPr>
          <w:p w:rsidR="00CB785A" w:rsidRPr="00AA734A" w:rsidRDefault="00CB785A" w:rsidP="00AA734A">
            <w:pPr>
              <w:spacing w:before="29" w:line="288" w:lineRule="auto"/>
              <w:jc w:val="right"/>
              <w:rPr>
                <w:color w:val="000000"/>
                <w:sz w:val="24"/>
              </w:rPr>
            </w:pPr>
            <w:r w:rsidRPr="00AA734A">
              <w:rPr>
                <w:color w:val="000000"/>
                <w:sz w:val="24"/>
              </w:rPr>
              <w:t>-</w:t>
            </w:r>
          </w:p>
        </w:tc>
      </w:tr>
      <w:tr w:rsidR="00CB785A" w:rsidRPr="00D0372D" w:rsidTr="009569B4">
        <w:tc>
          <w:tcPr>
            <w:tcW w:w="3119" w:type="dxa"/>
            <w:vAlign w:val="center"/>
          </w:tcPr>
          <w:p w:rsidR="00CB785A" w:rsidRPr="00AA734A" w:rsidRDefault="00CB785A" w:rsidP="00AA734A">
            <w:pPr>
              <w:spacing w:before="29" w:line="288" w:lineRule="auto"/>
              <w:jc w:val="left"/>
              <w:rPr>
                <w:color w:val="000000"/>
                <w:sz w:val="24"/>
              </w:rPr>
            </w:pPr>
            <w:r w:rsidRPr="00AA734A">
              <w:rPr>
                <w:rFonts w:hint="eastAsia"/>
                <w:color w:val="000000"/>
                <w:sz w:val="24"/>
              </w:rPr>
              <w:t>其他</w:t>
            </w:r>
          </w:p>
        </w:tc>
        <w:tc>
          <w:tcPr>
            <w:tcW w:w="1843"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97"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879"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62" w:type="dxa"/>
          </w:tcPr>
          <w:p w:rsidR="00CB785A" w:rsidRPr="00AA734A" w:rsidRDefault="00CB785A" w:rsidP="00AA734A">
            <w:pPr>
              <w:spacing w:before="29" w:line="288" w:lineRule="auto"/>
              <w:jc w:val="right"/>
              <w:rPr>
                <w:color w:val="000000"/>
                <w:sz w:val="24"/>
              </w:rPr>
            </w:pPr>
            <w:r w:rsidRPr="00AA734A">
              <w:rPr>
                <w:color w:val="000000"/>
                <w:sz w:val="24"/>
              </w:rPr>
              <w:t>-</w:t>
            </w:r>
          </w:p>
        </w:tc>
      </w:tr>
      <w:tr w:rsidR="00CB785A" w:rsidRPr="00D0372D" w:rsidTr="00B71622">
        <w:tc>
          <w:tcPr>
            <w:tcW w:w="3119" w:type="dxa"/>
            <w:vAlign w:val="center"/>
          </w:tcPr>
          <w:p w:rsidR="00CB785A" w:rsidRPr="00AA734A" w:rsidRDefault="00CB785A" w:rsidP="00AA734A">
            <w:pPr>
              <w:spacing w:before="29" w:line="288" w:lineRule="auto"/>
              <w:jc w:val="left"/>
              <w:rPr>
                <w:color w:val="000000"/>
                <w:sz w:val="24"/>
              </w:rPr>
            </w:pPr>
            <w:r w:rsidRPr="00AA734A">
              <w:rPr>
                <w:rFonts w:hint="eastAsia"/>
                <w:color w:val="000000"/>
                <w:sz w:val="24"/>
              </w:rPr>
              <w:t>合计</w:t>
            </w:r>
          </w:p>
        </w:tc>
        <w:tc>
          <w:tcPr>
            <w:tcW w:w="1843" w:type="dxa"/>
          </w:tcPr>
          <w:p w:rsidR="00CB785A" w:rsidRPr="00AA734A" w:rsidRDefault="00CB785A" w:rsidP="00AA734A">
            <w:pPr>
              <w:spacing w:before="29" w:line="288" w:lineRule="auto"/>
              <w:jc w:val="right"/>
              <w:rPr>
                <w:color w:val="000000"/>
                <w:sz w:val="24"/>
              </w:rPr>
            </w:pPr>
            <w:r w:rsidRPr="00AA734A">
              <w:rPr>
                <w:color w:val="000000"/>
                <w:sz w:val="24"/>
              </w:rPr>
              <w:t>26,641,411.59</w:t>
            </w:r>
          </w:p>
        </w:tc>
        <w:tc>
          <w:tcPr>
            <w:tcW w:w="1097" w:type="dxa"/>
          </w:tcPr>
          <w:p w:rsidR="00CB785A" w:rsidRPr="00AA734A" w:rsidRDefault="00CB785A" w:rsidP="00AA734A">
            <w:pPr>
              <w:spacing w:before="29" w:line="288" w:lineRule="auto"/>
              <w:jc w:val="right"/>
              <w:rPr>
                <w:color w:val="000000"/>
                <w:sz w:val="24"/>
              </w:rPr>
            </w:pPr>
            <w:r w:rsidRPr="00AA734A">
              <w:rPr>
                <w:color w:val="000000"/>
                <w:sz w:val="24"/>
              </w:rPr>
              <w:t>67.73</w:t>
            </w:r>
          </w:p>
        </w:tc>
        <w:tc>
          <w:tcPr>
            <w:tcW w:w="1879" w:type="dxa"/>
          </w:tcPr>
          <w:p w:rsidR="00CB785A" w:rsidRPr="00AA734A" w:rsidRDefault="00CB785A" w:rsidP="00AA734A">
            <w:pPr>
              <w:spacing w:before="29" w:line="288" w:lineRule="auto"/>
              <w:jc w:val="right"/>
              <w:rPr>
                <w:color w:val="000000"/>
                <w:sz w:val="24"/>
              </w:rPr>
            </w:pPr>
            <w:r w:rsidRPr="00AA734A">
              <w:rPr>
                <w:color w:val="000000"/>
                <w:sz w:val="24"/>
              </w:rPr>
              <w:t>22,007,259.12</w:t>
            </w:r>
          </w:p>
        </w:tc>
        <w:tc>
          <w:tcPr>
            <w:tcW w:w="1062" w:type="dxa"/>
          </w:tcPr>
          <w:p w:rsidR="00CB785A" w:rsidRPr="00AA734A" w:rsidRDefault="00CB785A" w:rsidP="00AA734A">
            <w:pPr>
              <w:spacing w:before="29" w:line="288" w:lineRule="auto"/>
              <w:jc w:val="right"/>
              <w:rPr>
                <w:color w:val="000000"/>
                <w:sz w:val="24"/>
              </w:rPr>
            </w:pPr>
            <w:r w:rsidRPr="00AA734A">
              <w:rPr>
                <w:color w:val="000000"/>
                <w:sz w:val="24"/>
              </w:rPr>
              <w:t>72.29</w:t>
            </w:r>
          </w:p>
        </w:tc>
      </w:tr>
    </w:tbl>
    <w:p w:rsidR="007B62FA" w:rsidRPr="00D0372D" w:rsidRDefault="007B62FA" w:rsidP="00E4631E">
      <w:pPr>
        <w:tabs>
          <w:tab w:val="left" w:pos="426"/>
        </w:tabs>
        <w:spacing w:before="29" w:line="288" w:lineRule="auto"/>
        <w:jc w:val="left"/>
        <w:rPr>
          <w:rFonts w:ascii="宋体" w:hAnsi="宋体"/>
          <w:color w:val="000000"/>
          <w:szCs w:val="21"/>
        </w:rPr>
      </w:pPr>
    </w:p>
    <w:p w:rsidR="007B62FA" w:rsidRPr="003B7593" w:rsidRDefault="007B62FA" w:rsidP="00E53CFC">
      <w:pPr>
        <w:spacing w:before="29" w:line="288" w:lineRule="auto"/>
        <w:rPr>
          <w:b/>
          <w:color w:val="000000"/>
          <w:sz w:val="24"/>
        </w:rPr>
      </w:pPr>
      <w:r w:rsidRPr="003B7593">
        <w:rPr>
          <w:b/>
          <w:color w:val="000000"/>
          <w:sz w:val="24"/>
        </w:rPr>
        <w:t>7.4.13.4.3.2</w:t>
      </w:r>
      <w:r w:rsidR="002D0B5F" w:rsidRPr="003B7593">
        <w:rPr>
          <w:rFonts w:hint="eastAsia"/>
          <w:b/>
          <w:color w:val="000000"/>
          <w:sz w:val="24"/>
        </w:rPr>
        <w:t xml:space="preserve"> </w:t>
      </w:r>
      <w:r w:rsidRPr="003B7593">
        <w:rPr>
          <w:rFonts w:hint="eastAsia"/>
          <w:b/>
          <w:color w:val="000000"/>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B536C4" w:rsidRPr="0083628E">
        <w:tc>
          <w:tcPr>
            <w:tcW w:w="851" w:type="dxa"/>
            <w:vAlign w:val="center"/>
          </w:tcPr>
          <w:p w:rsidR="00B536C4" w:rsidRDefault="00CC45D2">
            <w:pPr>
              <w:jc w:val="left"/>
            </w:pPr>
            <w:r>
              <w:rPr>
                <w:bCs/>
                <w:color w:val="000000"/>
                <w:sz w:val="24"/>
              </w:rPr>
              <w:t>假设</w:t>
            </w:r>
          </w:p>
        </w:tc>
        <w:tc>
          <w:tcPr>
            <w:tcW w:w="8221" w:type="dxa"/>
            <w:gridSpan w:val="3"/>
            <w:vAlign w:val="center"/>
          </w:tcPr>
          <w:p w:rsidR="00B536C4" w:rsidRDefault="00CC45D2" w:rsidP="0083628E">
            <w:pPr>
              <w:jc w:val="center"/>
            </w:pPr>
            <w:r>
              <w:rPr>
                <w:bCs/>
                <w:color w:val="000000"/>
                <w:sz w:val="24"/>
              </w:rPr>
              <w:t>除业绩比较基准</w:t>
            </w:r>
            <w:r>
              <w:rPr>
                <w:bCs/>
                <w:color w:val="000000"/>
                <w:sz w:val="24"/>
              </w:rPr>
              <w:t>(</w:t>
            </w:r>
            <w:r>
              <w:rPr>
                <w:bCs/>
                <w:color w:val="000000"/>
                <w:sz w:val="24"/>
              </w:rPr>
              <w:t>附注</w:t>
            </w:r>
            <w:r w:rsidR="0083628E">
              <w:rPr>
                <w:bCs/>
                <w:color w:val="000000"/>
                <w:sz w:val="24"/>
              </w:rPr>
              <w:t>7</w:t>
            </w:r>
            <w:r>
              <w:rPr>
                <w:bCs/>
                <w:color w:val="000000"/>
                <w:sz w:val="24"/>
              </w:rPr>
              <w:t>.4.1)</w:t>
            </w:r>
            <w:r>
              <w:rPr>
                <w:bCs/>
                <w:color w:val="000000"/>
                <w:sz w:val="24"/>
              </w:rPr>
              <w:t>以外的其他市场变量保持不变</w:t>
            </w:r>
          </w:p>
        </w:tc>
      </w:tr>
      <w:tr w:rsidR="002B0AC4" w:rsidRPr="00D0372D" w:rsidTr="003611FA">
        <w:tc>
          <w:tcPr>
            <w:tcW w:w="851" w:type="dxa"/>
            <w:vMerge w:val="restart"/>
            <w:vAlign w:val="center"/>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分析</w:t>
            </w:r>
            <w:r w:rsidRPr="007E14D7">
              <w:rPr>
                <w:bCs/>
                <w:color w:val="000000"/>
                <w:sz w:val="24"/>
              </w:rPr>
              <w:t xml:space="preserve"> </w:t>
            </w:r>
          </w:p>
        </w:tc>
        <w:tc>
          <w:tcPr>
            <w:tcW w:w="3969" w:type="dxa"/>
            <w:vMerge w:val="restart"/>
            <w:vAlign w:val="center"/>
          </w:tcPr>
          <w:p w:rsidR="002B0AC4" w:rsidRPr="007E14D7" w:rsidRDefault="002B0AC4" w:rsidP="00886BF8">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相关风险变量的变动</w:t>
            </w:r>
          </w:p>
        </w:tc>
        <w:tc>
          <w:tcPr>
            <w:tcW w:w="4252" w:type="dxa"/>
            <w:gridSpan w:val="2"/>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对资产负债表日基金资产净值的</w:t>
            </w:r>
          </w:p>
          <w:p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影响金额（单位：人民币万元）</w:t>
            </w:r>
          </w:p>
        </w:tc>
      </w:tr>
      <w:tr w:rsidR="002B0AC4" w:rsidRPr="00D0372D" w:rsidTr="003611FA">
        <w:tc>
          <w:tcPr>
            <w:tcW w:w="851" w:type="dxa"/>
            <w:vMerge/>
            <w:vAlign w:val="center"/>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p>
        </w:tc>
        <w:tc>
          <w:tcPr>
            <w:tcW w:w="2126" w:type="dxa"/>
          </w:tcPr>
          <w:p w:rsidR="002B0AC4" w:rsidRPr="007E14D7" w:rsidRDefault="002B0AC4" w:rsidP="007E14D7">
            <w:pPr>
              <w:autoSpaceDE w:val="0"/>
              <w:autoSpaceDN w:val="0"/>
              <w:spacing w:before="29" w:line="288" w:lineRule="auto"/>
              <w:ind w:right="-15" w:firstLineChars="350" w:firstLine="840"/>
              <w:jc w:val="center"/>
              <w:textAlignment w:val="bottom"/>
              <w:rPr>
                <w:bCs/>
                <w:color w:val="000000"/>
                <w:sz w:val="24"/>
              </w:rPr>
            </w:pPr>
            <w:r w:rsidRPr="007E14D7">
              <w:rPr>
                <w:rFonts w:hint="eastAsia"/>
                <w:bCs/>
                <w:color w:val="000000"/>
                <w:sz w:val="24"/>
              </w:rPr>
              <w:t>本期末</w:t>
            </w:r>
          </w:p>
          <w:p w:rsidR="002B0AC4" w:rsidRPr="007E14D7" w:rsidRDefault="002B0AC4" w:rsidP="007E14D7">
            <w:pPr>
              <w:autoSpaceDE w:val="0"/>
              <w:autoSpaceDN w:val="0"/>
              <w:spacing w:before="29" w:line="288" w:lineRule="auto"/>
              <w:ind w:right="-15"/>
              <w:jc w:val="center"/>
              <w:textAlignment w:val="bottom"/>
              <w:rPr>
                <w:bCs/>
                <w:color w:val="000000"/>
                <w:sz w:val="24"/>
              </w:rPr>
            </w:pPr>
            <w:r w:rsidRPr="007E14D7">
              <w:rPr>
                <w:bCs/>
                <w:color w:val="000000"/>
                <w:sz w:val="24"/>
              </w:rPr>
              <w:t>2016</w:t>
            </w:r>
            <w:r w:rsidRPr="007E14D7">
              <w:rPr>
                <w:bCs/>
                <w:color w:val="000000"/>
                <w:sz w:val="24"/>
              </w:rPr>
              <w:t>年</w:t>
            </w:r>
            <w:r w:rsidRPr="007E14D7">
              <w:rPr>
                <w:bCs/>
                <w:color w:val="000000"/>
                <w:sz w:val="24"/>
              </w:rPr>
              <w:t>12</w:t>
            </w:r>
            <w:r w:rsidRPr="007E14D7">
              <w:rPr>
                <w:bCs/>
                <w:color w:val="000000"/>
                <w:sz w:val="24"/>
              </w:rPr>
              <w:t>月</w:t>
            </w:r>
            <w:r w:rsidRPr="007E14D7">
              <w:rPr>
                <w:bCs/>
                <w:color w:val="000000"/>
                <w:sz w:val="24"/>
              </w:rPr>
              <w:t>31</w:t>
            </w:r>
            <w:r w:rsidRPr="007E14D7">
              <w:rPr>
                <w:bCs/>
                <w:color w:val="000000"/>
                <w:sz w:val="24"/>
              </w:rPr>
              <w:t>日</w:t>
            </w:r>
          </w:p>
        </w:tc>
        <w:tc>
          <w:tcPr>
            <w:tcW w:w="2126" w:type="dxa"/>
          </w:tcPr>
          <w:p w:rsidR="002B0AC4" w:rsidRPr="007E14D7" w:rsidRDefault="002B0AC4" w:rsidP="007E14D7">
            <w:pPr>
              <w:autoSpaceDE w:val="0"/>
              <w:autoSpaceDN w:val="0"/>
              <w:spacing w:before="29" w:line="288" w:lineRule="auto"/>
              <w:ind w:right="-15" w:firstLineChars="300" w:firstLine="720"/>
              <w:jc w:val="center"/>
              <w:textAlignment w:val="bottom"/>
              <w:rPr>
                <w:bCs/>
                <w:color w:val="000000"/>
                <w:sz w:val="24"/>
              </w:rPr>
            </w:pPr>
            <w:r w:rsidRPr="007E14D7">
              <w:rPr>
                <w:rFonts w:hint="eastAsia"/>
                <w:bCs/>
                <w:color w:val="000000"/>
                <w:sz w:val="24"/>
              </w:rPr>
              <w:t>上年度末</w:t>
            </w:r>
          </w:p>
          <w:p w:rsidR="002B0AC4" w:rsidRPr="007E14D7" w:rsidRDefault="002B0AC4" w:rsidP="007E14D7">
            <w:pPr>
              <w:autoSpaceDE w:val="0"/>
              <w:autoSpaceDN w:val="0"/>
              <w:spacing w:before="29" w:line="288" w:lineRule="auto"/>
              <w:ind w:right="-15"/>
              <w:jc w:val="center"/>
              <w:textAlignment w:val="bottom"/>
              <w:rPr>
                <w:bCs/>
                <w:color w:val="000000"/>
                <w:sz w:val="24"/>
              </w:rPr>
            </w:pPr>
            <w:r w:rsidRPr="007E14D7">
              <w:rPr>
                <w:bCs/>
                <w:color w:val="000000"/>
                <w:sz w:val="24"/>
              </w:rPr>
              <w:t>2015</w:t>
            </w:r>
            <w:r w:rsidRPr="007E14D7">
              <w:rPr>
                <w:bCs/>
                <w:color w:val="000000"/>
                <w:sz w:val="24"/>
              </w:rPr>
              <w:t>年</w:t>
            </w:r>
            <w:r w:rsidRPr="007E14D7">
              <w:rPr>
                <w:bCs/>
                <w:color w:val="000000"/>
                <w:sz w:val="24"/>
              </w:rPr>
              <w:t>12</w:t>
            </w:r>
            <w:r w:rsidRPr="007E14D7">
              <w:rPr>
                <w:bCs/>
                <w:color w:val="000000"/>
                <w:sz w:val="24"/>
              </w:rPr>
              <w:t>月</w:t>
            </w:r>
            <w:r w:rsidRPr="007E14D7">
              <w:rPr>
                <w:bCs/>
                <w:color w:val="000000"/>
                <w:sz w:val="24"/>
              </w:rPr>
              <w:t>31</w:t>
            </w:r>
            <w:r w:rsidRPr="007E14D7">
              <w:rPr>
                <w:bCs/>
                <w:color w:val="000000"/>
                <w:sz w:val="24"/>
              </w:rPr>
              <w:t>日</w:t>
            </w:r>
          </w:p>
        </w:tc>
      </w:tr>
      <w:tr w:rsidR="00B536C4">
        <w:tc>
          <w:tcPr>
            <w:tcW w:w="851" w:type="dxa"/>
            <w:vMerge/>
          </w:tcPr>
          <w:p w:rsidR="00B536C4" w:rsidRDefault="00B536C4"/>
        </w:tc>
        <w:tc>
          <w:tcPr>
            <w:tcW w:w="3969" w:type="dxa"/>
            <w:vAlign w:val="center"/>
          </w:tcPr>
          <w:p w:rsidR="00B536C4" w:rsidRDefault="00CC45D2">
            <w:r>
              <w:rPr>
                <w:bCs/>
                <w:color w:val="000000"/>
                <w:sz w:val="24"/>
              </w:rPr>
              <w:t>1.</w:t>
            </w:r>
            <w:r>
              <w:rPr>
                <w:bCs/>
                <w:color w:val="000000"/>
                <w:sz w:val="24"/>
              </w:rPr>
              <w:t>业绩比较基准</w:t>
            </w:r>
            <w:r>
              <w:rPr>
                <w:bCs/>
                <w:color w:val="000000"/>
                <w:sz w:val="24"/>
              </w:rPr>
              <w:t>(</w:t>
            </w:r>
            <w:r>
              <w:rPr>
                <w:bCs/>
                <w:color w:val="000000"/>
                <w:sz w:val="24"/>
              </w:rPr>
              <w:t>附注</w:t>
            </w:r>
            <w:r>
              <w:rPr>
                <w:bCs/>
                <w:color w:val="000000"/>
                <w:sz w:val="24"/>
              </w:rPr>
              <w:t>7.4.1)</w:t>
            </w:r>
            <w:r>
              <w:rPr>
                <w:bCs/>
                <w:color w:val="000000"/>
                <w:sz w:val="24"/>
              </w:rPr>
              <w:t>上升</w:t>
            </w:r>
            <w:r>
              <w:rPr>
                <w:bCs/>
                <w:color w:val="000000"/>
                <w:sz w:val="24"/>
              </w:rPr>
              <w:t>5%</w:t>
            </w:r>
          </w:p>
        </w:tc>
        <w:tc>
          <w:tcPr>
            <w:tcW w:w="2126" w:type="dxa"/>
            <w:vAlign w:val="center"/>
          </w:tcPr>
          <w:p w:rsidR="00B536C4" w:rsidRDefault="00CC45D2">
            <w:pPr>
              <w:jc w:val="right"/>
            </w:pPr>
            <w:r>
              <w:rPr>
                <w:bCs/>
                <w:color w:val="000000"/>
                <w:sz w:val="24"/>
              </w:rPr>
              <w:t>增加约</w:t>
            </w:r>
            <w:r>
              <w:rPr>
                <w:bCs/>
                <w:color w:val="000000"/>
                <w:sz w:val="24"/>
              </w:rPr>
              <w:t>61</w:t>
            </w:r>
          </w:p>
        </w:tc>
        <w:tc>
          <w:tcPr>
            <w:tcW w:w="2126" w:type="dxa"/>
            <w:vAlign w:val="center"/>
          </w:tcPr>
          <w:p w:rsidR="00B536C4" w:rsidRDefault="00CC45D2">
            <w:pPr>
              <w:jc w:val="right"/>
            </w:pPr>
            <w:r>
              <w:rPr>
                <w:bCs/>
                <w:color w:val="000000"/>
                <w:sz w:val="24"/>
              </w:rPr>
              <w:t>增加约</w:t>
            </w:r>
            <w:r>
              <w:rPr>
                <w:bCs/>
                <w:color w:val="000000"/>
                <w:sz w:val="24"/>
              </w:rPr>
              <w:t>68</w:t>
            </w:r>
          </w:p>
        </w:tc>
      </w:tr>
      <w:tr w:rsidR="00B536C4">
        <w:tc>
          <w:tcPr>
            <w:tcW w:w="851" w:type="dxa"/>
            <w:vMerge/>
          </w:tcPr>
          <w:p w:rsidR="00B536C4" w:rsidRDefault="00B536C4"/>
        </w:tc>
        <w:tc>
          <w:tcPr>
            <w:tcW w:w="3969" w:type="dxa"/>
            <w:vAlign w:val="center"/>
          </w:tcPr>
          <w:p w:rsidR="00B536C4" w:rsidRDefault="00CC45D2">
            <w:r>
              <w:rPr>
                <w:bCs/>
                <w:color w:val="000000"/>
                <w:sz w:val="24"/>
              </w:rPr>
              <w:t>2.</w:t>
            </w:r>
            <w:r>
              <w:rPr>
                <w:bCs/>
                <w:color w:val="000000"/>
                <w:sz w:val="24"/>
              </w:rPr>
              <w:t>业绩比较基准</w:t>
            </w:r>
            <w:r>
              <w:rPr>
                <w:bCs/>
                <w:color w:val="000000"/>
                <w:sz w:val="24"/>
              </w:rPr>
              <w:t>(</w:t>
            </w:r>
            <w:r>
              <w:rPr>
                <w:bCs/>
                <w:color w:val="000000"/>
                <w:sz w:val="24"/>
              </w:rPr>
              <w:t>附注</w:t>
            </w:r>
            <w:r>
              <w:rPr>
                <w:bCs/>
                <w:color w:val="000000"/>
                <w:sz w:val="24"/>
              </w:rPr>
              <w:t>7.4.1)</w:t>
            </w:r>
            <w:r>
              <w:rPr>
                <w:bCs/>
                <w:color w:val="000000"/>
                <w:sz w:val="24"/>
              </w:rPr>
              <w:t>下降</w:t>
            </w:r>
            <w:r>
              <w:rPr>
                <w:bCs/>
                <w:color w:val="000000"/>
                <w:sz w:val="24"/>
              </w:rPr>
              <w:t>5%</w:t>
            </w:r>
          </w:p>
        </w:tc>
        <w:tc>
          <w:tcPr>
            <w:tcW w:w="2126" w:type="dxa"/>
            <w:vAlign w:val="center"/>
          </w:tcPr>
          <w:p w:rsidR="00B536C4" w:rsidRDefault="00CC45D2">
            <w:pPr>
              <w:jc w:val="right"/>
            </w:pPr>
            <w:r>
              <w:rPr>
                <w:bCs/>
                <w:color w:val="000000"/>
                <w:sz w:val="24"/>
              </w:rPr>
              <w:t>减少约</w:t>
            </w:r>
            <w:r>
              <w:rPr>
                <w:bCs/>
                <w:color w:val="000000"/>
                <w:sz w:val="24"/>
              </w:rPr>
              <w:t>61</w:t>
            </w:r>
          </w:p>
        </w:tc>
        <w:tc>
          <w:tcPr>
            <w:tcW w:w="2126" w:type="dxa"/>
            <w:vAlign w:val="center"/>
          </w:tcPr>
          <w:p w:rsidR="00B536C4" w:rsidRDefault="00CC45D2">
            <w:pPr>
              <w:jc w:val="right"/>
            </w:pPr>
            <w:r>
              <w:rPr>
                <w:bCs/>
                <w:color w:val="000000"/>
                <w:sz w:val="24"/>
              </w:rPr>
              <w:t>减少约</w:t>
            </w:r>
            <w:r>
              <w:rPr>
                <w:bCs/>
                <w:color w:val="000000"/>
                <w:sz w:val="24"/>
              </w:rPr>
              <w:t>68</w:t>
            </w:r>
          </w:p>
        </w:tc>
      </w:tr>
    </w:tbl>
    <w:p w:rsidR="00222A97" w:rsidRDefault="00222A97" w:rsidP="00E53CFC">
      <w:pPr>
        <w:spacing w:before="29" w:line="288" w:lineRule="auto"/>
        <w:rPr>
          <w:b/>
          <w:bCs/>
          <w:color w:val="000000"/>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7.4.14</w:t>
      </w:r>
      <w:r w:rsidR="002D0B5F" w:rsidRPr="00E53CFC">
        <w:rPr>
          <w:rFonts w:hint="eastAsia"/>
          <w:b/>
          <w:bCs/>
          <w:color w:val="000000"/>
          <w:kern w:val="0"/>
          <w:sz w:val="24"/>
        </w:rPr>
        <w:t xml:space="preserve"> </w:t>
      </w:r>
      <w:r w:rsidRPr="00E53CFC">
        <w:rPr>
          <w:rFonts w:hint="eastAsia"/>
          <w:b/>
          <w:bCs/>
          <w:color w:val="000000"/>
          <w:kern w:val="0"/>
          <w:sz w:val="24"/>
        </w:rPr>
        <w:t>有助于理解和分析会计报表需要说明的其他事项</w:t>
      </w:r>
    </w:p>
    <w:p w:rsidR="00B536C4" w:rsidRDefault="00CC45D2">
      <w:pPr>
        <w:tabs>
          <w:tab w:val="left" w:pos="426"/>
        </w:tabs>
        <w:spacing w:before="29" w:line="288" w:lineRule="auto"/>
        <w:ind w:firstLineChars="200" w:firstLine="480"/>
        <w:rPr>
          <w:kern w:val="0"/>
          <w:sz w:val="24"/>
        </w:rPr>
      </w:pPr>
      <w:r>
        <w:rPr>
          <w:kern w:val="0"/>
          <w:sz w:val="24"/>
        </w:rPr>
        <w:t xml:space="preserve">(1) </w:t>
      </w:r>
      <w:r>
        <w:rPr>
          <w:kern w:val="0"/>
          <w:sz w:val="24"/>
        </w:rPr>
        <w:t>公允价值</w:t>
      </w:r>
    </w:p>
    <w:p w:rsidR="00B536C4" w:rsidRDefault="00CC45D2">
      <w:pPr>
        <w:tabs>
          <w:tab w:val="left" w:pos="426"/>
        </w:tabs>
        <w:spacing w:before="29" w:line="288" w:lineRule="auto"/>
        <w:ind w:firstLineChars="200" w:firstLine="480"/>
        <w:rPr>
          <w:kern w:val="0"/>
          <w:sz w:val="24"/>
        </w:rPr>
      </w:pPr>
      <w:r>
        <w:rPr>
          <w:kern w:val="0"/>
          <w:sz w:val="24"/>
        </w:rPr>
        <w:t xml:space="preserve">(a) </w:t>
      </w:r>
      <w:r>
        <w:rPr>
          <w:kern w:val="0"/>
          <w:sz w:val="24"/>
        </w:rPr>
        <w:t>金融工具公允价值计量的方法</w:t>
      </w:r>
    </w:p>
    <w:p w:rsidR="00B536C4" w:rsidRDefault="00CC45D2">
      <w:pPr>
        <w:tabs>
          <w:tab w:val="left" w:pos="426"/>
        </w:tabs>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B536C4" w:rsidRDefault="00CC45D2">
      <w:pPr>
        <w:tabs>
          <w:tab w:val="left" w:pos="426"/>
        </w:tabs>
        <w:spacing w:before="29" w:line="288" w:lineRule="auto"/>
        <w:ind w:firstLineChars="200" w:firstLine="480"/>
        <w:rPr>
          <w:kern w:val="0"/>
          <w:sz w:val="24"/>
        </w:rPr>
      </w:pPr>
      <w:r>
        <w:rPr>
          <w:kern w:val="0"/>
          <w:sz w:val="24"/>
        </w:rPr>
        <w:t>第一层次：相同资产或负债在活跃市场上未经调整的报价。</w:t>
      </w:r>
    </w:p>
    <w:p w:rsidR="00B536C4" w:rsidRDefault="00CC45D2">
      <w:pPr>
        <w:tabs>
          <w:tab w:val="left" w:pos="426"/>
        </w:tabs>
        <w:spacing w:before="29" w:line="288" w:lineRule="auto"/>
        <w:ind w:firstLineChars="200" w:firstLine="480"/>
        <w:rPr>
          <w:kern w:val="0"/>
          <w:sz w:val="24"/>
        </w:rPr>
      </w:pPr>
      <w:r>
        <w:rPr>
          <w:kern w:val="0"/>
          <w:sz w:val="24"/>
        </w:rPr>
        <w:t>第二层次：除第一层次输入</w:t>
      </w:r>
      <w:proofErr w:type="gramStart"/>
      <w:r>
        <w:rPr>
          <w:kern w:val="0"/>
          <w:sz w:val="24"/>
        </w:rPr>
        <w:t>值外相关</w:t>
      </w:r>
      <w:proofErr w:type="gramEnd"/>
      <w:r>
        <w:rPr>
          <w:kern w:val="0"/>
          <w:sz w:val="24"/>
        </w:rPr>
        <w:t>资产或负债直接或</w:t>
      </w:r>
      <w:proofErr w:type="gramStart"/>
      <w:r>
        <w:rPr>
          <w:kern w:val="0"/>
          <w:sz w:val="24"/>
        </w:rPr>
        <w:t>间接可</w:t>
      </w:r>
      <w:proofErr w:type="gramEnd"/>
      <w:r>
        <w:rPr>
          <w:kern w:val="0"/>
          <w:sz w:val="24"/>
        </w:rPr>
        <w:t>观察的输入值。</w:t>
      </w:r>
    </w:p>
    <w:p w:rsidR="00B536C4" w:rsidRDefault="00CC45D2">
      <w:pPr>
        <w:tabs>
          <w:tab w:val="left" w:pos="426"/>
        </w:tabs>
        <w:spacing w:before="29" w:line="288" w:lineRule="auto"/>
        <w:ind w:firstLineChars="200" w:firstLine="480"/>
        <w:rPr>
          <w:kern w:val="0"/>
          <w:sz w:val="24"/>
        </w:rPr>
      </w:pPr>
      <w:r>
        <w:rPr>
          <w:kern w:val="0"/>
          <w:sz w:val="24"/>
        </w:rPr>
        <w:t>第三层次：相关资产或负债的不可观察输入值。</w:t>
      </w:r>
    </w:p>
    <w:p w:rsidR="00B536C4" w:rsidRDefault="00CC45D2">
      <w:pPr>
        <w:tabs>
          <w:tab w:val="left" w:pos="426"/>
        </w:tabs>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B536C4" w:rsidRDefault="00CC45D2">
      <w:pPr>
        <w:tabs>
          <w:tab w:val="left" w:pos="426"/>
        </w:tabs>
        <w:spacing w:before="29" w:line="288" w:lineRule="auto"/>
        <w:ind w:firstLineChars="200" w:firstLine="480"/>
        <w:rPr>
          <w:kern w:val="0"/>
          <w:sz w:val="24"/>
        </w:rPr>
      </w:pPr>
      <w:r>
        <w:rPr>
          <w:kern w:val="0"/>
          <w:sz w:val="24"/>
        </w:rPr>
        <w:lastRenderedPageBreak/>
        <w:t xml:space="preserve">(i) </w:t>
      </w:r>
      <w:r>
        <w:rPr>
          <w:kern w:val="0"/>
          <w:sz w:val="24"/>
        </w:rPr>
        <w:t>各层次金融工具公允价值</w:t>
      </w:r>
    </w:p>
    <w:p w:rsidR="00B536C4" w:rsidRDefault="00CC45D2">
      <w:pPr>
        <w:tabs>
          <w:tab w:val="left" w:pos="426"/>
        </w:tabs>
        <w:spacing w:before="29" w:line="288" w:lineRule="auto"/>
        <w:ind w:firstLineChars="200" w:firstLine="480"/>
        <w:rPr>
          <w:kern w:val="0"/>
          <w:sz w:val="24"/>
        </w:rPr>
      </w:pPr>
      <w:r>
        <w:rPr>
          <w:kern w:val="0"/>
          <w:sz w:val="24"/>
        </w:rPr>
        <w:t>于</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26,641,411.59</w:t>
      </w:r>
      <w:r>
        <w:rPr>
          <w:kern w:val="0"/>
          <w:sz w:val="24"/>
        </w:rPr>
        <w:t>元，</w:t>
      </w:r>
      <w:proofErr w:type="gramStart"/>
      <w:r>
        <w:rPr>
          <w:kern w:val="0"/>
          <w:sz w:val="24"/>
        </w:rPr>
        <w:t>无属于</w:t>
      </w:r>
      <w:proofErr w:type="gramEnd"/>
      <w:r>
        <w:rPr>
          <w:kern w:val="0"/>
          <w:sz w:val="24"/>
        </w:rPr>
        <w:t>第二层次和第三层次的余额</w:t>
      </w:r>
      <w:r>
        <w:rPr>
          <w:kern w:val="0"/>
          <w:sz w:val="24"/>
        </w:rPr>
        <w:t>(2015</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22,007,259.12</w:t>
      </w:r>
      <w:r>
        <w:rPr>
          <w:kern w:val="0"/>
          <w:sz w:val="24"/>
        </w:rPr>
        <w:t>元，无第二层次和第三层次</w:t>
      </w:r>
      <w:r>
        <w:rPr>
          <w:kern w:val="0"/>
          <w:sz w:val="24"/>
        </w:rPr>
        <w:t>)</w:t>
      </w:r>
      <w:r>
        <w:rPr>
          <w:kern w:val="0"/>
          <w:sz w:val="24"/>
        </w:rPr>
        <w:t>。</w:t>
      </w:r>
    </w:p>
    <w:p w:rsidR="00B536C4" w:rsidRDefault="00CC45D2">
      <w:pPr>
        <w:tabs>
          <w:tab w:val="left" w:pos="426"/>
        </w:tabs>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B536C4" w:rsidRDefault="00CC45D2">
      <w:pPr>
        <w:tabs>
          <w:tab w:val="left" w:pos="426"/>
        </w:tabs>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w:t>
      </w:r>
      <w:proofErr w:type="gramStart"/>
      <w:r>
        <w:rPr>
          <w:kern w:val="0"/>
          <w:sz w:val="24"/>
        </w:rPr>
        <w:t>停牌日</w:t>
      </w:r>
      <w:proofErr w:type="gramEnd"/>
      <w:r>
        <w:rPr>
          <w:kern w:val="0"/>
          <w:sz w:val="24"/>
        </w:rPr>
        <w:t>至交易恢复活跃日期间、交易</w:t>
      </w:r>
      <w:proofErr w:type="gramStart"/>
      <w:r>
        <w:rPr>
          <w:kern w:val="0"/>
          <w:sz w:val="24"/>
        </w:rPr>
        <w:t>不</w:t>
      </w:r>
      <w:proofErr w:type="gramEnd"/>
      <w:r>
        <w:rPr>
          <w:kern w:val="0"/>
          <w:sz w:val="24"/>
        </w:rPr>
        <w:t>活跃期间及限售期间将相关股票和债券的公允价值列入第一层次；并根据估值调整中采用的不可观察输入</w:t>
      </w:r>
      <w:proofErr w:type="gramStart"/>
      <w:r>
        <w:rPr>
          <w:kern w:val="0"/>
          <w:sz w:val="24"/>
        </w:rPr>
        <w:t>值对于</w:t>
      </w:r>
      <w:proofErr w:type="gramEnd"/>
      <w:r>
        <w:rPr>
          <w:kern w:val="0"/>
          <w:sz w:val="24"/>
        </w:rPr>
        <w:t>公允价值的影响程度，确定相关股票和债券公允价值应属第二层次还是第三层次。</w:t>
      </w:r>
    </w:p>
    <w:p w:rsidR="00B536C4" w:rsidRDefault="00CC45D2">
      <w:pPr>
        <w:tabs>
          <w:tab w:val="left" w:pos="426"/>
        </w:tabs>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B536C4" w:rsidRDefault="00CC45D2">
      <w:pPr>
        <w:tabs>
          <w:tab w:val="left" w:pos="426"/>
        </w:tabs>
        <w:spacing w:before="29" w:line="288" w:lineRule="auto"/>
        <w:ind w:firstLineChars="200" w:firstLine="480"/>
        <w:rPr>
          <w:kern w:val="0"/>
          <w:sz w:val="24"/>
        </w:rPr>
      </w:pPr>
      <w:r>
        <w:rPr>
          <w:kern w:val="0"/>
          <w:sz w:val="24"/>
        </w:rPr>
        <w:t>无。</w:t>
      </w:r>
    </w:p>
    <w:p w:rsidR="00B536C4" w:rsidRDefault="00CC45D2">
      <w:pPr>
        <w:tabs>
          <w:tab w:val="left" w:pos="426"/>
        </w:tabs>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B536C4" w:rsidRDefault="00CC45D2">
      <w:pPr>
        <w:tabs>
          <w:tab w:val="left" w:pos="426"/>
        </w:tabs>
        <w:spacing w:before="29" w:line="288" w:lineRule="auto"/>
        <w:ind w:firstLineChars="200" w:firstLine="480"/>
        <w:rPr>
          <w:kern w:val="0"/>
          <w:sz w:val="24"/>
        </w:rPr>
      </w:pPr>
      <w:r>
        <w:rPr>
          <w:kern w:val="0"/>
          <w:sz w:val="24"/>
        </w:rPr>
        <w:t>于</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(2015</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B536C4" w:rsidRDefault="00CC45D2">
      <w:pPr>
        <w:tabs>
          <w:tab w:val="left" w:pos="426"/>
        </w:tabs>
        <w:spacing w:before="29" w:line="288" w:lineRule="auto"/>
        <w:ind w:firstLineChars="200" w:firstLine="480"/>
        <w:rPr>
          <w:kern w:val="0"/>
          <w:sz w:val="24"/>
        </w:rPr>
      </w:pPr>
      <w:r>
        <w:rPr>
          <w:kern w:val="0"/>
          <w:sz w:val="24"/>
        </w:rPr>
        <w:t xml:space="preserve">(d) </w:t>
      </w:r>
      <w:r>
        <w:rPr>
          <w:kern w:val="0"/>
          <w:sz w:val="24"/>
        </w:rPr>
        <w:t>不以公允价值计量的金融工具</w:t>
      </w:r>
    </w:p>
    <w:p w:rsidR="00B536C4" w:rsidRDefault="00CC45D2">
      <w:pPr>
        <w:tabs>
          <w:tab w:val="left" w:pos="426"/>
        </w:tabs>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7B62FA" w:rsidRDefault="007B62FA" w:rsidP="00632CB8">
      <w:pPr>
        <w:tabs>
          <w:tab w:val="left" w:pos="426"/>
        </w:tabs>
        <w:spacing w:before="29" w:line="288" w:lineRule="auto"/>
        <w:ind w:firstLineChars="200" w:firstLine="480"/>
        <w:rPr>
          <w:kern w:val="0"/>
          <w:sz w:val="24"/>
        </w:rPr>
      </w:pPr>
      <w:r w:rsidRPr="00632CB8">
        <w:rPr>
          <w:kern w:val="0"/>
          <w:sz w:val="24"/>
        </w:rPr>
        <w:t xml:space="preserve">(2) </w:t>
      </w:r>
      <w:r w:rsidRPr="00632CB8">
        <w:rPr>
          <w:kern w:val="0"/>
          <w:sz w:val="24"/>
        </w:rPr>
        <w:t>除公允价值外，截至资产负债表日本基金无需要说明的其他重要事项。</w:t>
      </w:r>
    </w:p>
    <w:p w:rsidR="00523D80" w:rsidRPr="00632CB8" w:rsidRDefault="00523D80" w:rsidP="00632CB8">
      <w:pPr>
        <w:tabs>
          <w:tab w:val="left" w:pos="426"/>
        </w:tabs>
        <w:spacing w:before="29" w:line="288" w:lineRule="auto"/>
        <w:ind w:firstLineChars="200" w:firstLine="480"/>
        <w:rPr>
          <w:kern w:val="0"/>
          <w:sz w:val="24"/>
        </w:rPr>
      </w:pPr>
    </w:p>
    <w:p w:rsidR="007B62FA" w:rsidRDefault="007B62FA" w:rsidP="000C7A13">
      <w:pPr>
        <w:pStyle w:val="1"/>
        <w:keepNext/>
        <w:keepLines/>
        <w:widowControl w:val="0"/>
        <w:spacing w:beforeLines="100" w:before="312" w:afterLines="100" w:after="312" w:line="288" w:lineRule="auto"/>
        <w:jc w:val="center"/>
        <w:rPr>
          <w:b/>
          <w:bCs/>
          <w:szCs w:val="24"/>
          <w:lang w:val="en-US"/>
        </w:rPr>
      </w:pPr>
      <w:bookmarkStart w:id="299" w:name="_Toc225498272"/>
      <w:bookmarkStart w:id="300" w:name="_Toc352255995"/>
      <w:bookmarkStart w:id="301" w:name="_Toc352256063"/>
      <w:bookmarkStart w:id="302" w:name="_Toc352331241"/>
      <w:bookmarkStart w:id="303" w:name="_Toc362424019"/>
      <w:bookmarkStart w:id="304" w:name="_Toc478411441"/>
      <w:r w:rsidRPr="00FF450B">
        <w:rPr>
          <w:rFonts w:hint="eastAsia"/>
          <w:b/>
          <w:bCs/>
          <w:szCs w:val="24"/>
          <w:lang w:val="en-US"/>
        </w:rPr>
        <w:t>§</w:t>
      </w:r>
      <w:r w:rsidRPr="00FF450B">
        <w:rPr>
          <w:b/>
          <w:bCs/>
          <w:szCs w:val="24"/>
          <w:lang w:val="en-US"/>
        </w:rPr>
        <w:t>8</w:t>
      </w:r>
      <w:r w:rsidR="001822F7" w:rsidRPr="00FF450B">
        <w:rPr>
          <w:rFonts w:hint="eastAsia"/>
          <w:b/>
          <w:bCs/>
          <w:szCs w:val="24"/>
          <w:lang w:val="en-US"/>
        </w:rPr>
        <w:t xml:space="preserve"> </w:t>
      </w:r>
      <w:r w:rsidR="003E5E48" w:rsidRPr="00FF450B">
        <w:rPr>
          <w:rFonts w:hint="eastAsia"/>
          <w:b/>
          <w:bCs/>
          <w:szCs w:val="24"/>
          <w:lang w:val="en-US"/>
        </w:rPr>
        <w:t xml:space="preserve"> </w:t>
      </w:r>
      <w:r w:rsidRPr="00FF450B">
        <w:rPr>
          <w:rFonts w:hint="eastAsia"/>
          <w:b/>
          <w:bCs/>
          <w:szCs w:val="24"/>
          <w:lang w:val="en-US"/>
        </w:rPr>
        <w:t>投资组合报告</w:t>
      </w:r>
      <w:bookmarkEnd w:id="299"/>
      <w:bookmarkEnd w:id="300"/>
      <w:bookmarkEnd w:id="301"/>
      <w:bookmarkEnd w:id="302"/>
      <w:bookmarkEnd w:id="303"/>
      <w:bookmarkEnd w:id="304"/>
    </w:p>
    <w:p w:rsidR="00FC649E" w:rsidRPr="00FC649E" w:rsidRDefault="00FC649E" w:rsidP="00FC649E"/>
    <w:p w:rsidR="007B62FA" w:rsidRPr="00FF450B" w:rsidRDefault="007B62FA" w:rsidP="00FF450B">
      <w:pPr>
        <w:pStyle w:val="20"/>
        <w:spacing w:before="29" w:after="0" w:line="288" w:lineRule="auto"/>
        <w:rPr>
          <w:rFonts w:ascii="Times New Roman" w:hAnsi="Times New Roman"/>
          <w:color w:val="000000"/>
          <w:szCs w:val="24"/>
        </w:rPr>
      </w:pPr>
      <w:bookmarkStart w:id="305" w:name="_Toc225498273"/>
      <w:bookmarkStart w:id="306" w:name="_Toc352255996"/>
      <w:bookmarkStart w:id="307" w:name="_Toc352256064"/>
      <w:bookmarkStart w:id="308" w:name="_Toc352331242"/>
      <w:bookmarkStart w:id="309" w:name="_Toc362424020"/>
      <w:bookmarkStart w:id="310" w:name="_Toc478411442"/>
      <w:r w:rsidRPr="00FF450B">
        <w:rPr>
          <w:rFonts w:ascii="Times New Roman" w:hAnsi="Times New Roman"/>
          <w:color w:val="000000"/>
          <w:szCs w:val="24"/>
        </w:rPr>
        <w:t>8.1</w:t>
      </w:r>
      <w:r w:rsidR="002D0B5F" w:rsidRPr="00FF450B">
        <w:rPr>
          <w:rFonts w:ascii="Times New Roman" w:hAnsi="Times New Roman" w:hint="eastAsia"/>
          <w:color w:val="000000"/>
          <w:szCs w:val="24"/>
        </w:rPr>
        <w:t xml:space="preserve"> </w:t>
      </w:r>
      <w:r w:rsidRPr="00FF450B">
        <w:rPr>
          <w:rFonts w:ascii="Times New Roman" w:hAnsi="Times New Roman" w:hint="eastAsia"/>
          <w:color w:val="000000"/>
          <w:szCs w:val="24"/>
        </w:rPr>
        <w:t>期末基金资产组合情况</w:t>
      </w:r>
      <w:bookmarkEnd w:id="305"/>
      <w:bookmarkEnd w:id="306"/>
      <w:bookmarkEnd w:id="307"/>
      <w:bookmarkEnd w:id="308"/>
      <w:bookmarkEnd w:id="309"/>
      <w:bookmarkEnd w:id="310"/>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
        <w:gridCol w:w="3474"/>
        <w:gridCol w:w="2560"/>
        <w:gridCol w:w="2011"/>
      </w:tblGrid>
      <w:tr w:rsidR="007B62FA" w:rsidRPr="00D0372D" w:rsidTr="009211EF">
        <w:tc>
          <w:tcPr>
            <w:tcW w:w="938"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序号</w:t>
            </w:r>
          </w:p>
        </w:tc>
        <w:tc>
          <w:tcPr>
            <w:tcW w:w="3420"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项目</w:t>
            </w:r>
          </w:p>
        </w:tc>
        <w:tc>
          <w:tcPr>
            <w:tcW w:w="2520"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金额</w:t>
            </w:r>
          </w:p>
        </w:tc>
        <w:tc>
          <w:tcPr>
            <w:tcW w:w="1980"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占基金总资产的比例（</w:t>
            </w:r>
            <w:r w:rsidRPr="00F83B5E">
              <w:rPr>
                <w:color w:val="000000"/>
                <w:sz w:val="24"/>
              </w:rPr>
              <w:t>%</w:t>
            </w:r>
            <w:r w:rsidRPr="00F83B5E">
              <w:rPr>
                <w:rFonts w:hint="eastAsia"/>
                <w:color w:val="000000"/>
                <w:sz w:val="24"/>
              </w:rPr>
              <w:t>）</w:t>
            </w:r>
          </w:p>
        </w:tc>
      </w:tr>
      <w:tr w:rsidR="007B62FA" w:rsidRPr="00D0372D" w:rsidTr="009211EF">
        <w:tc>
          <w:tcPr>
            <w:tcW w:w="938" w:type="dxa"/>
            <w:vAlign w:val="center"/>
          </w:tcPr>
          <w:p w:rsidR="007B62FA" w:rsidRPr="00DE689F" w:rsidRDefault="007B62FA" w:rsidP="00DE689F">
            <w:pPr>
              <w:spacing w:before="29" w:line="288" w:lineRule="auto"/>
              <w:jc w:val="center"/>
              <w:rPr>
                <w:sz w:val="24"/>
              </w:rPr>
            </w:pPr>
            <w:r w:rsidRPr="00DE689F">
              <w:rPr>
                <w:sz w:val="24"/>
              </w:rPr>
              <w:t>1</w:t>
            </w:r>
          </w:p>
        </w:tc>
        <w:tc>
          <w:tcPr>
            <w:tcW w:w="3420" w:type="dxa"/>
            <w:vAlign w:val="center"/>
          </w:tcPr>
          <w:p w:rsidR="007B62FA" w:rsidRPr="00DE689F" w:rsidRDefault="007B62FA" w:rsidP="00417F87">
            <w:pPr>
              <w:spacing w:line="360" w:lineRule="auto"/>
              <w:ind w:leftChars="50" w:left="105"/>
              <w:rPr>
                <w:sz w:val="24"/>
              </w:rPr>
            </w:pPr>
            <w:r w:rsidRPr="00DE689F">
              <w:rPr>
                <w:rFonts w:hint="eastAsia"/>
                <w:sz w:val="24"/>
              </w:rPr>
              <w:t>权益投资</w:t>
            </w:r>
          </w:p>
        </w:tc>
        <w:tc>
          <w:tcPr>
            <w:tcW w:w="2520" w:type="dxa"/>
            <w:vAlign w:val="bottom"/>
          </w:tcPr>
          <w:p w:rsidR="007B62FA" w:rsidRPr="0044666E" w:rsidRDefault="007B62FA" w:rsidP="0044666E">
            <w:pPr>
              <w:spacing w:before="29" w:line="288" w:lineRule="auto"/>
              <w:jc w:val="right"/>
              <w:rPr>
                <w:sz w:val="24"/>
              </w:rPr>
            </w:pPr>
            <w:r w:rsidRPr="0044666E">
              <w:rPr>
                <w:sz w:val="24"/>
              </w:rPr>
              <w:t>26,641,411.59</w:t>
            </w:r>
          </w:p>
        </w:tc>
        <w:tc>
          <w:tcPr>
            <w:tcW w:w="1980" w:type="dxa"/>
            <w:vAlign w:val="bottom"/>
          </w:tcPr>
          <w:p w:rsidR="007B62FA" w:rsidRPr="0044666E" w:rsidRDefault="007B62FA" w:rsidP="0044666E">
            <w:pPr>
              <w:spacing w:before="29" w:line="288" w:lineRule="auto"/>
              <w:jc w:val="right"/>
              <w:rPr>
                <w:sz w:val="24"/>
              </w:rPr>
            </w:pPr>
            <w:r w:rsidRPr="0044666E">
              <w:rPr>
                <w:sz w:val="24"/>
              </w:rPr>
              <w:t>66.77</w:t>
            </w:r>
          </w:p>
        </w:tc>
      </w:tr>
      <w:tr w:rsidR="007B62FA" w:rsidRPr="00D0372D" w:rsidTr="009211EF">
        <w:tc>
          <w:tcPr>
            <w:tcW w:w="938" w:type="dxa"/>
            <w:vAlign w:val="center"/>
          </w:tcPr>
          <w:p w:rsidR="007B62FA" w:rsidRPr="00DE689F" w:rsidRDefault="007B62FA" w:rsidP="00DE689F">
            <w:pPr>
              <w:spacing w:before="29" w:line="288" w:lineRule="auto"/>
              <w:jc w:val="center"/>
              <w:rPr>
                <w:sz w:val="24"/>
              </w:rPr>
            </w:pPr>
          </w:p>
        </w:tc>
        <w:tc>
          <w:tcPr>
            <w:tcW w:w="3420" w:type="dxa"/>
            <w:vAlign w:val="center"/>
          </w:tcPr>
          <w:p w:rsidR="007B62FA" w:rsidRPr="00DE689F" w:rsidRDefault="007B62FA" w:rsidP="00DE689F">
            <w:pPr>
              <w:spacing w:before="29" w:line="288" w:lineRule="auto"/>
              <w:ind w:leftChars="50" w:left="105"/>
              <w:rPr>
                <w:sz w:val="24"/>
              </w:rPr>
            </w:pPr>
            <w:r w:rsidRPr="00DE689F">
              <w:rPr>
                <w:rFonts w:hint="eastAsia"/>
                <w:sz w:val="24"/>
              </w:rPr>
              <w:t>其中：普通股</w:t>
            </w:r>
          </w:p>
        </w:tc>
        <w:tc>
          <w:tcPr>
            <w:tcW w:w="2520" w:type="dxa"/>
            <w:vAlign w:val="bottom"/>
          </w:tcPr>
          <w:p w:rsidR="007B62FA" w:rsidRPr="0044666E" w:rsidRDefault="007B62FA" w:rsidP="0044666E">
            <w:pPr>
              <w:spacing w:before="29" w:line="288" w:lineRule="auto"/>
              <w:jc w:val="right"/>
              <w:rPr>
                <w:sz w:val="24"/>
              </w:rPr>
            </w:pPr>
            <w:r w:rsidRPr="0044666E">
              <w:rPr>
                <w:sz w:val="24"/>
              </w:rPr>
              <w:t>26,641,411.59</w:t>
            </w:r>
          </w:p>
        </w:tc>
        <w:tc>
          <w:tcPr>
            <w:tcW w:w="1980" w:type="dxa"/>
            <w:vAlign w:val="bottom"/>
          </w:tcPr>
          <w:p w:rsidR="007B62FA" w:rsidRPr="0044666E" w:rsidRDefault="007B62FA" w:rsidP="0044666E">
            <w:pPr>
              <w:spacing w:before="29" w:line="288" w:lineRule="auto"/>
              <w:jc w:val="right"/>
              <w:rPr>
                <w:sz w:val="24"/>
              </w:rPr>
            </w:pPr>
            <w:r w:rsidRPr="0044666E">
              <w:rPr>
                <w:sz w:val="24"/>
              </w:rPr>
              <w:t>66.77</w:t>
            </w:r>
          </w:p>
        </w:tc>
      </w:tr>
      <w:tr w:rsidR="007B62FA" w:rsidRPr="00D0372D" w:rsidTr="009211EF">
        <w:tc>
          <w:tcPr>
            <w:tcW w:w="938" w:type="dxa"/>
            <w:vAlign w:val="center"/>
          </w:tcPr>
          <w:p w:rsidR="007B62FA" w:rsidRPr="00DE689F" w:rsidRDefault="007B62FA" w:rsidP="00DE689F">
            <w:pPr>
              <w:spacing w:before="29" w:line="288" w:lineRule="auto"/>
              <w:jc w:val="center"/>
              <w:rPr>
                <w:sz w:val="24"/>
              </w:rPr>
            </w:pPr>
          </w:p>
        </w:tc>
        <w:tc>
          <w:tcPr>
            <w:tcW w:w="3420" w:type="dxa"/>
            <w:vAlign w:val="center"/>
          </w:tcPr>
          <w:p w:rsidR="007B62FA" w:rsidRPr="00DE689F" w:rsidRDefault="007B62FA" w:rsidP="000C7A13">
            <w:pPr>
              <w:spacing w:before="29" w:line="288" w:lineRule="auto"/>
              <w:ind w:leftChars="50" w:left="105" w:firstLineChars="300" w:firstLine="720"/>
              <w:rPr>
                <w:sz w:val="24"/>
              </w:rPr>
            </w:pPr>
            <w:r w:rsidRPr="00DE689F">
              <w:rPr>
                <w:rFonts w:hint="eastAsia"/>
                <w:sz w:val="24"/>
              </w:rPr>
              <w:t>存托凭证</w:t>
            </w:r>
          </w:p>
        </w:tc>
        <w:tc>
          <w:tcPr>
            <w:tcW w:w="2520" w:type="dxa"/>
            <w:vAlign w:val="bottom"/>
          </w:tcPr>
          <w:p w:rsidR="007B62FA" w:rsidRPr="0044666E" w:rsidRDefault="007B62FA" w:rsidP="0044666E">
            <w:pPr>
              <w:spacing w:before="29" w:line="288" w:lineRule="auto"/>
              <w:jc w:val="right"/>
              <w:rPr>
                <w:sz w:val="24"/>
              </w:rPr>
            </w:pPr>
            <w:r w:rsidRPr="0044666E">
              <w:rPr>
                <w:sz w:val="24"/>
              </w:rPr>
              <w:t>-</w:t>
            </w:r>
          </w:p>
        </w:tc>
        <w:tc>
          <w:tcPr>
            <w:tcW w:w="1980" w:type="dxa"/>
            <w:vAlign w:val="bottom"/>
          </w:tcPr>
          <w:p w:rsidR="007B62FA" w:rsidRPr="0044666E" w:rsidRDefault="007B62FA"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0C7A13">
            <w:pPr>
              <w:spacing w:before="29" w:line="288" w:lineRule="auto"/>
              <w:ind w:leftChars="8" w:left="17" w:firstLineChars="350" w:firstLine="840"/>
              <w:jc w:val="left"/>
              <w:rPr>
                <w:sz w:val="24"/>
              </w:rPr>
            </w:pPr>
            <w:r w:rsidRPr="00DE689F">
              <w:rPr>
                <w:rFonts w:hint="eastAsia"/>
                <w:sz w:val="24"/>
              </w:rPr>
              <w:t>优先股</w:t>
            </w:r>
          </w:p>
        </w:tc>
        <w:tc>
          <w:tcPr>
            <w:tcW w:w="2520" w:type="dxa"/>
            <w:vAlign w:val="center"/>
          </w:tcPr>
          <w:p w:rsidR="00831232" w:rsidRPr="0044666E" w:rsidRDefault="00831232" w:rsidP="0044666E">
            <w:pPr>
              <w:spacing w:before="29" w:line="288" w:lineRule="auto"/>
              <w:jc w:val="right"/>
              <w:rPr>
                <w:sz w:val="24"/>
              </w:rPr>
            </w:pPr>
            <w:r w:rsidRPr="0044666E">
              <w:rPr>
                <w:rFonts w:hint="eastAsia"/>
                <w:sz w:val="24"/>
              </w:rPr>
              <w:t>-</w:t>
            </w:r>
          </w:p>
        </w:tc>
        <w:tc>
          <w:tcPr>
            <w:tcW w:w="1980" w:type="dxa"/>
            <w:vAlign w:val="center"/>
          </w:tcPr>
          <w:p w:rsidR="00831232" w:rsidRPr="0044666E" w:rsidRDefault="00831232" w:rsidP="0044666E">
            <w:pPr>
              <w:spacing w:before="29" w:line="288" w:lineRule="auto"/>
              <w:jc w:val="right"/>
              <w:rPr>
                <w:sz w:val="24"/>
              </w:rPr>
            </w:pPr>
            <w:r w:rsidRPr="0044666E">
              <w:rPr>
                <w:rFonts w:hint="eastAsia"/>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0C7A13">
            <w:pPr>
              <w:spacing w:before="29" w:line="288" w:lineRule="auto"/>
              <w:ind w:leftChars="8" w:left="17" w:firstLineChars="350" w:firstLine="840"/>
              <w:jc w:val="left"/>
              <w:rPr>
                <w:sz w:val="24"/>
              </w:rPr>
            </w:pPr>
            <w:r w:rsidRPr="00DE689F">
              <w:rPr>
                <w:rFonts w:hint="eastAsia"/>
                <w:sz w:val="24"/>
              </w:rPr>
              <w:t>房地产信托</w:t>
            </w:r>
            <w:r w:rsidR="00B1057D" w:rsidRPr="00DE689F">
              <w:rPr>
                <w:rFonts w:hint="eastAsia"/>
                <w:sz w:val="24"/>
              </w:rPr>
              <w:t>凭证</w:t>
            </w:r>
          </w:p>
        </w:tc>
        <w:tc>
          <w:tcPr>
            <w:tcW w:w="2520" w:type="dxa"/>
            <w:vAlign w:val="center"/>
          </w:tcPr>
          <w:p w:rsidR="00831232" w:rsidRPr="0044666E" w:rsidRDefault="00831232" w:rsidP="0044666E">
            <w:pPr>
              <w:spacing w:before="29" w:line="288" w:lineRule="auto"/>
              <w:jc w:val="right"/>
              <w:rPr>
                <w:sz w:val="24"/>
              </w:rPr>
            </w:pPr>
            <w:r w:rsidRPr="0044666E">
              <w:rPr>
                <w:rFonts w:hint="eastAsia"/>
                <w:sz w:val="24"/>
              </w:rPr>
              <w:t>-</w:t>
            </w:r>
          </w:p>
        </w:tc>
        <w:tc>
          <w:tcPr>
            <w:tcW w:w="1980" w:type="dxa"/>
            <w:vAlign w:val="center"/>
          </w:tcPr>
          <w:p w:rsidR="00831232" w:rsidRPr="0044666E" w:rsidRDefault="00831232" w:rsidP="0044666E">
            <w:pPr>
              <w:spacing w:before="29" w:line="288" w:lineRule="auto"/>
              <w:jc w:val="right"/>
              <w:rPr>
                <w:sz w:val="24"/>
              </w:rPr>
            </w:pPr>
            <w:r w:rsidRPr="0044666E">
              <w:rPr>
                <w:rFonts w:hint="eastAsia"/>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2</w:t>
            </w:r>
          </w:p>
        </w:tc>
        <w:tc>
          <w:tcPr>
            <w:tcW w:w="3420" w:type="dxa"/>
            <w:vAlign w:val="center"/>
          </w:tcPr>
          <w:p w:rsidR="00831232" w:rsidRPr="00DE689F" w:rsidRDefault="00831232" w:rsidP="00DE689F">
            <w:pPr>
              <w:spacing w:before="29" w:line="288" w:lineRule="auto"/>
              <w:ind w:leftChars="49" w:left="103"/>
              <w:rPr>
                <w:sz w:val="24"/>
              </w:rPr>
            </w:pPr>
            <w:r w:rsidRPr="00DE689F">
              <w:rPr>
                <w:rFonts w:hint="eastAsia"/>
                <w:sz w:val="24"/>
              </w:rPr>
              <w:t>基金投资</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3</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固定收益投资</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其中：债券</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0C7A13">
            <w:pPr>
              <w:spacing w:before="29" w:line="288" w:lineRule="auto"/>
              <w:ind w:leftChars="50" w:left="105" w:firstLineChars="300" w:firstLine="720"/>
              <w:rPr>
                <w:sz w:val="24"/>
              </w:rPr>
            </w:pPr>
            <w:r w:rsidRPr="00DE689F">
              <w:rPr>
                <w:rFonts w:hint="eastAsia"/>
                <w:sz w:val="24"/>
              </w:rPr>
              <w:t>资产支持证券</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4</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金融衍生</w:t>
            </w:r>
            <w:proofErr w:type="gramStart"/>
            <w:r w:rsidRPr="00DE689F">
              <w:rPr>
                <w:rFonts w:hint="eastAsia"/>
                <w:sz w:val="24"/>
              </w:rPr>
              <w:t>品投资</w:t>
            </w:r>
            <w:proofErr w:type="gramEnd"/>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其中：远期</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期货</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期权</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权证</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5</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买入返售金融资产</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其中：买断式回购的买入返售金融资产</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6</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货币市场工具</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7</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银行存款和结算备付金合计</w:t>
            </w:r>
          </w:p>
        </w:tc>
        <w:tc>
          <w:tcPr>
            <w:tcW w:w="2520" w:type="dxa"/>
            <w:vAlign w:val="bottom"/>
          </w:tcPr>
          <w:p w:rsidR="00831232" w:rsidRPr="0044666E" w:rsidRDefault="00831232" w:rsidP="0044666E">
            <w:pPr>
              <w:spacing w:before="29" w:line="288" w:lineRule="auto"/>
              <w:jc w:val="right"/>
              <w:rPr>
                <w:sz w:val="24"/>
              </w:rPr>
            </w:pPr>
            <w:r w:rsidRPr="0044666E">
              <w:rPr>
                <w:sz w:val="24"/>
              </w:rPr>
              <w:t>13,228,900.55</w:t>
            </w:r>
          </w:p>
        </w:tc>
        <w:tc>
          <w:tcPr>
            <w:tcW w:w="1980" w:type="dxa"/>
            <w:vAlign w:val="bottom"/>
          </w:tcPr>
          <w:p w:rsidR="00831232" w:rsidRPr="0044666E" w:rsidRDefault="00831232" w:rsidP="0044666E">
            <w:pPr>
              <w:spacing w:before="29" w:line="288" w:lineRule="auto"/>
              <w:jc w:val="right"/>
              <w:rPr>
                <w:sz w:val="24"/>
              </w:rPr>
            </w:pPr>
            <w:r w:rsidRPr="0044666E">
              <w:rPr>
                <w:sz w:val="24"/>
              </w:rPr>
              <w:t>33.15</w:t>
            </w:r>
          </w:p>
        </w:tc>
      </w:tr>
      <w:tr w:rsidR="00692972" w:rsidRPr="0044666E" w:rsidTr="009211EF">
        <w:tc>
          <w:tcPr>
            <w:tcW w:w="938" w:type="dxa"/>
            <w:vAlign w:val="center"/>
          </w:tcPr>
          <w:p w:rsidR="00692972" w:rsidRPr="00DE689F" w:rsidRDefault="00692972" w:rsidP="00DE689F">
            <w:pPr>
              <w:spacing w:before="29" w:line="288" w:lineRule="auto"/>
              <w:jc w:val="center"/>
              <w:rPr>
                <w:sz w:val="24"/>
              </w:rPr>
            </w:pPr>
            <w:r w:rsidRPr="00DE689F">
              <w:rPr>
                <w:sz w:val="24"/>
              </w:rPr>
              <w:t>8</w:t>
            </w:r>
          </w:p>
        </w:tc>
        <w:tc>
          <w:tcPr>
            <w:tcW w:w="3420" w:type="dxa"/>
            <w:vAlign w:val="center"/>
          </w:tcPr>
          <w:p w:rsidR="00692972" w:rsidRPr="00DE689F" w:rsidRDefault="00692972" w:rsidP="00DE689F">
            <w:pPr>
              <w:spacing w:line="288" w:lineRule="auto"/>
              <w:ind w:leftChars="50" w:left="105"/>
              <w:rPr>
                <w:sz w:val="24"/>
              </w:rPr>
            </w:pPr>
            <w:r w:rsidRPr="00DE689F">
              <w:rPr>
                <w:rFonts w:hint="eastAsia"/>
                <w:sz w:val="24"/>
              </w:rPr>
              <w:t>其他各项资产</w:t>
            </w:r>
          </w:p>
        </w:tc>
        <w:tc>
          <w:tcPr>
            <w:tcW w:w="2520" w:type="dxa"/>
            <w:vAlign w:val="center"/>
          </w:tcPr>
          <w:p w:rsidR="00692972" w:rsidRPr="0044666E" w:rsidRDefault="00692972" w:rsidP="0044666E">
            <w:pPr>
              <w:spacing w:before="29" w:line="288" w:lineRule="auto"/>
              <w:jc w:val="right"/>
              <w:rPr>
                <w:sz w:val="24"/>
              </w:rPr>
            </w:pPr>
            <w:r w:rsidRPr="0044666E">
              <w:rPr>
                <w:sz w:val="24"/>
              </w:rPr>
              <w:t>31,391.72</w:t>
            </w:r>
          </w:p>
        </w:tc>
        <w:tc>
          <w:tcPr>
            <w:tcW w:w="1980" w:type="dxa"/>
            <w:vAlign w:val="center"/>
          </w:tcPr>
          <w:p w:rsidR="00692972" w:rsidRPr="0044666E" w:rsidRDefault="00692972" w:rsidP="0044666E">
            <w:pPr>
              <w:spacing w:before="29" w:line="288" w:lineRule="auto"/>
              <w:jc w:val="right"/>
              <w:rPr>
                <w:sz w:val="24"/>
              </w:rPr>
            </w:pPr>
            <w:r w:rsidRPr="0044666E">
              <w:rPr>
                <w:sz w:val="24"/>
              </w:rPr>
              <w:t>0.08</w:t>
            </w:r>
          </w:p>
        </w:tc>
      </w:tr>
      <w:tr w:rsidR="00692972" w:rsidRPr="0044666E" w:rsidTr="009211EF">
        <w:tc>
          <w:tcPr>
            <w:tcW w:w="938" w:type="dxa"/>
            <w:vAlign w:val="center"/>
          </w:tcPr>
          <w:p w:rsidR="00692972" w:rsidRPr="00DE689F" w:rsidRDefault="00692972" w:rsidP="00DE689F">
            <w:pPr>
              <w:spacing w:before="29" w:line="288" w:lineRule="auto"/>
              <w:jc w:val="center"/>
              <w:rPr>
                <w:sz w:val="24"/>
              </w:rPr>
            </w:pPr>
            <w:r w:rsidRPr="00DE689F">
              <w:rPr>
                <w:sz w:val="24"/>
              </w:rPr>
              <w:t>9</w:t>
            </w:r>
          </w:p>
        </w:tc>
        <w:tc>
          <w:tcPr>
            <w:tcW w:w="3420" w:type="dxa"/>
            <w:vAlign w:val="center"/>
          </w:tcPr>
          <w:p w:rsidR="00692972" w:rsidRPr="00DE689F" w:rsidRDefault="00692972" w:rsidP="00DE689F">
            <w:pPr>
              <w:spacing w:line="288" w:lineRule="auto"/>
              <w:ind w:leftChars="50" w:left="105"/>
              <w:rPr>
                <w:sz w:val="24"/>
              </w:rPr>
            </w:pPr>
            <w:r w:rsidRPr="00DE689F">
              <w:rPr>
                <w:rFonts w:hint="eastAsia"/>
                <w:sz w:val="24"/>
              </w:rPr>
              <w:t>合计</w:t>
            </w:r>
          </w:p>
        </w:tc>
        <w:tc>
          <w:tcPr>
            <w:tcW w:w="2520" w:type="dxa"/>
            <w:vAlign w:val="center"/>
          </w:tcPr>
          <w:p w:rsidR="00692972" w:rsidRPr="0044666E" w:rsidRDefault="00692972" w:rsidP="0044666E">
            <w:pPr>
              <w:spacing w:before="29" w:line="288" w:lineRule="auto"/>
              <w:jc w:val="right"/>
              <w:rPr>
                <w:sz w:val="24"/>
              </w:rPr>
            </w:pPr>
            <w:r w:rsidRPr="0044666E">
              <w:rPr>
                <w:sz w:val="24"/>
              </w:rPr>
              <w:t>39,901,703.86</w:t>
            </w:r>
          </w:p>
        </w:tc>
        <w:tc>
          <w:tcPr>
            <w:tcW w:w="1980" w:type="dxa"/>
            <w:vAlign w:val="center"/>
          </w:tcPr>
          <w:p w:rsidR="00692972" w:rsidRPr="0044666E" w:rsidRDefault="00692972" w:rsidP="0044666E">
            <w:pPr>
              <w:spacing w:before="29" w:line="288" w:lineRule="auto"/>
              <w:jc w:val="right"/>
              <w:rPr>
                <w:sz w:val="24"/>
              </w:rPr>
            </w:pPr>
            <w:r w:rsidRPr="0044666E">
              <w:rPr>
                <w:sz w:val="24"/>
              </w:rPr>
              <w:t>100.00</w:t>
            </w:r>
          </w:p>
        </w:tc>
      </w:tr>
    </w:tbl>
    <w:p w:rsidR="007B62FA" w:rsidRPr="00B57FC2" w:rsidRDefault="007B62FA" w:rsidP="004F0D41">
      <w:pPr>
        <w:spacing w:line="360" w:lineRule="auto"/>
        <w:jc w:val="left"/>
        <w:rPr>
          <w:kern w:val="0"/>
          <w:sz w:val="24"/>
        </w:rPr>
      </w:pPr>
      <w:r w:rsidRPr="00B57FC2">
        <w:rPr>
          <w:kern w:val="0"/>
          <w:sz w:val="24"/>
        </w:rPr>
        <w:t>注：本基金本报告期末未持有通过沪港通投资的股票。</w:t>
      </w:r>
    </w:p>
    <w:p w:rsidR="006E2565" w:rsidRDefault="006E2565" w:rsidP="004F0D41">
      <w:pPr>
        <w:spacing w:line="360" w:lineRule="auto"/>
        <w:jc w:val="left"/>
        <w:rPr>
          <w:rFonts w:ascii="宋体" w:hAnsi="宋体"/>
          <w:szCs w:val="21"/>
        </w:rPr>
      </w:pPr>
    </w:p>
    <w:p w:rsidR="007B62FA" w:rsidRPr="00D701B8" w:rsidRDefault="007B62FA" w:rsidP="00D701B8">
      <w:pPr>
        <w:pStyle w:val="20"/>
        <w:spacing w:before="29" w:after="0" w:line="288" w:lineRule="auto"/>
        <w:rPr>
          <w:rFonts w:ascii="Times New Roman" w:hAnsi="Times New Roman"/>
          <w:kern w:val="0"/>
          <w:szCs w:val="24"/>
        </w:rPr>
      </w:pPr>
      <w:bookmarkStart w:id="311" w:name="_Toc478411443"/>
      <w:r w:rsidRPr="00D701B8">
        <w:rPr>
          <w:rFonts w:ascii="Times New Roman" w:hAnsi="Times New Roman"/>
          <w:kern w:val="0"/>
          <w:szCs w:val="24"/>
        </w:rPr>
        <w:t>8.2</w:t>
      </w:r>
      <w:r w:rsidR="002D0B5F" w:rsidRPr="00D701B8">
        <w:rPr>
          <w:rFonts w:ascii="Times New Roman" w:hAnsi="Times New Roman" w:hint="eastAsia"/>
          <w:kern w:val="0"/>
          <w:szCs w:val="24"/>
        </w:rPr>
        <w:t xml:space="preserve"> </w:t>
      </w:r>
      <w:r w:rsidRPr="00D701B8">
        <w:rPr>
          <w:rFonts w:ascii="Times New Roman" w:hAnsi="Times New Roman" w:hint="eastAsia"/>
          <w:kern w:val="0"/>
          <w:szCs w:val="24"/>
        </w:rPr>
        <w:t>期末在各个国家（地区）证券市场的权益投资分布</w:t>
      </w:r>
      <w:bookmarkEnd w:id="311"/>
    </w:p>
    <w:p w:rsidR="00A15059" w:rsidRPr="00D0372D" w:rsidRDefault="00A15059" w:rsidP="00AD4493">
      <w:pPr>
        <w:autoSpaceDE w:val="0"/>
        <w:autoSpaceDN w:val="0"/>
        <w:adjustRightInd w:val="0"/>
        <w:spacing w:before="29" w:line="288" w:lineRule="auto"/>
        <w:ind w:left="15"/>
        <w:jc w:val="right"/>
        <w:rPr>
          <w:rFonts w:ascii="宋体" w:hAnsi="宋体"/>
          <w:color w:val="000000"/>
          <w:szCs w:val="21"/>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7B62FA" w:rsidRPr="00D0372D" w:rsidTr="00A62D6C">
        <w:tc>
          <w:tcPr>
            <w:tcW w:w="2074" w:type="dxa"/>
            <w:vAlign w:val="center"/>
          </w:tcPr>
          <w:p w:rsidR="007B62FA" w:rsidRPr="00D701B8" w:rsidRDefault="007B62FA" w:rsidP="00D701B8">
            <w:pPr>
              <w:spacing w:before="29" w:line="288" w:lineRule="auto"/>
              <w:jc w:val="center"/>
              <w:rPr>
                <w:color w:val="000000"/>
                <w:sz w:val="24"/>
              </w:rPr>
            </w:pPr>
            <w:r w:rsidRPr="00D701B8">
              <w:rPr>
                <w:rFonts w:hint="eastAsia"/>
                <w:color w:val="000000"/>
                <w:sz w:val="24"/>
              </w:rPr>
              <w:t>国家（地区）</w:t>
            </w:r>
          </w:p>
        </w:tc>
        <w:tc>
          <w:tcPr>
            <w:tcW w:w="3598" w:type="dxa"/>
            <w:vAlign w:val="center"/>
          </w:tcPr>
          <w:p w:rsidR="007B62FA" w:rsidRPr="00D701B8" w:rsidRDefault="007B62FA" w:rsidP="00D701B8">
            <w:pPr>
              <w:spacing w:before="29" w:line="288" w:lineRule="auto"/>
              <w:jc w:val="center"/>
              <w:rPr>
                <w:color w:val="000000"/>
                <w:sz w:val="24"/>
              </w:rPr>
            </w:pPr>
            <w:r w:rsidRPr="00D701B8">
              <w:rPr>
                <w:rFonts w:hint="eastAsia"/>
                <w:color w:val="000000"/>
                <w:sz w:val="24"/>
              </w:rPr>
              <w:t>公允价值</w:t>
            </w:r>
          </w:p>
        </w:tc>
        <w:tc>
          <w:tcPr>
            <w:tcW w:w="3684" w:type="dxa"/>
            <w:vAlign w:val="center"/>
          </w:tcPr>
          <w:p w:rsidR="007B62FA" w:rsidRPr="00D701B8" w:rsidRDefault="007B62FA" w:rsidP="00D701B8">
            <w:pPr>
              <w:spacing w:before="29" w:line="288" w:lineRule="auto"/>
              <w:jc w:val="center"/>
              <w:rPr>
                <w:color w:val="000000"/>
                <w:sz w:val="24"/>
              </w:rPr>
            </w:pPr>
            <w:r w:rsidRPr="00D701B8">
              <w:rPr>
                <w:rFonts w:hint="eastAsia"/>
                <w:color w:val="000000"/>
                <w:sz w:val="24"/>
              </w:rPr>
              <w:t>占基金资产净值比例（％）</w:t>
            </w:r>
          </w:p>
        </w:tc>
      </w:tr>
      <w:tr w:rsidR="00B536C4">
        <w:tc>
          <w:tcPr>
            <w:tcW w:w="1998" w:type="dxa"/>
            <w:vAlign w:val="center"/>
          </w:tcPr>
          <w:p w:rsidR="00B536C4" w:rsidRDefault="00CC45D2">
            <w:pPr>
              <w:jc w:val="left"/>
            </w:pPr>
            <w:r>
              <w:rPr>
                <w:color w:val="000000"/>
                <w:sz w:val="24"/>
              </w:rPr>
              <w:t>香港</w:t>
            </w:r>
          </w:p>
        </w:tc>
        <w:tc>
          <w:tcPr>
            <w:tcW w:w="3459" w:type="dxa"/>
            <w:vAlign w:val="center"/>
          </w:tcPr>
          <w:p w:rsidR="00B536C4" w:rsidRDefault="00CC45D2">
            <w:pPr>
              <w:jc w:val="right"/>
            </w:pPr>
            <w:r>
              <w:rPr>
                <w:color w:val="000000"/>
                <w:sz w:val="24"/>
              </w:rPr>
              <w:t>26,641,411.59</w:t>
            </w:r>
          </w:p>
        </w:tc>
        <w:tc>
          <w:tcPr>
            <w:tcW w:w="3541" w:type="dxa"/>
            <w:vAlign w:val="center"/>
          </w:tcPr>
          <w:p w:rsidR="00B536C4" w:rsidRDefault="00CC45D2">
            <w:pPr>
              <w:jc w:val="right"/>
            </w:pPr>
            <w:r>
              <w:rPr>
                <w:color w:val="000000"/>
                <w:sz w:val="24"/>
              </w:rPr>
              <w:t>67.73</w:t>
            </w:r>
          </w:p>
        </w:tc>
      </w:tr>
      <w:tr w:rsidR="007B62FA" w:rsidRPr="00D0372D" w:rsidTr="00A62D6C">
        <w:tc>
          <w:tcPr>
            <w:tcW w:w="2074" w:type="dxa"/>
            <w:vAlign w:val="center"/>
          </w:tcPr>
          <w:p w:rsidR="007B62FA" w:rsidRPr="00D701B8" w:rsidRDefault="007B62FA" w:rsidP="00D701B8">
            <w:pPr>
              <w:pStyle w:val="ae"/>
              <w:spacing w:before="29" w:line="288" w:lineRule="auto"/>
              <w:rPr>
                <w:szCs w:val="24"/>
              </w:rPr>
            </w:pPr>
            <w:r w:rsidRPr="00D701B8">
              <w:rPr>
                <w:rFonts w:hint="eastAsia"/>
                <w:szCs w:val="24"/>
              </w:rPr>
              <w:t>合计</w:t>
            </w:r>
          </w:p>
        </w:tc>
        <w:tc>
          <w:tcPr>
            <w:tcW w:w="3598" w:type="dxa"/>
            <w:vAlign w:val="center"/>
          </w:tcPr>
          <w:p w:rsidR="007B62FA" w:rsidRPr="00D701B8" w:rsidRDefault="007B62FA" w:rsidP="00D701B8">
            <w:pPr>
              <w:spacing w:before="29" w:line="288" w:lineRule="auto"/>
              <w:jc w:val="right"/>
              <w:rPr>
                <w:sz w:val="24"/>
              </w:rPr>
            </w:pPr>
            <w:r w:rsidRPr="00D701B8">
              <w:rPr>
                <w:sz w:val="24"/>
              </w:rPr>
              <w:t>26,641,411.59</w:t>
            </w:r>
          </w:p>
        </w:tc>
        <w:tc>
          <w:tcPr>
            <w:tcW w:w="3684" w:type="dxa"/>
            <w:vAlign w:val="center"/>
          </w:tcPr>
          <w:p w:rsidR="007B62FA" w:rsidRPr="00D701B8" w:rsidRDefault="007B62FA" w:rsidP="00D701B8">
            <w:pPr>
              <w:spacing w:before="29" w:line="288" w:lineRule="auto"/>
              <w:jc w:val="right"/>
              <w:rPr>
                <w:sz w:val="24"/>
              </w:rPr>
            </w:pPr>
            <w:r w:rsidRPr="00D701B8">
              <w:rPr>
                <w:sz w:val="24"/>
              </w:rPr>
              <w:t>67.73</w:t>
            </w:r>
          </w:p>
        </w:tc>
      </w:tr>
    </w:tbl>
    <w:p w:rsidR="00B536C4" w:rsidRDefault="00CC45D2">
      <w:pPr>
        <w:spacing w:line="360" w:lineRule="auto"/>
        <w:jc w:val="left"/>
        <w:rPr>
          <w:kern w:val="0"/>
          <w:sz w:val="24"/>
        </w:rPr>
      </w:pPr>
      <w:r>
        <w:rPr>
          <w:kern w:val="0"/>
          <w:sz w:val="24"/>
        </w:rPr>
        <w:t>注：</w:t>
      </w:r>
      <w:r>
        <w:rPr>
          <w:kern w:val="0"/>
          <w:sz w:val="24"/>
        </w:rPr>
        <w:t>1</w:t>
      </w:r>
      <w:r>
        <w:rPr>
          <w:kern w:val="0"/>
          <w:sz w:val="24"/>
        </w:rPr>
        <w:t>、国家（地区）类别根据其所在的证券交易所确定；</w:t>
      </w:r>
    </w:p>
    <w:p w:rsidR="007B62FA" w:rsidRPr="00D701B8" w:rsidRDefault="007B62FA" w:rsidP="004F0D41">
      <w:pPr>
        <w:spacing w:line="360" w:lineRule="auto"/>
        <w:jc w:val="left"/>
        <w:rPr>
          <w:kern w:val="0"/>
          <w:sz w:val="24"/>
        </w:rPr>
      </w:pPr>
      <w:r w:rsidRPr="00D701B8">
        <w:rPr>
          <w:kern w:val="0"/>
          <w:sz w:val="24"/>
        </w:rPr>
        <w:t xml:space="preserve">    2</w:t>
      </w:r>
      <w:r w:rsidRPr="00D701B8">
        <w:rPr>
          <w:kern w:val="0"/>
          <w:sz w:val="24"/>
        </w:rPr>
        <w:t>、</w:t>
      </w:r>
      <w:r w:rsidRPr="00D701B8">
        <w:rPr>
          <w:kern w:val="0"/>
          <w:sz w:val="24"/>
        </w:rPr>
        <w:t>ADR</w:t>
      </w:r>
      <w:r w:rsidRPr="00D701B8">
        <w:rPr>
          <w:kern w:val="0"/>
          <w:sz w:val="24"/>
        </w:rPr>
        <w:t>、</w:t>
      </w:r>
      <w:r w:rsidRPr="00D701B8">
        <w:rPr>
          <w:kern w:val="0"/>
          <w:sz w:val="24"/>
        </w:rPr>
        <w:t>GDR</w:t>
      </w:r>
      <w:r w:rsidRPr="00D701B8">
        <w:rPr>
          <w:kern w:val="0"/>
          <w:sz w:val="24"/>
        </w:rPr>
        <w:t>按照存托凭证本身挂牌的证券交易所确定。</w:t>
      </w:r>
    </w:p>
    <w:p w:rsidR="007B62FA" w:rsidRPr="00D0372D" w:rsidRDefault="007B62FA" w:rsidP="00417F87">
      <w:pPr>
        <w:spacing w:line="360" w:lineRule="auto"/>
        <w:rPr>
          <w:rFonts w:ascii="宋体" w:hAnsi="宋体"/>
          <w:color w:val="000000"/>
          <w:szCs w:val="21"/>
        </w:rPr>
      </w:pPr>
    </w:p>
    <w:p w:rsidR="007B62FA" w:rsidRPr="000510A2" w:rsidRDefault="007B62FA" w:rsidP="000510A2">
      <w:pPr>
        <w:pStyle w:val="20"/>
        <w:spacing w:before="29" w:after="0" w:line="288" w:lineRule="auto"/>
        <w:rPr>
          <w:rFonts w:ascii="Times New Roman" w:hAnsi="Times New Roman"/>
          <w:kern w:val="0"/>
          <w:szCs w:val="24"/>
        </w:rPr>
      </w:pPr>
      <w:bookmarkStart w:id="312" w:name="_Toc224618378"/>
      <w:bookmarkStart w:id="313" w:name="_Toc248233025"/>
      <w:bookmarkStart w:id="314" w:name="_Toc249790557"/>
      <w:bookmarkStart w:id="315" w:name="_Toc286929758"/>
      <w:bookmarkStart w:id="316" w:name="_Toc352255997"/>
      <w:bookmarkStart w:id="317" w:name="_Toc352256065"/>
      <w:bookmarkStart w:id="318" w:name="_Toc352331243"/>
      <w:bookmarkStart w:id="319" w:name="_Toc362424021"/>
      <w:bookmarkStart w:id="320" w:name="_Toc478411444"/>
      <w:r w:rsidRPr="000510A2">
        <w:rPr>
          <w:rFonts w:ascii="Times New Roman" w:hAnsi="Times New Roman"/>
          <w:kern w:val="0"/>
          <w:szCs w:val="24"/>
        </w:rPr>
        <w:t>8.3</w:t>
      </w:r>
      <w:r w:rsidR="002D0B5F" w:rsidRPr="000510A2">
        <w:rPr>
          <w:rFonts w:ascii="Times New Roman" w:hAnsi="Times New Roman" w:hint="eastAsia"/>
          <w:kern w:val="0"/>
          <w:szCs w:val="24"/>
        </w:rPr>
        <w:t xml:space="preserve"> </w:t>
      </w:r>
      <w:r w:rsidRPr="000510A2">
        <w:rPr>
          <w:rFonts w:ascii="Times New Roman" w:hAnsi="Times New Roman" w:hint="eastAsia"/>
          <w:kern w:val="0"/>
          <w:szCs w:val="24"/>
        </w:rPr>
        <w:t>期末按行业分类的权益投资组合</w:t>
      </w:r>
      <w:bookmarkEnd w:id="312"/>
      <w:bookmarkEnd w:id="313"/>
      <w:bookmarkEnd w:id="314"/>
      <w:bookmarkEnd w:id="315"/>
      <w:bookmarkEnd w:id="316"/>
      <w:bookmarkEnd w:id="317"/>
      <w:bookmarkEnd w:id="318"/>
      <w:bookmarkEnd w:id="319"/>
      <w:bookmarkEnd w:id="320"/>
    </w:p>
    <w:p w:rsidR="00B83412" w:rsidRPr="00AD4493" w:rsidRDefault="00B83412"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561"/>
        <w:gridCol w:w="3000"/>
        <w:gridCol w:w="2437"/>
      </w:tblGrid>
      <w:tr w:rsidR="00B83412" w:rsidRPr="00D0372D" w:rsidTr="00E85CA1">
        <w:trPr>
          <w:trHeight w:val="285"/>
        </w:trPr>
        <w:tc>
          <w:tcPr>
            <w:tcW w:w="3703" w:type="dxa"/>
            <w:tcMar>
              <w:top w:w="15" w:type="dxa"/>
              <w:left w:w="15" w:type="dxa"/>
              <w:bottom w:w="0" w:type="dxa"/>
              <w:right w:w="15" w:type="dxa"/>
            </w:tcMar>
            <w:vAlign w:val="center"/>
          </w:tcPr>
          <w:p w:rsidR="00B83412" w:rsidRPr="000510A2" w:rsidRDefault="00B83412" w:rsidP="000510A2">
            <w:pPr>
              <w:spacing w:before="29" w:line="288" w:lineRule="auto"/>
              <w:jc w:val="center"/>
              <w:rPr>
                <w:color w:val="000000"/>
                <w:sz w:val="24"/>
              </w:rPr>
            </w:pPr>
            <w:r w:rsidRPr="000510A2">
              <w:rPr>
                <w:rFonts w:hint="eastAsia"/>
                <w:color w:val="000000"/>
                <w:sz w:val="24"/>
              </w:rPr>
              <w:t>行业类别</w:t>
            </w:r>
          </w:p>
        </w:tc>
        <w:tc>
          <w:tcPr>
            <w:tcW w:w="3119" w:type="dxa"/>
            <w:tcMar>
              <w:top w:w="15" w:type="dxa"/>
              <w:left w:w="15" w:type="dxa"/>
              <w:bottom w:w="0" w:type="dxa"/>
              <w:right w:w="15" w:type="dxa"/>
            </w:tcMar>
            <w:vAlign w:val="center"/>
          </w:tcPr>
          <w:p w:rsidR="00B83412" w:rsidRPr="000510A2" w:rsidRDefault="00B83412" w:rsidP="000510A2">
            <w:pPr>
              <w:spacing w:before="29" w:line="288" w:lineRule="auto"/>
              <w:jc w:val="center"/>
              <w:rPr>
                <w:color w:val="000000"/>
                <w:sz w:val="24"/>
              </w:rPr>
            </w:pPr>
            <w:r w:rsidRPr="000510A2">
              <w:rPr>
                <w:rFonts w:hint="eastAsia"/>
                <w:color w:val="000000"/>
                <w:sz w:val="24"/>
              </w:rPr>
              <w:t>公允价值</w:t>
            </w:r>
          </w:p>
        </w:tc>
        <w:tc>
          <w:tcPr>
            <w:tcW w:w="2534" w:type="dxa"/>
            <w:tcMar>
              <w:top w:w="15" w:type="dxa"/>
              <w:left w:w="15" w:type="dxa"/>
              <w:bottom w:w="0" w:type="dxa"/>
              <w:right w:w="15" w:type="dxa"/>
            </w:tcMar>
            <w:vAlign w:val="center"/>
          </w:tcPr>
          <w:p w:rsidR="00B83412" w:rsidRPr="000510A2" w:rsidRDefault="00B83412" w:rsidP="000510A2">
            <w:pPr>
              <w:spacing w:before="29" w:line="288" w:lineRule="auto"/>
              <w:jc w:val="center"/>
              <w:rPr>
                <w:color w:val="000000"/>
                <w:sz w:val="24"/>
              </w:rPr>
            </w:pPr>
            <w:r w:rsidRPr="000510A2">
              <w:rPr>
                <w:rFonts w:hint="eastAsia"/>
                <w:color w:val="000000"/>
                <w:sz w:val="24"/>
              </w:rPr>
              <w:t>占基金资产净值比例（％）</w:t>
            </w:r>
          </w:p>
        </w:tc>
      </w:tr>
      <w:tr w:rsidR="00B536C4">
        <w:tc>
          <w:tcPr>
            <w:tcW w:w="3561" w:type="dxa"/>
            <w:vAlign w:val="center"/>
          </w:tcPr>
          <w:p w:rsidR="00B536C4" w:rsidRDefault="00CC45D2">
            <w:pPr>
              <w:jc w:val="left"/>
            </w:pPr>
            <w:r>
              <w:rPr>
                <w:sz w:val="24"/>
              </w:rPr>
              <w:t>材料</w:t>
            </w:r>
          </w:p>
        </w:tc>
        <w:tc>
          <w:tcPr>
            <w:tcW w:w="3000" w:type="dxa"/>
            <w:vAlign w:val="center"/>
          </w:tcPr>
          <w:p w:rsidR="00B536C4" w:rsidRDefault="00CC45D2">
            <w:pPr>
              <w:jc w:val="right"/>
            </w:pPr>
            <w:r>
              <w:rPr>
                <w:sz w:val="24"/>
              </w:rPr>
              <w:t>8,427,367.49</w:t>
            </w:r>
          </w:p>
        </w:tc>
        <w:tc>
          <w:tcPr>
            <w:tcW w:w="2437" w:type="dxa"/>
            <w:vAlign w:val="center"/>
          </w:tcPr>
          <w:p w:rsidR="00B536C4" w:rsidRDefault="00CC45D2">
            <w:pPr>
              <w:jc w:val="right"/>
            </w:pPr>
            <w:r>
              <w:rPr>
                <w:sz w:val="24"/>
              </w:rPr>
              <w:t>21.42</w:t>
            </w:r>
          </w:p>
        </w:tc>
      </w:tr>
      <w:tr w:rsidR="00B536C4">
        <w:tc>
          <w:tcPr>
            <w:tcW w:w="3561" w:type="dxa"/>
            <w:vAlign w:val="center"/>
          </w:tcPr>
          <w:p w:rsidR="00B536C4" w:rsidRDefault="00CC45D2">
            <w:pPr>
              <w:jc w:val="left"/>
            </w:pPr>
            <w:r>
              <w:rPr>
                <w:sz w:val="24"/>
              </w:rPr>
              <w:t>工业</w:t>
            </w:r>
          </w:p>
        </w:tc>
        <w:tc>
          <w:tcPr>
            <w:tcW w:w="3000" w:type="dxa"/>
            <w:vAlign w:val="center"/>
          </w:tcPr>
          <w:p w:rsidR="00B536C4" w:rsidRDefault="00CC45D2">
            <w:pPr>
              <w:jc w:val="right"/>
            </w:pPr>
            <w:r>
              <w:rPr>
                <w:sz w:val="24"/>
              </w:rPr>
              <w:t>4,077,524.70</w:t>
            </w:r>
          </w:p>
        </w:tc>
        <w:tc>
          <w:tcPr>
            <w:tcW w:w="2437" w:type="dxa"/>
            <w:vAlign w:val="center"/>
          </w:tcPr>
          <w:p w:rsidR="00B536C4" w:rsidRDefault="00CC45D2">
            <w:pPr>
              <w:jc w:val="right"/>
            </w:pPr>
            <w:r>
              <w:rPr>
                <w:sz w:val="24"/>
              </w:rPr>
              <w:t>10.37</w:t>
            </w:r>
          </w:p>
        </w:tc>
      </w:tr>
      <w:tr w:rsidR="00B536C4">
        <w:tc>
          <w:tcPr>
            <w:tcW w:w="3561" w:type="dxa"/>
            <w:vAlign w:val="center"/>
          </w:tcPr>
          <w:p w:rsidR="00B536C4" w:rsidRDefault="00CC45D2">
            <w:pPr>
              <w:jc w:val="left"/>
            </w:pPr>
            <w:r>
              <w:rPr>
                <w:sz w:val="24"/>
              </w:rPr>
              <w:t>能源</w:t>
            </w:r>
          </w:p>
        </w:tc>
        <w:tc>
          <w:tcPr>
            <w:tcW w:w="3000" w:type="dxa"/>
            <w:vAlign w:val="center"/>
          </w:tcPr>
          <w:p w:rsidR="00B536C4" w:rsidRDefault="00CC45D2">
            <w:pPr>
              <w:jc w:val="right"/>
            </w:pPr>
            <w:r>
              <w:rPr>
                <w:sz w:val="24"/>
              </w:rPr>
              <w:t>3,839,007.04</w:t>
            </w:r>
          </w:p>
        </w:tc>
        <w:tc>
          <w:tcPr>
            <w:tcW w:w="2437" w:type="dxa"/>
            <w:vAlign w:val="center"/>
          </w:tcPr>
          <w:p w:rsidR="00B536C4" w:rsidRDefault="00CC45D2">
            <w:pPr>
              <w:jc w:val="right"/>
            </w:pPr>
            <w:r>
              <w:rPr>
                <w:sz w:val="24"/>
              </w:rPr>
              <w:t>9.76</w:t>
            </w:r>
          </w:p>
        </w:tc>
      </w:tr>
      <w:tr w:rsidR="00B536C4">
        <w:tc>
          <w:tcPr>
            <w:tcW w:w="3561" w:type="dxa"/>
            <w:vAlign w:val="center"/>
          </w:tcPr>
          <w:p w:rsidR="00B536C4" w:rsidRDefault="00CC45D2">
            <w:pPr>
              <w:jc w:val="left"/>
            </w:pPr>
            <w:r>
              <w:rPr>
                <w:sz w:val="24"/>
              </w:rPr>
              <w:t>非必需消费品</w:t>
            </w:r>
          </w:p>
        </w:tc>
        <w:tc>
          <w:tcPr>
            <w:tcW w:w="3000" w:type="dxa"/>
            <w:vAlign w:val="center"/>
          </w:tcPr>
          <w:p w:rsidR="00B536C4" w:rsidRDefault="00CC45D2">
            <w:pPr>
              <w:jc w:val="right"/>
            </w:pPr>
            <w:r>
              <w:rPr>
                <w:sz w:val="24"/>
              </w:rPr>
              <w:t>3,331,463.65</w:t>
            </w:r>
          </w:p>
        </w:tc>
        <w:tc>
          <w:tcPr>
            <w:tcW w:w="2437" w:type="dxa"/>
            <w:vAlign w:val="center"/>
          </w:tcPr>
          <w:p w:rsidR="00B536C4" w:rsidRDefault="00CC45D2">
            <w:pPr>
              <w:jc w:val="right"/>
            </w:pPr>
            <w:r>
              <w:rPr>
                <w:sz w:val="24"/>
              </w:rPr>
              <w:t>8.47</w:t>
            </w:r>
          </w:p>
        </w:tc>
      </w:tr>
      <w:tr w:rsidR="00B536C4">
        <w:tc>
          <w:tcPr>
            <w:tcW w:w="3561" w:type="dxa"/>
            <w:vAlign w:val="center"/>
          </w:tcPr>
          <w:p w:rsidR="00B536C4" w:rsidRDefault="00CC45D2">
            <w:pPr>
              <w:jc w:val="left"/>
            </w:pPr>
            <w:r>
              <w:rPr>
                <w:sz w:val="24"/>
              </w:rPr>
              <w:t>信息技术</w:t>
            </w:r>
          </w:p>
        </w:tc>
        <w:tc>
          <w:tcPr>
            <w:tcW w:w="3000" w:type="dxa"/>
            <w:vAlign w:val="center"/>
          </w:tcPr>
          <w:p w:rsidR="00B536C4" w:rsidRDefault="00CC45D2">
            <w:pPr>
              <w:jc w:val="right"/>
            </w:pPr>
            <w:r>
              <w:rPr>
                <w:sz w:val="24"/>
              </w:rPr>
              <w:t>2,239,176.24</w:t>
            </w:r>
          </w:p>
        </w:tc>
        <w:tc>
          <w:tcPr>
            <w:tcW w:w="2437" w:type="dxa"/>
            <w:vAlign w:val="center"/>
          </w:tcPr>
          <w:p w:rsidR="00B536C4" w:rsidRDefault="00CC45D2">
            <w:pPr>
              <w:jc w:val="right"/>
            </w:pPr>
            <w:r>
              <w:rPr>
                <w:sz w:val="24"/>
              </w:rPr>
              <w:t>5.69</w:t>
            </w:r>
          </w:p>
        </w:tc>
      </w:tr>
      <w:tr w:rsidR="00B536C4">
        <w:tc>
          <w:tcPr>
            <w:tcW w:w="3561" w:type="dxa"/>
            <w:vAlign w:val="center"/>
          </w:tcPr>
          <w:p w:rsidR="00B536C4" w:rsidRDefault="00CC45D2">
            <w:pPr>
              <w:jc w:val="left"/>
            </w:pPr>
            <w:r>
              <w:rPr>
                <w:sz w:val="24"/>
              </w:rPr>
              <w:t>金融</w:t>
            </w:r>
          </w:p>
        </w:tc>
        <w:tc>
          <w:tcPr>
            <w:tcW w:w="3000" w:type="dxa"/>
            <w:vAlign w:val="center"/>
          </w:tcPr>
          <w:p w:rsidR="00B536C4" w:rsidRDefault="00CC45D2">
            <w:pPr>
              <w:jc w:val="right"/>
            </w:pPr>
            <w:r>
              <w:rPr>
                <w:sz w:val="24"/>
              </w:rPr>
              <w:t>1,697,000.36</w:t>
            </w:r>
          </w:p>
        </w:tc>
        <w:tc>
          <w:tcPr>
            <w:tcW w:w="2437" w:type="dxa"/>
            <w:vAlign w:val="center"/>
          </w:tcPr>
          <w:p w:rsidR="00B536C4" w:rsidRDefault="00CC45D2">
            <w:pPr>
              <w:jc w:val="right"/>
            </w:pPr>
            <w:r>
              <w:rPr>
                <w:sz w:val="24"/>
              </w:rPr>
              <w:t>4.31</w:t>
            </w:r>
          </w:p>
        </w:tc>
      </w:tr>
      <w:tr w:rsidR="00B536C4">
        <w:tc>
          <w:tcPr>
            <w:tcW w:w="3561" w:type="dxa"/>
            <w:vAlign w:val="center"/>
          </w:tcPr>
          <w:p w:rsidR="00B536C4" w:rsidRDefault="00CC45D2">
            <w:pPr>
              <w:jc w:val="left"/>
            </w:pPr>
            <w:r>
              <w:rPr>
                <w:sz w:val="24"/>
              </w:rPr>
              <w:t>必需消费品</w:t>
            </w:r>
          </w:p>
        </w:tc>
        <w:tc>
          <w:tcPr>
            <w:tcW w:w="3000" w:type="dxa"/>
            <w:vAlign w:val="center"/>
          </w:tcPr>
          <w:p w:rsidR="00B536C4" w:rsidRDefault="00CC45D2">
            <w:pPr>
              <w:jc w:val="right"/>
            </w:pPr>
            <w:r>
              <w:rPr>
                <w:sz w:val="24"/>
              </w:rPr>
              <w:t>1,488,543.44</w:t>
            </w:r>
          </w:p>
        </w:tc>
        <w:tc>
          <w:tcPr>
            <w:tcW w:w="2437" w:type="dxa"/>
            <w:vAlign w:val="center"/>
          </w:tcPr>
          <w:p w:rsidR="00B536C4" w:rsidRDefault="00CC45D2">
            <w:pPr>
              <w:jc w:val="right"/>
            </w:pPr>
            <w:r>
              <w:rPr>
                <w:sz w:val="24"/>
              </w:rPr>
              <w:t>3.78</w:t>
            </w:r>
          </w:p>
        </w:tc>
      </w:tr>
      <w:tr w:rsidR="00B536C4">
        <w:tc>
          <w:tcPr>
            <w:tcW w:w="3561" w:type="dxa"/>
            <w:vAlign w:val="center"/>
          </w:tcPr>
          <w:p w:rsidR="00B536C4" w:rsidRDefault="00CC45D2">
            <w:pPr>
              <w:jc w:val="left"/>
            </w:pPr>
            <w:r>
              <w:rPr>
                <w:sz w:val="24"/>
              </w:rPr>
              <w:t>保健</w:t>
            </w:r>
          </w:p>
        </w:tc>
        <w:tc>
          <w:tcPr>
            <w:tcW w:w="3000" w:type="dxa"/>
            <w:vAlign w:val="center"/>
          </w:tcPr>
          <w:p w:rsidR="00B536C4" w:rsidRDefault="00CC45D2">
            <w:pPr>
              <w:jc w:val="right"/>
            </w:pPr>
            <w:r>
              <w:rPr>
                <w:sz w:val="24"/>
              </w:rPr>
              <w:t>1,111,173.79</w:t>
            </w:r>
          </w:p>
        </w:tc>
        <w:tc>
          <w:tcPr>
            <w:tcW w:w="2437" w:type="dxa"/>
            <w:vAlign w:val="center"/>
          </w:tcPr>
          <w:p w:rsidR="00B536C4" w:rsidRDefault="00CC45D2">
            <w:pPr>
              <w:jc w:val="right"/>
            </w:pPr>
            <w:r>
              <w:rPr>
                <w:sz w:val="24"/>
              </w:rPr>
              <w:t>2.82</w:t>
            </w:r>
          </w:p>
        </w:tc>
      </w:tr>
      <w:tr w:rsidR="00B536C4">
        <w:tc>
          <w:tcPr>
            <w:tcW w:w="3561" w:type="dxa"/>
            <w:vAlign w:val="center"/>
          </w:tcPr>
          <w:p w:rsidR="00B536C4" w:rsidRDefault="00CC45D2">
            <w:pPr>
              <w:jc w:val="left"/>
            </w:pPr>
            <w:r>
              <w:rPr>
                <w:sz w:val="24"/>
              </w:rPr>
              <w:t>公共事业</w:t>
            </w:r>
          </w:p>
        </w:tc>
        <w:tc>
          <w:tcPr>
            <w:tcW w:w="3000" w:type="dxa"/>
            <w:vAlign w:val="center"/>
          </w:tcPr>
          <w:p w:rsidR="00B536C4" w:rsidRDefault="00CC45D2">
            <w:pPr>
              <w:jc w:val="right"/>
            </w:pPr>
            <w:r>
              <w:rPr>
                <w:sz w:val="24"/>
              </w:rPr>
              <w:t>430,154.88</w:t>
            </w:r>
          </w:p>
        </w:tc>
        <w:tc>
          <w:tcPr>
            <w:tcW w:w="2437" w:type="dxa"/>
            <w:vAlign w:val="center"/>
          </w:tcPr>
          <w:p w:rsidR="00B536C4" w:rsidRDefault="00CC45D2">
            <w:pPr>
              <w:jc w:val="right"/>
            </w:pPr>
            <w:r>
              <w:rPr>
                <w:sz w:val="24"/>
              </w:rPr>
              <w:t>1.09</w:t>
            </w:r>
          </w:p>
        </w:tc>
      </w:tr>
      <w:tr w:rsidR="00B83412" w:rsidRPr="00D0372D" w:rsidTr="00E85CA1">
        <w:trPr>
          <w:trHeight w:val="285"/>
        </w:trPr>
        <w:tc>
          <w:tcPr>
            <w:tcW w:w="3703" w:type="dxa"/>
            <w:vAlign w:val="center"/>
          </w:tcPr>
          <w:p w:rsidR="00B83412" w:rsidRPr="000510A2" w:rsidRDefault="00B83412" w:rsidP="000510A2">
            <w:pPr>
              <w:pStyle w:val="ae"/>
              <w:spacing w:before="29" w:line="288" w:lineRule="auto"/>
              <w:rPr>
                <w:szCs w:val="24"/>
              </w:rPr>
            </w:pPr>
            <w:r w:rsidRPr="000510A2">
              <w:rPr>
                <w:rFonts w:hint="eastAsia"/>
                <w:szCs w:val="24"/>
              </w:rPr>
              <w:lastRenderedPageBreak/>
              <w:t>合计</w:t>
            </w:r>
          </w:p>
        </w:tc>
        <w:tc>
          <w:tcPr>
            <w:tcW w:w="3119" w:type="dxa"/>
            <w:vAlign w:val="center"/>
          </w:tcPr>
          <w:p w:rsidR="00B83412" w:rsidRPr="000510A2" w:rsidRDefault="00B83412" w:rsidP="000510A2">
            <w:pPr>
              <w:spacing w:before="29" w:line="288" w:lineRule="auto"/>
              <w:jc w:val="right"/>
              <w:rPr>
                <w:sz w:val="24"/>
              </w:rPr>
            </w:pPr>
            <w:r w:rsidRPr="000510A2">
              <w:rPr>
                <w:sz w:val="24"/>
              </w:rPr>
              <w:t>26,641,411.59</w:t>
            </w:r>
          </w:p>
        </w:tc>
        <w:tc>
          <w:tcPr>
            <w:tcW w:w="2534" w:type="dxa"/>
            <w:vAlign w:val="center"/>
          </w:tcPr>
          <w:p w:rsidR="00B83412" w:rsidRPr="000510A2" w:rsidRDefault="00B83412" w:rsidP="000510A2">
            <w:pPr>
              <w:spacing w:before="29" w:line="288" w:lineRule="auto"/>
              <w:jc w:val="right"/>
              <w:rPr>
                <w:sz w:val="24"/>
              </w:rPr>
            </w:pPr>
            <w:r w:rsidRPr="000510A2">
              <w:rPr>
                <w:sz w:val="24"/>
              </w:rPr>
              <w:t>67.73</w:t>
            </w:r>
          </w:p>
        </w:tc>
      </w:tr>
    </w:tbl>
    <w:p w:rsidR="00B83412" w:rsidRPr="00F64537" w:rsidRDefault="00B83412" w:rsidP="00B83412">
      <w:pPr>
        <w:spacing w:line="360" w:lineRule="auto"/>
        <w:jc w:val="left"/>
        <w:rPr>
          <w:kern w:val="0"/>
          <w:sz w:val="24"/>
        </w:rPr>
      </w:pPr>
      <w:r w:rsidRPr="00F64537">
        <w:rPr>
          <w:kern w:val="0"/>
          <w:sz w:val="24"/>
        </w:rPr>
        <w:t>注：以上分类采用全球行业分类标准（</w:t>
      </w:r>
      <w:r w:rsidRPr="00F64537">
        <w:rPr>
          <w:kern w:val="0"/>
          <w:sz w:val="24"/>
        </w:rPr>
        <w:t>GICS</w:t>
      </w:r>
      <w:r w:rsidRPr="00F64537">
        <w:rPr>
          <w:kern w:val="0"/>
          <w:sz w:val="24"/>
        </w:rPr>
        <w:t>）。</w:t>
      </w:r>
    </w:p>
    <w:p w:rsidR="00F64537" w:rsidRDefault="00F64537" w:rsidP="00B83412">
      <w:pPr>
        <w:spacing w:line="360" w:lineRule="auto"/>
        <w:jc w:val="left"/>
        <w:rPr>
          <w:rFonts w:ascii="宋体" w:hAnsi="宋体"/>
          <w:szCs w:val="21"/>
        </w:rPr>
      </w:pPr>
    </w:p>
    <w:p w:rsidR="007B62FA" w:rsidRPr="00C54B8F" w:rsidRDefault="007B62FA" w:rsidP="00C54B8F">
      <w:pPr>
        <w:pStyle w:val="20"/>
        <w:spacing w:before="29" w:after="0" w:line="288" w:lineRule="auto"/>
        <w:rPr>
          <w:rFonts w:ascii="Times New Roman" w:hAnsi="Times New Roman"/>
          <w:color w:val="000000"/>
          <w:szCs w:val="24"/>
        </w:rPr>
      </w:pPr>
      <w:bookmarkStart w:id="321" w:name="_Toc352255998"/>
      <w:bookmarkStart w:id="322" w:name="_Toc352256066"/>
      <w:bookmarkStart w:id="323" w:name="_Toc352331244"/>
      <w:bookmarkStart w:id="324" w:name="_Toc362424022"/>
      <w:bookmarkStart w:id="325" w:name="_Toc478411445"/>
      <w:r w:rsidRPr="00C54B8F">
        <w:rPr>
          <w:rFonts w:ascii="Times New Roman" w:hAnsi="Times New Roman"/>
          <w:color w:val="000000"/>
          <w:szCs w:val="24"/>
        </w:rPr>
        <w:t>8.4</w:t>
      </w:r>
      <w:r w:rsidR="002D0B5F" w:rsidRPr="00C54B8F">
        <w:rPr>
          <w:rFonts w:ascii="Times New Roman" w:hAnsi="Times New Roman" w:hint="eastAsia"/>
          <w:color w:val="000000"/>
          <w:szCs w:val="24"/>
        </w:rPr>
        <w:t xml:space="preserve"> </w:t>
      </w:r>
      <w:r w:rsidRPr="00C54B8F">
        <w:rPr>
          <w:rFonts w:ascii="Times New Roman" w:hAnsi="Times New Roman" w:hint="eastAsia"/>
          <w:color w:val="000000"/>
          <w:szCs w:val="24"/>
        </w:rPr>
        <w:t>期末按公允价值占基金资产净值比例大小排序的所有权益投资明细</w:t>
      </w:r>
      <w:bookmarkEnd w:id="321"/>
      <w:bookmarkEnd w:id="322"/>
      <w:bookmarkEnd w:id="323"/>
      <w:bookmarkEnd w:id="324"/>
      <w:bookmarkEnd w:id="325"/>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7B62FA" w:rsidRPr="00D0372D" w:rsidTr="00EE63A7">
        <w:trPr>
          <w:trHeight w:val="315"/>
        </w:trPr>
        <w:tc>
          <w:tcPr>
            <w:tcW w:w="678"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序号</w:t>
            </w:r>
          </w:p>
        </w:tc>
        <w:tc>
          <w:tcPr>
            <w:tcW w:w="90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公司名称</w:t>
            </w:r>
            <w:r w:rsidRPr="00C54B8F">
              <w:rPr>
                <w:color w:val="000000"/>
                <w:sz w:val="24"/>
              </w:rPr>
              <w:t xml:space="preserve"> (</w:t>
            </w:r>
            <w:r w:rsidRPr="00C54B8F">
              <w:rPr>
                <w:rFonts w:hint="eastAsia"/>
                <w:color w:val="000000"/>
                <w:sz w:val="24"/>
              </w:rPr>
              <w:t>英文</w:t>
            </w:r>
            <w:r w:rsidRPr="00C54B8F">
              <w:rPr>
                <w:color w:val="000000"/>
                <w:sz w:val="24"/>
              </w:rPr>
              <w:t>)</w:t>
            </w:r>
          </w:p>
        </w:tc>
        <w:tc>
          <w:tcPr>
            <w:tcW w:w="101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公司名称</w:t>
            </w:r>
            <w:r w:rsidRPr="00C54B8F">
              <w:rPr>
                <w:color w:val="000000"/>
                <w:sz w:val="24"/>
              </w:rPr>
              <w:t>(</w:t>
            </w:r>
            <w:r w:rsidRPr="00C54B8F">
              <w:rPr>
                <w:rFonts w:hint="eastAsia"/>
                <w:color w:val="000000"/>
                <w:sz w:val="24"/>
              </w:rPr>
              <w:t>中文</w:t>
            </w:r>
            <w:r w:rsidRPr="00C54B8F">
              <w:rPr>
                <w:color w:val="000000"/>
                <w:sz w:val="24"/>
              </w:rPr>
              <w:t>)</w:t>
            </w:r>
          </w:p>
        </w:tc>
        <w:tc>
          <w:tcPr>
            <w:tcW w:w="1184"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证券代码</w:t>
            </w:r>
          </w:p>
        </w:tc>
        <w:tc>
          <w:tcPr>
            <w:tcW w:w="847"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所在证券市场</w:t>
            </w:r>
          </w:p>
        </w:tc>
        <w:tc>
          <w:tcPr>
            <w:tcW w:w="102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所属国家</w:t>
            </w:r>
            <w:r w:rsidRPr="00C54B8F">
              <w:rPr>
                <w:color w:val="000000"/>
                <w:sz w:val="24"/>
              </w:rPr>
              <w:t>(</w:t>
            </w:r>
            <w:r w:rsidRPr="00C54B8F">
              <w:rPr>
                <w:rFonts w:hint="eastAsia"/>
                <w:color w:val="000000"/>
                <w:sz w:val="24"/>
              </w:rPr>
              <w:t>地区</w:t>
            </w:r>
            <w:r w:rsidRPr="00C54B8F">
              <w:rPr>
                <w:color w:val="000000"/>
                <w:sz w:val="24"/>
              </w:rPr>
              <w:t>)</w:t>
            </w:r>
          </w:p>
        </w:tc>
        <w:tc>
          <w:tcPr>
            <w:tcW w:w="101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数量（股）</w:t>
            </w:r>
          </w:p>
        </w:tc>
        <w:tc>
          <w:tcPr>
            <w:tcW w:w="1690"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公允价值</w:t>
            </w:r>
          </w:p>
        </w:tc>
        <w:tc>
          <w:tcPr>
            <w:tcW w:w="997"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占基金资产净值比例（％）</w:t>
            </w:r>
          </w:p>
        </w:tc>
      </w:tr>
      <w:tr w:rsidR="00B536C4">
        <w:tc>
          <w:tcPr>
            <w:tcW w:w="653" w:type="dxa"/>
            <w:vAlign w:val="center"/>
          </w:tcPr>
          <w:p w:rsidR="00B536C4" w:rsidRDefault="00CC45D2">
            <w:pPr>
              <w:jc w:val="center"/>
            </w:pPr>
            <w:r>
              <w:rPr>
                <w:sz w:val="24"/>
              </w:rPr>
              <w:t>1</w:t>
            </w:r>
          </w:p>
        </w:tc>
        <w:tc>
          <w:tcPr>
            <w:tcW w:w="871" w:type="dxa"/>
            <w:vAlign w:val="center"/>
          </w:tcPr>
          <w:p w:rsidR="00B536C4" w:rsidRDefault="00CC45D2">
            <w:pPr>
              <w:jc w:val="center"/>
            </w:pPr>
            <w:r>
              <w:rPr>
                <w:sz w:val="24"/>
              </w:rPr>
              <w:t>China Molybdenum Co.,Ltd.</w:t>
            </w:r>
          </w:p>
        </w:tc>
        <w:tc>
          <w:tcPr>
            <w:tcW w:w="976" w:type="dxa"/>
            <w:vAlign w:val="center"/>
          </w:tcPr>
          <w:p w:rsidR="00B536C4" w:rsidRDefault="00CC45D2">
            <w:pPr>
              <w:jc w:val="center"/>
            </w:pPr>
            <w:r>
              <w:rPr>
                <w:sz w:val="24"/>
              </w:rPr>
              <w:t>洛阳栾川</w:t>
            </w:r>
            <w:proofErr w:type="gramStart"/>
            <w:r>
              <w:rPr>
                <w:sz w:val="24"/>
              </w:rPr>
              <w:t>钼</w:t>
            </w:r>
            <w:proofErr w:type="gramEnd"/>
            <w:r>
              <w:rPr>
                <w:sz w:val="24"/>
              </w:rPr>
              <w:t>业集团股份有限公司</w:t>
            </w:r>
          </w:p>
        </w:tc>
        <w:tc>
          <w:tcPr>
            <w:tcW w:w="1138" w:type="dxa"/>
            <w:vAlign w:val="center"/>
          </w:tcPr>
          <w:p w:rsidR="00B536C4" w:rsidRDefault="00CC45D2">
            <w:pPr>
              <w:jc w:val="center"/>
            </w:pPr>
            <w:r>
              <w:rPr>
                <w:sz w:val="24"/>
              </w:rPr>
              <w:t>3993 HK</w:t>
            </w:r>
          </w:p>
        </w:tc>
        <w:tc>
          <w:tcPr>
            <w:tcW w:w="815" w:type="dxa"/>
            <w:vAlign w:val="center"/>
          </w:tcPr>
          <w:p w:rsidR="00B536C4" w:rsidRDefault="00CC45D2">
            <w:pPr>
              <w:jc w:val="center"/>
            </w:pPr>
            <w:r>
              <w:rPr>
                <w:sz w:val="24"/>
              </w:rPr>
              <w:t>香港证券交易所</w:t>
            </w:r>
          </w:p>
        </w:tc>
        <w:tc>
          <w:tcPr>
            <w:tcW w:w="986" w:type="dxa"/>
            <w:vAlign w:val="center"/>
          </w:tcPr>
          <w:p w:rsidR="00B536C4" w:rsidRDefault="00CC45D2">
            <w:pPr>
              <w:jc w:val="center"/>
            </w:pPr>
            <w:r>
              <w:rPr>
                <w:sz w:val="24"/>
              </w:rPr>
              <w:t>香港</w:t>
            </w:r>
          </w:p>
        </w:tc>
        <w:tc>
          <w:tcPr>
            <w:tcW w:w="976" w:type="dxa"/>
            <w:vAlign w:val="center"/>
          </w:tcPr>
          <w:p w:rsidR="00B536C4" w:rsidRDefault="00CC45D2">
            <w:pPr>
              <w:jc w:val="right"/>
            </w:pPr>
            <w:r>
              <w:rPr>
                <w:sz w:val="24"/>
              </w:rPr>
              <w:t>1,049,000</w:t>
            </w:r>
          </w:p>
        </w:tc>
        <w:tc>
          <w:tcPr>
            <w:tcW w:w="1624" w:type="dxa"/>
            <w:vAlign w:val="center"/>
          </w:tcPr>
          <w:p w:rsidR="00B536C4" w:rsidRDefault="00CC45D2">
            <w:pPr>
              <w:jc w:val="right"/>
            </w:pPr>
            <w:r>
              <w:rPr>
                <w:sz w:val="24"/>
              </w:rPr>
              <w:t>1,773,771.56</w:t>
            </w:r>
          </w:p>
        </w:tc>
        <w:tc>
          <w:tcPr>
            <w:tcW w:w="959" w:type="dxa"/>
            <w:vAlign w:val="center"/>
          </w:tcPr>
          <w:p w:rsidR="00B536C4" w:rsidRDefault="00CC45D2">
            <w:pPr>
              <w:jc w:val="right"/>
            </w:pPr>
            <w:r>
              <w:rPr>
                <w:sz w:val="24"/>
              </w:rPr>
              <w:t>4.51</w:t>
            </w:r>
          </w:p>
        </w:tc>
      </w:tr>
      <w:tr w:rsidR="00B536C4">
        <w:tc>
          <w:tcPr>
            <w:tcW w:w="653" w:type="dxa"/>
            <w:vAlign w:val="center"/>
          </w:tcPr>
          <w:p w:rsidR="00B536C4" w:rsidRDefault="00CC45D2">
            <w:pPr>
              <w:jc w:val="center"/>
            </w:pPr>
            <w:r>
              <w:rPr>
                <w:sz w:val="24"/>
              </w:rPr>
              <w:t>2</w:t>
            </w:r>
          </w:p>
        </w:tc>
        <w:tc>
          <w:tcPr>
            <w:tcW w:w="871" w:type="dxa"/>
            <w:vAlign w:val="center"/>
          </w:tcPr>
          <w:p w:rsidR="00B536C4" w:rsidRDefault="00CC45D2">
            <w:pPr>
              <w:jc w:val="center"/>
            </w:pPr>
            <w:r>
              <w:rPr>
                <w:sz w:val="24"/>
              </w:rPr>
              <w:t>China Petroleum &amp; Chemical Corporation</w:t>
            </w:r>
          </w:p>
        </w:tc>
        <w:tc>
          <w:tcPr>
            <w:tcW w:w="976" w:type="dxa"/>
            <w:vAlign w:val="center"/>
          </w:tcPr>
          <w:p w:rsidR="00B536C4" w:rsidRDefault="00CC45D2">
            <w:pPr>
              <w:jc w:val="center"/>
            </w:pPr>
            <w:r>
              <w:rPr>
                <w:sz w:val="24"/>
              </w:rPr>
              <w:t>中国石油化工股份有限公司</w:t>
            </w:r>
          </w:p>
        </w:tc>
        <w:tc>
          <w:tcPr>
            <w:tcW w:w="1138" w:type="dxa"/>
            <w:vAlign w:val="center"/>
          </w:tcPr>
          <w:p w:rsidR="00B536C4" w:rsidRDefault="00CC45D2">
            <w:pPr>
              <w:jc w:val="center"/>
            </w:pPr>
            <w:r>
              <w:rPr>
                <w:sz w:val="24"/>
              </w:rPr>
              <w:t>386 HK</w:t>
            </w:r>
          </w:p>
        </w:tc>
        <w:tc>
          <w:tcPr>
            <w:tcW w:w="815" w:type="dxa"/>
            <w:vAlign w:val="center"/>
          </w:tcPr>
          <w:p w:rsidR="00B536C4" w:rsidRDefault="00CC45D2">
            <w:pPr>
              <w:jc w:val="center"/>
            </w:pPr>
            <w:r>
              <w:rPr>
                <w:sz w:val="24"/>
              </w:rPr>
              <w:t>香港证券交易所</w:t>
            </w:r>
          </w:p>
        </w:tc>
        <w:tc>
          <w:tcPr>
            <w:tcW w:w="986" w:type="dxa"/>
            <w:vAlign w:val="center"/>
          </w:tcPr>
          <w:p w:rsidR="00B536C4" w:rsidRDefault="00CC45D2">
            <w:pPr>
              <w:jc w:val="center"/>
            </w:pPr>
            <w:r>
              <w:rPr>
                <w:sz w:val="24"/>
              </w:rPr>
              <w:t>香港</w:t>
            </w:r>
          </w:p>
        </w:tc>
        <w:tc>
          <w:tcPr>
            <w:tcW w:w="976" w:type="dxa"/>
            <w:vAlign w:val="center"/>
          </w:tcPr>
          <w:p w:rsidR="00B536C4" w:rsidRDefault="00CC45D2">
            <w:pPr>
              <w:jc w:val="right"/>
            </w:pPr>
            <w:r>
              <w:rPr>
                <w:sz w:val="24"/>
              </w:rPr>
              <w:t>300,000</w:t>
            </w:r>
          </w:p>
        </w:tc>
        <w:tc>
          <w:tcPr>
            <w:tcW w:w="1624" w:type="dxa"/>
            <w:vAlign w:val="center"/>
          </w:tcPr>
          <w:p w:rsidR="00B536C4" w:rsidRDefault="00CC45D2">
            <w:pPr>
              <w:jc w:val="right"/>
            </w:pPr>
            <w:r>
              <w:rPr>
                <w:sz w:val="24"/>
              </w:rPr>
              <w:t>1,476,197.07</w:t>
            </w:r>
          </w:p>
        </w:tc>
        <w:tc>
          <w:tcPr>
            <w:tcW w:w="959" w:type="dxa"/>
            <w:vAlign w:val="center"/>
          </w:tcPr>
          <w:p w:rsidR="00B536C4" w:rsidRDefault="00CC45D2">
            <w:pPr>
              <w:jc w:val="right"/>
            </w:pPr>
            <w:r>
              <w:rPr>
                <w:sz w:val="24"/>
              </w:rPr>
              <w:t>3.75</w:t>
            </w:r>
          </w:p>
        </w:tc>
      </w:tr>
      <w:tr w:rsidR="00B536C4">
        <w:tc>
          <w:tcPr>
            <w:tcW w:w="653" w:type="dxa"/>
            <w:vAlign w:val="center"/>
          </w:tcPr>
          <w:p w:rsidR="00B536C4" w:rsidRDefault="00CC45D2">
            <w:pPr>
              <w:jc w:val="center"/>
            </w:pPr>
            <w:r>
              <w:rPr>
                <w:sz w:val="24"/>
              </w:rPr>
              <w:t>3</w:t>
            </w:r>
          </w:p>
        </w:tc>
        <w:tc>
          <w:tcPr>
            <w:tcW w:w="871" w:type="dxa"/>
            <w:vAlign w:val="center"/>
          </w:tcPr>
          <w:p w:rsidR="00B536C4" w:rsidRDefault="00CC45D2">
            <w:pPr>
              <w:jc w:val="center"/>
            </w:pPr>
            <w:r>
              <w:rPr>
                <w:sz w:val="24"/>
              </w:rPr>
              <w:t>Xinjiang Goldwind Science &amp; Technology Co., Ltd.</w:t>
            </w:r>
          </w:p>
        </w:tc>
        <w:tc>
          <w:tcPr>
            <w:tcW w:w="976" w:type="dxa"/>
            <w:vAlign w:val="center"/>
          </w:tcPr>
          <w:p w:rsidR="00B536C4" w:rsidRDefault="00CC45D2">
            <w:pPr>
              <w:jc w:val="center"/>
            </w:pPr>
            <w:r>
              <w:rPr>
                <w:sz w:val="24"/>
              </w:rPr>
              <w:t>新疆金风科技股份有限公司</w:t>
            </w:r>
          </w:p>
        </w:tc>
        <w:tc>
          <w:tcPr>
            <w:tcW w:w="1138" w:type="dxa"/>
            <w:vAlign w:val="center"/>
          </w:tcPr>
          <w:p w:rsidR="00B536C4" w:rsidRDefault="00CC45D2">
            <w:pPr>
              <w:jc w:val="center"/>
            </w:pPr>
            <w:r>
              <w:rPr>
                <w:sz w:val="24"/>
              </w:rPr>
              <w:t>2208 HK</w:t>
            </w:r>
          </w:p>
        </w:tc>
        <w:tc>
          <w:tcPr>
            <w:tcW w:w="815" w:type="dxa"/>
            <w:vAlign w:val="center"/>
          </w:tcPr>
          <w:p w:rsidR="00B536C4" w:rsidRDefault="00CC45D2">
            <w:pPr>
              <w:jc w:val="center"/>
            </w:pPr>
            <w:r>
              <w:rPr>
                <w:sz w:val="24"/>
              </w:rPr>
              <w:t>香港证券交易所</w:t>
            </w:r>
          </w:p>
        </w:tc>
        <w:tc>
          <w:tcPr>
            <w:tcW w:w="986" w:type="dxa"/>
            <w:vAlign w:val="center"/>
          </w:tcPr>
          <w:p w:rsidR="00B536C4" w:rsidRDefault="00CC45D2">
            <w:pPr>
              <w:jc w:val="center"/>
            </w:pPr>
            <w:r>
              <w:rPr>
                <w:sz w:val="24"/>
              </w:rPr>
              <w:t>香港</w:t>
            </w:r>
          </w:p>
        </w:tc>
        <w:tc>
          <w:tcPr>
            <w:tcW w:w="976" w:type="dxa"/>
            <w:vAlign w:val="center"/>
          </w:tcPr>
          <w:p w:rsidR="00B536C4" w:rsidRDefault="00CC45D2">
            <w:pPr>
              <w:jc w:val="right"/>
            </w:pPr>
            <w:r>
              <w:rPr>
                <w:sz w:val="24"/>
              </w:rPr>
              <w:t>120,000</w:t>
            </w:r>
          </w:p>
        </w:tc>
        <w:tc>
          <w:tcPr>
            <w:tcW w:w="1624" w:type="dxa"/>
            <w:vAlign w:val="center"/>
          </w:tcPr>
          <w:p w:rsidR="00B536C4" w:rsidRDefault="00CC45D2">
            <w:pPr>
              <w:jc w:val="right"/>
            </w:pPr>
            <w:r>
              <w:rPr>
                <w:sz w:val="24"/>
              </w:rPr>
              <w:t>1,406,413.21</w:t>
            </w:r>
          </w:p>
        </w:tc>
        <w:tc>
          <w:tcPr>
            <w:tcW w:w="959" w:type="dxa"/>
            <w:vAlign w:val="center"/>
          </w:tcPr>
          <w:p w:rsidR="00B536C4" w:rsidRDefault="00CC45D2">
            <w:pPr>
              <w:jc w:val="right"/>
            </w:pPr>
            <w:r>
              <w:rPr>
                <w:sz w:val="24"/>
              </w:rPr>
              <w:t>3.58</w:t>
            </w:r>
          </w:p>
        </w:tc>
      </w:tr>
      <w:tr w:rsidR="00B536C4">
        <w:tc>
          <w:tcPr>
            <w:tcW w:w="653" w:type="dxa"/>
            <w:vAlign w:val="center"/>
          </w:tcPr>
          <w:p w:rsidR="00B536C4" w:rsidRDefault="00CC45D2">
            <w:pPr>
              <w:jc w:val="center"/>
            </w:pPr>
            <w:r>
              <w:rPr>
                <w:sz w:val="24"/>
              </w:rPr>
              <w:t>4</w:t>
            </w:r>
          </w:p>
        </w:tc>
        <w:tc>
          <w:tcPr>
            <w:tcW w:w="871" w:type="dxa"/>
            <w:vAlign w:val="center"/>
          </w:tcPr>
          <w:p w:rsidR="00B536C4" w:rsidRDefault="00CC45D2">
            <w:pPr>
              <w:jc w:val="center"/>
            </w:pPr>
            <w:r>
              <w:rPr>
                <w:sz w:val="24"/>
              </w:rPr>
              <w:t>Zijin Mining Group Co.,Ltd.</w:t>
            </w:r>
          </w:p>
        </w:tc>
        <w:tc>
          <w:tcPr>
            <w:tcW w:w="976" w:type="dxa"/>
            <w:vAlign w:val="center"/>
          </w:tcPr>
          <w:p w:rsidR="00B536C4" w:rsidRDefault="00CC45D2">
            <w:pPr>
              <w:jc w:val="center"/>
            </w:pPr>
            <w:r>
              <w:rPr>
                <w:sz w:val="24"/>
              </w:rPr>
              <w:t>紫金矿业集团股份有限公司</w:t>
            </w:r>
          </w:p>
        </w:tc>
        <w:tc>
          <w:tcPr>
            <w:tcW w:w="1138" w:type="dxa"/>
            <w:vAlign w:val="center"/>
          </w:tcPr>
          <w:p w:rsidR="00B536C4" w:rsidRDefault="00CC45D2">
            <w:pPr>
              <w:jc w:val="center"/>
            </w:pPr>
            <w:r>
              <w:rPr>
                <w:sz w:val="24"/>
              </w:rPr>
              <w:t>2899 HK</w:t>
            </w:r>
          </w:p>
        </w:tc>
        <w:tc>
          <w:tcPr>
            <w:tcW w:w="815" w:type="dxa"/>
            <w:vAlign w:val="center"/>
          </w:tcPr>
          <w:p w:rsidR="00B536C4" w:rsidRDefault="00CC45D2">
            <w:pPr>
              <w:jc w:val="center"/>
            </w:pPr>
            <w:r>
              <w:rPr>
                <w:sz w:val="24"/>
              </w:rPr>
              <w:t>香港证券交易所</w:t>
            </w:r>
          </w:p>
        </w:tc>
        <w:tc>
          <w:tcPr>
            <w:tcW w:w="986" w:type="dxa"/>
            <w:vAlign w:val="center"/>
          </w:tcPr>
          <w:p w:rsidR="00B536C4" w:rsidRDefault="00CC45D2">
            <w:pPr>
              <w:jc w:val="center"/>
            </w:pPr>
            <w:r>
              <w:rPr>
                <w:sz w:val="24"/>
              </w:rPr>
              <w:t>香港</w:t>
            </w:r>
          </w:p>
        </w:tc>
        <w:tc>
          <w:tcPr>
            <w:tcW w:w="976" w:type="dxa"/>
            <w:vAlign w:val="center"/>
          </w:tcPr>
          <w:p w:rsidR="00B536C4" w:rsidRDefault="00CC45D2">
            <w:pPr>
              <w:jc w:val="right"/>
            </w:pPr>
            <w:r>
              <w:rPr>
                <w:sz w:val="24"/>
              </w:rPr>
              <w:t>600,000</w:t>
            </w:r>
          </w:p>
        </w:tc>
        <w:tc>
          <w:tcPr>
            <w:tcW w:w="1624" w:type="dxa"/>
            <w:vAlign w:val="center"/>
          </w:tcPr>
          <w:p w:rsidR="00B536C4" w:rsidRDefault="00CC45D2">
            <w:pPr>
              <w:jc w:val="right"/>
            </w:pPr>
            <w:r>
              <w:rPr>
                <w:sz w:val="24"/>
              </w:rPr>
              <w:t>1,341,997.33</w:t>
            </w:r>
          </w:p>
        </w:tc>
        <w:tc>
          <w:tcPr>
            <w:tcW w:w="959" w:type="dxa"/>
            <w:vAlign w:val="center"/>
          </w:tcPr>
          <w:p w:rsidR="00B536C4" w:rsidRDefault="00CC45D2">
            <w:pPr>
              <w:jc w:val="right"/>
            </w:pPr>
            <w:r>
              <w:rPr>
                <w:sz w:val="24"/>
              </w:rPr>
              <w:t>3.41</w:t>
            </w:r>
          </w:p>
        </w:tc>
      </w:tr>
      <w:tr w:rsidR="00B536C4">
        <w:tc>
          <w:tcPr>
            <w:tcW w:w="653" w:type="dxa"/>
            <w:vAlign w:val="center"/>
          </w:tcPr>
          <w:p w:rsidR="00B536C4" w:rsidRDefault="00CC45D2">
            <w:pPr>
              <w:jc w:val="center"/>
            </w:pPr>
            <w:r>
              <w:rPr>
                <w:sz w:val="24"/>
              </w:rPr>
              <w:t>5</w:t>
            </w:r>
          </w:p>
        </w:tc>
        <w:tc>
          <w:tcPr>
            <w:tcW w:w="871" w:type="dxa"/>
            <w:vAlign w:val="center"/>
          </w:tcPr>
          <w:p w:rsidR="00B536C4" w:rsidRDefault="00CC45D2">
            <w:pPr>
              <w:jc w:val="center"/>
            </w:pPr>
            <w:r>
              <w:rPr>
                <w:sz w:val="24"/>
              </w:rPr>
              <w:t>CNOOC Limited</w:t>
            </w:r>
          </w:p>
        </w:tc>
        <w:tc>
          <w:tcPr>
            <w:tcW w:w="976" w:type="dxa"/>
            <w:vAlign w:val="center"/>
          </w:tcPr>
          <w:p w:rsidR="00B536C4" w:rsidRDefault="00CC45D2">
            <w:pPr>
              <w:jc w:val="center"/>
            </w:pPr>
            <w:r>
              <w:rPr>
                <w:sz w:val="24"/>
              </w:rPr>
              <w:t>中国海洋石油有限公司</w:t>
            </w:r>
          </w:p>
        </w:tc>
        <w:tc>
          <w:tcPr>
            <w:tcW w:w="1138" w:type="dxa"/>
            <w:vAlign w:val="center"/>
          </w:tcPr>
          <w:p w:rsidR="00B536C4" w:rsidRDefault="00CC45D2">
            <w:pPr>
              <w:jc w:val="center"/>
            </w:pPr>
            <w:r>
              <w:rPr>
                <w:sz w:val="24"/>
              </w:rPr>
              <w:t>883 HK</w:t>
            </w:r>
          </w:p>
        </w:tc>
        <w:tc>
          <w:tcPr>
            <w:tcW w:w="815" w:type="dxa"/>
            <w:vAlign w:val="center"/>
          </w:tcPr>
          <w:p w:rsidR="00B536C4" w:rsidRDefault="00CC45D2">
            <w:pPr>
              <w:jc w:val="center"/>
            </w:pPr>
            <w:r>
              <w:rPr>
                <w:sz w:val="24"/>
              </w:rPr>
              <w:t>香港证券交易所</w:t>
            </w:r>
          </w:p>
        </w:tc>
        <w:tc>
          <w:tcPr>
            <w:tcW w:w="986" w:type="dxa"/>
            <w:vAlign w:val="center"/>
          </w:tcPr>
          <w:p w:rsidR="00B536C4" w:rsidRDefault="00CC45D2">
            <w:pPr>
              <w:jc w:val="center"/>
            </w:pPr>
            <w:r>
              <w:rPr>
                <w:sz w:val="24"/>
              </w:rPr>
              <w:t>香港</w:t>
            </w:r>
          </w:p>
        </w:tc>
        <w:tc>
          <w:tcPr>
            <w:tcW w:w="976" w:type="dxa"/>
            <w:vAlign w:val="center"/>
          </w:tcPr>
          <w:p w:rsidR="00B536C4" w:rsidRDefault="00CC45D2">
            <w:pPr>
              <w:jc w:val="right"/>
            </w:pPr>
            <w:r>
              <w:rPr>
                <w:sz w:val="24"/>
              </w:rPr>
              <w:t>150,000</w:t>
            </w:r>
          </w:p>
        </w:tc>
        <w:tc>
          <w:tcPr>
            <w:tcW w:w="1624" w:type="dxa"/>
            <w:vAlign w:val="center"/>
          </w:tcPr>
          <w:p w:rsidR="00B536C4" w:rsidRDefault="00CC45D2">
            <w:pPr>
              <w:jc w:val="right"/>
            </w:pPr>
            <w:r>
              <w:rPr>
                <w:sz w:val="24"/>
              </w:rPr>
              <w:t>1,301,737.41</w:t>
            </w:r>
          </w:p>
        </w:tc>
        <w:tc>
          <w:tcPr>
            <w:tcW w:w="959" w:type="dxa"/>
            <w:vAlign w:val="center"/>
          </w:tcPr>
          <w:p w:rsidR="00B536C4" w:rsidRDefault="00CC45D2">
            <w:pPr>
              <w:jc w:val="right"/>
            </w:pPr>
            <w:r>
              <w:rPr>
                <w:sz w:val="24"/>
              </w:rPr>
              <w:t>3.31</w:t>
            </w:r>
          </w:p>
        </w:tc>
      </w:tr>
      <w:tr w:rsidR="00B536C4">
        <w:tc>
          <w:tcPr>
            <w:tcW w:w="653" w:type="dxa"/>
            <w:vAlign w:val="center"/>
          </w:tcPr>
          <w:p w:rsidR="00B536C4" w:rsidRDefault="00CC45D2">
            <w:pPr>
              <w:jc w:val="center"/>
            </w:pPr>
            <w:r>
              <w:rPr>
                <w:sz w:val="24"/>
              </w:rPr>
              <w:t>6</w:t>
            </w:r>
          </w:p>
        </w:tc>
        <w:tc>
          <w:tcPr>
            <w:tcW w:w="871" w:type="dxa"/>
            <w:vAlign w:val="center"/>
          </w:tcPr>
          <w:p w:rsidR="00B536C4" w:rsidRDefault="00CC45D2">
            <w:pPr>
              <w:jc w:val="center"/>
            </w:pPr>
            <w:r>
              <w:rPr>
                <w:sz w:val="24"/>
              </w:rPr>
              <w:t>Beijing Urban Construction Design &amp; Develop</w:t>
            </w:r>
            <w:r>
              <w:rPr>
                <w:sz w:val="24"/>
              </w:rPr>
              <w:lastRenderedPageBreak/>
              <w:t>ment Group Co., Limited</w:t>
            </w:r>
          </w:p>
        </w:tc>
        <w:tc>
          <w:tcPr>
            <w:tcW w:w="976" w:type="dxa"/>
            <w:vAlign w:val="center"/>
          </w:tcPr>
          <w:p w:rsidR="00B536C4" w:rsidRDefault="00CC45D2">
            <w:pPr>
              <w:jc w:val="center"/>
            </w:pPr>
            <w:r>
              <w:rPr>
                <w:sz w:val="24"/>
              </w:rPr>
              <w:lastRenderedPageBreak/>
              <w:t>北京城建设计发展集团股份有限公司</w:t>
            </w:r>
          </w:p>
        </w:tc>
        <w:tc>
          <w:tcPr>
            <w:tcW w:w="1138" w:type="dxa"/>
            <w:vAlign w:val="center"/>
          </w:tcPr>
          <w:p w:rsidR="00B536C4" w:rsidRDefault="00CC45D2">
            <w:pPr>
              <w:jc w:val="center"/>
            </w:pPr>
            <w:r>
              <w:rPr>
                <w:sz w:val="24"/>
              </w:rPr>
              <w:t>1599 HK</w:t>
            </w:r>
          </w:p>
        </w:tc>
        <w:tc>
          <w:tcPr>
            <w:tcW w:w="815" w:type="dxa"/>
            <w:vAlign w:val="center"/>
          </w:tcPr>
          <w:p w:rsidR="00B536C4" w:rsidRDefault="00CC45D2">
            <w:pPr>
              <w:jc w:val="center"/>
            </w:pPr>
            <w:r>
              <w:rPr>
                <w:sz w:val="24"/>
              </w:rPr>
              <w:t>香港证券交易所</w:t>
            </w:r>
          </w:p>
        </w:tc>
        <w:tc>
          <w:tcPr>
            <w:tcW w:w="986" w:type="dxa"/>
            <w:vAlign w:val="center"/>
          </w:tcPr>
          <w:p w:rsidR="00B536C4" w:rsidRDefault="00CC45D2">
            <w:pPr>
              <w:jc w:val="center"/>
            </w:pPr>
            <w:r>
              <w:rPr>
                <w:sz w:val="24"/>
              </w:rPr>
              <w:t>香港</w:t>
            </w:r>
          </w:p>
        </w:tc>
        <w:tc>
          <w:tcPr>
            <w:tcW w:w="976" w:type="dxa"/>
            <w:vAlign w:val="center"/>
          </w:tcPr>
          <w:p w:rsidR="00B536C4" w:rsidRDefault="00CC45D2">
            <w:pPr>
              <w:jc w:val="right"/>
            </w:pPr>
            <w:r>
              <w:rPr>
                <w:sz w:val="24"/>
              </w:rPr>
              <w:t>300,000</w:t>
            </w:r>
          </w:p>
        </w:tc>
        <w:tc>
          <w:tcPr>
            <w:tcW w:w="1624" w:type="dxa"/>
            <w:vAlign w:val="center"/>
          </w:tcPr>
          <w:p w:rsidR="00B536C4" w:rsidRDefault="00CC45D2">
            <w:pPr>
              <w:jc w:val="right"/>
            </w:pPr>
            <w:r>
              <w:rPr>
                <w:sz w:val="24"/>
              </w:rPr>
              <w:t>1,288,317.44</w:t>
            </w:r>
          </w:p>
        </w:tc>
        <w:tc>
          <w:tcPr>
            <w:tcW w:w="959" w:type="dxa"/>
            <w:vAlign w:val="center"/>
          </w:tcPr>
          <w:p w:rsidR="00B536C4" w:rsidRDefault="00CC45D2">
            <w:pPr>
              <w:jc w:val="right"/>
            </w:pPr>
            <w:r>
              <w:rPr>
                <w:sz w:val="24"/>
              </w:rPr>
              <w:t>3.28</w:t>
            </w:r>
          </w:p>
        </w:tc>
      </w:tr>
      <w:tr w:rsidR="00B536C4">
        <w:tc>
          <w:tcPr>
            <w:tcW w:w="653" w:type="dxa"/>
            <w:vAlign w:val="center"/>
          </w:tcPr>
          <w:p w:rsidR="00B536C4" w:rsidRDefault="00CC45D2">
            <w:pPr>
              <w:jc w:val="center"/>
            </w:pPr>
            <w:r>
              <w:rPr>
                <w:sz w:val="24"/>
              </w:rPr>
              <w:lastRenderedPageBreak/>
              <w:t>7</w:t>
            </w:r>
          </w:p>
        </w:tc>
        <w:tc>
          <w:tcPr>
            <w:tcW w:w="871" w:type="dxa"/>
            <w:vAlign w:val="center"/>
          </w:tcPr>
          <w:p w:rsidR="00B536C4" w:rsidRDefault="00CC45D2">
            <w:pPr>
              <w:jc w:val="center"/>
            </w:pPr>
            <w:r>
              <w:rPr>
                <w:sz w:val="24"/>
              </w:rPr>
              <w:t>Tencent Holdings Limited</w:t>
            </w:r>
          </w:p>
        </w:tc>
        <w:tc>
          <w:tcPr>
            <w:tcW w:w="976" w:type="dxa"/>
            <w:vAlign w:val="center"/>
          </w:tcPr>
          <w:p w:rsidR="00B536C4" w:rsidRDefault="00CC45D2">
            <w:pPr>
              <w:jc w:val="center"/>
            </w:pPr>
            <w:proofErr w:type="gramStart"/>
            <w:r>
              <w:rPr>
                <w:sz w:val="24"/>
              </w:rPr>
              <w:t>腾讯控股</w:t>
            </w:r>
            <w:proofErr w:type="gramEnd"/>
            <w:r>
              <w:rPr>
                <w:sz w:val="24"/>
              </w:rPr>
              <w:t>有限公司</w:t>
            </w:r>
          </w:p>
        </w:tc>
        <w:tc>
          <w:tcPr>
            <w:tcW w:w="1138" w:type="dxa"/>
            <w:vAlign w:val="center"/>
          </w:tcPr>
          <w:p w:rsidR="00B536C4" w:rsidRDefault="00CC45D2">
            <w:pPr>
              <w:jc w:val="center"/>
            </w:pPr>
            <w:r>
              <w:rPr>
                <w:sz w:val="24"/>
              </w:rPr>
              <w:t>700 HK</w:t>
            </w:r>
          </w:p>
        </w:tc>
        <w:tc>
          <w:tcPr>
            <w:tcW w:w="815" w:type="dxa"/>
            <w:vAlign w:val="center"/>
          </w:tcPr>
          <w:p w:rsidR="00B536C4" w:rsidRDefault="00CC45D2">
            <w:pPr>
              <w:jc w:val="center"/>
            </w:pPr>
            <w:r>
              <w:rPr>
                <w:sz w:val="24"/>
              </w:rPr>
              <w:t>香港证券交易所</w:t>
            </w:r>
          </w:p>
        </w:tc>
        <w:tc>
          <w:tcPr>
            <w:tcW w:w="986" w:type="dxa"/>
            <w:vAlign w:val="center"/>
          </w:tcPr>
          <w:p w:rsidR="00B536C4" w:rsidRDefault="00CC45D2">
            <w:pPr>
              <w:jc w:val="center"/>
            </w:pPr>
            <w:r>
              <w:rPr>
                <w:sz w:val="24"/>
              </w:rPr>
              <w:t>香港</w:t>
            </w:r>
          </w:p>
        </w:tc>
        <w:tc>
          <w:tcPr>
            <w:tcW w:w="976" w:type="dxa"/>
            <w:vAlign w:val="center"/>
          </w:tcPr>
          <w:p w:rsidR="00B536C4" w:rsidRDefault="00CC45D2">
            <w:pPr>
              <w:jc w:val="right"/>
            </w:pPr>
            <w:r>
              <w:rPr>
                <w:sz w:val="24"/>
              </w:rPr>
              <w:t>7,300</w:t>
            </w:r>
          </w:p>
        </w:tc>
        <w:tc>
          <w:tcPr>
            <w:tcW w:w="1624" w:type="dxa"/>
            <w:vAlign w:val="center"/>
          </w:tcPr>
          <w:p w:rsidR="00B536C4" w:rsidRDefault="00CC45D2">
            <w:pPr>
              <w:jc w:val="right"/>
            </w:pPr>
            <w:r>
              <w:rPr>
                <w:sz w:val="24"/>
              </w:rPr>
              <w:t>1,238,940.89</w:t>
            </w:r>
          </w:p>
        </w:tc>
        <w:tc>
          <w:tcPr>
            <w:tcW w:w="959" w:type="dxa"/>
            <w:vAlign w:val="center"/>
          </w:tcPr>
          <w:p w:rsidR="00B536C4" w:rsidRDefault="00CC45D2">
            <w:pPr>
              <w:jc w:val="right"/>
            </w:pPr>
            <w:r>
              <w:rPr>
                <w:sz w:val="24"/>
              </w:rPr>
              <w:t>3.15</w:t>
            </w:r>
          </w:p>
        </w:tc>
      </w:tr>
      <w:tr w:rsidR="00B536C4">
        <w:tc>
          <w:tcPr>
            <w:tcW w:w="653" w:type="dxa"/>
            <w:vAlign w:val="center"/>
          </w:tcPr>
          <w:p w:rsidR="00B536C4" w:rsidRDefault="00CC45D2">
            <w:pPr>
              <w:jc w:val="center"/>
            </w:pPr>
            <w:r>
              <w:rPr>
                <w:sz w:val="24"/>
              </w:rPr>
              <w:t>8</w:t>
            </w:r>
          </w:p>
        </w:tc>
        <w:tc>
          <w:tcPr>
            <w:tcW w:w="871" w:type="dxa"/>
            <w:vAlign w:val="center"/>
          </w:tcPr>
          <w:p w:rsidR="00B536C4" w:rsidRDefault="00CC45D2">
            <w:pPr>
              <w:jc w:val="center"/>
            </w:pPr>
            <w:r>
              <w:rPr>
                <w:sz w:val="24"/>
              </w:rPr>
              <w:t>China Resources Cement Holdings Ltd.</w:t>
            </w:r>
          </w:p>
        </w:tc>
        <w:tc>
          <w:tcPr>
            <w:tcW w:w="976" w:type="dxa"/>
            <w:vAlign w:val="center"/>
          </w:tcPr>
          <w:p w:rsidR="00B536C4" w:rsidRDefault="00CC45D2">
            <w:pPr>
              <w:jc w:val="center"/>
            </w:pPr>
            <w:r>
              <w:rPr>
                <w:sz w:val="24"/>
              </w:rPr>
              <w:t>华润水泥控股</w:t>
            </w:r>
          </w:p>
        </w:tc>
        <w:tc>
          <w:tcPr>
            <w:tcW w:w="1138" w:type="dxa"/>
            <w:vAlign w:val="center"/>
          </w:tcPr>
          <w:p w:rsidR="00B536C4" w:rsidRDefault="00CC45D2">
            <w:pPr>
              <w:jc w:val="center"/>
            </w:pPr>
            <w:r>
              <w:rPr>
                <w:sz w:val="24"/>
              </w:rPr>
              <w:t>1313 HK</w:t>
            </w:r>
          </w:p>
        </w:tc>
        <w:tc>
          <w:tcPr>
            <w:tcW w:w="815" w:type="dxa"/>
            <w:vAlign w:val="center"/>
          </w:tcPr>
          <w:p w:rsidR="00B536C4" w:rsidRDefault="00CC45D2">
            <w:pPr>
              <w:jc w:val="center"/>
            </w:pPr>
            <w:r>
              <w:rPr>
                <w:sz w:val="24"/>
              </w:rPr>
              <w:t>香港证券交易所</w:t>
            </w:r>
          </w:p>
        </w:tc>
        <w:tc>
          <w:tcPr>
            <w:tcW w:w="986" w:type="dxa"/>
            <w:vAlign w:val="center"/>
          </w:tcPr>
          <w:p w:rsidR="00B536C4" w:rsidRDefault="00CC45D2">
            <w:pPr>
              <w:jc w:val="center"/>
            </w:pPr>
            <w:r>
              <w:rPr>
                <w:sz w:val="24"/>
              </w:rPr>
              <w:t>香港</w:t>
            </w:r>
          </w:p>
        </w:tc>
        <w:tc>
          <w:tcPr>
            <w:tcW w:w="976" w:type="dxa"/>
            <w:vAlign w:val="center"/>
          </w:tcPr>
          <w:p w:rsidR="00B536C4" w:rsidRDefault="00CC45D2">
            <w:pPr>
              <w:jc w:val="right"/>
            </w:pPr>
            <w:r>
              <w:rPr>
                <w:sz w:val="24"/>
              </w:rPr>
              <w:t>450,000</w:t>
            </w:r>
          </w:p>
        </w:tc>
        <w:tc>
          <w:tcPr>
            <w:tcW w:w="1624" w:type="dxa"/>
            <w:vAlign w:val="center"/>
          </w:tcPr>
          <w:p w:rsidR="00B536C4" w:rsidRDefault="00CC45D2">
            <w:pPr>
              <w:jc w:val="right"/>
            </w:pPr>
            <w:r>
              <w:rPr>
                <w:sz w:val="24"/>
              </w:rPr>
              <w:t>1,211,823.59</w:t>
            </w:r>
          </w:p>
        </w:tc>
        <w:tc>
          <w:tcPr>
            <w:tcW w:w="959" w:type="dxa"/>
            <w:vAlign w:val="center"/>
          </w:tcPr>
          <w:p w:rsidR="00B536C4" w:rsidRDefault="00CC45D2">
            <w:pPr>
              <w:jc w:val="right"/>
            </w:pPr>
            <w:r>
              <w:rPr>
                <w:sz w:val="24"/>
              </w:rPr>
              <w:t>3.08</w:t>
            </w:r>
          </w:p>
        </w:tc>
      </w:tr>
      <w:tr w:rsidR="00B536C4">
        <w:tc>
          <w:tcPr>
            <w:tcW w:w="653" w:type="dxa"/>
            <w:vAlign w:val="center"/>
          </w:tcPr>
          <w:p w:rsidR="00B536C4" w:rsidRDefault="00CC45D2">
            <w:pPr>
              <w:jc w:val="center"/>
            </w:pPr>
            <w:r>
              <w:rPr>
                <w:sz w:val="24"/>
              </w:rPr>
              <w:t>9</w:t>
            </w:r>
          </w:p>
        </w:tc>
        <w:tc>
          <w:tcPr>
            <w:tcW w:w="871" w:type="dxa"/>
            <w:vAlign w:val="center"/>
          </w:tcPr>
          <w:p w:rsidR="00B536C4" w:rsidRDefault="00CC45D2">
            <w:pPr>
              <w:jc w:val="center"/>
            </w:pPr>
            <w:r>
              <w:rPr>
                <w:sz w:val="24"/>
              </w:rPr>
              <w:t>China Hongqiao Group Limited</w:t>
            </w:r>
          </w:p>
        </w:tc>
        <w:tc>
          <w:tcPr>
            <w:tcW w:w="976" w:type="dxa"/>
            <w:vAlign w:val="center"/>
          </w:tcPr>
          <w:p w:rsidR="00B536C4" w:rsidRDefault="00CC45D2">
            <w:pPr>
              <w:jc w:val="center"/>
            </w:pPr>
            <w:r>
              <w:rPr>
                <w:sz w:val="24"/>
              </w:rPr>
              <w:t>中国宏</w:t>
            </w:r>
            <w:proofErr w:type="gramStart"/>
            <w:r>
              <w:rPr>
                <w:sz w:val="24"/>
              </w:rPr>
              <w:t>桥集团</w:t>
            </w:r>
            <w:proofErr w:type="gramEnd"/>
            <w:r>
              <w:rPr>
                <w:sz w:val="24"/>
              </w:rPr>
              <w:t>有限公司</w:t>
            </w:r>
          </w:p>
        </w:tc>
        <w:tc>
          <w:tcPr>
            <w:tcW w:w="1138" w:type="dxa"/>
            <w:vAlign w:val="center"/>
          </w:tcPr>
          <w:p w:rsidR="00B536C4" w:rsidRDefault="00CC45D2">
            <w:pPr>
              <w:jc w:val="center"/>
            </w:pPr>
            <w:r>
              <w:rPr>
                <w:sz w:val="24"/>
              </w:rPr>
              <w:t>1378 HK</w:t>
            </w:r>
          </w:p>
        </w:tc>
        <w:tc>
          <w:tcPr>
            <w:tcW w:w="815" w:type="dxa"/>
            <w:vAlign w:val="center"/>
          </w:tcPr>
          <w:p w:rsidR="00B536C4" w:rsidRDefault="00CC45D2">
            <w:pPr>
              <w:jc w:val="center"/>
            </w:pPr>
            <w:r>
              <w:rPr>
                <w:sz w:val="24"/>
              </w:rPr>
              <w:t>香港证券交易所</w:t>
            </w:r>
          </w:p>
        </w:tc>
        <w:tc>
          <w:tcPr>
            <w:tcW w:w="986" w:type="dxa"/>
            <w:vAlign w:val="center"/>
          </w:tcPr>
          <w:p w:rsidR="00B536C4" w:rsidRDefault="00CC45D2">
            <w:pPr>
              <w:jc w:val="center"/>
            </w:pPr>
            <w:r>
              <w:rPr>
                <w:sz w:val="24"/>
              </w:rPr>
              <w:t>香港</w:t>
            </w:r>
          </w:p>
        </w:tc>
        <w:tc>
          <w:tcPr>
            <w:tcW w:w="976" w:type="dxa"/>
            <w:vAlign w:val="center"/>
          </w:tcPr>
          <w:p w:rsidR="00B536C4" w:rsidRDefault="00CC45D2">
            <w:pPr>
              <w:jc w:val="right"/>
            </w:pPr>
            <w:r>
              <w:rPr>
                <w:sz w:val="24"/>
              </w:rPr>
              <w:t>193,500</w:t>
            </w:r>
          </w:p>
        </w:tc>
        <w:tc>
          <w:tcPr>
            <w:tcW w:w="1624" w:type="dxa"/>
            <w:vAlign w:val="center"/>
          </w:tcPr>
          <w:p w:rsidR="00B536C4" w:rsidRDefault="00CC45D2">
            <w:pPr>
              <w:jc w:val="right"/>
            </w:pPr>
            <w:r>
              <w:rPr>
                <w:sz w:val="24"/>
              </w:rPr>
              <w:t>1,180,662.42</w:t>
            </w:r>
          </w:p>
        </w:tc>
        <w:tc>
          <w:tcPr>
            <w:tcW w:w="959" w:type="dxa"/>
            <w:vAlign w:val="center"/>
          </w:tcPr>
          <w:p w:rsidR="00B536C4" w:rsidRDefault="00CC45D2">
            <w:pPr>
              <w:jc w:val="right"/>
            </w:pPr>
            <w:r>
              <w:rPr>
                <w:sz w:val="24"/>
              </w:rPr>
              <w:t>3.00</w:t>
            </w:r>
          </w:p>
        </w:tc>
      </w:tr>
      <w:tr w:rsidR="00B536C4">
        <w:tc>
          <w:tcPr>
            <w:tcW w:w="653" w:type="dxa"/>
            <w:vAlign w:val="center"/>
          </w:tcPr>
          <w:p w:rsidR="00B536C4" w:rsidRDefault="00CC45D2">
            <w:pPr>
              <w:jc w:val="center"/>
            </w:pPr>
            <w:r>
              <w:rPr>
                <w:sz w:val="24"/>
              </w:rPr>
              <w:t>10</w:t>
            </w:r>
          </w:p>
        </w:tc>
        <w:tc>
          <w:tcPr>
            <w:tcW w:w="871" w:type="dxa"/>
            <w:vAlign w:val="center"/>
          </w:tcPr>
          <w:p w:rsidR="00B536C4" w:rsidRDefault="00CC45D2">
            <w:pPr>
              <w:jc w:val="center"/>
            </w:pPr>
            <w:r>
              <w:rPr>
                <w:sz w:val="24"/>
              </w:rPr>
              <w:t>CSPC Pharmaceutical Group Limited</w:t>
            </w:r>
          </w:p>
        </w:tc>
        <w:tc>
          <w:tcPr>
            <w:tcW w:w="976" w:type="dxa"/>
            <w:vAlign w:val="center"/>
          </w:tcPr>
          <w:p w:rsidR="00B536C4" w:rsidRDefault="00CC45D2">
            <w:pPr>
              <w:jc w:val="center"/>
            </w:pPr>
            <w:r>
              <w:rPr>
                <w:sz w:val="24"/>
              </w:rPr>
              <w:t>石药集团有限公司</w:t>
            </w:r>
          </w:p>
        </w:tc>
        <w:tc>
          <w:tcPr>
            <w:tcW w:w="1138" w:type="dxa"/>
            <w:vAlign w:val="center"/>
          </w:tcPr>
          <w:p w:rsidR="00B536C4" w:rsidRDefault="00CC45D2">
            <w:pPr>
              <w:jc w:val="center"/>
            </w:pPr>
            <w:r>
              <w:rPr>
                <w:sz w:val="24"/>
              </w:rPr>
              <w:t>1093 HK</w:t>
            </w:r>
          </w:p>
        </w:tc>
        <w:tc>
          <w:tcPr>
            <w:tcW w:w="815" w:type="dxa"/>
            <w:vAlign w:val="center"/>
          </w:tcPr>
          <w:p w:rsidR="00B536C4" w:rsidRDefault="00CC45D2">
            <w:pPr>
              <w:jc w:val="center"/>
            </w:pPr>
            <w:r>
              <w:rPr>
                <w:sz w:val="24"/>
              </w:rPr>
              <w:t>香港证券交易所</w:t>
            </w:r>
          </w:p>
        </w:tc>
        <w:tc>
          <w:tcPr>
            <w:tcW w:w="986" w:type="dxa"/>
            <w:vAlign w:val="center"/>
          </w:tcPr>
          <w:p w:rsidR="00B536C4" w:rsidRDefault="00CC45D2">
            <w:pPr>
              <w:jc w:val="center"/>
            </w:pPr>
            <w:r>
              <w:rPr>
                <w:sz w:val="24"/>
              </w:rPr>
              <w:t>香港</w:t>
            </w:r>
          </w:p>
        </w:tc>
        <w:tc>
          <w:tcPr>
            <w:tcW w:w="976" w:type="dxa"/>
            <w:vAlign w:val="center"/>
          </w:tcPr>
          <w:p w:rsidR="00B536C4" w:rsidRDefault="00CC45D2">
            <w:pPr>
              <w:jc w:val="right"/>
            </w:pPr>
            <w:r>
              <w:rPr>
                <w:sz w:val="24"/>
              </w:rPr>
              <w:t>150,000</w:t>
            </w:r>
          </w:p>
        </w:tc>
        <w:tc>
          <w:tcPr>
            <w:tcW w:w="1624" w:type="dxa"/>
            <w:vAlign w:val="center"/>
          </w:tcPr>
          <w:p w:rsidR="00B536C4" w:rsidRDefault="00CC45D2">
            <w:pPr>
              <w:jc w:val="right"/>
            </w:pPr>
            <w:r>
              <w:rPr>
                <w:sz w:val="24"/>
              </w:rPr>
              <w:t>1,111,173.79</w:t>
            </w:r>
          </w:p>
        </w:tc>
        <w:tc>
          <w:tcPr>
            <w:tcW w:w="959" w:type="dxa"/>
            <w:vAlign w:val="center"/>
          </w:tcPr>
          <w:p w:rsidR="00B536C4" w:rsidRDefault="00CC45D2">
            <w:pPr>
              <w:jc w:val="right"/>
            </w:pPr>
            <w:r>
              <w:rPr>
                <w:sz w:val="24"/>
              </w:rPr>
              <w:t>2.82</w:t>
            </w:r>
          </w:p>
        </w:tc>
      </w:tr>
      <w:tr w:rsidR="00B536C4">
        <w:tc>
          <w:tcPr>
            <w:tcW w:w="653" w:type="dxa"/>
            <w:vAlign w:val="center"/>
          </w:tcPr>
          <w:p w:rsidR="00B536C4" w:rsidRDefault="00CC45D2">
            <w:pPr>
              <w:jc w:val="center"/>
            </w:pPr>
            <w:r>
              <w:rPr>
                <w:sz w:val="24"/>
              </w:rPr>
              <w:t>11</w:t>
            </w:r>
          </w:p>
        </w:tc>
        <w:tc>
          <w:tcPr>
            <w:tcW w:w="871" w:type="dxa"/>
            <w:vAlign w:val="center"/>
          </w:tcPr>
          <w:p w:rsidR="00B536C4" w:rsidRDefault="00CC45D2">
            <w:pPr>
              <w:jc w:val="center"/>
            </w:pPr>
            <w:r>
              <w:rPr>
                <w:sz w:val="24"/>
              </w:rPr>
              <w:t>FuYao Glass Industry Group Co.,Ltd.</w:t>
            </w:r>
          </w:p>
        </w:tc>
        <w:tc>
          <w:tcPr>
            <w:tcW w:w="976" w:type="dxa"/>
            <w:vAlign w:val="center"/>
          </w:tcPr>
          <w:p w:rsidR="00B536C4" w:rsidRDefault="00CC45D2">
            <w:pPr>
              <w:jc w:val="center"/>
            </w:pPr>
            <w:r>
              <w:rPr>
                <w:sz w:val="24"/>
              </w:rPr>
              <w:t>福耀玻璃工业集团股份有限公司</w:t>
            </w:r>
          </w:p>
        </w:tc>
        <w:tc>
          <w:tcPr>
            <w:tcW w:w="1138" w:type="dxa"/>
            <w:vAlign w:val="center"/>
          </w:tcPr>
          <w:p w:rsidR="00B536C4" w:rsidRDefault="00CC45D2">
            <w:pPr>
              <w:jc w:val="center"/>
            </w:pPr>
            <w:r>
              <w:rPr>
                <w:sz w:val="24"/>
              </w:rPr>
              <w:t>3606 HK</w:t>
            </w:r>
          </w:p>
        </w:tc>
        <w:tc>
          <w:tcPr>
            <w:tcW w:w="815" w:type="dxa"/>
            <w:vAlign w:val="center"/>
          </w:tcPr>
          <w:p w:rsidR="00B536C4" w:rsidRDefault="00CC45D2">
            <w:pPr>
              <w:jc w:val="center"/>
            </w:pPr>
            <w:r>
              <w:rPr>
                <w:sz w:val="24"/>
              </w:rPr>
              <w:t>香港证券交易所</w:t>
            </w:r>
          </w:p>
        </w:tc>
        <w:tc>
          <w:tcPr>
            <w:tcW w:w="986" w:type="dxa"/>
            <w:vAlign w:val="center"/>
          </w:tcPr>
          <w:p w:rsidR="00B536C4" w:rsidRDefault="00CC45D2">
            <w:pPr>
              <w:jc w:val="center"/>
            </w:pPr>
            <w:r>
              <w:rPr>
                <w:sz w:val="24"/>
              </w:rPr>
              <w:t>香港</w:t>
            </w:r>
          </w:p>
        </w:tc>
        <w:tc>
          <w:tcPr>
            <w:tcW w:w="976" w:type="dxa"/>
            <w:vAlign w:val="center"/>
          </w:tcPr>
          <w:p w:rsidR="00B536C4" w:rsidRDefault="00CC45D2">
            <w:pPr>
              <w:jc w:val="right"/>
            </w:pPr>
            <w:r>
              <w:rPr>
                <w:sz w:val="24"/>
              </w:rPr>
              <w:t>50,000</w:t>
            </w:r>
          </w:p>
        </w:tc>
        <w:tc>
          <w:tcPr>
            <w:tcW w:w="1624" w:type="dxa"/>
            <w:vAlign w:val="center"/>
          </w:tcPr>
          <w:p w:rsidR="00B536C4" w:rsidRDefault="00CC45D2">
            <w:pPr>
              <w:jc w:val="right"/>
            </w:pPr>
            <w:r>
              <w:rPr>
                <w:sz w:val="24"/>
              </w:rPr>
              <w:t>1,075,834.53</w:t>
            </w:r>
          </w:p>
        </w:tc>
        <w:tc>
          <w:tcPr>
            <w:tcW w:w="959" w:type="dxa"/>
            <w:vAlign w:val="center"/>
          </w:tcPr>
          <w:p w:rsidR="00B536C4" w:rsidRDefault="00CC45D2">
            <w:pPr>
              <w:jc w:val="right"/>
            </w:pPr>
            <w:r>
              <w:rPr>
                <w:sz w:val="24"/>
              </w:rPr>
              <w:t>2.73</w:t>
            </w:r>
          </w:p>
        </w:tc>
      </w:tr>
      <w:tr w:rsidR="00B536C4">
        <w:tc>
          <w:tcPr>
            <w:tcW w:w="653" w:type="dxa"/>
            <w:vAlign w:val="center"/>
          </w:tcPr>
          <w:p w:rsidR="00B536C4" w:rsidRDefault="00CC45D2">
            <w:pPr>
              <w:jc w:val="center"/>
            </w:pPr>
            <w:r>
              <w:rPr>
                <w:sz w:val="24"/>
              </w:rPr>
              <w:t>12</w:t>
            </w:r>
          </w:p>
        </w:tc>
        <w:tc>
          <w:tcPr>
            <w:tcW w:w="871" w:type="dxa"/>
            <w:vAlign w:val="center"/>
          </w:tcPr>
          <w:p w:rsidR="00B536C4" w:rsidRDefault="00CC45D2">
            <w:pPr>
              <w:jc w:val="center"/>
            </w:pPr>
            <w:r>
              <w:rPr>
                <w:sz w:val="24"/>
              </w:rPr>
              <w:t>Ping An Insurance (Group) Company Of China,Ltd.</w:t>
            </w:r>
          </w:p>
        </w:tc>
        <w:tc>
          <w:tcPr>
            <w:tcW w:w="976" w:type="dxa"/>
            <w:vAlign w:val="center"/>
          </w:tcPr>
          <w:p w:rsidR="00B536C4" w:rsidRDefault="00CC45D2">
            <w:pPr>
              <w:jc w:val="center"/>
            </w:pPr>
            <w:r>
              <w:rPr>
                <w:sz w:val="24"/>
              </w:rPr>
              <w:t>中国平安保险</w:t>
            </w:r>
            <w:r>
              <w:rPr>
                <w:sz w:val="24"/>
              </w:rPr>
              <w:t>(</w:t>
            </w:r>
            <w:r>
              <w:rPr>
                <w:sz w:val="24"/>
              </w:rPr>
              <w:t>集团</w:t>
            </w:r>
            <w:r>
              <w:rPr>
                <w:sz w:val="24"/>
              </w:rPr>
              <w:t>)</w:t>
            </w:r>
            <w:r>
              <w:rPr>
                <w:sz w:val="24"/>
              </w:rPr>
              <w:t>股份有限公司</w:t>
            </w:r>
          </w:p>
        </w:tc>
        <w:tc>
          <w:tcPr>
            <w:tcW w:w="1138" w:type="dxa"/>
            <w:vAlign w:val="center"/>
          </w:tcPr>
          <w:p w:rsidR="00B536C4" w:rsidRDefault="00CC45D2">
            <w:pPr>
              <w:jc w:val="center"/>
            </w:pPr>
            <w:r>
              <w:rPr>
                <w:sz w:val="24"/>
              </w:rPr>
              <w:t>2318 HK</w:t>
            </w:r>
          </w:p>
        </w:tc>
        <w:tc>
          <w:tcPr>
            <w:tcW w:w="815" w:type="dxa"/>
            <w:vAlign w:val="center"/>
          </w:tcPr>
          <w:p w:rsidR="00B536C4" w:rsidRDefault="00CC45D2">
            <w:pPr>
              <w:jc w:val="center"/>
            </w:pPr>
            <w:r>
              <w:rPr>
                <w:sz w:val="24"/>
              </w:rPr>
              <w:t>香港证券交易所</w:t>
            </w:r>
          </w:p>
        </w:tc>
        <w:tc>
          <w:tcPr>
            <w:tcW w:w="986" w:type="dxa"/>
            <w:vAlign w:val="center"/>
          </w:tcPr>
          <w:p w:rsidR="00B536C4" w:rsidRDefault="00CC45D2">
            <w:pPr>
              <w:jc w:val="center"/>
            </w:pPr>
            <w:r>
              <w:rPr>
                <w:sz w:val="24"/>
              </w:rPr>
              <w:t>香港</w:t>
            </w:r>
          </w:p>
        </w:tc>
        <w:tc>
          <w:tcPr>
            <w:tcW w:w="976" w:type="dxa"/>
            <w:vAlign w:val="center"/>
          </w:tcPr>
          <w:p w:rsidR="00B536C4" w:rsidRDefault="00CC45D2">
            <w:pPr>
              <w:jc w:val="right"/>
            </w:pPr>
            <w:r>
              <w:rPr>
                <w:sz w:val="24"/>
              </w:rPr>
              <w:t>30,000</w:t>
            </w:r>
          </w:p>
        </w:tc>
        <w:tc>
          <w:tcPr>
            <w:tcW w:w="1624" w:type="dxa"/>
            <w:vAlign w:val="center"/>
          </w:tcPr>
          <w:p w:rsidR="00B536C4" w:rsidRDefault="00CC45D2">
            <w:pPr>
              <w:jc w:val="right"/>
            </w:pPr>
            <w:r>
              <w:rPr>
                <w:sz w:val="24"/>
              </w:rPr>
              <w:t>1,041,389.93</w:t>
            </w:r>
          </w:p>
        </w:tc>
        <w:tc>
          <w:tcPr>
            <w:tcW w:w="959" w:type="dxa"/>
            <w:vAlign w:val="center"/>
          </w:tcPr>
          <w:p w:rsidR="00B536C4" w:rsidRDefault="00CC45D2">
            <w:pPr>
              <w:jc w:val="right"/>
            </w:pPr>
            <w:r>
              <w:rPr>
                <w:sz w:val="24"/>
              </w:rPr>
              <w:t>2.65</w:t>
            </w:r>
          </w:p>
        </w:tc>
      </w:tr>
      <w:tr w:rsidR="00B536C4">
        <w:tc>
          <w:tcPr>
            <w:tcW w:w="653" w:type="dxa"/>
            <w:vAlign w:val="center"/>
          </w:tcPr>
          <w:p w:rsidR="00B536C4" w:rsidRDefault="00CC45D2">
            <w:pPr>
              <w:jc w:val="center"/>
            </w:pPr>
            <w:r>
              <w:rPr>
                <w:sz w:val="24"/>
              </w:rPr>
              <w:t>13</w:t>
            </w:r>
          </w:p>
        </w:tc>
        <w:tc>
          <w:tcPr>
            <w:tcW w:w="871" w:type="dxa"/>
            <w:vAlign w:val="center"/>
          </w:tcPr>
          <w:p w:rsidR="00B536C4" w:rsidRDefault="00CC45D2">
            <w:pPr>
              <w:jc w:val="center"/>
            </w:pPr>
            <w:r>
              <w:rPr>
                <w:sz w:val="24"/>
              </w:rPr>
              <w:t>China Railway Signal &amp; Communication Corporation Limited</w:t>
            </w:r>
          </w:p>
        </w:tc>
        <w:tc>
          <w:tcPr>
            <w:tcW w:w="976" w:type="dxa"/>
            <w:vAlign w:val="center"/>
          </w:tcPr>
          <w:p w:rsidR="00B536C4" w:rsidRDefault="00CC45D2">
            <w:pPr>
              <w:jc w:val="center"/>
            </w:pPr>
            <w:r>
              <w:rPr>
                <w:sz w:val="24"/>
              </w:rPr>
              <w:t>中国铁路通信信号股份有限公司</w:t>
            </w:r>
          </w:p>
        </w:tc>
        <w:tc>
          <w:tcPr>
            <w:tcW w:w="1138" w:type="dxa"/>
            <w:vAlign w:val="center"/>
          </w:tcPr>
          <w:p w:rsidR="00B536C4" w:rsidRDefault="00CC45D2">
            <w:pPr>
              <w:jc w:val="center"/>
            </w:pPr>
            <w:r>
              <w:rPr>
                <w:sz w:val="24"/>
              </w:rPr>
              <w:t>3969 HK</w:t>
            </w:r>
          </w:p>
        </w:tc>
        <w:tc>
          <w:tcPr>
            <w:tcW w:w="815" w:type="dxa"/>
            <w:vAlign w:val="center"/>
          </w:tcPr>
          <w:p w:rsidR="00B536C4" w:rsidRDefault="00CC45D2">
            <w:pPr>
              <w:jc w:val="center"/>
            </w:pPr>
            <w:r>
              <w:rPr>
                <w:sz w:val="24"/>
              </w:rPr>
              <w:t>香港证券交易所</w:t>
            </w:r>
          </w:p>
        </w:tc>
        <w:tc>
          <w:tcPr>
            <w:tcW w:w="986" w:type="dxa"/>
            <w:vAlign w:val="center"/>
          </w:tcPr>
          <w:p w:rsidR="00B536C4" w:rsidRDefault="00CC45D2">
            <w:pPr>
              <w:jc w:val="center"/>
            </w:pPr>
            <w:r>
              <w:rPr>
                <w:sz w:val="24"/>
              </w:rPr>
              <w:t>香港</w:t>
            </w:r>
          </w:p>
        </w:tc>
        <w:tc>
          <w:tcPr>
            <w:tcW w:w="976" w:type="dxa"/>
            <w:vAlign w:val="center"/>
          </w:tcPr>
          <w:p w:rsidR="00B536C4" w:rsidRDefault="00CC45D2">
            <w:pPr>
              <w:jc w:val="right"/>
            </w:pPr>
            <w:r>
              <w:rPr>
                <w:sz w:val="24"/>
              </w:rPr>
              <w:t>200,000</w:t>
            </w:r>
          </w:p>
        </w:tc>
        <w:tc>
          <w:tcPr>
            <w:tcW w:w="1624" w:type="dxa"/>
            <w:vAlign w:val="center"/>
          </w:tcPr>
          <w:p w:rsidR="00B536C4" w:rsidRDefault="00CC45D2">
            <w:pPr>
              <w:jc w:val="right"/>
            </w:pPr>
            <w:r>
              <w:rPr>
                <w:sz w:val="24"/>
              </w:rPr>
              <w:t>1,000,235.35</w:t>
            </w:r>
          </w:p>
        </w:tc>
        <w:tc>
          <w:tcPr>
            <w:tcW w:w="959" w:type="dxa"/>
            <w:vAlign w:val="center"/>
          </w:tcPr>
          <w:p w:rsidR="00B536C4" w:rsidRDefault="00CC45D2">
            <w:pPr>
              <w:jc w:val="right"/>
            </w:pPr>
            <w:r>
              <w:rPr>
                <w:sz w:val="24"/>
              </w:rPr>
              <w:t>2.54</w:t>
            </w:r>
          </w:p>
        </w:tc>
      </w:tr>
      <w:tr w:rsidR="00B536C4">
        <w:tc>
          <w:tcPr>
            <w:tcW w:w="653" w:type="dxa"/>
            <w:vAlign w:val="center"/>
          </w:tcPr>
          <w:p w:rsidR="00B536C4" w:rsidRDefault="00CC45D2">
            <w:pPr>
              <w:jc w:val="center"/>
            </w:pPr>
            <w:r>
              <w:rPr>
                <w:sz w:val="24"/>
              </w:rPr>
              <w:t>14</w:t>
            </w:r>
          </w:p>
        </w:tc>
        <w:tc>
          <w:tcPr>
            <w:tcW w:w="871" w:type="dxa"/>
            <w:vAlign w:val="center"/>
          </w:tcPr>
          <w:p w:rsidR="00B536C4" w:rsidRDefault="00CC45D2">
            <w:pPr>
              <w:jc w:val="center"/>
            </w:pPr>
            <w:r>
              <w:rPr>
                <w:sz w:val="24"/>
              </w:rPr>
              <w:t xml:space="preserve">China </w:t>
            </w:r>
            <w:r>
              <w:rPr>
                <w:sz w:val="24"/>
              </w:rPr>
              <w:lastRenderedPageBreak/>
              <w:t>Agri-Industries Holdings Limited</w:t>
            </w:r>
          </w:p>
        </w:tc>
        <w:tc>
          <w:tcPr>
            <w:tcW w:w="976" w:type="dxa"/>
            <w:vAlign w:val="center"/>
          </w:tcPr>
          <w:p w:rsidR="00B536C4" w:rsidRDefault="00CC45D2">
            <w:pPr>
              <w:jc w:val="center"/>
            </w:pPr>
            <w:r>
              <w:rPr>
                <w:sz w:val="24"/>
              </w:rPr>
              <w:lastRenderedPageBreak/>
              <w:t>中国粮油</w:t>
            </w:r>
            <w:r>
              <w:rPr>
                <w:sz w:val="24"/>
              </w:rPr>
              <w:lastRenderedPageBreak/>
              <w:t>控股有限公司</w:t>
            </w:r>
          </w:p>
        </w:tc>
        <w:tc>
          <w:tcPr>
            <w:tcW w:w="1138" w:type="dxa"/>
            <w:vAlign w:val="center"/>
          </w:tcPr>
          <w:p w:rsidR="00B536C4" w:rsidRDefault="00CC45D2">
            <w:pPr>
              <w:jc w:val="center"/>
            </w:pPr>
            <w:r>
              <w:rPr>
                <w:sz w:val="24"/>
              </w:rPr>
              <w:lastRenderedPageBreak/>
              <w:t>606 HK</w:t>
            </w:r>
          </w:p>
        </w:tc>
        <w:tc>
          <w:tcPr>
            <w:tcW w:w="815" w:type="dxa"/>
            <w:vAlign w:val="center"/>
          </w:tcPr>
          <w:p w:rsidR="00B536C4" w:rsidRDefault="00CC45D2">
            <w:pPr>
              <w:jc w:val="center"/>
            </w:pPr>
            <w:r>
              <w:rPr>
                <w:sz w:val="24"/>
              </w:rPr>
              <w:t>香港证</w:t>
            </w:r>
            <w:r>
              <w:rPr>
                <w:sz w:val="24"/>
              </w:rPr>
              <w:lastRenderedPageBreak/>
              <w:t>券交易所</w:t>
            </w:r>
          </w:p>
        </w:tc>
        <w:tc>
          <w:tcPr>
            <w:tcW w:w="986" w:type="dxa"/>
            <w:vAlign w:val="center"/>
          </w:tcPr>
          <w:p w:rsidR="00B536C4" w:rsidRDefault="00CC45D2">
            <w:pPr>
              <w:jc w:val="center"/>
            </w:pPr>
            <w:r>
              <w:rPr>
                <w:sz w:val="24"/>
              </w:rPr>
              <w:lastRenderedPageBreak/>
              <w:t>香港</w:t>
            </w:r>
          </w:p>
        </w:tc>
        <w:tc>
          <w:tcPr>
            <w:tcW w:w="976" w:type="dxa"/>
            <w:vAlign w:val="center"/>
          </w:tcPr>
          <w:p w:rsidR="00B536C4" w:rsidRDefault="00CC45D2">
            <w:pPr>
              <w:jc w:val="right"/>
            </w:pPr>
            <w:r>
              <w:rPr>
                <w:sz w:val="24"/>
              </w:rPr>
              <w:t>360,000</w:t>
            </w:r>
          </w:p>
        </w:tc>
        <w:tc>
          <w:tcPr>
            <w:tcW w:w="1624" w:type="dxa"/>
            <w:vAlign w:val="center"/>
          </w:tcPr>
          <w:p w:rsidR="00B536C4" w:rsidRDefault="00CC45D2">
            <w:pPr>
              <w:jc w:val="right"/>
            </w:pPr>
            <w:r>
              <w:rPr>
                <w:sz w:val="24"/>
              </w:rPr>
              <w:t>975,900.46</w:t>
            </w:r>
          </w:p>
        </w:tc>
        <w:tc>
          <w:tcPr>
            <w:tcW w:w="959" w:type="dxa"/>
            <w:vAlign w:val="center"/>
          </w:tcPr>
          <w:p w:rsidR="00B536C4" w:rsidRDefault="00CC45D2">
            <w:pPr>
              <w:jc w:val="right"/>
            </w:pPr>
            <w:r>
              <w:rPr>
                <w:sz w:val="24"/>
              </w:rPr>
              <w:t>2.48</w:t>
            </w:r>
          </w:p>
        </w:tc>
      </w:tr>
      <w:tr w:rsidR="00B536C4">
        <w:tc>
          <w:tcPr>
            <w:tcW w:w="653" w:type="dxa"/>
            <w:vAlign w:val="center"/>
          </w:tcPr>
          <w:p w:rsidR="00B536C4" w:rsidRDefault="00CC45D2">
            <w:pPr>
              <w:jc w:val="center"/>
            </w:pPr>
            <w:r>
              <w:rPr>
                <w:sz w:val="24"/>
              </w:rPr>
              <w:lastRenderedPageBreak/>
              <w:t>15</w:t>
            </w:r>
          </w:p>
        </w:tc>
        <w:tc>
          <w:tcPr>
            <w:tcW w:w="871" w:type="dxa"/>
            <w:vAlign w:val="center"/>
          </w:tcPr>
          <w:p w:rsidR="00B536C4" w:rsidRDefault="00CC45D2">
            <w:pPr>
              <w:jc w:val="center"/>
            </w:pPr>
            <w:r>
              <w:rPr>
                <w:sz w:val="24"/>
              </w:rPr>
              <w:t>Aluminum Corporation Of China Limited</w:t>
            </w:r>
          </w:p>
        </w:tc>
        <w:tc>
          <w:tcPr>
            <w:tcW w:w="976" w:type="dxa"/>
            <w:vAlign w:val="center"/>
          </w:tcPr>
          <w:p w:rsidR="00B536C4" w:rsidRDefault="00CC45D2">
            <w:pPr>
              <w:jc w:val="center"/>
            </w:pPr>
            <w:r>
              <w:rPr>
                <w:sz w:val="24"/>
              </w:rPr>
              <w:t>中国铝业股份有限公司</w:t>
            </w:r>
          </w:p>
        </w:tc>
        <w:tc>
          <w:tcPr>
            <w:tcW w:w="1138" w:type="dxa"/>
            <w:vAlign w:val="center"/>
          </w:tcPr>
          <w:p w:rsidR="00B536C4" w:rsidRDefault="00CC45D2">
            <w:pPr>
              <w:jc w:val="center"/>
            </w:pPr>
            <w:r>
              <w:rPr>
                <w:sz w:val="24"/>
              </w:rPr>
              <w:t>2600 HK</w:t>
            </w:r>
          </w:p>
        </w:tc>
        <w:tc>
          <w:tcPr>
            <w:tcW w:w="815" w:type="dxa"/>
            <w:vAlign w:val="center"/>
          </w:tcPr>
          <w:p w:rsidR="00B536C4" w:rsidRDefault="00CC45D2">
            <w:pPr>
              <w:jc w:val="center"/>
            </w:pPr>
            <w:r>
              <w:rPr>
                <w:sz w:val="24"/>
              </w:rPr>
              <w:t>香港证券交易所</w:t>
            </w:r>
          </w:p>
        </w:tc>
        <w:tc>
          <w:tcPr>
            <w:tcW w:w="986" w:type="dxa"/>
            <w:vAlign w:val="center"/>
          </w:tcPr>
          <w:p w:rsidR="00B536C4" w:rsidRDefault="00CC45D2">
            <w:pPr>
              <w:jc w:val="center"/>
            </w:pPr>
            <w:r>
              <w:rPr>
                <w:sz w:val="24"/>
              </w:rPr>
              <w:t>香港</w:t>
            </w:r>
          </w:p>
        </w:tc>
        <w:tc>
          <w:tcPr>
            <w:tcW w:w="976" w:type="dxa"/>
            <w:vAlign w:val="center"/>
          </w:tcPr>
          <w:p w:rsidR="00B536C4" w:rsidRDefault="00CC45D2">
            <w:pPr>
              <w:jc w:val="right"/>
            </w:pPr>
            <w:r>
              <w:rPr>
                <w:sz w:val="24"/>
              </w:rPr>
              <w:t>300,000</w:t>
            </w:r>
          </w:p>
        </w:tc>
        <w:tc>
          <w:tcPr>
            <w:tcW w:w="1624" w:type="dxa"/>
            <w:vAlign w:val="center"/>
          </w:tcPr>
          <w:p w:rsidR="00B536C4" w:rsidRDefault="00CC45D2">
            <w:pPr>
              <w:jc w:val="right"/>
            </w:pPr>
            <w:r>
              <w:rPr>
                <w:sz w:val="24"/>
              </w:rPr>
              <w:t>858,878.29</w:t>
            </w:r>
          </w:p>
        </w:tc>
        <w:tc>
          <w:tcPr>
            <w:tcW w:w="959" w:type="dxa"/>
            <w:vAlign w:val="center"/>
          </w:tcPr>
          <w:p w:rsidR="00B536C4" w:rsidRDefault="00CC45D2">
            <w:pPr>
              <w:jc w:val="right"/>
            </w:pPr>
            <w:r>
              <w:rPr>
                <w:sz w:val="24"/>
              </w:rPr>
              <w:t>2.18</w:t>
            </w:r>
          </w:p>
        </w:tc>
      </w:tr>
      <w:tr w:rsidR="00B536C4">
        <w:tc>
          <w:tcPr>
            <w:tcW w:w="653" w:type="dxa"/>
            <w:vAlign w:val="center"/>
          </w:tcPr>
          <w:p w:rsidR="00B536C4" w:rsidRDefault="00CC45D2">
            <w:pPr>
              <w:jc w:val="center"/>
            </w:pPr>
            <w:r>
              <w:rPr>
                <w:sz w:val="24"/>
              </w:rPr>
              <w:t>16</w:t>
            </w:r>
          </w:p>
        </w:tc>
        <w:tc>
          <w:tcPr>
            <w:tcW w:w="871" w:type="dxa"/>
            <w:vAlign w:val="center"/>
          </w:tcPr>
          <w:p w:rsidR="00B536C4" w:rsidRDefault="00CC45D2">
            <w:pPr>
              <w:jc w:val="center"/>
            </w:pPr>
            <w:r>
              <w:rPr>
                <w:sz w:val="24"/>
              </w:rPr>
              <w:t>Guangzhou Automobile Group Co.,Ltd.</w:t>
            </w:r>
          </w:p>
        </w:tc>
        <w:tc>
          <w:tcPr>
            <w:tcW w:w="976" w:type="dxa"/>
            <w:vAlign w:val="center"/>
          </w:tcPr>
          <w:p w:rsidR="00B536C4" w:rsidRDefault="00CC45D2">
            <w:pPr>
              <w:jc w:val="center"/>
            </w:pPr>
            <w:r>
              <w:rPr>
                <w:sz w:val="24"/>
              </w:rPr>
              <w:t>广州汽车集团股份有限公司</w:t>
            </w:r>
          </w:p>
        </w:tc>
        <w:tc>
          <w:tcPr>
            <w:tcW w:w="1138" w:type="dxa"/>
            <w:vAlign w:val="center"/>
          </w:tcPr>
          <w:p w:rsidR="00B536C4" w:rsidRDefault="00CC45D2">
            <w:pPr>
              <w:jc w:val="center"/>
            </w:pPr>
            <w:r>
              <w:rPr>
                <w:sz w:val="24"/>
              </w:rPr>
              <w:t>2238 HK</w:t>
            </w:r>
          </w:p>
        </w:tc>
        <w:tc>
          <w:tcPr>
            <w:tcW w:w="815" w:type="dxa"/>
            <w:vAlign w:val="center"/>
          </w:tcPr>
          <w:p w:rsidR="00B536C4" w:rsidRDefault="00CC45D2">
            <w:pPr>
              <w:jc w:val="center"/>
            </w:pPr>
            <w:r>
              <w:rPr>
                <w:sz w:val="24"/>
              </w:rPr>
              <w:t>香港证券交易所</w:t>
            </w:r>
          </w:p>
        </w:tc>
        <w:tc>
          <w:tcPr>
            <w:tcW w:w="986" w:type="dxa"/>
            <w:vAlign w:val="center"/>
          </w:tcPr>
          <w:p w:rsidR="00B536C4" w:rsidRDefault="00CC45D2">
            <w:pPr>
              <w:jc w:val="center"/>
            </w:pPr>
            <w:r>
              <w:rPr>
                <w:sz w:val="24"/>
              </w:rPr>
              <w:t>香港</w:t>
            </w:r>
          </w:p>
        </w:tc>
        <w:tc>
          <w:tcPr>
            <w:tcW w:w="976" w:type="dxa"/>
            <w:vAlign w:val="center"/>
          </w:tcPr>
          <w:p w:rsidR="00B536C4" w:rsidRDefault="00CC45D2">
            <w:pPr>
              <w:jc w:val="right"/>
            </w:pPr>
            <w:r>
              <w:rPr>
                <w:sz w:val="24"/>
              </w:rPr>
              <w:t>100,000</w:t>
            </w:r>
          </w:p>
        </w:tc>
        <w:tc>
          <w:tcPr>
            <w:tcW w:w="1624" w:type="dxa"/>
            <w:vAlign w:val="center"/>
          </w:tcPr>
          <w:p w:rsidR="00B536C4" w:rsidRDefault="00CC45D2">
            <w:pPr>
              <w:jc w:val="right"/>
            </w:pPr>
            <w:r>
              <w:rPr>
                <w:sz w:val="24"/>
              </w:rPr>
              <w:t>839,195.67</w:t>
            </w:r>
          </w:p>
        </w:tc>
        <w:tc>
          <w:tcPr>
            <w:tcW w:w="959" w:type="dxa"/>
            <w:vAlign w:val="center"/>
          </w:tcPr>
          <w:p w:rsidR="00B536C4" w:rsidRDefault="00CC45D2">
            <w:pPr>
              <w:jc w:val="right"/>
            </w:pPr>
            <w:r>
              <w:rPr>
                <w:sz w:val="24"/>
              </w:rPr>
              <w:t>2.13</w:t>
            </w:r>
          </w:p>
        </w:tc>
      </w:tr>
      <w:tr w:rsidR="00B536C4">
        <w:tc>
          <w:tcPr>
            <w:tcW w:w="653" w:type="dxa"/>
            <w:vAlign w:val="center"/>
          </w:tcPr>
          <w:p w:rsidR="00B536C4" w:rsidRDefault="00CC45D2">
            <w:pPr>
              <w:jc w:val="center"/>
            </w:pPr>
            <w:r>
              <w:rPr>
                <w:sz w:val="24"/>
              </w:rPr>
              <w:t>17</w:t>
            </w:r>
          </w:p>
        </w:tc>
        <w:tc>
          <w:tcPr>
            <w:tcW w:w="871" w:type="dxa"/>
            <w:vAlign w:val="center"/>
          </w:tcPr>
          <w:p w:rsidR="00B536C4" w:rsidRDefault="00CC45D2">
            <w:pPr>
              <w:jc w:val="center"/>
            </w:pPr>
            <w:r>
              <w:rPr>
                <w:sz w:val="24"/>
              </w:rPr>
              <w:t>SITC International Holdings Company Limited</w:t>
            </w:r>
          </w:p>
        </w:tc>
        <w:tc>
          <w:tcPr>
            <w:tcW w:w="976" w:type="dxa"/>
            <w:vAlign w:val="center"/>
          </w:tcPr>
          <w:p w:rsidR="00B536C4" w:rsidRDefault="00CC45D2">
            <w:pPr>
              <w:jc w:val="center"/>
            </w:pPr>
            <w:r>
              <w:rPr>
                <w:sz w:val="24"/>
              </w:rPr>
              <w:t>海丰国际控股有限公司</w:t>
            </w:r>
          </w:p>
        </w:tc>
        <w:tc>
          <w:tcPr>
            <w:tcW w:w="1138" w:type="dxa"/>
            <w:vAlign w:val="center"/>
          </w:tcPr>
          <w:p w:rsidR="00B536C4" w:rsidRDefault="00CC45D2">
            <w:pPr>
              <w:jc w:val="center"/>
            </w:pPr>
            <w:r>
              <w:rPr>
                <w:sz w:val="24"/>
              </w:rPr>
              <w:t>1308 HK</w:t>
            </w:r>
          </w:p>
        </w:tc>
        <w:tc>
          <w:tcPr>
            <w:tcW w:w="815" w:type="dxa"/>
            <w:vAlign w:val="center"/>
          </w:tcPr>
          <w:p w:rsidR="00B536C4" w:rsidRDefault="00CC45D2">
            <w:pPr>
              <w:jc w:val="center"/>
            </w:pPr>
            <w:r>
              <w:rPr>
                <w:sz w:val="24"/>
              </w:rPr>
              <w:t>香港证券交易所</w:t>
            </w:r>
          </w:p>
        </w:tc>
        <w:tc>
          <w:tcPr>
            <w:tcW w:w="986" w:type="dxa"/>
            <w:vAlign w:val="center"/>
          </w:tcPr>
          <w:p w:rsidR="00B536C4" w:rsidRDefault="00CC45D2">
            <w:pPr>
              <w:jc w:val="center"/>
            </w:pPr>
            <w:r>
              <w:rPr>
                <w:sz w:val="24"/>
              </w:rPr>
              <w:t>香港</w:t>
            </w:r>
          </w:p>
        </w:tc>
        <w:tc>
          <w:tcPr>
            <w:tcW w:w="976" w:type="dxa"/>
            <w:vAlign w:val="center"/>
          </w:tcPr>
          <w:p w:rsidR="00B536C4" w:rsidRDefault="00CC45D2">
            <w:pPr>
              <w:jc w:val="right"/>
            </w:pPr>
            <w:r>
              <w:rPr>
                <w:sz w:val="24"/>
              </w:rPr>
              <w:t>180,000</w:t>
            </w:r>
          </w:p>
        </w:tc>
        <w:tc>
          <w:tcPr>
            <w:tcW w:w="1624" w:type="dxa"/>
            <w:vAlign w:val="center"/>
          </w:tcPr>
          <w:p w:rsidR="00B536C4" w:rsidRDefault="00CC45D2">
            <w:pPr>
              <w:jc w:val="right"/>
            </w:pPr>
            <w:r>
              <w:rPr>
                <w:sz w:val="24"/>
              </w:rPr>
              <w:t>760,107.29</w:t>
            </w:r>
          </w:p>
        </w:tc>
        <w:tc>
          <w:tcPr>
            <w:tcW w:w="959" w:type="dxa"/>
            <w:vAlign w:val="center"/>
          </w:tcPr>
          <w:p w:rsidR="00B536C4" w:rsidRDefault="00CC45D2">
            <w:pPr>
              <w:jc w:val="right"/>
            </w:pPr>
            <w:r>
              <w:rPr>
                <w:sz w:val="24"/>
              </w:rPr>
              <w:t>1.93</w:t>
            </w:r>
          </w:p>
        </w:tc>
      </w:tr>
      <w:tr w:rsidR="00B536C4">
        <w:tc>
          <w:tcPr>
            <w:tcW w:w="653" w:type="dxa"/>
            <w:vAlign w:val="center"/>
          </w:tcPr>
          <w:p w:rsidR="00B536C4" w:rsidRDefault="00CC45D2">
            <w:pPr>
              <w:jc w:val="center"/>
            </w:pPr>
            <w:r>
              <w:rPr>
                <w:sz w:val="24"/>
              </w:rPr>
              <w:t>18</w:t>
            </w:r>
          </w:p>
        </w:tc>
        <w:tc>
          <w:tcPr>
            <w:tcW w:w="871" w:type="dxa"/>
            <w:vAlign w:val="center"/>
          </w:tcPr>
          <w:p w:rsidR="00B536C4" w:rsidRDefault="00CC45D2">
            <w:pPr>
              <w:jc w:val="center"/>
            </w:pPr>
            <w:r>
              <w:rPr>
                <w:sz w:val="24"/>
              </w:rPr>
              <w:t>Sinopec Shanghai Petrochemical Company Limited</w:t>
            </w:r>
          </w:p>
        </w:tc>
        <w:tc>
          <w:tcPr>
            <w:tcW w:w="976" w:type="dxa"/>
            <w:vAlign w:val="center"/>
          </w:tcPr>
          <w:p w:rsidR="00B536C4" w:rsidRDefault="00CC45D2">
            <w:pPr>
              <w:jc w:val="center"/>
            </w:pPr>
            <w:r>
              <w:rPr>
                <w:sz w:val="24"/>
              </w:rPr>
              <w:t>中国石化上海石油化工股份有限公司</w:t>
            </w:r>
          </w:p>
        </w:tc>
        <w:tc>
          <w:tcPr>
            <w:tcW w:w="1138" w:type="dxa"/>
            <w:vAlign w:val="center"/>
          </w:tcPr>
          <w:p w:rsidR="00B536C4" w:rsidRDefault="00CC45D2">
            <w:pPr>
              <w:jc w:val="center"/>
            </w:pPr>
            <w:r>
              <w:rPr>
                <w:sz w:val="24"/>
              </w:rPr>
              <w:t>338 HK</w:t>
            </w:r>
          </w:p>
        </w:tc>
        <w:tc>
          <w:tcPr>
            <w:tcW w:w="815" w:type="dxa"/>
            <w:vAlign w:val="center"/>
          </w:tcPr>
          <w:p w:rsidR="00B536C4" w:rsidRDefault="00CC45D2">
            <w:pPr>
              <w:jc w:val="center"/>
            </w:pPr>
            <w:r>
              <w:rPr>
                <w:sz w:val="24"/>
              </w:rPr>
              <w:t>香港证券交易所</w:t>
            </w:r>
          </w:p>
        </w:tc>
        <w:tc>
          <w:tcPr>
            <w:tcW w:w="986" w:type="dxa"/>
            <w:vAlign w:val="center"/>
          </w:tcPr>
          <w:p w:rsidR="00B536C4" w:rsidRDefault="00CC45D2">
            <w:pPr>
              <w:jc w:val="center"/>
            </w:pPr>
            <w:r>
              <w:rPr>
                <w:sz w:val="24"/>
              </w:rPr>
              <w:t>香港</w:t>
            </w:r>
          </w:p>
        </w:tc>
        <w:tc>
          <w:tcPr>
            <w:tcW w:w="976" w:type="dxa"/>
            <w:vAlign w:val="center"/>
          </w:tcPr>
          <w:p w:rsidR="00B536C4" w:rsidRDefault="00CC45D2">
            <w:pPr>
              <w:jc w:val="right"/>
            </w:pPr>
            <w:r>
              <w:rPr>
                <w:sz w:val="24"/>
              </w:rPr>
              <w:t>200,000</w:t>
            </w:r>
          </w:p>
        </w:tc>
        <w:tc>
          <w:tcPr>
            <w:tcW w:w="1624" w:type="dxa"/>
            <w:vAlign w:val="center"/>
          </w:tcPr>
          <w:p w:rsidR="00B536C4" w:rsidRDefault="00CC45D2">
            <w:pPr>
              <w:jc w:val="right"/>
            </w:pPr>
            <w:r>
              <w:rPr>
                <w:sz w:val="24"/>
              </w:rPr>
              <w:t>751,518.51</w:t>
            </w:r>
          </w:p>
        </w:tc>
        <w:tc>
          <w:tcPr>
            <w:tcW w:w="959" w:type="dxa"/>
            <w:vAlign w:val="center"/>
          </w:tcPr>
          <w:p w:rsidR="00B536C4" w:rsidRDefault="00CC45D2">
            <w:pPr>
              <w:jc w:val="right"/>
            </w:pPr>
            <w:r>
              <w:rPr>
                <w:sz w:val="24"/>
              </w:rPr>
              <w:t>1.91</w:t>
            </w:r>
          </w:p>
        </w:tc>
      </w:tr>
      <w:tr w:rsidR="00B536C4">
        <w:tc>
          <w:tcPr>
            <w:tcW w:w="653" w:type="dxa"/>
            <w:vAlign w:val="center"/>
          </w:tcPr>
          <w:p w:rsidR="00B536C4" w:rsidRDefault="00CC45D2">
            <w:pPr>
              <w:jc w:val="center"/>
            </w:pPr>
            <w:r>
              <w:rPr>
                <w:sz w:val="24"/>
              </w:rPr>
              <w:t>19</w:t>
            </w:r>
          </w:p>
        </w:tc>
        <w:tc>
          <w:tcPr>
            <w:tcW w:w="871" w:type="dxa"/>
            <w:vAlign w:val="center"/>
          </w:tcPr>
          <w:p w:rsidR="00B536C4" w:rsidRDefault="00CC45D2">
            <w:pPr>
              <w:jc w:val="center"/>
            </w:pPr>
            <w:r>
              <w:rPr>
                <w:sz w:val="24"/>
              </w:rPr>
              <w:t>Geely Automobile Holdings Limited</w:t>
            </w:r>
          </w:p>
        </w:tc>
        <w:tc>
          <w:tcPr>
            <w:tcW w:w="976" w:type="dxa"/>
            <w:vAlign w:val="center"/>
          </w:tcPr>
          <w:p w:rsidR="00B536C4" w:rsidRDefault="00CC45D2">
            <w:pPr>
              <w:jc w:val="center"/>
            </w:pPr>
            <w:r>
              <w:rPr>
                <w:sz w:val="24"/>
              </w:rPr>
              <w:t>吉利汽车控股有限公司</w:t>
            </w:r>
          </w:p>
        </w:tc>
        <w:tc>
          <w:tcPr>
            <w:tcW w:w="1138" w:type="dxa"/>
            <w:vAlign w:val="center"/>
          </w:tcPr>
          <w:p w:rsidR="00B536C4" w:rsidRDefault="00CC45D2">
            <w:pPr>
              <w:jc w:val="center"/>
            </w:pPr>
            <w:r>
              <w:rPr>
                <w:sz w:val="24"/>
              </w:rPr>
              <w:t>175 HK</w:t>
            </w:r>
          </w:p>
        </w:tc>
        <w:tc>
          <w:tcPr>
            <w:tcW w:w="815" w:type="dxa"/>
            <w:vAlign w:val="center"/>
          </w:tcPr>
          <w:p w:rsidR="00B536C4" w:rsidRDefault="00CC45D2">
            <w:pPr>
              <w:jc w:val="center"/>
            </w:pPr>
            <w:r>
              <w:rPr>
                <w:sz w:val="24"/>
              </w:rPr>
              <w:t>香港证券交易所</w:t>
            </w:r>
          </w:p>
        </w:tc>
        <w:tc>
          <w:tcPr>
            <w:tcW w:w="986" w:type="dxa"/>
            <w:vAlign w:val="center"/>
          </w:tcPr>
          <w:p w:rsidR="00B536C4" w:rsidRDefault="00CC45D2">
            <w:pPr>
              <w:jc w:val="center"/>
            </w:pPr>
            <w:r>
              <w:rPr>
                <w:sz w:val="24"/>
              </w:rPr>
              <w:t>香港</w:t>
            </w:r>
          </w:p>
        </w:tc>
        <w:tc>
          <w:tcPr>
            <w:tcW w:w="976" w:type="dxa"/>
            <w:vAlign w:val="center"/>
          </w:tcPr>
          <w:p w:rsidR="00B536C4" w:rsidRDefault="00CC45D2">
            <w:pPr>
              <w:jc w:val="right"/>
            </w:pPr>
            <w:r>
              <w:rPr>
                <w:sz w:val="24"/>
              </w:rPr>
              <w:t>100,000</w:t>
            </w:r>
          </w:p>
        </w:tc>
        <w:tc>
          <w:tcPr>
            <w:tcW w:w="1624" w:type="dxa"/>
            <w:vAlign w:val="center"/>
          </w:tcPr>
          <w:p w:rsidR="00B536C4" w:rsidRDefault="00CC45D2">
            <w:pPr>
              <w:jc w:val="right"/>
            </w:pPr>
            <w:r>
              <w:rPr>
                <w:sz w:val="24"/>
              </w:rPr>
              <w:t>662,946.68</w:t>
            </w:r>
          </w:p>
        </w:tc>
        <w:tc>
          <w:tcPr>
            <w:tcW w:w="959" w:type="dxa"/>
            <w:vAlign w:val="center"/>
          </w:tcPr>
          <w:p w:rsidR="00B536C4" w:rsidRDefault="00CC45D2">
            <w:pPr>
              <w:jc w:val="right"/>
            </w:pPr>
            <w:r>
              <w:rPr>
                <w:sz w:val="24"/>
              </w:rPr>
              <w:t>1.69</w:t>
            </w:r>
          </w:p>
        </w:tc>
      </w:tr>
      <w:tr w:rsidR="00B536C4">
        <w:tc>
          <w:tcPr>
            <w:tcW w:w="653" w:type="dxa"/>
            <w:vAlign w:val="center"/>
          </w:tcPr>
          <w:p w:rsidR="00B536C4" w:rsidRDefault="00CC45D2">
            <w:pPr>
              <w:jc w:val="center"/>
            </w:pPr>
            <w:r>
              <w:rPr>
                <w:sz w:val="24"/>
              </w:rPr>
              <w:t>20</w:t>
            </w:r>
          </w:p>
        </w:tc>
        <w:tc>
          <w:tcPr>
            <w:tcW w:w="871" w:type="dxa"/>
            <w:vAlign w:val="center"/>
          </w:tcPr>
          <w:p w:rsidR="00B536C4" w:rsidRDefault="00CC45D2">
            <w:pPr>
              <w:jc w:val="center"/>
            </w:pPr>
            <w:r>
              <w:rPr>
                <w:sz w:val="24"/>
              </w:rPr>
              <w:t>Hong Kong Exchanges And Clearing Limited</w:t>
            </w:r>
          </w:p>
        </w:tc>
        <w:tc>
          <w:tcPr>
            <w:tcW w:w="976" w:type="dxa"/>
            <w:vAlign w:val="center"/>
          </w:tcPr>
          <w:p w:rsidR="00B536C4" w:rsidRDefault="00CC45D2">
            <w:pPr>
              <w:jc w:val="center"/>
            </w:pPr>
            <w:r>
              <w:rPr>
                <w:sz w:val="24"/>
              </w:rPr>
              <w:t>香港交易及结算所有限公司</w:t>
            </w:r>
          </w:p>
        </w:tc>
        <w:tc>
          <w:tcPr>
            <w:tcW w:w="1138" w:type="dxa"/>
            <w:vAlign w:val="center"/>
          </w:tcPr>
          <w:p w:rsidR="00B536C4" w:rsidRDefault="00CC45D2">
            <w:pPr>
              <w:jc w:val="center"/>
            </w:pPr>
            <w:r>
              <w:rPr>
                <w:sz w:val="24"/>
              </w:rPr>
              <w:t>388 HK</w:t>
            </w:r>
          </w:p>
        </w:tc>
        <w:tc>
          <w:tcPr>
            <w:tcW w:w="815" w:type="dxa"/>
            <w:vAlign w:val="center"/>
          </w:tcPr>
          <w:p w:rsidR="00B536C4" w:rsidRDefault="00CC45D2">
            <w:pPr>
              <w:jc w:val="center"/>
            </w:pPr>
            <w:r>
              <w:rPr>
                <w:sz w:val="24"/>
              </w:rPr>
              <w:t>香港证券交易所</w:t>
            </w:r>
          </w:p>
        </w:tc>
        <w:tc>
          <w:tcPr>
            <w:tcW w:w="986" w:type="dxa"/>
            <w:vAlign w:val="center"/>
          </w:tcPr>
          <w:p w:rsidR="00B536C4" w:rsidRDefault="00CC45D2">
            <w:pPr>
              <w:jc w:val="center"/>
            </w:pPr>
            <w:r>
              <w:rPr>
                <w:sz w:val="24"/>
              </w:rPr>
              <w:t>香港</w:t>
            </w:r>
          </w:p>
        </w:tc>
        <w:tc>
          <w:tcPr>
            <w:tcW w:w="976" w:type="dxa"/>
            <w:vAlign w:val="center"/>
          </w:tcPr>
          <w:p w:rsidR="00B536C4" w:rsidRDefault="00CC45D2">
            <w:pPr>
              <w:jc w:val="right"/>
            </w:pPr>
            <w:r>
              <w:rPr>
                <w:sz w:val="24"/>
              </w:rPr>
              <w:t>4,000</w:t>
            </w:r>
          </w:p>
        </w:tc>
        <w:tc>
          <w:tcPr>
            <w:tcW w:w="1624" w:type="dxa"/>
            <w:vAlign w:val="center"/>
          </w:tcPr>
          <w:p w:rsidR="00B536C4" w:rsidRDefault="00CC45D2">
            <w:pPr>
              <w:jc w:val="right"/>
            </w:pPr>
            <w:r>
              <w:rPr>
                <w:sz w:val="24"/>
              </w:rPr>
              <w:t>655,610.43</w:t>
            </w:r>
          </w:p>
        </w:tc>
        <w:tc>
          <w:tcPr>
            <w:tcW w:w="959" w:type="dxa"/>
            <w:vAlign w:val="center"/>
          </w:tcPr>
          <w:p w:rsidR="00B536C4" w:rsidRDefault="00CC45D2">
            <w:pPr>
              <w:jc w:val="right"/>
            </w:pPr>
            <w:r>
              <w:rPr>
                <w:sz w:val="24"/>
              </w:rPr>
              <w:t>1.67</w:t>
            </w:r>
          </w:p>
        </w:tc>
      </w:tr>
      <w:tr w:rsidR="00B536C4">
        <w:tc>
          <w:tcPr>
            <w:tcW w:w="653" w:type="dxa"/>
            <w:vAlign w:val="center"/>
          </w:tcPr>
          <w:p w:rsidR="00B536C4" w:rsidRDefault="00CC45D2">
            <w:pPr>
              <w:jc w:val="center"/>
            </w:pPr>
            <w:r>
              <w:rPr>
                <w:sz w:val="24"/>
              </w:rPr>
              <w:lastRenderedPageBreak/>
              <w:t>21</w:t>
            </w:r>
          </w:p>
        </w:tc>
        <w:tc>
          <w:tcPr>
            <w:tcW w:w="871" w:type="dxa"/>
            <w:vAlign w:val="center"/>
          </w:tcPr>
          <w:p w:rsidR="00B536C4" w:rsidRDefault="00CC45D2">
            <w:pPr>
              <w:jc w:val="center"/>
            </w:pPr>
            <w:r>
              <w:rPr>
                <w:sz w:val="24"/>
              </w:rPr>
              <w:t>Xinyi Glass Holdings Ltd.</w:t>
            </w:r>
          </w:p>
        </w:tc>
        <w:tc>
          <w:tcPr>
            <w:tcW w:w="976" w:type="dxa"/>
            <w:vAlign w:val="center"/>
          </w:tcPr>
          <w:p w:rsidR="00B536C4" w:rsidRDefault="00CC45D2">
            <w:pPr>
              <w:jc w:val="center"/>
            </w:pPr>
            <w:r>
              <w:rPr>
                <w:sz w:val="24"/>
              </w:rPr>
              <w:t>信义玻璃控股有限公司</w:t>
            </w:r>
          </w:p>
        </w:tc>
        <w:tc>
          <w:tcPr>
            <w:tcW w:w="1138" w:type="dxa"/>
            <w:vAlign w:val="center"/>
          </w:tcPr>
          <w:p w:rsidR="00B536C4" w:rsidRDefault="00CC45D2">
            <w:pPr>
              <w:jc w:val="center"/>
            </w:pPr>
            <w:r>
              <w:rPr>
                <w:sz w:val="24"/>
              </w:rPr>
              <w:t>868 HK</w:t>
            </w:r>
          </w:p>
        </w:tc>
        <w:tc>
          <w:tcPr>
            <w:tcW w:w="815" w:type="dxa"/>
            <w:vAlign w:val="center"/>
          </w:tcPr>
          <w:p w:rsidR="00B536C4" w:rsidRDefault="00CC45D2">
            <w:pPr>
              <w:jc w:val="center"/>
            </w:pPr>
            <w:r>
              <w:rPr>
                <w:sz w:val="24"/>
              </w:rPr>
              <w:t>香港证券交易所</w:t>
            </w:r>
          </w:p>
        </w:tc>
        <w:tc>
          <w:tcPr>
            <w:tcW w:w="986" w:type="dxa"/>
            <w:vAlign w:val="center"/>
          </w:tcPr>
          <w:p w:rsidR="00B536C4" w:rsidRDefault="00CC45D2">
            <w:pPr>
              <w:jc w:val="center"/>
            </w:pPr>
            <w:r>
              <w:rPr>
                <w:sz w:val="24"/>
              </w:rPr>
              <w:t>香港</w:t>
            </w:r>
          </w:p>
        </w:tc>
        <w:tc>
          <w:tcPr>
            <w:tcW w:w="976" w:type="dxa"/>
            <w:vAlign w:val="center"/>
          </w:tcPr>
          <w:p w:rsidR="00B536C4" w:rsidRDefault="00CC45D2">
            <w:pPr>
              <w:jc w:val="right"/>
            </w:pPr>
            <w:r>
              <w:rPr>
                <w:sz w:val="24"/>
              </w:rPr>
              <w:t>110,000</w:t>
            </w:r>
          </w:p>
        </w:tc>
        <w:tc>
          <w:tcPr>
            <w:tcW w:w="1624" w:type="dxa"/>
            <w:vAlign w:val="center"/>
          </w:tcPr>
          <w:p w:rsidR="00B536C4" w:rsidRDefault="00CC45D2">
            <w:pPr>
              <w:jc w:val="right"/>
            </w:pPr>
            <w:r>
              <w:rPr>
                <w:sz w:val="24"/>
              </w:rPr>
              <w:t>623,939.29</w:t>
            </w:r>
          </w:p>
        </w:tc>
        <w:tc>
          <w:tcPr>
            <w:tcW w:w="959" w:type="dxa"/>
            <w:vAlign w:val="center"/>
          </w:tcPr>
          <w:p w:rsidR="00B536C4" w:rsidRDefault="00CC45D2">
            <w:pPr>
              <w:jc w:val="right"/>
            </w:pPr>
            <w:r>
              <w:rPr>
                <w:sz w:val="24"/>
              </w:rPr>
              <w:t>1.59</w:t>
            </w:r>
          </w:p>
        </w:tc>
      </w:tr>
      <w:tr w:rsidR="00B536C4">
        <w:tc>
          <w:tcPr>
            <w:tcW w:w="653" w:type="dxa"/>
            <w:vAlign w:val="center"/>
          </w:tcPr>
          <w:p w:rsidR="00B536C4" w:rsidRDefault="00CC45D2">
            <w:pPr>
              <w:jc w:val="center"/>
            </w:pPr>
            <w:r>
              <w:rPr>
                <w:sz w:val="24"/>
              </w:rPr>
              <w:t>22</w:t>
            </w:r>
          </w:p>
        </w:tc>
        <w:tc>
          <w:tcPr>
            <w:tcW w:w="871" w:type="dxa"/>
            <w:vAlign w:val="center"/>
          </w:tcPr>
          <w:p w:rsidR="00B536C4" w:rsidRDefault="00CC45D2">
            <w:pPr>
              <w:jc w:val="center"/>
            </w:pPr>
            <w:r>
              <w:rPr>
                <w:sz w:val="24"/>
              </w:rPr>
              <w:t>China State Construction International Holdings Limited</w:t>
            </w:r>
          </w:p>
        </w:tc>
        <w:tc>
          <w:tcPr>
            <w:tcW w:w="976" w:type="dxa"/>
            <w:vAlign w:val="center"/>
          </w:tcPr>
          <w:p w:rsidR="00B536C4" w:rsidRDefault="00CC45D2">
            <w:pPr>
              <w:jc w:val="center"/>
            </w:pPr>
            <w:r>
              <w:rPr>
                <w:sz w:val="24"/>
              </w:rPr>
              <w:t>中国建筑国际集团有限公司</w:t>
            </w:r>
          </w:p>
        </w:tc>
        <w:tc>
          <w:tcPr>
            <w:tcW w:w="1138" w:type="dxa"/>
            <w:vAlign w:val="center"/>
          </w:tcPr>
          <w:p w:rsidR="00B536C4" w:rsidRDefault="00CC45D2">
            <w:pPr>
              <w:jc w:val="center"/>
            </w:pPr>
            <w:r>
              <w:rPr>
                <w:sz w:val="24"/>
              </w:rPr>
              <w:t>3311 HK</w:t>
            </w:r>
          </w:p>
        </w:tc>
        <w:tc>
          <w:tcPr>
            <w:tcW w:w="815" w:type="dxa"/>
            <w:vAlign w:val="center"/>
          </w:tcPr>
          <w:p w:rsidR="00B536C4" w:rsidRDefault="00CC45D2">
            <w:pPr>
              <w:jc w:val="center"/>
            </w:pPr>
            <w:r>
              <w:rPr>
                <w:sz w:val="24"/>
              </w:rPr>
              <w:t>香港证券交易所</w:t>
            </w:r>
          </w:p>
        </w:tc>
        <w:tc>
          <w:tcPr>
            <w:tcW w:w="986" w:type="dxa"/>
            <w:vAlign w:val="center"/>
          </w:tcPr>
          <w:p w:rsidR="00B536C4" w:rsidRDefault="00CC45D2">
            <w:pPr>
              <w:jc w:val="center"/>
            </w:pPr>
            <w:r>
              <w:rPr>
                <w:sz w:val="24"/>
              </w:rPr>
              <w:t>香港</w:t>
            </w:r>
          </w:p>
        </w:tc>
        <w:tc>
          <w:tcPr>
            <w:tcW w:w="976" w:type="dxa"/>
            <w:vAlign w:val="center"/>
          </w:tcPr>
          <w:p w:rsidR="00B536C4" w:rsidRDefault="00CC45D2">
            <w:pPr>
              <w:jc w:val="right"/>
            </w:pPr>
            <w:r>
              <w:rPr>
                <w:sz w:val="24"/>
              </w:rPr>
              <w:t>60,000</w:t>
            </w:r>
          </w:p>
        </w:tc>
        <w:tc>
          <w:tcPr>
            <w:tcW w:w="1624" w:type="dxa"/>
            <w:vAlign w:val="center"/>
          </w:tcPr>
          <w:p w:rsidR="00B536C4" w:rsidRDefault="00CC45D2">
            <w:pPr>
              <w:jc w:val="right"/>
            </w:pPr>
            <w:r>
              <w:rPr>
                <w:sz w:val="24"/>
              </w:rPr>
              <w:t>622,686.76</w:t>
            </w:r>
          </w:p>
        </w:tc>
        <w:tc>
          <w:tcPr>
            <w:tcW w:w="959" w:type="dxa"/>
            <w:vAlign w:val="center"/>
          </w:tcPr>
          <w:p w:rsidR="00B536C4" w:rsidRDefault="00CC45D2">
            <w:pPr>
              <w:jc w:val="right"/>
            </w:pPr>
            <w:r>
              <w:rPr>
                <w:sz w:val="24"/>
              </w:rPr>
              <w:t>1.58</w:t>
            </w:r>
          </w:p>
        </w:tc>
      </w:tr>
      <w:tr w:rsidR="00B536C4">
        <w:tc>
          <w:tcPr>
            <w:tcW w:w="653" w:type="dxa"/>
            <w:vAlign w:val="center"/>
          </w:tcPr>
          <w:p w:rsidR="00B536C4" w:rsidRDefault="00CC45D2">
            <w:pPr>
              <w:jc w:val="center"/>
            </w:pPr>
            <w:r>
              <w:rPr>
                <w:sz w:val="24"/>
              </w:rPr>
              <w:t>23</w:t>
            </w:r>
          </w:p>
        </w:tc>
        <w:tc>
          <w:tcPr>
            <w:tcW w:w="871" w:type="dxa"/>
            <w:vAlign w:val="center"/>
          </w:tcPr>
          <w:p w:rsidR="00B536C4" w:rsidRDefault="00CC45D2">
            <w:pPr>
              <w:jc w:val="center"/>
            </w:pPr>
            <w:r>
              <w:rPr>
                <w:sz w:val="24"/>
              </w:rPr>
              <w:t>China Shenhua Energy Company Limited</w:t>
            </w:r>
          </w:p>
        </w:tc>
        <w:tc>
          <w:tcPr>
            <w:tcW w:w="976" w:type="dxa"/>
            <w:vAlign w:val="center"/>
          </w:tcPr>
          <w:p w:rsidR="00B536C4" w:rsidRDefault="00CC45D2">
            <w:pPr>
              <w:jc w:val="center"/>
            </w:pPr>
            <w:r>
              <w:rPr>
                <w:sz w:val="24"/>
              </w:rPr>
              <w:t>中国神华能源股份有限公司</w:t>
            </w:r>
          </w:p>
        </w:tc>
        <w:tc>
          <w:tcPr>
            <w:tcW w:w="1138" w:type="dxa"/>
            <w:vAlign w:val="center"/>
          </w:tcPr>
          <w:p w:rsidR="00B536C4" w:rsidRDefault="00CC45D2">
            <w:pPr>
              <w:jc w:val="center"/>
            </w:pPr>
            <w:r>
              <w:rPr>
                <w:sz w:val="24"/>
              </w:rPr>
              <w:t>1088 HK</w:t>
            </w:r>
          </w:p>
        </w:tc>
        <w:tc>
          <w:tcPr>
            <w:tcW w:w="815" w:type="dxa"/>
            <w:vAlign w:val="center"/>
          </w:tcPr>
          <w:p w:rsidR="00B536C4" w:rsidRDefault="00CC45D2">
            <w:pPr>
              <w:jc w:val="center"/>
            </w:pPr>
            <w:r>
              <w:rPr>
                <w:sz w:val="24"/>
              </w:rPr>
              <w:t>香港证券交易所</w:t>
            </w:r>
          </w:p>
        </w:tc>
        <w:tc>
          <w:tcPr>
            <w:tcW w:w="986" w:type="dxa"/>
            <w:vAlign w:val="center"/>
          </w:tcPr>
          <w:p w:rsidR="00B536C4" w:rsidRDefault="00CC45D2">
            <w:pPr>
              <w:jc w:val="center"/>
            </w:pPr>
            <w:r>
              <w:rPr>
                <w:sz w:val="24"/>
              </w:rPr>
              <w:t>香港</w:t>
            </w:r>
          </w:p>
        </w:tc>
        <w:tc>
          <w:tcPr>
            <w:tcW w:w="976" w:type="dxa"/>
            <w:vAlign w:val="center"/>
          </w:tcPr>
          <w:p w:rsidR="00B536C4" w:rsidRDefault="00CC45D2">
            <w:pPr>
              <w:jc w:val="right"/>
            </w:pPr>
            <w:r>
              <w:rPr>
                <w:sz w:val="24"/>
              </w:rPr>
              <w:t>45,000</w:t>
            </w:r>
          </w:p>
        </w:tc>
        <w:tc>
          <w:tcPr>
            <w:tcW w:w="1624" w:type="dxa"/>
            <w:vAlign w:val="center"/>
          </w:tcPr>
          <w:p w:rsidR="00B536C4" w:rsidRDefault="00CC45D2">
            <w:pPr>
              <w:jc w:val="right"/>
            </w:pPr>
            <w:r>
              <w:rPr>
                <w:sz w:val="24"/>
              </w:rPr>
              <w:t>587,794.83</w:t>
            </w:r>
          </w:p>
        </w:tc>
        <w:tc>
          <w:tcPr>
            <w:tcW w:w="959" w:type="dxa"/>
            <w:vAlign w:val="center"/>
          </w:tcPr>
          <w:p w:rsidR="00B536C4" w:rsidRDefault="00CC45D2">
            <w:pPr>
              <w:jc w:val="right"/>
            </w:pPr>
            <w:r>
              <w:rPr>
                <w:sz w:val="24"/>
              </w:rPr>
              <w:t>1.49</w:t>
            </w:r>
          </w:p>
        </w:tc>
      </w:tr>
      <w:tr w:rsidR="00B536C4">
        <w:tc>
          <w:tcPr>
            <w:tcW w:w="653" w:type="dxa"/>
            <w:vAlign w:val="center"/>
          </w:tcPr>
          <w:p w:rsidR="00B536C4" w:rsidRDefault="00CC45D2">
            <w:pPr>
              <w:jc w:val="center"/>
            </w:pPr>
            <w:r>
              <w:rPr>
                <w:sz w:val="24"/>
              </w:rPr>
              <w:t>24</w:t>
            </w:r>
          </w:p>
        </w:tc>
        <w:tc>
          <w:tcPr>
            <w:tcW w:w="871" w:type="dxa"/>
            <w:vAlign w:val="center"/>
          </w:tcPr>
          <w:p w:rsidR="00B536C4" w:rsidRDefault="00CC45D2">
            <w:pPr>
              <w:jc w:val="center"/>
            </w:pPr>
            <w:r>
              <w:rPr>
                <w:sz w:val="24"/>
              </w:rPr>
              <w:t>Shougang Fushan Resources Group Limited</w:t>
            </w:r>
          </w:p>
        </w:tc>
        <w:tc>
          <w:tcPr>
            <w:tcW w:w="976" w:type="dxa"/>
            <w:vAlign w:val="center"/>
          </w:tcPr>
          <w:p w:rsidR="00B536C4" w:rsidRDefault="00CC45D2">
            <w:pPr>
              <w:jc w:val="center"/>
            </w:pPr>
            <w:r>
              <w:rPr>
                <w:sz w:val="24"/>
              </w:rPr>
              <w:t>首钢福山资源集团有限公司</w:t>
            </w:r>
          </w:p>
        </w:tc>
        <w:tc>
          <w:tcPr>
            <w:tcW w:w="1138" w:type="dxa"/>
            <w:vAlign w:val="center"/>
          </w:tcPr>
          <w:p w:rsidR="00B536C4" w:rsidRDefault="00CC45D2">
            <w:pPr>
              <w:jc w:val="center"/>
            </w:pPr>
            <w:r>
              <w:rPr>
                <w:sz w:val="24"/>
              </w:rPr>
              <w:t>639 HK</w:t>
            </w:r>
          </w:p>
        </w:tc>
        <w:tc>
          <w:tcPr>
            <w:tcW w:w="815" w:type="dxa"/>
            <w:vAlign w:val="center"/>
          </w:tcPr>
          <w:p w:rsidR="00B536C4" w:rsidRDefault="00CC45D2">
            <w:pPr>
              <w:jc w:val="center"/>
            </w:pPr>
            <w:r>
              <w:rPr>
                <w:sz w:val="24"/>
              </w:rPr>
              <w:t>香港证券交易所</w:t>
            </w:r>
          </w:p>
        </w:tc>
        <w:tc>
          <w:tcPr>
            <w:tcW w:w="986" w:type="dxa"/>
            <w:vAlign w:val="center"/>
          </w:tcPr>
          <w:p w:rsidR="00B536C4" w:rsidRDefault="00CC45D2">
            <w:pPr>
              <w:jc w:val="center"/>
            </w:pPr>
            <w:r>
              <w:rPr>
                <w:sz w:val="24"/>
              </w:rPr>
              <w:t>香港</w:t>
            </w:r>
          </w:p>
        </w:tc>
        <w:tc>
          <w:tcPr>
            <w:tcW w:w="976" w:type="dxa"/>
            <w:vAlign w:val="center"/>
          </w:tcPr>
          <w:p w:rsidR="00B536C4" w:rsidRDefault="00CC45D2">
            <w:pPr>
              <w:jc w:val="right"/>
            </w:pPr>
            <w:r>
              <w:rPr>
                <w:sz w:val="24"/>
              </w:rPr>
              <w:t>400,000</w:t>
            </w:r>
          </w:p>
        </w:tc>
        <w:tc>
          <w:tcPr>
            <w:tcW w:w="1624" w:type="dxa"/>
            <w:vAlign w:val="center"/>
          </w:tcPr>
          <w:p w:rsidR="00B536C4" w:rsidRDefault="00CC45D2">
            <w:pPr>
              <w:jc w:val="right"/>
            </w:pPr>
            <w:r>
              <w:rPr>
                <w:sz w:val="24"/>
              </w:rPr>
              <w:t>543,956.25</w:t>
            </w:r>
          </w:p>
        </w:tc>
        <w:tc>
          <w:tcPr>
            <w:tcW w:w="959" w:type="dxa"/>
            <w:vAlign w:val="center"/>
          </w:tcPr>
          <w:p w:rsidR="00B536C4" w:rsidRDefault="00CC45D2">
            <w:pPr>
              <w:jc w:val="right"/>
            </w:pPr>
            <w:r>
              <w:rPr>
                <w:sz w:val="24"/>
              </w:rPr>
              <w:t>1.38</w:t>
            </w:r>
          </w:p>
        </w:tc>
      </w:tr>
      <w:tr w:rsidR="00B536C4">
        <w:tc>
          <w:tcPr>
            <w:tcW w:w="653" w:type="dxa"/>
            <w:vAlign w:val="center"/>
          </w:tcPr>
          <w:p w:rsidR="00B536C4" w:rsidRDefault="00CC45D2">
            <w:pPr>
              <w:jc w:val="center"/>
            </w:pPr>
            <w:r>
              <w:rPr>
                <w:sz w:val="24"/>
              </w:rPr>
              <w:t>25</w:t>
            </w:r>
          </w:p>
        </w:tc>
        <w:tc>
          <w:tcPr>
            <w:tcW w:w="871" w:type="dxa"/>
            <w:vAlign w:val="center"/>
          </w:tcPr>
          <w:p w:rsidR="00B536C4" w:rsidRDefault="00CC45D2">
            <w:pPr>
              <w:jc w:val="center"/>
            </w:pPr>
            <w:r>
              <w:rPr>
                <w:sz w:val="24"/>
              </w:rPr>
              <w:t>China Modern Dairy Holdings Ltd.</w:t>
            </w:r>
          </w:p>
        </w:tc>
        <w:tc>
          <w:tcPr>
            <w:tcW w:w="976" w:type="dxa"/>
            <w:vAlign w:val="center"/>
          </w:tcPr>
          <w:p w:rsidR="00B536C4" w:rsidRDefault="00CC45D2">
            <w:pPr>
              <w:jc w:val="center"/>
            </w:pPr>
            <w:r>
              <w:rPr>
                <w:sz w:val="24"/>
              </w:rPr>
              <w:t>中国现代牧业控股有限公司</w:t>
            </w:r>
          </w:p>
        </w:tc>
        <w:tc>
          <w:tcPr>
            <w:tcW w:w="1138" w:type="dxa"/>
            <w:vAlign w:val="center"/>
          </w:tcPr>
          <w:p w:rsidR="00B536C4" w:rsidRDefault="00CC45D2">
            <w:pPr>
              <w:jc w:val="center"/>
            </w:pPr>
            <w:r>
              <w:rPr>
                <w:sz w:val="24"/>
              </w:rPr>
              <w:t>1117 HK</w:t>
            </w:r>
          </w:p>
        </w:tc>
        <w:tc>
          <w:tcPr>
            <w:tcW w:w="815" w:type="dxa"/>
            <w:vAlign w:val="center"/>
          </w:tcPr>
          <w:p w:rsidR="00B536C4" w:rsidRDefault="00CC45D2">
            <w:pPr>
              <w:jc w:val="center"/>
            </w:pPr>
            <w:r>
              <w:rPr>
                <w:sz w:val="24"/>
              </w:rPr>
              <w:t>香港证券交易所</w:t>
            </w:r>
          </w:p>
        </w:tc>
        <w:tc>
          <w:tcPr>
            <w:tcW w:w="986" w:type="dxa"/>
            <w:vAlign w:val="center"/>
          </w:tcPr>
          <w:p w:rsidR="00B536C4" w:rsidRDefault="00CC45D2">
            <w:pPr>
              <w:jc w:val="center"/>
            </w:pPr>
            <w:r>
              <w:rPr>
                <w:sz w:val="24"/>
              </w:rPr>
              <w:t>香港</w:t>
            </w:r>
          </w:p>
        </w:tc>
        <w:tc>
          <w:tcPr>
            <w:tcW w:w="976" w:type="dxa"/>
            <w:vAlign w:val="center"/>
          </w:tcPr>
          <w:p w:rsidR="00B536C4" w:rsidRDefault="00CC45D2">
            <w:pPr>
              <w:jc w:val="right"/>
            </w:pPr>
            <w:r>
              <w:rPr>
                <w:sz w:val="24"/>
              </w:rPr>
              <w:t>300,000</w:t>
            </w:r>
          </w:p>
        </w:tc>
        <w:tc>
          <w:tcPr>
            <w:tcW w:w="1624" w:type="dxa"/>
            <w:vAlign w:val="center"/>
          </w:tcPr>
          <w:p w:rsidR="00B536C4" w:rsidRDefault="00CC45D2">
            <w:pPr>
              <w:jc w:val="right"/>
            </w:pPr>
            <w:r>
              <w:rPr>
                <w:sz w:val="24"/>
              </w:rPr>
              <w:t>512,642.98</w:t>
            </w:r>
          </w:p>
        </w:tc>
        <w:tc>
          <w:tcPr>
            <w:tcW w:w="959" w:type="dxa"/>
            <w:vAlign w:val="center"/>
          </w:tcPr>
          <w:p w:rsidR="00B536C4" w:rsidRDefault="00CC45D2">
            <w:pPr>
              <w:jc w:val="right"/>
            </w:pPr>
            <w:r>
              <w:rPr>
                <w:sz w:val="24"/>
              </w:rPr>
              <w:t>1.30</w:t>
            </w:r>
          </w:p>
        </w:tc>
      </w:tr>
      <w:tr w:rsidR="00B536C4">
        <w:tc>
          <w:tcPr>
            <w:tcW w:w="653" w:type="dxa"/>
            <w:vAlign w:val="center"/>
          </w:tcPr>
          <w:p w:rsidR="00B536C4" w:rsidRDefault="00CC45D2">
            <w:pPr>
              <w:jc w:val="center"/>
            </w:pPr>
            <w:r>
              <w:rPr>
                <w:sz w:val="24"/>
              </w:rPr>
              <w:t>26</w:t>
            </w:r>
          </w:p>
        </w:tc>
        <w:tc>
          <w:tcPr>
            <w:tcW w:w="871" w:type="dxa"/>
            <w:vAlign w:val="center"/>
          </w:tcPr>
          <w:p w:rsidR="00B536C4" w:rsidRDefault="00CC45D2">
            <w:pPr>
              <w:jc w:val="center"/>
            </w:pPr>
            <w:r>
              <w:rPr>
                <w:sz w:val="24"/>
              </w:rPr>
              <w:t>Yanzhou Coal Mining Company Limited</w:t>
            </w:r>
          </w:p>
        </w:tc>
        <w:tc>
          <w:tcPr>
            <w:tcW w:w="976" w:type="dxa"/>
            <w:vAlign w:val="center"/>
          </w:tcPr>
          <w:p w:rsidR="00B536C4" w:rsidRDefault="00CC45D2">
            <w:pPr>
              <w:jc w:val="center"/>
            </w:pPr>
            <w:r>
              <w:rPr>
                <w:sz w:val="24"/>
              </w:rPr>
              <w:t>兖州煤业股份有限公司</w:t>
            </w:r>
          </w:p>
        </w:tc>
        <w:tc>
          <w:tcPr>
            <w:tcW w:w="1138" w:type="dxa"/>
            <w:vAlign w:val="center"/>
          </w:tcPr>
          <w:p w:rsidR="00B536C4" w:rsidRDefault="00CC45D2">
            <w:pPr>
              <w:jc w:val="center"/>
            </w:pPr>
            <w:r>
              <w:rPr>
                <w:sz w:val="24"/>
              </w:rPr>
              <w:t>1171 HK</w:t>
            </w:r>
          </w:p>
        </w:tc>
        <w:tc>
          <w:tcPr>
            <w:tcW w:w="815" w:type="dxa"/>
            <w:vAlign w:val="center"/>
          </w:tcPr>
          <w:p w:rsidR="00B536C4" w:rsidRDefault="00CC45D2">
            <w:pPr>
              <w:jc w:val="center"/>
            </w:pPr>
            <w:r>
              <w:rPr>
                <w:sz w:val="24"/>
              </w:rPr>
              <w:t>香港证券交易所</w:t>
            </w:r>
          </w:p>
        </w:tc>
        <w:tc>
          <w:tcPr>
            <w:tcW w:w="986" w:type="dxa"/>
            <w:vAlign w:val="center"/>
          </w:tcPr>
          <w:p w:rsidR="00B536C4" w:rsidRDefault="00CC45D2">
            <w:pPr>
              <w:jc w:val="center"/>
            </w:pPr>
            <w:r>
              <w:rPr>
                <w:sz w:val="24"/>
              </w:rPr>
              <w:t>香港</w:t>
            </w:r>
          </w:p>
        </w:tc>
        <w:tc>
          <w:tcPr>
            <w:tcW w:w="976" w:type="dxa"/>
            <w:vAlign w:val="center"/>
          </w:tcPr>
          <w:p w:rsidR="00B536C4" w:rsidRDefault="00CC45D2">
            <w:pPr>
              <w:jc w:val="right"/>
            </w:pPr>
            <w:r>
              <w:rPr>
                <w:sz w:val="24"/>
              </w:rPr>
              <w:t>100,000</w:t>
            </w:r>
          </w:p>
        </w:tc>
        <w:tc>
          <w:tcPr>
            <w:tcW w:w="1624" w:type="dxa"/>
            <w:vAlign w:val="center"/>
          </w:tcPr>
          <w:p w:rsidR="00B536C4" w:rsidRDefault="00CC45D2">
            <w:pPr>
              <w:jc w:val="right"/>
            </w:pPr>
            <w:r>
              <w:rPr>
                <w:sz w:val="24"/>
              </w:rPr>
              <w:t>473,277.73</w:t>
            </w:r>
          </w:p>
        </w:tc>
        <w:tc>
          <w:tcPr>
            <w:tcW w:w="959" w:type="dxa"/>
            <w:vAlign w:val="center"/>
          </w:tcPr>
          <w:p w:rsidR="00B536C4" w:rsidRDefault="00CC45D2">
            <w:pPr>
              <w:jc w:val="right"/>
            </w:pPr>
            <w:r>
              <w:rPr>
                <w:sz w:val="24"/>
              </w:rPr>
              <w:t>1.20</w:t>
            </w:r>
          </w:p>
        </w:tc>
      </w:tr>
      <w:tr w:rsidR="00B536C4">
        <w:tc>
          <w:tcPr>
            <w:tcW w:w="653" w:type="dxa"/>
            <w:vAlign w:val="center"/>
          </w:tcPr>
          <w:p w:rsidR="00B536C4" w:rsidRDefault="00CC45D2">
            <w:pPr>
              <w:jc w:val="center"/>
            </w:pPr>
            <w:r>
              <w:rPr>
                <w:sz w:val="24"/>
              </w:rPr>
              <w:t>27</w:t>
            </w:r>
          </w:p>
        </w:tc>
        <w:tc>
          <w:tcPr>
            <w:tcW w:w="871" w:type="dxa"/>
            <w:vAlign w:val="center"/>
          </w:tcPr>
          <w:p w:rsidR="00B536C4" w:rsidRDefault="00CC45D2">
            <w:pPr>
              <w:jc w:val="center"/>
            </w:pPr>
            <w:r>
              <w:rPr>
                <w:sz w:val="24"/>
              </w:rPr>
              <w:t>Jiangxi Copper Company Limited</w:t>
            </w:r>
          </w:p>
        </w:tc>
        <w:tc>
          <w:tcPr>
            <w:tcW w:w="976" w:type="dxa"/>
            <w:vAlign w:val="center"/>
          </w:tcPr>
          <w:p w:rsidR="00B536C4" w:rsidRDefault="00CC45D2">
            <w:pPr>
              <w:jc w:val="center"/>
            </w:pPr>
            <w:r>
              <w:rPr>
                <w:sz w:val="24"/>
              </w:rPr>
              <w:t>江西铜业股份有限公司</w:t>
            </w:r>
          </w:p>
        </w:tc>
        <w:tc>
          <w:tcPr>
            <w:tcW w:w="1138" w:type="dxa"/>
            <w:vAlign w:val="center"/>
          </w:tcPr>
          <w:p w:rsidR="00B536C4" w:rsidRDefault="00CC45D2">
            <w:pPr>
              <w:jc w:val="center"/>
            </w:pPr>
            <w:r>
              <w:rPr>
                <w:sz w:val="24"/>
              </w:rPr>
              <w:t>358 HK</w:t>
            </w:r>
          </w:p>
        </w:tc>
        <w:tc>
          <w:tcPr>
            <w:tcW w:w="815" w:type="dxa"/>
            <w:vAlign w:val="center"/>
          </w:tcPr>
          <w:p w:rsidR="00B536C4" w:rsidRDefault="00CC45D2">
            <w:pPr>
              <w:jc w:val="center"/>
            </w:pPr>
            <w:r>
              <w:rPr>
                <w:sz w:val="24"/>
              </w:rPr>
              <w:t>香港证券交易所</w:t>
            </w:r>
          </w:p>
        </w:tc>
        <w:tc>
          <w:tcPr>
            <w:tcW w:w="986" w:type="dxa"/>
            <w:vAlign w:val="center"/>
          </w:tcPr>
          <w:p w:rsidR="00B536C4" w:rsidRDefault="00CC45D2">
            <w:pPr>
              <w:jc w:val="center"/>
            </w:pPr>
            <w:r>
              <w:rPr>
                <w:sz w:val="24"/>
              </w:rPr>
              <w:t>香港</w:t>
            </w:r>
          </w:p>
        </w:tc>
        <w:tc>
          <w:tcPr>
            <w:tcW w:w="976" w:type="dxa"/>
            <w:vAlign w:val="center"/>
          </w:tcPr>
          <w:p w:rsidR="00B536C4" w:rsidRDefault="00CC45D2">
            <w:pPr>
              <w:jc w:val="right"/>
            </w:pPr>
            <w:r>
              <w:rPr>
                <w:sz w:val="24"/>
              </w:rPr>
              <w:t>40,000</w:t>
            </w:r>
          </w:p>
        </w:tc>
        <w:tc>
          <w:tcPr>
            <w:tcW w:w="1624" w:type="dxa"/>
            <w:vAlign w:val="center"/>
          </w:tcPr>
          <w:p w:rsidR="00B536C4" w:rsidRDefault="00CC45D2">
            <w:pPr>
              <w:jc w:val="right"/>
            </w:pPr>
            <w:r>
              <w:rPr>
                <w:sz w:val="24"/>
              </w:rPr>
              <w:t>387,210.96</w:t>
            </w:r>
          </w:p>
        </w:tc>
        <w:tc>
          <w:tcPr>
            <w:tcW w:w="959" w:type="dxa"/>
            <w:vAlign w:val="center"/>
          </w:tcPr>
          <w:p w:rsidR="00B536C4" w:rsidRDefault="00CC45D2">
            <w:pPr>
              <w:jc w:val="right"/>
            </w:pPr>
            <w:r>
              <w:rPr>
                <w:sz w:val="24"/>
              </w:rPr>
              <w:t>0.98</w:t>
            </w:r>
          </w:p>
        </w:tc>
      </w:tr>
      <w:tr w:rsidR="00B536C4">
        <w:tc>
          <w:tcPr>
            <w:tcW w:w="653" w:type="dxa"/>
            <w:vAlign w:val="center"/>
          </w:tcPr>
          <w:p w:rsidR="00B536C4" w:rsidRDefault="00CC45D2">
            <w:pPr>
              <w:jc w:val="center"/>
            </w:pPr>
            <w:r>
              <w:rPr>
                <w:sz w:val="24"/>
              </w:rPr>
              <w:t>28</w:t>
            </w:r>
          </w:p>
        </w:tc>
        <w:tc>
          <w:tcPr>
            <w:tcW w:w="871" w:type="dxa"/>
            <w:vAlign w:val="center"/>
          </w:tcPr>
          <w:p w:rsidR="00B536C4" w:rsidRDefault="00CC45D2">
            <w:pPr>
              <w:jc w:val="center"/>
            </w:pPr>
            <w:r>
              <w:rPr>
                <w:sz w:val="24"/>
              </w:rPr>
              <w:t xml:space="preserve">Anhui Conch Cement </w:t>
            </w:r>
            <w:r>
              <w:rPr>
                <w:sz w:val="24"/>
              </w:rPr>
              <w:lastRenderedPageBreak/>
              <w:t>Company Limited</w:t>
            </w:r>
          </w:p>
        </w:tc>
        <w:tc>
          <w:tcPr>
            <w:tcW w:w="976" w:type="dxa"/>
            <w:vAlign w:val="center"/>
          </w:tcPr>
          <w:p w:rsidR="00B536C4" w:rsidRDefault="00CC45D2">
            <w:pPr>
              <w:jc w:val="center"/>
            </w:pPr>
            <w:r>
              <w:rPr>
                <w:sz w:val="24"/>
              </w:rPr>
              <w:lastRenderedPageBreak/>
              <w:t>安徽海螺水泥股份有限公司</w:t>
            </w:r>
          </w:p>
        </w:tc>
        <w:tc>
          <w:tcPr>
            <w:tcW w:w="1138" w:type="dxa"/>
            <w:vAlign w:val="center"/>
          </w:tcPr>
          <w:p w:rsidR="00B536C4" w:rsidRDefault="00CC45D2">
            <w:pPr>
              <w:jc w:val="center"/>
            </w:pPr>
            <w:r>
              <w:rPr>
                <w:sz w:val="24"/>
              </w:rPr>
              <w:t>914 HK</w:t>
            </w:r>
          </w:p>
        </w:tc>
        <w:tc>
          <w:tcPr>
            <w:tcW w:w="815" w:type="dxa"/>
            <w:vAlign w:val="center"/>
          </w:tcPr>
          <w:p w:rsidR="00B536C4" w:rsidRDefault="00CC45D2">
            <w:pPr>
              <w:jc w:val="center"/>
            </w:pPr>
            <w:r>
              <w:rPr>
                <w:sz w:val="24"/>
              </w:rPr>
              <w:t>香港证券交易所</w:t>
            </w:r>
          </w:p>
        </w:tc>
        <w:tc>
          <w:tcPr>
            <w:tcW w:w="986" w:type="dxa"/>
            <w:vAlign w:val="center"/>
          </w:tcPr>
          <w:p w:rsidR="00B536C4" w:rsidRDefault="00CC45D2">
            <w:pPr>
              <w:jc w:val="center"/>
            </w:pPr>
            <w:r>
              <w:rPr>
                <w:sz w:val="24"/>
              </w:rPr>
              <w:t>香港</w:t>
            </w:r>
          </w:p>
        </w:tc>
        <w:tc>
          <w:tcPr>
            <w:tcW w:w="976" w:type="dxa"/>
            <w:vAlign w:val="center"/>
          </w:tcPr>
          <w:p w:rsidR="00B536C4" w:rsidRDefault="00CC45D2">
            <w:pPr>
              <w:jc w:val="right"/>
            </w:pPr>
            <w:r>
              <w:rPr>
                <w:sz w:val="24"/>
              </w:rPr>
              <w:t>20,000</w:t>
            </w:r>
          </w:p>
        </w:tc>
        <w:tc>
          <w:tcPr>
            <w:tcW w:w="1624" w:type="dxa"/>
            <w:vAlign w:val="center"/>
          </w:tcPr>
          <w:p w:rsidR="00B536C4" w:rsidRDefault="00CC45D2">
            <w:pPr>
              <w:jc w:val="right"/>
            </w:pPr>
            <w:r>
              <w:rPr>
                <w:sz w:val="24"/>
              </w:rPr>
              <w:t>377,548.58</w:t>
            </w:r>
          </w:p>
        </w:tc>
        <w:tc>
          <w:tcPr>
            <w:tcW w:w="959" w:type="dxa"/>
            <w:vAlign w:val="center"/>
          </w:tcPr>
          <w:p w:rsidR="00B536C4" w:rsidRDefault="00CC45D2">
            <w:pPr>
              <w:jc w:val="right"/>
            </w:pPr>
            <w:r>
              <w:rPr>
                <w:sz w:val="24"/>
              </w:rPr>
              <w:t>0.96</w:t>
            </w:r>
          </w:p>
        </w:tc>
      </w:tr>
      <w:tr w:rsidR="00B536C4">
        <w:tc>
          <w:tcPr>
            <w:tcW w:w="653" w:type="dxa"/>
            <w:vAlign w:val="center"/>
          </w:tcPr>
          <w:p w:rsidR="00B536C4" w:rsidRDefault="00CC45D2">
            <w:pPr>
              <w:jc w:val="center"/>
            </w:pPr>
            <w:r>
              <w:rPr>
                <w:sz w:val="24"/>
              </w:rPr>
              <w:lastRenderedPageBreak/>
              <w:t>29</w:t>
            </w:r>
          </w:p>
        </w:tc>
        <w:tc>
          <w:tcPr>
            <w:tcW w:w="871" w:type="dxa"/>
            <w:vAlign w:val="center"/>
          </w:tcPr>
          <w:p w:rsidR="00B536C4" w:rsidRDefault="00CC45D2">
            <w:pPr>
              <w:jc w:val="center"/>
            </w:pPr>
            <w:r>
              <w:rPr>
                <w:sz w:val="24"/>
              </w:rPr>
              <w:t>Huaneng Renewables Corporation Limited</w:t>
            </w:r>
          </w:p>
        </w:tc>
        <w:tc>
          <w:tcPr>
            <w:tcW w:w="976" w:type="dxa"/>
            <w:vAlign w:val="center"/>
          </w:tcPr>
          <w:p w:rsidR="00B536C4" w:rsidRDefault="00CC45D2">
            <w:pPr>
              <w:jc w:val="center"/>
            </w:pPr>
            <w:r>
              <w:rPr>
                <w:sz w:val="24"/>
              </w:rPr>
              <w:t>华能新能源股份有限公司</w:t>
            </w:r>
          </w:p>
        </w:tc>
        <w:tc>
          <w:tcPr>
            <w:tcW w:w="1138" w:type="dxa"/>
            <w:vAlign w:val="center"/>
          </w:tcPr>
          <w:p w:rsidR="00B536C4" w:rsidRDefault="00CC45D2">
            <w:pPr>
              <w:jc w:val="center"/>
            </w:pPr>
            <w:r>
              <w:rPr>
                <w:sz w:val="24"/>
              </w:rPr>
              <w:t>958 HK</w:t>
            </w:r>
          </w:p>
        </w:tc>
        <w:tc>
          <w:tcPr>
            <w:tcW w:w="815" w:type="dxa"/>
            <w:vAlign w:val="center"/>
          </w:tcPr>
          <w:p w:rsidR="00B536C4" w:rsidRDefault="00CC45D2">
            <w:pPr>
              <w:jc w:val="center"/>
            </w:pPr>
            <w:r>
              <w:rPr>
                <w:sz w:val="24"/>
              </w:rPr>
              <w:t>香港证券交易所</w:t>
            </w:r>
          </w:p>
        </w:tc>
        <w:tc>
          <w:tcPr>
            <w:tcW w:w="986" w:type="dxa"/>
            <w:vAlign w:val="center"/>
          </w:tcPr>
          <w:p w:rsidR="00B536C4" w:rsidRDefault="00CC45D2">
            <w:pPr>
              <w:jc w:val="center"/>
            </w:pPr>
            <w:r>
              <w:rPr>
                <w:sz w:val="24"/>
              </w:rPr>
              <w:t>香港</w:t>
            </w:r>
          </w:p>
        </w:tc>
        <w:tc>
          <w:tcPr>
            <w:tcW w:w="976" w:type="dxa"/>
            <w:vAlign w:val="center"/>
          </w:tcPr>
          <w:p w:rsidR="00B536C4" w:rsidRDefault="00CC45D2">
            <w:pPr>
              <w:jc w:val="right"/>
            </w:pPr>
            <w:r>
              <w:rPr>
                <w:sz w:val="24"/>
              </w:rPr>
              <w:t>150,000</w:t>
            </w:r>
          </w:p>
        </w:tc>
        <w:tc>
          <w:tcPr>
            <w:tcW w:w="1624" w:type="dxa"/>
            <w:vAlign w:val="center"/>
          </w:tcPr>
          <w:p w:rsidR="00B536C4" w:rsidRDefault="00CC45D2">
            <w:pPr>
              <w:jc w:val="right"/>
            </w:pPr>
            <w:r>
              <w:rPr>
                <w:sz w:val="24"/>
              </w:rPr>
              <w:t>338,183.33</w:t>
            </w:r>
          </w:p>
        </w:tc>
        <w:tc>
          <w:tcPr>
            <w:tcW w:w="959" w:type="dxa"/>
            <w:vAlign w:val="center"/>
          </w:tcPr>
          <w:p w:rsidR="00B536C4" w:rsidRDefault="00CC45D2">
            <w:pPr>
              <w:jc w:val="right"/>
            </w:pPr>
            <w:r>
              <w:rPr>
                <w:sz w:val="24"/>
              </w:rPr>
              <w:t>0.86</w:t>
            </w:r>
          </w:p>
        </w:tc>
      </w:tr>
      <w:tr w:rsidR="00B536C4">
        <w:tc>
          <w:tcPr>
            <w:tcW w:w="653" w:type="dxa"/>
            <w:vAlign w:val="center"/>
          </w:tcPr>
          <w:p w:rsidR="00B536C4" w:rsidRDefault="00CC45D2">
            <w:pPr>
              <w:jc w:val="center"/>
            </w:pPr>
            <w:r>
              <w:rPr>
                <w:sz w:val="24"/>
              </w:rPr>
              <w:t>30</w:t>
            </w:r>
          </w:p>
        </w:tc>
        <w:tc>
          <w:tcPr>
            <w:tcW w:w="871" w:type="dxa"/>
            <w:vAlign w:val="center"/>
          </w:tcPr>
          <w:p w:rsidR="00B536C4" w:rsidRDefault="00CC45D2">
            <w:pPr>
              <w:jc w:val="center"/>
            </w:pPr>
            <w:r>
              <w:rPr>
                <w:sz w:val="24"/>
              </w:rPr>
              <w:t>Great Wall Motor Company Limited</w:t>
            </w:r>
          </w:p>
        </w:tc>
        <w:tc>
          <w:tcPr>
            <w:tcW w:w="976" w:type="dxa"/>
            <w:vAlign w:val="center"/>
          </w:tcPr>
          <w:p w:rsidR="00B536C4" w:rsidRDefault="00CC45D2">
            <w:pPr>
              <w:jc w:val="center"/>
            </w:pPr>
            <w:r>
              <w:rPr>
                <w:sz w:val="24"/>
              </w:rPr>
              <w:t>长城汽车股份有限公司</w:t>
            </w:r>
          </w:p>
        </w:tc>
        <w:tc>
          <w:tcPr>
            <w:tcW w:w="1138" w:type="dxa"/>
            <w:vAlign w:val="center"/>
          </w:tcPr>
          <w:p w:rsidR="00B536C4" w:rsidRDefault="00CC45D2">
            <w:pPr>
              <w:jc w:val="center"/>
            </w:pPr>
            <w:r>
              <w:rPr>
                <w:sz w:val="24"/>
              </w:rPr>
              <w:t>2333 HK</w:t>
            </w:r>
          </w:p>
        </w:tc>
        <w:tc>
          <w:tcPr>
            <w:tcW w:w="815" w:type="dxa"/>
            <w:vAlign w:val="center"/>
          </w:tcPr>
          <w:p w:rsidR="00B536C4" w:rsidRDefault="00CC45D2">
            <w:pPr>
              <w:jc w:val="center"/>
            </w:pPr>
            <w:r>
              <w:rPr>
                <w:sz w:val="24"/>
              </w:rPr>
              <w:t>香港证券交易所</w:t>
            </w:r>
          </w:p>
        </w:tc>
        <w:tc>
          <w:tcPr>
            <w:tcW w:w="986" w:type="dxa"/>
            <w:vAlign w:val="center"/>
          </w:tcPr>
          <w:p w:rsidR="00B536C4" w:rsidRDefault="00CC45D2">
            <w:pPr>
              <w:jc w:val="center"/>
            </w:pPr>
            <w:r>
              <w:rPr>
                <w:sz w:val="24"/>
              </w:rPr>
              <w:t>香港</w:t>
            </w:r>
          </w:p>
        </w:tc>
        <w:tc>
          <w:tcPr>
            <w:tcW w:w="976" w:type="dxa"/>
            <w:vAlign w:val="center"/>
          </w:tcPr>
          <w:p w:rsidR="00B536C4" w:rsidRDefault="00CC45D2">
            <w:pPr>
              <w:jc w:val="right"/>
            </w:pPr>
            <w:r>
              <w:rPr>
                <w:sz w:val="24"/>
              </w:rPr>
              <w:t>20,000</w:t>
            </w:r>
          </w:p>
        </w:tc>
        <w:tc>
          <w:tcPr>
            <w:tcW w:w="1624" w:type="dxa"/>
            <w:vAlign w:val="center"/>
          </w:tcPr>
          <w:p w:rsidR="00B536C4" w:rsidRDefault="00CC45D2">
            <w:pPr>
              <w:jc w:val="right"/>
            </w:pPr>
            <w:r>
              <w:rPr>
                <w:sz w:val="24"/>
              </w:rPr>
              <w:t>129,547.48</w:t>
            </w:r>
          </w:p>
        </w:tc>
        <w:tc>
          <w:tcPr>
            <w:tcW w:w="959" w:type="dxa"/>
            <w:vAlign w:val="center"/>
          </w:tcPr>
          <w:p w:rsidR="00B536C4" w:rsidRDefault="00CC45D2">
            <w:pPr>
              <w:jc w:val="right"/>
            </w:pPr>
            <w:r>
              <w:rPr>
                <w:sz w:val="24"/>
              </w:rPr>
              <w:t>0.33</w:t>
            </w:r>
          </w:p>
        </w:tc>
      </w:tr>
      <w:tr w:rsidR="00B536C4">
        <w:tc>
          <w:tcPr>
            <w:tcW w:w="653" w:type="dxa"/>
            <w:vAlign w:val="center"/>
          </w:tcPr>
          <w:p w:rsidR="00B536C4" w:rsidRDefault="00CC45D2">
            <w:pPr>
              <w:jc w:val="center"/>
            </w:pPr>
            <w:r>
              <w:rPr>
                <w:sz w:val="24"/>
              </w:rPr>
              <w:t>31</w:t>
            </w:r>
          </w:p>
        </w:tc>
        <w:tc>
          <w:tcPr>
            <w:tcW w:w="871" w:type="dxa"/>
            <w:vAlign w:val="center"/>
          </w:tcPr>
          <w:p w:rsidR="00B536C4" w:rsidRDefault="00CC45D2">
            <w:pPr>
              <w:jc w:val="center"/>
            </w:pPr>
            <w:r>
              <w:rPr>
                <w:sz w:val="24"/>
              </w:rPr>
              <w:t>Huaneng Power International,Inc.</w:t>
            </w:r>
          </w:p>
        </w:tc>
        <w:tc>
          <w:tcPr>
            <w:tcW w:w="976" w:type="dxa"/>
            <w:vAlign w:val="center"/>
          </w:tcPr>
          <w:p w:rsidR="00B536C4" w:rsidRDefault="00CC45D2">
            <w:pPr>
              <w:jc w:val="center"/>
            </w:pPr>
            <w:r>
              <w:rPr>
                <w:sz w:val="24"/>
              </w:rPr>
              <w:t>华能国际电力股份有限公司</w:t>
            </w:r>
          </w:p>
        </w:tc>
        <w:tc>
          <w:tcPr>
            <w:tcW w:w="1138" w:type="dxa"/>
            <w:vAlign w:val="center"/>
          </w:tcPr>
          <w:p w:rsidR="00B536C4" w:rsidRDefault="00CC45D2">
            <w:pPr>
              <w:jc w:val="center"/>
            </w:pPr>
            <w:r>
              <w:rPr>
                <w:sz w:val="24"/>
              </w:rPr>
              <w:t>902 HK</w:t>
            </w:r>
          </w:p>
        </w:tc>
        <w:tc>
          <w:tcPr>
            <w:tcW w:w="815" w:type="dxa"/>
            <w:vAlign w:val="center"/>
          </w:tcPr>
          <w:p w:rsidR="00B536C4" w:rsidRDefault="00CC45D2">
            <w:pPr>
              <w:jc w:val="center"/>
            </w:pPr>
            <w:r>
              <w:rPr>
                <w:sz w:val="24"/>
              </w:rPr>
              <w:t>香港证券交易所</w:t>
            </w:r>
          </w:p>
        </w:tc>
        <w:tc>
          <w:tcPr>
            <w:tcW w:w="986" w:type="dxa"/>
            <w:vAlign w:val="center"/>
          </w:tcPr>
          <w:p w:rsidR="00B536C4" w:rsidRDefault="00CC45D2">
            <w:pPr>
              <w:jc w:val="center"/>
            </w:pPr>
            <w:r>
              <w:rPr>
                <w:sz w:val="24"/>
              </w:rPr>
              <w:t>香港</w:t>
            </w:r>
          </w:p>
        </w:tc>
        <w:tc>
          <w:tcPr>
            <w:tcW w:w="976" w:type="dxa"/>
            <w:vAlign w:val="center"/>
          </w:tcPr>
          <w:p w:rsidR="00B536C4" w:rsidRDefault="00CC45D2">
            <w:pPr>
              <w:jc w:val="right"/>
            </w:pPr>
            <w:r>
              <w:rPr>
                <w:sz w:val="24"/>
              </w:rPr>
              <w:t>20,000</w:t>
            </w:r>
          </w:p>
        </w:tc>
        <w:tc>
          <w:tcPr>
            <w:tcW w:w="1624" w:type="dxa"/>
            <w:vAlign w:val="center"/>
          </w:tcPr>
          <w:p w:rsidR="00B536C4" w:rsidRDefault="00CC45D2">
            <w:pPr>
              <w:jc w:val="right"/>
            </w:pPr>
            <w:r>
              <w:rPr>
                <w:sz w:val="24"/>
              </w:rPr>
              <w:t>91,971.55</w:t>
            </w:r>
          </w:p>
        </w:tc>
        <w:tc>
          <w:tcPr>
            <w:tcW w:w="959" w:type="dxa"/>
            <w:vAlign w:val="center"/>
          </w:tcPr>
          <w:p w:rsidR="00B536C4" w:rsidRDefault="00CC45D2">
            <w:pPr>
              <w:jc w:val="right"/>
            </w:pPr>
            <w:r>
              <w:rPr>
                <w:sz w:val="24"/>
              </w:rPr>
              <w:t>0.23</w:t>
            </w:r>
          </w:p>
        </w:tc>
      </w:tr>
    </w:tbl>
    <w:p w:rsidR="007B62FA" w:rsidRPr="005B44F3" w:rsidRDefault="007B62FA" w:rsidP="005B44F3">
      <w:pPr>
        <w:tabs>
          <w:tab w:val="left" w:pos="426"/>
        </w:tabs>
        <w:spacing w:before="29" w:line="288" w:lineRule="auto"/>
        <w:jc w:val="left"/>
        <w:rPr>
          <w:kern w:val="0"/>
          <w:sz w:val="24"/>
        </w:rPr>
      </w:pPr>
      <w:r w:rsidRPr="005B44F3">
        <w:rPr>
          <w:kern w:val="0"/>
          <w:sz w:val="24"/>
        </w:rPr>
        <w:t>注：此处所用证券代码的类别是当地市场代码。</w:t>
      </w:r>
    </w:p>
    <w:p w:rsidR="005C5915" w:rsidRPr="00D0372D" w:rsidRDefault="005C5915" w:rsidP="004F0D41">
      <w:pPr>
        <w:spacing w:line="360" w:lineRule="auto"/>
        <w:jc w:val="left"/>
        <w:rPr>
          <w:rFonts w:ascii="宋体" w:hAnsi="宋体"/>
          <w:szCs w:val="21"/>
        </w:rPr>
      </w:pPr>
    </w:p>
    <w:p w:rsidR="007B62FA" w:rsidRPr="00DE1C7A" w:rsidRDefault="007B62FA" w:rsidP="00DE1C7A">
      <w:pPr>
        <w:pStyle w:val="20"/>
        <w:spacing w:before="29" w:after="0" w:line="288" w:lineRule="auto"/>
        <w:rPr>
          <w:rFonts w:ascii="Times New Roman" w:hAnsi="Times New Roman"/>
          <w:color w:val="000000"/>
          <w:szCs w:val="24"/>
        </w:rPr>
      </w:pPr>
      <w:bookmarkStart w:id="326" w:name="_Toc224618380"/>
      <w:bookmarkStart w:id="327" w:name="_Toc248233027"/>
      <w:bookmarkStart w:id="328" w:name="_Toc249790559"/>
      <w:bookmarkStart w:id="329" w:name="_Toc286929760"/>
      <w:bookmarkStart w:id="330" w:name="_Toc352255999"/>
      <w:bookmarkStart w:id="331" w:name="_Toc352256067"/>
      <w:bookmarkStart w:id="332" w:name="_Toc352331245"/>
      <w:bookmarkStart w:id="333" w:name="_Toc362424023"/>
      <w:bookmarkStart w:id="334" w:name="_Toc478411446"/>
      <w:r w:rsidRPr="00DE1C7A">
        <w:rPr>
          <w:rFonts w:ascii="Times New Roman" w:hAnsi="Times New Roman"/>
          <w:color w:val="000000"/>
          <w:szCs w:val="24"/>
        </w:rPr>
        <w:t>8.5</w:t>
      </w:r>
      <w:r w:rsidR="002D0B5F" w:rsidRPr="00DE1C7A">
        <w:rPr>
          <w:rFonts w:ascii="Times New Roman" w:hAnsi="Times New Roman" w:hint="eastAsia"/>
          <w:color w:val="000000"/>
          <w:szCs w:val="24"/>
        </w:rPr>
        <w:t xml:space="preserve"> </w:t>
      </w:r>
      <w:r w:rsidR="00E61C71" w:rsidRPr="00DE1C7A">
        <w:rPr>
          <w:rFonts w:ascii="Times New Roman" w:hAnsi="Times New Roman" w:hint="eastAsia"/>
          <w:color w:val="000000"/>
          <w:szCs w:val="24"/>
        </w:rPr>
        <w:t>报告期内权益</w:t>
      </w:r>
      <w:r w:rsidRPr="00DE1C7A">
        <w:rPr>
          <w:rFonts w:ascii="Times New Roman" w:hAnsi="Times New Roman" w:hint="eastAsia"/>
          <w:color w:val="000000"/>
          <w:szCs w:val="24"/>
        </w:rPr>
        <w:t>投资组合的重大变动</w:t>
      </w:r>
      <w:bookmarkEnd w:id="326"/>
      <w:bookmarkEnd w:id="327"/>
      <w:bookmarkEnd w:id="328"/>
      <w:bookmarkEnd w:id="329"/>
      <w:bookmarkEnd w:id="330"/>
      <w:bookmarkEnd w:id="331"/>
      <w:bookmarkEnd w:id="332"/>
      <w:bookmarkEnd w:id="333"/>
      <w:bookmarkEnd w:id="334"/>
    </w:p>
    <w:p w:rsidR="007B62FA" w:rsidRPr="00DE1C7A" w:rsidRDefault="007B62FA" w:rsidP="00DE1C7A">
      <w:pPr>
        <w:pStyle w:val="20"/>
        <w:spacing w:before="29" w:after="0" w:line="288" w:lineRule="auto"/>
        <w:rPr>
          <w:rFonts w:ascii="Times New Roman" w:hAnsi="Times New Roman"/>
          <w:color w:val="000000"/>
          <w:szCs w:val="24"/>
        </w:rPr>
      </w:pPr>
      <w:bookmarkStart w:id="335" w:name="_Toc478410272"/>
      <w:bookmarkStart w:id="336" w:name="_Toc478411447"/>
      <w:r w:rsidRPr="00DE1C7A">
        <w:rPr>
          <w:rFonts w:ascii="Times New Roman" w:hAnsi="Times New Roman"/>
          <w:color w:val="000000"/>
          <w:szCs w:val="24"/>
        </w:rPr>
        <w:t>8.5.1</w:t>
      </w:r>
      <w:r w:rsidR="002D0B5F" w:rsidRPr="00DE1C7A">
        <w:rPr>
          <w:rFonts w:ascii="Times New Roman" w:hAnsi="Times New Roman" w:hint="eastAsia"/>
          <w:color w:val="000000"/>
          <w:szCs w:val="24"/>
        </w:rPr>
        <w:t xml:space="preserve"> </w:t>
      </w:r>
      <w:r w:rsidRPr="00DE1C7A">
        <w:rPr>
          <w:rFonts w:ascii="Times New Roman" w:hAnsi="Times New Roman" w:hint="eastAsia"/>
          <w:color w:val="000000"/>
          <w:szCs w:val="24"/>
        </w:rPr>
        <w:t>累计买入金额超出</w:t>
      </w:r>
      <w:r w:rsidR="008E1045" w:rsidRPr="00DE1C7A">
        <w:rPr>
          <w:rFonts w:ascii="Times New Roman" w:hAnsi="Times New Roman" w:hint="eastAsia"/>
          <w:color w:val="000000"/>
          <w:szCs w:val="24"/>
        </w:rPr>
        <w:t>期</w:t>
      </w:r>
      <w:proofErr w:type="gramStart"/>
      <w:r w:rsidR="008E1045" w:rsidRPr="00DE1C7A">
        <w:rPr>
          <w:rFonts w:ascii="Times New Roman" w:hAnsi="Times New Roman" w:hint="eastAsia"/>
          <w:color w:val="000000"/>
          <w:szCs w:val="24"/>
        </w:rPr>
        <w:t>初</w:t>
      </w:r>
      <w:r w:rsidRPr="00DE1C7A">
        <w:rPr>
          <w:rFonts w:ascii="Times New Roman" w:hAnsi="Times New Roman" w:hint="eastAsia"/>
          <w:color w:val="000000"/>
          <w:szCs w:val="24"/>
        </w:rPr>
        <w:t>基金</w:t>
      </w:r>
      <w:proofErr w:type="gramEnd"/>
      <w:r w:rsidRPr="00DE1C7A">
        <w:rPr>
          <w:rFonts w:ascii="Times New Roman" w:hAnsi="Times New Roman" w:hint="eastAsia"/>
          <w:color w:val="000000"/>
          <w:szCs w:val="24"/>
        </w:rPr>
        <w:t>资产净值</w:t>
      </w:r>
      <w:r w:rsidR="007B3B2A" w:rsidRPr="00DE1C7A">
        <w:rPr>
          <w:rFonts w:ascii="Times New Roman" w:hAnsi="Times New Roman" w:hint="eastAsia"/>
          <w:color w:val="000000"/>
          <w:szCs w:val="24"/>
        </w:rPr>
        <w:t>2%</w:t>
      </w:r>
      <w:r w:rsidRPr="00DE1C7A">
        <w:rPr>
          <w:rFonts w:ascii="Times New Roman" w:hAnsi="Times New Roman" w:hint="eastAsia"/>
          <w:color w:val="000000"/>
          <w:szCs w:val="24"/>
        </w:rPr>
        <w:t>或前</w:t>
      </w:r>
      <w:r w:rsidRPr="00DE1C7A">
        <w:rPr>
          <w:rFonts w:ascii="Times New Roman" w:hAnsi="Times New Roman"/>
          <w:color w:val="000000"/>
          <w:szCs w:val="24"/>
        </w:rPr>
        <w:t>20</w:t>
      </w:r>
      <w:r w:rsidRPr="00DE1C7A">
        <w:rPr>
          <w:rFonts w:ascii="Times New Roman" w:hAnsi="Times New Roman" w:hint="eastAsia"/>
          <w:color w:val="000000"/>
          <w:szCs w:val="24"/>
        </w:rPr>
        <w:t>名的权益投资明细</w:t>
      </w:r>
      <w:bookmarkEnd w:id="335"/>
      <w:bookmarkEnd w:id="336"/>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7B62FA" w:rsidRPr="00D0372D" w:rsidTr="002176DD">
        <w:trPr>
          <w:trHeight w:val="315"/>
        </w:trPr>
        <w:tc>
          <w:tcPr>
            <w:tcW w:w="555"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序号</w:t>
            </w:r>
          </w:p>
        </w:tc>
        <w:tc>
          <w:tcPr>
            <w:tcW w:w="2378"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公司名称（英文）</w:t>
            </w:r>
          </w:p>
        </w:tc>
        <w:tc>
          <w:tcPr>
            <w:tcW w:w="2552"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证券代码</w:t>
            </w:r>
          </w:p>
        </w:tc>
        <w:tc>
          <w:tcPr>
            <w:tcW w:w="2130"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本期累计买入金额</w:t>
            </w:r>
          </w:p>
        </w:tc>
        <w:tc>
          <w:tcPr>
            <w:tcW w:w="1650" w:type="dxa"/>
            <w:tcMar>
              <w:top w:w="15" w:type="dxa"/>
              <w:left w:w="15" w:type="dxa"/>
              <w:bottom w:w="0" w:type="dxa"/>
              <w:right w:w="15" w:type="dxa"/>
            </w:tcMar>
            <w:vAlign w:val="center"/>
          </w:tcPr>
          <w:p w:rsidR="007D3054" w:rsidRPr="00C958B3" w:rsidRDefault="007B62FA" w:rsidP="00C958B3">
            <w:pPr>
              <w:spacing w:before="29" w:line="288" w:lineRule="auto"/>
              <w:jc w:val="center"/>
              <w:rPr>
                <w:color w:val="000000"/>
                <w:sz w:val="24"/>
              </w:rPr>
            </w:pPr>
            <w:r w:rsidRPr="00C958B3">
              <w:rPr>
                <w:rFonts w:hint="eastAsia"/>
                <w:color w:val="000000"/>
                <w:sz w:val="24"/>
              </w:rPr>
              <w:t>占</w:t>
            </w:r>
            <w:r w:rsidR="002057EF" w:rsidRPr="00C958B3">
              <w:rPr>
                <w:rFonts w:hint="eastAsia"/>
                <w:color w:val="000000"/>
                <w:sz w:val="24"/>
              </w:rPr>
              <w:t>期初</w:t>
            </w:r>
            <w:r w:rsidRPr="00C958B3">
              <w:rPr>
                <w:rFonts w:hint="eastAsia"/>
                <w:color w:val="000000"/>
                <w:sz w:val="24"/>
              </w:rPr>
              <w:t>基金</w:t>
            </w:r>
          </w:p>
          <w:p w:rsidR="007B62FA" w:rsidRPr="00C958B3" w:rsidRDefault="007B62FA" w:rsidP="00C958B3">
            <w:pPr>
              <w:spacing w:before="29" w:line="288" w:lineRule="auto"/>
              <w:jc w:val="center"/>
              <w:rPr>
                <w:color w:val="000000"/>
                <w:sz w:val="24"/>
              </w:rPr>
            </w:pPr>
            <w:r w:rsidRPr="00C958B3">
              <w:rPr>
                <w:rFonts w:hint="eastAsia"/>
                <w:color w:val="000000"/>
                <w:sz w:val="24"/>
              </w:rPr>
              <w:t>资产净值比例（％）</w:t>
            </w:r>
          </w:p>
        </w:tc>
      </w:tr>
      <w:tr w:rsidR="00B536C4">
        <w:tc>
          <w:tcPr>
            <w:tcW w:w="540" w:type="dxa"/>
            <w:vAlign w:val="center"/>
          </w:tcPr>
          <w:p w:rsidR="00B536C4" w:rsidRDefault="00CC45D2">
            <w:pPr>
              <w:jc w:val="center"/>
            </w:pPr>
            <w:r>
              <w:rPr>
                <w:sz w:val="24"/>
              </w:rPr>
              <w:t>1</w:t>
            </w:r>
          </w:p>
        </w:tc>
        <w:tc>
          <w:tcPr>
            <w:tcW w:w="2309" w:type="dxa"/>
            <w:vAlign w:val="center"/>
          </w:tcPr>
          <w:p w:rsidR="00B536C4" w:rsidRDefault="00CC45D2">
            <w:pPr>
              <w:jc w:val="center"/>
            </w:pPr>
            <w:r>
              <w:rPr>
                <w:sz w:val="24"/>
              </w:rPr>
              <w:t>China Petroleum &amp; Chemical Corporation</w:t>
            </w:r>
          </w:p>
        </w:tc>
        <w:tc>
          <w:tcPr>
            <w:tcW w:w="2478" w:type="dxa"/>
            <w:vAlign w:val="center"/>
          </w:tcPr>
          <w:p w:rsidR="00B536C4" w:rsidRDefault="00CC45D2">
            <w:pPr>
              <w:jc w:val="center"/>
            </w:pPr>
            <w:r>
              <w:rPr>
                <w:sz w:val="24"/>
              </w:rPr>
              <w:t>386 HK</w:t>
            </w:r>
          </w:p>
        </w:tc>
        <w:tc>
          <w:tcPr>
            <w:tcW w:w="2068" w:type="dxa"/>
            <w:vAlign w:val="center"/>
          </w:tcPr>
          <w:p w:rsidR="00B536C4" w:rsidRDefault="00CC45D2">
            <w:pPr>
              <w:jc w:val="right"/>
            </w:pPr>
            <w:r>
              <w:rPr>
                <w:sz w:val="24"/>
              </w:rPr>
              <w:t>2,266,870.75</w:t>
            </w:r>
          </w:p>
        </w:tc>
        <w:tc>
          <w:tcPr>
            <w:tcW w:w="1603" w:type="dxa"/>
            <w:vAlign w:val="center"/>
          </w:tcPr>
          <w:p w:rsidR="00B536C4" w:rsidRDefault="00CC45D2">
            <w:pPr>
              <w:jc w:val="right"/>
            </w:pPr>
            <w:r>
              <w:rPr>
                <w:sz w:val="24"/>
              </w:rPr>
              <w:t>7.45</w:t>
            </w:r>
          </w:p>
        </w:tc>
      </w:tr>
      <w:tr w:rsidR="00B536C4">
        <w:tc>
          <w:tcPr>
            <w:tcW w:w="540" w:type="dxa"/>
            <w:vAlign w:val="center"/>
          </w:tcPr>
          <w:p w:rsidR="00B536C4" w:rsidRDefault="00CC45D2">
            <w:pPr>
              <w:jc w:val="center"/>
            </w:pPr>
            <w:r>
              <w:rPr>
                <w:sz w:val="24"/>
              </w:rPr>
              <w:t>2</w:t>
            </w:r>
          </w:p>
        </w:tc>
        <w:tc>
          <w:tcPr>
            <w:tcW w:w="2309" w:type="dxa"/>
            <w:vAlign w:val="center"/>
          </w:tcPr>
          <w:p w:rsidR="00B536C4" w:rsidRDefault="00CC45D2">
            <w:pPr>
              <w:jc w:val="center"/>
            </w:pPr>
            <w:r>
              <w:rPr>
                <w:sz w:val="24"/>
              </w:rPr>
              <w:t>Huaneng Power International,Inc.</w:t>
            </w:r>
          </w:p>
        </w:tc>
        <w:tc>
          <w:tcPr>
            <w:tcW w:w="2478" w:type="dxa"/>
            <w:vAlign w:val="center"/>
          </w:tcPr>
          <w:p w:rsidR="00B536C4" w:rsidRDefault="00CC45D2">
            <w:pPr>
              <w:jc w:val="center"/>
            </w:pPr>
            <w:r>
              <w:rPr>
                <w:sz w:val="24"/>
              </w:rPr>
              <w:t>902 HK</w:t>
            </w:r>
          </w:p>
        </w:tc>
        <w:tc>
          <w:tcPr>
            <w:tcW w:w="2068" w:type="dxa"/>
            <w:vAlign w:val="center"/>
          </w:tcPr>
          <w:p w:rsidR="00B536C4" w:rsidRDefault="00CC45D2">
            <w:pPr>
              <w:jc w:val="right"/>
            </w:pPr>
            <w:r>
              <w:rPr>
                <w:sz w:val="24"/>
              </w:rPr>
              <w:t>1,849,199.15</w:t>
            </w:r>
          </w:p>
        </w:tc>
        <w:tc>
          <w:tcPr>
            <w:tcW w:w="1603" w:type="dxa"/>
            <w:vAlign w:val="center"/>
          </w:tcPr>
          <w:p w:rsidR="00B536C4" w:rsidRDefault="00CC45D2">
            <w:pPr>
              <w:jc w:val="right"/>
            </w:pPr>
            <w:r>
              <w:rPr>
                <w:sz w:val="24"/>
              </w:rPr>
              <w:t>6.07</w:t>
            </w:r>
          </w:p>
        </w:tc>
      </w:tr>
      <w:tr w:rsidR="00B536C4">
        <w:tc>
          <w:tcPr>
            <w:tcW w:w="540" w:type="dxa"/>
            <w:vAlign w:val="center"/>
          </w:tcPr>
          <w:p w:rsidR="00B536C4" w:rsidRDefault="00CC45D2">
            <w:pPr>
              <w:jc w:val="center"/>
            </w:pPr>
            <w:r>
              <w:rPr>
                <w:sz w:val="24"/>
              </w:rPr>
              <w:t>3</w:t>
            </w:r>
          </w:p>
        </w:tc>
        <w:tc>
          <w:tcPr>
            <w:tcW w:w="2309" w:type="dxa"/>
            <w:vAlign w:val="center"/>
          </w:tcPr>
          <w:p w:rsidR="00B536C4" w:rsidRDefault="00CC45D2">
            <w:pPr>
              <w:jc w:val="center"/>
            </w:pPr>
            <w:r>
              <w:rPr>
                <w:sz w:val="24"/>
              </w:rPr>
              <w:t>China Molybdenum Co.,Ltd.</w:t>
            </w:r>
          </w:p>
        </w:tc>
        <w:tc>
          <w:tcPr>
            <w:tcW w:w="2478" w:type="dxa"/>
            <w:vAlign w:val="center"/>
          </w:tcPr>
          <w:p w:rsidR="00B536C4" w:rsidRDefault="00CC45D2">
            <w:pPr>
              <w:jc w:val="center"/>
            </w:pPr>
            <w:r>
              <w:rPr>
                <w:sz w:val="24"/>
              </w:rPr>
              <w:t>3993 HK</w:t>
            </w:r>
          </w:p>
        </w:tc>
        <w:tc>
          <w:tcPr>
            <w:tcW w:w="2068" w:type="dxa"/>
            <w:vAlign w:val="center"/>
          </w:tcPr>
          <w:p w:rsidR="00B536C4" w:rsidRDefault="00CC45D2">
            <w:pPr>
              <w:jc w:val="right"/>
            </w:pPr>
            <w:r>
              <w:rPr>
                <w:sz w:val="24"/>
              </w:rPr>
              <w:t>1,616,702.64</w:t>
            </w:r>
          </w:p>
        </w:tc>
        <w:tc>
          <w:tcPr>
            <w:tcW w:w="1603" w:type="dxa"/>
            <w:vAlign w:val="center"/>
          </w:tcPr>
          <w:p w:rsidR="00B536C4" w:rsidRDefault="00CC45D2">
            <w:pPr>
              <w:jc w:val="right"/>
            </w:pPr>
            <w:r>
              <w:rPr>
                <w:sz w:val="24"/>
              </w:rPr>
              <w:t>5.31</w:t>
            </w:r>
          </w:p>
        </w:tc>
      </w:tr>
      <w:tr w:rsidR="00B536C4">
        <w:tc>
          <w:tcPr>
            <w:tcW w:w="540" w:type="dxa"/>
            <w:vAlign w:val="center"/>
          </w:tcPr>
          <w:p w:rsidR="00B536C4" w:rsidRDefault="00CC45D2">
            <w:pPr>
              <w:jc w:val="center"/>
            </w:pPr>
            <w:r>
              <w:rPr>
                <w:sz w:val="24"/>
              </w:rPr>
              <w:t>4</w:t>
            </w:r>
          </w:p>
        </w:tc>
        <w:tc>
          <w:tcPr>
            <w:tcW w:w="2309" w:type="dxa"/>
            <w:vAlign w:val="center"/>
          </w:tcPr>
          <w:p w:rsidR="00B536C4" w:rsidRDefault="00CC45D2">
            <w:pPr>
              <w:jc w:val="center"/>
            </w:pPr>
            <w:r>
              <w:rPr>
                <w:sz w:val="24"/>
              </w:rPr>
              <w:t>China State Construction International Holdings Limited</w:t>
            </w:r>
          </w:p>
        </w:tc>
        <w:tc>
          <w:tcPr>
            <w:tcW w:w="2478" w:type="dxa"/>
            <w:vAlign w:val="center"/>
          </w:tcPr>
          <w:p w:rsidR="00B536C4" w:rsidRDefault="00CC45D2">
            <w:pPr>
              <w:jc w:val="center"/>
            </w:pPr>
            <w:r>
              <w:rPr>
                <w:sz w:val="24"/>
              </w:rPr>
              <w:t>3311 HK</w:t>
            </w:r>
          </w:p>
        </w:tc>
        <w:tc>
          <w:tcPr>
            <w:tcW w:w="2068" w:type="dxa"/>
            <w:vAlign w:val="center"/>
          </w:tcPr>
          <w:p w:rsidR="00B536C4" w:rsidRDefault="00CC45D2">
            <w:pPr>
              <w:jc w:val="right"/>
            </w:pPr>
            <w:r>
              <w:rPr>
                <w:sz w:val="24"/>
              </w:rPr>
              <w:t>1,489,062.13</w:t>
            </w:r>
          </w:p>
        </w:tc>
        <w:tc>
          <w:tcPr>
            <w:tcW w:w="1603" w:type="dxa"/>
            <w:vAlign w:val="center"/>
          </w:tcPr>
          <w:p w:rsidR="00B536C4" w:rsidRDefault="00CC45D2">
            <w:pPr>
              <w:jc w:val="right"/>
            </w:pPr>
            <w:r>
              <w:rPr>
                <w:sz w:val="24"/>
              </w:rPr>
              <w:t>4.89</w:t>
            </w:r>
          </w:p>
        </w:tc>
      </w:tr>
      <w:tr w:rsidR="00B536C4">
        <w:tc>
          <w:tcPr>
            <w:tcW w:w="540" w:type="dxa"/>
            <w:vAlign w:val="center"/>
          </w:tcPr>
          <w:p w:rsidR="00B536C4" w:rsidRDefault="00CC45D2">
            <w:pPr>
              <w:jc w:val="center"/>
            </w:pPr>
            <w:r>
              <w:rPr>
                <w:sz w:val="24"/>
              </w:rPr>
              <w:t>5</w:t>
            </w:r>
          </w:p>
        </w:tc>
        <w:tc>
          <w:tcPr>
            <w:tcW w:w="2309" w:type="dxa"/>
            <w:vAlign w:val="center"/>
          </w:tcPr>
          <w:p w:rsidR="00B536C4" w:rsidRDefault="00CC45D2">
            <w:pPr>
              <w:jc w:val="center"/>
            </w:pPr>
            <w:r>
              <w:rPr>
                <w:sz w:val="24"/>
              </w:rPr>
              <w:t>Sinotruk (Hong Kong) Ltd.</w:t>
            </w:r>
          </w:p>
        </w:tc>
        <w:tc>
          <w:tcPr>
            <w:tcW w:w="2478" w:type="dxa"/>
            <w:vAlign w:val="center"/>
          </w:tcPr>
          <w:p w:rsidR="00B536C4" w:rsidRDefault="00CC45D2">
            <w:pPr>
              <w:jc w:val="center"/>
            </w:pPr>
            <w:r>
              <w:rPr>
                <w:sz w:val="24"/>
              </w:rPr>
              <w:t>3808 HK</w:t>
            </w:r>
          </w:p>
        </w:tc>
        <w:tc>
          <w:tcPr>
            <w:tcW w:w="2068" w:type="dxa"/>
            <w:vAlign w:val="center"/>
          </w:tcPr>
          <w:p w:rsidR="00B536C4" w:rsidRDefault="00CC45D2">
            <w:pPr>
              <w:jc w:val="right"/>
            </w:pPr>
            <w:r>
              <w:rPr>
                <w:sz w:val="24"/>
              </w:rPr>
              <w:t>1,435,004.52</w:t>
            </w:r>
          </w:p>
        </w:tc>
        <w:tc>
          <w:tcPr>
            <w:tcW w:w="1603" w:type="dxa"/>
            <w:vAlign w:val="center"/>
          </w:tcPr>
          <w:p w:rsidR="00B536C4" w:rsidRDefault="00CC45D2">
            <w:pPr>
              <w:jc w:val="right"/>
            </w:pPr>
            <w:r>
              <w:rPr>
                <w:sz w:val="24"/>
              </w:rPr>
              <w:t>4.71</w:t>
            </w:r>
          </w:p>
        </w:tc>
      </w:tr>
      <w:tr w:rsidR="00B536C4">
        <w:tc>
          <w:tcPr>
            <w:tcW w:w="540" w:type="dxa"/>
            <w:vAlign w:val="center"/>
          </w:tcPr>
          <w:p w:rsidR="00B536C4" w:rsidRDefault="00CC45D2">
            <w:pPr>
              <w:jc w:val="center"/>
            </w:pPr>
            <w:r>
              <w:rPr>
                <w:sz w:val="24"/>
              </w:rPr>
              <w:t>6</w:t>
            </w:r>
          </w:p>
        </w:tc>
        <w:tc>
          <w:tcPr>
            <w:tcW w:w="2309" w:type="dxa"/>
            <w:vAlign w:val="center"/>
          </w:tcPr>
          <w:p w:rsidR="00B536C4" w:rsidRDefault="00CC45D2">
            <w:pPr>
              <w:jc w:val="center"/>
            </w:pPr>
            <w:r>
              <w:rPr>
                <w:sz w:val="24"/>
              </w:rPr>
              <w:t>Zijin Mining Group Co.,Ltd.</w:t>
            </w:r>
          </w:p>
        </w:tc>
        <w:tc>
          <w:tcPr>
            <w:tcW w:w="2478" w:type="dxa"/>
            <w:vAlign w:val="center"/>
          </w:tcPr>
          <w:p w:rsidR="00B536C4" w:rsidRDefault="00CC45D2">
            <w:pPr>
              <w:jc w:val="center"/>
            </w:pPr>
            <w:r>
              <w:rPr>
                <w:sz w:val="24"/>
              </w:rPr>
              <w:t>2899 HK</w:t>
            </w:r>
          </w:p>
        </w:tc>
        <w:tc>
          <w:tcPr>
            <w:tcW w:w="2068" w:type="dxa"/>
            <w:vAlign w:val="center"/>
          </w:tcPr>
          <w:p w:rsidR="00B536C4" w:rsidRDefault="00CC45D2">
            <w:pPr>
              <w:jc w:val="right"/>
            </w:pPr>
            <w:r>
              <w:rPr>
                <w:sz w:val="24"/>
              </w:rPr>
              <w:t>1,402,310.53</w:t>
            </w:r>
          </w:p>
        </w:tc>
        <w:tc>
          <w:tcPr>
            <w:tcW w:w="1603" w:type="dxa"/>
            <w:vAlign w:val="center"/>
          </w:tcPr>
          <w:p w:rsidR="00B536C4" w:rsidRDefault="00CC45D2">
            <w:pPr>
              <w:jc w:val="right"/>
            </w:pPr>
            <w:r>
              <w:rPr>
                <w:sz w:val="24"/>
              </w:rPr>
              <w:t>4.61</w:t>
            </w:r>
          </w:p>
        </w:tc>
      </w:tr>
      <w:tr w:rsidR="00B536C4">
        <w:tc>
          <w:tcPr>
            <w:tcW w:w="540" w:type="dxa"/>
            <w:vAlign w:val="center"/>
          </w:tcPr>
          <w:p w:rsidR="00B536C4" w:rsidRDefault="00CC45D2">
            <w:pPr>
              <w:jc w:val="center"/>
            </w:pPr>
            <w:r>
              <w:rPr>
                <w:sz w:val="24"/>
              </w:rPr>
              <w:lastRenderedPageBreak/>
              <w:t>7</w:t>
            </w:r>
          </w:p>
        </w:tc>
        <w:tc>
          <w:tcPr>
            <w:tcW w:w="2309" w:type="dxa"/>
            <w:vAlign w:val="center"/>
          </w:tcPr>
          <w:p w:rsidR="00B536C4" w:rsidRDefault="00CC45D2">
            <w:pPr>
              <w:jc w:val="center"/>
            </w:pPr>
            <w:r>
              <w:rPr>
                <w:sz w:val="24"/>
              </w:rPr>
              <w:t>Yanzhou Coal Mining Company Limited</w:t>
            </w:r>
          </w:p>
        </w:tc>
        <w:tc>
          <w:tcPr>
            <w:tcW w:w="2478" w:type="dxa"/>
            <w:vAlign w:val="center"/>
          </w:tcPr>
          <w:p w:rsidR="00B536C4" w:rsidRDefault="00CC45D2">
            <w:pPr>
              <w:jc w:val="center"/>
            </w:pPr>
            <w:r>
              <w:rPr>
                <w:sz w:val="24"/>
              </w:rPr>
              <w:t>1171 HK</w:t>
            </w:r>
          </w:p>
        </w:tc>
        <w:tc>
          <w:tcPr>
            <w:tcW w:w="2068" w:type="dxa"/>
            <w:vAlign w:val="center"/>
          </w:tcPr>
          <w:p w:rsidR="00B536C4" w:rsidRDefault="00CC45D2">
            <w:pPr>
              <w:jc w:val="right"/>
            </w:pPr>
            <w:r>
              <w:rPr>
                <w:sz w:val="24"/>
              </w:rPr>
              <w:t>1,375,430.33</w:t>
            </w:r>
          </w:p>
        </w:tc>
        <w:tc>
          <w:tcPr>
            <w:tcW w:w="1603" w:type="dxa"/>
            <w:vAlign w:val="center"/>
          </w:tcPr>
          <w:p w:rsidR="00B536C4" w:rsidRDefault="00CC45D2">
            <w:pPr>
              <w:jc w:val="right"/>
            </w:pPr>
            <w:r>
              <w:rPr>
                <w:sz w:val="24"/>
              </w:rPr>
              <w:t>4.52</w:t>
            </w:r>
          </w:p>
        </w:tc>
      </w:tr>
      <w:tr w:rsidR="00B536C4">
        <w:tc>
          <w:tcPr>
            <w:tcW w:w="540" w:type="dxa"/>
            <w:vAlign w:val="center"/>
          </w:tcPr>
          <w:p w:rsidR="00B536C4" w:rsidRDefault="00CC45D2">
            <w:pPr>
              <w:jc w:val="center"/>
            </w:pPr>
            <w:r>
              <w:rPr>
                <w:sz w:val="24"/>
              </w:rPr>
              <w:t>8</w:t>
            </w:r>
          </w:p>
        </w:tc>
        <w:tc>
          <w:tcPr>
            <w:tcW w:w="2309" w:type="dxa"/>
            <w:vAlign w:val="center"/>
          </w:tcPr>
          <w:p w:rsidR="00B536C4" w:rsidRDefault="00CC45D2">
            <w:pPr>
              <w:jc w:val="center"/>
            </w:pPr>
            <w:r>
              <w:rPr>
                <w:sz w:val="24"/>
              </w:rPr>
              <w:t>Jiangxi Copper Company Limited</w:t>
            </w:r>
          </w:p>
        </w:tc>
        <w:tc>
          <w:tcPr>
            <w:tcW w:w="2478" w:type="dxa"/>
            <w:vAlign w:val="center"/>
          </w:tcPr>
          <w:p w:rsidR="00B536C4" w:rsidRDefault="00CC45D2">
            <w:pPr>
              <w:jc w:val="center"/>
            </w:pPr>
            <w:r>
              <w:rPr>
                <w:sz w:val="24"/>
              </w:rPr>
              <w:t>358 HK</w:t>
            </w:r>
          </w:p>
        </w:tc>
        <w:tc>
          <w:tcPr>
            <w:tcW w:w="2068" w:type="dxa"/>
            <w:vAlign w:val="center"/>
          </w:tcPr>
          <w:p w:rsidR="00B536C4" w:rsidRDefault="00CC45D2">
            <w:pPr>
              <w:jc w:val="right"/>
            </w:pPr>
            <w:r>
              <w:rPr>
                <w:sz w:val="24"/>
              </w:rPr>
              <w:t>1,293,082.68</w:t>
            </w:r>
          </w:p>
        </w:tc>
        <w:tc>
          <w:tcPr>
            <w:tcW w:w="1603" w:type="dxa"/>
            <w:vAlign w:val="center"/>
          </w:tcPr>
          <w:p w:rsidR="00B536C4" w:rsidRDefault="00CC45D2">
            <w:pPr>
              <w:jc w:val="right"/>
            </w:pPr>
            <w:r>
              <w:rPr>
                <w:sz w:val="24"/>
              </w:rPr>
              <w:t>4.25</w:t>
            </w:r>
          </w:p>
        </w:tc>
      </w:tr>
      <w:tr w:rsidR="00B536C4">
        <w:tc>
          <w:tcPr>
            <w:tcW w:w="540" w:type="dxa"/>
            <w:vAlign w:val="center"/>
          </w:tcPr>
          <w:p w:rsidR="00B536C4" w:rsidRDefault="00CC45D2">
            <w:pPr>
              <w:jc w:val="center"/>
            </w:pPr>
            <w:r>
              <w:rPr>
                <w:sz w:val="24"/>
              </w:rPr>
              <w:t>9</w:t>
            </w:r>
          </w:p>
        </w:tc>
        <w:tc>
          <w:tcPr>
            <w:tcW w:w="2309" w:type="dxa"/>
            <w:vAlign w:val="center"/>
          </w:tcPr>
          <w:p w:rsidR="00B536C4" w:rsidRDefault="00CC45D2">
            <w:pPr>
              <w:jc w:val="center"/>
            </w:pPr>
            <w:r>
              <w:rPr>
                <w:sz w:val="24"/>
              </w:rPr>
              <w:t>Hong Kong Exchanges And Clearing Limited</w:t>
            </w:r>
          </w:p>
        </w:tc>
        <w:tc>
          <w:tcPr>
            <w:tcW w:w="2478" w:type="dxa"/>
            <w:vAlign w:val="center"/>
          </w:tcPr>
          <w:p w:rsidR="00B536C4" w:rsidRDefault="00CC45D2">
            <w:pPr>
              <w:jc w:val="center"/>
            </w:pPr>
            <w:r>
              <w:rPr>
                <w:sz w:val="24"/>
              </w:rPr>
              <w:t>388 HK</w:t>
            </w:r>
          </w:p>
        </w:tc>
        <w:tc>
          <w:tcPr>
            <w:tcW w:w="2068" w:type="dxa"/>
            <w:vAlign w:val="center"/>
          </w:tcPr>
          <w:p w:rsidR="00B536C4" w:rsidRDefault="00CC45D2">
            <w:pPr>
              <w:jc w:val="right"/>
            </w:pPr>
            <w:r>
              <w:rPr>
                <w:sz w:val="24"/>
              </w:rPr>
              <w:t>1,282,435.46</w:t>
            </w:r>
          </w:p>
        </w:tc>
        <w:tc>
          <w:tcPr>
            <w:tcW w:w="1603" w:type="dxa"/>
            <w:vAlign w:val="center"/>
          </w:tcPr>
          <w:p w:rsidR="00B536C4" w:rsidRDefault="00CC45D2">
            <w:pPr>
              <w:jc w:val="right"/>
            </w:pPr>
            <w:r>
              <w:rPr>
                <w:sz w:val="24"/>
              </w:rPr>
              <w:t>4.21</w:t>
            </w:r>
          </w:p>
        </w:tc>
      </w:tr>
      <w:tr w:rsidR="00B536C4">
        <w:tc>
          <w:tcPr>
            <w:tcW w:w="540" w:type="dxa"/>
            <w:vAlign w:val="center"/>
          </w:tcPr>
          <w:p w:rsidR="00B536C4" w:rsidRDefault="00CC45D2">
            <w:pPr>
              <w:jc w:val="center"/>
            </w:pPr>
            <w:r>
              <w:rPr>
                <w:sz w:val="24"/>
              </w:rPr>
              <w:t>10</w:t>
            </w:r>
          </w:p>
        </w:tc>
        <w:tc>
          <w:tcPr>
            <w:tcW w:w="2309" w:type="dxa"/>
            <w:vAlign w:val="center"/>
          </w:tcPr>
          <w:p w:rsidR="00B536C4" w:rsidRDefault="00CC45D2">
            <w:pPr>
              <w:jc w:val="center"/>
            </w:pPr>
            <w:r>
              <w:rPr>
                <w:sz w:val="24"/>
              </w:rPr>
              <w:t>Great Wall Motor Company Limited</w:t>
            </w:r>
          </w:p>
        </w:tc>
        <w:tc>
          <w:tcPr>
            <w:tcW w:w="2478" w:type="dxa"/>
            <w:vAlign w:val="center"/>
          </w:tcPr>
          <w:p w:rsidR="00B536C4" w:rsidRDefault="00CC45D2">
            <w:pPr>
              <w:jc w:val="center"/>
            </w:pPr>
            <w:r>
              <w:rPr>
                <w:sz w:val="24"/>
              </w:rPr>
              <w:t>2333 HK</w:t>
            </w:r>
          </w:p>
        </w:tc>
        <w:tc>
          <w:tcPr>
            <w:tcW w:w="2068" w:type="dxa"/>
            <w:vAlign w:val="center"/>
          </w:tcPr>
          <w:p w:rsidR="00B536C4" w:rsidRDefault="00CC45D2">
            <w:pPr>
              <w:jc w:val="right"/>
            </w:pPr>
            <w:r>
              <w:rPr>
                <w:sz w:val="24"/>
              </w:rPr>
              <w:t>1,269,878.20</w:t>
            </w:r>
          </w:p>
        </w:tc>
        <w:tc>
          <w:tcPr>
            <w:tcW w:w="1603" w:type="dxa"/>
            <w:vAlign w:val="center"/>
          </w:tcPr>
          <w:p w:rsidR="00B536C4" w:rsidRDefault="00CC45D2">
            <w:pPr>
              <w:jc w:val="right"/>
            </w:pPr>
            <w:r>
              <w:rPr>
                <w:sz w:val="24"/>
              </w:rPr>
              <w:t>4.17</w:t>
            </w:r>
          </w:p>
        </w:tc>
      </w:tr>
      <w:tr w:rsidR="00B536C4">
        <w:tc>
          <w:tcPr>
            <w:tcW w:w="540" w:type="dxa"/>
            <w:vAlign w:val="center"/>
          </w:tcPr>
          <w:p w:rsidR="00B536C4" w:rsidRDefault="00CC45D2">
            <w:pPr>
              <w:jc w:val="center"/>
            </w:pPr>
            <w:r>
              <w:rPr>
                <w:sz w:val="24"/>
              </w:rPr>
              <w:t>11</w:t>
            </w:r>
          </w:p>
        </w:tc>
        <w:tc>
          <w:tcPr>
            <w:tcW w:w="2309" w:type="dxa"/>
            <w:vAlign w:val="center"/>
          </w:tcPr>
          <w:p w:rsidR="00B536C4" w:rsidRDefault="00CC45D2">
            <w:pPr>
              <w:jc w:val="center"/>
            </w:pPr>
            <w:r>
              <w:rPr>
                <w:sz w:val="24"/>
              </w:rPr>
              <w:t>China Resources Cement Holdings Ltd.</w:t>
            </w:r>
          </w:p>
        </w:tc>
        <w:tc>
          <w:tcPr>
            <w:tcW w:w="2478" w:type="dxa"/>
            <w:vAlign w:val="center"/>
          </w:tcPr>
          <w:p w:rsidR="00B536C4" w:rsidRDefault="00CC45D2">
            <w:pPr>
              <w:jc w:val="center"/>
            </w:pPr>
            <w:r>
              <w:rPr>
                <w:sz w:val="24"/>
              </w:rPr>
              <w:t>1313 HK</w:t>
            </w:r>
          </w:p>
        </w:tc>
        <w:tc>
          <w:tcPr>
            <w:tcW w:w="2068" w:type="dxa"/>
            <w:vAlign w:val="center"/>
          </w:tcPr>
          <w:p w:rsidR="00B536C4" w:rsidRDefault="00CC45D2">
            <w:pPr>
              <w:jc w:val="right"/>
            </w:pPr>
            <w:r>
              <w:rPr>
                <w:sz w:val="24"/>
              </w:rPr>
              <w:t>1,158,612.44</w:t>
            </w:r>
          </w:p>
        </w:tc>
        <w:tc>
          <w:tcPr>
            <w:tcW w:w="1603" w:type="dxa"/>
            <w:vAlign w:val="center"/>
          </w:tcPr>
          <w:p w:rsidR="00B536C4" w:rsidRDefault="00CC45D2">
            <w:pPr>
              <w:jc w:val="right"/>
            </w:pPr>
            <w:r>
              <w:rPr>
                <w:sz w:val="24"/>
              </w:rPr>
              <w:t>3.81</w:t>
            </w:r>
          </w:p>
        </w:tc>
      </w:tr>
      <w:tr w:rsidR="00B536C4">
        <w:tc>
          <w:tcPr>
            <w:tcW w:w="540" w:type="dxa"/>
            <w:vAlign w:val="center"/>
          </w:tcPr>
          <w:p w:rsidR="00B536C4" w:rsidRDefault="00CC45D2">
            <w:pPr>
              <w:jc w:val="center"/>
            </w:pPr>
            <w:r>
              <w:rPr>
                <w:sz w:val="24"/>
              </w:rPr>
              <w:t>12</w:t>
            </w:r>
          </w:p>
        </w:tc>
        <w:tc>
          <w:tcPr>
            <w:tcW w:w="2309" w:type="dxa"/>
            <w:vAlign w:val="center"/>
          </w:tcPr>
          <w:p w:rsidR="00B536C4" w:rsidRDefault="00CC45D2">
            <w:pPr>
              <w:jc w:val="center"/>
            </w:pPr>
            <w:r>
              <w:rPr>
                <w:sz w:val="24"/>
              </w:rPr>
              <w:t>Xinjiang Goldwind Science &amp; Technology Co., Ltd.</w:t>
            </w:r>
          </w:p>
        </w:tc>
        <w:tc>
          <w:tcPr>
            <w:tcW w:w="2478" w:type="dxa"/>
            <w:vAlign w:val="center"/>
          </w:tcPr>
          <w:p w:rsidR="00B536C4" w:rsidRDefault="00CC45D2">
            <w:pPr>
              <w:jc w:val="center"/>
            </w:pPr>
            <w:r>
              <w:rPr>
                <w:sz w:val="24"/>
              </w:rPr>
              <w:t>2208 HK</w:t>
            </w:r>
          </w:p>
        </w:tc>
        <w:tc>
          <w:tcPr>
            <w:tcW w:w="2068" w:type="dxa"/>
            <w:vAlign w:val="center"/>
          </w:tcPr>
          <w:p w:rsidR="00B536C4" w:rsidRDefault="00CC45D2">
            <w:pPr>
              <w:jc w:val="right"/>
            </w:pPr>
            <w:r>
              <w:rPr>
                <w:sz w:val="24"/>
              </w:rPr>
              <w:t>1,158,274.74</w:t>
            </w:r>
          </w:p>
        </w:tc>
        <w:tc>
          <w:tcPr>
            <w:tcW w:w="1603" w:type="dxa"/>
            <w:vAlign w:val="center"/>
          </w:tcPr>
          <w:p w:rsidR="00B536C4" w:rsidRDefault="00CC45D2">
            <w:pPr>
              <w:jc w:val="right"/>
            </w:pPr>
            <w:r>
              <w:rPr>
                <w:sz w:val="24"/>
              </w:rPr>
              <w:t>3.80</w:t>
            </w:r>
          </w:p>
        </w:tc>
      </w:tr>
      <w:tr w:rsidR="00B536C4">
        <w:tc>
          <w:tcPr>
            <w:tcW w:w="540" w:type="dxa"/>
            <w:vAlign w:val="center"/>
          </w:tcPr>
          <w:p w:rsidR="00B536C4" w:rsidRDefault="00CC45D2">
            <w:pPr>
              <w:jc w:val="center"/>
            </w:pPr>
            <w:r>
              <w:rPr>
                <w:sz w:val="24"/>
              </w:rPr>
              <w:t>13</w:t>
            </w:r>
          </w:p>
        </w:tc>
        <w:tc>
          <w:tcPr>
            <w:tcW w:w="2309" w:type="dxa"/>
            <w:vAlign w:val="center"/>
          </w:tcPr>
          <w:p w:rsidR="00B536C4" w:rsidRDefault="00CC45D2">
            <w:pPr>
              <w:jc w:val="center"/>
            </w:pPr>
            <w:r>
              <w:rPr>
                <w:sz w:val="24"/>
              </w:rPr>
              <w:t>China Shenhua Energy Company Limited</w:t>
            </w:r>
          </w:p>
        </w:tc>
        <w:tc>
          <w:tcPr>
            <w:tcW w:w="2478" w:type="dxa"/>
            <w:vAlign w:val="center"/>
          </w:tcPr>
          <w:p w:rsidR="00B536C4" w:rsidRDefault="00CC45D2">
            <w:pPr>
              <w:jc w:val="center"/>
            </w:pPr>
            <w:r>
              <w:rPr>
                <w:sz w:val="24"/>
              </w:rPr>
              <w:t>1088 HK</w:t>
            </w:r>
          </w:p>
        </w:tc>
        <w:tc>
          <w:tcPr>
            <w:tcW w:w="2068" w:type="dxa"/>
            <w:vAlign w:val="center"/>
          </w:tcPr>
          <w:p w:rsidR="00B536C4" w:rsidRDefault="00CC45D2">
            <w:pPr>
              <w:jc w:val="right"/>
            </w:pPr>
            <w:r>
              <w:rPr>
                <w:sz w:val="24"/>
              </w:rPr>
              <w:t>1,117,178.43</w:t>
            </w:r>
          </w:p>
        </w:tc>
        <w:tc>
          <w:tcPr>
            <w:tcW w:w="1603" w:type="dxa"/>
            <w:vAlign w:val="center"/>
          </w:tcPr>
          <w:p w:rsidR="00B536C4" w:rsidRDefault="00CC45D2">
            <w:pPr>
              <w:jc w:val="right"/>
            </w:pPr>
            <w:r>
              <w:rPr>
                <w:sz w:val="24"/>
              </w:rPr>
              <w:t>3.67</w:t>
            </w:r>
          </w:p>
        </w:tc>
      </w:tr>
      <w:tr w:rsidR="00B536C4">
        <w:tc>
          <w:tcPr>
            <w:tcW w:w="540" w:type="dxa"/>
            <w:vAlign w:val="center"/>
          </w:tcPr>
          <w:p w:rsidR="00B536C4" w:rsidRDefault="00CC45D2">
            <w:pPr>
              <w:jc w:val="center"/>
            </w:pPr>
            <w:r>
              <w:rPr>
                <w:sz w:val="24"/>
              </w:rPr>
              <w:t>14</w:t>
            </w:r>
          </w:p>
        </w:tc>
        <w:tc>
          <w:tcPr>
            <w:tcW w:w="2309" w:type="dxa"/>
            <w:vAlign w:val="center"/>
          </w:tcPr>
          <w:p w:rsidR="00B536C4" w:rsidRDefault="00CC45D2">
            <w:pPr>
              <w:jc w:val="center"/>
            </w:pPr>
            <w:r>
              <w:rPr>
                <w:sz w:val="24"/>
              </w:rPr>
              <w:t>Beijing Urban Construction Design &amp; Development Group Co., Limited</w:t>
            </w:r>
          </w:p>
        </w:tc>
        <w:tc>
          <w:tcPr>
            <w:tcW w:w="2478" w:type="dxa"/>
            <w:vAlign w:val="center"/>
          </w:tcPr>
          <w:p w:rsidR="00B536C4" w:rsidRDefault="00CC45D2">
            <w:pPr>
              <w:jc w:val="center"/>
            </w:pPr>
            <w:r>
              <w:rPr>
                <w:sz w:val="24"/>
              </w:rPr>
              <w:t>1599 HK</w:t>
            </w:r>
          </w:p>
        </w:tc>
        <w:tc>
          <w:tcPr>
            <w:tcW w:w="2068" w:type="dxa"/>
            <w:vAlign w:val="center"/>
          </w:tcPr>
          <w:p w:rsidR="00B536C4" w:rsidRDefault="00CC45D2">
            <w:pPr>
              <w:jc w:val="right"/>
            </w:pPr>
            <w:r>
              <w:rPr>
                <w:sz w:val="24"/>
              </w:rPr>
              <w:t>1,100,456.17</w:t>
            </w:r>
          </w:p>
        </w:tc>
        <w:tc>
          <w:tcPr>
            <w:tcW w:w="1603" w:type="dxa"/>
            <w:vAlign w:val="center"/>
          </w:tcPr>
          <w:p w:rsidR="00B536C4" w:rsidRDefault="00CC45D2">
            <w:pPr>
              <w:jc w:val="right"/>
            </w:pPr>
            <w:r>
              <w:rPr>
                <w:sz w:val="24"/>
              </w:rPr>
              <w:t>3.61</w:t>
            </w:r>
          </w:p>
        </w:tc>
      </w:tr>
      <w:tr w:rsidR="00B536C4">
        <w:tc>
          <w:tcPr>
            <w:tcW w:w="540" w:type="dxa"/>
            <w:vAlign w:val="center"/>
          </w:tcPr>
          <w:p w:rsidR="00B536C4" w:rsidRDefault="00CC45D2">
            <w:pPr>
              <w:jc w:val="center"/>
            </w:pPr>
            <w:r>
              <w:rPr>
                <w:sz w:val="24"/>
              </w:rPr>
              <w:t>15</w:t>
            </w:r>
          </w:p>
        </w:tc>
        <w:tc>
          <w:tcPr>
            <w:tcW w:w="2309" w:type="dxa"/>
            <w:vAlign w:val="center"/>
          </w:tcPr>
          <w:p w:rsidR="00B536C4" w:rsidRDefault="00CC45D2">
            <w:pPr>
              <w:jc w:val="center"/>
            </w:pPr>
            <w:r>
              <w:rPr>
                <w:sz w:val="24"/>
              </w:rPr>
              <w:t>China Railway Signal &amp; Communication Corporation Limited</w:t>
            </w:r>
          </w:p>
        </w:tc>
        <w:tc>
          <w:tcPr>
            <w:tcW w:w="2478" w:type="dxa"/>
            <w:vAlign w:val="center"/>
          </w:tcPr>
          <w:p w:rsidR="00B536C4" w:rsidRDefault="00CC45D2">
            <w:pPr>
              <w:jc w:val="center"/>
            </w:pPr>
            <w:r>
              <w:rPr>
                <w:sz w:val="24"/>
              </w:rPr>
              <w:t>3969 HK</w:t>
            </w:r>
          </w:p>
        </w:tc>
        <w:tc>
          <w:tcPr>
            <w:tcW w:w="2068" w:type="dxa"/>
            <w:vAlign w:val="center"/>
          </w:tcPr>
          <w:p w:rsidR="00B536C4" w:rsidRDefault="00CC45D2">
            <w:pPr>
              <w:jc w:val="right"/>
            </w:pPr>
            <w:r>
              <w:rPr>
                <w:sz w:val="24"/>
              </w:rPr>
              <w:t>1,065,669.70</w:t>
            </w:r>
          </w:p>
        </w:tc>
        <w:tc>
          <w:tcPr>
            <w:tcW w:w="1603" w:type="dxa"/>
            <w:vAlign w:val="center"/>
          </w:tcPr>
          <w:p w:rsidR="00B536C4" w:rsidRDefault="00CC45D2">
            <w:pPr>
              <w:jc w:val="right"/>
            </w:pPr>
            <w:r>
              <w:rPr>
                <w:sz w:val="24"/>
              </w:rPr>
              <w:t>3.50</w:t>
            </w:r>
          </w:p>
        </w:tc>
      </w:tr>
      <w:tr w:rsidR="00B536C4">
        <w:tc>
          <w:tcPr>
            <w:tcW w:w="540" w:type="dxa"/>
            <w:vAlign w:val="center"/>
          </w:tcPr>
          <w:p w:rsidR="00B536C4" w:rsidRDefault="00CC45D2">
            <w:pPr>
              <w:jc w:val="center"/>
            </w:pPr>
            <w:r>
              <w:rPr>
                <w:sz w:val="24"/>
              </w:rPr>
              <w:t>16</w:t>
            </w:r>
          </w:p>
        </w:tc>
        <w:tc>
          <w:tcPr>
            <w:tcW w:w="2309" w:type="dxa"/>
            <w:vAlign w:val="center"/>
          </w:tcPr>
          <w:p w:rsidR="00B536C4" w:rsidRDefault="00CC45D2">
            <w:pPr>
              <w:jc w:val="center"/>
            </w:pPr>
            <w:r>
              <w:rPr>
                <w:sz w:val="24"/>
              </w:rPr>
              <w:t>CNOOC Limited</w:t>
            </w:r>
          </w:p>
        </w:tc>
        <w:tc>
          <w:tcPr>
            <w:tcW w:w="2478" w:type="dxa"/>
            <w:vAlign w:val="center"/>
          </w:tcPr>
          <w:p w:rsidR="00B536C4" w:rsidRDefault="00CC45D2">
            <w:pPr>
              <w:jc w:val="center"/>
            </w:pPr>
            <w:r>
              <w:rPr>
                <w:sz w:val="24"/>
              </w:rPr>
              <w:t>883 HK</w:t>
            </w:r>
          </w:p>
        </w:tc>
        <w:tc>
          <w:tcPr>
            <w:tcW w:w="2068" w:type="dxa"/>
            <w:vAlign w:val="center"/>
          </w:tcPr>
          <w:p w:rsidR="00B536C4" w:rsidRDefault="00CC45D2">
            <w:pPr>
              <w:jc w:val="right"/>
            </w:pPr>
            <w:r>
              <w:rPr>
                <w:sz w:val="24"/>
              </w:rPr>
              <w:t>988,334.54</w:t>
            </w:r>
          </w:p>
        </w:tc>
        <w:tc>
          <w:tcPr>
            <w:tcW w:w="1603" w:type="dxa"/>
            <w:vAlign w:val="center"/>
          </w:tcPr>
          <w:p w:rsidR="00B536C4" w:rsidRDefault="00CC45D2">
            <w:pPr>
              <w:jc w:val="right"/>
            </w:pPr>
            <w:r>
              <w:rPr>
                <w:sz w:val="24"/>
              </w:rPr>
              <w:t>3.25</w:t>
            </w:r>
          </w:p>
        </w:tc>
      </w:tr>
      <w:tr w:rsidR="00B536C4">
        <w:tc>
          <w:tcPr>
            <w:tcW w:w="540" w:type="dxa"/>
            <w:vAlign w:val="center"/>
          </w:tcPr>
          <w:p w:rsidR="00B536C4" w:rsidRDefault="00CC45D2">
            <w:pPr>
              <w:jc w:val="center"/>
            </w:pPr>
            <w:r>
              <w:rPr>
                <w:sz w:val="24"/>
              </w:rPr>
              <w:t>17</w:t>
            </w:r>
          </w:p>
        </w:tc>
        <w:tc>
          <w:tcPr>
            <w:tcW w:w="2309" w:type="dxa"/>
            <w:vAlign w:val="center"/>
          </w:tcPr>
          <w:p w:rsidR="00B536C4" w:rsidRDefault="00CC45D2">
            <w:pPr>
              <w:jc w:val="center"/>
            </w:pPr>
            <w:r>
              <w:rPr>
                <w:sz w:val="24"/>
              </w:rPr>
              <w:t>Dongjiang Environmental Company Limited</w:t>
            </w:r>
          </w:p>
        </w:tc>
        <w:tc>
          <w:tcPr>
            <w:tcW w:w="2478" w:type="dxa"/>
            <w:vAlign w:val="center"/>
          </w:tcPr>
          <w:p w:rsidR="00B536C4" w:rsidRDefault="00CC45D2">
            <w:pPr>
              <w:jc w:val="center"/>
            </w:pPr>
            <w:r>
              <w:rPr>
                <w:sz w:val="24"/>
              </w:rPr>
              <w:t>895 HK</w:t>
            </w:r>
          </w:p>
        </w:tc>
        <w:tc>
          <w:tcPr>
            <w:tcW w:w="2068" w:type="dxa"/>
            <w:vAlign w:val="center"/>
          </w:tcPr>
          <w:p w:rsidR="00B536C4" w:rsidRDefault="00CC45D2">
            <w:pPr>
              <w:jc w:val="right"/>
            </w:pPr>
            <w:r>
              <w:rPr>
                <w:sz w:val="24"/>
              </w:rPr>
              <w:t>988,096.50</w:t>
            </w:r>
          </w:p>
        </w:tc>
        <w:tc>
          <w:tcPr>
            <w:tcW w:w="1603" w:type="dxa"/>
            <w:vAlign w:val="center"/>
          </w:tcPr>
          <w:p w:rsidR="00B536C4" w:rsidRDefault="00CC45D2">
            <w:pPr>
              <w:jc w:val="right"/>
            </w:pPr>
            <w:r>
              <w:rPr>
                <w:sz w:val="24"/>
              </w:rPr>
              <w:t>3.25</w:t>
            </w:r>
          </w:p>
        </w:tc>
      </w:tr>
      <w:tr w:rsidR="00B536C4">
        <w:tc>
          <w:tcPr>
            <w:tcW w:w="540" w:type="dxa"/>
            <w:vAlign w:val="center"/>
          </w:tcPr>
          <w:p w:rsidR="00B536C4" w:rsidRDefault="00CC45D2">
            <w:pPr>
              <w:jc w:val="center"/>
            </w:pPr>
            <w:r>
              <w:rPr>
                <w:sz w:val="24"/>
              </w:rPr>
              <w:t>18</w:t>
            </w:r>
          </w:p>
        </w:tc>
        <w:tc>
          <w:tcPr>
            <w:tcW w:w="2309" w:type="dxa"/>
            <w:vAlign w:val="center"/>
          </w:tcPr>
          <w:p w:rsidR="00B536C4" w:rsidRDefault="00CC45D2">
            <w:pPr>
              <w:jc w:val="center"/>
            </w:pPr>
            <w:r>
              <w:rPr>
                <w:sz w:val="24"/>
              </w:rPr>
              <w:t>Aluminum Corporation Of China Limited</w:t>
            </w:r>
          </w:p>
        </w:tc>
        <w:tc>
          <w:tcPr>
            <w:tcW w:w="2478" w:type="dxa"/>
            <w:vAlign w:val="center"/>
          </w:tcPr>
          <w:p w:rsidR="00B536C4" w:rsidRDefault="00CC45D2">
            <w:pPr>
              <w:jc w:val="center"/>
            </w:pPr>
            <w:r>
              <w:rPr>
                <w:sz w:val="24"/>
              </w:rPr>
              <w:t>2600 HK</w:t>
            </w:r>
          </w:p>
        </w:tc>
        <w:tc>
          <w:tcPr>
            <w:tcW w:w="2068" w:type="dxa"/>
            <w:vAlign w:val="center"/>
          </w:tcPr>
          <w:p w:rsidR="00B536C4" w:rsidRDefault="00CC45D2">
            <w:pPr>
              <w:jc w:val="right"/>
            </w:pPr>
            <w:r>
              <w:rPr>
                <w:sz w:val="24"/>
              </w:rPr>
              <w:t>963,662.56</w:t>
            </w:r>
          </w:p>
        </w:tc>
        <w:tc>
          <w:tcPr>
            <w:tcW w:w="1603" w:type="dxa"/>
            <w:vAlign w:val="center"/>
          </w:tcPr>
          <w:p w:rsidR="00B536C4" w:rsidRDefault="00CC45D2">
            <w:pPr>
              <w:jc w:val="right"/>
            </w:pPr>
            <w:r>
              <w:rPr>
                <w:sz w:val="24"/>
              </w:rPr>
              <w:t>3.17</w:t>
            </w:r>
          </w:p>
        </w:tc>
      </w:tr>
      <w:tr w:rsidR="00B536C4">
        <w:tc>
          <w:tcPr>
            <w:tcW w:w="540" w:type="dxa"/>
            <w:vAlign w:val="center"/>
          </w:tcPr>
          <w:p w:rsidR="00B536C4" w:rsidRDefault="00CC45D2">
            <w:pPr>
              <w:jc w:val="center"/>
            </w:pPr>
            <w:r>
              <w:rPr>
                <w:sz w:val="24"/>
              </w:rPr>
              <w:t>19</w:t>
            </w:r>
          </w:p>
        </w:tc>
        <w:tc>
          <w:tcPr>
            <w:tcW w:w="2309" w:type="dxa"/>
            <w:vAlign w:val="center"/>
          </w:tcPr>
          <w:p w:rsidR="00B536C4" w:rsidRDefault="00CC45D2">
            <w:pPr>
              <w:jc w:val="center"/>
            </w:pPr>
            <w:r>
              <w:rPr>
                <w:sz w:val="24"/>
              </w:rPr>
              <w:t>Beijing Enterprises Water Group Limited</w:t>
            </w:r>
          </w:p>
        </w:tc>
        <w:tc>
          <w:tcPr>
            <w:tcW w:w="2478" w:type="dxa"/>
            <w:vAlign w:val="center"/>
          </w:tcPr>
          <w:p w:rsidR="00B536C4" w:rsidRDefault="00CC45D2">
            <w:pPr>
              <w:jc w:val="center"/>
            </w:pPr>
            <w:r>
              <w:rPr>
                <w:sz w:val="24"/>
              </w:rPr>
              <w:t>371 HK</w:t>
            </w:r>
          </w:p>
        </w:tc>
        <w:tc>
          <w:tcPr>
            <w:tcW w:w="2068" w:type="dxa"/>
            <w:vAlign w:val="center"/>
          </w:tcPr>
          <w:p w:rsidR="00B536C4" w:rsidRDefault="00CC45D2">
            <w:pPr>
              <w:jc w:val="right"/>
            </w:pPr>
            <w:r>
              <w:rPr>
                <w:sz w:val="24"/>
              </w:rPr>
              <w:t>949,069.27</w:t>
            </w:r>
          </w:p>
        </w:tc>
        <w:tc>
          <w:tcPr>
            <w:tcW w:w="1603" w:type="dxa"/>
            <w:vAlign w:val="center"/>
          </w:tcPr>
          <w:p w:rsidR="00B536C4" w:rsidRDefault="00CC45D2">
            <w:pPr>
              <w:jc w:val="right"/>
            </w:pPr>
            <w:r>
              <w:rPr>
                <w:sz w:val="24"/>
              </w:rPr>
              <w:t>3.12</w:t>
            </w:r>
          </w:p>
        </w:tc>
      </w:tr>
      <w:tr w:rsidR="00B536C4">
        <w:tc>
          <w:tcPr>
            <w:tcW w:w="540" w:type="dxa"/>
            <w:vAlign w:val="center"/>
          </w:tcPr>
          <w:p w:rsidR="00B536C4" w:rsidRDefault="00CC45D2">
            <w:pPr>
              <w:jc w:val="center"/>
            </w:pPr>
            <w:r>
              <w:rPr>
                <w:sz w:val="24"/>
              </w:rPr>
              <w:t>20</w:t>
            </w:r>
          </w:p>
        </w:tc>
        <w:tc>
          <w:tcPr>
            <w:tcW w:w="2309" w:type="dxa"/>
            <w:vAlign w:val="center"/>
          </w:tcPr>
          <w:p w:rsidR="00B536C4" w:rsidRDefault="00CC45D2">
            <w:pPr>
              <w:jc w:val="center"/>
            </w:pPr>
            <w:r>
              <w:rPr>
                <w:sz w:val="24"/>
              </w:rPr>
              <w:t>Yunnan Water Investment Co.,Ltd.</w:t>
            </w:r>
          </w:p>
        </w:tc>
        <w:tc>
          <w:tcPr>
            <w:tcW w:w="2478" w:type="dxa"/>
            <w:vAlign w:val="center"/>
          </w:tcPr>
          <w:p w:rsidR="00B536C4" w:rsidRDefault="00CC45D2">
            <w:pPr>
              <w:jc w:val="center"/>
            </w:pPr>
            <w:r>
              <w:rPr>
                <w:sz w:val="24"/>
              </w:rPr>
              <w:t>6839 HK</w:t>
            </w:r>
          </w:p>
        </w:tc>
        <w:tc>
          <w:tcPr>
            <w:tcW w:w="2068" w:type="dxa"/>
            <w:vAlign w:val="center"/>
          </w:tcPr>
          <w:p w:rsidR="00B536C4" w:rsidRDefault="00CC45D2">
            <w:pPr>
              <w:jc w:val="right"/>
            </w:pPr>
            <w:r>
              <w:rPr>
                <w:sz w:val="24"/>
              </w:rPr>
              <w:t>897,658.92</w:t>
            </w:r>
          </w:p>
        </w:tc>
        <w:tc>
          <w:tcPr>
            <w:tcW w:w="1603" w:type="dxa"/>
            <w:vAlign w:val="center"/>
          </w:tcPr>
          <w:p w:rsidR="00B536C4" w:rsidRDefault="00CC45D2">
            <w:pPr>
              <w:jc w:val="right"/>
            </w:pPr>
            <w:r>
              <w:rPr>
                <w:sz w:val="24"/>
              </w:rPr>
              <w:t>2.95</w:t>
            </w:r>
          </w:p>
        </w:tc>
      </w:tr>
      <w:tr w:rsidR="00B536C4">
        <w:tc>
          <w:tcPr>
            <w:tcW w:w="540" w:type="dxa"/>
            <w:vAlign w:val="center"/>
          </w:tcPr>
          <w:p w:rsidR="00B536C4" w:rsidRDefault="00CC45D2">
            <w:pPr>
              <w:jc w:val="center"/>
            </w:pPr>
            <w:r>
              <w:rPr>
                <w:sz w:val="24"/>
              </w:rPr>
              <w:t>21</w:t>
            </w:r>
          </w:p>
        </w:tc>
        <w:tc>
          <w:tcPr>
            <w:tcW w:w="2309" w:type="dxa"/>
            <w:vAlign w:val="center"/>
          </w:tcPr>
          <w:p w:rsidR="00B536C4" w:rsidRDefault="00CC45D2">
            <w:pPr>
              <w:jc w:val="center"/>
            </w:pPr>
            <w:r>
              <w:rPr>
                <w:sz w:val="24"/>
              </w:rPr>
              <w:t>CSPC Pharmaceutical Group Limited</w:t>
            </w:r>
          </w:p>
        </w:tc>
        <w:tc>
          <w:tcPr>
            <w:tcW w:w="2478" w:type="dxa"/>
            <w:vAlign w:val="center"/>
          </w:tcPr>
          <w:p w:rsidR="00B536C4" w:rsidRDefault="00CC45D2">
            <w:pPr>
              <w:jc w:val="center"/>
            </w:pPr>
            <w:r>
              <w:rPr>
                <w:sz w:val="24"/>
              </w:rPr>
              <w:t>1093 HK</w:t>
            </w:r>
          </w:p>
        </w:tc>
        <w:tc>
          <w:tcPr>
            <w:tcW w:w="2068" w:type="dxa"/>
            <w:vAlign w:val="center"/>
          </w:tcPr>
          <w:p w:rsidR="00B536C4" w:rsidRDefault="00CC45D2">
            <w:pPr>
              <w:jc w:val="right"/>
            </w:pPr>
            <w:r>
              <w:rPr>
                <w:sz w:val="24"/>
              </w:rPr>
              <w:t>893,225.35</w:t>
            </w:r>
          </w:p>
        </w:tc>
        <w:tc>
          <w:tcPr>
            <w:tcW w:w="1603" w:type="dxa"/>
            <w:vAlign w:val="center"/>
          </w:tcPr>
          <w:p w:rsidR="00B536C4" w:rsidRDefault="00CC45D2">
            <w:pPr>
              <w:jc w:val="right"/>
            </w:pPr>
            <w:r>
              <w:rPr>
                <w:sz w:val="24"/>
              </w:rPr>
              <w:t>2.93</w:t>
            </w:r>
          </w:p>
        </w:tc>
      </w:tr>
      <w:tr w:rsidR="00B536C4">
        <w:tc>
          <w:tcPr>
            <w:tcW w:w="540" w:type="dxa"/>
            <w:vAlign w:val="center"/>
          </w:tcPr>
          <w:p w:rsidR="00B536C4" w:rsidRDefault="00CC45D2">
            <w:pPr>
              <w:jc w:val="center"/>
            </w:pPr>
            <w:r>
              <w:rPr>
                <w:sz w:val="24"/>
              </w:rPr>
              <w:t>22</w:t>
            </w:r>
          </w:p>
        </w:tc>
        <w:tc>
          <w:tcPr>
            <w:tcW w:w="2309" w:type="dxa"/>
            <w:vAlign w:val="center"/>
          </w:tcPr>
          <w:p w:rsidR="00B536C4" w:rsidRDefault="00CC45D2">
            <w:pPr>
              <w:jc w:val="center"/>
            </w:pPr>
            <w:r>
              <w:rPr>
                <w:sz w:val="24"/>
              </w:rPr>
              <w:t>Ping An Insurance (Group) Company Of China,Ltd.</w:t>
            </w:r>
          </w:p>
        </w:tc>
        <w:tc>
          <w:tcPr>
            <w:tcW w:w="2478" w:type="dxa"/>
            <w:vAlign w:val="center"/>
          </w:tcPr>
          <w:p w:rsidR="00B536C4" w:rsidRDefault="00CC45D2">
            <w:pPr>
              <w:jc w:val="center"/>
            </w:pPr>
            <w:r>
              <w:rPr>
                <w:sz w:val="24"/>
              </w:rPr>
              <w:t>2318 HK</w:t>
            </w:r>
          </w:p>
        </w:tc>
        <w:tc>
          <w:tcPr>
            <w:tcW w:w="2068" w:type="dxa"/>
            <w:vAlign w:val="center"/>
          </w:tcPr>
          <w:p w:rsidR="00B536C4" w:rsidRDefault="00CC45D2">
            <w:pPr>
              <w:jc w:val="right"/>
            </w:pPr>
            <w:r>
              <w:rPr>
                <w:sz w:val="24"/>
              </w:rPr>
              <w:t>874,404.31</w:t>
            </w:r>
          </w:p>
        </w:tc>
        <w:tc>
          <w:tcPr>
            <w:tcW w:w="1603" w:type="dxa"/>
            <w:vAlign w:val="center"/>
          </w:tcPr>
          <w:p w:rsidR="00B536C4" w:rsidRDefault="00CC45D2">
            <w:pPr>
              <w:jc w:val="right"/>
            </w:pPr>
            <w:r>
              <w:rPr>
                <w:sz w:val="24"/>
              </w:rPr>
              <w:t>2.87</w:t>
            </w:r>
          </w:p>
        </w:tc>
      </w:tr>
      <w:tr w:rsidR="00B536C4">
        <w:tc>
          <w:tcPr>
            <w:tcW w:w="540" w:type="dxa"/>
            <w:vAlign w:val="center"/>
          </w:tcPr>
          <w:p w:rsidR="00B536C4" w:rsidRDefault="00CC45D2">
            <w:pPr>
              <w:jc w:val="center"/>
            </w:pPr>
            <w:r>
              <w:rPr>
                <w:sz w:val="24"/>
              </w:rPr>
              <w:t>23</w:t>
            </w:r>
          </w:p>
        </w:tc>
        <w:tc>
          <w:tcPr>
            <w:tcW w:w="2309" w:type="dxa"/>
            <w:vAlign w:val="center"/>
          </w:tcPr>
          <w:p w:rsidR="00B536C4" w:rsidRDefault="00CC45D2">
            <w:pPr>
              <w:jc w:val="center"/>
            </w:pPr>
            <w:r>
              <w:rPr>
                <w:sz w:val="24"/>
              </w:rPr>
              <w:t>Tencent Holdings Limited</w:t>
            </w:r>
          </w:p>
        </w:tc>
        <w:tc>
          <w:tcPr>
            <w:tcW w:w="2478" w:type="dxa"/>
            <w:vAlign w:val="center"/>
          </w:tcPr>
          <w:p w:rsidR="00B536C4" w:rsidRDefault="00CC45D2">
            <w:pPr>
              <w:jc w:val="center"/>
            </w:pPr>
            <w:r>
              <w:rPr>
                <w:sz w:val="24"/>
              </w:rPr>
              <w:t>700 HK</w:t>
            </w:r>
          </w:p>
        </w:tc>
        <w:tc>
          <w:tcPr>
            <w:tcW w:w="2068" w:type="dxa"/>
            <w:vAlign w:val="center"/>
          </w:tcPr>
          <w:p w:rsidR="00B536C4" w:rsidRDefault="00CC45D2">
            <w:pPr>
              <w:jc w:val="right"/>
            </w:pPr>
            <w:r>
              <w:rPr>
                <w:sz w:val="24"/>
              </w:rPr>
              <w:t>865,027.46</w:t>
            </w:r>
          </w:p>
        </w:tc>
        <w:tc>
          <w:tcPr>
            <w:tcW w:w="1603" w:type="dxa"/>
            <w:vAlign w:val="center"/>
          </w:tcPr>
          <w:p w:rsidR="00B536C4" w:rsidRDefault="00CC45D2">
            <w:pPr>
              <w:jc w:val="right"/>
            </w:pPr>
            <w:r>
              <w:rPr>
                <w:sz w:val="24"/>
              </w:rPr>
              <w:t>2.84</w:t>
            </w:r>
          </w:p>
        </w:tc>
      </w:tr>
      <w:tr w:rsidR="00B536C4">
        <w:tc>
          <w:tcPr>
            <w:tcW w:w="540" w:type="dxa"/>
            <w:vAlign w:val="center"/>
          </w:tcPr>
          <w:p w:rsidR="00B536C4" w:rsidRDefault="00CC45D2">
            <w:pPr>
              <w:jc w:val="center"/>
            </w:pPr>
            <w:r>
              <w:rPr>
                <w:sz w:val="24"/>
              </w:rPr>
              <w:t>24</w:t>
            </w:r>
          </w:p>
        </w:tc>
        <w:tc>
          <w:tcPr>
            <w:tcW w:w="2309" w:type="dxa"/>
            <w:vAlign w:val="center"/>
          </w:tcPr>
          <w:p w:rsidR="00B536C4" w:rsidRDefault="00CC45D2">
            <w:pPr>
              <w:jc w:val="center"/>
            </w:pPr>
            <w:r>
              <w:rPr>
                <w:sz w:val="24"/>
              </w:rPr>
              <w:t>Guangzhou Automobile Group Co.,Ltd.</w:t>
            </w:r>
          </w:p>
        </w:tc>
        <w:tc>
          <w:tcPr>
            <w:tcW w:w="2478" w:type="dxa"/>
            <w:vAlign w:val="center"/>
          </w:tcPr>
          <w:p w:rsidR="00B536C4" w:rsidRDefault="00CC45D2">
            <w:pPr>
              <w:jc w:val="center"/>
            </w:pPr>
            <w:r>
              <w:rPr>
                <w:sz w:val="24"/>
              </w:rPr>
              <w:t>2238 HK</w:t>
            </w:r>
          </w:p>
        </w:tc>
        <w:tc>
          <w:tcPr>
            <w:tcW w:w="2068" w:type="dxa"/>
            <w:vAlign w:val="center"/>
          </w:tcPr>
          <w:p w:rsidR="00B536C4" w:rsidRDefault="00CC45D2">
            <w:pPr>
              <w:jc w:val="right"/>
            </w:pPr>
            <w:r>
              <w:rPr>
                <w:sz w:val="24"/>
              </w:rPr>
              <w:t>864,645.10</w:t>
            </w:r>
          </w:p>
        </w:tc>
        <w:tc>
          <w:tcPr>
            <w:tcW w:w="1603" w:type="dxa"/>
            <w:vAlign w:val="center"/>
          </w:tcPr>
          <w:p w:rsidR="00B536C4" w:rsidRDefault="00CC45D2">
            <w:pPr>
              <w:jc w:val="right"/>
            </w:pPr>
            <w:r>
              <w:rPr>
                <w:sz w:val="24"/>
              </w:rPr>
              <w:t>2.84</w:t>
            </w:r>
          </w:p>
        </w:tc>
      </w:tr>
      <w:tr w:rsidR="00B536C4">
        <w:tc>
          <w:tcPr>
            <w:tcW w:w="540" w:type="dxa"/>
            <w:vAlign w:val="center"/>
          </w:tcPr>
          <w:p w:rsidR="00B536C4" w:rsidRDefault="00CC45D2">
            <w:pPr>
              <w:jc w:val="center"/>
            </w:pPr>
            <w:r>
              <w:rPr>
                <w:sz w:val="24"/>
              </w:rPr>
              <w:t>25</w:t>
            </w:r>
          </w:p>
        </w:tc>
        <w:tc>
          <w:tcPr>
            <w:tcW w:w="2309" w:type="dxa"/>
            <w:vAlign w:val="center"/>
          </w:tcPr>
          <w:p w:rsidR="00B536C4" w:rsidRDefault="00CC45D2">
            <w:pPr>
              <w:jc w:val="center"/>
            </w:pPr>
            <w:r>
              <w:rPr>
                <w:sz w:val="24"/>
              </w:rPr>
              <w:t>Geely Automobile Holdings Limited</w:t>
            </w:r>
          </w:p>
        </w:tc>
        <w:tc>
          <w:tcPr>
            <w:tcW w:w="2478" w:type="dxa"/>
            <w:vAlign w:val="center"/>
          </w:tcPr>
          <w:p w:rsidR="00B536C4" w:rsidRDefault="00CC45D2">
            <w:pPr>
              <w:jc w:val="center"/>
            </w:pPr>
            <w:r>
              <w:rPr>
                <w:sz w:val="24"/>
              </w:rPr>
              <w:t>175 HK</w:t>
            </w:r>
          </w:p>
        </w:tc>
        <w:tc>
          <w:tcPr>
            <w:tcW w:w="2068" w:type="dxa"/>
            <w:vAlign w:val="center"/>
          </w:tcPr>
          <w:p w:rsidR="00B536C4" w:rsidRDefault="00CC45D2">
            <w:pPr>
              <w:jc w:val="right"/>
            </w:pPr>
            <w:r>
              <w:rPr>
                <w:sz w:val="24"/>
              </w:rPr>
              <w:t>845,531.73</w:t>
            </w:r>
          </w:p>
        </w:tc>
        <w:tc>
          <w:tcPr>
            <w:tcW w:w="1603" w:type="dxa"/>
            <w:vAlign w:val="center"/>
          </w:tcPr>
          <w:p w:rsidR="00B536C4" w:rsidRDefault="00CC45D2">
            <w:pPr>
              <w:jc w:val="right"/>
            </w:pPr>
            <w:r>
              <w:rPr>
                <w:sz w:val="24"/>
              </w:rPr>
              <w:t>2.78</w:t>
            </w:r>
          </w:p>
        </w:tc>
      </w:tr>
      <w:tr w:rsidR="00B536C4">
        <w:tc>
          <w:tcPr>
            <w:tcW w:w="540" w:type="dxa"/>
            <w:vAlign w:val="center"/>
          </w:tcPr>
          <w:p w:rsidR="00B536C4" w:rsidRDefault="00CC45D2">
            <w:pPr>
              <w:jc w:val="center"/>
            </w:pPr>
            <w:r>
              <w:rPr>
                <w:sz w:val="24"/>
              </w:rPr>
              <w:lastRenderedPageBreak/>
              <w:t>26</w:t>
            </w:r>
          </w:p>
        </w:tc>
        <w:tc>
          <w:tcPr>
            <w:tcW w:w="2309" w:type="dxa"/>
            <w:vAlign w:val="center"/>
          </w:tcPr>
          <w:p w:rsidR="00B536C4" w:rsidRDefault="00CC45D2">
            <w:pPr>
              <w:jc w:val="center"/>
            </w:pPr>
            <w:r>
              <w:rPr>
                <w:sz w:val="24"/>
              </w:rPr>
              <w:t>China Agri-Industries Holdings Limited</w:t>
            </w:r>
          </w:p>
        </w:tc>
        <w:tc>
          <w:tcPr>
            <w:tcW w:w="2478" w:type="dxa"/>
            <w:vAlign w:val="center"/>
          </w:tcPr>
          <w:p w:rsidR="00B536C4" w:rsidRDefault="00CC45D2">
            <w:pPr>
              <w:jc w:val="center"/>
            </w:pPr>
            <w:r>
              <w:rPr>
                <w:sz w:val="24"/>
              </w:rPr>
              <w:t>606 HK</w:t>
            </w:r>
          </w:p>
        </w:tc>
        <w:tc>
          <w:tcPr>
            <w:tcW w:w="2068" w:type="dxa"/>
            <w:vAlign w:val="center"/>
          </w:tcPr>
          <w:p w:rsidR="00B536C4" w:rsidRDefault="00CC45D2">
            <w:pPr>
              <w:jc w:val="right"/>
            </w:pPr>
            <w:r>
              <w:rPr>
                <w:sz w:val="24"/>
              </w:rPr>
              <w:t>795,856.02</w:t>
            </w:r>
          </w:p>
        </w:tc>
        <w:tc>
          <w:tcPr>
            <w:tcW w:w="1603" w:type="dxa"/>
            <w:vAlign w:val="center"/>
          </w:tcPr>
          <w:p w:rsidR="00B536C4" w:rsidRDefault="00CC45D2">
            <w:pPr>
              <w:jc w:val="right"/>
            </w:pPr>
            <w:r>
              <w:rPr>
                <w:sz w:val="24"/>
              </w:rPr>
              <w:t>2.61</w:t>
            </w:r>
          </w:p>
        </w:tc>
      </w:tr>
      <w:tr w:rsidR="00B536C4">
        <w:tc>
          <w:tcPr>
            <w:tcW w:w="540" w:type="dxa"/>
            <w:vAlign w:val="center"/>
          </w:tcPr>
          <w:p w:rsidR="00B536C4" w:rsidRDefault="00CC45D2">
            <w:pPr>
              <w:jc w:val="center"/>
            </w:pPr>
            <w:r>
              <w:rPr>
                <w:sz w:val="24"/>
              </w:rPr>
              <w:t>27</w:t>
            </w:r>
          </w:p>
        </w:tc>
        <w:tc>
          <w:tcPr>
            <w:tcW w:w="2309" w:type="dxa"/>
            <w:vAlign w:val="center"/>
          </w:tcPr>
          <w:p w:rsidR="00B536C4" w:rsidRDefault="00CC45D2">
            <w:pPr>
              <w:jc w:val="center"/>
            </w:pPr>
            <w:r>
              <w:rPr>
                <w:sz w:val="24"/>
              </w:rPr>
              <w:t>Huaneng Renewables Corporation Limited</w:t>
            </w:r>
          </w:p>
        </w:tc>
        <w:tc>
          <w:tcPr>
            <w:tcW w:w="2478" w:type="dxa"/>
            <w:vAlign w:val="center"/>
          </w:tcPr>
          <w:p w:rsidR="00B536C4" w:rsidRDefault="00CC45D2">
            <w:pPr>
              <w:jc w:val="center"/>
            </w:pPr>
            <w:r>
              <w:rPr>
                <w:sz w:val="24"/>
              </w:rPr>
              <w:t>958 HK</w:t>
            </w:r>
          </w:p>
        </w:tc>
        <w:tc>
          <w:tcPr>
            <w:tcW w:w="2068" w:type="dxa"/>
            <w:vAlign w:val="center"/>
          </w:tcPr>
          <w:p w:rsidR="00B536C4" w:rsidRDefault="00CC45D2">
            <w:pPr>
              <w:jc w:val="right"/>
            </w:pPr>
            <w:r>
              <w:rPr>
                <w:sz w:val="24"/>
              </w:rPr>
              <w:t>746,090.72</w:t>
            </w:r>
          </w:p>
        </w:tc>
        <w:tc>
          <w:tcPr>
            <w:tcW w:w="1603" w:type="dxa"/>
            <w:vAlign w:val="center"/>
          </w:tcPr>
          <w:p w:rsidR="00B536C4" w:rsidRDefault="00CC45D2">
            <w:pPr>
              <w:jc w:val="right"/>
            </w:pPr>
            <w:r>
              <w:rPr>
                <w:sz w:val="24"/>
              </w:rPr>
              <w:t>2.45</w:t>
            </w:r>
          </w:p>
        </w:tc>
      </w:tr>
      <w:tr w:rsidR="00B536C4">
        <w:tc>
          <w:tcPr>
            <w:tcW w:w="540" w:type="dxa"/>
            <w:vAlign w:val="center"/>
          </w:tcPr>
          <w:p w:rsidR="00B536C4" w:rsidRDefault="00CC45D2">
            <w:pPr>
              <w:jc w:val="center"/>
            </w:pPr>
            <w:r>
              <w:rPr>
                <w:sz w:val="24"/>
              </w:rPr>
              <w:t>28</w:t>
            </w:r>
          </w:p>
        </w:tc>
        <w:tc>
          <w:tcPr>
            <w:tcW w:w="2309" w:type="dxa"/>
            <w:vAlign w:val="center"/>
          </w:tcPr>
          <w:p w:rsidR="00B536C4" w:rsidRDefault="00CC45D2">
            <w:pPr>
              <w:jc w:val="center"/>
            </w:pPr>
            <w:r>
              <w:rPr>
                <w:sz w:val="24"/>
              </w:rPr>
              <w:t>China Resources Land Limited</w:t>
            </w:r>
          </w:p>
        </w:tc>
        <w:tc>
          <w:tcPr>
            <w:tcW w:w="2478" w:type="dxa"/>
            <w:vAlign w:val="center"/>
          </w:tcPr>
          <w:p w:rsidR="00B536C4" w:rsidRDefault="00CC45D2">
            <w:pPr>
              <w:jc w:val="center"/>
            </w:pPr>
            <w:r>
              <w:rPr>
                <w:sz w:val="24"/>
              </w:rPr>
              <w:t>1109 HK</w:t>
            </w:r>
          </w:p>
        </w:tc>
        <w:tc>
          <w:tcPr>
            <w:tcW w:w="2068" w:type="dxa"/>
            <w:vAlign w:val="center"/>
          </w:tcPr>
          <w:p w:rsidR="00B536C4" w:rsidRDefault="00CC45D2">
            <w:pPr>
              <w:jc w:val="right"/>
            </w:pPr>
            <w:r>
              <w:rPr>
                <w:sz w:val="24"/>
              </w:rPr>
              <w:t>673,123.53</w:t>
            </w:r>
          </w:p>
        </w:tc>
        <w:tc>
          <w:tcPr>
            <w:tcW w:w="1603" w:type="dxa"/>
            <w:vAlign w:val="center"/>
          </w:tcPr>
          <w:p w:rsidR="00B536C4" w:rsidRDefault="00CC45D2">
            <w:pPr>
              <w:jc w:val="right"/>
            </w:pPr>
            <w:r>
              <w:rPr>
                <w:sz w:val="24"/>
              </w:rPr>
              <w:t>2.21</w:t>
            </w:r>
          </w:p>
        </w:tc>
      </w:tr>
      <w:tr w:rsidR="00B536C4">
        <w:tc>
          <w:tcPr>
            <w:tcW w:w="540" w:type="dxa"/>
            <w:vAlign w:val="center"/>
          </w:tcPr>
          <w:p w:rsidR="00B536C4" w:rsidRDefault="00CC45D2">
            <w:pPr>
              <w:jc w:val="center"/>
            </w:pPr>
            <w:r>
              <w:rPr>
                <w:sz w:val="24"/>
              </w:rPr>
              <w:t>29</w:t>
            </w:r>
          </w:p>
        </w:tc>
        <w:tc>
          <w:tcPr>
            <w:tcW w:w="2309" w:type="dxa"/>
            <w:vAlign w:val="center"/>
          </w:tcPr>
          <w:p w:rsidR="00B536C4" w:rsidRDefault="00CC45D2">
            <w:pPr>
              <w:jc w:val="center"/>
            </w:pPr>
            <w:r>
              <w:rPr>
                <w:sz w:val="24"/>
              </w:rPr>
              <w:t>Shougang Fushan Resources Group Limited</w:t>
            </w:r>
          </w:p>
        </w:tc>
        <w:tc>
          <w:tcPr>
            <w:tcW w:w="2478" w:type="dxa"/>
            <w:vAlign w:val="center"/>
          </w:tcPr>
          <w:p w:rsidR="00B536C4" w:rsidRDefault="00CC45D2">
            <w:pPr>
              <w:jc w:val="center"/>
            </w:pPr>
            <w:r>
              <w:rPr>
                <w:sz w:val="24"/>
              </w:rPr>
              <w:t>639 HK</w:t>
            </w:r>
          </w:p>
        </w:tc>
        <w:tc>
          <w:tcPr>
            <w:tcW w:w="2068" w:type="dxa"/>
            <w:vAlign w:val="center"/>
          </w:tcPr>
          <w:p w:rsidR="00B536C4" w:rsidRDefault="00CC45D2">
            <w:pPr>
              <w:jc w:val="right"/>
            </w:pPr>
            <w:r>
              <w:rPr>
                <w:sz w:val="24"/>
              </w:rPr>
              <w:t>649,412.44</w:t>
            </w:r>
          </w:p>
        </w:tc>
        <w:tc>
          <w:tcPr>
            <w:tcW w:w="1603" w:type="dxa"/>
            <w:vAlign w:val="center"/>
          </w:tcPr>
          <w:p w:rsidR="00B536C4" w:rsidRDefault="00CC45D2">
            <w:pPr>
              <w:jc w:val="right"/>
            </w:pPr>
            <w:r>
              <w:rPr>
                <w:sz w:val="24"/>
              </w:rPr>
              <w:t>2.13</w:t>
            </w:r>
          </w:p>
        </w:tc>
      </w:tr>
      <w:tr w:rsidR="00B536C4">
        <w:tc>
          <w:tcPr>
            <w:tcW w:w="540" w:type="dxa"/>
            <w:vAlign w:val="center"/>
          </w:tcPr>
          <w:p w:rsidR="00B536C4" w:rsidRDefault="00CC45D2">
            <w:pPr>
              <w:jc w:val="center"/>
            </w:pPr>
            <w:r>
              <w:rPr>
                <w:sz w:val="24"/>
              </w:rPr>
              <w:t>30</w:t>
            </w:r>
          </w:p>
        </w:tc>
        <w:tc>
          <w:tcPr>
            <w:tcW w:w="2309" w:type="dxa"/>
            <w:vAlign w:val="center"/>
          </w:tcPr>
          <w:p w:rsidR="00B536C4" w:rsidRDefault="00CC45D2">
            <w:pPr>
              <w:jc w:val="center"/>
            </w:pPr>
            <w:r>
              <w:rPr>
                <w:sz w:val="24"/>
              </w:rPr>
              <w:t>Sinopec Shanghai Petrochemical Company Limited</w:t>
            </w:r>
          </w:p>
        </w:tc>
        <w:tc>
          <w:tcPr>
            <w:tcW w:w="2478" w:type="dxa"/>
            <w:vAlign w:val="center"/>
          </w:tcPr>
          <w:p w:rsidR="00B536C4" w:rsidRDefault="00CC45D2">
            <w:pPr>
              <w:jc w:val="center"/>
            </w:pPr>
            <w:r>
              <w:rPr>
                <w:sz w:val="24"/>
              </w:rPr>
              <w:t>338 HK</w:t>
            </w:r>
          </w:p>
        </w:tc>
        <w:tc>
          <w:tcPr>
            <w:tcW w:w="2068" w:type="dxa"/>
            <w:vAlign w:val="center"/>
          </w:tcPr>
          <w:p w:rsidR="00B536C4" w:rsidRDefault="00CC45D2">
            <w:pPr>
              <w:jc w:val="right"/>
            </w:pPr>
            <w:r>
              <w:rPr>
                <w:sz w:val="24"/>
              </w:rPr>
              <w:t>614,965.42</w:t>
            </w:r>
          </w:p>
        </w:tc>
        <w:tc>
          <w:tcPr>
            <w:tcW w:w="1603" w:type="dxa"/>
            <w:vAlign w:val="center"/>
          </w:tcPr>
          <w:p w:rsidR="00B536C4" w:rsidRDefault="00CC45D2">
            <w:pPr>
              <w:jc w:val="right"/>
            </w:pPr>
            <w:r>
              <w:rPr>
                <w:sz w:val="24"/>
              </w:rPr>
              <w:t>2.02</w:t>
            </w:r>
          </w:p>
        </w:tc>
      </w:tr>
    </w:tbl>
    <w:p w:rsidR="00B536C4" w:rsidRDefault="00CC45D2">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7B62FA" w:rsidRPr="004201DA" w:rsidRDefault="007B62FA" w:rsidP="004201DA">
      <w:pPr>
        <w:tabs>
          <w:tab w:val="left" w:pos="426"/>
        </w:tabs>
        <w:spacing w:before="29" w:line="288" w:lineRule="auto"/>
        <w:jc w:val="left"/>
        <w:rPr>
          <w:kern w:val="0"/>
          <w:sz w:val="24"/>
        </w:rPr>
      </w:pPr>
      <w:r w:rsidRPr="004201DA">
        <w:rPr>
          <w:kern w:val="0"/>
          <w:sz w:val="24"/>
        </w:rPr>
        <w:t xml:space="preserve">    2</w:t>
      </w:r>
      <w:r w:rsidRPr="004201DA">
        <w:rPr>
          <w:kern w:val="0"/>
          <w:sz w:val="24"/>
        </w:rPr>
        <w:t>．此处所用证券代码的类别是当地市场代码。</w:t>
      </w:r>
    </w:p>
    <w:p w:rsidR="007B62FA" w:rsidRPr="00D0372D" w:rsidRDefault="007B62FA" w:rsidP="00417F87">
      <w:pPr>
        <w:spacing w:line="360" w:lineRule="auto"/>
        <w:rPr>
          <w:rFonts w:ascii="宋体" w:hAnsi="宋体"/>
          <w:color w:val="000000"/>
          <w:szCs w:val="21"/>
        </w:rPr>
      </w:pPr>
    </w:p>
    <w:p w:rsidR="007B62FA" w:rsidRPr="00052EE7" w:rsidRDefault="007B62FA" w:rsidP="005D0BD3">
      <w:pPr>
        <w:tabs>
          <w:tab w:val="left" w:pos="426"/>
        </w:tabs>
        <w:spacing w:before="29" w:line="288" w:lineRule="auto"/>
        <w:jc w:val="left"/>
        <w:rPr>
          <w:b/>
          <w:kern w:val="0"/>
          <w:sz w:val="24"/>
        </w:rPr>
      </w:pPr>
      <w:r w:rsidRPr="00052EE7">
        <w:rPr>
          <w:b/>
          <w:kern w:val="0"/>
          <w:sz w:val="24"/>
        </w:rPr>
        <w:t>8.5.2</w:t>
      </w:r>
      <w:r w:rsidR="002D0B5F" w:rsidRPr="00052EE7">
        <w:rPr>
          <w:rFonts w:hint="eastAsia"/>
          <w:b/>
          <w:kern w:val="0"/>
          <w:sz w:val="24"/>
        </w:rPr>
        <w:t xml:space="preserve"> </w:t>
      </w:r>
      <w:r w:rsidRPr="00052EE7">
        <w:rPr>
          <w:rFonts w:hint="eastAsia"/>
          <w:b/>
          <w:kern w:val="0"/>
          <w:sz w:val="24"/>
        </w:rPr>
        <w:t>累计卖出金额超出</w:t>
      </w:r>
      <w:r w:rsidR="008E1045" w:rsidRPr="00052EE7">
        <w:rPr>
          <w:rFonts w:hint="eastAsia"/>
          <w:b/>
          <w:kern w:val="0"/>
          <w:sz w:val="24"/>
        </w:rPr>
        <w:t>期</w:t>
      </w:r>
      <w:proofErr w:type="gramStart"/>
      <w:r w:rsidR="008E1045" w:rsidRPr="00052EE7">
        <w:rPr>
          <w:rFonts w:hint="eastAsia"/>
          <w:b/>
          <w:kern w:val="0"/>
          <w:sz w:val="24"/>
        </w:rPr>
        <w:t>初</w:t>
      </w:r>
      <w:r w:rsidRPr="00052EE7">
        <w:rPr>
          <w:rFonts w:hint="eastAsia"/>
          <w:b/>
          <w:kern w:val="0"/>
          <w:sz w:val="24"/>
        </w:rPr>
        <w:t>基金</w:t>
      </w:r>
      <w:proofErr w:type="gramEnd"/>
      <w:r w:rsidRPr="00052EE7">
        <w:rPr>
          <w:rFonts w:hint="eastAsia"/>
          <w:b/>
          <w:kern w:val="0"/>
          <w:sz w:val="24"/>
        </w:rPr>
        <w:t>资产净值</w:t>
      </w:r>
      <w:r w:rsidR="007B3B2A" w:rsidRPr="00052EE7">
        <w:rPr>
          <w:rFonts w:hint="eastAsia"/>
          <w:b/>
          <w:kern w:val="0"/>
          <w:sz w:val="24"/>
        </w:rPr>
        <w:t>2%</w:t>
      </w:r>
      <w:r w:rsidRPr="00052EE7">
        <w:rPr>
          <w:rFonts w:hint="eastAsia"/>
          <w:b/>
          <w:kern w:val="0"/>
          <w:sz w:val="24"/>
        </w:rPr>
        <w:t>或前</w:t>
      </w:r>
      <w:r w:rsidRPr="00052EE7">
        <w:rPr>
          <w:b/>
          <w:kern w:val="0"/>
          <w:sz w:val="24"/>
        </w:rPr>
        <w:t>20</w:t>
      </w:r>
      <w:r w:rsidRPr="00052EE7">
        <w:rPr>
          <w:rFonts w:hint="eastAsia"/>
          <w:b/>
          <w:kern w:val="0"/>
          <w:sz w:val="24"/>
        </w:rPr>
        <w:t>名的权益投资明细</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7B62FA" w:rsidRPr="00D0372D" w:rsidTr="00052EE7">
        <w:trPr>
          <w:trHeight w:val="315"/>
        </w:trPr>
        <w:tc>
          <w:tcPr>
            <w:tcW w:w="555"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序号</w:t>
            </w:r>
          </w:p>
        </w:tc>
        <w:tc>
          <w:tcPr>
            <w:tcW w:w="4583"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公司名称（英文）</w:t>
            </w:r>
          </w:p>
        </w:tc>
        <w:tc>
          <w:tcPr>
            <w:tcW w:w="1007"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证券代码</w:t>
            </w:r>
          </w:p>
        </w:tc>
        <w:tc>
          <w:tcPr>
            <w:tcW w:w="1470"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本期累计卖出金额</w:t>
            </w:r>
          </w:p>
        </w:tc>
        <w:tc>
          <w:tcPr>
            <w:tcW w:w="1650" w:type="dxa"/>
            <w:tcMar>
              <w:top w:w="15" w:type="dxa"/>
              <w:left w:w="15" w:type="dxa"/>
              <w:bottom w:w="0" w:type="dxa"/>
              <w:right w:w="15" w:type="dxa"/>
            </w:tcMar>
            <w:vAlign w:val="center"/>
          </w:tcPr>
          <w:p w:rsidR="007D3054" w:rsidRPr="005D0BD3" w:rsidRDefault="007B62FA" w:rsidP="005D0BD3">
            <w:pPr>
              <w:spacing w:before="29" w:line="288" w:lineRule="auto"/>
              <w:jc w:val="center"/>
              <w:rPr>
                <w:color w:val="000000"/>
                <w:sz w:val="24"/>
              </w:rPr>
            </w:pPr>
            <w:r w:rsidRPr="005D0BD3">
              <w:rPr>
                <w:rFonts w:hint="eastAsia"/>
                <w:color w:val="000000"/>
                <w:sz w:val="24"/>
              </w:rPr>
              <w:t>占</w:t>
            </w:r>
            <w:r w:rsidR="00E70C81" w:rsidRPr="005D0BD3">
              <w:rPr>
                <w:rFonts w:hint="eastAsia"/>
                <w:color w:val="000000"/>
                <w:sz w:val="24"/>
              </w:rPr>
              <w:t>期初</w:t>
            </w:r>
            <w:r w:rsidRPr="005D0BD3">
              <w:rPr>
                <w:rFonts w:hint="eastAsia"/>
                <w:color w:val="000000"/>
                <w:sz w:val="24"/>
              </w:rPr>
              <w:t>基金</w:t>
            </w:r>
          </w:p>
          <w:p w:rsidR="007B62FA" w:rsidRPr="005D0BD3" w:rsidRDefault="007B62FA" w:rsidP="005D0BD3">
            <w:pPr>
              <w:spacing w:before="29" w:line="288" w:lineRule="auto"/>
              <w:jc w:val="center"/>
              <w:rPr>
                <w:color w:val="000000"/>
                <w:sz w:val="24"/>
              </w:rPr>
            </w:pPr>
            <w:r w:rsidRPr="005D0BD3">
              <w:rPr>
                <w:rFonts w:hint="eastAsia"/>
                <w:color w:val="000000"/>
                <w:sz w:val="24"/>
              </w:rPr>
              <w:t>资产净值比例（％）</w:t>
            </w:r>
          </w:p>
        </w:tc>
      </w:tr>
      <w:tr w:rsidR="00B536C4">
        <w:tc>
          <w:tcPr>
            <w:tcW w:w="539" w:type="dxa"/>
            <w:vAlign w:val="center"/>
          </w:tcPr>
          <w:p w:rsidR="00B536C4" w:rsidRDefault="00CC45D2">
            <w:pPr>
              <w:jc w:val="center"/>
            </w:pPr>
            <w:r>
              <w:rPr>
                <w:sz w:val="24"/>
              </w:rPr>
              <w:t>1</w:t>
            </w:r>
          </w:p>
        </w:tc>
        <w:tc>
          <w:tcPr>
            <w:tcW w:w="4449" w:type="dxa"/>
            <w:vAlign w:val="center"/>
          </w:tcPr>
          <w:p w:rsidR="00B536C4" w:rsidRDefault="00CC45D2">
            <w:pPr>
              <w:jc w:val="center"/>
            </w:pPr>
            <w:r>
              <w:rPr>
                <w:sz w:val="24"/>
              </w:rPr>
              <w:t>Huaneng Power International,Inc.</w:t>
            </w:r>
          </w:p>
        </w:tc>
        <w:tc>
          <w:tcPr>
            <w:tcW w:w="979" w:type="dxa"/>
            <w:vAlign w:val="center"/>
          </w:tcPr>
          <w:p w:rsidR="00B536C4" w:rsidRDefault="00CC45D2">
            <w:pPr>
              <w:jc w:val="center"/>
            </w:pPr>
            <w:r>
              <w:rPr>
                <w:sz w:val="24"/>
              </w:rPr>
              <w:t>902 HK</w:t>
            </w:r>
          </w:p>
        </w:tc>
        <w:tc>
          <w:tcPr>
            <w:tcW w:w="1428" w:type="dxa"/>
            <w:vAlign w:val="center"/>
          </w:tcPr>
          <w:p w:rsidR="00B536C4" w:rsidRDefault="00CC45D2">
            <w:pPr>
              <w:jc w:val="right"/>
            </w:pPr>
            <w:r>
              <w:rPr>
                <w:sz w:val="24"/>
              </w:rPr>
              <w:t>2,200,678.05</w:t>
            </w:r>
          </w:p>
        </w:tc>
        <w:tc>
          <w:tcPr>
            <w:tcW w:w="1603" w:type="dxa"/>
            <w:vAlign w:val="center"/>
          </w:tcPr>
          <w:p w:rsidR="00B536C4" w:rsidRDefault="00CC45D2">
            <w:pPr>
              <w:jc w:val="right"/>
            </w:pPr>
            <w:r>
              <w:rPr>
                <w:sz w:val="24"/>
              </w:rPr>
              <w:t>7.23</w:t>
            </w:r>
          </w:p>
        </w:tc>
      </w:tr>
      <w:tr w:rsidR="00B536C4">
        <w:tc>
          <w:tcPr>
            <w:tcW w:w="539" w:type="dxa"/>
            <w:vAlign w:val="center"/>
          </w:tcPr>
          <w:p w:rsidR="00B536C4" w:rsidRDefault="00CC45D2">
            <w:pPr>
              <w:jc w:val="center"/>
            </w:pPr>
            <w:r>
              <w:rPr>
                <w:sz w:val="24"/>
              </w:rPr>
              <w:t>2</w:t>
            </w:r>
          </w:p>
        </w:tc>
        <w:tc>
          <w:tcPr>
            <w:tcW w:w="4449" w:type="dxa"/>
            <w:vAlign w:val="center"/>
          </w:tcPr>
          <w:p w:rsidR="00B536C4" w:rsidRDefault="00CC45D2">
            <w:pPr>
              <w:jc w:val="center"/>
            </w:pPr>
            <w:r>
              <w:rPr>
                <w:sz w:val="24"/>
              </w:rPr>
              <w:t>Hong Kong Exchanges And Clearing Limited</w:t>
            </w:r>
          </w:p>
        </w:tc>
        <w:tc>
          <w:tcPr>
            <w:tcW w:w="979" w:type="dxa"/>
            <w:vAlign w:val="center"/>
          </w:tcPr>
          <w:p w:rsidR="00B536C4" w:rsidRDefault="00CC45D2">
            <w:pPr>
              <w:jc w:val="center"/>
            </w:pPr>
            <w:r>
              <w:rPr>
                <w:sz w:val="24"/>
              </w:rPr>
              <w:t>388 HK</w:t>
            </w:r>
          </w:p>
        </w:tc>
        <w:tc>
          <w:tcPr>
            <w:tcW w:w="1428" w:type="dxa"/>
            <w:vAlign w:val="center"/>
          </w:tcPr>
          <w:p w:rsidR="00B536C4" w:rsidRDefault="00CC45D2">
            <w:pPr>
              <w:jc w:val="right"/>
            </w:pPr>
            <w:r>
              <w:rPr>
                <w:sz w:val="24"/>
              </w:rPr>
              <w:t>1,892,747.06</w:t>
            </w:r>
          </w:p>
        </w:tc>
        <w:tc>
          <w:tcPr>
            <w:tcW w:w="1603" w:type="dxa"/>
            <w:vAlign w:val="center"/>
          </w:tcPr>
          <w:p w:rsidR="00B536C4" w:rsidRDefault="00CC45D2">
            <w:pPr>
              <w:jc w:val="right"/>
            </w:pPr>
            <w:r>
              <w:rPr>
                <w:sz w:val="24"/>
              </w:rPr>
              <w:t>6.22</w:t>
            </w:r>
          </w:p>
        </w:tc>
      </w:tr>
      <w:tr w:rsidR="00B536C4">
        <w:tc>
          <w:tcPr>
            <w:tcW w:w="539" w:type="dxa"/>
            <w:vAlign w:val="center"/>
          </w:tcPr>
          <w:p w:rsidR="00B536C4" w:rsidRDefault="00CC45D2">
            <w:pPr>
              <w:jc w:val="center"/>
            </w:pPr>
            <w:r>
              <w:rPr>
                <w:sz w:val="24"/>
              </w:rPr>
              <w:t>3</w:t>
            </w:r>
          </w:p>
        </w:tc>
        <w:tc>
          <w:tcPr>
            <w:tcW w:w="4449" w:type="dxa"/>
            <w:vAlign w:val="center"/>
          </w:tcPr>
          <w:p w:rsidR="00B536C4" w:rsidRDefault="00CC45D2">
            <w:pPr>
              <w:jc w:val="center"/>
            </w:pPr>
            <w:r>
              <w:rPr>
                <w:sz w:val="24"/>
              </w:rPr>
              <w:t>Sinotruk (Hong Kong) Ltd.</w:t>
            </w:r>
          </w:p>
        </w:tc>
        <w:tc>
          <w:tcPr>
            <w:tcW w:w="979" w:type="dxa"/>
            <w:vAlign w:val="center"/>
          </w:tcPr>
          <w:p w:rsidR="00B536C4" w:rsidRDefault="00CC45D2">
            <w:pPr>
              <w:jc w:val="center"/>
            </w:pPr>
            <w:r>
              <w:rPr>
                <w:sz w:val="24"/>
              </w:rPr>
              <w:t>3808 HK</w:t>
            </w:r>
          </w:p>
        </w:tc>
        <w:tc>
          <w:tcPr>
            <w:tcW w:w="1428" w:type="dxa"/>
            <w:vAlign w:val="center"/>
          </w:tcPr>
          <w:p w:rsidR="00B536C4" w:rsidRDefault="00CC45D2">
            <w:pPr>
              <w:jc w:val="right"/>
            </w:pPr>
            <w:r>
              <w:rPr>
                <w:sz w:val="24"/>
              </w:rPr>
              <w:t>1,684,435.16</w:t>
            </w:r>
          </w:p>
        </w:tc>
        <w:tc>
          <w:tcPr>
            <w:tcW w:w="1603" w:type="dxa"/>
            <w:vAlign w:val="center"/>
          </w:tcPr>
          <w:p w:rsidR="00B536C4" w:rsidRDefault="00CC45D2">
            <w:pPr>
              <w:jc w:val="right"/>
            </w:pPr>
            <w:r>
              <w:rPr>
                <w:sz w:val="24"/>
              </w:rPr>
              <w:t>5.53</w:t>
            </w:r>
          </w:p>
        </w:tc>
      </w:tr>
      <w:tr w:rsidR="00B536C4">
        <w:tc>
          <w:tcPr>
            <w:tcW w:w="539" w:type="dxa"/>
            <w:vAlign w:val="center"/>
          </w:tcPr>
          <w:p w:rsidR="00B536C4" w:rsidRDefault="00CC45D2">
            <w:pPr>
              <w:jc w:val="center"/>
            </w:pPr>
            <w:r>
              <w:rPr>
                <w:sz w:val="24"/>
              </w:rPr>
              <w:t>4</w:t>
            </w:r>
          </w:p>
        </w:tc>
        <w:tc>
          <w:tcPr>
            <w:tcW w:w="4449" w:type="dxa"/>
            <w:vAlign w:val="center"/>
          </w:tcPr>
          <w:p w:rsidR="00B536C4" w:rsidRDefault="00CC45D2">
            <w:pPr>
              <w:jc w:val="center"/>
            </w:pPr>
            <w:r>
              <w:rPr>
                <w:sz w:val="24"/>
              </w:rPr>
              <w:t>Luk Fook Holdings (International) Limited</w:t>
            </w:r>
          </w:p>
        </w:tc>
        <w:tc>
          <w:tcPr>
            <w:tcW w:w="979" w:type="dxa"/>
            <w:vAlign w:val="center"/>
          </w:tcPr>
          <w:p w:rsidR="00B536C4" w:rsidRDefault="00CC45D2">
            <w:pPr>
              <w:jc w:val="center"/>
            </w:pPr>
            <w:r>
              <w:rPr>
                <w:sz w:val="24"/>
              </w:rPr>
              <w:t>590 HK</w:t>
            </w:r>
          </w:p>
        </w:tc>
        <w:tc>
          <w:tcPr>
            <w:tcW w:w="1428" w:type="dxa"/>
            <w:vAlign w:val="center"/>
          </w:tcPr>
          <w:p w:rsidR="00B536C4" w:rsidRDefault="00CC45D2">
            <w:pPr>
              <w:jc w:val="right"/>
            </w:pPr>
            <w:r>
              <w:rPr>
                <w:sz w:val="24"/>
              </w:rPr>
              <w:t>1,420,832.79</w:t>
            </w:r>
          </w:p>
        </w:tc>
        <w:tc>
          <w:tcPr>
            <w:tcW w:w="1603" w:type="dxa"/>
            <w:vAlign w:val="center"/>
          </w:tcPr>
          <w:p w:rsidR="00B536C4" w:rsidRDefault="00CC45D2">
            <w:pPr>
              <w:jc w:val="right"/>
            </w:pPr>
            <w:r>
              <w:rPr>
                <w:sz w:val="24"/>
              </w:rPr>
              <w:t>4.67</w:t>
            </w:r>
          </w:p>
        </w:tc>
      </w:tr>
      <w:tr w:rsidR="00B536C4">
        <w:tc>
          <w:tcPr>
            <w:tcW w:w="539" w:type="dxa"/>
            <w:vAlign w:val="center"/>
          </w:tcPr>
          <w:p w:rsidR="00B536C4" w:rsidRDefault="00CC45D2">
            <w:pPr>
              <w:jc w:val="center"/>
            </w:pPr>
            <w:r>
              <w:rPr>
                <w:sz w:val="24"/>
              </w:rPr>
              <w:t>5</w:t>
            </w:r>
          </w:p>
        </w:tc>
        <w:tc>
          <w:tcPr>
            <w:tcW w:w="4449" w:type="dxa"/>
            <w:vAlign w:val="center"/>
          </w:tcPr>
          <w:p w:rsidR="00B536C4" w:rsidRDefault="00CC45D2">
            <w:pPr>
              <w:jc w:val="center"/>
            </w:pPr>
            <w:r>
              <w:rPr>
                <w:sz w:val="24"/>
              </w:rPr>
              <w:t>Xinyi Glass Holdings Ltd.</w:t>
            </w:r>
          </w:p>
        </w:tc>
        <w:tc>
          <w:tcPr>
            <w:tcW w:w="979" w:type="dxa"/>
            <w:vAlign w:val="center"/>
          </w:tcPr>
          <w:p w:rsidR="00B536C4" w:rsidRDefault="00CC45D2">
            <w:pPr>
              <w:jc w:val="center"/>
            </w:pPr>
            <w:r>
              <w:rPr>
                <w:sz w:val="24"/>
              </w:rPr>
              <w:t>868 HK</w:t>
            </w:r>
          </w:p>
        </w:tc>
        <w:tc>
          <w:tcPr>
            <w:tcW w:w="1428" w:type="dxa"/>
            <w:vAlign w:val="center"/>
          </w:tcPr>
          <w:p w:rsidR="00B536C4" w:rsidRDefault="00CC45D2">
            <w:pPr>
              <w:jc w:val="right"/>
            </w:pPr>
            <w:r>
              <w:rPr>
                <w:sz w:val="24"/>
              </w:rPr>
              <w:t>1,370,726.49</w:t>
            </w:r>
          </w:p>
        </w:tc>
        <w:tc>
          <w:tcPr>
            <w:tcW w:w="1603" w:type="dxa"/>
            <w:vAlign w:val="center"/>
          </w:tcPr>
          <w:p w:rsidR="00B536C4" w:rsidRDefault="00CC45D2">
            <w:pPr>
              <w:jc w:val="right"/>
            </w:pPr>
            <w:r>
              <w:rPr>
                <w:sz w:val="24"/>
              </w:rPr>
              <w:t>4.50</w:t>
            </w:r>
          </w:p>
        </w:tc>
      </w:tr>
      <w:tr w:rsidR="00B536C4">
        <w:tc>
          <w:tcPr>
            <w:tcW w:w="539" w:type="dxa"/>
            <w:vAlign w:val="center"/>
          </w:tcPr>
          <w:p w:rsidR="00B536C4" w:rsidRDefault="00CC45D2">
            <w:pPr>
              <w:jc w:val="center"/>
            </w:pPr>
            <w:r>
              <w:rPr>
                <w:sz w:val="24"/>
              </w:rPr>
              <w:t>6</w:t>
            </w:r>
          </w:p>
        </w:tc>
        <w:tc>
          <w:tcPr>
            <w:tcW w:w="4449" w:type="dxa"/>
            <w:vAlign w:val="center"/>
          </w:tcPr>
          <w:p w:rsidR="00B536C4" w:rsidRDefault="00CC45D2">
            <w:pPr>
              <w:jc w:val="center"/>
            </w:pPr>
            <w:r>
              <w:rPr>
                <w:sz w:val="24"/>
              </w:rPr>
              <w:t>Great Wall Motor Company Limited</w:t>
            </w:r>
          </w:p>
        </w:tc>
        <w:tc>
          <w:tcPr>
            <w:tcW w:w="979" w:type="dxa"/>
            <w:vAlign w:val="center"/>
          </w:tcPr>
          <w:p w:rsidR="00B536C4" w:rsidRDefault="00CC45D2">
            <w:pPr>
              <w:jc w:val="center"/>
            </w:pPr>
            <w:r>
              <w:rPr>
                <w:sz w:val="24"/>
              </w:rPr>
              <w:t>2333 HK</w:t>
            </w:r>
          </w:p>
        </w:tc>
        <w:tc>
          <w:tcPr>
            <w:tcW w:w="1428" w:type="dxa"/>
            <w:vAlign w:val="center"/>
          </w:tcPr>
          <w:p w:rsidR="00B536C4" w:rsidRDefault="00CC45D2">
            <w:pPr>
              <w:jc w:val="right"/>
            </w:pPr>
            <w:r>
              <w:rPr>
                <w:sz w:val="24"/>
              </w:rPr>
              <w:t>1,219,382.63</w:t>
            </w:r>
          </w:p>
        </w:tc>
        <w:tc>
          <w:tcPr>
            <w:tcW w:w="1603" w:type="dxa"/>
            <w:vAlign w:val="center"/>
          </w:tcPr>
          <w:p w:rsidR="00B536C4" w:rsidRDefault="00CC45D2">
            <w:pPr>
              <w:jc w:val="right"/>
            </w:pPr>
            <w:r>
              <w:rPr>
                <w:sz w:val="24"/>
              </w:rPr>
              <w:t>4.01</w:t>
            </w:r>
          </w:p>
        </w:tc>
      </w:tr>
      <w:tr w:rsidR="00B536C4">
        <w:tc>
          <w:tcPr>
            <w:tcW w:w="539" w:type="dxa"/>
            <w:vAlign w:val="center"/>
          </w:tcPr>
          <w:p w:rsidR="00B536C4" w:rsidRDefault="00CC45D2">
            <w:pPr>
              <w:jc w:val="center"/>
            </w:pPr>
            <w:r>
              <w:rPr>
                <w:sz w:val="24"/>
              </w:rPr>
              <w:t>7</w:t>
            </w:r>
          </w:p>
        </w:tc>
        <w:tc>
          <w:tcPr>
            <w:tcW w:w="4449" w:type="dxa"/>
            <w:vAlign w:val="center"/>
          </w:tcPr>
          <w:p w:rsidR="00B536C4" w:rsidRDefault="00CC45D2">
            <w:pPr>
              <w:jc w:val="center"/>
            </w:pPr>
            <w:r>
              <w:rPr>
                <w:sz w:val="24"/>
              </w:rPr>
              <w:t>Yanzhou Coal Mining Company Limited</w:t>
            </w:r>
          </w:p>
        </w:tc>
        <w:tc>
          <w:tcPr>
            <w:tcW w:w="979" w:type="dxa"/>
            <w:vAlign w:val="center"/>
          </w:tcPr>
          <w:p w:rsidR="00B536C4" w:rsidRDefault="00CC45D2">
            <w:pPr>
              <w:jc w:val="center"/>
            </w:pPr>
            <w:r>
              <w:rPr>
                <w:sz w:val="24"/>
              </w:rPr>
              <w:t>1171 HK</w:t>
            </w:r>
          </w:p>
        </w:tc>
        <w:tc>
          <w:tcPr>
            <w:tcW w:w="1428" w:type="dxa"/>
            <w:vAlign w:val="center"/>
          </w:tcPr>
          <w:p w:rsidR="00B536C4" w:rsidRDefault="00CC45D2">
            <w:pPr>
              <w:jc w:val="right"/>
            </w:pPr>
            <w:r>
              <w:rPr>
                <w:sz w:val="24"/>
              </w:rPr>
              <w:t>1,175,208.44</w:t>
            </w:r>
          </w:p>
        </w:tc>
        <w:tc>
          <w:tcPr>
            <w:tcW w:w="1603" w:type="dxa"/>
            <w:vAlign w:val="center"/>
          </w:tcPr>
          <w:p w:rsidR="00B536C4" w:rsidRDefault="00CC45D2">
            <w:pPr>
              <w:jc w:val="right"/>
            </w:pPr>
            <w:r>
              <w:rPr>
                <w:sz w:val="24"/>
              </w:rPr>
              <w:t>3.86</w:t>
            </w:r>
          </w:p>
        </w:tc>
      </w:tr>
      <w:tr w:rsidR="00B536C4">
        <w:tc>
          <w:tcPr>
            <w:tcW w:w="539" w:type="dxa"/>
            <w:vAlign w:val="center"/>
          </w:tcPr>
          <w:p w:rsidR="00B536C4" w:rsidRDefault="00CC45D2">
            <w:pPr>
              <w:jc w:val="center"/>
            </w:pPr>
            <w:r>
              <w:rPr>
                <w:sz w:val="24"/>
              </w:rPr>
              <w:t>8</w:t>
            </w:r>
          </w:p>
        </w:tc>
        <w:tc>
          <w:tcPr>
            <w:tcW w:w="4449" w:type="dxa"/>
            <w:vAlign w:val="center"/>
          </w:tcPr>
          <w:p w:rsidR="00B536C4" w:rsidRDefault="00CC45D2">
            <w:pPr>
              <w:jc w:val="center"/>
            </w:pPr>
            <w:r>
              <w:rPr>
                <w:sz w:val="24"/>
              </w:rPr>
              <w:t>Zhaojin Mining Industry Company Limited</w:t>
            </w:r>
          </w:p>
        </w:tc>
        <w:tc>
          <w:tcPr>
            <w:tcW w:w="979" w:type="dxa"/>
            <w:vAlign w:val="center"/>
          </w:tcPr>
          <w:p w:rsidR="00B536C4" w:rsidRDefault="00CC45D2">
            <w:pPr>
              <w:jc w:val="center"/>
            </w:pPr>
            <w:r>
              <w:rPr>
                <w:sz w:val="24"/>
              </w:rPr>
              <w:t>1818 HK</w:t>
            </w:r>
          </w:p>
        </w:tc>
        <w:tc>
          <w:tcPr>
            <w:tcW w:w="1428" w:type="dxa"/>
            <w:vAlign w:val="center"/>
          </w:tcPr>
          <w:p w:rsidR="00B536C4" w:rsidRDefault="00CC45D2">
            <w:pPr>
              <w:jc w:val="right"/>
            </w:pPr>
            <w:r>
              <w:rPr>
                <w:sz w:val="24"/>
              </w:rPr>
              <w:t>1,110,618.94</w:t>
            </w:r>
          </w:p>
        </w:tc>
        <w:tc>
          <w:tcPr>
            <w:tcW w:w="1603" w:type="dxa"/>
            <w:vAlign w:val="center"/>
          </w:tcPr>
          <w:p w:rsidR="00B536C4" w:rsidRDefault="00CC45D2">
            <w:pPr>
              <w:jc w:val="right"/>
            </w:pPr>
            <w:r>
              <w:rPr>
                <w:sz w:val="24"/>
              </w:rPr>
              <w:t>3.65</w:t>
            </w:r>
          </w:p>
        </w:tc>
      </w:tr>
      <w:tr w:rsidR="00B536C4">
        <w:tc>
          <w:tcPr>
            <w:tcW w:w="539" w:type="dxa"/>
            <w:vAlign w:val="center"/>
          </w:tcPr>
          <w:p w:rsidR="00B536C4" w:rsidRDefault="00CC45D2">
            <w:pPr>
              <w:jc w:val="center"/>
            </w:pPr>
            <w:r>
              <w:rPr>
                <w:sz w:val="24"/>
              </w:rPr>
              <w:t>9</w:t>
            </w:r>
          </w:p>
        </w:tc>
        <w:tc>
          <w:tcPr>
            <w:tcW w:w="4449" w:type="dxa"/>
            <w:vAlign w:val="center"/>
          </w:tcPr>
          <w:p w:rsidR="00B536C4" w:rsidRDefault="00CC45D2">
            <w:pPr>
              <w:jc w:val="center"/>
            </w:pPr>
            <w:r>
              <w:rPr>
                <w:sz w:val="24"/>
              </w:rPr>
              <w:t>Dongjiang Environmental Company Limited</w:t>
            </w:r>
          </w:p>
        </w:tc>
        <w:tc>
          <w:tcPr>
            <w:tcW w:w="979" w:type="dxa"/>
            <w:vAlign w:val="center"/>
          </w:tcPr>
          <w:p w:rsidR="00B536C4" w:rsidRDefault="00CC45D2">
            <w:pPr>
              <w:jc w:val="center"/>
            </w:pPr>
            <w:r>
              <w:rPr>
                <w:sz w:val="24"/>
              </w:rPr>
              <w:t>895 HK</w:t>
            </w:r>
          </w:p>
        </w:tc>
        <w:tc>
          <w:tcPr>
            <w:tcW w:w="1428" w:type="dxa"/>
            <w:vAlign w:val="center"/>
          </w:tcPr>
          <w:p w:rsidR="00B536C4" w:rsidRDefault="00CC45D2">
            <w:pPr>
              <w:jc w:val="right"/>
            </w:pPr>
            <w:r>
              <w:rPr>
                <w:sz w:val="24"/>
              </w:rPr>
              <w:t>1,043,603.39</w:t>
            </w:r>
          </w:p>
        </w:tc>
        <w:tc>
          <w:tcPr>
            <w:tcW w:w="1603" w:type="dxa"/>
            <w:vAlign w:val="center"/>
          </w:tcPr>
          <w:p w:rsidR="00B536C4" w:rsidRDefault="00CC45D2">
            <w:pPr>
              <w:jc w:val="right"/>
            </w:pPr>
            <w:r>
              <w:rPr>
                <w:sz w:val="24"/>
              </w:rPr>
              <w:t>3.43</w:t>
            </w:r>
          </w:p>
        </w:tc>
      </w:tr>
      <w:tr w:rsidR="00B536C4">
        <w:tc>
          <w:tcPr>
            <w:tcW w:w="539" w:type="dxa"/>
            <w:vAlign w:val="center"/>
          </w:tcPr>
          <w:p w:rsidR="00B536C4" w:rsidRDefault="00CC45D2">
            <w:pPr>
              <w:jc w:val="center"/>
            </w:pPr>
            <w:r>
              <w:rPr>
                <w:sz w:val="24"/>
              </w:rPr>
              <w:t>10</w:t>
            </w:r>
          </w:p>
        </w:tc>
        <w:tc>
          <w:tcPr>
            <w:tcW w:w="4449" w:type="dxa"/>
            <w:vAlign w:val="center"/>
          </w:tcPr>
          <w:p w:rsidR="00B536C4" w:rsidRDefault="00CC45D2">
            <w:pPr>
              <w:jc w:val="center"/>
            </w:pPr>
            <w:r>
              <w:rPr>
                <w:sz w:val="24"/>
              </w:rPr>
              <w:t>Yunnan Water Investment Co.,Ltd.</w:t>
            </w:r>
          </w:p>
        </w:tc>
        <w:tc>
          <w:tcPr>
            <w:tcW w:w="979" w:type="dxa"/>
            <w:vAlign w:val="center"/>
          </w:tcPr>
          <w:p w:rsidR="00B536C4" w:rsidRDefault="00CC45D2">
            <w:pPr>
              <w:jc w:val="center"/>
            </w:pPr>
            <w:r>
              <w:rPr>
                <w:sz w:val="24"/>
              </w:rPr>
              <w:t>6839 HK</w:t>
            </w:r>
          </w:p>
        </w:tc>
        <w:tc>
          <w:tcPr>
            <w:tcW w:w="1428" w:type="dxa"/>
            <w:vAlign w:val="center"/>
          </w:tcPr>
          <w:p w:rsidR="00B536C4" w:rsidRDefault="00CC45D2">
            <w:pPr>
              <w:jc w:val="right"/>
            </w:pPr>
            <w:r>
              <w:rPr>
                <w:sz w:val="24"/>
              </w:rPr>
              <w:t>949,107.38</w:t>
            </w:r>
          </w:p>
        </w:tc>
        <w:tc>
          <w:tcPr>
            <w:tcW w:w="1603" w:type="dxa"/>
            <w:vAlign w:val="center"/>
          </w:tcPr>
          <w:p w:rsidR="00B536C4" w:rsidRDefault="00CC45D2">
            <w:pPr>
              <w:jc w:val="right"/>
            </w:pPr>
            <w:r>
              <w:rPr>
                <w:sz w:val="24"/>
              </w:rPr>
              <w:t>3.12</w:t>
            </w:r>
          </w:p>
        </w:tc>
      </w:tr>
      <w:tr w:rsidR="00B536C4">
        <w:tc>
          <w:tcPr>
            <w:tcW w:w="539" w:type="dxa"/>
            <w:vAlign w:val="center"/>
          </w:tcPr>
          <w:p w:rsidR="00B536C4" w:rsidRDefault="00CC45D2">
            <w:pPr>
              <w:jc w:val="center"/>
            </w:pPr>
            <w:r>
              <w:rPr>
                <w:sz w:val="24"/>
              </w:rPr>
              <w:t>11</w:t>
            </w:r>
          </w:p>
        </w:tc>
        <w:tc>
          <w:tcPr>
            <w:tcW w:w="4449" w:type="dxa"/>
            <w:vAlign w:val="center"/>
          </w:tcPr>
          <w:p w:rsidR="00B536C4" w:rsidRDefault="00CC45D2">
            <w:pPr>
              <w:jc w:val="center"/>
            </w:pPr>
            <w:r>
              <w:rPr>
                <w:sz w:val="24"/>
              </w:rPr>
              <w:t>Beijing Enterprises Water Group Limited</w:t>
            </w:r>
          </w:p>
        </w:tc>
        <w:tc>
          <w:tcPr>
            <w:tcW w:w="979" w:type="dxa"/>
            <w:vAlign w:val="center"/>
          </w:tcPr>
          <w:p w:rsidR="00B536C4" w:rsidRDefault="00CC45D2">
            <w:pPr>
              <w:jc w:val="center"/>
            </w:pPr>
            <w:r>
              <w:rPr>
                <w:sz w:val="24"/>
              </w:rPr>
              <w:t>371 HK</w:t>
            </w:r>
          </w:p>
        </w:tc>
        <w:tc>
          <w:tcPr>
            <w:tcW w:w="1428" w:type="dxa"/>
            <w:vAlign w:val="center"/>
          </w:tcPr>
          <w:p w:rsidR="00B536C4" w:rsidRDefault="00CC45D2">
            <w:pPr>
              <w:jc w:val="right"/>
            </w:pPr>
            <w:r>
              <w:rPr>
                <w:sz w:val="24"/>
              </w:rPr>
              <w:t>945,070.94</w:t>
            </w:r>
          </w:p>
        </w:tc>
        <w:tc>
          <w:tcPr>
            <w:tcW w:w="1603" w:type="dxa"/>
            <w:vAlign w:val="center"/>
          </w:tcPr>
          <w:p w:rsidR="00B536C4" w:rsidRDefault="00CC45D2">
            <w:pPr>
              <w:jc w:val="right"/>
            </w:pPr>
            <w:r>
              <w:rPr>
                <w:sz w:val="24"/>
              </w:rPr>
              <w:t>3.10</w:t>
            </w:r>
          </w:p>
        </w:tc>
      </w:tr>
      <w:tr w:rsidR="00B536C4">
        <w:tc>
          <w:tcPr>
            <w:tcW w:w="539" w:type="dxa"/>
            <w:vAlign w:val="center"/>
          </w:tcPr>
          <w:p w:rsidR="00B536C4" w:rsidRDefault="00CC45D2">
            <w:pPr>
              <w:jc w:val="center"/>
            </w:pPr>
            <w:r>
              <w:rPr>
                <w:sz w:val="24"/>
              </w:rPr>
              <w:t>12</w:t>
            </w:r>
          </w:p>
        </w:tc>
        <w:tc>
          <w:tcPr>
            <w:tcW w:w="4449" w:type="dxa"/>
            <w:vAlign w:val="center"/>
          </w:tcPr>
          <w:p w:rsidR="00B536C4" w:rsidRDefault="00CC45D2">
            <w:pPr>
              <w:jc w:val="center"/>
            </w:pPr>
            <w:r>
              <w:rPr>
                <w:sz w:val="24"/>
              </w:rPr>
              <w:t>China High Speed Transmission Equipment Group Co., Ltd.</w:t>
            </w:r>
          </w:p>
        </w:tc>
        <w:tc>
          <w:tcPr>
            <w:tcW w:w="979" w:type="dxa"/>
            <w:vAlign w:val="center"/>
          </w:tcPr>
          <w:p w:rsidR="00B536C4" w:rsidRDefault="00CC45D2">
            <w:pPr>
              <w:jc w:val="center"/>
            </w:pPr>
            <w:r>
              <w:rPr>
                <w:sz w:val="24"/>
              </w:rPr>
              <w:t>658 HK</w:t>
            </w:r>
          </w:p>
        </w:tc>
        <w:tc>
          <w:tcPr>
            <w:tcW w:w="1428" w:type="dxa"/>
            <w:vAlign w:val="center"/>
          </w:tcPr>
          <w:p w:rsidR="00B536C4" w:rsidRDefault="00CC45D2">
            <w:pPr>
              <w:jc w:val="right"/>
            </w:pPr>
            <w:r>
              <w:rPr>
                <w:sz w:val="24"/>
              </w:rPr>
              <w:t>929,140.71</w:t>
            </w:r>
          </w:p>
        </w:tc>
        <w:tc>
          <w:tcPr>
            <w:tcW w:w="1603" w:type="dxa"/>
            <w:vAlign w:val="center"/>
          </w:tcPr>
          <w:p w:rsidR="00B536C4" w:rsidRDefault="00CC45D2">
            <w:pPr>
              <w:jc w:val="right"/>
            </w:pPr>
            <w:r>
              <w:rPr>
                <w:sz w:val="24"/>
              </w:rPr>
              <w:t>3.05</w:t>
            </w:r>
          </w:p>
        </w:tc>
      </w:tr>
      <w:tr w:rsidR="00B536C4">
        <w:tc>
          <w:tcPr>
            <w:tcW w:w="539" w:type="dxa"/>
            <w:vAlign w:val="center"/>
          </w:tcPr>
          <w:p w:rsidR="00B536C4" w:rsidRDefault="00CC45D2">
            <w:pPr>
              <w:jc w:val="center"/>
            </w:pPr>
            <w:r>
              <w:rPr>
                <w:sz w:val="24"/>
              </w:rPr>
              <w:t>13</w:t>
            </w:r>
          </w:p>
        </w:tc>
        <w:tc>
          <w:tcPr>
            <w:tcW w:w="4449" w:type="dxa"/>
            <w:vAlign w:val="center"/>
          </w:tcPr>
          <w:p w:rsidR="00B536C4" w:rsidRDefault="00CC45D2">
            <w:pPr>
              <w:jc w:val="center"/>
            </w:pPr>
            <w:r>
              <w:rPr>
                <w:sz w:val="24"/>
              </w:rPr>
              <w:t>Huaneng Renewables Corporation Limited</w:t>
            </w:r>
          </w:p>
        </w:tc>
        <w:tc>
          <w:tcPr>
            <w:tcW w:w="979" w:type="dxa"/>
            <w:vAlign w:val="center"/>
          </w:tcPr>
          <w:p w:rsidR="00B536C4" w:rsidRDefault="00CC45D2">
            <w:pPr>
              <w:jc w:val="center"/>
            </w:pPr>
            <w:r>
              <w:rPr>
                <w:sz w:val="24"/>
              </w:rPr>
              <w:t>958 HK</w:t>
            </w:r>
          </w:p>
        </w:tc>
        <w:tc>
          <w:tcPr>
            <w:tcW w:w="1428" w:type="dxa"/>
            <w:vAlign w:val="center"/>
          </w:tcPr>
          <w:p w:rsidR="00B536C4" w:rsidRDefault="00CC45D2">
            <w:pPr>
              <w:jc w:val="right"/>
            </w:pPr>
            <w:r>
              <w:rPr>
                <w:sz w:val="24"/>
              </w:rPr>
              <w:t>915,046.08</w:t>
            </w:r>
          </w:p>
        </w:tc>
        <w:tc>
          <w:tcPr>
            <w:tcW w:w="1603" w:type="dxa"/>
            <w:vAlign w:val="center"/>
          </w:tcPr>
          <w:p w:rsidR="00B536C4" w:rsidRDefault="00CC45D2">
            <w:pPr>
              <w:jc w:val="right"/>
            </w:pPr>
            <w:r>
              <w:rPr>
                <w:sz w:val="24"/>
              </w:rPr>
              <w:t>3.01</w:t>
            </w:r>
          </w:p>
        </w:tc>
      </w:tr>
      <w:tr w:rsidR="00B536C4">
        <w:tc>
          <w:tcPr>
            <w:tcW w:w="539" w:type="dxa"/>
            <w:vAlign w:val="center"/>
          </w:tcPr>
          <w:p w:rsidR="00B536C4" w:rsidRDefault="00CC45D2">
            <w:pPr>
              <w:jc w:val="center"/>
            </w:pPr>
            <w:r>
              <w:rPr>
                <w:sz w:val="24"/>
              </w:rPr>
              <w:t>14</w:t>
            </w:r>
          </w:p>
        </w:tc>
        <w:tc>
          <w:tcPr>
            <w:tcW w:w="4449" w:type="dxa"/>
            <w:vAlign w:val="center"/>
          </w:tcPr>
          <w:p w:rsidR="00B536C4" w:rsidRDefault="00CC45D2">
            <w:pPr>
              <w:jc w:val="center"/>
            </w:pPr>
            <w:r>
              <w:rPr>
                <w:sz w:val="24"/>
              </w:rPr>
              <w:t>Huadian Power International Corporation Limited</w:t>
            </w:r>
          </w:p>
        </w:tc>
        <w:tc>
          <w:tcPr>
            <w:tcW w:w="979" w:type="dxa"/>
            <w:vAlign w:val="center"/>
          </w:tcPr>
          <w:p w:rsidR="00B536C4" w:rsidRDefault="00CC45D2">
            <w:pPr>
              <w:jc w:val="center"/>
            </w:pPr>
            <w:r>
              <w:rPr>
                <w:sz w:val="24"/>
              </w:rPr>
              <w:t>1071 HK</w:t>
            </w:r>
          </w:p>
        </w:tc>
        <w:tc>
          <w:tcPr>
            <w:tcW w:w="1428" w:type="dxa"/>
            <w:vAlign w:val="center"/>
          </w:tcPr>
          <w:p w:rsidR="00B536C4" w:rsidRDefault="00CC45D2">
            <w:pPr>
              <w:jc w:val="right"/>
            </w:pPr>
            <w:r>
              <w:rPr>
                <w:sz w:val="24"/>
              </w:rPr>
              <w:t>906,989.13</w:t>
            </w:r>
          </w:p>
        </w:tc>
        <w:tc>
          <w:tcPr>
            <w:tcW w:w="1603" w:type="dxa"/>
            <w:vAlign w:val="center"/>
          </w:tcPr>
          <w:p w:rsidR="00B536C4" w:rsidRDefault="00CC45D2">
            <w:pPr>
              <w:jc w:val="right"/>
            </w:pPr>
            <w:r>
              <w:rPr>
                <w:sz w:val="24"/>
              </w:rPr>
              <w:t>2.98</w:t>
            </w:r>
          </w:p>
        </w:tc>
      </w:tr>
      <w:tr w:rsidR="00B536C4">
        <w:tc>
          <w:tcPr>
            <w:tcW w:w="539" w:type="dxa"/>
            <w:vAlign w:val="center"/>
          </w:tcPr>
          <w:p w:rsidR="00B536C4" w:rsidRDefault="00CC45D2">
            <w:pPr>
              <w:jc w:val="center"/>
            </w:pPr>
            <w:r>
              <w:rPr>
                <w:sz w:val="24"/>
              </w:rPr>
              <w:t>15</w:t>
            </w:r>
          </w:p>
        </w:tc>
        <w:tc>
          <w:tcPr>
            <w:tcW w:w="4449" w:type="dxa"/>
            <w:vAlign w:val="center"/>
          </w:tcPr>
          <w:p w:rsidR="00B536C4" w:rsidRDefault="00CC45D2">
            <w:pPr>
              <w:jc w:val="center"/>
            </w:pPr>
            <w:r>
              <w:rPr>
                <w:sz w:val="24"/>
              </w:rPr>
              <w:t>Jiangxi Copper Company Limited</w:t>
            </w:r>
          </w:p>
        </w:tc>
        <w:tc>
          <w:tcPr>
            <w:tcW w:w="979" w:type="dxa"/>
            <w:vAlign w:val="center"/>
          </w:tcPr>
          <w:p w:rsidR="00B536C4" w:rsidRDefault="00CC45D2">
            <w:pPr>
              <w:jc w:val="center"/>
            </w:pPr>
            <w:r>
              <w:rPr>
                <w:sz w:val="24"/>
              </w:rPr>
              <w:t>358 HK</w:t>
            </w:r>
          </w:p>
        </w:tc>
        <w:tc>
          <w:tcPr>
            <w:tcW w:w="1428" w:type="dxa"/>
            <w:vAlign w:val="center"/>
          </w:tcPr>
          <w:p w:rsidR="00B536C4" w:rsidRDefault="00CC45D2">
            <w:pPr>
              <w:jc w:val="right"/>
            </w:pPr>
            <w:r>
              <w:rPr>
                <w:sz w:val="24"/>
              </w:rPr>
              <w:t>871,976.64</w:t>
            </w:r>
          </w:p>
        </w:tc>
        <w:tc>
          <w:tcPr>
            <w:tcW w:w="1603" w:type="dxa"/>
            <w:vAlign w:val="center"/>
          </w:tcPr>
          <w:p w:rsidR="00B536C4" w:rsidRDefault="00CC45D2">
            <w:pPr>
              <w:jc w:val="right"/>
            </w:pPr>
            <w:r>
              <w:rPr>
                <w:sz w:val="24"/>
              </w:rPr>
              <w:t>2.86</w:t>
            </w:r>
          </w:p>
        </w:tc>
      </w:tr>
      <w:tr w:rsidR="00B536C4">
        <w:tc>
          <w:tcPr>
            <w:tcW w:w="539" w:type="dxa"/>
            <w:vAlign w:val="center"/>
          </w:tcPr>
          <w:p w:rsidR="00B536C4" w:rsidRDefault="00CC45D2">
            <w:pPr>
              <w:jc w:val="center"/>
            </w:pPr>
            <w:r>
              <w:rPr>
                <w:sz w:val="24"/>
              </w:rPr>
              <w:t>16</w:t>
            </w:r>
          </w:p>
        </w:tc>
        <w:tc>
          <w:tcPr>
            <w:tcW w:w="4449" w:type="dxa"/>
            <w:vAlign w:val="center"/>
          </w:tcPr>
          <w:p w:rsidR="00B536C4" w:rsidRDefault="00CC45D2">
            <w:pPr>
              <w:jc w:val="center"/>
            </w:pPr>
            <w:r>
              <w:rPr>
                <w:sz w:val="24"/>
              </w:rPr>
              <w:t>China Power International Development Limited</w:t>
            </w:r>
          </w:p>
        </w:tc>
        <w:tc>
          <w:tcPr>
            <w:tcW w:w="979" w:type="dxa"/>
            <w:vAlign w:val="center"/>
          </w:tcPr>
          <w:p w:rsidR="00B536C4" w:rsidRDefault="00CC45D2">
            <w:pPr>
              <w:jc w:val="center"/>
            </w:pPr>
            <w:r>
              <w:rPr>
                <w:sz w:val="24"/>
              </w:rPr>
              <w:t>2380 HK</w:t>
            </w:r>
          </w:p>
        </w:tc>
        <w:tc>
          <w:tcPr>
            <w:tcW w:w="1428" w:type="dxa"/>
            <w:vAlign w:val="center"/>
          </w:tcPr>
          <w:p w:rsidR="00B536C4" w:rsidRDefault="00CC45D2">
            <w:pPr>
              <w:jc w:val="right"/>
            </w:pPr>
            <w:r>
              <w:rPr>
                <w:sz w:val="24"/>
              </w:rPr>
              <w:t>871,645.45</w:t>
            </w:r>
          </w:p>
        </w:tc>
        <w:tc>
          <w:tcPr>
            <w:tcW w:w="1603" w:type="dxa"/>
            <w:vAlign w:val="center"/>
          </w:tcPr>
          <w:p w:rsidR="00B536C4" w:rsidRDefault="00CC45D2">
            <w:pPr>
              <w:jc w:val="right"/>
            </w:pPr>
            <w:r>
              <w:rPr>
                <w:sz w:val="24"/>
              </w:rPr>
              <w:t>2.86</w:t>
            </w:r>
          </w:p>
        </w:tc>
      </w:tr>
      <w:tr w:rsidR="00B536C4">
        <w:tc>
          <w:tcPr>
            <w:tcW w:w="539" w:type="dxa"/>
            <w:vAlign w:val="center"/>
          </w:tcPr>
          <w:p w:rsidR="00B536C4" w:rsidRDefault="00CC45D2">
            <w:pPr>
              <w:jc w:val="center"/>
            </w:pPr>
            <w:r>
              <w:rPr>
                <w:sz w:val="24"/>
              </w:rPr>
              <w:t>17</w:t>
            </w:r>
          </w:p>
        </w:tc>
        <w:tc>
          <w:tcPr>
            <w:tcW w:w="4449" w:type="dxa"/>
            <w:vAlign w:val="center"/>
          </w:tcPr>
          <w:p w:rsidR="00B536C4" w:rsidRDefault="00CC45D2">
            <w:pPr>
              <w:jc w:val="center"/>
            </w:pPr>
            <w:r>
              <w:rPr>
                <w:sz w:val="24"/>
              </w:rPr>
              <w:t>China Petroleum &amp; Chemical Corporation</w:t>
            </w:r>
          </w:p>
        </w:tc>
        <w:tc>
          <w:tcPr>
            <w:tcW w:w="979" w:type="dxa"/>
            <w:vAlign w:val="center"/>
          </w:tcPr>
          <w:p w:rsidR="00B536C4" w:rsidRDefault="00CC45D2">
            <w:pPr>
              <w:jc w:val="center"/>
            </w:pPr>
            <w:r>
              <w:rPr>
                <w:sz w:val="24"/>
              </w:rPr>
              <w:t>386 HK</w:t>
            </w:r>
          </w:p>
        </w:tc>
        <w:tc>
          <w:tcPr>
            <w:tcW w:w="1428" w:type="dxa"/>
            <w:vAlign w:val="center"/>
          </w:tcPr>
          <w:p w:rsidR="00B536C4" w:rsidRDefault="00CC45D2">
            <w:pPr>
              <w:jc w:val="right"/>
            </w:pPr>
            <w:r>
              <w:rPr>
                <w:sz w:val="24"/>
              </w:rPr>
              <w:t>835,663.92</w:t>
            </w:r>
          </w:p>
        </w:tc>
        <w:tc>
          <w:tcPr>
            <w:tcW w:w="1603" w:type="dxa"/>
            <w:vAlign w:val="center"/>
          </w:tcPr>
          <w:p w:rsidR="00B536C4" w:rsidRDefault="00CC45D2">
            <w:pPr>
              <w:jc w:val="right"/>
            </w:pPr>
            <w:r>
              <w:rPr>
                <w:sz w:val="24"/>
              </w:rPr>
              <w:t>2.74</w:t>
            </w:r>
          </w:p>
        </w:tc>
      </w:tr>
      <w:tr w:rsidR="00B536C4">
        <w:tc>
          <w:tcPr>
            <w:tcW w:w="539" w:type="dxa"/>
            <w:vAlign w:val="center"/>
          </w:tcPr>
          <w:p w:rsidR="00B536C4" w:rsidRDefault="00CC45D2">
            <w:pPr>
              <w:jc w:val="center"/>
            </w:pPr>
            <w:r>
              <w:rPr>
                <w:sz w:val="24"/>
              </w:rPr>
              <w:lastRenderedPageBreak/>
              <w:t>18</w:t>
            </w:r>
          </w:p>
        </w:tc>
        <w:tc>
          <w:tcPr>
            <w:tcW w:w="4449" w:type="dxa"/>
            <w:vAlign w:val="center"/>
          </w:tcPr>
          <w:p w:rsidR="00B536C4" w:rsidRDefault="00CC45D2">
            <w:pPr>
              <w:jc w:val="center"/>
            </w:pPr>
            <w:r>
              <w:rPr>
                <w:sz w:val="24"/>
              </w:rPr>
              <w:t>Chow Sang Sang Holdings International Limited</w:t>
            </w:r>
          </w:p>
        </w:tc>
        <w:tc>
          <w:tcPr>
            <w:tcW w:w="979" w:type="dxa"/>
            <w:vAlign w:val="center"/>
          </w:tcPr>
          <w:p w:rsidR="00B536C4" w:rsidRDefault="00CC45D2">
            <w:pPr>
              <w:jc w:val="center"/>
            </w:pPr>
            <w:r>
              <w:rPr>
                <w:sz w:val="24"/>
              </w:rPr>
              <w:t>116 HK</w:t>
            </w:r>
          </w:p>
        </w:tc>
        <w:tc>
          <w:tcPr>
            <w:tcW w:w="1428" w:type="dxa"/>
            <w:vAlign w:val="center"/>
          </w:tcPr>
          <w:p w:rsidR="00B536C4" w:rsidRDefault="00CC45D2">
            <w:pPr>
              <w:jc w:val="right"/>
            </w:pPr>
            <w:r>
              <w:rPr>
                <w:sz w:val="24"/>
              </w:rPr>
              <w:t>756,131.20</w:t>
            </w:r>
          </w:p>
        </w:tc>
        <w:tc>
          <w:tcPr>
            <w:tcW w:w="1603" w:type="dxa"/>
            <w:vAlign w:val="center"/>
          </w:tcPr>
          <w:p w:rsidR="00B536C4" w:rsidRDefault="00CC45D2">
            <w:pPr>
              <w:jc w:val="right"/>
            </w:pPr>
            <w:r>
              <w:rPr>
                <w:sz w:val="24"/>
              </w:rPr>
              <w:t>2.48</w:t>
            </w:r>
          </w:p>
        </w:tc>
      </w:tr>
      <w:tr w:rsidR="00B536C4">
        <w:tc>
          <w:tcPr>
            <w:tcW w:w="539" w:type="dxa"/>
            <w:vAlign w:val="center"/>
          </w:tcPr>
          <w:p w:rsidR="00B536C4" w:rsidRDefault="00CC45D2">
            <w:pPr>
              <w:jc w:val="center"/>
            </w:pPr>
            <w:r>
              <w:rPr>
                <w:sz w:val="24"/>
              </w:rPr>
              <w:t>19</w:t>
            </w:r>
          </w:p>
        </w:tc>
        <w:tc>
          <w:tcPr>
            <w:tcW w:w="4449" w:type="dxa"/>
            <w:vAlign w:val="center"/>
          </w:tcPr>
          <w:p w:rsidR="00B536C4" w:rsidRDefault="00CC45D2">
            <w:pPr>
              <w:jc w:val="center"/>
            </w:pPr>
            <w:r>
              <w:rPr>
                <w:sz w:val="24"/>
              </w:rPr>
              <w:t>China State Construction International Holdings Limited</w:t>
            </w:r>
          </w:p>
        </w:tc>
        <w:tc>
          <w:tcPr>
            <w:tcW w:w="979" w:type="dxa"/>
            <w:vAlign w:val="center"/>
          </w:tcPr>
          <w:p w:rsidR="00B536C4" w:rsidRDefault="00CC45D2">
            <w:pPr>
              <w:jc w:val="center"/>
            </w:pPr>
            <w:r>
              <w:rPr>
                <w:sz w:val="24"/>
              </w:rPr>
              <w:t>3311 HK</w:t>
            </w:r>
          </w:p>
        </w:tc>
        <w:tc>
          <w:tcPr>
            <w:tcW w:w="1428" w:type="dxa"/>
            <w:vAlign w:val="center"/>
          </w:tcPr>
          <w:p w:rsidR="00B536C4" w:rsidRDefault="00CC45D2">
            <w:pPr>
              <w:jc w:val="right"/>
            </w:pPr>
            <w:r>
              <w:rPr>
                <w:sz w:val="24"/>
              </w:rPr>
              <w:t>723,984.13</w:t>
            </w:r>
          </w:p>
        </w:tc>
        <w:tc>
          <w:tcPr>
            <w:tcW w:w="1603" w:type="dxa"/>
            <w:vAlign w:val="center"/>
          </w:tcPr>
          <w:p w:rsidR="00B536C4" w:rsidRDefault="00CC45D2">
            <w:pPr>
              <w:jc w:val="right"/>
            </w:pPr>
            <w:r>
              <w:rPr>
                <w:sz w:val="24"/>
              </w:rPr>
              <w:t>2.38</w:t>
            </w:r>
          </w:p>
        </w:tc>
      </w:tr>
      <w:tr w:rsidR="00B536C4">
        <w:tc>
          <w:tcPr>
            <w:tcW w:w="539" w:type="dxa"/>
            <w:vAlign w:val="center"/>
          </w:tcPr>
          <w:p w:rsidR="00B536C4" w:rsidRDefault="00CC45D2">
            <w:pPr>
              <w:jc w:val="center"/>
            </w:pPr>
            <w:r>
              <w:rPr>
                <w:sz w:val="24"/>
              </w:rPr>
              <w:t>20</w:t>
            </w:r>
          </w:p>
        </w:tc>
        <w:tc>
          <w:tcPr>
            <w:tcW w:w="4449" w:type="dxa"/>
            <w:vAlign w:val="center"/>
          </w:tcPr>
          <w:p w:rsidR="00B536C4" w:rsidRDefault="00CC45D2">
            <w:pPr>
              <w:jc w:val="center"/>
            </w:pPr>
            <w:r>
              <w:rPr>
                <w:sz w:val="24"/>
              </w:rPr>
              <w:t>China Resources Land Limited</w:t>
            </w:r>
          </w:p>
        </w:tc>
        <w:tc>
          <w:tcPr>
            <w:tcW w:w="979" w:type="dxa"/>
            <w:vAlign w:val="center"/>
          </w:tcPr>
          <w:p w:rsidR="00B536C4" w:rsidRDefault="00CC45D2">
            <w:pPr>
              <w:jc w:val="center"/>
            </w:pPr>
            <w:r>
              <w:rPr>
                <w:sz w:val="24"/>
              </w:rPr>
              <w:t>1109 HK</w:t>
            </w:r>
          </w:p>
        </w:tc>
        <w:tc>
          <w:tcPr>
            <w:tcW w:w="1428" w:type="dxa"/>
            <w:vAlign w:val="center"/>
          </w:tcPr>
          <w:p w:rsidR="00B536C4" w:rsidRDefault="00CC45D2">
            <w:pPr>
              <w:jc w:val="right"/>
            </w:pPr>
            <w:r>
              <w:rPr>
                <w:sz w:val="24"/>
              </w:rPr>
              <w:t>690,350.41</w:t>
            </w:r>
          </w:p>
        </w:tc>
        <w:tc>
          <w:tcPr>
            <w:tcW w:w="1603" w:type="dxa"/>
            <w:vAlign w:val="center"/>
          </w:tcPr>
          <w:p w:rsidR="00B536C4" w:rsidRDefault="00CC45D2">
            <w:pPr>
              <w:jc w:val="right"/>
            </w:pPr>
            <w:r>
              <w:rPr>
                <w:sz w:val="24"/>
              </w:rPr>
              <w:t>2.27</w:t>
            </w:r>
          </w:p>
        </w:tc>
      </w:tr>
      <w:tr w:rsidR="00B536C4">
        <w:tc>
          <w:tcPr>
            <w:tcW w:w="539" w:type="dxa"/>
            <w:vAlign w:val="center"/>
          </w:tcPr>
          <w:p w:rsidR="00B536C4" w:rsidRDefault="00CC45D2">
            <w:pPr>
              <w:jc w:val="center"/>
            </w:pPr>
            <w:r>
              <w:rPr>
                <w:sz w:val="24"/>
              </w:rPr>
              <w:t>21</w:t>
            </w:r>
          </w:p>
        </w:tc>
        <w:tc>
          <w:tcPr>
            <w:tcW w:w="4449" w:type="dxa"/>
            <w:vAlign w:val="center"/>
          </w:tcPr>
          <w:p w:rsidR="00B536C4" w:rsidRDefault="00CC45D2">
            <w:pPr>
              <w:jc w:val="center"/>
            </w:pPr>
            <w:r>
              <w:rPr>
                <w:sz w:val="24"/>
              </w:rPr>
              <w:t>PetroChina Company Limited</w:t>
            </w:r>
          </w:p>
        </w:tc>
        <w:tc>
          <w:tcPr>
            <w:tcW w:w="979" w:type="dxa"/>
            <w:vAlign w:val="center"/>
          </w:tcPr>
          <w:p w:rsidR="00B536C4" w:rsidRDefault="00CC45D2">
            <w:pPr>
              <w:jc w:val="center"/>
            </w:pPr>
            <w:r>
              <w:rPr>
                <w:sz w:val="24"/>
              </w:rPr>
              <w:t>857 HK</w:t>
            </w:r>
          </w:p>
        </w:tc>
        <w:tc>
          <w:tcPr>
            <w:tcW w:w="1428" w:type="dxa"/>
            <w:vAlign w:val="center"/>
          </w:tcPr>
          <w:p w:rsidR="00B536C4" w:rsidRDefault="00CC45D2">
            <w:pPr>
              <w:jc w:val="right"/>
            </w:pPr>
            <w:r>
              <w:rPr>
                <w:sz w:val="24"/>
              </w:rPr>
              <w:t>612,036.35</w:t>
            </w:r>
          </w:p>
        </w:tc>
        <w:tc>
          <w:tcPr>
            <w:tcW w:w="1603" w:type="dxa"/>
            <w:vAlign w:val="center"/>
          </w:tcPr>
          <w:p w:rsidR="00B536C4" w:rsidRDefault="00CC45D2">
            <w:pPr>
              <w:jc w:val="right"/>
            </w:pPr>
            <w:r>
              <w:rPr>
                <w:sz w:val="24"/>
              </w:rPr>
              <w:t>2.01</w:t>
            </w:r>
          </w:p>
        </w:tc>
      </w:tr>
    </w:tbl>
    <w:p w:rsidR="00B536C4" w:rsidRDefault="00CC45D2">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7B62FA" w:rsidRPr="005D0BD3" w:rsidRDefault="007B62FA" w:rsidP="005D0BD3">
      <w:pPr>
        <w:tabs>
          <w:tab w:val="left" w:pos="426"/>
        </w:tabs>
        <w:spacing w:before="29" w:line="288" w:lineRule="auto"/>
        <w:jc w:val="left"/>
        <w:rPr>
          <w:kern w:val="0"/>
          <w:sz w:val="24"/>
        </w:rPr>
      </w:pPr>
      <w:r w:rsidRPr="005D0BD3">
        <w:rPr>
          <w:kern w:val="0"/>
          <w:sz w:val="24"/>
        </w:rPr>
        <w:t xml:space="preserve">    2</w:t>
      </w:r>
      <w:r w:rsidRPr="005D0BD3">
        <w:rPr>
          <w:kern w:val="0"/>
          <w:sz w:val="24"/>
        </w:rPr>
        <w:t>．此处所用证券代码的类别是当地市场代码。</w:t>
      </w:r>
    </w:p>
    <w:p w:rsidR="007B62FA" w:rsidRPr="00D0372D" w:rsidRDefault="007B62FA" w:rsidP="00417F87">
      <w:pPr>
        <w:spacing w:line="360" w:lineRule="auto"/>
        <w:rPr>
          <w:rFonts w:ascii="宋体" w:hAnsi="宋体"/>
          <w:color w:val="000000"/>
          <w:szCs w:val="21"/>
        </w:rPr>
      </w:pPr>
    </w:p>
    <w:p w:rsidR="007B62FA" w:rsidRPr="001B47BC" w:rsidRDefault="007B62FA" w:rsidP="001B47BC">
      <w:pPr>
        <w:autoSpaceDE w:val="0"/>
        <w:autoSpaceDN w:val="0"/>
        <w:adjustRightInd w:val="0"/>
        <w:snapToGrid w:val="0"/>
        <w:spacing w:before="29" w:line="288" w:lineRule="auto"/>
        <w:jc w:val="left"/>
        <w:rPr>
          <w:b/>
          <w:kern w:val="0"/>
          <w:sz w:val="24"/>
        </w:rPr>
      </w:pPr>
      <w:r w:rsidRPr="001B47BC">
        <w:rPr>
          <w:b/>
          <w:kern w:val="0"/>
          <w:sz w:val="24"/>
        </w:rPr>
        <w:t>8.5.3</w:t>
      </w:r>
      <w:r w:rsidR="002D0B5F" w:rsidRPr="001B47BC">
        <w:rPr>
          <w:rFonts w:hint="eastAsia"/>
          <w:b/>
          <w:kern w:val="0"/>
          <w:sz w:val="24"/>
        </w:rPr>
        <w:t xml:space="preserve"> </w:t>
      </w:r>
      <w:r w:rsidRPr="001B47BC">
        <w:rPr>
          <w:rFonts w:hint="eastAsia"/>
          <w:b/>
          <w:kern w:val="0"/>
          <w:sz w:val="24"/>
        </w:rPr>
        <w:t>权益投资的买入成本总额及卖出收入总额</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7B62FA" w:rsidRPr="00D0372D" w:rsidTr="00C8752B">
        <w:trPr>
          <w:trHeight w:val="285"/>
        </w:trPr>
        <w:tc>
          <w:tcPr>
            <w:tcW w:w="3727" w:type="dxa"/>
            <w:vAlign w:val="center"/>
          </w:tcPr>
          <w:p w:rsidR="007B62FA" w:rsidRPr="001B47BC" w:rsidRDefault="007B62FA" w:rsidP="001B47BC">
            <w:pPr>
              <w:spacing w:before="29" w:line="288" w:lineRule="auto"/>
              <w:rPr>
                <w:color w:val="000000"/>
                <w:sz w:val="24"/>
              </w:rPr>
            </w:pPr>
            <w:r w:rsidRPr="001B47BC">
              <w:rPr>
                <w:rFonts w:hint="eastAsia"/>
                <w:color w:val="000000"/>
                <w:sz w:val="24"/>
              </w:rPr>
              <w:t>买入成本（成交）总额</w:t>
            </w:r>
          </w:p>
        </w:tc>
        <w:tc>
          <w:tcPr>
            <w:tcW w:w="5629" w:type="dxa"/>
            <w:vAlign w:val="center"/>
          </w:tcPr>
          <w:p w:rsidR="007B62FA" w:rsidRPr="001B47BC" w:rsidRDefault="007B62FA" w:rsidP="001B47BC">
            <w:pPr>
              <w:spacing w:before="29" w:line="288" w:lineRule="auto"/>
              <w:jc w:val="right"/>
              <w:rPr>
                <w:sz w:val="24"/>
              </w:rPr>
            </w:pPr>
            <w:r w:rsidRPr="001B47BC">
              <w:rPr>
                <w:sz w:val="24"/>
              </w:rPr>
              <w:t>40,320,835.62</w:t>
            </w:r>
          </w:p>
        </w:tc>
      </w:tr>
      <w:tr w:rsidR="007B62FA" w:rsidRPr="00D0372D" w:rsidTr="00C8752B">
        <w:trPr>
          <w:trHeight w:val="285"/>
        </w:trPr>
        <w:tc>
          <w:tcPr>
            <w:tcW w:w="3727" w:type="dxa"/>
            <w:vAlign w:val="center"/>
          </w:tcPr>
          <w:p w:rsidR="007B62FA" w:rsidRPr="001B47BC" w:rsidRDefault="007B62FA" w:rsidP="001B47BC">
            <w:pPr>
              <w:spacing w:before="29" w:line="288" w:lineRule="auto"/>
              <w:rPr>
                <w:color w:val="000000"/>
                <w:sz w:val="24"/>
              </w:rPr>
            </w:pPr>
            <w:r w:rsidRPr="001B47BC">
              <w:rPr>
                <w:rFonts w:hint="eastAsia"/>
                <w:color w:val="000000"/>
                <w:sz w:val="24"/>
              </w:rPr>
              <w:t>卖出收入（成交）总额</w:t>
            </w:r>
          </w:p>
        </w:tc>
        <w:tc>
          <w:tcPr>
            <w:tcW w:w="5629" w:type="dxa"/>
            <w:vAlign w:val="center"/>
          </w:tcPr>
          <w:p w:rsidR="007B62FA" w:rsidRPr="001B47BC" w:rsidRDefault="007B62FA" w:rsidP="001B47BC">
            <w:pPr>
              <w:spacing w:before="29" w:line="288" w:lineRule="auto"/>
              <w:jc w:val="right"/>
              <w:rPr>
                <w:sz w:val="24"/>
              </w:rPr>
            </w:pPr>
            <w:r w:rsidRPr="001B47BC">
              <w:rPr>
                <w:sz w:val="24"/>
              </w:rPr>
              <w:t>37,350,595.73</w:t>
            </w:r>
          </w:p>
        </w:tc>
      </w:tr>
    </w:tbl>
    <w:p w:rsidR="007B62FA" w:rsidRPr="001B47BC" w:rsidRDefault="007B62FA" w:rsidP="001B47BC">
      <w:pPr>
        <w:tabs>
          <w:tab w:val="left" w:pos="426"/>
        </w:tabs>
        <w:spacing w:before="29" w:line="288" w:lineRule="auto"/>
        <w:jc w:val="left"/>
        <w:rPr>
          <w:kern w:val="0"/>
          <w:sz w:val="24"/>
        </w:rPr>
      </w:pPr>
      <w:r w:rsidRPr="001B47BC">
        <w:rPr>
          <w:kern w:val="0"/>
          <w:sz w:val="24"/>
        </w:rPr>
        <w:t>注：</w:t>
      </w:r>
      <w:r w:rsidRPr="001B47BC">
        <w:rPr>
          <w:kern w:val="0"/>
          <w:sz w:val="24"/>
        </w:rPr>
        <w:t>“</w:t>
      </w:r>
      <w:r w:rsidRPr="001B47BC">
        <w:rPr>
          <w:kern w:val="0"/>
          <w:sz w:val="24"/>
        </w:rPr>
        <w:t>买入成本</w:t>
      </w:r>
      <w:r w:rsidRPr="001B47BC">
        <w:rPr>
          <w:kern w:val="0"/>
          <w:sz w:val="24"/>
        </w:rPr>
        <w:t>”</w:t>
      </w:r>
      <w:r w:rsidRPr="001B47BC">
        <w:rPr>
          <w:kern w:val="0"/>
          <w:sz w:val="24"/>
        </w:rPr>
        <w:t>或</w:t>
      </w:r>
      <w:r w:rsidRPr="001B47BC">
        <w:rPr>
          <w:kern w:val="0"/>
          <w:sz w:val="24"/>
        </w:rPr>
        <w:t>“</w:t>
      </w:r>
      <w:r w:rsidRPr="001B47BC">
        <w:rPr>
          <w:kern w:val="0"/>
          <w:sz w:val="24"/>
        </w:rPr>
        <w:t>卖出收入</w:t>
      </w:r>
      <w:r w:rsidRPr="001B47BC">
        <w:rPr>
          <w:kern w:val="0"/>
          <w:sz w:val="24"/>
        </w:rPr>
        <w:t>”</w:t>
      </w:r>
      <w:r w:rsidRPr="001B47BC">
        <w:rPr>
          <w:kern w:val="0"/>
          <w:sz w:val="24"/>
        </w:rPr>
        <w:t>均按买卖成交金额（成交单价乘以成交数量）填列，不考虑相关交易费用。</w:t>
      </w:r>
    </w:p>
    <w:p w:rsidR="007B62FA" w:rsidRPr="00D0372D" w:rsidRDefault="007B62FA" w:rsidP="00417F87">
      <w:pPr>
        <w:spacing w:line="360" w:lineRule="auto"/>
        <w:rPr>
          <w:rFonts w:ascii="宋体" w:hAnsi="宋体"/>
          <w:color w:val="000000"/>
          <w:szCs w:val="21"/>
        </w:rPr>
      </w:pPr>
    </w:p>
    <w:p w:rsidR="007B62FA" w:rsidRPr="00BE1A2B" w:rsidRDefault="007B62FA" w:rsidP="00BE1A2B">
      <w:pPr>
        <w:pStyle w:val="20"/>
        <w:spacing w:before="29" w:after="0" w:line="288" w:lineRule="auto"/>
        <w:rPr>
          <w:rFonts w:ascii="Times New Roman" w:hAnsi="Times New Roman"/>
          <w:kern w:val="0"/>
          <w:szCs w:val="24"/>
        </w:rPr>
      </w:pPr>
      <w:bookmarkStart w:id="337" w:name="_Toc224618381"/>
      <w:bookmarkStart w:id="338" w:name="_Toc248233028"/>
      <w:bookmarkStart w:id="339" w:name="_Toc249790560"/>
      <w:bookmarkStart w:id="340" w:name="_Toc286929761"/>
      <w:bookmarkStart w:id="341" w:name="_Toc352256000"/>
      <w:bookmarkStart w:id="342" w:name="_Toc352256068"/>
      <w:bookmarkStart w:id="343" w:name="_Toc352331246"/>
      <w:bookmarkStart w:id="344" w:name="_Toc362424024"/>
      <w:bookmarkStart w:id="345" w:name="_Toc478411448"/>
      <w:r w:rsidRPr="00BE1A2B">
        <w:rPr>
          <w:rFonts w:ascii="Times New Roman" w:hAnsi="Times New Roman"/>
          <w:kern w:val="0"/>
          <w:szCs w:val="24"/>
        </w:rPr>
        <w:t>8.6</w:t>
      </w:r>
      <w:r w:rsidR="000F515E" w:rsidRPr="00BE1A2B">
        <w:rPr>
          <w:rFonts w:ascii="Times New Roman" w:hAnsi="Times New Roman" w:hint="eastAsia"/>
          <w:kern w:val="0"/>
          <w:szCs w:val="24"/>
        </w:rPr>
        <w:t xml:space="preserve"> </w:t>
      </w:r>
      <w:r w:rsidRPr="00BE1A2B">
        <w:rPr>
          <w:rFonts w:ascii="Times New Roman" w:hAnsi="Times New Roman" w:hint="eastAsia"/>
          <w:kern w:val="0"/>
          <w:szCs w:val="24"/>
        </w:rPr>
        <w:t>期末按债券信用等级分类的债券投资组合</w:t>
      </w:r>
      <w:bookmarkEnd w:id="337"/>
      <w:bookmarkEnd w:id="338"/>
      <w:bookmarkEnd w:id="339"/>
      <w:bookmarkEnd w:id="340"/>
      <w:bookmarkEnd w:id="341"/>
      <w:bookmarkEnd w:id="342"/>
      <w:bookmarkEnd w:id="343"/>
      <w:bookmarkEnd w:id="344"/>
      <w:bookmarkEnd w:id="345"/>
    </w:p>
    <w:p w:rsidR="007B62FA" w:rsidRPr="00922042" w:rsidRDefault="007B62FA" w:rsidP="00922042">
      <w:pPr>
        <w:tabs>
          <w:tab w:val="left" w:pos="426"/>
        </w:tabs>
        <w:spacing w:before="29" w:line="288" w:lineRule="auto"/>
        <w:jc w:val="left"/>
        <w:rPr>
          <w:kern w:val="0"/>
          <w:sz w:val="24"/>
        </w:rPr>
      </w:pPr>
      <w:r w:rsidRPr="00856D61">
        <w:rPr>
          <w:kern w:val="0"/>
          <w:sz w:val="24"/>
        </w:rPr>
        <w:t>本基金本报告期末未持有债券。</w:t>
      </w:r>
      <w:r w:rsidR="00922042">
        <w:rPr>
          <w:rFonts w:hint="eastAsia"/>
          <w:kern w:val="0"/>
          <w:sz w:val="24"/>
        </w:rPr>
        <w:br/>
      </w:r>
    </w:p>
    <w:p w:rsidR="007B62FA" w:rsidRPr="00724676" w:rsidRDefault="007B62FA" w:rsidP="00724676">
      <w:pPr>
        <w:pStyle w:val="20"/>
        <w:spacing w:before="29" w:after="0" w:line="288" w:lineRule="auto"/>
        <w:rPr>
          <w:rFonts w:ascii="Times New Roman" w:hAnsi="Times New Roman"/>
          <w:kern w:val="0"/>
          <w:szCs w:val="24"/>
        </w:rPr>
      </w:pPr>
      <w:bookmarkStart w:id="346" w:name="_Toc224618382"/>
      <w:bookmarkStart w:id="347" w:name="_Toc248233029"/>
      <w:bookmarkStart w:id="348" w:name="_Toc249790561"/>
      <w:bookmarkStart w:id="349" w:name="_Toc286929762"/>
      <w:bookmarkStart w:id="350" w:name="_Toc352256001"/>
      <w:bookmarkStart w:id="351" w:name="_Toc352256069"/>
      <w:bookmarkStart w:id="352" w:name="_Toc352331247"/>
      <w:bookmarkStart w:id="353" w:name="_Toc362424025"/>
      <w:bookmarkStart w:id="354" w:name="_Toc478411449"/>
      <w:r w:rsidRPr="00724676">
        <w:rPr>
          <w:rFonts w:ascii="Times New Roman" w:hAnsi="Times New Roman"/>
          <w:kern w:val="0"/>
          <w:szCs w:val="24"/>
        </w:rPr>
        <w:t>8.7</w:t>
      </w:r>
      <w:r w:rsidRPr="00724676">
        <w:rPr>
          <w:rFonts w:ascii="Times New Roman" w:hAnsi="Times New Roman" w:hint="eastAsia"/>
          <w:kern w:val="0"/>
          <w:szCs w:val="24"/>
        </w:rPr>
        <w:t>期末按公允价值占基金资产净值比例大小排</w:t>
      </w:r>
      <w:r w:rsidR="00724676" w:rsidRPr="00724676">
        <w:rPr>
          <w:rFonts w:ascii="Times New Roman" w:hAnsi="Times New Roman" w:hint="eastAsia"/>
          <w:kern w:val="0"/>
          <w:szCs w:val="24"/>
        </w:rPr>
        <w:t>序</w:t>
      </w:r>
      <w:r w:rsidRPr="00724676">
        <w:rPr>
          <w:rFonts w:ascii="Times New Roman" w:hAnsi="Times New Roman" w:hint="eastAsia"/>
          <w:kern w:val="0"/>
          <w:szCs w:val="24"/>
        </w:rPr>
        <w:t>的前五名债券投资明细</w:t>
      </w:r>
      <w:bookmarkEnd w:id="346"/>
      <w:bookmarkEnd w:id="347"/>
      <w:bookmarkEnd w:id="348"/>
      <w:bookmarkEnd w:id="349"/>
      <w:bookmarkEnd w:id="350"/>
      <w:bookmarkEnd w:id="351"/>
      <w:bookmarkEnd w:id="352"/>
      <w:bookmarkEnd w:id="353"/>
      <w:bookmarkEnd w:id="354"/>
    </w:p>
    <w:p w:rsidR="007B62FA" w:rsidRPr="00892E02" w:rsidRDefault="007B62FA" w:rsidP="00892E02">
      <w:pPr>
        <w:tabs>
          <w:tab w:val="left" w:pos="426"/>
        </w:tabs>
        <w:spacing w:before="29" w:line="288" w:lineRule="auto"/>
        <w:jc w:val="left"/>
        <w:rPr>
          <w:kern w:val="0"/>
          <w:sz w:val="24"/>
        </w:rPr>
      </w:pPr>
      <w:r w:rsidRPr="00856D61">
        <w:rPr>
          <w:kern w:val="0"/>
          <w:sz w:val="24"/>
        </w:rPr>
        <w:t>本基金本报告期末未持有债券。</w:t>
      </w:r>
      <w:r w:rsidR="00892E02">
        <w:rPr>
          <w:rFonts w:hint="eastAsia"/>
          <w:kern w:val="0"/>
          <w:sz w:val="24"/>
        </w:rPr>
        <w:br/>
      </w:r>
    </w:p>
    <w:p w:rsidR="007B62FA" w:rsidRPr="00856D61" w:rsidRDefault="007B62FA" w:rsidP="00856D61">
      <w:pPr>
        <w:pStyle w:val="20"/>
        <w:spacing w:before="29" w:after="0" w:line="288" w:lineRule="auto"/>
        <w:rPr>
          <w:rFonts w:ascii="Times New Roman" w:hAnsi="Times New Roman"/>
          <w:kern w:val="0"/>
          <w:szCs w:val="24"/>
        </w:rPr>
      </w:pPr>
      <w:bookmarkStart w:id="355" w:name="_Toc224618383"/>
      <w:bookmarkStart w:id="356" w:name="_Toc248233030"/>
      <w:bookmarkStart w:id="357" w:name="_Toc249790562"/>
      <w:bookmarkStart w:id="358" w:name="_Toc286929763"/>
      <w:bookmarkStart w:id="359" w:name="_Toc352256002"/>
      <w:bookmarkStart w:id="360" w:name="_Toc352256070"/>
      <w:bookmarkStart w:id="361" w:name="_Toc352331248"/>
      <w:bookmarkStart w:id="362" w:name="_Toc362424026"/>
      <w:bookmarkStart w:id="363" w:name="_Toc478411450"/>
      <w:r w:rsidRPr="00856D61">
        <w:rPr>
          <w:rFonts w:ascii="Times New Roman" w:hAnsi="Times New Roman"/>
          <w:kern w:val="0"/>
          <w:szCs w:val="24"/>
        </w:rPr>
        <w:t>8.8</w:t>
      </w:r>
      <w:r w:rsidR="000F515E" w:rsidRPr="00856D61">
        <w:rPr>
          <w:rFonts w:ascii="Times New Roman" w:hAnsi="Times New Roman" w:hint="eastAsia"/>
          <w:kern w:val="0"/>
          <w:szCs w:val="24"/>
        </w:rPr>
        <w:t xml:space="preserve"> </w:t>
      </w:r>
      <w:r w:rsidRPr="00856D61">
        <w:rPr>
          <w:rFonts w:ascii="Times New Roman" w:hAnsi="Times New Roman" w:hint="eastAsia"/>
          <w:kern w:val="0"/>
          <w:szCs w:val="24"/>
        </w:rPr>
        <w:t>期末按公允价值占基金资产净值比例大小排</w:t>
      </w:r>
      <w:r w:rsidR="00724676">
        <w:rPr>
          <w:rFonts w:ascii="Times New Roman" w:hAnsi="Times New Roman" w:hint="eastAsia"/>
          <w:kern w:val="0"/>
          <w:szCs w:val="24"/>
        </w:rPr>
        <w:t>序</w:t>
      </w:r>
      <w:r w:rsidRPr="00856D61">
        <w:rPr>
          <w:rFonts w:ascii="Times New Roman" w:hAnsi="Times New Roman" w:hint="eastAsia"/>
          <w:kern w:val="0"/>
          <w:szCs w:val="24"/>
        </w:rPr>
        <w:t>的所有资产支持证券投资明细</w:t>
      </w:r>
      <w:bookmarkEnd w:id="355"/>
      <w:bookmarkEnd w:id="356"/>
      <w:bookmarkEnd w:id="357"/>
      <w:bookmarkEnd w:id="358"/>
      <w:bookmarkEnd w:id="359"/>
      <w:bookmarkEnd w:id="360"/>
      <w:bookmarkEnd w:id="361"/>
      <w:bookmarkEnd w:id="362"/>
      <w:bookmarkEnd w:id="363"/>
    </w:p>
    <w:p w:rsidR="0006629D" w:rsidRDefault="0006629D" w:rsidP="0006629D">
      <w:pPr>
        <w:tabs>
          <w:tab w:val="left" w:pos="426"/>
        </w:tabs>
        <w:spacing w:before="29" w:line="288" w:lineRule="auto"/>
        <w:jc w:val="left"/>
        <w:rPr>
          <w:kern w:val="0"/>
          <w:sz w:val="24"/>
        </w:rPr>
      </w:pPr>
      <w:r w:rsidRPr="00D754A9">
        <w:rPr>
          <w:kern w:val="0"/>
          <w:sz w:val="24"/>
        </w:rPr>
        <w:t>本基金本报告期末未持有资产支持证券。</w:t>
      </w:r>
    </w:p>
    <w:p w:rsidR="007B62FA" w:rsidRPr="0006629D"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64" w:name="_Toc224618384"/>
      <w:bookmarkStart w:id="365" w:name="_Toc248233031"/>
      <w:bookmarkStart w:id="366" w:name="_Toc249790563"/>
      <w:bookmarkStart w:id="367" w:name="_Toc286929764"/>
      <w:bookmarkStart w:id="368" w:name="_Toc352256003"/>
      <w:bookmarkStart w:id="369" w:name="_Toc352256071"/>
      <w:bookmarkStart w:id="370" w:name="_Toc352331249"/>
      <w:bookmarkStart w:id="371" w:name="_Toc362424027"/>
      <w:bookmarkStart w:id="372" w:name="_Toc478411451"/>
      <w:r w:rsidRPr="00F92331">
        <w:rPr>
          <w:rFonts w:ascii="Times New Roman" w:hAnsi="Times New Roman"/>
          <w:kern w:val="0"/>
          <w:szCs w:val="24"/>
        </w:rPr>
        <w:t>8.9</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期末按公允价值占基金资产净值比例大小排</w:t>
      </w:r>
      <w:r w:rsidR="00724676">
        <w:rPr>
          <w:rFonts w:ascii="Times New Roman" w:hAnsi="Times New Roman" w:hint="eastAsia"/>
          <w:kern w:val="0"/>
          <w:szCs w:val="24"/>
        </w:rPr>
        <w:t>序</w:t>
      </w:r>
      <w:r w:rsidRPr="00F92331">
        <w:rPr>
          <w:rFonts w:ascii="Times New Roman" w:hAnsi="Times New Roman" w:hint="eastAsia"/>
          <w:kern w:val="0"/>
          <w:szCs w:val="24"/>
        </w:rPr>
        <w:t>的前五名金融衍生</w:t>
      </w:r>
      <w:proofErr w:type="gramStart"/>
      <w:r w:rsidRPr="00F92331">
        <w:rPr>
          <w:rFonts w:ascii="Times New Roman" w:hAnsi="Times New Roman" w:hint="eastAsia"/>
          <w:kern w:val="0"/>
          <w:szCs w:val="24"/>
        </w:rPr>
        <w:t>品投资</w:t>
      </w:r>
      <w:proofErr w:type="gramEnd"/>
      <w:r w:rsidRPr="00F92331">
        <w:rPr>
          <w:rFonts w:ascii="Times New Roman" w:hAnsi="Times New Roman" w:hint="eastAsia"/>
          <w:kern w:val="0"/>
          <w:szCs w:val="24"/>
        </w:rPr>
        <w:t>明细</w:t>
      </w:r>
      <w:bookmarkEnd w:id="364"/>
      <w:bookmarkEnd w:id="365"/>
      <w:bookmarkEnd w:id="366"/>
      <w:bookmarkEnd w:id="367"/>
      <w:bookmarkEnd w:id="368"/>
      <w:bookmarkEnd w:id="369"/>
      <w:bookmarkEnd w:id="370"/>
      <w:bookmarkEnd w:id="371"/>
      <w:bookmarkEnd w:id="372"/>
    </w:p>
    <w:p w:rsidR="007B62FA" w:rsidRDefault="007B62FA" w:rsidP="00856D61">
      <w:pPr>
        <w:tabs>
          <w:tab w:val="left" w:pos="426"/>
        </w:tabs>
        <w:spacing w:before="29" w:line="288" w:lineRule="auto"/>
        <w:jc w:val="left"/>
        <w:rPr>
          <w:kern w:val="0"/>
          <w:sz w:val="24"/>
        </w:rPr>
      </w:pPr>
      <w:r w:rsidRPr="00856D61">
        <w:rPr>
          <w:kern w:val="0"/>
          <w:sz w:val="24"/>
        </w:rPr>
        <w:t>本基金本报告期末未持有金融衍生品。</w:t>
      </w:r>
    </w:p>
    <w:p w:rsidR="0002398A" w:rsidRPr="00856D61" w:rsidRDefault="0002398A" w:rsidP="00856D61">
      <w:pPr>
        <w:tabs>
          <w:tab w:val="left" w:pos="426"/>
        </w:tabs>
        <w:spacing w:before="29" w:line="288" w:lineRule="auto"/>
        <w:jc w:val="left"/>
        <w:rPr>
          <w:kern w:val="0"/>
          <w:sz w:val="24"/>
        </w:rPr>
      </w:pPr>
    </w:p>
    <w:p w:rsidR="007B62FA" w:rsidRPr="00F92331" w:rsidRDefault="007B62FA" w:rsidP="00F92331">
      <w:pPr>
        <w:pStyle w:val="20"/>
        <w:spacing w:before="29" w:after="0" w:line="288" w:lineRule="auto"/>
        <w:rPr>
          <w:rFonts w:ascii="Times New Roman" w:hAnsi="Times New Roman"/>
          <w:kern w:val="0"/>
          <w:szCs w:val="24"/>
        </w:rPr>
      </w:pPr>
      <w:bookmarkStart w:id="373" w:name="_Toc248233032"/>
      <w:bookmarkStart w:id="374" w:name="_Toc249790564"/>
      <w:bookmarkStart w:id="375" w:name="_Toc286929765"/>
      <w:bookmarkStart w:id="376" w:name="_Toc352256004"/>
      <w:bookmarkStart w:id="377" w:name="_Toc352256072"/>
      <w:bookmarkStart w:id="378" w:name="_Toc352331250"/>
      <w:bookmarkStart w:id="379" w:name="_Toc362424028"/>
      <w:bookmarkStart w:id="380" w:name="_Toc478411452"/>
      <w:r w:rsidRPr="00F92331">
        <w:rPr>
          <w:rFonts w:ascii="Times New Roman" w:hAnsi="Times New Roman"/>
          <w:kern w:val="0"/>
          <w:szCs w:val="24"/>
        </w:rPr>
        <w:t>8.10</w:t>
      </w:r>
      <w:bookmarkStart w:id="381" w:name="_Toc224618385"/>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期末按公允价值占基金资产净值比例大小排序的前十名基金投资明细</w:t>
      </w:r>
      <w:bookmarkEnd w:id="373"/>
      <w:bookmarkEnd w:id="374"/>
      <w:bookmarkEnd w:id="375"/>
      <w:bookmarkEnd w:id="376"/>
      <w:bookmarkEnd w:id="377"/>
      <w:bookmarkEnd w:id="378"/>
      <w:bookmarkEnd w:id="379"/>
      <w:bookmarkEnd w:id="380"/>
      <w:bookmarkEnd w:id="381"/>
    </w:p>
    <w:p w:rsidR="007B62FA" w:rsidRDefault="007B62FA" w:rsidP="00856D61">
      <w:pPr>
        <w:tabs>
          <w:tab w:val="left" w:pos="426"/>
        </w:tabs>
        <w:spacing w:before="29" w:line="288" w:lineRule="auto"/>
        <w:jc w:val="left"/>
        <w:rPr>
          <w:kern w:val="0"/>
          <w:sz w:val="24"/>
        </w:rPr>
      </w:pPr>
      <w:r w:rsidRPr="00856D61">
        <w:rPr>
          <w:kern w:val="0"/>
          <w:sz w:val="24"/>
        </w:rPr>
        <w:t>本基金本报告期末未持有基金。</w:t>
      </w:r>
    </w:p>
    <w:p w:rsidR="0002398A" w:rsidRPr="00856D61" w:rsidRDefault="0002398A" w:rsidP="00856D61">
      <w:pPr>
        <w:tabs>
          <w:tab w:val="left" w:pos="426"/>
        </w:tabs>
        <w:spacing w:before="29" w:line="288" w:lineRule="auto"/>
        <w:jc w:val="left"/>
        <w:rPr>
          <w:kern w:val="0"/>
          <w:sz w:val="24"/>
        </w:rPr>
      </w:pPr>
    </w:p>
    <w:p w:rsidR="007B62FA" w:rsidRPr="00F92331" w:rsidRDefault="007B62FA" w:rsidP="00F92331">
      <w:pPr>
        <w:pStyle w:val="20"/>
        <w:spacing w:before="29" w:after="0" w:line="288" w:lineRule="auto"/>
        <w:rPr>
          <w:rFonts w:ascii="Times New Roman" w:hAnsi="Times New Roman"/>
          <w:kern w:val="0"/>
          <w:szCs w:val="24"/>
        </w:rPr>
      </w:pPr>
      <w:bookmarkStart w:id="382" w:name="_Toc224618386"/>
      <w:bookmarkStart w:id="383" w:name="_Toc248233033"/>
      <w:bookmarkStart w:id="384" w:name="_Toc249790565"/>
      <w:bookmarkStart w:id="385" w:name="_Toc286929766"/>
      <w:bookmarkStart w:id="386" w:name="_Toc352256005"/>
      <w:bookmarkStart w:id="387" w:name="_Toc352256073"/>
      <w:bookmarkStart w:id="388" w:name="_Toc352331251"/>
      <w:bookmarkStart w:id="389" w:name="_Toc362424029"/>
      <w:bookmarkStart w:id="390" w:name="_Toc478411453"/>
      <w:r w:rsidRPr="00F92331">
        <w:rPr>
          <w:rFonts w:ascii="Times New Roman" w:hAnsi="Times New Roman"/>
          <w:kern w:val="0"/>
          <w:szCs w:val="24"/>
        </w:rPr>
        <w:t>8.11</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投资组合报告附注</w:t>
      </w:r>
      <w:bookmarkEnd w:id="382"/>
      <w:bookmarkEnd w:id="383"/>
      <w:bookmarkEnd w:id="384"/>
      <w:bookmarkEnd w:id="385"/>
      <w:bookmarkEnd w:id="386"/>
      <w:bookmarkEnd w:id="387"/>
      <w:bookmarkEnd w:id="388"/>
      <w:bookmarkEnd w:id="389"/>
      <w:bookmarkEnd w:id="390"/>
    </w:p>
    <w:p w:rsidR="007B62FA" w:rsidRDefault="007B62FA" w:rsidP="00B30F3C">
      <w:pPr>
        <w:widowControl/>
        <w:spacing w:before="29" w:line="288" w:lineRule="auto"/>
        <w:rPr>
          <w:kern w:val="0"/>
          <w:sz w:val="24"/>
        </w:rPr>
      </w:pPr>
      <w:r w:rsidRPr="00852B60">
        <w:rPr>
          <w:b/>
          <w:kern w:val="0"/>
          <w:sz w:val="24"/>
        </w:rPr>
        <w:t>8.11.1</w:t>
      </w:r>
      <w:r w:rsidRPr="00B30F3C">
        <w:rPr>
          <w:kern w:val="0"/>
          <w:sz w:val="24"/>
        </w:rPr>
        <w:t>报告期内本基金投资的前十名证券的发行主体未被监管部门立案调查，在本报告编制日前一年内本基金投资的前十名证券的发行主体未受到公开谴责和处罚。</w:t>
      </w:r>
    </w:p>
    <w:p w:rsidR="00D826E9" w:rsidRPr="00D0372D" w:rsidRDefault="00D826E9" w:rsidP="00B30F3C">
      <w:pPr>
        <w:widowControl/>
        <w:spacing w:before="29" w:line="288" w:lineRule="auto"/>
        <w:rPr>
          <w:rFonts w:ascii="宋体" w:hAnsi="宋体"/>
          <w:b/>
          <w:color w:val="000000"/>
          <w:szCs w:val="21"/>
        </w:rPr>
      </w:pPr>
    </w:p>
    <w:p w:rsidR="007B62FA" w:rsidRDefault="007B62FA" w:rsidP="004C3E5A">
      <w:pPr>
        <w:widowControl/>
        <w:spacing w:before="29" w:line="288" w:lineRule="auto"/>
        <w:rPr>
          <w:kern w:val="0"/>
          <w:sz w:val="24"/>
        </w:rPr>
      </w:pPr>
      <w:r w:rsidRPr="00852B60">
        <w:rPr>
          <w:b/>
          <w:kern w:val="0"/>
          <w:sz w:val="24"/>
        </w:rPr>
        <w:lastRenderedPageBreak/>
        <w:t>8.11.2</w:t>
      </w:r>
      <w:r w:rsidRPr="00B30F3C">
        <w:rPr>
          <w:kern w:val="0"/>
          <w:sz w:val="24"/>
        </w:rPr>
        <w:t>本基金投资的前十名股票中，没有超出基金合同规定的备选股票库之外的股票。</w:t>
      </w:r>
    </w:p>
    <w:p w:rsidR="00D826E9" w:rsidRPr="00F92331" w:rsidRDefault="00D826E9" w:rsidP="004C3E5A">
      <w:pPr>
        <w:widowControl/>
        <w:spacing w:before="29" w:line="288" w:lineRule="auto"/>
        <w:rPr>
          <w:kern w:val="0"/>
        </w:rPr>
      </w:pPr>
    </w:p>
    <w:p w:rsidR="007B62FA" w:rsidRPr="00F92331" w:rsidRDefault="007B62FA" w:rsidP="00F92331">
      <w:pPr>
        <w:pStyle w:val="20"/>
        <w:spacing w:before="29" w:after="0" w:line="288" w:lineRule="auto"/>
        <w:rPr>
          <w:rFonts w:ascii="Times New Roman" w:hAnsi="Times New Roman"/>
          <w:kern w:val="0"/>
          <w:szCs w:val="24"/>
        </w:rPr>
      </w:pPr>
      <w:bookmarkStart w:id="391" w:name="_Toc478410279"/>
      <w:bookmarkStart w:id="392" w:name="_Toc478411454"/>
      <w:r w:rsidRPr="00F92331">
        <w:rPr>
          <w:rFonts w:ascii="Times New Roman" w:hAnsi="Times New Roman"/>
          <w:kern w:val="0"/>
          <w:szCs w:val="24"/>
        </w:rPr>
        <w:t>8.11.3</w:t>
      </w:r>
      <w:r w:rsidR="00430272" w:rsidRPr="00F92331">
        <w:rPr>
          <w:rFonts w:ascii="Times New Roman" w:hAnsi="Times New Roman" w:hint="eastAsia"/>
          <w:kern w:val="0"/>
          <w:szCs w:val="24"/>
        </w:rPr>
        <w:t xml:space="preserve"> </w:t>
      </w:r>
      <w:r w:rsidR="004F76F0" w:rsidRPr="00F92331">
        <w:rPr>
          <w:rFonts w:ascii="Times New Roman" w:hAnsi="Times New Roman" w:hint="eastAsia"/>
          <w:kern w:val="0"/>
          <w:szCs w:val="24"/>
        </w:rPr>
        <w:t>期末</w:t>
      </w:r>
      <w:r w:rsidRPr="00F92331">
        <w:rPr>
          <w:rFonts w:ascii="Times New Roman" w:hAnsi="Times New Roman" w:hint="eastAsia"/>
          <w:kern w:val="0"/>
          <w:szCs w:val="24"/>
        </w:rPr>
        <w:t>其他各项资产构成</w:t>
      </w:r>
      <w:bookmarkEnd w:id="391"/>
      <w:bookmarkEnd w:id="392"/>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7B62FA" w:rsidRPr="00D0372D" w:rsidTr="009D7DB4">
        <w:trPr>
          <w:trHeight w:val="285"/>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rFonts w:hint="eastAsia"/>
                <w:color w:val="000000"/>
                <w:sz w:val="24"/>
              </w:rPr>
              <w:t>序号</w:t>
            </w:r>
          </w:p>
        </w:tc>
        <w:tc>
          <w:tcPr>
            <w:tcW w:w="4431" w:type="dxa"/>
            <w:vAlign w:val="center"/>
          </w:tcPr>
          <w:p w:rsidR="007B62FA" w:rsidRPr="00B30F3C" w:rsidRDefault="007B62FA" w:rsidP="00B30F3C">
            <w:pPr>
              <w:spacing w:before="29" w:line="288" w:lineRule="auto"/>
              <w:jc w:val="center"/>
              <w:rPr>
                <w:color w:val="000000"/>
                <w:sz w:val="24"/>
              </w:rPr>
            </w:pPr>
            <w:r w:rsidRPr="00B30F3C">
              <w:rPr>
                <w:rFonts w:hint="eastAsia"/>
                <w:color w:val="000000"/>
                <w:sz w:val="24"/>
              </w:rPr>
              <w:t>名称</w:t>
            </w:r>
          </w:p>
        </w:tc>
        <w:tc>
          <w:tcPr>
            <w:tcW w:w="4105" w:type="dxa"/>
            <w:tcMar>
              <w:top w:w="15" w:type="dxa"/>
              <w:left w:w="15" w:type="dxa"/>
              <w:bottom w:w="0" w:type="dxa"/>
              <w:right w:w="15" w:type="dxa"/>
            </w:tcMar>
            <w:vAlign w:val="center"/>
          </w:tcPr>
          <w:p w:rsidR="007B62FA" w:rsidRPr="00B30F3C" w:rsidRDefault="007B62FA" w:rsidP="00B30F3C">
            <w:pPr>
              <w:spacing w:before="29" w:line="288" w:lineRule="auto"/>
              <w:jc w:val="center"/>
              <w:rPr>
                <w:color w:val="000000"/>
                <w:sz w:val="24"/>
              </w:rPr>
            </w:pPr>
            <w:r w:rsidRPr="00B30F3C">
              <w:rPr>
                <w:rFonts w:hint="eastAsia"/>
                <w:color w:val="000000"/>
                <w:sz w:val="24"/>
              </w:rPr>
              <w:t>金额</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1</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存出保证金</w:t>
            </w:r>
          </w:p>
        </w:tc>
        <w:tc>
          <w:tcPr>
            <w:tcW w:w="4105" w:type="dxa"/>
            <w:tcMar>
              <w:top w:w="15" w:type="dxa"/>
              <w:left w:w="15" w:type="dxa"/>
              <w:bottom w:w="0" w:type="dxa"/>
              <w:right w:w="15" w:type="dxa"/>
            </w:tcMar>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2</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应收证券清算款</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3</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应收股利</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4</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应收利息</w:t>
            </w:r>
          </w:p>
        </w:tc>
        <w:tc>
          <w:tcPr>
            <w:tcW w:w="4105" w:type="dxa"/>
            <w:vAlign w:val="center"/>
          </w:tcPr>
          <w:p w:rsidR="007B62FA" w:rsidRPr="00B30F3C" w:rsidRDefault="007B62FA" w:rsidP="00B30F3C">
            <w:pPr>
              <w:spacing w:before="29" w:line="288" w:lineRule="auto"/>
              <w:jc w:val="right"/>
              <w:rPr>
                <w:sz w:val="24"/>
              </w:rPr>
            </w:pPr>
            <w:r w:rsidRPr="00B30F3C">
              <w:rPr>
                <w:sz w:val="24"/>
              </w:rPr>
              <w:t>330.67</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5</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应收申购款</w:t>
            </w:r>
          </w:p>
        </w:tc>
        <w:tc>
          <w:tcPr>
            <w:tcW w:w="4105" w:type="dxa"/>
            <w:vAlign w:val="center"/>
          </w:tcPr>
          <w:p w:rsidR="007B62FA" w:rsidRPr="00B30F3C" w:rsidRDefault="007B62FA" w:rsidP="00B30F3C">
            <w:pPr>
              <w:spacing w:before="29" w:line="288" w:lineRule="auto"/>
              <w:jc w:val="right"/>
              <w:rPr>
                <w:sz w:val="24"/>
              </w:rPr>
            </w:pPr>
            <w:r w:rsidRPr="00B30F3C">
              <w:rPr>
                <w:sz w:val="24"/>
              </w:rPr>
              <w:t>31,061.05</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6</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其他应收款</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7</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待摊费用</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206186" w:rsidRDefault="007B62FA" w:rsidP="00DA64B3">
            <w:pPr>
              <w:spacing w:before="29" w:line="288" w:lineRule="auto"/>
              <w:jc w:val="center"/>
              <w:rPr>
                <w:color w:val="000000"/>
                <w:sz w:val="24"/>
              </w:rPr>
            </w:pPr>
            <w:r w:rsidRPr="00206186">
              <w:rPr>
                <w:color w:val="000000"/>
                <w:sz w:val="24"/>
              </w:rPr>
              <w:t>8</w:t>
            </w:r>
          </w:p>
        </w:tc>
        <w:tc>
          <w:tcPr>
            <w:tcW w:w="4431" w:type="dxa"/>
            <w:vAlign w:val="center"/>
          </w:tcPr>
          <w:p w:rsidR="007B62FA" w:rsidRPr="00206186" w:rsidRDefault="007B62FA" w:rsidP="00417F87">
            <w:pPr>
              <w:spacing w:line="360" w:lineRule="auto"/>
              <w:ind w:leftChars="50" w:left="105"/>
              <w:rPr>
                <w:color w:val="000000"/>
                <w:sz w:val="24"/>
              </w:rPr>
            </w:pPr>
            <w:r w:rsidRPr="00206186">
              <w:rPr>
                <w:rFonts w:hint="eastAsia"/>
                <w:color w:val="000000"/>
                <w:sz w:val="24"/>
              </w:rPr>
              <w:t>其他</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206186" w:rsidRDefault="007B62FA" w:rsidP="00206186">
            <w:pPr>
              <w:spacing w:before="29" w:line="288" w:lineRule="auto"/>
              <w:jc w:val="center"/>
              <w:rPr>
                <w:color w:val="000000"/>
                <w:sz w:val="24"/>
              </w:rPr>
            </w:pPr>
            <w:r w:rsidRPr="00206186">
              <w:rPr>
                <w:color w:val="000000"/>
                <w:sz w:val="24"/>
              </w:rPr>
              <w:t>9</w:t>
            </w:r>
          </w:p>
        </w:tc>
        <w:tc>
          <w:tcPr>
            <w:tcW w:w="4431" w:type="dxa"/>
            <w:vAlign w:val="center"/>
          </w:tcPr>
          <w:p w:rsidR="007B62FA" w:rsidRPr="00206186" w:rsidRDefault="007B62FA" w:rsidP="00206186">
            <w:pPr>
              <w:spacing w:before="29" w:line="288" w:lineRule="auto"/>
              <w:ind w:leftChars="50" w:left="105"/>
              <w:rPr>
                <w:color w:val="000000"/>
                <w:sz w:val="24"/>
              </w:rPr>
            </w:pPr>
            <w:r w:rsidRPr="00206186">
              <w:rPr>
                <w:rFonts w:hint="eastAsia"/>
                <w:color w:val="000000"/>
                <w:sz w:val="24"/>
              </w:rPr>
              <w:t>合计</w:t>
            </w:r>
          </w:p>
        </w:tc>
        <w:tc>
          <w:tcPr>
            <w:tcW w:w="4105" w:type="dxa"/>
            <w:vAlign w:val="center"/>
          </w:tcPr>
          <w:p w:rsidR="007B62FA" w:rsidRPr="00B30F3C" w:rsidRDefault="007B62FA" w:rsidP="00B30F3C">
            <w:pPr>
              <w:spacing w:before="29" w:line="288" w:lineRule="auto"/>
              <w:jc w:val="right"/>
              <w:rPr>
                <w:sz w:val="24"/>
              </w:rPr>
            </w:pPr>
            <w:r w:rsidRPr="00B30F3C">
              <w:rPr>
                <w:sz w:val="24"/>
              </w:rPr>
              <w:t>31,391.72</w:t>
            </w:r>
          </w:p>
        </w:tc>
      </w:tr>
    </w:tbl>
    <w:p w:rsidR="007B62FA" w:rsidRPr="00D0372D"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93" w:name="_Toc478410280"/>
      <w:bookmarkStart w:id="394" w:name="_Toc478411455"/>
      <w:r w:rsidRPr="00F92331">
        <w:rPr>
          <w:rFonts w:ascii="Times New Roman" w:hAnsi="Times New Roman"/>
          <w:kern w:val="0"/>
          <w:szCs w:val="24"/>
        </w:rPr>
        <w:t>8.11.4</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期末持有的处于转股期的可转换债券明细</w:t>
      </w:r>
      <w:bookmarkEnd w:id="393"/>
      <w:bookmarkEnd w:id="394"/>
    </w:p>
    <w:p w:rsidR="00835EAC" w:rsidRPr="00D754A9" w:rsidRDefault="00835EAC" w:rsidP="00835EAC">
      <w:pPr>
        <w:tabs>
          <w:tab w:val="left" w:pos="426"/>
        </w:tabs>
        <w:spacing w:before="29" w:line="288" w:lineRule="auto"/>
        <w:jc w:val="left"/>
        <w:rPr>
          <w:kern w:val="0"/>
          <w:sz w:val="24"/>
        </w:rPr>
      </w:pPr>
      <w:r w:rsidRPr="00D754A9">
        <w:rPr>
          <w:kern w:val="0"/>
          <w:sz w:val="24"/>
        </w:rPr>
        <w:t>本基金本报告期末未持有处于转股期的可转换债券。</w:t>
      </w:r>
    </w:p>
    <w:p w:rsidR="007B62FA" w:rsidRPr="00835EAC"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95" w:name="_Toc478410281"/>
      <w:bookmarkStart w:id="396" w:name="_Toc478411456"/>
      <w:r w:rsidRPr="00F92331">
        <w:rPr>
          <w:rFonts w:ascii="Times New Roman" w:hAnsi="Times New Roman"/>
          <w:kern w:val="0"/>
          <w:szCs w:val="24"/>
        </w:rPr>
        <w:t>8.11.5</w:t>
      </w:r>
      <w:r w:rsidR="000F515E" w:rsidRPr="00F92331">
        <w:rPr>
          <w:rFonts w:ascii="Times New Roman" w:hAnsi="Times New Roman" w:hint="eastAsia"/>
          <w:kern w:val="0"/>
          <w:szCs w:val="24"/>
        </w:rPr>
        <w:t xml:space="preserve"> </w:t>
      </w:r>
      <w:proofErr w:type="gramStart"/>
      <w:r w:rsidRPr="00F92331">
        <w:rPr>
          <w:rFonts w:ascii="Times New Roman" w:hAnsi="Times New Roman" w:hint="eastAsia"/>
          <w:kern w:val="0"/>
          <w:szCs w:val="24"/>
        </w:rPr>
        <w:t>期末前</w:t>
      </w:r>
      <w:proofErr w:type="gramEnd"/>
      <w:r w:rsidRPr="00F92331">
        <w:rPr>
          <w:rFonts w:ascii="Times New Roman" w:hAnsi="Times New Roman" w:hint="eastAsia"/>
          <w:kern w:val="0"/>
          <w:szCs w:val="24"/>
        </w:rPr>
        <w:t>十名股票中存在流通受限情况的说明</w:t>
      </w:r>
      <w:bookmarkEnd w:id="395"/>
      <w:bookmarkEnd w:id="396"/>
    </w:p>
    <w:p w:rsidR="00AF6D46" w:rsidRPr="00D754A9" w:rsidRDefault="00AF6D46" w:rsidP="00AF6D46">
      <w:pPr>
        <w:tabs>
          <w:tab w:val="left" w:pos="426"/>
        </w:tabs>
        <w:spacing w:before="29" w:line="288" w:lineRule="auto"/>
        <w:jc w:val="left"/>
        <w:rPr>
          <w:kern w:val="0"/>
          <w:sz w:val="24"/>
        </w:rPr>
      </w:pPr>
      <w:r w:rsidRPr="00D754A9">
        <w:rPr>
          <w:kern w:val="0"/>
          <w:sz w:val="24"/>
        </w:rPr>
        <w:t>本基金本报告</w:t>
      </w:r>
      <w:proofErr w:type="gramStart"/>
      <w:r w:rsidRPr="00D754A9">
        <w:rPr>
          <w:kern w:val="0"/>
          <w:sz w:val="24"/>
        </w:rPr>
        <w:t>期末前</w:t>
      </w:r>
      <w:proofErr w:type="gramEnd"/>
      <w:r w:rsidRPr="00D754A9">
        <w:rPr>
          <w:kern w:val="0"/>
          <w:sz w:val="24"/>
        </w:rPr>
        <w:t>十名股票中不存在流通受限的情况。</w:t>
      </w:r>
    </w:p>
    <w:p w:rsidR="00273083" w:rsidRPr="00AF6D46" w:rsidRDefault="00273083" w:rsidP="0034193C">
      <w:pPr>
        <w:widowControl/>
        <w:spacing w:line="360" w:lineRule="auto"/>
        <w:rPr>
          <w:rFonts w:ascii="宋体" w:hAnsi="宋体" w:cs="宋体"/>
          <w:kern w:val="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97" w:name="_Toc478410282"/>
      <w:bookmarkStart w:id="398" w:name="_Toc478411457"/>
      <w:r w:rsidRPr="00F92331">
        <w:rPr>
          <w:rFonts w:ascii="Times New Roman" w:hAnsi="Times New Roman"/>
          <w:kern w:val="0"/>
          <w:szCs w:val="24"/>
        </w:rPr>
        <w:t>8.11.6</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投资组合报告附注的其他文字描述部分</w:t>
      </w:r>
      <w:bookmarkEnd w:id="397"/>
      <w:bookmarkEnd w:id="398"/>
    </w:p>
    <w:p w:rsidR="007B62FA" w:rsidRPr="003E57C5" w:rsidRDefault="007B62FA" w:rsidP="003E57C5">
      <w:pPr>
        <w:widowControl/>
        <w:spacing w:before="29" w:line="288" w:lineRule="auto"/>
        <w:rPr>
          <w:kern w:val="0"/>
          <w:sz w:val="24"/>
        </w:rPr>
      </w:pPr>
      <w:r w:rsidRPr="003E57C5">
        <w:rPr>
          <w:kern w:val="0"/>
          <w:sz w:val="24"/>
        </w:rPr>
        <w:t>由于四舍五入的原因，分项之和与合计项之间可能存在尾差。</w:t>
      </w:r>
    </w:p>
    <w:p w:rsidR="00B30F3C" w:rsidRPr="00D0372D" w:rsidRDefault="00B30F3C" w:rsidP="00602A38">
      <w:pPr>
        <w:widowControl/>
        <w:spacing w:line="360" w:lineRule="auto"/>
        <w:ind w:firstLineChars="200" w:firstLine="420"/>
        <w:rPr>
          <w:rFonts w:ascii="宋体" w:hAnsi="宋体" w:cs="宋体"/>
          <w:kern w:val="0"/>
          <w:szCs w:val="21"/>
        </w:rPr>
      </w:pPr>
    </w:p>
    <w:p w:rsidR="007B62FA" w:rsidRDefault="007B62FA" w:rsidP="000C7A13">
      <w:pPr>
        <w:pStyle w:val="1"/>
        <w:keepNext/>
        <w:keepLines/>
        <w:widowControl w:val="0"/>
        <w:spacing w:beforeLines="100" w:before="312" w:afterLines="100" w:after="312" w:line="288" w:lineRule="auto"/>
        <w:jc w:val="center"/>
        <w:rPr>
          <w:b/>
          <w:bCs/>
          <w:szCs w:val="24"/>
          <w:lang w:val="en-US"/>
        </w:rPr>
      </w:pPr>
      <w:bookmarkStart w:id="399" w:name="_Toc225500050"/>
      <w:bookmarkStart w:id="400" w:name="_Toc352256006"/>
      <w:bookmarkStart w:id="401" w:name="_Toc352256074"/>
      <w:bookmarkStart w:id="402" w:name="_Toc352331252"/>
      <w:bookmarkStart w:id="403" w:name="_Toc362424030"/>
      <w:bookmarkStart w:id="404" w:name="_Toc478411458"/>
      <w:r w:rsidRPr="001A2743">
        <w:rPr>
          <w:rFonts w:hint="eastAsia"/>
          <w:b/>
          <w:bCs/>
          <w:szCs w:val="24"/>
          <w:lang w:val="en-US"/>
        </w:rPr>
        <w:t>§</w:t>
      </w:r>
      <w:r w:rsidRPr="001A2743">
        <w:rPr>
          <w:b/>
          <w:bCs/>
          <w:szCs w:val="24"/>
          <w:lang w:val="en-US"/>
        </w:rPr>
        <w:t>9</w:t>
      </w:r>
      <w:r w:rsidR="003E5E48" w:rsidRPr="001A2743">
        <w:rPr>
          <w:rFonts w:hint="eastAsia"/>
          <w:b/>
          <w:bCs/>
          <w:szCs w:val="24"/>
          <w:lang w:val="en-US"/>
        </w:rPr>
        <w:t xml:space="preserve"> </w:t>
      </w:r>
      <w:r w:rsidR="001822F7" w:rsidRPr="001A2743">
        <w:rPr>
          <w:rFonts w:hint="eastAsia"/>
          <w:b/>
          <w:bCs/>
          <w:szCs w:val="24"/>
          <w:lang w:val="en-US"/>
        </w:rPr>
        <w:t xml:space="preserve"> </w:t>
      </w:r>
      <w:r w:rsidRPr="001A2743">
        <w:rPr>
          <w:rFonts w:hint="eastAsia"/>
          <w:b/>
          <w:bCs/>
          <w:szCs w:val="24"/>
          <w:lang w:val="en-US"/>
        </w:rPr>
        <w:t>基金份额持有人信息</w:t>
      </w:r>
      <w:bookmarkEnd w:id="399"/>
      <w:bookmarkEnd w:id="400"/>
      <w:bookmarkEnd w:id="401"/>
      <w:bookmarkEnd w:id="402"/>
      <w:bookmarkEnd w:id="403"/>
      <w:bookmarkEnd w:id="404"/>
    </w:p>
    <w:p w:rsidR="007B62FA" w:rsidRPr="001A2743" w:rsidRDefault="007B62FA" w:rsidP="001A2743">
      <w:pPr>
        <w:pStyle w:val="20"/>
        <w:spacing w:before="29" w:after="0" w:line="288" w:lineRule="auto"/>
        <w:rPr>
          <w:rFonts w:ascii="Times New Roman" w:hAnsi="Times New Roman"/>
          <w:kern w:val="0"/>
          <w:szCs w:val="24"/>
        </w:rPr>
      </w:pPr>
      <w:bookmarkStart w:id="405" w:name="_Toc225500051"/>
      <w:bookmarkStart w:id="406" w:name="_Toc352256007"/>
      <w:bookmarkStart w:id="407" w:name="_Toc352256075"/>
      <w:bookmarkStart w:id="408" w:name="_Toc352331253"/>
      <w:bookmarkStart w:id="409" w:name="_Toc362424031"/>
      <w:bookmarkStart w:id="410" w:name="_Toc478411459"/>
      <w:r w:rsidRPr="001A2743">
        <w:rPr>
          <w:rFonts w:ascii="Times New Roman" w:hAnsi="Times New Roman"/>
          <w:kern w:val="0"/>
          <w:szCs w:val="24"/>
        </w:rPr>
        <w:t xml:space="preserve">9.1 </w:t>
      </w:r>
      <w:r w:rsidRPr="001A2743">
        <w:rPr>
          <w:rFonts w:ascii="Times New Roman" w:hAnsi="Times New Roman" w:hint="eastAsia"/>
          <w:kern w:val="0"/>
          <w:szCs w:val="24"/>
        </w:rPr>
        <w:t>期末基金份额持有人户数及持有人结构</w:t>
      </w:r>
      <w:bookmarkEnd w:id="405"/>
      <w:bookmarkEnd w:id="406"/>
      <w:bookmarkEnd w:id="407"/>
      <w:bookmarkEnd w:id="408"/>
      <w:bookmarkEnd w:id="409"/>
      <w:bookmarkEnd w:id="410"/>
    </w:p>
    <w:p w:rsidR="00BA33A5" w:rsidRPr="00AD4493" w:rsidRDefault="00BA33A5" w:rsidP="00AD4493">
      <w:pPr>
        <w:autoSpaceDE w:val="0"/>
        <w:autoSpaceDN w:val="0"/>
        <w:adjustRightInd w:val="0"/>
        <w:spacing w:before="29" w:line="288" w:lineRule="auto"/>
        <w:ind w:left="15"/>
        <w:jc w:val="right"/>
        <w:rPr>
          <w:color w:val="000000"/>
          <w:sz w:val="24"/>
        </w:rPr>
      </w:pPr>
      <w:r w:rsidRPr="00AD449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83628E" w:rsidRPr="005003EC" w:rsidTr="0083628E">
        <w:trPr>
          <w:jc w:val="center"/>
        </w:trPr>
        <w:tc>
          <w:tcPr>
            <w:tcW w:w="964" w:type="pct"/>
            <w:vMerge w:val="restart"/>
            <w:tcBorders>
              <w:top w:val="single" w:sz="8" w:space="0" w:color="000000"/>
              <w:left w:val="single" w:sz="8" w:space="0" w:color="000000"/>
              <w:right w:val="single" w:sz="8" w:space="0" w:color="000000"/>
            </w:tcBorders>
            <w:vAlign w:val="center"/>
          </w:tcPr>
          <w:p w:rsidR="00B536C4" w:rsidRDefault="00CC45D2">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持有</w:t>
            </w:r>
            <w:proofErr w:type="gramStart"/>
            <w:r w:rsidRPr="005003EC">
              <w:rPr>
                <w:rFonts w:hint="eastAsia"/>
                <w:bCs/>
                <w:color w:val="000000"/>
                <w:szCs w:val="21"/>
              </w:rPr>
              <w:t>人结构</w:t>
            </w:r>
            <w:proofErr w:type="gramEnd"/>
          </w:p>
        </w:tc>
      </w:tr>
      <w:tr w:rsidR="0083628E" w:rsidRPr="005003EC" w:rsidTr="0083628E">
        <w:trPr>
          <w:jc w:val="center"/>
        </w:trPr>
        <w:tc>
          <w:tcPr>
            <w:tcW w:w="964" w:type="pct"/>
            <w:vMerge/>
            <w:tcBorders>
              <w:left w:val="single" w:sz="8" w:space="0" w:color="000000"/>
              <w:right w:val="single" w:sz="8" w:space="0" w:color="000000"/>
            </w:tcBorders>
          </w:tcPr>
          <w:p w:rsidR="00B536C4" w:rsidRDefault="00B536C4">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个人投资者</w:t>
            </w:r>
          </w:p>
        </w:tc>
      </w:tr>
      <w:tr w:rsidR="0083628E" w:rsidRPr="005003EC" w:rsidTr="0083628E">
        <w:trPr>
          <w:jc w:val="center"/>
        </w:trPr>
        <w:tc>
          <w:tcPr>
            <w:tcW w:w="964" w:type="pct"/>
            <w:vMerge/>
            <w:tcBorders>
              <w:left w:val="single" w:sz="8" w:space="0" w:color="000000"/>
              <w:bottom w:val="single" w:sz="8" w:space="0" w:color="000000"/>
              <w:right w:val="single" w:sz="8" w:space="0" w:color="000000"/>
            </w:tcBorders>
          </w:tcPr>
          <w:p w:rsidR="00B536C4" w:rsidRDefault="00B536C4">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占总份额比例</w:t>
            </w:r>
          </w:p>
        </w:tc>
      </w:tr>
      <w:tr w:rsidR="0083628E" w:rsidRPr="005003EC" w:rsidTr="0083628E">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B536C4" w:rsidRDefault="00CC45D2">
            <w:pPr>
              <w:jc w:val="right"/>
            </w:pPr>
            <w:r>
              <w:rPr>
                <w:bCs/>
                <w:color w:val="000000"/>
                <w:szCs w:val="21"/>
              </w:rPr>
              <w:t>1,607</w:t>
            </w:r>
          </w:p>
        </w:tc>
        <w:tc>
          <w:tcPr>
            <w:tcW w:w="853"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19,952.28</w:t>
            </w: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8,075,036.20</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25.18%</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23,988,273.86</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74.82%</w:t>
            </w:r>
          </w:p>
        </w:tc>
      </w:tr>
    </w:tbl>
    <w:p w:rsidR="00202457" w:rsidRPr="00A66DFB" w:rsidRDefault="00202457" w:rsidP="00A66DFB">
      <w:pPr>
        <w:spacing w:line="360" w:lineRule="auto"/>
        <w:ind w:firstLine="420"/>
        <w:rPr>
          <w:rFonts w:ascii="宋体" w:hAnsi="宋体"/>
          <w:color w:val="000000"/>
          <w:szCs w:val="21"/>
        </w:rPr>
      </w:pPr>
    </w:p>
    <w:p w:rsidR="007B62FA" w:rsidRPr="00AA469C" w:rsidRDefault="007B62FA" w:rsidP="00AA469C">
      <w:pPr>
        <w:pStyle w:val="20"/>
        <w:spacing w:before="29" w:after="0" w:line="288" w:lineRule="auto"/>
        <w:rPr>
          <w:rFonts w:ascii="Times New Roman" w:hAnsi="Times New Roman"/>
          <w:kern w:val="0"/>
          <w:szCs w:val="24"/>
        </w:rPr>
      </w:pPr>
      <w:bookmarkStart w:id="411" w:name="_Toc352256008"/>
      <w:bookmarkStart w:id="412" w:name="_Toc352256076"/>
      <w:bookmarkStart w:id="413" w:name="_Toc352331254"/>
      <w:bookmarkStart w:id="414" w:name="_Toc362424033"/>
      <w:bookmarkStart w:id="415" w:name="_Toc478411460"/>
      <w:r w:rsidRPr="00AA469C">
        <w:rPr>
          <w:rFonts w:ascii="Times New Roman" w:hAnsi="Times New Roman"/>
          <w:kern w:val="0"/>
          <w:szCs w:val="24"/>
        </w:rPr>
        <w:t>9.2</w:t>
      </w:r>
      <w:r w:rsidR="000F515E" w:rsidRPr="00AA469C">
        <w:rPr>
          <w:rFonts w:ascii="Times New Roman" w:hAnsi="Times New Roman" w:hint="eastAsia"/>
          <w:kern w:val="0"/>
          <w:szCs w:val="24"/>
        </w:rPr>
        <w:t xml:space="preserve"> </w:t>
      </w:r>
      <w:r w:rsidRPr="00AA469C">
        <w:rPr>
          <w:rFonts w:ascii="Times New Roman" w:hAnsi="Times New Roman" w:hint="eastAsia"/>
          <w:kern w:val="0"/>
          <w:szCs w:val="24"/>
        </w:rPr>
        <w:t>期末基金管理人的从业人员持有本基金的情况</w:t>
      </w:r>
      <w:bookmarkEnd w:id="411"/>
      <w:bookmarkEnd w:id="412"/>
      <w:bookmarkEnd w:id="413"/>
      <w:bookmarkEnd w:id="414"/>
      <w:bookmarkEnd w:id="415"/>
    </w:p>
    <w:tbl>
      <w:tblPr>
        <w:tblW w:w="9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4"/>
        <w:gridCol w:w="2577"/>
        <w:gridCol w:w="2577"/>
      </w:tblGrid>
      <w:tr w:rsidR="007B62FA" w:rsidRPr="00D0372D" w:rsidTr="002309A7">
        <w:trPr>
          <w:trHeight w:val="465"/>
          <w:jc w:val="center"/>
        </w:trPr>
        <w:tc>
          <w:tcPr>
            <w:tcW w:w="4284" w:type="dxa"/>
            <w:vAlign w:val="center"/>
          </w:tcPr>
          <w:p w:rsidR="007B62FA" w:rsidRPr="0069364B" w:rsidRDefault="007B62FA" w:rsidP="0069364B">
            <w:pPr>
              <w:widowControl/>
              <w:spacing w:before="29" w:line="288" w:lineRule="auto"/>
              <w:jc w:val="center"/>
              <w:rPr>
                <w:color w:val="000000"/>
                <w:kern w:val="0"/>
                <w:sz w:val="24"/>
              </w:rPr>
            </w:pPr>
            <w:r w:rsidRPr="0069364B">
              <w:rPr>
                <w:rFonts w:hint="eastAsia"/>
                <w:color w:val="000000"/>
                <w:kern w:val="0"/>
                <w:sz w:val="24"/>
              </w:rPr>
              <w:t>项目</w:t>
            </w:r>
          </w:p>
        </w:tc>
        <w:tc>
          <w:tcPr>
            <w:tcW w:w="2577" w:type="dxa"/>
            <w:vAlign w:val="center"/>
          </w:tcPr>
          <w:p w:rsidR="007B62FA" w:rsidRPr="0069364B" w:rsidRDefault="007B62FA" w:rsidP="00417F87">
            <w:pPr>
              <w:widowControl/>
              <w:spacing w:line="360" w:lineRule="auto"/>
              <w:jc w:val="center"/>
              <w:rPr>
                <w:color w:val="000000"/>
                <w:kern w:val="0"/>
                <w:sz w:val="24"/>
              </w:rPr>
            </w:pPr>
            <w:r w:rsidRPr="0069364B">
              <w:rPr>
                <w:rFonts w:hint="eastAsia"/>
                <w:color w:val="000000"/>
                <w:kern w:val="0"/>
                <w:sz w:val="24"/>
              </w:rPr>
              <w:t>持有份额总数（份）</w:t>
            </w:r>
          </w:p>
        </w:tc>
        <w:tc>
          <w:tcPr>
            <w:tcW w:w="2577" w:type="dxa"/>
            <w:vAlign w:val="center"/>
          </w:tcPr>
          <w:p w:rsidR="007B62FA" w:rsidRPr="0069364B" w:rsidRDefault="007B62FA" w:rsidP="00417F87">
            <w:pPr>
              <w:widowControl/>
              <w:spacing w:line="360" w:lineRule="auto"/>
              <w:jc w:val="center"/>
              <w:rPr>
                <w:color w:val="000000"/>
                <w:kern w:val="0"/>
                <w:sz w:val="24"/>
              </w:rPr>
            </w:pPr>
            <w:r w:rsidRPr="0069364B">
              <w:rPr>
                <w:rFonts w:hint="eastAsia"/>
                <w:color w:val="000000"/>
                <w:kern w:val="0"/>
                <w:sz w:val="24"/>
              </w:rPr>
              <w:t>占基金总份额比例</w:t>
            </w:r>
          </w:p>
        </w:tc>
      </w:tr>
      <w:tr w:rsidR="00FD108C" w:rsidRPr="00D0372D" w:rsidTr="002309A7">
        <w:trPr>
          <w:trHeight w:val="465"/>
          <w:jc w:val="center"/>
        </w:trPr>
        <w:tc>
          <w:tcPr>
            <w:tcW w:w="4284" w:type="dxa"/>
            <w:vAlign w:val="center"/>
          </w:tcPr>
          <w:p w:rsidR="00FD108C" w:rsidRPr="0069364B" w:rsidRDefault="00FD108C" w:rsidP="0069364B">
            <w:pPr>
              <w:widowControl/>
              <w:spacing w:before="29" w:line="288" w:lineRule="auto"/>
              <w:jc w:val="center"/>
              <w:rPr>
                <w:color w:val="000000"/>
                <w:kern w:val="0"/>
                <w:sz w:val="24"/>
              </w:rPr>
            </w:pPr>
            <w:r w:rsidRPr="0069364B">
              <w:rPr>
                <w:rFonts w:hint="eastAsia"/>
                <w:color w:val="000000"/>
                <w:kern w:val="0"/>
                <w:sz w:val="24"/>
              </w:rPr>
              <w:t>基金管理人所有从业人员持有本基金</w:t>
            </w:r>
          </w:p>
        </w:tc>
        <w:tc>
          <w:tcPr>
            <w:tcW w:w="2577" w:type="dxa"/>
            <w:vAlign w:val="center"/>
          </w:tcPr>
          <w:p w:rsidR="00FD108C" w:rsidRPr="0069364B" w:rsidRDefault="00FD108C" w:rsidP="0069364B">
            <w:pPr>
              <w:widowControl/>
              <w:spacing w:before="29" w:line="288" w:lineRule="auto"/>
              <w:jc w:val="right"/>
              <w:rPr>
                <w:color w:val="000000"/>
                <w:kern w:val="0"/>
                <w:sz w:val="24"/>
              </w:rPr>
            </w:pPr>
            <w:r w:rsidRPr="0069364B">
              <w:rPr>
                <w:color w:val="000000"/>
                <w:kern w:val="0"/>
                <w:sz w:val="24"/>
              </w:rPr>
              <w:t>30,670.89</w:t>
            </w:r>
          </w:p>
        </w:tc>
        <w:tc>
          <w:tcPr>
            <w:tcW w:w="2577" w:type="dxa"/>
            <w:vAlign w:val="center"/>
          </w:tcPr>
          <w:p w:rsidR="00FD108C" w:rsidRPr="0069364B" w:rsidRDefault="00FD108C" w:rsidP="0069364B">
            <w:pPr>
              <w:widowControl/>
              <w:spacing w:before="29" w:line="288" w:lineRule="auto"/>
              <w:jc w:val="right"/>
              <w:rPr>
                <w:color w:val="000000"/>
                <w:kern w:val="0"/>
                <w:sz w:val="24"/>
              </w:rPr>
            </w:pPr>
            <w:r w:rsidRPr="0069364B">
              <w:rPr>
                <w:color w:val="000000"/>
                <w:kern w:val="0"/>
                <w:sz w:val="24"/>
              </w:rPr>
              <w:t>0.10%</w:t>
            </w:r>
          </w:p>
        </w:tc>
      </w:tr>
    </w:tbl>
    <w:p w:rsidR="00331770" w:rsidRPr="00C9525B" w:rsidRDefault="00331770" w:rsidP="00E44171">
      <w:pPr>
        <w:spacing w:line="360" w:lineRule="auto"/>
        <w:jc w:val="left"/>
        <w:rPr>
          <w:rFonts w:ascii="宋体" w:hAnsi="宋体"/>
          <w:szCs w:val="21"/>
        </w:rPr>
      </w:pPr>
    </w:p>
    <w:p w:rsidR="00331770" w:rsidRPr="00AA469C" w:rsidRDefault="00331770" w:rsidP="00AA469C">
      <w:pPr>
        <w:pStyle w:val="20"/>
        <w:spacing w:before="29" w:after="0" w:line="288" w:lineRule="auto"/>
        <w:rPr>
          <w:rFonts w:ascii="Times New Roman" w:hAnsi="Times New Roman"/>
          <w:kern w:val="0"/>
          <w:szCs w:val="24"/>
        </w:rPr>
      </w:pPr>
      <w:bookmarkStart w:id="416" w:name="_Toc478411461"/>
      <w:r w:rsidRPr="00AA469C">
        <w:rPr>
          <w:rFonts w:ascii="Times New Roman" w:hAnsi="Times New Roman"/>
          <w:kern w:val="0"/>
          <w:szCs w:val="24"/>
        </w:rPr>
        <w:t>9.3</w:t>
      </w:r>
      <w:r w:rsidRPr="00AA469C">
        <w:rPr>
          <w:rFonts w:ascii="Times New Roman" w:hAnsi="Times New Roman"/>
          <w:kern w:val="0"/>
          <w:szCs w:val="24"/>
        </w:rPr>
        <w:t>期末基金管理人的从业人员持有本开放式基金份额总量区间的情况</w:t>
      </w:r>
      <w:bookmarkEnd w:id="416"/>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331770" w:rsidRPr="00331770" w:rsidTr="00EB4ED4">
        <w:trPr>
          <w:trHeight w:val="285"/>
        </w:trPr>
        <w:tc>
          <w:tcPr>
            <w:tcW w:w="1814" w:type="pct"/>
            <w:shd w:val="clear" w:color="auto" w:fill="auto"/>
            <w:tcMar>
              <w:top w:w="0" w:type="dxa"/>
              <w:left w:w="108" w:type="dxa"/>
              <w:bottom w:w="0" w:type="dxa"/>
              <w:right w:w="108" w:type="dxa"/>
            </w:tcMar>
            <w:vAlign w:val="center"/>
            <w:hideMark/>
          </w:tcPr>
          <w:p w:rsidR="00331770" w:rsidRPr="00C9525B" w:rsidRDefault="00331770" w:rsidP="00C9525B">
            <w:pPr>
              <w:widowControl/>
              <w:spacing w:before="29" w:line="288" w:lineRule="auto"/>
              <w:jc w:val="center"/>
              <w:rPr>
                <w:color w:val="000000"/>
                <w:kern w:val="0"/>
                <w:sz w:val="24"/>
              </w:rPr>
            </w:pPr>
            <w:r w:rsidRPr="00C9525B">
              <w:rPr>
                <w:color w:val="000000"/>
                <w:kern w:val="0"/>
                <w:sz w:val="24"/>
              </w:rPr>
              <w:t>项目</w:t>
            </w:r>
          </w:p>
        </w:tc>
        <w:tc>
          <w:tcPr>
            <w:tcW w:w="3186" w:type="pct"/>
            <w:shd w:val="clear" w:color="auto" w:fill="auto"/>
            <w:tcMar>
              <w:top w:w="0" w:type="dxa"/>
              <w:left w:w="108" w:type="dxa"/>
              <w:bottom w:w="0" w:type="dxa"/>
              <w:right w:w="108" w:type="dxa"/>
            </w:tcMar>
            <w:vAlign w:val="center"/>
            <w:hideMark/>
          </w:tcPr>
          <w:p w:rsidR="00331770" w:rsidRPr="00C9525B" w:rsidRDefault="00331770" w:rsidP="00C9525B">
            <w:pPr>
              <w:widowControl/>
              <w:spacing w:before="29" w:line="288" w:lineRule="auto"/>
              <w:jc w:val="center"/>
              <w:rPr>
                <w:color w:val="000000"/>
                <w:kern w:val="0"/>
                <w:sz w:val="24"/>
              </w:rPr>
            </w:pPr>
            <w:r w:rsidRPr="00C9525B">
              <w:rPr>
                <w:color w:val="000000"/>
                <w:kern w:val="0"/>
                <w:sz w:val="24"/>
              </w:rPr>
              <w:t>持有基金份额总量的数量区间（万份）</w:t>
            </w:r>
          </w:p>
        </w:tc>
      </w:tr>
      <w:tr w:rsidR="00331770" w:rsidRPr="00331770" w:rsidTr="00EB4ED4">
        <w:trPr>
          <w:trHeight w:val="713"/>
        </w:trPr>
        <w:tc>
          <w:tcPr>
            <w:tcW w:w="1814" w:type="pct"/>
            <w:shd w:val="clear" w:color="auto" w:fill="auto"/>
            <w:tcMar>
              <w:top w:w="0" w:type="dxa"/>
              <w:left w:w="108" w:type="dxa"/>
              <w:bottom w:w="0" w:type="dxa"/>
              <w:right w:w="108" w:type="dxa"/>
            </w:tcMar>
            <w:vAlign w:val="center"/>
            <w:hideMark/>
          </w:tcPr>
          <w:p w:rsidR="00331770" w:rsidRPr="00C9525B" w:rsidRDefault="00331770" w:rsidP="00C9525B">
            <w:pPr>
              <w:spacing w:before="29" w:line="288" w:lineRule="auto"/>
              <w:jc w:val="left"/>
              <w:rPr>
                <w:color w:val="000000"/>
                <w:sz w:val="24"/>
              </w:rPr>
            </w:pPr>
            <w:r w:rsidRPr="00C9525B">
              <w:rPr>
                <w:color w:val="000000"/>
                <w:sz w:val="24"/>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331770" w:rsidRPr="00AD73EC" w:rsidRDefault="00331770" w:rsidP="00AD73EC">
            <w:pPr>
              <w:widowControl/>
              <w:spacing w:before="29" w:line="288" w:lineRule="auto"/>
              <w:jc w:val="right"/>
              <w:rPr>
                <w:color w:val="000000"/>
                <w:kern w:val="0"/>
                <w:sz w:val="24"/>
              </w:rPr>
            </w:pPr>
            <w:r w:rsidRPr="00AD73EC">
              <w:rPr>
                <w:color w:val="000000"/>
                <w:kern w:val="0"/>
                <w:sz w:val="24"/>
              </w:rPr>
              <w:t>0</w:t>
            </w:r>
          </w:p>
        </w:tc>
      </w:tr>
      <w:tr w:rsidR="00331770" w:rsidRPr="00331770" w:rsidTr="00EB4ED4">
        <w:trPr>
          <w:trHeight w:val="285"/>
        </w:trPr>
        <w:tc>
          <w:tcPr>
            <w:tcW w:w="1814" w:type="pct"/>
            <w:shd w:val="clear" w:color="auto" w:fill="auto"/>
            <w:tcMar>
              <w:top w:w="0" w:type="dxa"/>
              <w:left w:w="108" w:type="dxa"/>
              <w:bottom w:w="0" w:type="dxa"/>
              <w:right w:w="108" w:type="dxa"/>
            </w:tcMar>
            <w:vAlign w:val="center"/>
            <w:hideMark/>
          </w:tcPr>
          <w:p w:rsidR="00331770" w:rsidRPr="00C9525B" w:rsidRDefault="00331770" w:rsidP="00C9525B">
            <w:pPr>
              <w:spacing w:before="29" w:line="288" w:lineRule="auto"/>
              <w:jc w:val="left"/>
              <w:rPr>
                <w:color w:val="000000"/>
                <w:sz w:val="24"/>
              </w:rPr>
            </w:pPr>
            <w:r w:rsidRPr="00C9525B">
              <w:rPr>
                <w:color w:val="000000"/>
                <w:sz w:val="24"/>
              </w:rPr>
              <w:t>本</w:t>
            </w:r>
            <w:proofErr w:type="gramStart"/>
            <w:r w:rsidRPr="00C9525B">
              <w:rPr>
                <w:color w:val="000000"/>
                <w:sz w:val="24"/>
              </w:rPr>
              <w:t>基金基金</w:t>
            </w:r>
            <w:proofErr w:type="gramEnd"/>
            <w:r w:rsidRPr="00C9525B">
              <w:rPr>
                <w:color w:val="000000"/>
                <w:sz w:val="24"/>
              </w:rPr>
              <w:t>经理持有本开放式基金</w:t>
            </w:r>
          </w:p>
        </w:tc>
        <w:tc>
          <w:tcPr>
            <w:tcW w:w="3186" w:type="pct"/>
            <w:shd w:val="clear" w:color="auto" w:fill="auto"/>
            <w:tcMar>
              <w:top w:w="0" w:type="dxa"/>
              <w:left w:w="108" w:type="dxa"/>
              <w:bottom w:w="0" w:type="dxa"/>
              <w:right w:w="108" w:type="dxa"/>
            </w:tcMar>
            <w:vAlign w:val="center"/>
            <w:hideMark/>
          </w:tcPr>
          <w:p w:rsidR="00331770" w:rsidRPr="00AD73EC" w:rsidRDefault="00331770" w:rsidP="00AD73EC">
            <w:pPr>
              <w:widowControl/>
              <w:spacing w:before="29" w:line="288" w:lineRule="auto"/>
              <w:jc w:val="right"/>
              <w:rPr>
                <w:color w:val="000000"/>
                <w:kern w:val="0"/>
                <w:sz w:val="24"/>
              </w:rPr>
            </w:pPr>
            <w:r w:rsidRPr="00AD73EC">
              <w:rPr>
                <w:color w:val="000000"/>
                <w:kern w:val="0"/>
                <w:sz w:val="24"/>
              </w:rPr>
              <w:t>0</w:t>
            </w:r>
          </w:p>
        </w:tc>
      </w:tr>
    </w:tbl>
    <w:p w:rsidR="007B62FA" w:rsidRPr="00D0372D" w:rsidRDefault="007B62FA" w:rsidP="00417F87">
      <w:pPr>
        <w:spacing w:line="360" w:lineRule="auto"/>
        <w:rPr>
          <w:rFonts w:ascii="宋体" w:hAnsi="宋体"/>
          <w:color w:val="000000"/>
          <w:szCs w:val="21"/>
        </w:rPr>
      </w:pPr>
    </w:p>
    <w:p w:rsidR="007B62FA" w:rsidRDefault="007B62FA" w:rsidP="000C7A13">
      <w:pPr>
        <w:pStyle w:val="1"/>
        <w:keepNext/>
        <w:keepLines/>
        <w:widowControl w:val="0"/>
        <w:spacing w:beforeLines="100" w:before="312" w:afterLines="100" w:after="312" w:line="288" w:lineRule="auto"/>
        <w:jc w:val="center"/>
        <w:rPr>
          <w:b/>
          <w:bCs/>
          <w:szCs w:val="24"/>
          <w:lang w:val="en-US"/>
        </w:rPr>
      </w:pPr>
      <w:bookmarkStart w:id="417" w:name="_Toc225500053"/>
      <w:bookmarkStart w:id="418" w:name="_Toc352256009"/>
      <w:bookmarkStart w:id="419" w:name="_Toc352256077"/>
      <w:bookmarkStart w:id="420" w:name="_Toc352331255"/>
      <w:bookmarkStart w:id="421" w:name="_Toc362424034"/>
      <w:bookmarkStart w:id="422" w:name="_Toc478411462"/>
      <w:r w:rsidRPr="00500B50">
        <w:rPr>
          <w:rFonts w:hint="eastAsia"/>
          <w:b/>
          <w:bCs/>
          <w:szCs w:val="24"/>
          <w:lang w:val="en-US"/>
        </w:rPr>
        <w:t>§</w:t>
      </w:r>
      <w:r w:rsidR="00001C10" w:rsidRPr="00500B50">
        <w:rPr>
          <w:b/>
          <w:bCs/>
          <w:szCs w:val="24"/>
          <w:lang w:val="en-US"/>
        </w:rPr>
        <w:t>10</w:t>
      </w:r>
      <w:r w:rsidR="001822F7" w:rsidRPr="00500B50">
        <w:rPr>
          <w:rFonts w:hint="eastAsia"/>
          <w:b/>
          <w:bCs/>
          <w:szCs w:val="24"/>
          <w:lang w:val="en-US"/>
        </w:rPr>
        <w:t xml:space="preserve"> </w:t>
      </w:r>
      <w:r w:rsidR="003E5E48" w:rsidRPr="00500B50">
        <w:rPr>
          <w:rFonts w:hint="eastAsia"/>
          <w:b/>
          <w:bCs/>
          <w:szCs w:val="24"/>
          <w:lang w:val="en-US"/>
        </w:rPr>
        <w:t xml:space="preserve"> </w:t>
      </w:r>
      <w:r w:rsidRPr="00500B50">
        <w:rPr>
          <w:rFonts w:hint="eastAsia"/>
          <w:b/>
          <w:bCs/>
          <w:szCs w:val="24"/>
          <w:lang w:val="en-US"/>
        </w:rPr>
        <w:t>开放式基金份额变动</w:t>
      </w:r>
      <w:bookmarkEnd w:id="417"/>
      <w:bookmarkEnd w:id="418"/>
      <w:bookmarkEnd w:id="419"/>
      <w:bookmarkEnd w:id="420"/>
      <w:bookmarkEnd w:id="421"/>
      <w:bookmarkEnd w:id="422"/>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358"/>
      </w:tblGrid>
      <w:tr w:rsidR="007B62FA" w:rsidRPr="00D0372D" w:rsidTr="00514C59">
        <w:tc>
          <w:tcPr>
            <w:tcW w:w="4928" w:type="dxa"/>
            <w:vAlign w:val="center"/>
          </w:tcPr>
          <w:p w:rsidR="007B62FA" w:rsidRPr="003502C1" w:rsidRDefault="00EF1356" w:rsidP="003502C1">
            <w:pPr>
              <w:spacing w:before="29" w:line="288" w:lineRule="auto"/>
              <w:rPr>
                <w:sz w:val="24"/>
              </w:rPr>
            </w:pPr>
            <w:r w:rsidRPr="003502C1">
              <w:rPr>
                <w:rFonts w:hint="eastAsia"/>
                <w:sz w:val="24"/>
              </w:rPr>
              <w:t>基金合同生效日</w:t>
            </w:r>
            <w:r w:rsidRPr="003502C1">
              <w:rPr>
                <w:rFonts w:hint="eastAsia"/>
                <w:sz w:val="24"/>
              </w:rPr>
              <w:t>(</w:t>
            </w:r>
            <w:r w:rsidR="005A7D56" w:rsidRPr="003502C1">
              <w:rPr>
                <w:sz w:val="24"/>
              </w:rPr>
              <w:t>2012</w:t>
            </w:r>
            <w:r w:rsidR="005A7D56" w:rsidRPr="003502C1">
              <w:rPr>
                <w:sz w:val="24"/>
              </w:rPr>
              <w:t>年</w:t>
            </w:r>
            <w:r w:rsidR="005A7D56" w:rsidRPr="003502C1">
              <w:rPr>
                <w:sz w:val="24"/>
              </w:rPr>
              <w:t>5</w:t>
            </w:r>
            <w:r w:rsidR="005A7D56" w:rsidRPr="003502C1">
              <w:rPr>
                <w:sz w:val="24"/>
              </w:rPr>
              <w:t>月</w:t>
            </w:r>
            <w:r w:rsidR="005A7D56" w:rsidRPr="003502C1">
              <w:rPr>
                <w:sz w:val="24"/>
              </w:rPr>
              <w:t>22</w:t>
            </w:r>
            <w:r w:rsidR="005A7D56" w:rsidRPr="003502C1">
              <w:rPr>
                <w:sz w:val="24"/>
              </w:rPr>
              <w:t>日</w:t>
            </w:r>
            <w:r w:rsidRPr="003502C1">
              <w:rPr>
                <w:rFonts w:hint="eastAsia"/>
                <w:sz w:val="24"/>
              </w:rPr>
              <w:t>)</w:t>
            </w:r>
            <w:r w:rsidR="007B62FA" w:rsidRPr="003502C1">
              <w:rPr>
                <w:rFonts w:hint="eastAsia"/>
                <w:sz w:val="24"/>
              </w:rPr>
              <w:t>基金份额总额</w:t>
            </w:r>
          </w:p>
        </w:tc>
        <w:tc>
          <w:tcPr>
            <w:tcW w:w="4358" w:type="dxa"/>
            <w:vAlign w:val="center"/>
          </w:tcPr>
          <w:p w:rsidR="007B62FA" w:rsidRPr="003502C1" w:rsidRDefault="007B62FA" w:rsidP="003502C1">
            <w:pPr>
              <w:spacing w:before="29" w:line="288" w:lineRule="auto"/>
              <w:jc w:val="right"/>
              <w:rPr>
                <w:sz w:val="24"/>
              </w:rPr>
            </w:pPr>
            <w:r w:rsidRPr="003502C1">
              <w:rPr>
                <w:sz w:val="24"/>
              </w:rPr>
              <w:t>628,520,198.14</w:t>
            </w:r>
          </w:p>
        </w:tc>
      </w:tr>
      <w:tr w:rsidR="007B62FA" w:rsidRPr="00D0372D" w:rsidTr="00514C59">
        <w:tc>
          <w:tcPr>
            <w:tcW w:w="4928" w:type="dxa"/>
            <w:vAlign w:val="center"/>
          </w:tcPr>
          <w:p w:rsidR="007B62FA" w:rsidRPr="003502C1" w:rsidRDefault="008B21EA" w:rsidP="003502C1">
            <w:pPr>
              <w:spacing w:before="29" w:line="288" w:lineRule="auto"/>
              <w:rPr>
                <w:sz w:val="24"/>
              </w:rPr>
            </w:pPr>
            <w:r w:rsidRPr="003502C1">
              <w:rPr>
                <w:rFonts w:hint="eastAsia"/>
                <w:sz w:val="24"/>
              </w:rPr>
              <w:t>本报告期</w:t>
            </w:r>
            <w:r w:rsidR="007B62FA" w:rsidRPr="003502C1">
              <w:rPr>
                <w:rFonts w:hint="eastAsia"/>
                <w:sz w:val="24"/>
              </w:rPr>
              <w:t>期</w:t>
            </w:r>
            <w:proofErr w:type="gramStart"/>
            <w:r w:rsidR="007B62FA" w:rsidRPr="003502C1">
              <w:rPr>
                <w:rFonts w:hint="eastAsia"/>
                <w:sz w:val="24"/>
              </w:rPr>
              <w:t>初基金</w:t>
            </w:r>
            <w:proofErr w:type="gramEnd"/>
            <w:r w:rsidR="007B62FA" w:rsidRPr="003502C1">
              <w:rPr>
                <w:rFonts w:hint="eastAsia"/>
                <w:sz w:val="24"/>
              </w:rPr>
              <w:t>份额总额</w:t>
            </w:r>
          </w:p>
        </w:tc>
        <w:tc>
          <w:tcPr>
            <w:tcW w:w="4358" w:type="dxa"/>
            <w:vAlign w:val="bottom"/>
          </w:tcPr>
          <w:p w:rsidR="007B62FA" w:rsidRPr="003502C1" w:rsidRDefault="007B62FA" w:rsidP="003502C1">
            <w:pPr>
              <w:spacing w:before="29" w:line="288" w:lineRule="auto"/>
              <w:jc w:val="right"/>
              <w:rPr>
                <w:sz w:val="24"/>
              </w:rPr>
            </w:pPr>
            <w:r w:rsidRPr="003502C1">
              <w:rPr>
                <w:sz w:val="24"/>
              </w:rPr>
              <w:t>26,648,861.69</w:t>
            </w:r>
          </w:p>
        </w:tc>
      </w:tr>
      <w:tr w:rsidR="007B62FA" w:rsidRPr="00D0372D" w:rsidTr="00514C59">
        <w:tc>
          <w:tcPr>
            <w:tcW w:w="4928" w:type="dxa"/>
            <w:vAlign w:val="center"/>
          </w:tcPr>
          <w:p w:rsidR="007B62FA" w:rsidRPr="003502C1" w:rsidRDefault="008F3D0D" w:rsidP="003502C1">
            <w:pPr>
              <w:spacing w:before="29" w:line="288" w:lineRule="auto"/>
              <w:rPr>
                <w:sz w:val="24"/>
              </w:rPr>
            </w:pPr>
            <w:r w:rsidRPr="003502C1">
              <w:rPr>
                <w:sz w:val="24"/>
              </w:rPr>
              <w:t>本报告</w:t>
            </w:r>
            <w:proofErr w:type="gramStart"/>
            <w:r w:rsidRPr="003502C1">
              <w:rPr>
                <w:sz w:val="24"/>
              </w:rPr>
              <w:t>期</w:t>
            </w:r>
            <w:r w:rsidR="007B62FA" w:rsidRPr="003502C1">
              <w:rPr>
                <w:rFonts w:hint="eastAsia"/>
                <w:sz w:val="24"/>
              </w:rPr>
              <w:t>基金</w:t>
            </w:r>
            <w:proofErr w:type="gramEnd"/>
            <w:r w:rsidR="007B62FA" w:rsidRPr="003502C1">
              <w:rPr>
                <w:rFonts w:hint="eastAsia"/>
                <w:sz w:val="24"/>
              </w:rPr>
              <w:t>总申购份额</w:t>
            </w:r>
          </w:p>
        </w:tc>
        <w:tc>
          <w:tcPr>
            <w:tcW w:w="4358" w:type="dxa"/>
            <w:vAlign w:val="bottom"/>
          </w:tcPr>
          <w:p w:rsidR="007B62FA" w:rsidRPr="003502C1" w:rsidRDefault="007B62FA" w:rsidP="003502C1">
            <w:pPr>
              <w:spacing w:before="29" w:line="288" w:lineRule="auto"/>
              <w:jc w:val="right"/>
              <w:rPr>
                <w:sz w:val="24"/>
              </w:rPr>
            </w:pPr>
            <w:r w:rsidRPr="003502C1">
              <w:rPr>
                <w:sz w:val="24"/>
              </w:rPr>
              <w:t>13,009,704.26</w:t>
            </w:r>
          </w:p>
        </w:tc>
      </w:tr>
      <w:tr w:rsidR="007B62FA" w:rsidRPr="00D0372D" w:rsidTr="00514C59">
        <w:tc>
          <w:tcPr>
            <w:tcW w:w="4928" w:type="dxa"/>
            <w:vAlign w:val="center"/>
          </w:tcPr>
          <w:p w:rsidR="007B62FA" w:rsidRPr="003502C1" w:rsidRDefault="007B62FA" w:rsidP="00485F46">
            <w:pPr>
              <w:spacing w:before="29" w:line="288" w:lineRule="auto"/>
              <w:rPr>
                <w:sz w:val="24"/>
              </w:rPr>
            </w:pPr>
            <w:r w:rsidRPr="003502C1">
              <w:rPr>
                <w:rFonts w:hint="eastAsia"/>
                <w:sz w:val="24"/>
              </w:rPr>
              <w:t>减：</w:t>
            </w:r>
            <w:r w:rsidR="008F3D0D" w:rsidRPr="003502C1">
              <w:rPr>
                <w:sz w:val="24"/>
              </w:rPr>
              <w:t>本报告</w:t>
            </w:r>
            <w:proofErr w:type="gramStart"/>
            <w:r w:rsidR="008F3D0D" w:rsidRPr="003502C1">
              <w:rPr>
                <w:sz w:val="24"/>
              </w:rPr>
              <w:t>期</w:t>
            </w:r>
            <w:r w:rsidRPr="003502C1">
              <w:rPr>
                <w:rFonts w:hint="eastAsia"/>
                <w:sz w:val="24"/>
              </w:rPr>
              <w:t>基金</w:t>
            </w:r>
            <w:proofErr w:type="gramEnd"/>
            <w:r w:rsidRPr="003502C1">
              <w:rPr>
                <w:rFonts w:hint="eastAsia"/>
                <w:sz w:val="24"/>
              </w:rPr>
              <w:t>总赎回份额</w:t>
            </w:r>
          </w:p>
        </w:tc>
        <w:tc>
          <w:tcPr>
            <w:tcW w:w="4358" w:type="dxa"/>
            <w:vAlign w:val="bottom"/>
          </w:tcPr>
          <w:p w:rsidR="007B62FA" w:rsidRPr="003502C1" w:rsidRDefault="007B62FA" w:rsidP="003502C1">
            <w:pPr>
              <w:spacing w:before="29" w:line="288" w:lineRule="auto"/>
              <w:jc w:val="right"/>
              <w:rPr>
                <w:sz w:val="24"/>
              </w:rPr>
            </w:pPr>
            <w:r w:rsidRPr="003502C1">
              <w:rPr>
                <w:sz w:val="24"/>
              </w:rPr>
              <w:t>7,595,255.89</w:t>
            </w:r>
          </w:p>
        </w:tc>
      </w:tr>
      <w:tr w:rsidR="007B62FA" w:rsidRPr="00D0372D" w:rsidTr="00514C59">
        <w:tc>
          <w:tcPr>
            <w:tcW w:w="4928" w:type="dxa"/>
            <w:vAlign w:val="center"/>
          </w:tcPr>
          <w:p w:rsidR="007B62FA" w:rsidRPr="003502C1" w:rsidRDefault="008F3D0D" w:rsidP="003502C1">
            <w:pPr>
              <w:spacing w:before="29" w:line="288" w:lineRule="auto"/>
              <w:rPr>
                <w:sz w:val="24"/>
              </w:rPr>
            </w:pPr>
            <w:r w:rsidRPr="003502C1">
              <w:rPr>
                <w:sz w:val="24"/>
              </w:rPr>
              <w:t>本报告</w:t>
            </w:r>
            <w:proofErr w:type="gramStart"/>
            <w:r w:rsidRPr="003502C1">
              <w:rPr>
                <w:sz w:val="24"/>
              </w:rPr>
              <w:t>期</w:t>
            </w:r>
            <w:r w:rsidR="007B62FA" w:rsidRPr="003502C1">
              <w:rPr>
                <w:rFonts w:hint="eastAsia"/>
                <w:sz w:val="24"/>
              </w:rPr>
              <w:t>基金</w:t>
            </w:r>
            <w:proofErr w:type="gramEnd"/>
            <w:r w:rsidR="007B62FA" w:rsidRPr="003502C1">
              <w:rPr>
                <w:rFonts w:hint="eastAsia"/>
                <w:sz w:val="24"/>
              </w:rPr>
              <w:t>拆分变动份额</w:t>
            </w:r>
          </w:p>
        </w:tc>
        <w:tc>
          <w:tcPr>
            <w:tcW w:w="4358" w:type="dxa"/>
            <w:vAlign w:val="bottom"/>
          </w:tcPr>
          <w:p w:rsidR="007B62FA" w:rsidRPr="003502C1" w:rsidRDefault="007B62FA" w:rsidP="003502C1">
            <w:pPr>
              <w:spacing w:before="29" w:line="288" w:lineRule="auto"/>
              <w:jc w:val="right"/>
              <w:rPr>
                <w:sz w:val="24"/>
              </w:rPr>
            </w:pPr>
            <w:r w:rsidRPr="003502C1">
              <w:rPr>
                <w:sz w:val="24"/>
              </w:rPr>
              <w:t>-</w:t>
            </w:r>
          </w:p>
        </w:tc>
      </w:tr>
      <w:tr w:rsidR="007B62FA" w:rsidRPr="00D0372D" w:rsidTr="00514C59">
        <w:tc>
          <w:tcPr>
            <w:tcW w:w="4928" w:type="dxa"/>
            <w:vAlign w:val="center"/>
          </w:tcPr>
          <w:p w:rsidR="007B62FA" w:rsidRPr="003502C1" w:rsidRDefault="007B62FA" w:rsidP="003502C1">
            <w:pPr>
              <w:spacing w:before="29" w:line="288" w:lineRule="auto"/>
              <w:rPr>
                <w:sz w:val="24"/>
              </w:rPr>
            </w:pPr>
            <w:r w:rsidRPr="003502C1">
              <w:rPr>
                <w:rFonts w:hint="eastAsia"/>
                <w:sz w:val="24"/>
              </w:rPr>
              <w:t>本报告期期末基金份额总额</w:t>
            </w:r>
          </w:p>
        </w:tc>
        <w:tc>
          <w:tcPr>
            <w:tcW w:w="4358" w:type="dxa"/>
            <w:vAlign w:val="center"/>
          </w:tcPr>
          <w:p w:rsidR="007B62FA" w:rsidRPr="003502C1" w:rsidRDefault="007B62FA" w:rsidP="003502C1">
            <w:pPr>
              <w:spacing w:before="29" w:line="288" w:lineRule="auto"/>
              <w:jc w:val="right"/>
              <w:rPr>
                <w:sz w:val="24"/>
              </w:rPr>
            </w:pPr>
            <w:r w:rsidRPr="003502C1">
              <w:rPr>
                <w:sz w:val="24"/>
              </w:rPr>
              <w:t>32,063,310.06</w:t>
            </w:r>
          </w:p>
        </w:tc>
      </w:tr>
    </w:tbl>
    <w:p w:rsidR="00B536C4" w:rsidRDefault="00CC45D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B62FA" w:rsidRDefault="007B62FA" w:rsidP="00856D61">
      <w:pPr>
        <w:tabs>
          <w:tab w:val="left" w:pos="426"/>
        </w:tabs>
        <w:spacing w:before="29" w:line="288" w:lineRule="auto"/>
        <w:jc w:val="left"/>
        <w:rPr>
          <w:kern w:val="0"/>
          <w:sz w:val="24"/>
        </w:rPr>
      </w:pPr>
      <w:r w:rsidRPr="00856D61">
        <w:rPr>
          <w:kern w:val="0"/>
          <w:sz w:val="24"/>
        </w:rPr>
        <w:t xml:space="preserve">    2</w:t>
      </w:r>
      <w:r w:rsidRPr="00856D61">
        <w:rPr>
          <w:kern w:val="0"/>
          <w:sz w:val="24"/>
        </w:rPr>
        <w:t>、如果本报告期间发生转换出业务，则总赎回份额中包含该业务。</w:t>
      </w:r>
    </w:p>
    <w:p w:rsidR="00514C59" w:rsidRPr="00856D61" w:rsidRDefault="00514C59" w:rsidP="00856D61">
      <w:pPr>
        <w:tabs>
          <w:tab w:val="left" w:pos="426"/>
        </w:tabs>
        <w:spacing w:before="29" w:line="288" w:lineRule="auto"/>
        <w:jc w:val="left"/>
        <w:rPr>
          <w:kern w:val="0"/>
          <w:sz w:val="24"/>
        </w:rPr>
      </w:pPr>
    </w:p>
    <w:p w:rsidR="007B62FA" w:rsidRDefault="007B62FA" w:rsidP="000C7A13">
      <w:pPr>
        <w:pStyle w:val="1"/>
        <w:keepNext/>
        <w:keepLines/>
        <w:widowControl w:val="0"/>
        <w:spacing w:beforeLines="100" w:before="312" w:afterLines="100" w:after="312" w:line="288" w:lineRule="auto"/>
        <w:jc w:val="center"/>
        <w:rPr>
          <w:b/>
          <w:bCs/>
          <w:szCs w:val="24"/>
          <w:lang w:val="en-US"/>
        </w:rPr>
      </w:pPr>
      <w:bookmarkStart w:id="423" w:name="_Toc225500054"/>
      <w:bookmarkStart w:id="424" w:name="_Toc352256010"/>
      <w:bookmarkStart w:id="425" w:name="_Toc352256078"/>
      <w:bookmarkStart w:id="426" w:name="_Toc352331256"/>
      <w:bookmarkStart w:id="427" w:name="_Toc362424035"/>
      <w:bookmarkStart w:id="428" w:name="_Toc478411463"/>
      <w:r w:rsidRPr="00D166A2">
        <w:rPr>
          <w:rFonts w:hint="eastAsia"/>
          <w:b/>
          <w:bCs/>
          <w:szCs w:val="24"/>
          <w:lang w:val="en-US"/>
        </w:rPr>
        <w:t>§</w:t>
      </w:r>
      <w:r w:rsidRPr="00D166A2">
        <w:rPr>
          <w:b/>
          <w:bCs/>
          <w:szCs w:val="24"/>
          <w:lang w:val="en-US"/>
        </w:rPr>
        <w:t>11</w:t>
      </w:r>
      <w:r w:rsidR="001822F7" w:rsidRPr="00D166A2">
        <w:rPr>
          <w:rFonts w:hint="eastAsia"/>
          <w:b/>
          <w:bCs/>
          <w:szCs w:val="24"/>
          <w:lang w:val="en-US"/>
        </w:rPr>
        <w:t xml:space="preserve"> </w:t>
      </w:r>
      <w:r w:rsidR="003E5E48" w:rsidRPr="00D166A2">
        <w:rPr>
          <w:rFonts w:hint="eastAsia"/>
          <w:b/>
          <w:bCs/>
          <w:szCs w:val="24"/>
          <w:lang w:val="en-US"/>
        </w:rPr>
        <w:t xml:space="preserve"> </w:t>
      </w:r>
      <w:r w:rsidRPr="00D166A2">
        <w:rPr>
          <w:rFonts w:hint="eastAsia"/>
          <w:b/>
          <w:bCs/>
          <w:szCs w:val="24"/>
          <w:lang w:val="en-US"/>
        </w:rPr>
        <w:t>重大事件揭示</w:t>
      </w:r>
      <w:bookmarkEnd w:id="423"/>
      <w:bookmarkEnd w:id="424"/>
      <w:bookmarkEnd w:id="425"/>
      <w:bookmarkEnd w:id="426"/>
      <w:bookmarkEnd w:id="427"/>
      <w:bookmarkEnd w:id="428"/>
    </w:p>
    <w:p w:rsidR="00FC649E" w:rsidRPr="00FC649E" w:rsidRDefault="00FC649E" w:rsidP="00FC649E"/>
    <w:p w:rsidR="007B62FA" w:rsidRPr="00D166A2" w:rsidRDefault="007B62FA" w:rsidP="00D166A2">
      <w:pPr>
        <w:pStyle w:val="20"/>
        <w:spacing w:before="29" w:after="0" w:line="288" w:lineRule="auto"/>
        <w:rPr>
          <w:rFonts w:ascii="Times New Roman" w:hAnsi="Times New Roman"/>
          <w:kern w:val="0"/>
          <w:szCs w:val="24"/>
        </w:rPr>
      </w:pPr>
      <w:bookmarkStart w:id="429" w:name="_Toc352256011"/>
      <w:bookmarkStart w:id="430" w:name="_Toc352256079"/>
      <w:bookmarkStart w:id="431" w:name="_Toc352331257"/>
      <w:bookmarkStart w:id="432" w:name="_Toc362424036"/>
      <w:bookmarkStart w:id="433" w:name="_Toc478411464"/>
      <w:r w:rsidRPr="00D166A2">
        <w:rPr>
          <w:rFonts w:ascii="Times New Roman" w:hAnsi="Times New Roman"/>
          <w:kern w:val="0"/>
          <w:szCs w:val="24"/>
        </w:rPr>
        <w:t>11.1</w:t>
      </w:r>
      <w:r w:rsidRPr="00D166A2">
        <w:rPr>
          <w:rFonts w:ascii="Times New Roman" w:hAnsi="Times New Roman" w:hint="eastAsia"/>
          <w:kern w:val="0"/>
          <w:szCs w:val="24"/>
        </w:rPr>
        <w:t>基金份额持有人大会决议</w:t>
      </w:r>
      <w:bookmarkEnd w:id="429"/>
      <w:bookmarkEnd w:id="430"/>
      <w:bookmarkEnd w:id="431"/>
      <w:bookmarkEnd w:id="432"/>
      <w:bookmarkEnd w:id="433"/>
    </w:p>
    <w:p w:rsidR="007B62FA" w:rsidRDefault="007B62FA" w:rsidP="003920A4">
      <w:pPr>
        <w:widowControl/>
        <w:spacing w:before="29" w:line="288" w:lineRule="auto"/>
        <w:ind w:firstLineChars="200" w:firstLine="480"/>
        <w:rPr>
          <w:kern w:val="0"/>
          <w:sz w:val="24"/>
        </w:rPr>
      </w:pPr>
      <w:r w:rsidRPr="003920A4">
        <w:rPr>
          <w:kern w:val="0"/>
          <w:sz w:val="24"/>
        </w:rPr>
        <w:t>本基金本报告期内未召开基金份额持有人大会。</w:t>
      </w:r>
    </w:p>
    <w:p w:rsidR="00957022" w:rsidRPr="00D0372D" w:rsidRDefault="00957022" w:rsidP="00957022">
      <w:pPr>
        <w:widowControl/>
        <w:spacing w:before="29" w:line="288"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34" w:name="_Toc352256012"/>
      <w:bookmarkStart w:id="435" w:name="_Toc352256080"/>
      <w:bookmarkStart w:id="436" w:name="_Toc352331258"/>
      <w:bookmarkStart w:id="437" w:name="_Toc362424037"/>
      <w:bookmarkStart w:id="438" w:name="_Toc478411465"/>
      <w:r w:rsidRPr="00D166A2">
        <w:rPr>
          <w:rFonts w:ascii="Times New Roman" w:hAnsi="Times New Roman"/>
          <w:kern w:val="0"/>
          <w:szCs w:val="24"/>
        </w:rPr>
        <w:lastRenderedPageBreak/>
        <w:t xml:space="preserve">11.2 </w:t>
      </w:r>
      <w:r w:rsidRPr="00D166A2">
        <w:rPr>
          <w:rFonts w:ascii="Times New Roman" w:hAnsi="Times New Roman" w:hint="eastAsia"/>
          <w:kern w:val="0"/>
          <w:szCs w:val="24"/>
        </w:rPr>
        <w:t>基金管理人、基金托管人的专门基金托管部门的重大人事变动</w:t>
      </w:r>
      <w:bookmarkEnd w:id="434"/>
      <w:bookmarkEnd w:id="435"/>
      <w:bookmarkEnd w:id="436"/>
      <w:bookmarkEnd w:id="437"/>
      <w:bookmarkEnd w:id="438"/>
    </w:p>
    <w:p w:rsidR="00B536C4" w:rsidRDefault="00CC45D2">
      <w:pPr>
        <w:widowControl/>
        <w:spacing w:before="29" w:line="288" w:lineRule="auto"/>
        <w:ind w:firstLineChars="200" w:firstLine="480"/>
        <w:rPr>
          <w:kern w:val="0"/>
          <w:sz w:val="24"/>
        </w:rPr>
      </w:pPr>
      <w:r>
        <w:rPr>
          <w:kern w:val="0"/>
          <w:sz w:val="24"/>
        </w:rPr>
        <w:t>1</w:t>
      </w:r>
      <w:r>
        <w:rPr>
          <w:kern w:val="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kern w:val="0"/>
          <w:sz w:val="24"/>
        </w:rPr>
        <w:t xml:space="preserve"> </w:t>
      </w:r>
    </w:p>
    <w:p w:rsidR="007B62FA" w:rsidRDefault="007B62FA" w:rsidP="003920A4">
      <w:pPr>
        <w:widowControl/>
        <w:spacing w:before="29" w:line="288" w:lineRule="auto"/>
        <w:ind w:firstLineChars="200" w:firstLine="480"/>
        <w:rPr>
          <w:kern w:val="0"/>
          <w:sz w:val="24"/>
        </w:rPr>
      </w:pPr>
      <w:r w:rsidRPr="003920A4">
        <w:rPr>
          <w:kern w:val="0"/>
          <w:sz w:val="24"/>
        </w:rPr>
        <w:t>2</w:t>
      </w:r>
      <w:r w:rsidRPr="003920A4">
        <w:rPr>
          <w:kern w:val="0"/>
          <w:sz w:val="24"/>
        </w:rPr>
        <w:t>、基金托管人的基金托管部门的重大人事变动：本基金托管人的专门基金托管部门本报告期内未发生重大人事变动。</w:t>
      </w:r>
      <w:r w:rsidRPr="003920A4">
        <w:rPr>
          <w:kern w:val="0"/>
          <w:sz w:val="24"/>
        </w:rPr>
        <w:t xml:space="preserve"> </w:t>
      </w:r>
    </w:p>
    <w:p w:rsidR="00957022" w:rsidRPr="003920A4" w:rsidRDefault="00957022" w:rsidP="003920A4">
      <w:pPr>
        <w:widowControl/>
        <w:spacing w:before="29" w:line="288" w:lineRule="auto"/>
        <w:ind w:firstLineChars="200" w:firstLine="480"/>
        <w:rPr>
          <w:kern w:val="0"/>
          <w:sz w:val="24"/>
        </w:rPr>
      </w:pPr>
    </w:p>
    <w:p w:rsidR="007B62FA" w:rsidRPr="00D166A2" w:rsidRDefault="007B62FA" w:rsidP="00D166A2">
      <w:pPr>
        <w:pStyle w:val="20"/>
        <w:spacing w:before="29" w:after="0" w:line="288" w:lineRule="auto"/>
        <w:rPr>
          <w:rFonts w:ascii="Times New Roman" w:hAnsi="Times New Roman"/>
          <w:kern w:val="0"/>
          <w:szCs w:val="24"/>
        </w:rPr>
      </w:pPr>
      <w:bookmarkStart w:id="439" w:name="_Toc352256013"/>
      <w:bookmarkStart w:id="440" w:name="_Toc352256081"/>
      <w:bookmarkStart w:id="441" w:name="_Toc352331259"/>
      <w:bookmarkStart w:id="442" w:name="_Toc362424038"/>
      <w:bookmarkStart w:id="443" w:name="_Toc478411466"/>
      <w:r w:rsidRPr="00D166A2">
        <w:rPr>
          <w:rFonts w:ascii="Times New Roman" w:hAnsi="Times New Roman"/>
          <w:kern w:val="0"/>
          <w:szCs w:val="24"/>
        </w:rPr>
        <w:t xml:space="preserve">11.3 </w:t>
      </w:r>
      <w:r w:rsidRPr="00D166A2">
        <w:rPr>
          <w:rFonts w:ascii="Times New Roman" w:hAnsi="Times New Roman" w:hint="eastAsia"/>
          <w:kern w:val="0"/>
          <w:szCs w:val="24"/>
        </w:rPr>
        <w:t>涉及基金管理人、基金财产、基金托管业务的诉讼</w:t>
      </w:r>
      <w:bookmarkEnd w:id="439"/>
      <w:bookmarkEnd w:id="440"/>
      <w:bookmarkEnd w:id="441"/>
      <w:bookmarkEnd w:id="442"/>
      <w:bookmarkEnd w:id="443"/>
    </w:p>
    <w:p w:rsidR="007B62FA" w:rsidRPr="0052560E" w:rsidRDefault="007B62FA" w:rsidP="0052560E">
      <w:pPr>
        <w:widowControl/>
        <w:spacing w:before="29" w:line="288" w:lineRule="auto"/>
        <w:ind w:firstLineChars="200" w:firstLine="480"/>
        <w:rPr>
          <w:kern w:val="0"/>
          <w:sz w:val="24"/>
        </w:rPr>
      </w:pPr>
      <w:r w:rsidRPr="0052560E">
        <w:rPr>
          <w:kern w:val="0"/>
          <w:sz w:val="24"/>
        </w:rPr>
        <w:t>本报告期内未发生涉及本基金管理人、基金财产、基金托管业务的诉讼事项。</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44" w:name="_Toc352256014"/>
      <w:bookmarkStart w:id="445" w:name="_Toc352256082"/>
      <w:bookmarkStart w:id="446" w:name="_Toc352331260"/>
      <w:bookmarkStart w:id="447" w:name="_Toc362424039"/>
      <w:bookmarkStart w:id="448" w:name="_Toc478411467"/>
      <w:r w:rsidRPr="00D166A2">
        <w:rPr>
          <w:rFonts w:ascii="Times New Roman" w:hAnsi="Times New Roman"/>
          <w:kern w:val="0"/>
          <w:szCs w:val="24"/>
        </w:rPr>
        <w:t xml:space="preserve">11.4 </w:t>
      </w:r>
      <w:r w:rsidRPr="00D166A2">
        <w:rPr>
          <w:rFonts w:ascii="Times New Roman" w:hAnsi="Times New Roman" w:hint="eastAsia"/>
          <w:kern w:val="0"/>
          <w:szCs w:val="24"/>
        </w:rPr>
        <w:t>基金投资策略的改变</w:t>
      </w:r>
      <w:bookmarkEnd w:id="444"/>
      <w:bookmarkEnd w:id="445"/>
      <w:bookmarkEnd w:id="446"/>
      <w:bookmarkEnd w:id="447"/>
      <w:bookmarkEnd w:id="448"/>
    </w:p>
    <w:p w:rsidR="007B62FA" w:rsidRPr="0052560E" w:rsidRDefault="007B62FA" w:rsidP="0052560E">
      <w:pPr>
        <w:widowControl/>
        <w:spacing w:before="29" w:line="288" w:lineRule="auto"/>
        <w:ind w:firstLineChars="200" w:firstLine="480"/>
        <w:rPr>
          <w:kern w:val="0"/>
          <w:sz w:val="24"/>
        </w:rPr>
      </w:pPr>
      <w:r w:rsidRPr="0052560E">
        <w:rPr>
          <w:kern w:val="0"/>
          <w:sz w:val="24"/>
        </w:rPr>
        <w:t>本基金本报告期内投资策略未发生改变。</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49" w:name="_Toc352256015"/>
      <w:bookmarkStart w:id="450" w:name="_Toc352256083"/>
      <w:bookmarkStart w:id="451" w:name="_Toc352331261"/>
      <w:bookmarkStart w:id="452" w:name="_Toc362424040"/>
      <w:bookmarkStart w:id="453" w:name="_Toc478411468"/>
      <w:r w:rsidRPr="00D166A2">
        <w:rPr>
          <w:rFonts w:ascii="Times New Roman" w:hAnsi="Times New Roman"/>
          <w:kern w:val="0"/>
          <w:szCs w:val="24"/>
        </w:rPr>
        <w:t>11.5</w:t>
      </w:r>
      <w:bookmarkEnd w:id="449"/>
      <w:bookmarkEnd w:id="450"/>
      <w:bookmarkEnd w:id="451"/>
      <w:r w:rsidR="00E235AE" w:rsidRPr="00D166A2">
        <w:rPr>
          <w:rFonts w:ascii="Times New Roman" w:hAnsi="Times New Roman" w:hint="eastAsia"/>
          <w:kern w:val="0"/>
          <w:szCs w:val="24"/>
        </w:rPr>
        <w:t>为基金进行审计的会计师事务所情况</w:t>
      </w:r>
      <w:bookmarkEnd w:id="452"/>
      <w:bookmarkEnd w:id="453"/>
    </w:p>
    <w:p w:rsidR="007B62FA" w:rsidRPr="0052560E" w:rsidRDefault="007B62FA" w:rsidP="0052560E">
      <w:pPr>
        <w:widowControl/>
        <w:spacing w:before="29" w:line="288" w:lineRule="auto"/>
        <w:ind w:firstLineChars="200" w:firstLine="480"/>
        <w:rPr>
          <w:kern w:val="0"/>
          <w:sz w:val="24"/>
        </w:rPr>
      </w:pPr>
      <w:bookmarkStart w:id="454" w:name="OLE_LINK3"/>
      <w:r w:rsidRPr="0052560E">
        <w:rPr>
          <w:kern w:val="0"/>
          <w:sz w:val="24"/>
        </w:rPr>
        <w:t>本报告期内，为本基金提供审计服务的会计师事务所为普华永道中天会计师事务所（特殊普通合伙），本期审计费用为</w:t>
      </w:r>
      <w:r w:rsidRPr="0052560E">
        <w:rPr>
          <w:kern w:val="0"/>
          <w:sz w:val="24"/>
        </w:rPr>
        <w:t>30,000.00</w:t>
      </w:r>
      <w:r w:rsidRPr="0052560E">
        <w:rPr>
          <w:kern w:val="0"/>
          <w:sz w:val="24"/>
        </w:rPr>
        <w:t>元。自本基金合同生效以来，本基金未改聘为其审计的会计师事务所。</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55" w:name="_Toc352256016"/>
      <w:bookmarkStart w:id="456" w:name="_Toc352256084"/>
      <w:bookmarkStart w:id="457" w:name="_Toc352331262"/>
      <w:bookmarkStart w:id="458" w:name="_Toc362424041"/>
      <w:bookmarkStart w:id="459" w:name="_Toc478411469"/>
      <w:bookmarkEnd w:id="454"/>
      <w:r w:rsidRPr="00D166A2">
        <w:rPr>
          <w:rFonts w:ascii="Times New Roman" w:hAnsi="Times New Roman"/>
          <w:kern w:val="0"/>
          <w:szCs w:val="24"/>
        </w:rPr>
        <w:t xml:space="preserve">11.6 </w:t>
      </w:r>
      <w:r w:rsidRPr="00D166A2">
        <w:rPr>
          <w:rFonts w:ascii="Times New Roman" w:hAnsi="Times New Roman" w:hint="eastAsia"/>
          <w:kern w:val="0"/>
          <w:szCs w:val="24"/>
        </w:rPr>
        <w:t>管理人、托管人及其高级管理人员受稽查或处罚等情况</w:t>
      </w:r>
      <w:bookmarkEnd w:id="455"/>
      <w:bookmarkEnd w:id="456"/>
      <w:bookmarkEnd w:id="457"/>
      <w:bookmarkEnd w:id="458"/>
      <w:bookmarkEnd w:id="459"/>
    </w:p>
    <w:p w:rsidR="00B57646" w:rsidRPr="00B57646" w:rsidRDefault="00B57646" w:rsidP="00B57646">
      <w:pPr>
        <w:widowControl/>
        <w:spacing w:before="29" w:line="288" w:lineRule="auto"/>
        <w:ind w:firstLineChars="200" w:firstLine="480"/>
        <w:rPr>
          <w:kern w:val="0"/>
          <w:sz w:val="24"/>
        </w:rPr>
      </w:pPr>
      <w:r w:rsidRPr="00B57646">
        <w:rPr>
          <w:rFonts w:hint="eastAsia"/>
          <w:kern w:val="0"/>
          <w:sz w:val="24"/>
        </w:rPr>
        <w:t>1</w:t>
      </w:r>
      <w:r w:rsidRPr="00B57646">
        <w:rPr>
          <w:rFonts w:hint="eastAsia"/>
          <w:kern w:val="0"/>
          <w:sz w:val="24"/>
        </w:rPr>
        <w:t>、管理人及其高级管理人员受稽查或处罚等情况</w:t>
      </w:r>
    </w:p>
    <w:p w:rsidR="00B57646" w:rsidRPr="00B57646" w:rsidRDefault="00B57646" w:rsidP="00B57646">
      <w:pPr>
        <w:widowControl/>
        <w:spacing w:before="29" w:line="288" w:lineRule="auto"/>
        <w:ind w:firstLineChars="200" w:firstLine="480"/>
        <w:rPr>
          <w:kern w:val="0"/>
          <w:sz w:val="24"/>
        </w:rPr>
      </w:pPr>
      <w:r w:rsidRPr="00B57646">
        <w:rPr>
          <w:rFonts w:hint="eastAsia"/>
          <w:kern w:val="0"/>
          <w:sz w:val="24"/>
        </w:rPr>
        <w:t>公司于</w:t>
      </w:r>
      <w:r w:rsidRPr="00B57646">
        <w:rPr>
          <w:rFonts w:hint="eastAsia"/>
          <w:kern w:val="0"/>
          <w:sz w:val="24"/>
        </w:rPr>
        <w:t>2016</w:t>
      </w:r>
      <w:r w:rsidRPr="00B57646">
        <w:rPr>
          <w:rFonts w:hint="eastAsia"/>
          <w:kern w:val="0"/>
          <w:sz w:val="24"/>
        </w:rPr>
        <w:t>年</w:t>
      </w:r>
      <w:r w:rsidRPr="00B57646">
        <w:rPr>
          <w:rFonts w:hint="eastAsia"/>
          <w:kern w:val="0"/>
          <w:sz w:val="24"/>
        </w:rPr>
        <w:t>1</w:t>
      </w:r>
      <w:r w:rsidRPr="00B57646">
        <w:rPr>
          <w:rFonts w:hint="eastAsia"/>
          <w:kern w:val="0"/>
          <w:sz w:val="24"/>
        </w:rPr>
        <w:t>月和</w:t>
      </w:r>
      <w:r w:rsidRPr="00B57646">
        <w:rPr>
          <w:rFonts w:hint="eastAsia"/>
          <w:kern w:val="0"/>
          <w:sz w:val="24"/>
        </w:rPr>
        <w:t>10</w:t>
      </w:r>
      <w:r w:rsidRPr="00B57646">
        <w:rPr>
          <w:rFonts w:hint="eastAsia"/>
          <w:kern w:val="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B57646" w:rsidRPr="00B57646" w:rsidRDefault="00B57646" w:rsidP="00B57646">
      <w:pPr>
        <w:widowControl/>
        <w:spacing w:before="29" w:line="288" w:lineRule="auto"/>
        <w:ind w:firstLineChars="200" w:firstLine="480"/>
        <w:rPr>
          <w:kern w:val="0"/>
          <w:sz w:val="24"/>
        </w:rPr>
      </w:pPr>
      <w:r w:rsidRPr="00B57646">
        <w:rPr>
          <w:rFonts w:hint="eastAsia"/>
          <w:kern w:val="0"/>
          <w:sz w:val="24"/>
        </w:rPr>
        <w:t>2</w:t>
      </w:r>
      <w:r w:rsidRPr="00B57646">
        <w:rPr>
          <w:rFonts w:hint="eastAsia"/>
          <w:kern w:val="0"/>
          <w:sz w:val="24"/>
        </w:rPr>
        <w:t>、托管人及其高级管理人员受稽查或处罚等情况</w:t>
      </w:r>
    </w:p>
    <w:p w:rsidR="007B62FA" w:rsidRPr="0052560E" w:rsidRDefault="00B57646" w:rsidP="00B57646">
      <w:pPr>
        <w:widowControl/>
        <w:spacing w:before="29" w:line="288" w:lineRule="auto"/>
        <w:ind w:firstLineChars="200" w:firstLine="480"/>
        <w:rPr>
          <w:kern w:val="0"/>
          <w:sz w:val="24"/>
        </w:rPr>
      </w:pPr>
      <w:r w:rsidRPr="00B57646">
        <w:rPr>
          <w:rFonts w:hint="eastAsia"/>
          <w:kern w:val="0"/>
          <w:sz w:val="24"/>
        </w:rPr>
        <w:t>基金托管人及其高级管理人员本报告期内未受监管部门稽查或处罚。</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60" w:name="_Toc352256017"/>
      <w:bookmarkStart w:id="461" w:name="_Toc352256085"/>
      <w:bookmarkStart w:id="462" w:name="_Toc352331263"/>
      <w:bookmarkStart w:id="463" w:name="_Toc362424042"/>
      <w:bookmarkStart w:id="464" w:name="_Toc478411470"/>
      <w:r w:rsidRPr="00D166A2">
        <w:rPr>
          <w:rFonts w:ascii="Times New Roman" w:hAnsi="Times New Roman"/>
          <w:kern w:val="0"/>
          <w:szCs w:val="24"/>
        </w:rPr>
        <w:t xml:space="preserve">11.7 </w:t>
      </w:r>
      <w:r w:rsidRPr="00D166A2">
        <w:rPr>
          <w:rFonts w:ascii="Times New Roman" w:hAnsi="Times New Roman" w:hint="eastAsia"/>
          <w:kern w:val="0"/>
          <w:szCs w:val="24"/>
        </w:rPr>
        <w:t>基金租用证券公司交易单元的有关情况</w:t>
      </w:r>
      <w:bookmarkEnd w:id="460"/>
      <w:bookmarkEnd w:id="461"/>
      <w:bookmarkEnd w:id="462"/>
      <w:bookmarkEnd w:id="463"/>
      <w:bookmarkEnd w:id="464"/>
    </w:p>
    <w:p w:rsidR="007B62FA" w:rsidRPr="00D166A2" w:rsidRDefault="007B62FA" w:rsidP="00D166A2">
      <w:pPr>
        <w:pStyle w:val="20"/>
        <w:spacing w:before="29" w:after="0" w:line="288" w:lineRule="auto"/>
        <w:rPr>
          <w:rFonts w:ascii="Times New Roman" w:hAnsi="Times New Roman"/>
          <w:kern w:val="0"/>
          <w:szCs w:val="24"/>
        </w:rPr>
      </w:pPr>
      <w:bookmarkStart w:id="465" w:name="_Toc249760070"/>
      <w:bookmarkStart w:id="466" w:name="_Toc478410296"/>
      <w:bookmarkStart w:id="467" w:name="_Toc478411471"/>
      <w:r w:rsidRPr="00D166A2">
        <w:rPr>
          <w:rFonts w:ascii="Times New Roman" w:hAnsi="Times New Roman"/>
          <w:kern w:val="0"/>
          <w:szCs w:val="24"/>
        </w:rPr>
        <w:t>11.7.1</w:t>
      </w:r>
      <w:r w:rsidR="000F515E" w:rsidRPr="00D166A2">
        <w:rPr>
          <w:rFonts w:ascii="Times New Roman" w:hAnsi="Times New Roman" w:hint="eastAsia"/>
          <w:kern w:val="0"/>
          <w:szCs w:val="24"/>
        </w:rPr>
        <w:t xml:space="preserve"> </w:t>
      </w:r>
      <w:r w:rsidRPr="00D166A2">
        <w:rPr>
          <w:rFonts w:ascii="Times New Roman" w:hAnsi="Times New Roman" w:hint="eastAsia"/>
          <w:kern w:val="0"/>
          <w:szCs w:val="24"/>
        </w:rPr>
        <w:t>基金租用证券公司交易单元进行股票投资及佣金支付情况</w:t>
      </w:r>
      <w:bookmarkEnd w:id="465"/>
      <w:bookmarkEnd w:id="466"/>
      <w:bookmarkEnd w:id="467"/>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7B62FA" w:rsidRPr="007F6A2C" w:rsidTr="00F5197A">
        <w:tc>
          <w:tcPr>
            <w:tcW w:w="1559" w:type="dxa"/>
            <w:vMerge w:val="restart"/>
            <w:vAlign w:val="center"/>
          </w:tcPr>
          <w:p w:rsidR="007B62FA" w:rsidRPr="007F6A2C" w:rsidRDefault="007B62FA" w:rsidP="006316E9">
            <w:pPr>
              <w:spacing w:before="29" w:line="288" w:lineRule="auto"/>
              <w:jc w:val="center"/>
              <w:rPr>
                <w:color w:val="000000"/>
                <w:szCs w:val="21"/>
              </w:rPr>
            </w:pPr>
            <w:bookmarkStart w:id="468" w:name="_Toc249760071"/>
            <w:r w:rsidRPr="007F6A2C">
              <w:rPr>
                <w:rFonts w:hint="eastAsia"/>
                <w:color w:val="000000"/>
                <w:szCs w:val="21"/>
              </w:rPr>
              <w:t>券商名称</w:t>
            </w:r>
          </w:p>
        </w:tc>
        <w:tc>
          <w:tcPr>
            <w:tcW w:w="1559" w:type="dxa"/>
            <w:vMerge w:val="restart"/>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交易单元数量</w:t>
            </w:r>
          </w:p>
        </w:tc>
        <w:tc>
          <w:tcPr>
            <w:tcW w:w="1559" w:type="dxa"/>
            <w:gridSpan w:val="2"/>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股票交易</w:t>
            </w:r>
          </w:p>
        </w:tc>
        <w:tc>
          <w:tcPr>
            <w:tcW w:w="1559" w:type="dxa"/>
            <w:gridSpan w:val="2"/>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应支付该券商的佣金</w:t>
            </w:r>
          </w:p>
        </w:tc>
        <w:tc>
          <w:tcPr>
            <w:tcW w:w="1559" w:type="dxa"/>
            <w:vMerge w:val="restart"/>
            <w:vAlign w:val="center"/>
          </w:tcPr>
          <w:p w:rsidR="007B62FA" w:rsidRPr="007F6A2C" w:rsidRDefault="007B62FA" w:rsidP="006316E9">
            <w:pPr>
              <w:spacing w:before="29" w:line="288" w:lineRule="auto"/>
              <w:jc w:val="center"/>
              <w:rPr>
                <w:rFonts w:ascii="宋体" w:hAnsi="宋体"/>
                <w:color w:val="000000"/>
                <w:kern w:val="0"/>
                <w:szCs w:val="21"/>
              </w:rPr>
            </w:pPr>
            <w:r w:rsidRPr="007F6A2C">
              <w:rPr>
                <w:rFonts w:hint="eastAsia"/>
                <w:color w:val="000000"/>
                <w:szCs w:val="21"/>
              </w:rPr>
              <w:t>备注</w:t>
            </w:r>
          </w:p>
        </w:tc>
      </w:tr>
      <w:tr w:rsidR="007B62FA" w:rsidRPr="007F6A2C" w:rsidTr="00F5197A">
        <w:tc>
          <w:tcPr>
            <w:tcW w:w="1559" w:type="dxa"/>
            <w:vMerge/>
            <w:vAlign w:val="center"/>
          </w:tcPr>
          <w:p w:rsidR="007B62FA" w:rsidRPr="007F6A2C" w:rsidRDefault="007B62FA" w:rsidP="00417F87">
            <w:pPr>
              <w:widowControl/>
              <w:spacing w:line="360" w:lineRule="auto"/>
              <w:jc w:val="left"/>
              <w:rPr>
                <w:rFonts w:ascii="宋体" w:hAnsi="宋体"/>
                <w:color w:val="000000"/>
                <w:szCs w:val="21"/>
              </w:rPr>
            </w:pPr>
          </w:p>
        </w:tc>
        <w:tc>
          <w:tcPr>
            <w:tcW w:w="1559" w:type="dxa"/>
            <w:vMerge/>
            <w:vAlign w:val="center"/>
          </w:tcPr>
          <w:p w:rsidR="007B62FA" w:rsidRPr="007F6A2C" w:rsidRDefault="007B62FA" w:rsidP="00417F87">
            <w:pPr>
              <w:widowControl/>
              <w:spacing w:line="360" w:lineRule="auto"/>
              <w:jc w:val="left"/>
              <w:rPr>
                <w:rFonts w:ascii="宋体" w:hAnsi="宋体"/>
                <w:color w:val="000000"/>
                <w:szCs w:val="21"/>
              </w:rPr>
            </w:pPr>
          </w:p>
        </w:tc>
        <w:tc>
          <w:tcPr>
            <w:tcW w:w="1559"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成交金额</w:t>
            </w:r>
          </w:p>
        </w:tc>
        <w:tc>
          <w:tcPr>
            <w:tcW w:w="1559"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占当期股票成交总额的比例</w:t>
            </w:r>
          </w:p>
        </w:tc>
        <w:tc>
          <w:tcPr>
            <w:tcW w:w="1559"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佣金</w:t>
            </w:r>
          </w:p>
        </w:tc>
        <w:tc>
          <w:tcPr>
            <w:tcW w:w="1559" w:type="dxa"/>
            <w:vAlign w:val="center"/>
          </w:tcPr>
          <w:p w:rsidR="007B62FA" w:rsidRPr="007F6A2C" w:rsidRDefault="007B62FA" w:rsidP="006316E9">
            <w:pPr>
              <w:spacing w:before="29" w:line="288" w:lineRule="auto"/>
              <w:jc w:val="center"/>
              <w:rPr>
                <w:color w:val="000000"/>
                <w:szCs w:val="21"/>
              </w:rPr>
            </w:pPr>
            <w:r w:rsidRPr="007F6A2C">
              <w:rPr>
                <w:rFonts w:hint="eastAsia"/>
                <w:color w:val="000000"/>
                <w:szCs w:val="21"/>
              </w:rPr>
              <w:t>占当期佣金总量的比例</w:t>
            </w:r>
          </w:p>
        </w:tc>
        <w:tc>
          <w:tcPr>
            <w:tcW w:w="1559" w:type="dxa"/>
            <w:vMerge/>
            <w:vAlign w:val="center"/>
          </w:tcPr>
          <w:p w:rsidR="007B62FA" w:rsidRPr="007F6A2C" w:rsidRDefault="007B62FA" w:rsidP="00417F87">
            <w:pPr>
              <w:widowControl/>
              <w:spacing w:line="360" w:lineRule="auto"/>
              <w:jc w:val="left"/>
              <w:rPr>
                <w:rFonts w:ascii="宋体" w:hAnsi="宋体"/>
                <w:color w:val="000000"/>
                <w:kern w:val="0"/>
                <w:szCs w:val="21"/>
              </w:rPr>
            </w:pPr>
          </w:p>
        </w:tc>
      </w:tr>
      <w:tr w:rsidR="00B536C4">
        <w:tc>
          <w:tcPr>
            <w:tcW w:w="1286" w:type="dxa"/>
            <w:vAlign w:val="center"/>
          </w:tcPr>
          <w:p w:rsidR="00B536C4" w:rsidRDefault="00CC45D2">
            <w:pPr>
              <w:jc w:val="center"/>
            </w:pPr>
            <w:r>
              <w:rPr>
                <w:color w:val="000000"/>
                <w:szCs w:val="21"/>
              </w:rPr>
              <w:lastRenderedPageBreak/>
              <w:t xml:space="preserve">China Merchants </w:t>
            </w:r>
            <w:proofErr w:type="gramStart"/>
            <w:r>
              <w:rPr>
                <w:color w:val="000000"/>
                <w:szCs w:val="21"/>
              </w:rPr>
              <w:t>Securities(</w:t>
            </w:r>
            <w:proofErr w:type="gramEnd"/>
            <w:r>
              <w:rPr>
                <w:color w:val="000000"/>
                <w:szCs w:val="21"/>
              </w:rPr>
              <w:t>HK)Co.Ltd.</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22,511,967.82</w:t>
            </w:r>
          </w:p>
        </w:tc>
        <w:tc>
          <w:tcPr>
            <w:tcW w:w="1285" w:type="dxa"/>
            <w:vAlign w:val="center"/>
          </w:tcPr>
          <w:p w:rsidR="00B536C4" w:rsidRDefault="00CC45D2">
            <w:pPr>
              <w:jc w:val="right"/>
            </w:pPr>
            <w:r>
              <w:rPr>
                <w:color w:val="000000"/>
                <w:szCs w:val="21"/>
              </w:rPr>
              <w:t>28.98%</w:t>
            </w:r>
          </w:p>
        </w:tc>
        <w:tc>
          <w:tcPr>
            <w:tcW w:w="1285" w:type="dxa"/>
            <w:vAlign w:val="center"/>
          </w:tcPr>
          <w:p w:rsidR="00B536C4" w:rsidRDefault="00CC45D2">
            <w:pPr>
              <w:jc w:val="right"/>
            </w:pPr>
            <w:r>
              <w:rPr>
                <w:color w:val="000000"/>
                <w:szCs w:val="21"/>
              </w:rPr>
              <w:t>22,512.02</w:t>
            </w:r>
          </w:p>
        </w:tc>
        <w:tc>
          <w:tcPr>
            <w:tcW w:w="1285" w:type="dxa"/>
            <w:vAlign w:val="center"/>
          </w:tcPr>
          <w:p w:rsidR="00B536C4" w:rsidRDefault="00CC45D2">
            <w:pPr>
              <w:jc w:val="right"/>
            </w:pPr>
            <w:r>
              <w:rPr>
                <w:color w:val="000000"/>
                <w:szCs w:val="21"/>
              </w:rPr>
              <w:t>24.55%</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UOB Kay Hian(Hong Kong) Limited</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21,922,195.63</w:t>
            </w:r>
          </w:p>
        </w:tc>
        <w:tc>
          <w:tcPr>
            <w:tcW w:w="1285" w:type="dxa"/>
            <w:vAlign w:val="center"/>
          </w:tcPr>
          <w:p w:rsidR="00B536C4" w:rsidRDefault="00CC45D2">
            <w:pPr>
              <w:jc w:val="right"/>
            </w:pPr>
            <w:r>
              <w:rPr>
                <w:color w:val="000000"/>
                <w:szCs w:val="21"/>
              </w:rPr>
              <w:t>28.22%</w:t>
            </w:r>
          </w:p>
        </w:tc>
        <w:tc>
          <w:tcPr>
            <w:tcW w:w="1285" w:type="dxa"/>
            <w:vAlign w:val="center"/>
          </w:tcPr>
          <w:p w:rsidR="00B536C4" w:rsidRDefault="00CC45D2">
            <w:pPr>
              <w:jc w:val="right"/>
            </w:pPr>
            <w:r>
              <w:rPr>
                <w:color w:val="000000"/>
                <w:szCs w:val="21"/>
              </w:rPr>
              <w:t>26,306.63</w:t>
            </w:r>
          </w:p>
        </w:tc>
        <w:tc>
          <w:tcPr>
            <w:tcW w:w="1285" w:type="dxa"/>
            <w:vAlign w:val="center"/>
          </w:tcPr>
          <w:p w:rsidR="00B536C4" w:rsidRDefault="00CC45D2">
            <w:pPr>
              <w:jc w:val="right"/>
            </w:pPr>
            <w:r>
              <w:rPr>
                <w:color w:val="000000"/>
                <w:szCs w:val="21"/>
              </w:rPr>
              <w:t>28.69%</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Bocom International Securities Limited</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13,956,508.30</w:t>
            </w:r>
          </w:p>
        </w:tc>
        <w:tc>
          <w:tcPr>
            <w:tcW w:w="1285" w:type="dxa"/>
            <w:vAlign w:val="center"/>
          </w:tcPr>
          <w:p w:rsidR="00B536C4" w:rsidRDefault="00CC45D2">
            <w:pPr>
              <w:jc w:val="right"/>
            </w:pPr>
            <w:r>
              <w:rPr>
                <w:color w:val="000000"/>
                <w:szCs w:val="21"/>
              </w:rPr>
              <w:t>17.97%</w:t>
            </w:r>
          </w:p>
        </w:tc>
        <w:tc>
          <w:tcPr>
            <w:tcW w:w="1285" w:type="dxa"/>
            <w:vAlign w:val="center"/>
          </w:tcPr>
          <w:p w:rsidR="00B536C4" w:rsidRDefault="00CC45D2">
            <w:pPr>
              <w:jc w:val="right"/>
            </w:pPr>
            <w:r>
              <w:rPr>
                <w:color w:val="000000"/>
                <w:szCs w:val="21"/>
              </w:rPr>
              <w:t>13,956.48</w:t>
            </w:r>
          </w:p>
        </w:tc>
        <w:tc>
          <w:tcPr>
            <w:tcW w:w="1285" w:type="dxa"/>
            <w:vAlign w:val="center"/>
          </w:tcPr>
          <w:p w:rsidR="00B536C4" w:rsidRDefault="00CC45D2">
            <w:pPr>
              <w:jc w:val="right"/>
            </w:pPr>
            <w:r>
              <w:rPr>
                <w:color w:val="000000"/>
                <w:szCs w:val="21"/>
              </w:rPr>
              <w:t>15.22%</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CICC Hong Kong Securities Limited</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12,001,134.85</w:t>
            </w:r>
          </w:p>
        </w:tc>
        <w:tc>
          <w:tcPr>
            <w:tcW w:w="1285" w:type="dxa"/>
            <w:vAlign w:val="center"/>
          </w:tcPr>
          <w:p w:rsidR="00B536C4" w:rsidRDefault="00CC45D2">
            <w:pPr>
              <w:jc w:val="right"/>
            </w:pPr>
            <w:r>
              <w:rPr>
                <w:color w:val="000000"/>
                <w:szCs w:val="21"/>
              </w:rPr>
              <w:t>15.45%</w:t>
            </w:r>
          </w:p>
        </w:tc>
        <w:tc>
          <w:tcPr>
            <w:tcW w:w="1285" w:type="dxa"/>
            <w:vAlign w:val="center"/>
          </w:tcPr>
          <w:p w:rsidR="00B536C4" w:rsidRDefault="00CC45D2">
            <w:pPr>
              <w:jc w:val="right"/>
            </w:pPr>
            <w:r>
              <w:rPr>
                <w:color w:val="000000"/>
                <w:szCs w:val="21"/>
              </w:rPr>
              <w:t>18,001.71</w:t>
            </w:r>
          </w:p>
        </w:tc>
        <w:tc>
          <w:tcPr>
            <w:tcW w:w="1285" w:type="dxa"/>
            <w:vAlign w:val="center"/>
          </w:tcPr>
          <w:p w:rsidR="00B536C4" w:rsidRDefault="00CC45D2">
            <w:pPr>
              <w:jc w:val="right"/>
            </w:pPr>
            <w:r>
              <w:rPr>
                <w:color w:val="000000"/>
                <w:szCs w:val="21"/>
              </w:rPr>
              <w:t>19.63%</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Goldman Sachs (ASIA) Securities Limited</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5,449,109.07</w:t>
            </w:r>
          </w:p>
        </w:tc>
        <w:tc>
          <w:tcPr>
            <w:tcW w:w="1285" w:type="dxa"/>
            <w:vAlign w:val="center"/>
          </w:tcPr>
          <w:p w:rsidR="00B536C4" w:rsidRDefault="00CC45D2">
            <w:pPr>
              <w:jc w:val="right"/>
            </w:pPr>
            <w:r>
              <w:rPr>
                <w:color w:val="000000"/>
                <w:szCs w:val="21"/>
              </w:rPr>
              <w:t>7.02%</w:t>
            </w:r>
          </w:p>
        </w:tc>
        <w:tc>
          <w:tcPr>
            <w:tcW w:w="1285" w:type="dxa"/>
            <w:vAlign w:val="center"/>
          </w:tcPr>
          <w:p w:rsidR="00B536C4" w:rsidRDefault="00CC45D2">
            <w:pPr>
              <w:jc w:val="right"/>
            </w:pPr>
            <w:r>
              <w:rPr>
                <w:color w:val="000000"/>
                <w:szCs w:val="21"/>
              </w:rPr>
              <w:t>8,173.67</w:t>
            </w:r>
          </w:p>
        </w:tc>
        <w:tc>
          <w:tcPr>
            <w:tcW w:w="1285" w:type="dxa"/>
            <w:vAlign w:val="center"/>
          </w:tcPr>
          <w:p w:rsidR="00B536C4" w:rsidRDefault="00CC45D2">
            <w:pPr>
              <w:jc w:val="right"/>
            </w:pPr>
            <w:r>
              <w:rPr>
                <w:color w:val="000000"/>
                <w:szCs w:val="21"/>
              </w:rPr>
              <w:t>8.91%</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Credit Suisse(Hong Kong) Ltd</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1,830,515.60</w:t>
            </w:r>
          </w:p>
        </w:tc>
        <w:tc>
          <w:tcPr>
            <w:tcW w:w="1285" w:type="dxa"/>
            <w:vAlign w:val="center"/>
          </w:tcPr>
          <w:p w:rsidR="00B536C4" w:rsidRDefault="00CC45D2">
            <w:pPr>
              <w:jc w:val="right"/>
            </w:pPr>
            <w:r>
              <w:rPr>
                <w:color w:val="000000"/>
                <w:szCs w:val="21"/>
              </w:rPr>
              <w:t>2.36%</w:t>
            </w:r>
          </w:p>
        </w:tc>
        <w:tc>
          <w:tcPr>
            <w:tcW w:w="1285" w:type="dxa"/>
            <w:vAlign w:val="center"/>
          </w:tcPr>
          <w:p w:rsidR="00B536C4" w:rsidRDefault="00CC45D2">
            <w:pPr>
              <w:jc w:val="right"/>
            </w:pPr>
            <w:r>
              <w:rPr>
                <w:color w:val="000000"/>
                <w:szCs w:val="21"/>
              </w:rPr>
              <w:t>2,745.78</w:t>
            </w:r>
          </w:p>
        </w:tc>
        <w:tc>
          <w:tcPr>
            <w:tcW w:w="1285" w:type="dxa"/>
            <w:vAlign w:val="center"/>
          </w:tcPr>
          <w:p w:rsidR="00B536C4" w:rsidRDefault="00CC45D2">
            <w:pPr>
              <w:jc w:val="right"/>
            </w:pPr>
            <w:r>
              <w:rPr>
                <w:color w:val="000000"/>
                <w:szCs w:val="21"/>
              </w:rPr>
              <w:t>2.99%</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Instinet Pacific Limited</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Guosen Securities(HK) Brokerage Company, Limited</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BOCI Securities Limited</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Shenyin Wanguo Securities(H.K.)Ltd</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Macquarie Bank Limited</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CCB Internationa</w:t>
            </w:r>
            <w:r>
              <w:rPr>
                <w:color w:val="000000"/>
                <w:szCs w:val="21"/>
              </w:rPr>
              <w:lastRenderedPageBreak/>
              <w:t>l Securities Limited</w:t>
            </w:r>
          </w:p>
        </w:tc>
        <w:tc>
          <w:tcPr>
            <w:tcW w:w="1286" w:type="dxa"/>
            <w:vAlign w:val="center"/>
          </w:tcPr>
          <w:p w:rsidR="00B536C4" w:rsidRDefault="00CC45D2">
            <w:pPr>
              <w:jc w:val="right"/>
            </w:pPr>
            <w:r>
              <w:rPr>
                <w:color w:val="000000"/>
                <w:szCs w:val="21"/>
              </w:rPr>
              <w:lastRenderedPageBreak/>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lastRenderedPageBreak/>
              <w:t>Barclays Capital Group</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BRADESCO SEC</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BSCH New York</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BTIG LLC</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CITIC Securities Brokerage (HK) Limited</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Citigroup Global Markets Australia Pty</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Citigroup Global Markets Ltd</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Citigroup Global Markets New York</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Citigroup Global Markets UK Equity</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CORMARK SEC</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Credit Suisse First Boston (Seoul) Ltd</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Credit Suisse Securities (Europe) Ltd</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 xml:space="preserve">CSFB Singapore Secs PTE </w:t>
            </w:r>
            <w:r>
              <w:rPr>
                <w:color w:val="000000"/>
                <w:szCs w:val="21"/>
              </w:rPr>
              <w:lastRenderedPageBreak/>
              <w:t>Limited</w:t>
            </w:r>
          </w:p>
        </w:tc>
        <w:tc>
          <w:tcPr>
            <w:tcW w:w="1286" w:type="dxa"/>
            <w:vAlign w:val="center"/>
          </w:tcPr>
          <w:p w:rsidR="00B536C4" w:rsidRDefault="00CC45D2">
            <w:pPr>
              <w:jc w:val="right"/>
            </w:pPr>
            <w:r>
              <w:rPr>
                <w:color w:val="000000"/>
                <w:szCs w:val="21"/>
              </w:rPr>
              <w:lastRenderedPageBreak/>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lastRenderedPageBreak/>
              <w:t>DB UK Bank Ltd London</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DBS Vickers Securities (Singapore) Pte</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Deutsche Securities Asia Ltd</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Deutsche Securities Australia Ltd Sydney</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Evolution Group Plc</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Exane Ltd London</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Goldman Sachs Company New York</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Goldman Sachs Execution and Clearing DMA</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Goldman Sachs International Ltd London</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Goldman Sachs JB Were Pty Ltd Melbourne</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Guoyuan Securities Brokerage (HongKong) Ltd.</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lastRenderedPageBreak/>
              <w:t>Haitong International Securities Company Limited</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HSBC Bank Plc London (equities)</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HSBC Securities Inc</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ICAP CORP LLC</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Instinet Corporation</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Instinet Corporation New York(DMA)</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Instinet Europe Limited London</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Investec Securities London</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Investment Technology Group Ltd Dublin</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ITG Australia Ltd Melbourne</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ITG Europe Ltd</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ITG Inc. New York</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ITG Ltd - Hong Kong</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J P Morgan Securities Ltd London</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J. &amp; E.Davy</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lastRenderedPageBreak/>
              <w:t>Jefferies &amp; Co Inc</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Jefferies Intl Ltd London</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JP Morgan Secs (Asia Pacific) Korea</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JP MORGAN Securities (Asia Pacific) Ltd.Hong Kong</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JP Morgan Securities Inc N.Y.</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JP Morgan Securities Ltd</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Liquidnet Australia Pty Ltd</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LIQUIDNET EURO</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Liquidnet Inc New York</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Macquarie Equities Ltd (Sydney)</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Macquarie Equities New Zealand Ltd</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Macquarie Securities(Singapore)Pte Ltd</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MACSECS HK</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 xml:space="preserve">Merrill Lynch Far East </w:t>
            </w:r>
            <w:r>
              <w:rPr>
                <w:color w:val="000000"/>
                <w:szCs w:val="21"/>
              </w:rPr>
              <w:lastRenderedPageBreak/>
              <w:t>Limited</w:t>
            </w:r>
          </w:p>
        </w:tc>
        <w:tc>
          <w:tcPr>
            <w:tcW w:w="1286" w:type="dxa"/>
            <w:vAlign w:val="center"/>
          </w:tcPr>
          <w:p w:rsidR="00B536C4" w:rsidRDefault="00CC45D2">
            <w:pPr>
              <w:jc w:val="right"/>
            </w:pPr>
            <w:r>
              <w:rPr>
                <w:color w:val="000000"/>
                <w:szCs w:val="21"/>
              </w:rPr>
              <w:lastRenderedPageBreak/>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lastRenderedPageBreak/>
              <w:t>Merrill Lynch London</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Merrill Lynch Pierce Fenner Smith NY</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Merrill Lynch Singapore DMA</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Mitsubishi Securities International</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Mizuho Securities Asia Ltd (HongKong)</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Mizuho Securities Co (Tokyo)</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Morgan Stanley Co. Intl Ltd ( Seoul )</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Morgan Stanley Co. New York</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Morgan Stanley International Ltd</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Morgan Stanley International Plc London</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Nomura International Ltd London</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lastRenderedPageBreak/>
              <w:t>Oriental Patron Securities Limited</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Panmure Gordon Limited</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PIPER JAFFRAY ASIA SECURITIES LIMITED</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RBC Capital Markets Corporation New York</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RBC Capital Markets Inc Toronto</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RBC Dain Rauscher Inc Minneapolis</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Redburn Partners</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Redburn Partners LLP (DMA) London</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Royal Bank of Scotland Plc London</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S J LEVINSON</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Samsung Securities Asia Limited</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Scotia Capital (USA) Inc</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 xml:space="preserve">SG </w:t>
            </w:r>
            <w:r>
              <w:rPr>
                <w:color w:val="000000"/>
                <w:szCs w:val="21"/>
              </w:rPr>
              <w:lastRenderedPageBreak/>
              <w:t>Securities (London) Ltd</w:t>
            </w:r>
          </w:p>
        </w:tc>
        <w:tc>
          <w:tcPr>
            <w:tcW w:w="1286" w:type="dxa"/>
            <w:vAlign w:val="center"/>
          </w:tcPr>
          <w:p w:rsidR="00B536C4" w:rsidRDefault="00CC45D2">
            <w:pPr>
              <w:jc w:val="right"/>
            </w:pPr>
            <w:r>
              <w:rPr>
                <w:color w:val="000000"/>
                <w:szCs w:val="21"/>
              </w:rPr>
              <w:lastRenderedPageBreak/>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lastRenderedPageBreak/>
              <w:t>Southern Cross Equities Limited</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State Street Global Markets LLC (DMA)</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UBS Securities LLC Stamford</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UBS Securities Singapore Ltd</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WALL ST ACCESS</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CLSA Ltd</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NOMURA INTERNATIONAL PLC.</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Morgan Stanley Hong Kong</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ABN Amro Australia Limited</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ABS Sundal Collier</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r w:rsidR="00B536C4">
        <w:tc>
          <w:tcPr>
            <w:tcW w:w="1286" w:type="dxa"/>
            <w:vAlign w:val="center"/>
          </w:tcPr>
          <w:p w:rsidR="00B536C4" w:rsidRDefault="00CC45D2">
            <w:pPr>
              <w:jc w:val="center"/>
            </w:pPr>
            <w:r>
              <w:rPr>
                <w:color w:val="000000"/>
                <w:szCs w:val="21"/>
              </w:rPr>
              <w:t>Banco Di Investimentos CSFB Garantia SA</w:t>
            </w:r>
          </w:p>
        </w:tc>
        <w:tc>
          <w:tcPr>
            <w:tcW w:w="1286" w:type="dxa"/>
            <w:vAlign w:val="center"/>
          </w:tcPr>
          <w:p w:rsidR="00B536C4" w:rsidRDefault="00CC45D2">
            <w:pPr>
              <w:jc w:val="right"/>
            </w:pPr>
            <w:r>
              <w:rPr>
                <w:color w:val="000000"/>
                <w:szCs w:val="21"/>
              </w:rPr>
              <w:t>-</w:t>
            </w:r>
          </w:p>
        </w:tc>
        <w:tc>
          <w:tcPr>
            <w:tcW w:w="1286"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right"/>
            </w:pPr>
            <w:r>
              <w:rPr>
                <w:color w:val="000000"/>
                <w:szCs w:val="21"/>
              </w:rPr>
              <w:t>-</w:t>
            </w:r>
          </w:p>
        </w:tc>
        <w:tc>
          <w:tcPr>
            <w:tcW w:w="1285" w:type="dxa"/>
            <w:vAlign w:val="center"/>
          </w:tcPr>
          <w:p w:rsidR="00B536C4" w:rsidRDefault="00CC45D2">
            <w:pPr>
              <w:jc w:val="left"/>
            </w:pPr>
            <w:r>
              <w:rPr>
                <w:color w:val="000000"/>
                <w:szCs w:val="21"/>
              </w:rPr>
              <w:t>-</w:t>
            </w:r>
          </w:p>
        </w:tc>
      </w:tr>
    </w:tbl>
    <w:p w:rsidR="00B536C4" w:rsidRDefault="00CC45D2">
      <w:pPr>
        <w:tabs>
          <w:tab w:val="left" w:pos="426"/>
        </w:tabs>
        <w:spacing w:before="29" w:line="288" w:lineRule="auto"/>
        <w:jc w:val="left"/>
        <w:rPr>
          <w:kern w:val="0"/>
          <w:sz w:val="24"/>
        </w:rPr>
      </w:pPr>
      <w:r>
        <w:rPr>
          <w:kern w:val="0"/>
          <w:sz w:val="24"/>
        </w:rPr>
        <w:t>注：</w:t>
      </w:r>
      <w:r>
        <w:rPr>
          <w:kern w:val="0"/>
          <w:sz w:val="24"/>
        </w:rPr>
        <w:t>1</w:t>
      </w:r>
      <w:r>
        <w:rPr>
          <w:kern w:val="0"/>
          <w:sz w:val="24"/>
        </w:rPr>
        <w:t>、本公司从事境外投资业务时，将需要委托境外券商代理或协助进行交易操作。公司作为基金管理人将勤勉尽责地承担受信责任，挑选、委托合适的境外券商以取得有益于基金持有人利益的最佳执行；</w:t>
      </w:r>
    </w:p>
    <w:p w:rsidR="007B62FA" w:rsidRPr="00856D61" w:rsidRDefault="007B62FA" w:rsidP="00856D61">
      <w:pPr>
        <w:tabs>
          <w:tab w:val="left" w:pos="426"/>
        </w:tabs>
        <w:spacing w:before="29" w:line="288" w:lineRule="auto"/>
        <w:jc w:val="left"/>
        <w:rPr>
          <w:kern w:val="0"/>
          <w:sz w:val="24"/>
        </w:rPr>
      </w:pPr>
      <w:r w:rsidRPr="00856D61">
        <w:rPr>
          <w:kern w:val="0"/>
          <w:sz w:val="24"/>
        </w:rPr>
        <w:t xml:space="preserve">    2</w:t>
      </w:r>
      <w:r w:rsidRPr="00856D61">
        <w:rPr>
          <w:kern w:val="0"/>
          <w:sz w:val="24"/>
        </w:rPr>
        <w:t>、本公司投资海外市场，遵循公平分配、</w:t>
      </w:r>
      <w:proofErr w:type="gramStart"/>
      <w:r w:rsidRPr="00856D61">
        <w:rPr>
          <w:kern w:val="0"/>
          <w:sz w:val="24"/>
        </w:rPr>
        <w:t>最佳执行</w:t>
      </w:r>
      <w:proofErr w:type="gramEnd"/>
      <w:r w:rsidRPr="00856D61">
        <w:rPr>
          <w:kern w:val="0"/>
          <w:sz w:val="24"/>
        </w:rPr>
        <w:t>的原则。公司挑选券商并开户</w:t>
      </w:r>
      <w:r w:rsidRPr="00856D61">
        <w:rPr>
          <w:kern w:val="0"/>
          <w:sz w:val="24"/>
        </w:rPr>
        <w:lastRenderedPageBreak/>
        <w:t>均主要遵循以下原则：券商基本面评价，包括财务状况和经营状况；</w:t>
      </w:r>
      <w:r w:rsidRPr="00856D61">
        <w:rPr>
          <w:kern w:val="0"/>
          <w:sz w:val="24"/>
        </w:rPr>
        <w:t xml:space="preserve"> </w:t>
      </w:r>
      <w:r w:rsidRPr="00856D61">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7B62FA" w:rsidRPr="00D0372D" w:rsidRDefault="007B62FA" w:rsidP="00417F87">
      <w:pPr>
        <w:spacing w:line="360" w:lineRule="auto"/>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69" w:name="_Toc478410297"/>
      <w:bookmarkStart w:id="470" w:name="_Toc478411472"/>
      <w:r w:rsidRPr="00D166A2">
        <w:rPr>
          <w:rFonts w:ascii="Times New Roman" w:hAnsi="Times New Roman"/>
          <w:kern w:val="0"/>
          <w:szCs w:val="24"/>
        </w:rPr>
        <w:t>11.7.2</w:t>
      </w:r>
      <w:r w:rsidR="000F515E" w:rsidRPr="00D166A2">
        <w:rPr>
          <w:rFonts w:ascii="Times New Roman" w:hAnsi="Times New Roman" w:hint="eastAsia"/>
          <w:kern w:val="0"/>
          <w:szCs w:val="24"/>
        </w:rPr>
        <w:t xml:space="preserve"> </w:t>
      </w:r>
      <w:r w:rsidRPr="00D166A2">
        <w:rPr>
          <w:rFonts w:ascii="Times New Roman" w:hAnsi="Times New Roman" w:hint="eastAsia"/>
          <w:kern w:val="0"/>
          <w:szCs w:val="24"/>
        </w:rPr>
        <w:t>基金租用证券公司交易单元进行其他证券投资的情况</w:t>
      </w:r>
      <w:bookmarkEnd w:id="468"/>
      <w:bookmarkEnd w:id="469"/>
      <w:bookmarkEnd w:id="470"/>
    </w:p>
    <w:p w:rsidR="007B62FA" w:rsidRPr="00856D61" w:rsidRDefault="007B62FA" w:rsidP="00856D61">
      <w:pPr>
        <w:tabs>
          <w:tab w:val="left" w:pos="426"/>
        </w:tabs>
        <w:spacing w:before="29" w:line="288" w:lineRule="auto"/>
        <w:jc w:val="left"/>
        <w:rPr>
          <w:kern w:val="0"/>
          <w:sz w:val="24"/>
        </w:rPr>
      </w:pPr>
      <w:r w:rsidRPr="00856D61">
        <w:rPr>
          <w:kern w:val="0"/>
          <w:sz w:val="24"/>
        </w:rPr>
        <w:t>无。</w:t>
      </w:r>
    </w:p>
    <w:p w:rsidR="007B62FA" w:rsidRPr="00D166A2" w:rsidRDefault="007B62FA" w:rsidP="00D166A2">
      <w:pPr>
        <w:pStyle w:val="20"/>
        <w:spacing w:before="29" w:after="0" w:line="288" w:lineRule="auto"/>
        <w:rPr>
          <w:rFonts w:ascii="Times New Roman" w:hAnsi="Times New Roman"/>
          <w:kern w:val="0"/>
          <w:szCs w:val="24"/>
        </w:rPr>
      </w:pPr>
      <w:bookmarkStart w:id="471" w:name="_Toc352256018"/>
      <w:bookmarkStart w:id="472" w:name="_Toc352256086"/>
      <w:bookmarkStart w:id="473" w:name="_Toc352331264"/>
      <w:bookmarkStart w:id="474" w:name="_Toc362424043"/>
      <w:bookmarkStart w:id="475" w:name="_Toc478411473"/>
      <w:r w:rsidRPr="00D166A2">
        <w:rPr>
          <w:rFonts w:ascii="Times New Roman" w:hAnsi="Times New Roman"/>
          <w:kern w:val="0"/>
          <w:szCs w:val="24"/>
        </w:rPr>
        <w:t>11.8</w:t>
      </w:r>
      <w:r w:rsidRPr="00D166A2">
        <w:rPr>
          <w:rFonts w:ascii="Times New Roman" w:hAnsi="Times New Roman" w:hint="eastAsia"/>
          <w:kern w:val="0"/>
          <w:szCs w:val="24"/>
        </w:rPr>
        <w:t>其他重大事件</w:t>
      </w:r>
      <w:bookmarkEnd w:id="471"/>
      <w:bookmarkEnd w:id="472"/>
      <w:bookmarkEnd w:id="473"/>
      <w:bookmarkEnd w:id="474"/>
      <w:bookmarkEnd w:id="47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7B62FA" w:rsidRPr="00656138" w:rsidTr="006D141C">
        <w:tc>
          <w:tcPr>
            <w:tcW w:w="72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序号</w:t>
            </w:r>
          </w:p>
        </w:tc>
        <w:tc>
          <w:tcPr>
            <w:tcW w:w="432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公告事项</w:t>
            </w:r>
          </w:p>
        </w:tc>
        <w:tc>
          <w:tcPr>
            <w:tcW w:w="252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法定披露方式</w:t>
            </w:r>
          </w:p>
        </w:tc>
        <w:tc>
          <w:tcPr>
            <w:tcW w:w="144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法定披露日期</w:t>
            </w:r>
          </w:p>
        </w:tc>
      </w:tr>
      <w:tr w:rsidR="00B536C4">
        <w:tc>
          <w:tcPr>
            <w:tcW w:w="720" w:type="dxa"/>
            <w:vAlign w:val="center"/>
          </w:tcPr>
          <w:p w:rsidR="00B536C4" w:rsidRDefault="00CC45D2">
            <w:pPr>
              <w:jc w:val="center"/>
            </w:pPr>
            <w:r>
              <w:rPr>
                <w:color w:val="000000"/>
                <w:sz w:val="24"/>
              </w:rPr>
              <w:t>1</w:t>
            </w:r>
          </w:p>
        </w:tc>
        <w:tc>
          <w:tcPr>
            <w:tcW w:w="4320" w:type="dxa"/>
            <w:vAlign w:val="center"/>
          </w:tcPr>
          <w:p w:rsidR="00B536C4" w:rsidRDefault="00CC45D2">
            <w:pPr>
              <w:jc w:val="left"/>
            </w:pPr>
            <w:r>
              <w:rPr>
                <w:color w:val="000000"/>
                <w:sz w:val="24"/>
              </w:rPr>
              <w:t>交银施罗德全球自然资源证券投资基金（更新）招募说明书摘要（</w:t>
            </w:r>
            <w:r>
              <w:rPr>
                <w:color w:val="000000"/>
                <w:sz w:val="24"/>
              </w:rPr>
              <w:t>2015</w:t>
            </w:r>
            <w:r>
              <w:rPr>
                <w:color w:val="000000"/>
                <w:sz w:val="24"/>
              </w:rPr>
              <w:t>年第</w:t>
            </w:r>
            <w:r>
              <w:rPr>
                <w:color w:val="000000"/>
                <w:sz w:val="24"/>
              </w:rPr>
              <w:t>2</w:t>
            </w:r>
            <w:r>
              <w:rPr>
                <w:color w:val="000000"/>
                <w:sz w:val="24"/>
              </w:rPr>
              <w:t>号）</w:t>
            </w:r>
          </w:p>
        </w:tc>
        <w:tc>
          <w:tcPr>
            <w:tcW w:w="2520" w:type="dxa"/>
            <w:vAlign w:val="center"/>
          </w:tcPr>
          <w:p w:rsidR="00B536C4" w:rsidRDefault="00CC45D2">
            <w:pPr>
              <w:jc w:val="left"/>
            </w:pPr>
            <w:r>
              <w:rPr>
                <w:color w:val="000000"/>
                <w:sz w:val="24"/>
              </w:rPr>
              <w:t>中国证券报、上海证券报、证券时报</w:t>
            </w:r>
          </w:p>
        </w:tc>
        <w:tc>
          <w:tcPr>
            <w:tcW w:w="1440" w:type="dxa"/>
            <w:vAlign w:val="center"/>
          </w:tcPr>
          <w:p w:rsidR="00B536C4" w:rsidRDefault="00CC45D2">
            <w:pPr>
              <w:jc w:val="center"/>
            </w:pPr>
            <w:r>
              <w:rPr>
                <w:color w:val="000000"/>
                <w:sz w:val="24"/>
              </w:rPr>
              <w:t>2016-01-06</w:t>
            </w:r>
          </w:p>
        </w:tc>
      </w:tr>
      <w:tr w:rsidR="00B536C4">
        <w:tc>
          <w:tcPr>
            <w:tcW w:w="720" w:type="dxa"/>
            <w:vAlign w:val="center"/>
          </w:tcPr>
          <w:p w:rsidR="00B536C4" w:rsidRDefault="00CC45D2">
            <w:pPr>
              <w:jc w:val="center"/>
            </w:pPr>
            <w:r>
              <w:rPr>
                <w:color w:val="000000"/>
                <w:sz w:val="24"/>
              </w:rPr>
              <w:t>2</w:t>
            </w:r>
          </w:p>
        </w:tc>
        <w:tc>
          <w:tcPr>
            <w:tcW w:w="4320" w:type="dxa"/>
            <w:vAlign w:val="center"/>
          </w:tcPr>
          <w:p w:rsidR="00B536C4" w:rsidRDefault="00CC45D2">
            <w:pPr>
              <w:jc w:val="left"/>
            </w:pPr>
            <w:r>
              <w:rPr>
                <w:color w:val="000000"/>
                <w:sz w:val="24"/>
              </w:rPr>
              <w:t>交银施罗德基金管理有限公司关于旗下基金在指数熔断期间调整开放时间的补充公告</w:t>
            </w:r>
          </w:p>
        </w:tc>
        <w:tc>
          <w:tcPr>
            <w:tcW w:w="2520" w:type="dxa"/>
            <w:vAlign w:val="center"/>
          </w:tcPr>
          <w:p w:rsidR="00B536C4" w:rsidRDefault="00CC45D2">
            <w:pPr>
              <w:jc w:val="left"/>
            </w:pPr>
            <w:r>
              <w:rPr>
                <w:color w:val="000000"/>
                <w:sz w:val="24"/>
              </w:rPr>
              <w:t>中国证券报、上海证券报、证券时报</w:t>
            </w:r>
          </w:p>
        </w:tc>
        <w:tc>
          <w:tcPr>
            <w:tcW w:w="1440" w:type="dxa"/>
            <w:vAlign w:val="center"/>
          </w:tcPr>
          <w:p w:rsidR="00B536C4" w:rsidRDefault="00CC45D2">
            <w:pPr>
              <w:jc w:val="center"/>
            </w:pPr>
            <w:r>
              <w:rPr>
                <w:color w:val="000000"/>
                <w:sz w:val="24"/>
              </w:rPr>
              <w:t>2016-01-06</w:t>
            </w:r>
          </w:p>
        </w:tc>
      </w:tr>
      <w:tr w:rsidR="00B536C4">
        <w:tc>
          <w:tcPr>
            <w:tcW w:w="720" w:type="dxa"/>
            <w:vAlign w:val="center"/>
          </w:tcPr>
          <w:p w:rsidR="00B536C4" w:rsidRDefault="00CC45D2">
            <w:pPr>
              <w:jc w:val="center"/>
            </w:pPr>
            <w:r>
              <w:rPr>
                <w:color w:val="000000"/>
                <w:sz w:val="24"/>
              </w:rPr>
              <w:t>3</w:t>
            </w:r>
          </w:p>
        </w:tc>
        <w:tc>
          <w:tcPr>
            <w:tcW w:w="4320" w:type="dxa"/>
            <w:vAlign w:val="center"/>
          </w:tcPr>
          <w:p w:rsidR="00B536C4" w:rsidRDefault="00CC45D2">
            <w:pPr>
              <w:jc w:val="left"/>
            </w:pPr>
            <w:r>
              <w:rPr>
                <w:color w:val="000000"/>
                <w:sz w:val="24"/>
              </w:rPr>
              <w:t>交银施罗德基金管理有限公司关于</w:t>
            </w:r>
            <w:proofErr w:type="gramStart"/>
            <w:r>
              <w:rPr>
                <w:color w:val="000000"/>
                <w:sz w:val="24"/>
              </w:rPr>
              <w:t>增加大泰金石</w:t>
            </w:r>
            <w:proofErr w:type="gramEnd"/>
            <w:r>
              <w:rPr>
                <w:color w:val="000000"/>
                <w:sz w:val="24"/>
              </w:rPr>
              <w:t>投资管理有限公司为旗下部分基金的场外销售机构并参与电子交易平台基金前端申购费率优惠活动的公告</w:t>
            </w:r>
          </w:p>
        </w:tc>
        <w:tc>
          <w:tcPr>
            <w:tcW w:w="2520" w:type="dxa"/>
            <w:vAlign w:val="center"/>
          </w:tcPr>
          <w:p w:rsidR="00B536C4" w:rsidRDefault="00CC45D2">
            <w:pPr>
              <w:jc w:val="left"/>
            </w:pPr>
            <w:r>
              <w:rPr>
                <w:color w:val="000000"/>
                <w:sz w:val="24"/>
              </w:rPr>
              <w:t>中国证券报、上海证券报、证券时报</w:t>
            </w:r>
          </w:p>
        </w:tc>
        <w:tc>
          <w:tcPr>
            <w:tcW w:w="1440" w:type="dxa"/>
            <w:vAlign w:val="center"/>
          </w:tcPr>
          <w:p w:rsidR="00B536C4" w:rsidRDefault="00CC45D2">
            <w:pPr>
              <w:jc w:val="center"/>
            </w:pPr>
            <w:r>
              <w:rPr>
                <w:color w:val="000000"/>
                <w:sz w:val="24"/>
              </w:rPr>
              <w:t>2016-01-15</w:t>
            </w:r>
          </w:p>
        </w:tc>
      </w:tr>
      <w:tr w:rsidR="00B536C4">
        <w:tc>
          <w:tcPr>
            <w:tcW w:w="720" w:type="dxa"/>
            <w:vAlign w:val="center"/>
          </w:tcPr>
          <w:p w:rsidR="00B536C4" w:rsidRDefault="00CC45D2">
            <w:pPr>
              <w:jc w:val="center"/>
            </w:pPr>
            <w:r>
              <w:rPr>
                <w:color w:val="000000"/>
                <w:sz w:val="24"/>
              </w:rPr>
              <w:t>4</w:t>
            </w:r>
          </w:p>
        </w:tc>
        <w:tc>
          <w:tcPr>
            <w:tcW w:w="4320" w:type="dxa"/>
            <w:vAlign w:val="center"/>
          </w:tcPr>
          <w:p w:rsidR="00B536C4" w:rsidRDefault="00CC45D2">
            <w:pPr>
              <w:jc w:val="left"/>
            </w:pPr>
            <w:r>
              <w:rPr>
                <w:color w:val="000000"/>
                <w:sz w:val="24"/>
              </w:rPr>
              <w:t>交银施罗德全球自然资源证券投资基金</w:t>
            </w:r>
            <w:r>
              <w:rPr>
                <w:color w:val="000000"/>
                <w:sz w:val="24"/>
              </w:rPr>
              <w:t>2015</w:t>
            </w:r>
            <w:r>
              <w:rPr>
                <w:color w:val="000000"/>
                <w:sz w:val="24"/>
              </w:rPr>
              <w:t>年第</w:t>
            </w:r>
            <w:r>
              <w:rPr>
                <w:color w:val="000000"/>
                <w:sz w:val="24"/>
              </w:rPr>
              <w:t>4</w:t>
            </w:r>
            <w:r>
              <w:rPr>
                <w:color w:val="000000"/>
                <w:sz w:val="24"/>
              </w:rPr>
              <w:t>季度报告</w:t>
            </w:r>
          </w:p>
        </w:tc>
        <w:tc>
          <w:tcPr>
            <w:tcW w:w="2520" w:type="dxa"/>
            <w:vAlign w:val="center"/>
          </w:tcPr>
          <w:p w:rsidR="00B536C4" w:rsidRDefault="00CC45D2">
            <w:pPr>
              <w:jc w:val="left"/>
            </w:pPr>
            <w:r>
              <w:rPr>
                <w:color w:val="000000"/>
                <w:sz w:val="24"/>
              </w:rPr>
              <w:t>中国证券报、上海证券报、证券时报</w:t>
            </w:r>
          </w:p>
        </w:tc>
        <w:tc>
          <w:tcPr>
            <w:tcW w:w="1440" w:type="dxa"/>
            <w:vAlign w:val="center"/>
          </w:tcPr>
          <w:p w:rsidR="00B536C4" w:rsidRDefault="00CC45D2">
            <w:pPr>
              <w:jc w:val="center"/>
            </w:pPr>
            <w:r>
              <w:rPr>
                <w:color w:val="000000"/>
                <w:sz w:val="24"/>
              </w:rPr>
              <w:t>2016-01-21</w:t>
            </w:r>
          </w:p>
        </w:tc>
      </w:tr>
      <w:tr w:rsidR="00B536C4">
        <w:tc>
          <w:tcPr>
            <w:tcW w:w="720" w:type="dxa"/>
            <w:vAlign w:val="center"/>
          </w:tcPr>
          <w:p w:rsidR="00B536C4" w:rsidRDefault="00CC45D2">
            <w:pPr>
              <w:jc w:val="center"/>
            </w:pPr>
            <w:r>
              <w:rPr>
                <w:color w:val="000000"/>
                <w:sz w:val="24"/>
              </w:rPr>
              <w:t>5</w:t>
            </w:r>
          </w:p>
        </w:tc>
        <w:tc>
          <w:tcPr>
            <w:tcW w:w="4320" w:type="dxa"/>
            <w:vAlign w:val="center"/>
          </w:tcPr>
          <w:p w:rsidR="00B536C4" w:rsidRDefault="00CC45D2">
            <w:pPr>
              <w:jc w:val="left"/>
            </w:pPr>
            <w:r>
              <w:rPr>
                <w:color w:val="000000"/>
                <w:sz w:val="24"/>
              </w:rPr>
              <w:t>交银施罗德基金管理有限公司关于增加深圳市新兰德证券投资咨询有限公司为旗下部分基金的场外销售机构并参与网上电子交易平台基金前端申购费率优惠活动的公告</w:t>
            </w:r>
          </w:p>
        </w:tc>
        <w:tc>
          <w:tcPr>
            <w:tcW w:w="2520" w:type="dxa"/>
            <w:vAlign w:val="center"/>
          </w:tcPr>
          <w:p w:rsidR="00B536C4" w:rsidRDefault="00CC45D2">
            <w:pPr>
              <w:jc w:val="left"/>
            </w:pPr>
            <w:r>
              <w:rPr>
                <w:color w:val="000000"/>
                <w:sz w:val="24"/>
              </w:rPr>
              <w:t>中国证券报、上海证券报、证券时报</w:t>
            </w:r>
          </w:p>
        </w:tc>
        <w:tc>
          <w:tcPr>
            <w:tcW w:w="1440" w:type="dxa"/>
            <w:vAlign w:val="center"/>
          </w:tcPr>
          <w:p w:rsidR="00B536C4" w:rsidRDefault="00CC45D2">
            <w:pPr>
              <w:jc w:val="center"/>
            </w:pPr>
            <w:r>
              <w:rPr>
                <w:color w:val="000000"/>
                <w:sz w:val="24"/>
              </w:rPr>
              <w:t>2016-03-01</w:t>
            </w:r>
          </w:p>
        </w:tc>
      </w:tr>
      <w:tr w:rsidR="00B536C4">
        <w:tc>
          <w:tcPr>
            <w:tcW w:w="720" w:type="dxa"/>
            <w:vAlign w:val="center"/>
          </w:tcPr>
          <w:p w:rsidR="00B536C4" w:rsidRDefault="00CC45D2">
            <w:pPr>
              <w:jc w:val="center"/>
            </w:pPr>
            <w:r>
              <w:rPr>
                <w:color w:val="000000"/>
                <w:sz w:val="24"/>
              </w:rPr>
              <w:t>6</w:t>
            </w:r>
          </w:p>
        </w:tc>
        <w:tc>
          <w:tcPr>
            <w:tcW w:w="4320" w:type="dxa"/>
            <w:vAlign w:val="center"/>
          </w:tcPr>
          <w:p w:rsidR="00B536C4" w:rsidRDefault="00CC45D2">
            <w:pPr>
              <w:jc w:val="left"/>
            </w:pPr>
            <w:r>
              <w:rPr>
                <w:color w:val="000000"/>
                <w:sz w:val="24"/>
              </w:rPr>
              <w:t>交银施罗德基金管理有限公司关于交银施罗德全球自然资源证券投资基金于境外主要市场节假日暂停及节后恢复基金申购、赎回和定期定额投资业务的公告</w:t>
            </w:r>
          </w:p>
        </w:tc>
        <w:tc>
          <w:tcPr>
            <w:tcW w:w="2520" w:type="dxa"/>
            <w:vAlign w:val="center"/>
          </w:tcPr>
          <w:p w:rsidR="00B536C4" w:rsidRDefault="00CC45D2">
            <w:pPr>
              <w:jc w:val="left"/>
            </w:pPr>
            <w:r>
              <w:rPr>
                <w:color w:val="000000"/>
                <w:sz w:val="24"/>
              </w:rPr>
              <w:t>中国证券报、上海证券报、证券时报</w:t>
            </w:r>
          </w:p>
        </w:tc>
        <w:tc>
          <w:tcPr>
            <w:tcW w:w="1440" w:type="dxa"/>
            <w:vAlign w:val="center"/>
          </w:tcPr>
          <w:p w:rsidR="00B536C4" w:rsidRDefault="00CC45D2">
            <w:pPr>
              <w:jc w:val="center"/>
            </w:pPr>
            <w:r>
              <w:rPr>
                <w:color w:val="000000"/>
                <w:sz w:val="24"/>
              </w:rPr>
              <w:t>2016-03-22</w:t>
            </w:r>
          </w:p>
        </w:tc>
      </w:tr>
      <w:tr w:rsidR="00B536C4">
        <w:tc>
          <w:tcPr>
            <w:tcW w:w="720" w:type="dxa"/>
            <w:vAlign w:val="center"/>
          </w:tcPr>
          <w:p w:rsidR="00B536C4" w:rsidRDefault="00CC45D2">
            <w:pPr>
              <w:jc w:val="center"/>
            </w:pPr>
            <w:r>
              <w:rPr>
                <w:color w:val="000000"/>
                <w:sz w:val="24"/>
              </w:rPr>
              <w:t>7</w:t>
            </w:r>
          </w:p>
        </w:tc>
        <w:tc>
          <w:tcPr>
            <w:tcW w:w="4320" w:type="dxa"/>
            <w:vAlign w:val="center"/>
          </w:tcPr>
          <w:p w:rsidR="00B536C4" w:rsidRDefault="00CC45D2">
            <w:pPr>
              <w:jc w:val="left"/>
            </w:pPr>
            <w:r>
              <w:rPr>
                <w:color w:val="000000"/>
                <w:sz w:val="24"/>
              </w:rPr>
              <w:t>交银施罗德全球自然资源证券投资基金</w:t>
            </w:r>
            <w:r>
              <w:rPr>
                <w:color w:val="000000"/>
                <w:sz w:val="24"/>
              </w:rPr>
              <w:t>2015</w:t>
            </w:r>
            <w:r>
              <w:rPr>
                <w:color w:val="000000"/>
                <w:sz w:val="24"/>
              </w:rPr>
              <w:t>年年度报告摘要</w:t>
            </w:r>
          </w:p>
        </w:tc>
        <w:tc>
          <w:tcPr>
            <w:tcW w:w="2520" w:type="dxa"/>
            <w:vAlign w:val="center"/>
          </w:tcPr>
          <w:p w:rsidR="00B536C4" w:rsidRDefault="00CC45D2">
            <w:pPr>
              <w:jc w:val="left"/>
            </w:pPr>
            <w:r>
              <w:rPr>
                <w:color w:val="000000"/>
                <w:sz w:val="24"/>
              </w:rPr>
              <w:t>中国证券报、上海证券报、证券时报</w:t>
            </w:r>
          </w:p>
        </w:tc>
        <w:tc>
          <w:tcPr>
            <w:tcW w:w="1440" w:type="dxa"/>
            <w:vAlign w:val="center"/>
          </w:tcPr>
          <w:p w:rsidR="00B536C4" w:rsidRDefault="00CC45D2">
            <w:pPr>
              <w:jc w:val="center"/>
            </w:pPr>
            <w:r>
              <w:rPr>
                <w:color w:val="000000"/>
                <w:sz w:val="24"/>
              </w:rPr>
              <w:t>2016-03-29</w:t>
            </w:r>
          </w:p>
        </w:tc>
      </w:tr>
      <w:tr w:rsidR="00B536C4">
        <w:tc>
          <w:tcPr>
            <w:tcW w:w="720" w:type="dxa"/>
            <w:vAlign w:val="center"/>
          </w:tcPr>
          <w:p w:rsidR="00B536C4" w:rsidRDefault="00CC45D2">
            <w:pPr>
              <w:jc w:val="center"/>
            </w:pPr>
            <w:r>
              <w:rPr>
                <w:color w:val="000000"/>
                <w:sz w:val="24"/>
              </w:rPr>
              <w:t>8</w:t>
            </w:r>
          </w:p>
        </w:tc>
        <w:tc>
          <w:tcPr>
            <w:tcW w:w="4320" w:type="dxa"/>
            <w:vAlign w:val="center"/>
          </w:tcPr>
          <w:p w:rsidR="00B536C4" w:rsidRDefault="00CC45D2">
            <w:pPr>
              <w:jc w:val="left"/>
            </w:pPr>
            <w:r>
              <w:rPr>
                <w:color w:val="000000"/>
                <w:sz w:val="24"/>
              </w:rPr>
              <w:t>交银施罗德全球自然资源证券投资基金</w:t>
            </w:r>
            <w:r>
              <w:rPr>
                <w:color w:val="000000"/>
                <w:sz w:val="24"/>
              </w:rPr>
              <w:t>2016</w:t>
            </w:r>
            <w:r>
              <w:rPr>
                <w:color w:val="000000"/>
                <w:sz w:val="24"/>
              </w:rPr>
              <w:t>年第</w:t>
            </w:r>
            <w:r>
              <w:rPr>
                <w:color w:val="000000"/>
                <w:sz w:val="24"/>
              </w:rPr>
              <w:t>1</w:t>
            </w:r>
            <w:r>
              <w:rPr>
                <w:color w:val="000000"/>
                <w:sz w:val="24"/>
              </w:rPr>
              <w:t>季度报告</w:t>
            </w:r>
          </w:p>
        </w:tc>
        <w:tc>
          <w:tcPr>
            <w:tcW w:w="2520" w:type="dxa"/>
            <w:vAlign w:val="center"/>
          </w:tcPr>
          <w:p w:rsidR="00B536C4" w:rsidRDefault="00CC45D2">
            <w:pPr>
              <w:jc w:val="left"/>
            </w:pPr>
            <w:r>
              <w:rPr>
                <w:color w:val="000000"/>
                <w:sz w:val="24"/>
              </w:rPr>
              <w:t>中国证券报、上海证券报、证券时报</w:t>
            </w:r>
          </w:p>
        </w:tc>
        <w:tc>
          <w:tcPr>
            <w:tcW w:w="1440" w:type="dxa"/>
            <w:vAlign w:val="center"/>
          </w:tcPr>
          <w:p w:rsidR="00B536C4" w:rsidRDefault="00CC45D2">
            <w:pPr>
              <w:jc w:val="center"/>
            </w:pPr>
            <w:r>
              <w:rPr>
                <w:color w:val="000000"/>
                <w:sz w:val="24"/>
              </w:rPr>
              <w:t>2016-04-20</w:t>
            </w:r>
          </w:p>
        </w:tc>
      </w:tr>
      <w:tr w:rsidR="00B536C4">
        <w:tc>
          <w:tcPr>
            <w:tcW w:w="720" w:type="dxa"/>
            <w:vAlign w:val="center"/>
          </w:tcPr>
          <w:p w:rsidR="00B536C4" w:rsidRDefault="00CC45D2">
            <w:pPr>
              <w:jc w:val="center"/>
            </w:pPr>
            <w:r>
              <w:rPr>
                <w:color w:val="000000"/>
                <w:sz w:val="24"/>
              </w:rPr>
              <w:t>9</w:t>
            </w:r>
          </w:p>
        </w:tc>
        <w:tc>
          <w:tcPr>
            <w:tcW w:w="4320" w:type="dxa"/>
            <w:vAlign w:val="center"/>
          </w:tcPr>
          <w:p w:rsidR="00B536C4" w:rsidRDefault="00CC45D2">
            <w:pPr>
              <w:jc w:val="left"/>
            </w:pPr>
            <w:r>
              <w:rPr>
                <w:color w:val="000000"/>
                <w:sz w:val="24"/>
              </w:rPr>
              <w:t>交银施罗德基金管理有限公司关于网上直销交易平台关闭支付</w:t>
            </w:r>
            <w:proofErr w:type="gramStart"/>
            <w:r>
              <w:rPr>
                <w:color w:val="000000"/>
                <w:sz w:val="24"/>
              </w:rPr>
              <w:t>宝基金</w:t>
            </w:r>
            <w:proofErr w:type="gramEnd"/>
            <w:r>
              <w:rPr>
                <w:color w:val="000000"/>
                <w:sz w:val="24"/>
              </w:rPr>
              <w:t>网上支付服务的公告</w:t>
            </w:r>
          </w:p>
        </w:tc>
        <w:tc>
          <w:tcPr>
            <w:tcW w:w="2520" w:type="dxa"/>
            <w:vAlign w:val="center"/>
          </w:tcPr>
          <w:p w:rsidR="00B536C4" w:rsidRDefault="00CC45D2">
            <w:pPr>
              <w:jc w:val="left"/>
            </w:pPr>
            <w:r>
              <w:rPr>
                <w:color w:val="000000"/>
                <w:sz w:val="24"/>
              </w:rPr>
              <w:t>中国证券报、上海证券报、证券时报</w:t>
            </w:r>
          </w:p>
        </w:tc>
        <w:tc>
          <w:tcPr>
            <w:tcW w:w="1440" w:type="dxa"/>
            <w:vAlign w:val="center"/>
          </w:tcPr>
          <w:p w:rsidR="00B536C4" w:rsidRDefault="00CC45D2">
            <w:pPr>
              <w:jc w:val="center"/>
            </w:pPr>
            <w:r>
              <w:rPr>
                <w:color w:val="000000"/>
                <w:sz w:val="24"/>
              </w:rPr>
              <w:t>2016-05-10</w:t>
            </w:r>
          </w:p>
        </w:tc>
      </w:tr>
      <w:tr w:rsidR="00B536C4">
        <w:tc>
          <w:tcPr>
            <w:tcW w:w="720" w:type="dxa"/>
            <w:vAlign w:val="center"/>
          </w:tcPr>
          <w:p w:rsidR="00B536C4" w:rsidRDefault="00CC45D2">
            <w:pPr>
              <w:jc w:val="center"/>
            </w:pPr>
            <w:r>
              <w:rPr>
                <w:color w:val="000000"/>
                <w:sz w:val="24"/>
              </w:rPr>
              <w:t>10</w:t>
            </w:r>
          </w:p>
        </w:tc>
        <w:tc>
          <w:tcPr>
            <w:tcW w:w="4320" w:type="dxa"/>
            <w:vAlign w:val="center"/>
          </w:tcPr>
          <w:p w:rsidR="00B536C4" w:rsidRDefault="00CC45D2">
            <w:pPr>
              <w:jc w:val="left"/>
            </w:pPr>
            <w:r>
              <w:rPr>
                <w:color w:val="000000"/>
                <w:sz w:val="24"/>
              </w:rPr>
              <w:t>交银施罗德基金管理有限公司关于旗下部分基金参与中国民生银行股份有限公</w:t>
            </w:r>
            <w:r>
              <w:rPr>
                <w:color w:val="000000"/>
                <w:sz w:val="24"/>
              </w:rPr>
              <w:lastRenderedPageBreak/>
              <w:t>司直销银行</w:t>
            </w:r>
            <w:r>
              <w:rPr>
                <w:color w:val="000000"/>
                <w:sz w:val="24"/>
              </w:rPr>
              <w:t>“</w:t>
            </w:r>
            <w:r>
              <w:rPr>
                <w:color w:val="000000"/>
                <w:sz w:val="24"/>
              </w:rPr>
              <w:t>基金通</w:t>
            </w:r>
            <w:r>
              <w:rPr>
                <w:color w:val="000000"/>
                <w:sz w:val="24"/>
              </w:rPr>
              <w:t>”</w:t>
            </w:r>
            <w:r>
              <w:rPr>
                <w:color w:val="000000"/>
                <w:sz w:val="24"/>
              </w:rPr>
              <w:t>平台销售系统基金前端申购费率优惠活动的公告</w:t>
            </w:r>
          </w:p>
        </w:tc>
        <w:tc>
          <w:tcPr>
            <w:tcW w:w="2520" w:type="dxa"/>
            <w:vAlign w:val="center"/>
          </w:tcPr>
          <w:p w:rsidR="00B536C4" w:rsidRDefault="00CC45D2">
            <w:pPr>
              <w:jc w:val="left"/>
            </w:pPr>
            <w:r>
              <w:rPr>
                <w:color w:val="000000"/>
                <w:sz w:val="24"/>
              </w:rPr>
              <w:lastRenderedPageBreak/>
              <w:t>中国证券报、上海证券报、证券时报</w:t>
            </w:r>
          </w:p>
        </w:tc>
        <w:tc>
          <w:tcPr>
            <w:tcW w:w="1440" w:type="dxa"/>
            <w:vAlign w:val="center"/>
          </w:tcPr>
          <w:p w:rsidR="00B536C4" w:rsidRDefault="00CC45D2">
            <w:pPr>
              <w:jc w:val="center"/>
            </w:pPr>
            <w:r>
              <w:rPr>
                <w:color w:val="000000"/>
                <w:sz w:val="24"/>
              </w:rPr>
              <w:t>2016-05-16</w:t>
            </w:r>
          </w:p>
        </w:tc>
      </w:tr>
      <w:tr w:rsidR="00B536C4">
        <w:tc>
          <w:tcPr>
            <w:tcW w:w="720" w:type="dxa"/>
            <w:vAlign w:val="center"/>
          </w:tcPr>
          <w:p w:rsidR="00B536C4" w:rsidRDefault="00CC45D2">
            <w:pPr>
              <w:jc w:val="center"/>
            </w:pPr>
            <w:r>
              <w:rPr>
                <w:color w:val="000000"/>
                <w:sz w:val="24"/>
              </w:rPr>
              <w:lastRenderedPageBreak/>
              <w:t>11</w:t>
            </w:r>
          </w:p>
        </w:tc>
        <w:tc>
          <w:tcPr>
            <w:tcW w:w="4320" w:type="dxa"/>
            <w:vAlign w:val="center"/>
          </w:tcPr>
          <w:p w:rsidR="00B536C4" w:rsidRDefault="00CC45D2">
            <w:pPr>
              <w:jc w:val="left"/>
            </w:pPr>
            <w:r>
              <w:rPr>
                <w:color w:val="000000"/>
                <w:sz w:val="24"/>
              </w:rPr>
              <w:t>交银施罗德基金管理有限公司关于增加北京钱景财富投资管理有限公司为旗下部分基金的场外销售机构并参与电子交易平台基金前端申购费率优惠活动的公告</w:t>
            </w:r>
          </w:p>
        </w:tc>
        <w:tc>
          <w:tcPr>
            <w:tcW w:w="2520" w:type="dxa"/>
            <w:vAlign w:val="center"/>
          </w:tcPr>
          <w:p w:rsidR="00B536C4" w:rsidRDefault="00CC45D2">
            <w:pPr>
              <w:jc w:val="left"/>
            </w:pPr>
            <w:r>
              <w:rPr>
                <w:color w:val="000000"/>
                <w:sz w:val="24"/>
              </w:rPr>
              <w:t>中国证券报、上海证券报、证券时报</w:t>
            </w:r>
          </w:p>
        </w:tc>
        <w:tc>
          <w:tcPr>
            <w:tcW w:w="1440" w:type="dxa"/>
            <w:vAlign w:val="center"/>
          </w:tcPr>
          <w:p w:rsidR="00B536C4" w:rsidRDefault="00CC45D2">
            <w:pPr>
              <w:jc w:val="center"/>
            </w:pPr>
            <w:r>
              <w:rPr>
                <w:color w:val="000000"/>
                <w:sz w:val="24"/>
              </w:rPr>
              <w:t>2016-06-08</w:t>
            </w:r>
          </w:p>
        </w:tc>
      </w:tr>
      <w:tr w:rsidR="00B536C4">
        <w:tc>
          <w:tcPr>
            <w:tcW w:w="720" w:type="dxa"/>
            <w:vAlign w:val="center"/>
          </w:tcPr>
          <w:p w:rsidR="00B536C4" w:rsidRDefault="00CC45D2">
            <w:pPr>
              <w:jc w:val="center"/>
            </w:pPr>
            <w:r>
              <w:rPr>
                <w:color w:val="000000"/>
                <w:sz w:val="24"/>
              </w:rPr>
              <w:t>12</w:t>
            </w:r>
          </w:p>
        </w:tc>
        <w:tc>
          <w:tcPr>
            <w:tcW w:w="4320" w:type="dxa"/>
            <w:vAlign w:val="center"/>
          </w:tcPr>
          <w:p w:rsidR="00B536C4" w:rsidRDefault="00CC45D2">
            <w:pPr>
              <w:jc w:val="left"/>
            </w:pPr>
            <w:r>
              <w:rPr>
                <w:color w:val="000000"/>
                <w:sz w:val="24"/>
              </w:rPr>
              <w:t>交银施罗德基金管理有限公司关于交银施罗德全球自然资源证券投资基金于境外主要市场节假日暂停及节后恢复基金申购、赎回和定期定额投资业务的公告</w:t>
            </w:r>
          </w:p>
        </w:tc>
        <w:tc>
          <w:tcPr>
            <w:tcW w:w="2520" w:type="dxa"/>
            <w:vAlign w:val="center"/>
          </w:tcPr>
          <w:p w:rsidR="00B536C4" w:rsidRDefault="00CC45D2">
            <w:pPr>
              <w:jc w:val="left"/>
            </w:pPr>
            <w:r>
              <w:rPr>
                <w:color w:val="000000"/>
                <w:sz w:val="24"/>
              </w:rPr>
              <w:t>中国证券报、上海证券报、证券时报</w:t>
            </w:r>
          </w:p>
        </w:tc>
        <w:tc>
          <w:tcPr>
            <w:tcW w:w="1440" w:type="dxa"/>
            <w:vAlign w:val="center"/>
          </w:tcPr>
          <w:p w:rsidR="00B536C4" w:rsidRDefault="00CC45D2">
            <w:pPr>
              <w:jc w:val="center"/>
            </w:pPr>
            <w:r>
              <w:rPr>
                <w:color w:val="000000"/>
                <w:sz w:val="24"/>
              </w:rPr>
              <w:t>2016-06-29</w:t>
            </w:r>
          </w:p>
        </w:tc>
      </w:tr>
      <w:tr w:rsidR="00B536C4">
        <w:tc>
          <w:tcPr>
            <w:tcW w:w="720" w:type="dxa"/>
            <w:vAlign w:val="center"/>
          </w:tcPr>
          <w:p w:rsidR="00B536C4" w:rsidRDefault="00CC45D2">
            <w:pPr>
              <w:jc w:val="center"/>
            </w:pPr>
            <w:r>
              <w:rPr>
                <w:color w:val="000000"/>
                <w:sz w:val="24"/>
              </w:rPr>
              <w:t>13</w:t>
            </w:r>
          </w:p>
        </w:tc>
        <w:tc>
          <w:tcPr>
            <w:tcW w:w="4320" w:type="dxa"/>
            <w:vAlign w:val="center"/>
          </w:tcPr>
          <w:p w:rsidR="00B536C4" w:rsidRDefault="00CC45D2">
            <w:pPr>
              <w:jc w:val="left"/>
            </w:pPr>
            <w:r>
              <w:rPr>
                <w:color w:val="000000"/>
                <w:sz w:val="24"/>
              </w:rPr>
              <w:t>交银施罗德基金管理有限公司关于旗下部分基金参与交通银行股份有限公司基金网上银行、手机银行前端申购费率优惠活动的公告</w:t>
            </w:r>
          </w:p>
        </w:tc>
        <w:tc>
          <w:tcPr>
            <w:tcW w:w="2520" w:type="dxa"/>
            <w:vAlign w:val="center"/>
          </w:tcPr>
          <w:p w:rsidR="00B536C4" w:rsidRDefault="00CC45D2">
            <w:pPr>
              <w:jc w:val="left"/>
            </w:pPr>
            <w:r>
              <w:rPr>
                <w:color w:val="000000"/>
                <w:sz w:val="24"/>
              </w:rPr>
              <w:t>中国证券报、上海证券报、证券时报</w:t>
            </w:r>
          </w:p>
        </w:tc>
        <w:tc>
          <w:tcPr>
            <w:tcW w:w="1440" w:type="dxa"/>
            <w:vAlign w:val="center"/>
          </w:tcPr>
          <w:p w:rsidR="00B536C4" w:rsidRDefault="00CC45D2">
            <w:pPr>
              <w:jc w:val="center"/>
            </w:pPr>
            <w:r>
              <w:rPr>
                <w:color w:val="000000"/>
                <w:sz w:val="24"/>
              </w:rPr>
              <w:t>2016-06-29</w:t>
            </w:r>
          </w:p>
        </w:tc>
      </w:tr>
      <w:tr w:rsidR="00B536C4">
        <w:tc>
          <w:tcPr>
            <w:tcW w:w="720" w:type="dxa"/>
            <w:vAlign w:val="center"/>
          </w:tcPr>
          <w:p w:rsidR="00B536C4" w:rsidRDefault="00CC45D2">
            <w:pPr>
              <w:jc w:val="center"/>
            </w:pPr>
            <w:r>
              <w:rPr>
                <w:color w:val="000000"/>
                <w:sz w:val="24"/>
              </w:rPr>
              <w:t>14</w:t>
            </w:r>
          </w:p>
        </w:tc>
        <w:tc>
          <w:tcPr>
            <w:tcW w:w="4320" w:type="dxa"/>
            <w:vAlign w:val="center"/>
          </w:tcPr>
          <w:p w:rsidR="00B536C4" w:rsidRDefault="00CC45D2">
            <w:pPr>
              <w:jc w:val="left"/>
            </w:pPr>
            <w:r>
              <w:rPr>
                <w:color w:val="000000"/>
                <w:sz w:val="24"/>
              </w:rPr>
              <w:t>交银施罗德基金管理有限公司关于增加北京汇成基金销售有限公司为旗下部分基金的场外销售机构并参与电子交易平台基金前端申购费率优惠活动的公告</w:t>
            </w:r>
          </w:p>
        </w:tc>
        <w:tc>
          <w:tcPr>
            <w:tcW w:w="2520" w:type="dxa"/>
            <w:vAlign w:val="center"/>
          </w:tcPr>
          <w:p w:rsidR="00B536C4" w:rsidRDefault="00CC45D2">
            <w:pPr>
              <w:jc w:val="left"/>
            </w:pPr>
            <w:r>
              <w:rPr>
                <w:color w:val="000000"/>
                <w:sz w:val="24"/>
              </w:rPr>
              <w:t>中国证券报、上海证券报、证券时报</w:t>
            </w:r>
          </w:p>
        </w:tc>
        <w:tc>
          <w:tcPr>
            <w:tcW w:w="1440" w:type="dxa"/>
            <w:vAlign w:val="center"/>
          </w:tcPr>
          <w:p w:rsidR="00B536C4" w:rsidRDefault="00CC45D2">
            <w:pPr>
              <w:jc w:val="center"/>
            </w:pPr>
            <w:r>
              <w:rPr>
                <w:color w:val="000000"/>
                <w:sz w:val="24"/>
              </w:rPr>
              <w:t>2016-06-29</w:t>
            </w:r>
          </w:p>
        </w:tc>
      </w:tr>
      <w:tr w:rsidR="00B536C4">
        <w:tc>
          <w:tcPr>
            <w:tcW w:w="720" w:type="dxa"/>
            <w:vAlign w:val="center"/>
          </w:tcPr>
          <w:p w:rsidR="00B536C4" w:rsidRDefault="00CC45D2">
            <w:pPr>
              <w:jc w:val="center"/>
            </w:pPr>
            <w:r>
              <w:rPr>
                <w:color w:val="000000"/>
                <w:sz w:val="24"/>
              </w:rPr>
              <w:t>15</w:t>
            </w:r>
          </w:p>
        </w:tc>
        <w:tc>
          <w:tcPr>
            <w:tcW w:w="4320" w:type="dxa"/>
            <w:vAlign w:val="center"/>
          </w:tcPr>
          <w:p w:rsidR="00B536C4" w:rsidRDefault="00CC45D2">
            <w:pPr>
              <w:jc w:val="left"/>
            </w:pPr>
            <w:r>
              <w:rPr>
                <w:color w:val="000000"/>
                <w:sz w:val="24"/>
              </w:rPr>
              <w:t>交银施罗德基金管理有限公司关于增加北京</w:t>
            </w:r>
            <w:proofErr w:type="gramStart"/>
            <w:r>
              <w:rPr>
                <w:color w:val="000000"/>
                <w:sz w:val="24"/>
              </w:rPr>
              <w:t>恒</w:t>
            </w:r>
            <w:proofErr w:type="gramEnd"/>
            <w:r>
              <w:rPr>
                <w:color w:val="000000"/>
                <w:sz w:val="24"/>
              </w:rPr>
              <w:t>天明</w:t>
            </w:r>
            <w:proofErr w:type="gramStart"/>
            <w:r>
              <w:rPr>
                <w:color w:val="000000"/>
                <w:sz w:val="24"/>
              </w:rPr>
              <w:t>泽基金</w:t>
            </w:r>
            <w:proofErr w:type="gramEnd"/>
            <w:r>
              <w:rPr>
                <w:color w:val="000000"/>
                <w:sz w:val="24"/>
              </w:rPr>
              <w:t>销售有限公司为旗下部分基金的场外销售机构并参与电子交易平台基金前端申购费率优惠活动的公告</w:t>
            </w:r>
          </w:p>
        </w:tc>
        <w:tc>
          <w:tcPr>
            <w:tcW w:w="2520" w:type="dxa"/>
            <w:vAlign w:val="center"/>
          </w:tcPr>
          <w:p w:rsidR="00B536C4" w:rsidRDefault="00CC45D2">
            <w:pPr>
              <w:jc w:val="left"/>
            </w:pPr>
            <w:r>
              <w:rPr>
                <w:color w:val="000000"/>
                <w:sz w:val="24"/>
              </w:rPr>
              <w:t>中国证券报、上海证券报、证券时报</w:t>
            </w:r>
          </w:p>
        </w:tc>
        <w:tc>
          <w:tcPr>
            <w:tcW w:w="1440" w:type="dxa"/>
            <w:vAlign w:val="center"/>
          </w:tcPr>
          <w:p w:rsidR="00B536C4" w:rsidRDefault="00CC45D2">
            <w:pPr>
              <w:jc w:val="center"/>
            </w:pPr>
            <w:r>
              <w:rPr>
                <w:color w:val="000000"/>
                <w:sz w:val="24"/>
              </w:rPr>
              <w:t>2016-07-01</w:t>
            </w:r>
          </w:p>
        </w:tc>
      </w:tr>
      <w:tr w:rsidR="00B536C4">
        <w:tc>
          <w:tcPr>
            <w:tcW w:w="720" w:type="dxa"/>
            <w:vAlign w:val="center"/>
          </w:tcPr>
          <w:p w:rsidR="00B536C4" w:rsidRDefault="00CC45D2">
            <w:pPr>
              <w:jc w:val="center"/>
            </w:pPr>
            <w:r>
              <w:rPr>
                <w:color w:val="000000"/>
                <w:sz w:val="24"/>
              </w:rPr>
              <w:t>16</w:t>
            </w:r>
          </w:p>
        </w:tc>
        <w:tc>
          <w:tcPr>
            <w:tcW w:w="4320" w:type="dxa"/>
            <w:vAlign w:val="center"/>
          </w:tcPr>
          <w:p w:rsidR="00B536C4" w:rsidRDefault="00CC45D2">
            <w:pPr>
              <w:jc w:val="left"/>
            </w:pPr>
            <w:r>
              <w:rPr>
                <w:color w:val="000000"/>
                <w:sz w:val="24"/>
              </w:rPr>
              <w:t>交银施罗德基金管理有限公司关于旗下部分基金在上海陆金</w:t>
            </w:r>
            <w:proofErr w:type="gramStart"/>
            <w:r>
              <w:rPr>
                <w:color w:val="000000"/>
                <w:sz w:val="24"/>
              </w:rPr>
              <w:t>所资产</w:t>
            </w:r>
            <w:proofErr w:type="gramEnd"/>
            <w:r>
              <w:rPr>
                <w:color w:val="000000"/>
                <w:sz w:val="24"/>
              </w:rPr>
              <w:t>管理有限公司开通定期定额投资业务并参与其电子交易平台基金前端申购费率优惠活动的公告</w:t>
            </w:r>
          </w:p>
        </w:tc>
        <w:tc>
          <w:tcPr>
            <w:tcW w:w="2520" w:type="dxa"/>
            <w:vAlign w:val="center"/>
          </w:tcPr>
          <w:p w:rsidR="00B536C4" w:rsidRDefault="00CC45D2">
            <w:pPr>
              <w:jc w:val="left"/>
            </w:pPr>
            <w:r>
              <w:rPr>
                <w:color w:val="000000"/>
                <w:sz w:val="24"/>
              </w:rPr>
              <w:t>中国证券报、上海证券报、证券时报</w:t>
            </w:r>
          </w:p>
        </w:tc>
        <w:tc>
          <w:tcPr>
            <w:tcW w:w="1440" w:type="dxa"/>
            <w:vAlign w:val="center"/>
          </w:tcPr>
          <w:p w:rsidR="00B536C4" w:rsidRDefault="00CC45D2">
            <w:pPr>
              <w:jc w:val="center"/>
            </w:pPr>
            <w:r>
              <w:rPr>
                <w:color w:val="000000"/>
                <w:sz w:val="24"/>
              </w:rPr>
              <w:t>2016-07-01</w:t>
            </w:r>
          </w:p>
        </w:tc>
      </w:tr>
      <w:tr w:rsidR="00B536C4">
        <w:tc>
          <w:tcPr>
            <w:tcW w:w="720" w:type="dxa"/>
            <w:vAlign w:val="center"/>
          </w:tcPr>
          <w:p w:rsidR="00B536C4" w:rsidRDefault="00CC45D2">
            <w:pPr>
              <w:jc w:val="center"/>
            </w:pPr>
            <w:r>
              <w:rPr>
                <w:color w:val="000000"/>
                <w:sz w:val="24"/>
              </w:rPr>
              <w:t>17</w:t>
            </w:r>
          </w:p>
        </w:tc>
        <w:tc>
          <w:tcPr>
            <w:tcW w:w="4320" w:type="dxa"/>
            <w:vAlign w:val="center"/>
          </w:tcPr>
          <w:p w:rsidR="00B536C4" w:rsidRDefault="00CC45D2">
            <w:pPr>
              <w:jc w:val="left"/>
            </w:pPr>
            <w:r>
              <w:rPr>
                <w:color w:val="000000"/>
                <w:sz w:val="24"/>
              </w:rPr>
              <w:t>交银施罗德全球自然资源证券投资基金（更新）招募说明书摘要（</w:t>
            </w:r>
            <w:r>
              <w:rPr>
                <w:color w:val="000000"/>
                <w:sz w:val="24"/>
              </w:rPr>
              <w:t>2016</w:t>
            </w:r>
            <w:r>
              <w:rPr>
                <w:color w:val="000000"/>
                <w:sz w:val="24"/>
              </w:rPr>
              <w:t>年第</w:t>
            </w:r>
            <w:r>
              <w:rPr>
                <w:color w:val="000000"/>
                <w:sz w:val="24"/>
              </w:rPr>
              <w:t>1</w:t>
            </w:r>
            <w:r>
              <w:rPr>
                <w:color w:val="000000"/>
                <w:sz w:val="24"/>
              </w:rPr>
              <w:t>号）</w:t>
            </w:r>
          </w:p>
        </w:tc>
        <w:tc>
          <w:tcPr>
            <w:tcW w:w="2520" w:type="dxa"/>
            <w:vAlign w:val="center"/>
          </w:tcPr>
          <w:p w:rsidR="00B536C4" w:rsidRDefault="00CC45D2">
            <w:pPr>
              <w:jc w:val="left"/>
            </w:pPr>
            <w:r>
              <w:rPr>
                <w:color w:val="000000"/>
                <w:sz w:val="24"/>
              </w:rPr>
              <w:t>中国证券报、上海证券报、证券时报</w:t>
            </w:r>
          </w:p>
        </w:tc>
        <w:tc>
          <w:tcPr>
            <w:tcW w:w="1440" w:type="dxa"/>
            <w:vAlign w:val="center"/>
          </w:tcPr>
          <w:p w:rsidR="00B536C4" w:rsidRDefault="00CC45D2">
            <w:pPr>
              <w:jc w:val="center"/>
            </w:pPr>
            <w:r>
              <w:rPr>
                <w:color w:val="000000"/>
                <w:sz w:val="24"/>
              </w:rPr>
              <w:t>2016-07-06</w:t>
            </w:r>
          </w:p>
        </w:tc>
      </w:tr>
      <w:tr w:rsidR="00B536C4">
        <w:tc>
          <w:tcPr>
            <w:tcW w:w="720" w:type="dxa"/>
            <w:vAlign w:val="center"/>
          </w:tcPr>
          <w:p w:rsidR="00B536C4" w:rsidRDefault="00CC45D2">
            <w:pPr>
              <w:jc w:val="center"/>
            </w:pPr>
            <w:r>
              <w:rPr>
                <w:color w:val="000000"/>
                <w:sz w:val="24"/>
              </w:rPr>
              <w:t>18</w:t>
            </w:r>
          </w:p>
        </w:tc>
        <w:tc>
          <w:tcPr>
            <w:tcW w:w="4320" w:type="dxa"/>
            <w:vAlign w:val="center"/>
          </w:tcPr>
          <w:p w:rsidR="00B536C4" w:rsidRDefault="00CC45D2">
            <w:pPr>
              <w:jc w:val="left"/>
            </w:pPr>
            <w:r>
              <w:rPr>
                <w:color w:val="000000"/>
                <w:sz w:val="24"/>
              </w:rPr>
              <w:t>交银施罗德全球自然资源证券投资基金</w:t>
            </w:r>
            <w:r>
              <w:rPr>
                <w:color w:val="000000"/>
                <w:sz w:val="24"/>
              </w:rPr>
              <w:t>2016</w:t>
            </w:r>
            <w:r>
              <w:rPr>
                <w:color w:val="000000"/>
                <w:sz w:val="24"/>
              </w:rPr>
              <w:t>年第</w:t>
            </w:r>
            <w:r>
              <w:rPr>
                <w:color w:val="000000"/>
                <w:sz w:val="24"/>
              </w:rPr>
              <w:t>2</w:t>
            </w:r>
            <w:r>
              <w:rPr>
                <w:color w:val="000000"/>
                <w:sz w:val="24"/>
              </w:rPr>
              <w:t>季度报告</w:t>
            </w:r>
          </w:p>
        </w:tc>
        <w:tc>
          <w:tcPr>
            <w:tcW w:w="2520" w:type="dxa"/>
            <w:vAlign w:val="center"/>
          </w:tcPr>
          <w:p w:rsidR="00B536C4" w:rsidRDefault="00CC45D2">
            <w:pPr>
              <w:jc w:val="left"/>
            </w:pPr>
            <w:r>
              <w:rPr>
                <w:color w:val="000000"/>
                <w:sz w:val="24"/>
              </w:rPr>
              <w:t>中国证券报、上海证券报、证券时报</w:t>
            </w:r>
          </w:p>
        </w:tc>
        <w:tc>
          <w:tcPr>
            <w:tcW w:w="1440" w:type="dxa"/>
            <w:vAlign w:val="center"/>
          </w:tcPr>
          <w:p w:rsidR="00B536C4" w:rsidRDefault="00CC45D2">
            <w:pPr>
              <w:jc w:val="center"/>
            </w:pPr>
            <w:r>
              <w:rPr>
                <w:color w:val="000000"/>
                <w:sz w:val="24"/>
              </w:rPr>
              <w:t>2016-07-21</w:t>
            </w:r>
          </w:p>
        </w:tc>
      </w:tr>
      <w:tr w:rsidR="00B536C4">
        <w:tc>
          <w:tcPr>
            <w:tcW w:w="720" w:type="dxa"/>
            <w:vAlign w:val="center"/>
          </w:tcPr>
          <w:p w:rsidR="00B536C4" w:rsidRDefault="00CC45D2">
            <w:pPr>
              <w:jc w:val="center"/>
            </w:pPr>
            <w:r>
              <w:rPr>
                <w:color w:val="000000"/>
                <w:sz w:val="24"/>
              </w:rPr>
              <w:t>19</w:t>
            </w:r>
          </w:p>
        </w:tc>
        <w:tc>
          <w:tcPr>
            <w:tcW w:w="4320" w:type="dxa"/>
            <w:vAlign w:val="center"/>
          </w:tcPr>
          <w:p w:rsidR="00B536C4" w:rsidRDefault="00CC45D2">
            <w:pPr>
              <w:jc w:val="left"/>
            </w:pPr>
            <w:r>
              <w:rPr>
                <w:color w:val="000000"/>
                <w:sz w:val="24"/>
              </w:rPr>
              <w:t>交银施罗德基金管理有限公司关于增加北京广源达信投资管理有限公司为旗下部分基金的场外销售机构并参与其电子交易平台基金前端申购费率优惠活动的公告</w:t>
            </w:r>
          </w:p>
        </w:tc>
        <w:tc>
          <w:tcPr>
            <w:tcW w:w="2520" w:type="dxa"/>
            <w:vAlign w:val="center"/>
          </w:tcPr>
          <w:p w:rsidR="00B536C4" w:rsidRDefault="00CC45D2">
            <w:pPr>
              <w:jc w:val="left"/>
            </w:pPr>
            <w:r>
              <w:rPr>
                <w:color w:val="000000"/>
                <w:sz w:val="24"/>
              </w:rPr>
              <w:t>中国证券报、上海证券报、证券时报</w:t>
            </w:r>
          </w:p>
        </w:tc>
        <w:tc>
          <w:tcPr>
            <w:tcW w:w="1440" w:type="dxa"/>
            <w:vAlign w:val="center"/>
          </w:tcPr>
          <w:p w:rsidR="00B536C4" w:rsidRDefault="00CC45D2">
            <w:pPr>
              <w:jc w:val="center"/>
            </w:pPr>
            <w:r>
              <w:rPr>
                <w:color w:val="000000"/>
                <w:sz w:val="24"/>
              </w:rPr>
              <w:t>2016-07-22</w:t>
            </w:r>
          </w:p>
        </w:tc>
      </w:tr>
      <w:tr w:rsidR="00B536C4">
        <w:tc>
          <w:tcPr>
            <w:tcW w:w="720" w:type="dxa"/>
            <w:vAlign w:val="center"/>
          </w:tcPr>
          <w:p w:rsidR="00B536C4" w:rsidRDefault="00CC45D2">
            <w:pPr>
              <w:jc w:val="center"/>
            </w:pPr>
            <w:r>
              <w:rPr>
                <w:color w:val="000000"/>
                <w:sz w:val="24"/>
              </w:rPr>
              <w:t>20</w:t>
            </w:r>
          </w:p>
        </w:tc>
        <w:tc>
          <w:tcPr>
            <w:tcW w:w="4320" w:type="dxa"/>
            <w:vAlign w:val="center"/>
          </w:tcPr>
          <w:p w:rsidR="00B536C4" w:rsidRDefault="00CC45D2">
            <w:pPr>
              <w:jc w:val="left"/>
            </w:pPr>
            <w:r>
              <w:rPr>
                <w:color w:val="000000"/>
                <w:sz w:val="24"/>
              </w:rPr>
              <w:t>交银施罗德基金管理有限公司关于旗下部分基金参与江苏常熟农村商业银行股份有限公司网上交易平台、手机交易平台基金申购费率、定期定额投资费率优惠活动的公告</w:t>
            </w:r>
          </w:p>
        </w:tc>
        <w:tc>
          <w:tcPr>
            <w:tcW w:w="2520" w:type="dxa"/>
            <w:vAlign w:val="center"/>
          </w:tcPr>
          <w:p w:rsidR="00B536C4" w:rsidRDefault="00CC45D2">
            <w:pPr>
              <w:jc w:val="left"/>
            </w:pPr>
            <w:r>
              <w:rPr>
                <w:color w:val="000000"/>
                <w:sz w:val="24"/>
              </w:rPr>
              <w:t>中国证券报、上海证券报、证券时报</w:t>
            </w:r>
          </w:p>
        </w:tc>
        <w:tc>
          <w:tcPr>
            <w:tcW w:w="1440" w:type="dxa"/>
            <w:vAlign w:val="center"/>
          </w:tcPr>
          <w:p w:rsidR="00B536C4" w:rsidRDefault="00CC45D2">
            <w:pPr>
              <w:jc w:val="center"/>
            </w:pPr>
            <w:r>
              <w:rPr>
                <w:color w:val="000000"/>
                <w:sz w:val="24"/>
              </w:rPr>
              <w:t>2016-08-03</w:t>
            </w:r>
          </w:p>
        </w:tc>
      </w:tr>
      <w:tr w:rsidR="00B536C4">
        <w:tc>
          <w:tcPr>
            <w:tcW w:w="720" w:type="dxa"/>
            <w:vAlign w:val="center"/>
          </w:tcPr>
          <w:p w:rsidR="00B536C4" w:rsidRDefault="00CC45D2">
            <w:pPr>
              <w:jc w:val="center"/>
            </w:pPr>
            <w:r>
              <w:rPr>
                <w:color w:val="000000"/>
                <w:sz w:val="24"/>
              </w:rPr>
              <w:t>21</w:t>
            </w:r>
          </w:p>
        </w:tc>
        <w:tc>
          <w:tcPr>
            <w:tcW w:w="4320" w:type="dxa"/>
            <w:vAlign w:val="center"/>
          </w:tcPr>
          <w:p w:rsidR="00B536C4" w:rsidRDefault="00CC45D2">
            <w:pPr>
              <w:jc w:val="left"/>
            </w:pPr>
            <w:r>
              <w:rPr>
                <w:color w:val="000000"/>
                <w:sz w:val="24"/>
              </w:rPr>
              <w:t>交银施罗德基金管理有限公司关于增加</w:t>
            </w:r>
            <w:r>
              <w:rPr>
                <w:color w:val="000000"/>
                <w:sz w:val="24"/>
              </w:rPr>
              <w:lastRenderedPageBreak/>
              <w:t>奕丰金融服务（深圳）有限公司为旗下部分基金的场外销售机构的公告</w:t>
            </w:r>
          </w:p>
        </w:tc>
        <w:tc>
          <w:tcPr>
            <w:tcW w:w="2520" w:type="dxa"/>
            <w:vAlign w:val="center"/>
          </w:tcPr>
          <w:p w:rsidR="00B536C4" w:rsidRDefault="00CC45D2">
            <w:pPr>
              <w:jc w:val="left"/>
            </w:pPr>
            <w:r>
              <w:rPr>
                <w:color w:val="000000"/>
                <w:sz w:val="24"/>
              </w:rPr>
              <w:lastRenderedPageBreak/>
              <w:t>中国证券报、上海证券</w:t>
            </w:r>
            <w:r>
              <w:rPr>
                <w:color w:val="000000"/>
                <w:sz w:val="24"/>
              </w:rPr>
              <w:lastRenderedPageBreak/>
              <w:t>报、证券时报</w:t>
            </w:r>
          </w:p>
        </w:tc>
        <w:tc>
          <w:tcPr>
            <w:tcW w:w="1440" w:type="dxa"/>
            <w:vAlign w:val="center"/>
          </w:tcPr>
          <w:p w:rsidR="00B536C4" w:rsidRDefault="00CC45D2">
            <w:pPr>
              <w:jc w:val="center"/>
            </w:pPr>
            <w:r>
              <w:rPr>
                <w:color w:val="000000"/>
                <w:sz w:val="24"/>
              </w:rPr>
              <w:lastRenderedPageBreak/>
              <w:t>2016-08-05</w:t>
            </w:r>
          </w:p>
        </w:tc>
      </w:tr>
      <w:tr w:rsidR="00B536C4">
        <w:tc>
          <w:tcPr>
            <w:tcW w:w="720" w:type="dxa"/>
            <w:vAlign w:val="center"/>
          </w:tcPr>
          <w:p w:rsidR="00B536C4" w:rsidRDefault="00CC45D2">
            <w:pPr>
              <w:jc w:val="center"/>
            </w:pPr>
            <w:r>
              <w:rPr>
                <w:color w:val="000000"/>
                <w:sz w:val="24"/>
              </w:rPr>
              <w:lastRenderedPageBreak/>
              <w:t>22</w:t>
            </w:r>
          </w:p>
        </w:tc>
        <w:tc>
          <w:tcPr>
            <w:tcW w:w="4320" w:type="dxa"/>
            <w:vAlign w:val="center"/>
          </w:tcPr>
          <w:p w:rsidR="00B536C4" w:rsidRDefault="00CC45D2">
            <w:pPr>
              <w:jc w:val="left"/>
            </w:pPr>
            <w:r>
              <w:rPr>
                <w:color w:val="000000"/>
                <w:sz w:val="24"/>
              </w:rPr>
              <w:t>交银施罗德基金管理有限公司关于增加浙江</w:t>
            </w:r>
            <w:proofErr w:type="gramStart"/>
            <w:r>
              <w:rPr>
                <w:color w:val="000000"/>
                <w:sz w:val="24"/>
              </w:rPr>
              <w:t>金观诚</w:t>
            </w:r>
            <w:proofErr w:type="gramEnd"/>
            <w:r>
              <w:rPr>
                <w:color w:val="000000"/>
                <w:sz w:val="24"/>
              </w:rPr>
              <w:t>财富管理有限公司为旗下部分基金的场外销售机构并参与基金前端申购（含定期定额投资）费率优惠活动的公告</w:t>
            </w:r>
          </w:p>
        </w:tc>
        <w:tc>
          <w:tcPr>
            <w:tcW w:w="2520" w:type="dxa"/>
            <w:vAlign w:val="center"/>
          </w:tcPr>
          <w:p w:rsidR="00B536C4" w:rsidRDefault="00CC45D2">
            <w:pPr>
              <w:jc w:val="left"/>
            </w:pPr>
            <w:r>
              <w:rPr>
                <w:color w:val="000000"/>
                <w:sz w:val="24"/>
              </w:rPr>
              <w:t>中国证券报、上海证券报、证券时报</w:t>
            </w:r>
          </w:p>
        </w:tc>
        <w:tc>
          <w:tcPr>
            <w:tcW w:w="1440" w:type="dxa"/>
            <w:vAlign w:val="center"/>
          </w:tcPr>
          <w:p w:rsidR="00B536C4" w:rsidRDefault="00CC45D2">
            <w:pPr>
              <w:jc w:val="center"/>
            </w:pPr>
            <w:r>
              <w:rPr>
                <w:color w:val="000000"/>
                <w:sz w:val="24"/>
              </w:rPr>
              <w:t>2016-08-19</w:t>
            </w:r>
          </w:p>
        </w:tc>
      </w:tr>
      <w:tr w:rsidR="00B536C4">
        <w:tc>
          <w:tcPr>
            <w:tcW w:w="720" w:type="dxa"/>
            <w:vAlign w:val="center"/>
          </w:tcPr>
          <w:p w:rsidR="00B536C4" w:rsidRDefault="00CC45D2">
            <w:pPr>
              <w:jc w:val="center"/>
            </w:pPr>
            <w:r>
              <w:rPr>
                <w:color w:val="000000"/>
                <w:sz w:val="24"/>
              </w:rPr>
              <w:t>23</w:t>
            </w:r>
          </w:p>
        </w:tc>
        <w:tc>
          <w:tcPr>
            <w:tcW w:w="4320" w:type="dxa"/>
            <w:vAlign w:val="center"/>
          </w:tcPr>
          <w:p w:rsidR="00B536C4" w:rsidRDefault="00CC45D2">
            <w:pPr>
              <w:jc w:val="left"/>
            </w:pPr>
            <w:r>
              <w:rPr>
                <w:color w:val="000000"/>
                <w:sz w:val="24"/>
              </w:rPr>
              <w:t>交银施罗德全球自然资源证券投资基金</w:t>
            </w:r>
            <w:r>
              <w:rPr>
                <w:color w:val="000000"/>
                <w:sz w:val="24"/>
              </w:rPr>
              <w:t>2016</w:t>
            </w:r>
            <w:r>
              <w:rPr>
                <w:color w:val="000000"/>
                <w:sz w:val="24"/>
              </w:rPr>
              <w:t>年半年度报告摘要</w:t>
            </w:r>
          </w:p>
        </w:tc>
        <w:tc>
          <w:tcPr>
            <w:tcW w:w="2520" w:type="dxa"/>
            <w:vAlign w:val="center"/>
          </w:tcPr>
          <w:p w:rsidR="00B536C4" w:rsidRDefault="00CC45D2">
            <w:pPr>
              <w:jc w:val="left"/>
            </w:pPr>
            <w:r>
              <w:rPr>
                <w:color w:val="000000"/>
                <w:sz w:val="24"/>
              </w:rPr>
              <w:t>中国证券报、上海证券报、证券时报</w:t>
            </w:r>
          </w:p>
        </w:tc>
        <w:tc>
          <w:tcPr>
            <w:tcW w:w="1440" w:type="dxa"/>
            <w:vAlign w:val="center"/>
          </w:tcPr>
          <w:p w:rsidR="00B536C4" w:rsidRDefault="00CC45D2">
            <w:pPr>
              <w:jc w:val="center"/>
            </w:pPr>
            <w:r>
              <w:rPr>
                <w:color w:val="000000"/>
                <w:sz w:val="24"/>
              </w:rPr>
              <w:t>2016-08-27</w:t>
            </w:r>
          </w:p>
        </w:tc>
      </w:tr>
      <w:tr w:rsidR="00B536C4">
        <w:tc>
          <w:tcPr>
            <w:tcW w:w="720" w:type="dxa"/>
            <w:vAlign w:val="center"/>
          </w:tcPr>
          <w:p w:rsidR="00B536C4" w:rsidRDefault="00CC45D2">
            <w:pPr>
              <w:jc w:val="center"/>
            </w:pPr>
            <w:r>
              <w:rPr>
                <w:color w:val="000000"/>
                <w:sz w:val="24"/>
              </w:rPr>
              <w:t>24</w:t>
            </w:r>
          </w:p>
        </w:tc>
        <w:tc>
          <w:tcPr>
            <w:tcW w:w="4320" w:type="dxa"/>
            <w:vAlign w:val="center"/>
          </w:tcPr>
          <w:p w:rsidR="00B536C4" w:rsidRDefault="00CC45D2">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520" w:type="dxa"/>
            <w:vAlign w:val="center"/>
          </w:tcPr>
          <w:p w:rsidR="00B536C4" w:rsidRDefault="00CC45D2">
            <w:pPr>
              <w:jc w:val="left"/>
            </w:pPr>
            <w:r>
              <w:rPr>
                <w:color w:val="000000"/>
                <w:sz w:val="24"/>
              </w:rPr>
              <w:t>中国证券报、上海证券报、证券时报</w:t>
            </w:r>
          </w:p>
        </w:tc>
        <w:tc>
          <w:tcPr>
            <w:tcW w:w="1440" w:type="dxa"/>
            <w:vAlign w:val="center"/>
          </w:tcPr>
          <w:p w:rsidR="00B536C4" w:rsidRDefault="00CC45D2">
            <w:pPr>
              <w:jc w:val="center"/>
            </w:pPr>
            <w:r>
              <w:rPr>
                <w:color w:val="000000"/>
                <w:sz w:val="24"/>
              </w:rPr>
              <w:t>2016-09-20</w:t>
            </w:r>
          </w:p>
        </w:tc>
      </w:tr>
      <w:tr w:rsidR="00B536C4">
        <w:tc>
          <w:tcPr>
            <w:tcW w:w="720" w:type="dxa"/>
            <w:vAlign w:val="center"/>
          </w:tcPr>
          <w:p w:rsidR="00B536C4" w:rsidRDefault="00CC45D2">
            <w:pPr>
              <w:jc w:val="center"/>
            </w:pPr>
            <w:r>
              <w:rPr>
                <w:color w:val="000000"/>
                <w:sz w:val="24"/>
              </w:rPr>
              <w:t>25</w:t>
            </w:r>
          </w:p>
        </w:tc>
        <w:tc>
          <w:tcPr>
            <w:tcW w:w="4320" w:type="dxa"/>
            <w:vAlign w:val="center"/>
          </w:tcPr>
          <w:p w:rsidR="00B536C4" w:rsidRDefault="00CC45D2">
            <w:pPr>
              <w:jc w:val="left"/>
            </w:pPr>
            <w:r>
              <w:rPr>
                <w:color w:val="000000"/>
                <w:sz w:val="24"/>
              </w:rPr>
              <w:t>交银施罗德基金管理有限公司关于交银施罗德全球自然资源证券投资基金于境外主要市场节假日暂停及节后恢复基金申购、赎回和定期定额投资业务的公告</w:t>
            </w:r>
          </w:p>
        </w:tc>
        <w:tc>
          <w:tcPr>
            <w:tcW w:w="2520" w:type="dxa"/>
            <w:vAlign w:val="center"/>
          </w:tcPr>
          <w:p w:rsidR="00B536C4" w:rsidRDefault="00CC45D2">
            <w:pPr>
              <w:jc w:val="left"/>
            </w:pPr>
            <w:r>
              <w:rPr>
                <w:color w:val="000000"/>
                <w:sz w:val="24"/>
              </w:rPr>
              <w:t>中国证券报、上海证券报、证券时报</w:t>
            </w:r>
          </w:p>
        </w:tc>
        <w:tc>
          <w:tcPr>
            <w:tcW w:w="1440" w:type="dxa"/>
            <w:vAlign w:val="center"/>
          </w:tcPr>
          <w:p w:rsidR="00B536C4" w:rsidRDefault="00CC45D2">
            <w:pPr>
              <w:jc w:val="center"/>
            </w:pPr>
            <w:r>
              <w:rPr>
                <w:color w:val="000000"/>
                <w:sz w:val="24"/>
              </w:rPr>
              <w:t>2016-09-29</w:t>
            </w:r>
          </w:p>
        </w:tc>
      </w:tr>
      <w:tr w:rsidR="00B536C4">
        <w:tc>
          <w:tcPr>
            <w:tcW w:w="720" w:type="dxa"/>
            <w:vAlign w:val="center"/>
          </w:tcPr>
          <w:p w:rsidR="00B536C4" w:rsidRDefault="00CC45D2">
            <w:pPr>
              <w:jc w:val="center"/>
            </w:pPr>
            <w:r>
              <w:rPr>
                <w:color w:val="000000"/>
                <w:sz w:val="24"/>
              </w:rPr>
              <w:t>26</w:t>
            </w:r>
          </w:p>
        </w:tc>
        <w:tc>
          <w:tcPr>
            <w:tcW w:w="4320" w:type="dxa"/>
            <w:vAlign w:val="center"/>
          </w:tcPr>
          <w:p w:rsidR="00B536C4" w:rsidRDefault="00CC45D2">
            <w:pPr>
              <w:jc w:val="left"/>
            </w:pPr>
            <w:r>
              <w:rPr>
                <w:color w:val="000000"/>
                <w:sz w:val="24"/>
              </w:rPr>
              <w:t>交银施罗德全球自然资源证券投资基金</w:t>
            </w:r>
            <w:r>
              <w:rPr>
                <w:color w:val="000000"/>
                <w:sz w:val="24"/>
              </w:rPr>
              <w:t>2016</w:t>
            </w:r>
            <w:r>
              <w:rPr>
                <w:color w:val="000000"/>
                <w:sz w:val="24"/>
              </w:rPr>
              <w:t>年第</w:t>
            </w:r>
            <w:r>
              <w:rPr>
                <w:color w:val="000000"/>
                <w:sz w:val="24"/>
              </w:rPr>
              <w:t>3</w:t>
            </w:r>
            <w:r>
              <w:rPr>
                <w:color w:val="000000"/>
                <w:sz w:val="24"/>
              </w:rPr>
              <w:t>季度报告</w:t>
            </w:r>
          </w:p>
        </w:tc>
        <w:tc>
          <w:tcPr>
            <w:tcW w:w="2520" w:type="dxa"/>
            <w:vAlign w:val="center"/>
          </w:tcPr>
          <w:p w:rsidR="00B536C4" w:rsidRDefault="00CC45D2">
            <w:pPr>
              <w:jc w:val="left"/>
            </w:pPr>
            <w:r>
              <w:rPr>
                <w:color w:val="000000"/>
                <w:sz w:val="24"/>
              </w:rPr>
              <w:t>中国证券报、上海证券报、证券时报</w:t>
            </w:r>
          </w:p>
        </w:tc>
        <w:tc>
          <w:tcPr>
            <w:tcW w:w="1440" w:type="dxa"/>
            <w:vAlign w:val="center"/>
          </w:tcPr>
          <w:p w:rsidR="00B536C4" w:rsidRDefault="00CC45D2">
            <w:pPr>
              <w:jc w:val="center"/>
            </w:pPr>
            <w:r>
              <w:rPr>
                <w:color w:val="000000"/>
                <w:sz w:val="24"/>
              </w:rPr>
              <w:t>2016-10-25</w:t>
            </w:r>
          </w:p>
        </w:tc>
      </w:tr>
      <w:tr w:rsidR="00B536C4">
        <w:tc>
          <w:tcPr>
            <w:tcW w:w="720" w:type="dxa"/>
            <w:vAlign w:val="center"/>
          </w:tcPr>
          <w:p w:rsidR="00B536C4" w:rsidRDefault="00CC45D2">
            <w:pPr>
              <w:jc w:val="center"/>
            </w:pPr>
            <w:r>
              <w:rPr>
                <w:color w:val="000000"/>
                <w:sz w:val="24"/>
              </w:rPr>
              <w:t>27</w:t>
            </w:r>
          </w:p>
        </w:tc>
        <w:tc>
          <w:tcPr>
            <w:tcW w:w="4320" w:type="dxa"/>
            <w:vAlign w:val="center"/>
          </w:tcPr>
          <w:p w:rsidR="00B536C4" w:rsidRDefault="00CC45D2">
            <w:pPr>
              <w:jc w:val="left"/>
            </w:pPr>
            <w:r>
              <w:rPr>
                <w:color w:val="000000"/>
                <w:sz w:val="24"/>
              </w:rPr>
              <w:t>交银施罗德基金管理有限公司关于增加北京创金启富投资管理有限公司为旗下部分基金的场外销售机构并参与其基金前端申购（含定期定额投资）费率优惠活动的公告</w:t>
            </w:r>
          </w:p>
        </w:tc>
        <w:tc>
          <w:tcPr>
            <w:tcW w:w="2520" w:type="dxa"/>
            <w:vAlign w:val="center"/>
          </w:tcPr>
          <w:p w:rsidR="00B536C4" w:rsidRDefault="00CC45D2">
            <w:pPr>
              <w:jc w:val="left"/>
            </w:pPr>
            <w:r>
              <w:rPr>
                <w:color w:val="000000"/>
                <w:sz w:val="24"/>
              </w:rPr>
              <w:t>中国证券报、上海证券报、证券时报</w:t>
            </w:r>
          </w:p>
        </w:tc>
        <w:tc>
          <w:tcPr>
            <w:tcW w:w="1440" w:type="dxa"/>
            <w:vAlign w:val="center"/>
          </w:tcPr>
          <w:p w:rsidR="00B536C4" w:rsidRDefault="00CC45D2">
            <w:pPr>
              <w:jc w:val="center"/>
            </w:pPr>
            <w:r>
              <w:rPr>
                <w:color w:val="000000"/>
                <w:sz w:val="24"/>
              </w:rPr>
              <w:t>2016-11-02</w:t>
            </w:r>
          </w:p>
        </w:tc>
      </w:tr>
      <w:tr w:rsidR="00B536C4">
        <w:tc>
          <w:tcPr>
            <w:tcW w:w="720" w:type="dxa"/>
            <w:vAlign w:val="center"/>
          </w:tcPr>
          <w:p w:rsidR="00B536C4" w:rsidRDefault="00CC45D2">
            <w:pPr>
              <w:jc w:val="center"/>
            </w:pPr>
            <w:r>
              <w:rPr>
                <w:color w:val="000000"/>
                <w:sz w:val="24"/>
              </w:rPr>
              <w:t>28</w:t>
            </w:r>
          </w:p>
        </w:tc>
        <w:tc>
          <w:tcPr>
            <w:tcW w:w="4320" w:type="dxa"/>
            <w:vAlign w:val="center"/>
          </w:tcPr>
          <w:p w:rsidR="00B536C4" w:rsidRDefault="00CC45D2">
            <w:pPr>
              <w:jc w:val="left"/>
            </w:pPr>
            <w:r>
              <w:rPr>
                <w:color w:val="000000"/>
                <w:sz w:val="24"/>
              </w:rPr>
              <w:t>交银施罗德基金管理有限公司关于增加日发资产管理（上海）有限公司为旗下部分基金的场外销售机构的公告</w:t>
            </w:r>
          </w:p>
        </w:tc>
        <w:tc>
          <w:tcPr>
            <w:tcW w:w="2520" w:type="dxa"/>
            <w:vAlign w:val="center"/>
          </w:tcPr>
          <w:p w:rsidR="00B536C4" w:rsidRDefault="00CC45D2">
            <w:pPr>
              <w:jc w:val="left"/>
            </w:pPr>
            <w:r>
              <w:rPr>
                <w:color w:val="000000"/>
                <w:sz w:val="24"/>
              </w:rPr>
              <w:t>中国证券报、上海证券报、证券时报</w:t>
            </w:r>
          </w:p>
        </w:tc>
        <w:tc>
          <w:tcPr>
            <w:tcW w:w="1440" w:type="dxa"/>
            <w:vAlign w:val="center"/>
          </w:tcPr>
          <w:p w:rsidR="00B536C4" w:rsidRDefault="00CC45D2">
            <w:pPr>
              <w:jc w:val="center"/>
            </w:pPr>
            <w:r>
              <w:rPr>
                <w:color w:val="000000"/>
                <w:sz w:val="24"/>
              </w:rPr>
              <w:t>2016-11-09</w:t>
            </w:r>
          </w:p>
        </w:tc>
      </w:tr>
      <w:tr w:rsidR="00B536C4">
        <w:tc>
          <w:tcPr>
            <w:tcW w:w="720" w:type="dxa"/>
            <w:vAlign w:val="center"/>
          </w:tcPr>
          <w:p w:rsidR="00B536C4" w:rsidRDefault="00CC45D2">
            <w:pPr>
              <w:jc w:val="center"/>
            </w:pPr>
            <w:r>
              <w:rPr>
                <w:color w:val="000000"/>
                <w:sz w:val="24"/>
              </w:rPr>
              <w:t>29</w:t>
            </w:r>
          </w:p>
        </w:tc>
        <w:tc>
          <w:tcPr>
            <w:tcW w:w="4320" w:type="dxa"/>
            <w:vAlign w:val="center"/>
          </w:tcPr>
          <w:p w:rsidR="00B536C4" w:rsidRDefault="00CC45D2">
            <w:pPr>
              <w:jc w:val="left"/>
            </w:pPr>
            <w:r>
              <w:rPr>
                <w:color w:val="000000"/>
                <w:sz w:val="24"/>
              </w:rPr>
              <w:t>交银施罗德基金管理有限公司关于增加上海云湾投资管理有限公司为旗下部分基金的场外销售机构并参与其基金前端申购（含定期定额投资）费率优惠活动的公告</w:t>
            </w:r>
          </w:p>
        </w:tc>
        <w:tc>
          <w:tcPr>
            <w:tcW w:w="2520" w:type="dxa"/>
            <w:vAlign w:val="center"/>
          </w:tcPr>
          <w:p w:rsidR="00B536C4" w:rsidRDefault="00CC45D2">
            <w:pPr>
              <w:jc w:val="left"/>
            </w:pPr>
            <w:r>
              <w:rPr>
                <w:color w:val="000000"/>
                <w:sz w:val="24"/>
              </w:rPr>
              <w:t>中国证券报、上海证券报、证券时报</w:t>
            </w:r>
          </w:p>
        </w:tc>
        <w:tc>
          <w:tcPr>
            <w:tcW w:w="1440" w:type="dxa"/>
            <w:vAlign w:val="center"/>
          </w:tcPr>
          <w:p w:rsidR="00B536C4" w:rsidRDefault="00CC45D2">
            <w:pPr>
              <w:jc w:val="center"/>
            </w:pPr>
            <w:r>
              <w:rPr>
                <w:color w:val="000000"/>
                <w:sz w:val="24"/>
              </w:rPr>
              <w:t>2016-11-11</w:t>
            </w:r>
          </w:p>
        </w:tc>
      </w:tr>
      <w:tr w:rsidR="00B536C4">
        <w:tc>
          <w:tcPr>
            <w:tcW w:w="720" w:type="dxa"/>
            <w:vAlign w:val="center"/>
          </w:tcPr>
          <w:p w:rsidR="00B536C4" w:rsidRDefault="00CC45D2">
            <w:pPr>
              <w:jc w:val="center"/>
            </w:pPr>
            <w:r>
              <w:rPr>
                <w:color w:val="000000"/>
                <w:sz w:val="24"/>
              </w:rPr>
              <w:t>30</w:t>
            </w:r>
          </w:p>
        </w:tc>
        <w:tc>
          <w:tcPr>
            <w:tcW w:w="4320" w:type="dxa"/>
            <w:vAlign w:val="center"/>
          </w:tcPr>
          <w:p w:rsidR="00B536C4" w:rsidRDefault="00CC45D2">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520" w:type="dxa"/>
            <w:vAlign w:val="center"/>
          </w:tcPr>
          <w:p w:rsidR="00B536C4" w:rsidRDefault="00CC45D2">
            <w:pPr>
              <w:jc w:val="left"/>
            </w:pPr>
            <w:r>
              <w:rPr>
                <w:color w:val="000000"/>
                <w:sz w:val="24"/>
              </w:rPr>
              <w:t>中国证券报、上海证券报、证券时报</w:t>
            </w:r>
          </w:p>
        </w:tc>
        <w:tc>
          <w:tcPr>
            <w:tcW w:w="1440" w:type="dxa"/>
            <w:vAlign w:val="center"/>
          </w:tcPr>
          <w:p w:rsidR="00B536C4" w:rsidRDefault="00CC45D2">
            <w:pPr>
              <w:jc w:val="center"/>
            </w:pPr>
            <w:r>
              <w:rPr>
                <w:color w:val="000000"/>
                <w:sz w:val="24"/>
              </w:rPr>
              <w:t>2016-11-29</w:t>
            </w:r>
          </w:p>
        </w:tc>
      </w:tr>
      <w:tr w:rsidR="00B536C4">
        <w:tc>
          <w:tcPr>
            <w:tcW w:w="720" w:type="dxa"/>
            <w:vAlign w:val="center"/>
          </w:tcPr>
          <w:p w:rsidR="00B536C4" w:rsidRDefault="00CC45D2">
            <w:pPr>
              <w:jc w:val="center"/>
            </w:pPr>
            <w:r>
              <w:rPr>
                <w:color w:val="000000"/>
                <w:sz w:val="24"/>
              </w:rPr>
              <w:t>31</w:t>
            </w:r>
          </w:p>
        </w:tc>
        <w:tc>
          <w:tcPr>
            <w:tcW w:w="4320" w:type="dxa"/>
            <w:vAlign w:val="center"/>
          </w:tcPr>
          <w:p w:rsidR="00B536C4" w:rsidRDefault="00CC45D2">
            <w:pPr>
              <w:jc w:val="left"/>
            </w:pPr>
            <w:r>
              <w:rPr>
                <w:color w:val="000000"/>
                <w:sz w:val="24"/>
              </w:rPr>
              <w:t>交银施罗德基金管理有限公司关于增加乾道金融信息服务（北京）有限公司为旗下部分基金的场外销售机构并参与其基金前端（含定期定额投资）申购费率优惠活动的公告</w:t>
            </w:r>
          </w:p>
        </w:tc>
        <w:tc>
          <w:tcPr>
            <w:tcW w:w="2520" w:type="dxa"/>
            <w:vAlign w:val="center"/>
          </w:tcPr>
          <w:p w:rsidR="00B536C4" w:rsidRDefault="00CC45D2">
            <w:pPr>
              <w:jc w:val="left"/>
            </w:pPr>
            <w:r>
              <w:rPr>
                <w:color w:val="000000"/>
                <w:sz w:val="24"/>
              </w:rPr>
              <w:t>中国证券报、上海证券报、证券时报</w:t>
            </w:r>
          </w:p>
        </w:tc>
        <w:tc>
          <w:tcPr>
            <w:tcW w:w="1440" w:type="dxa"/>
            <w:vAlign w:val="center"/>
          </w:tcPr>
          <w:p w:rsidR="00B536C4" w:rsidRDefault="00CC45D2">
            <w:pPr>
              <w:jc w:val="center"/>
            </w:pPr>
            <w:r>
              <w:rPr>
                <w:color w:val="000000"/>
                <w:sz w:val="24"/>
              </w:rPr>
              <w:t>2016-12-14</w:t>
            </w:r>
          </w:p>
        </w:tc>
      </w:tr>
      <w:tr w:rsidR="00B536C4">
        <w:tc>
          <w:tcPr>
            <w:tcW w:w="720" w:type="dxa"/>
            <w:vAlign w:val="center"/>
          </w:tcPr>
          <w:p w:rsidR="00B536C4" w:rsidRDefault="00CC45D2">
            <w:pPr>
              <w:jc w:val="center"/>
            </w:pPr>
            <w:r>
              <w:rPr>
                <w:color w:val="000000"/>
                <w:sz w:val="24"/>
              </w:rPr>
              <w:t>32</w:t>
            </w:r>
          </w:p>
        </w:tc>
        <w:tc>
          <w:tcPr>
            <w:tcW w:w="4320" w:type="dxa"/>
            <w:vAlign w:val="center"/>
          </w:tcPr>
          <w:p w:rsidR="00B536C4" w:rsidRDefault="00CC45D2">
            <w:pPr>
              <w:jc w:val="left"/>
            </w:pPr>
            <w:r>
              <w:rPr>
                <w:color w:val="000000"/>
                <w:sz w:val="24"/>
              </w:rPr>
              <w:t>交银施罗德基金管理有限公司关于交银施罗德全球自然资源证券投资基金于境外主要市场节假日暂停及节后恢复基金申购、赎回和定期定额投资业务的公告</w:t>
            </w:r>
          </w:p>
        </w:tc>
        <w:tc>
          <w:tcPr>
            <w:tcW w:w="2520" w:type="dxa"/>
            <w:vAlign w:val="center"/>
          </w:tcPr>
          <w:p w:rsidR="00B536C4" w:rsidRDefault="00CC45D2">
            <w:pPr>
              <w:jc w:val="left"/>
            </w:pPr>
            <w:r>
              <w:rPr>
                <w:color w:val="000000"/>
                <w:sz w:val="24"/>
              </w:rPr>
              <w:t>中国证券报、上海证券报、证券时报</w:t>
            </w:r>
          </w:p>
        </w:tc>
        <w:tc>
          <w:tcPr>
            <w:tcW w:w="1440" w:type="dxa"/>
            <w:vAlign w:val="center"/>
          </w:tcPr>
          <w:p w:rsidR="00B536C4" w:rsidRDefault="00CC45D2">
            <w:pPr>
              <w:jc w:val="center"/>
            </w:pPr>
            <w:r>
              <w:rPr>
                <w:color w:val="000000"/>
                <w:sz w:val="24"/>
              </w:rPr>
              <w:t>2016-12-21</w:t>
            </w:r>
          </w:p>
        </w:tc>
      </w:tr>
      <w:tr w:rsidR="00B536C4">
        <w:tc>
          <w:tcPr>
            <w:tcW w:w="720" w:type="dxa"/>
            <w:vAlign w:val="center"/>
          </w:tcPr>
          <w:p w:rsidR="00B536C4" w:rsidRDefault="00CC45D2">
            <w:pPr>
              <w:jc w:val="center"/>
            </w:pPr>
            <w:r>
              <w:rPr>
                <w:color w:val="000000"/>
                <w:sz w:val="24"/>
              </w:rPr>
              <w:lastRenderedPageBreak/>
              <w:t>33</w:t>
            </w:r>
          </w:p>
        </w:tc>
        <w:tc>
          <w:tcPr>
            <w:tcW w:w="4320" w:type="dxa"/>
            <w:vAlign w:val="center"/>
          </w:tcPr>
          <w:p w:rsidR="00B536C4" w:rsidRDefault="00CC45D2">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520" w:type="dxa"/>
            <w:vAlign w:val="center"/>
          </w:tcPr>
          <w:p w:rsidR="00B536C4" w:rsidRDefault="00CC45D2">
            <w:pPr>
              <w:jc w:val="left"/>
            </w:pPr>
            <w:r>
              <w:rPr>
                <w:color w:val="000000"/>
                <w:sz w:val="24"/>
              </w:rPr>
              <w:t>中国证券报、上海证券报、证券时报</w:t>
            </w:r>
          </w:p>
        </w:tc>
        <w:tc>
          <w:tcPr>
            <w:tcW w:w="1440" w:type="dxa"/>
            <w:vAlign w:val="center"/>
          </w:tcPr>
          <w:p w:rsidR="00B536C4" w:rsidRDefault="00CC45D2">
            <w:pPr>
              <w:jc w:val="center"/>
            </w:pPr>
            <w:r>
              <w:rPr>
                <w:color w:val="000000"/>
                <w:sz w:val="24"/>
              </w:rPr>
              <w:t>2016-12-22</w:t>
            </w:r>
          </w:p>
        </w:tc>
      </w:tr>
      <w:tr w:rsidR="00B536C4">
        <w:tc>
          <w:tcPr>
            <w:tcW w:w="720" w:type="dxa"/>
            <w:vAlign w:val="center"/>
          </w:tcPr>
          <w:p w:rsidR="00B536C4" w:rsidRDefault="00CC45D2">
            <w:pPr>
              <w:jc w:val="center"/>
            </w:pPr>
            <w:r>
              <w:rPr>
                <w:color w:val="000000"/>
                <w:sz w:val="24"/>
              </w:rPr>
              <w:t>34</w:t>
            </w:r>
          </w:p>
        </w:tc>
        <w:tc>
          <w:tcPr>
            <w:tcW w:w="4320" w:type="dxa"/>
            <w:vAlign w:val="center"/>
          </w:tcPr>
          <w:p w:rsidR="00B536C4" w:rsidRDefault="00CC45D2">
            <w:pPr>
              <w:jc w:val="left"/>
            </w:pPr>
            <w:r>
              <w:rPr>
                <w:color w:val="000000"/>
                <w:sz w:val="24"/>
              </w:rPr>
              <w:t>交银施罗德基金管理有限公司关于旗下部分基金参与中国农业银行股份有限公司基金交易费率优惠活动的公告</w:t>
            </w:r>
          </w:p>
        </w:tc>
        <w:tc>
          <w:tcPr>
            <w:tcW w:w="2520" w:type="dxa"/>
            <w:vAlign w:val="center"/>
          </w:tcPr>
          <w:p w:rsidR="00B536C4" w:rsidRDefault="00CC45D2">
            <w:pPr>
              <w:jc w:val="left"/>
            </w:pPr>
            <w:r>
              <w:rPr>
                <w:color w:val="000000"/>
                <w:sz w:val="24"/>
              </w:rPr>
              <w:t>中国证券报、上海证券报、证券时报</w:t>
            </w:r>
          </w:p>
        </w:tc>
        <w:tc>
          <w:tcPr>
            <w:tcW w:w="1440" w:type="dxa"/>
            <w:vAlign w:val="center"/>
          </w:tcPr>
          <w:p w:rsidR="00B536C4" w:rsidRDefault="00CC45D2">
            <w:pPr>
              <w:jc w:val="center"/>
            </w:pPr>
            <w:r>
              <w:rPr>
                <w:color w:val="000000"/>
                <w:sz w:val="24"/>
              </w:rPr>
              <w:t>2016-12-30</w:t>
            </w:r>
          </w:p>
        </w:tc>
      </w:tr>
    </w:tbl>
    <w:p w:rsidR="00354968" w:rsidRPr="00856D61" w:rsidRDefault="00354968" w:rsidP="00856D61">
      <w:pPr>
        <w:tabs>
          <w:tab w:val="left" w:pos="426"/>
        </w:tabs>
        <w:spacing w:before="29" w:line="288" w:lineRule="auto"/>
        <w:jc w:val="left"/>
        <w:rPr>
          <w:kern w:val="0"/>
          <w:sz w:val="24"/>
        </w:rPr>
      </w:pPr>
    </w:p>
    <w:p w:rsidR="007B62FA" w:rsidRDefault="007B62FA" w:rsidP="000C7A13">
      <w:pPr>
        <w:pStyle w:val="1"/>
        <w:keepNext/>
        <w:keepLines/>
        <w:widowControl w:val="0"/>
        <w:spacing w:beforeLines="100" w:before="312" w:afterLines="100" w:after="312" w:line="288" w:lineRule="auto"/>
        <w:jc w:val="center"/>
        <w:rPr>
          <w:b/>
          <w:bCs/>
          <w:szCs w:val="24"/>
          <w:lang w:val="en-US"/>
        </w:rPr>
      </w:pPr>
      <w:bookmarkStart w:id="476" w:name="_Toc225500055"/>
      <w:bookmarkStart w:id="477" w:name="_Toc352256020"/>
      <w:bookmarkStart w:id="478" w:name="_Toc352256088"/>
      <w:bookmarkStart w:id="479" w:name="_Toc352331266"/>
      <w:bookmarkStart w:id="480" w:name="_Toc362424045"/>
      <w:bookmarkStart w:id="481" w:name="_Toc478411474"/>
      <w:r w:rsidRPr="00354968">
        <w:rPr>
          <w:rFonts w:hint="eastAsia"/>
          <w:b/>
          <w:bCs/>
          <w:szCs w:val="24"/>
          <w:lang w:val="en-US"/>
        </w:rPr>
        <w:t>§</w:t>
      </w:r>
      <w:r w:rsidRPr="00354968">
        <w:rPr>
          <w:b/>
          <w:bCs/>
          <w:szCs w:val="24"/>
          <w:lang w:val="en-US"/>
        </w:rPr>
        <w:t>12</w:t>
      </w:r>
      <w:r w:rsidR="005862F2" w:rsidRPr="00354968">
        <w:rPr>
          <w:rFonts w:hint="eastAsia"/>
          <w:b/>
          <w:bCs/>
          <w:szCs w:val="24"/>
          <w:lang w:val="en-US"/>
        </w:rPr>
        <w:t xml:space="preserve"> </w:t>
      </w:r>
      <w:r w:rsidR="003E5E48" w:rsidRPr="00354968">
        <w:rPr>
          <w:rFonts w:hint="eastAsia"/>
          <w:b/>
          <w:bCs/>
          <w:szCs w:val="24"/>
          <w:lang w:val="en-US"/>
        </w:rPr>
        <w:t xml:space="preserve"> </w:t>
      </w:r>
      <w:r w:rsidRPr="00354968">
        <w:rPr>
          <w:rFonts w:hint="eastAsia"/>
          <w:b/>
          <w:bCs/>
          <w:szCs w:val="24"/>
          <w:lang w:val="en-US"/>
        </w:rPr>
        <w:t>备查文件目录</w:t>
      </w:r>
      <w:bookmarkEnd w:id="476"/>
      <w:bookmarkEnd w:id="477"/>
      <w:bookmarkEnd w:id="478"/>
      <w:bookmarkEnd w:id="479"/>
      <w:bookmarkEnd w:id="480"/>
      <w:bookmarkEnd w:id="481"/>
    </w:p>
    <w:p w:rsidR="00FC649E" w:rsidRPr="00FC649E" w:rsidRDefault="00FC649E" w:rsidP="00FC649E"/>
    <w:p w:rsidR="007B62FA" w:rsidRPr="00D166A2" w:rsidRDefault="007B62FA" w:rsidP="00D166A2">
      <w:pPr>
        <w:pStyle w:val="20"/>
        <w:spacing w:before="29" w:after="0" w:line="288" w:lineRule="auto"/>
        <w:rPr>
          <w:rFonts w:ascii="Times New Roman" w:hAnsi="Times New Roman"/>
          <w:kern w:val="0"/>
          <w:szCs w:val="24"/>
        </w:rPr>
      </w:pPr>
      <w:bookmarkStart w:id="482" w:name="_Toc352256021"/>
      <w:bookmarkStart w:id="483" w:name="_Toc352256089"/>
      <w:bookmarkStart w:id="484" w:name="_Toc352331267"/>
      <w:bookmarkStart w:id="485" w:name="_Toc362424046"/>
      <w:bookmarkStart w:id="486" w:name="_Toc478411475"/>
      <w:r w:rsidRPr="00D166A2">
        <w:rPr>
          <w:rFonts w:ascii="Times New Roman" w:hAnsi="Times New Roman"/>
          <w:kern w:val="0"/>
          <w:szCs w:val="24"/>
        </w:rPr>
        <w:t xml:space="preserve">12.1 </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备查文件目录</w:t>
      </w:r>
      <w:bookmarkEnd w:id="482"/>
      <w:bookmarkEnd w:id="483"/>
      <w:bookmarkEnd w:id="484"/>
      <w:bookmarkEnd w:id="485"/>
      <w:bookmarkEnd w:id="486"/>
    </w:p>
    <w:p w:rsidR="00B536C4" w:rsidRDefault="00CC45D2">
      <w:pPr>
        <w:widowControl/>
        <w:spacing w:before="29" w:line="288" w:lineRule="auto"/>
        <w:rPr>
          <w:kern w:val="0"/>
          <w:sz w:val="24"/>
        </w:rPr>
      </w:pPr>
      <w:r>
        <w:rPr>
          <w:kern w:val="0"/>
          <w:sz w:val="24"/>
        </w:rPr>
        <w:t>1</w:t>
      </w:r>
      <w:r>
        <w:rPr>
          <w:kern w:val="0"/>
          <w:sz w:val="24"/>
        </w:rPr>
        <w:t>、中国证监会批准交银施罗德全球自然资源证券投资基金募集的文件；</w:t>
      </w:r>
      <w:r>
        <w:rPr>
          <w:kern w:val="0"/>
          <w:sz w:val="24"/>
        </w:rPr>
        <w:t xml:space="preserve"> </w:t>
      </w:r>
    </w:p>
    <w:p w:rsidR="00B536C4" w:rsidRDefault="00CC45D2">
      <w:pPr>
        <w:widowControl/>
        <w:spacing w:before="29" w:line="288" w:lineRule="auto"/>
        <w:rPr>
          <w:kern w:val="0"/>
          <w:sz w:val="24"/>
        </w:rPr>
      </w:pPr>
      <w:r>
        <w:rPr>
          <w:kern w:val="0"/>
          <w:sz w:val="24"/>
        </w:rPr>
        <w:t>2</w:t>
      </w:r>
      <w:r>
        <w:rPr>
          <w:kern w:val="0"/>
          <w:sz w:val="24"/>
        </w:rPr>
        <w:t>、《交银施罗德全球自然资源证券投资基金基金合同》；</w:t>
      </w:r>
      <w:r>
        <w:rPr>
          <w:kern w:val="0"/>
          <w:sz w:val="24"/>
        </w:rPr>
        <w:t xml:space="preserve"> </w:t>
      </w:r>
    </w:p>
    <w:p w:rsidR="00B536C4" w:rsidRDefault="00CC45D2">
      <w:pPr>
        <w:widowControl/>
        <w:spacing w:before="29" w:line="288" w:lineRule="auto"/>
        <w:rPr>
          <w:kern w:val="0"/>
          <w:sz w:val="24"/>
        </w:rPr>
      </w:pPr>
      <w:r>
        <w:rPr>
          <w:kern w:val="0"/>
          <w:sz w:val="24"/>
        </w:rPr>
        <w:t>3</w:t>
      </w:r>
      <w:r>
        <w:rPr>
          <w:kern w:val="0"/>
          <w:sz w:val="24"/>
        </w:rPr>
        <w:t>、《交银施罗德全球自然资源证券投资基金招募说明书》；</w:t>
      </w:r>
      <w:r>
        <w:rPr>
          <w:kern w:val="0"/>
          <w:sz w:val="24"/>
        </w:rPr>
        <w:t xml:space="preserve"> </w:t>
      </w:r>
    </w:p>
    <w:p w:rsidR="00B536C4" w:rsidRDefault="00CC45D2">
      <w:pPr>
        <w:widowControl/>
        <w:spacing w:before="29" w:line="288" w:lineRule="auto"/>
        <w:rPr>
          <w:kern w:val="0"/>
          <w:sz w:val="24"/>
        </w:rPr>
      </w:pPr>
      <w:r>
        <w:rPr>
          <w:kern w:val="0"/>
          <w:sz w:val="24"/>
        </w:rPr>
        <w:t>4</w:t>
      </w:r>
      <w:r>
        <w:rPr>
          <w:kern w:val="0"/>
          <w:sz w:val="24"/>
        </w:rPr>
        <w:t>、《交银施罗德全球自然资源证券投资基金托管协议》；</w:t>
      </w:r>
    </w:p>
    <w:p w:rsidR="00B536C4" w:rsidRDefault="00CC45D2">
      <w:pPr>
        <w:widowControl/>
        <w:spacing w:before="29" w:line="288" w:lineRule="auto"/>
        <w:rPr>
          <w:kern w:val="0"/>
          <w:sz w:val="24"/>
        </w:rPr>
      </w:pPr>
      <w:r>
        <w:rPr>
          <w:kern w:val="0"/>
          <w:sz w:val="24"/>
        </w:rPr>
        <w:t>5</w:t>
      </w:r>
      <w:r>
        <w:rPr>
          <w:kern w:val="0"/>
          <w:sz w:val="24"/>
        </w:rPr>
        <w:t>、关于申请募集交银施罗德全球自然资源证券投资基金之法律意见书；</w:t>
      </w:r>
    </w:p>
    <w:p w:rsidR="00B536C4" w:rsidRDefault="00CC45D2">
      <w:pPr>
        <w:widowControl/>
        <w:spacing w:before="29" w:line="288" w:lineRule="auto"/>
        <w:rPr>
          <w:kern w:val="0"/>
          <w:sz w:val="24"/>
        </w:rPr>
      </w:pPr>
      <w:r>
        <w:rPr>
          <w:kern w:val="0"/>
          <w:sz w:val="24"/>
        </w:rPr>
        <w:t>6</w:t>
      </w:r>
      <w:r>
        <w:rPr>
          <w:kern w:val="0"/>
          <w:sz w:val="24"/>
        </w:rPr>
        <w:t>、基金管理人业务资格批件、营业执照；</w:t>
      </w:r>
    </w:p>
    <w:p w:rsidR="00B536C4" w:rsidRDefault="00CC45D2">
      <w:pPr>
        <w:widowControl/>
        <w:spacing w:before="29" w:line="288" w:lineRule="auto"/>
        <w:rPr>
          <w:kern w:val="0"/>
          <w:sz w:val="24"/>
        </w:rPr>
      </w:pPr>
      <w:r>
        <w:rPr>
          <w:kern w:val="0"/>
          <w:sz w:val="24"/>
        </w:rPr>
        <w:t>7</w:t>
      </w:r>
      <w:r>
        <w:rPr>
          <w:kern w:val="0"/>
          <w:sz w:val="24"/>
        </w:rPr>
        <w:t>、基金托管人业务资格批件、营业执照；</w:t>
      </w:r>
    </w:p>
    <w:p w:rsidR="007B62FA" w:rsidRPr="003920A4" w:rsidRDefault="007B62FA" w:rsidP="00736C29">
      <w:pPr>
        <w:widowControl/>
        <w:spacing w:before="29" w:line="288" w:lineRule="auto"/>
        <w:rPr>
          <w:kern w:val="0"/>
          <w:sz w:val="24"/>
        </w:rPr>
      </w:pPr>
      <w:r w:rsidRPr="003920A4">
        <w:rPr>
          <w:kern w:val="0"/>
          <w:sz w:val="24"/>
        </w:rPr>
        <w:t>8</w:t>
      </w:r>
      <w:r w:rsidRPr="003920A4">
        <w:rPr>
          <w:kern w:val="0"/>
          <w:sz w:val="24"/>
        </w:rPr>
        <w:t>、报告期内交银施罗德全球自然资源证券投资基金在指定报刊上各项公告的原稿。</w:t>
      </w:r>
    </w:p>
    <w:p w:rsidR="007B62FA" w:rsidRPr="00D0372D" w:rsidRDefault="007B62FA" w:rsidP="00602A38">
      <w:pPr>
        <w:spacing w:line="360" w:lineRule="auto"/>
        <w:ind w:firstLineChars="150" w:firstLine="315"/>
        <w:rPr>
          <w:rFonts w:ascii="宋体" w:hAnsi="宋体"/>
          <w:bCs/>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87" w:name="_Toc352256022"/>
      <w:bookmarkStart w:id="488" w:name="_Toc352256090"/>
      <w:bookmarkStart w:id="489" w:name="_Toc352331268"/>
      <w:bookmarkStart w:id="490" w:name="_Toc362424047"/>
      <w:bookmarkStart w:id="491" w:name="_Toc478411476"/>
      <w:r w:rsidRPr="00D166A2">
        <w:rPr>
          <w:rFonts w:ascii="Times New Roman" w:hAnsi="Times New Roman"/>
          <w:kern w:val="0"/>
          <w:szCs w:val="24"/>
        </w:rPr>
        <w:t>12.2</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存放地点</w:t>
      </w:r>
      <w:bookmarkEnd w:id="487"/>
      <w:bookmarkEnd w:id="488"/>
      <w:bookmarkEnd w:id="489"/>
      <w:bookmarkEnd w:id="490"/>
      <w:bookmarkEnd w:id="491"/>
    </w:p>
    <w:p w:rsidR="007B62FA" w:rsidRPr="003920A4" w:rsidRDefault="007B62FA" w:rsidP="003920A4">
      <w:pPr>
        <w:widowControl/>
        <w:spacing w:before="29" w:line="288" w:lineRule="auto"/>
        <w:ind w:firstLineChars="200" w:firstLine="480"/>
        <w:rPr>
          <w:kern w:val="0"/>
          <w:sz w:val="24"/>
        </w:rPr>
      </w:pPr>
      <w:r w:rsidRPr="003920A4">
        <w:rPr>
          <w:kern w:val="0"/>
          <w:sz w:val="24"/>
        </w:rPr>
        <w:t>备查文件存放于基金管理人的办公场所。</w:t>
      </w:r>
    </w:p>
    <w:p w:rsidR="007B62FA" w:rsidRPr="00D0372D" w:rsidRDefault="007B62FA" w:rsidP="00602A38">
      <w:pPr>
        <w:spacing w:line="360" w:lineRule="auto"/>
        <w:rPr>
          <w:rFonts w:ascii="宋体" w:hAnsi="宋体"/>
          <w:bCs/>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92" w:name="_Toc352256023"/>
      <w:bookmarkStart w:id="493" w:name="_Toc352256091"/>
      <w:bookmarkStart w:id="494" w:name="_Toc352331269"/>
      <w:bookmarkStart w:id="495" w:name="_Toc362424048"/>
      <w:bookmarkStart w:id="496" w:name="_Toc478411477"/>
      <w:r w:rsidRPr="00D166A2">
        <w:rPr>
          <w:rFonts w:ascii="Times New Roman" w:hAnsi="Times New Roman"/>
          <w:kern w:val="0"/>
          <w:szCs w:val="24"/>
        </w:rPr>
        <w:t>12.3</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查阅方式</w:t>
      </w:r>
      <w:bookmarkEnd w:id="492"/>
      <w:bookmarkEnd w:id="493"/>
      <w:bookmarkEnd w:id="494"/>
      <w:bookmarkEnd w:id="495"/>
      <w:bookmarkEnd w:id="496"/>
    </w:p>
    <w:p w:rsidR="00B536C4" w:rsidRDefault="00CC45D2">
      <w:pPr>
        <w:widowControl/>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p>
    <w:p w:rsidR="007B62FA" w:rsidRPr="003920A4" w:rsidRDefault="007B62FA" w:rsidP="003920A4">
      <w:pPr>
        <w:widowControl/>
        <w:spacing w:before="29" w:line="288" w:lineRule="auto"/>
        <w:ind w:firstLineChars="200" w:firstLine="480"/>
        <w:rPr>
          <w:kern w:val="0"/>
          <w:sz w:val="24"/>
        </w:rPr>
      </w:pPr>
      <w:r w:rsidRPr="003920A4">
        <w:rPr>
          <w:kern w:val="0"/>
          <w:sz w:val="24"/>
        </w:rPr>
        <w:t>投资者对本报告书如有疑问，可咨询本基金管理人交银施罗德基金管理有限公司。本公司客户服务中心电话：</w:t>
      </w:r>
      <w:r w:rsidRPr="003920A4">
        <w:rPr>
          <w:kern w:val="0"/>
          <w:sz w:val="24"/>
        </w:rPr>
        <w:t>400-700-5000</w:t>
      </w:r>
      <w:r w:rsidRPr="003920A4">
        <w:rPr>
          <w:kern w:val="0"/>
          <w:sz w:val="24"/>
        </w:rPr>
        <w:t>（免长途话费），</w:t>
      </w:r>
      <w:r w:rsidRPr="003920A4">
        <w:rPr>
          <w:kern w:val="0"/>
          <w:sz w:val="24"/>
        </w:rPr>
        <w:t>021-61055000</w:t>
      </w:r>
      <w:r w:rsidRPr="003920A4">
        <w:rPr>
          <w:kern w:val="0"/>
          <w:sz w:val="24"/>
        </w:rPr>
        <w:t>，电子邮件：</w:t>
      </w:r>
      <w:r w:rsidRPr="003920A4">
        <w:rPr>
          <w:kern w:val="0"/>
          <w:sz w:val="24"/>
        </w:rPr>
        <w:t>services@jysld.com</w:t>
      </w:r>
      <w:r w:rsidRPr="003920A4">
        <w:rPr>
          <w:kern w:val="0"/>
          <w:sz w:val="24"/>
        </w:rPr>
        <w:t>。</w:t>
      </w:r>
    </w:p>
    <w:p w:rsidR="00DA7A37" w:rsidRPr="00D0372D" w:rsidRDefault="00DA7A37" w:rsidP="003920A4">
      <w:pPr>
        <w:widowControl/>
        <w:spacing w:before="29" w:line="288" w:lineRule="auto"/>
        <w:ind w:firstLineChars="200" w:firstLine="420"/>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3902DE" w:rsidRDefault="007B62FA" w:rsidP="003902DE">
      <w:pPr>
        <w:widowControl/>
        <w:spacing w:before="29" w:line="288" w:lineRule="auto"/>
        <w:ind w:firstLineChars="200" w:firstLine="482"/>
        <w:jc w:val="right"/>
        <w:rPr>
          <w:b/>
          <w:kern w:val="0"/>
          <w:sz w:val="24"/>
        </w:rPr>
      </w:pPr>
      <w:r w:rsidRPr="003902DE">
        <w:rPr>
          <w:b/>
          <w:kern w:val="0"/>
          <w:sz w:val="24"/>
        </w:rPr>
        <w:t>交银施罗德基金管理有限公司</w:t>
      </w:r>
    </w:p>
    <w:p w:rsidR="007B62FA" w:rsidRPr="003902DE" w:rsidRDefault="00B50B04" w:rsidP="003902DE">
      <w:pPr>
        <w:widowControl/>
        <w:spacing w:before="29" w:line="288" w:lineRule="auto"/>
        <w:ind w:firstLineChars="200" w:firstLine="482"/>
        <w:jc w:val="right"/>
        <w:rPr>
          <w:b/>
          <w:kern w:val="0"/>
          <w:sz w:val="24"/>
        </w:rPr>
      </w:pPr>
      <w:r w:rsidRPr="003902DE">
        <w:rPr>
          <w:b/>
          <w:kern w:val="0"/>
          <w:sz w:val="24"/>
        </w:rPr>
        <w:t>二〇一七年三月二十九日</w:t>
      </w:r>
    </w:p>
    <w:sectPr w:rsidR="007B62FA" w:rsidRPr="003902DE"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9FC" w:rsidRDefault="008C09FC">
      <w:r>
        <w:separator/>
      </w:r>
    </w:p>
  </w:endnote>
  <w:endnote w:type="continuationSeparator" w:id="0">
    <w:p w:rsidR="008C09FC" w:rsidRDefault="008C0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B3" w:rsidRDefault="00481D02" w:rsidP="00C03B3A">
    <w:pPr>
      <w:pStyle w:val="a7"/>
      <w:framePr w:wrap="around" w:vAnchor="text" w:hAnchor="margin" w:xAlign="right" w:y="1"/>
      <w:rPr>
        <w:rStyle w:val="a8"/>
      </w:rPr>
    </w:pPr>
    <w:r>
      <w:rPr>
        <w:rStyle w:val="a8"/>
      </w:rPr>
      <w:fldChar w:fldCharType="begin"/>
    </w:r>
    <w:r w:rsidR="00DA64B3">
      <w:rPr>
        <w:rStyle w:val="a8"/>
      </w:rPr>
      <w:instrText xml:space="preserve">PAGE  </w:instrText>
    </w:r>
    <w:r>
      <w:rPr>
        <w:rStyle w:val="a8"/>
      </w:rPr>
      <w:fldChar w:fldCharType="end"/>
    </w:r>
  </w:p>
  <w:p w:rsidR="00DA64B3" w:rsidRDefault="00DA64B3"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B3" w:rsidRDefault="00DA64B3" w:rsidP="00C03B3A">
    <w:pPr>
      <w:pStyle w:val="a7"/>
      <w:ind w:right="360"/>
      <w:jc w:val="center"/>
    </w:pPr>
    <w:r>
      <w:rPr>
        <w:rFonts w:hint="eastAsia"/>
        <w:kern w:val="0"/>
        <w:szCs w:val="21"/>
      </w:rPr>
      <w:t>第</w:t>
    </w:r>
    <w:r w:rsidR="00EC32D2">
      <w:rPr>
        <w:rFonts w:hint="eastAsia"/>
        <w:kern w:val="0"/>
        <w:szCs w:val="21"/>
      </w:rPr>
      <w:t xml:space="preserve"> </w:t>
    </w:r>
    <w:r w:rsidR="00481D02">
      <w:rPr>
        <w:kern w:val="0"/>
        <w:szCs w:val="21"/>
      </w:rPr>
      <w:fldChar w:fldCharType="begin"/>
    </w:r>
    <w:r>
      <w:rPr>
        <w:kern w:val="0"/>
        <w:szCs w:val="21"/>
      </w:rPr>
      <w:instrText xml:space="preserve"> PAGE </w:instrText>
    </w:r>
    <w:r w:rsidR="00481D02">
      <w:rPr>
        <w:kern w:val="0"/>
        <w:szCs w:val="21"/>
      </w:rPr>
      <w:fldChar w:fldCharType="separate"/>
    </w:r>
    <w:r w:rsidR="00F72C43">
      <w:rPr>
        <w:noProof/>
        <w:kern w:val="0"/>
        <w:szCs w:val="21"/>
      </w:rPr>
      <w:t>5</w:t>
    </w:r>
    <w:r w:rsidR="00481D02">
      <w:rPr>
        <w:kern w:val="0"/>
        <w:szCs w:val="21"/>
      </w:rPr>
      <w:fldChar w:fldCharType="end"/>
    </w:r>
    <w:r w:rsidR="00EC32D2">
      <w:rPr>
        <w:rFonts w:hint="eastAsia"/>
        <w:kern w:val="0"/>
        <w:szCs w:val="21"/>
      </w:rPr>
      <w:t xml:space="preserve"> </w:t>
    </w:r>
    <w:r>
      <w:rPr>
        <w:rFonts w:hint="eastAsia"/>
        <w:kern w:val="0"/>
        <w:szCs w:val="21"/>
      </w:rPr>
      <w:t>页</w:t>
    </w:r>
    <w:r w:rsidR="00EC32D2">
      <w:rPr>
        <w:rFonts w:hint="eastAsia"/>
        <w:kern w:val="0"/>
        <w:szCs w:val="21"/>
      </w:rPr>
      <w:t xml:space="preserve"> </w:t>
    </w:r>
    <w:r>
      <w:rPr>
        <w:rFonts w:hint="eastAsia"/>
        <w:kern w:val="0"/>
        <w:szCs w:val="21"/>
      </w:rPr>
      <w:t>共</w:t>
    </w:r>
    <w:r w:rsidR="00EC32D2">
      <w:rPr>
        <w:rFonts w:hint="eastAsia"/>
        <w:kern w:val="0"/>
        <w:szCs w:val="21"/>
      </w:rPr>
      <w:t xml:space="preserve"> </w:t>
    </w:r>
    <w:r w:rsidR="00481D02">
      <w:rPr>
        <w:kern w:val="0"/>
        <w:szCs w:val="21"/>
      </w:rPr>
      <w:fldChar w:fldCharType="begin"/>
    </w:r>
    <w:r>
      <w:rPr>
        <w:kern w:val="0"/>
        <w:szCs w:val="21"/>
      </w:rPr>
      <w:instrText xml:space="preserve"> NUMPAGES </w:instrText>
    </w:r>
    <w:r w:rsidR="00481D02">
      <w:rPr>
        <w:kern w:val="0"/>
        <w:szCs w:val="21"/>
      </w:rPr>
      <w:fldChar w:fldCharType="separate"/>
    </w:r>
    <w:r w:rsidR="00F72C43">
      <w:rPr>
        <w:noProof/>
        <w:kern w:val="0"/>
        <w:szCs w:val="21"/>
      </w:rPr>
      <w:t>65</w:t>
    </w:r>
    <w:r w:rsidR="00481D02">
      <w:rPr>
        <w:kern w:val="0"/>
        <w:szCs w:val="21"/>
      </w:rPr>
      <w:fldChar w:fldCharType="end"/>
    </w:r>
    <w:r w:rsidR="00EC32D2">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9FC" w:rsidRDefault="008C09FC">
      <w:r>
        <w:separator/>
      </w:r>
    </w:p>
  </w:footnote>
  <w:footnote w:type="continuationSeparator" w:id="0">
    <w:p w:rsidR="008C09FC" w:rsidRDefault="008C0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4B3" w:rsidRPr="00350014" w:rsidRDefault="00DA64B3" w:rsidP="00350014">
    <w:pPr>
      <w:pStyle w:val="aa"/>
      <w:pBdr>
        <w:bottom w:val="single" w:sz="6" w:space="0" w:color="auto"/>
      </w:pBdr>
      <w:jc w:val="right"/>
      <w:rPr>
        <w:sz w:val="21"/>
        <w:szCs w:val="21"/>
      </w:rPr>
    </w:pPr>
    <w:r w:rsidRPr="006640CF">
      <w:rPr>
        <w:rFonts w:hint="eastAsia"/>
        <w:noProof/>
        <w:sz w:val="21"/>
        <w:szCs w:val="21"/>
      </w:rPr>
      <w:drawing>
        <wp:anchor distT="0" distB="0" distL="114300" distR="114300" simplePos="0" relativeHeight="251659264" behindDoc="0" locked="0" layoutInCell="1" allowOverlap="1">
          <wp:simplePos x="0" y="0"/>
          <wp:positionH relativeFrom="column">
            <wp:posOffset>-11909</wp:posOffset>
          </wp:positionH>
          <wp:positionV relativeFrom="paragraph">
            <wp:posOffset>-341977</wp:posOffset>
          </wp:positionV>
          <wp:extent cx="2087592"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733"/>
    <w:rsid w:val="00000EBD"/>
    <w:rsid w:val="000018B5"/>
    <w:rsid w:val="000019B6"/>
    <w:rsid w:val="00001B39"/>
    <w:rsid w:val="00001C10"/>
    <w:rsid w:val="00002644"/>
    <w:rsid w:val="00003577"/>
    <w:rsid w:val="0000403B"/>
    <w:rsid w:val="00004193"/>
    <w:rsid w:val="000041E0"/>
    <w:rsid w:val="00004337"/>
    <w:rsid w:val="00005172"/>
    <w:rsid w:val="0000551D"/>
    <w:rsid w:val="00005911"/>
    <w:rsid w:val="00006513"/>
    <w:rsid w:val="0000686E"/>
    <w:rsid w:val="00007D4F"/>
    <w:rsid w:val="00007D96"/>
    <w:rsid w:val="000102A7"/>
    <w:rsid w:val="000104BE"/>
    <w:rsid w:val="00010918"/>
    <w:rsid w:val="00010A83"/>
    <w:rsid w:val="00010A8E"/>
    <w:rsid w:val="00010AC3"/>
    <w:rsid w:val="00010C1F"/>
    <w:rsid w:val="00010F11"/>
    <w:rsid w:val="00011081"/>
    <w:rsid w:val="0001140A"/>
    <w:rsid w:val="00011EB5"/>
    <w:rsid w:val="000120B9"/>
    <w:rsid w:val="0001280C"/>
    <w:rsid w:val="00012A03"/>
    <w:rsid w:val="000131C1"/>
    <w:rsid w:val="00013CAE"/>
    <w:rsid w:val="00014930"/>
    <w:rsid w:val="00015C20"/>
    <w:rsid w:val="00015D9F"/>
    <w:rsid w:val="00015E54"/>
    <w:rsid w:val="000162AF"/>
    <w:rsid w:val="00017581"/>
    <w:rsid w:val="0001767C"/>
    <w:rsid w:val="00020583"/>
    <w:rsid w:val="00021813"/>
    <w:rsid w:val="00021DD4"/>
    <w:rsid w:val="000221FE"/>
    <w:rsid w:val="0002221E"/>
    <w:rsid w:val="00022642"/>
    <w:rsid w:val="0002398A"/>
    <w:rsid w:val="00023BE7"/>
    <w:rsid w:val="0002453B"/>
    <w:rsid w:val="00024C15"/>
    <w:rsid w:val="00024C62"/>
    <w:rsid w:val="00024CA0"/>
    <w:rsid w:val="0002609F"/>
    <w:rsid w:val="00026460"/>
    <w:rsid w:val="000269C8"/>
    <w:rsid w:val="00026A7D"/>
    <w:rsid w:val="0002736F"/>
    <w:rsid w:val="000274FE"/>
    <w:rsid w:val="000276C9"/>
    <w:rsid w:val="00027CFC"/>
    <w:rsid w:val="0003228A"/>
    <w:rsid w:val="000322D4"/>
    <w:rsid w:val="000322D5"/>
    <w:rsid w:val="000324A6"/>
    <w:rsid w:val="0003271C"/>
    <w:rsid w:val="00032ADD"/>
    <w:rsid w:val="00032FE1"/>
    <w:rsid w:val="000331EA"/>
    <w:rsid w:val="000334D8"/>
    <w:rsid w:val="00033EC1"/>
    <w:rsid w:val="00034BA5"/>
    <w:rsid w:val="00034C00"/>
    <w:rsid w:val="000358FE"/>
    <w:rsid w:val="000364C4"/>
    <w:rsid w:val="00037267"/>
    <w:rsid w:val="000378BC"/>
    <w:rsid w:val="00037A1C"/>
    <w:rsid w:val="00037B7E"/>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501A"/>
    <w:rsid w:val="00045671"/>
    <w:rsid w:val="000471B4"/>
    <w:rsid w:val="00050260"/>
    <w:rsid w:val="000510A2"/>
    <w:rsid w:val="000510AB"/>
    <w:rsid w:val="00051326"/>
    <w:rsid w:val="000514E0"/>
    <w:rsid w:val="00052448"/>
    <w:rsid w:val="00052C7B"/>
    <w:rsid w:val="00052EE7"/>
    <w:rsid w:val="00053091"/>
    <w:rsid w:val="0005346A"/>
    <w:rsid w:val="000534CD"/>
    <w:rsid w:val="000536B0"/>
    <w:rsid w:val="00053EED"/>
    <w:rsid w:val="0005448A"/>
    <w:rsid w:val="00054D7C"/>
    <w:rsid w:val="00055AF1"/>
    <w:rsid w:val="000561FC"/>
    <w:rsid w:val="000573B5"/>
    <w:rsid w:val="00060597"/>
    <w:rsid w:val="00060A2C"/>
    <w:rsid w:val="00060CB4"/>
    <w:rsid w:val="00061167"/>
    <w:rsid w:val="00061E04"/>
    <w:rsid w:val="00062997"/>
    <w:rsid w:val="00063C17"/>
    <w:rsid w:val="00063D34"/>
    <w:rsid w:val="0006475F"/>
    <w:rsid w:val="00064AE3"/>
    <w:rsid w:val="00064FC8"/>
    <w:rsid w:val="0006629D"/>
    <w:rsid w:val="000662B1"/>
    <w:rsid w:val="00066524"/>
    <w:rsid w:val="000671A3"/>
    <w:rsid w:val="00067530"/>
    <w:rsid w:val="00067A7A"/>
    <w:rsid w:val="00067CC5"/>
    <w:rsid w:val="00070CD1"/>
    <w:rsid w:val="00070E1F"/>
    <w:rsid w:val="00071022"/>
    <w:rsid w:val="0007171B"/>
    <w:rsid w:val="000717A1"/>
    <w:rsid w:val="000727BC"/>
    <w:rsid w:val="00072DE0"/>
    <w:rsid w:val="000734C5"/>
    <w:rsid w:val="00073C72"/>
    <w:rsid w:val="00073DB1"/>
    <w:rsid w:val="00073F87"/>
    <w:rsid w:val="00076397"/>
    <w:rsid w:val="000764CB"/>
    <w:rsid w:val="00076CC5"/>
    <w:rsid w:val="00076F3E"/>
    <w:rsid w:val="000801F4"/>
    <w:rsid w:val="00080423"/>
    <w:rsid w:val="00080B24"/>
    <w:rsid w:val="0008141B"/>
    <w:rsid w:val="00081A3D"/>
    <w:rsid w:val="00081D05"/>
    <w:rsid w:val="0008226A"/>
    <w:rsid w:val="000828A4"/>
    <w:rsid w:val="00083BAF"/>
    <w:rsid w:val="000845B3"/>
    <w:rsid w:val="00084ADE"/>
    <w:rsid w:val="0008506D"/>
    <w:rsid w:val="00085E0F"/>
    <w:rsid w:val="00085F3E"/>
    <w:rsid w:val="000861D6"/>
    <w:rsid w:val="0008624A"/>
    <w:rsid w:val="000863CA"/>
    <w:rsid w:val="00086622"/>
    <w:rsid w:val="000866EC"/>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6C31"/>
    <w:rsid w:val="00097230"/>
    <w:rsid w:val="000A007B"/>
    <w:rsid w:val="000A0BCA"/>
    <w:rsid w:val="000A1448"/>
    <w:rsid w:val="000A1BFB"/>
    <w:rsid w:val="000A2892"/>
    <w:rsid w:val="000A294D"/>
    <w:rsid w:val="000A2A64"/>
    <w:rsid w:val="000A3022"/>
    <w:rsid w:val="000A38DE"/>
    <w:rsid w:val="000A4449"/>
    <w:rsid w:val="000A457E"/>
    <w:rsid w:val="000A4672"/>
    <w:rsid w:val="000A4C65"/>
    <w:rsid w:val="000A4FEF"/>
    <w:rsid w:val="000A53FD"/>
    <w:rsid w:val="000A549A"/>
    <w:rsid w:val="000A578A"/>
    <w:rsid w:val="000A5C94"/>
    <w:rsid w:val="000A5CFC"/>
    <w:rsid w:val="000A72F2"/>
    <w:rsid w:val="000B0175"/>
    <w:rsid w:val="000B0A49"/>
    <w:rsid w:val="000B0C56"/>
    <w:rsid w:val="000B1A3D"/>
    <w:rsid w:val="000B2B57"/>
    <w:rsid w:val="000B2C8D"/>
    <w:rsid w:val="000B36CC"/>
    <w:rsid w:val="000B3E43"/>
    <w:rsid w:val="000B40E5"/>
    <w:rsid w:val="000B417C"/>
    <w:rsid w:val="000B4365"/>
    <w:rsid w:val="000B548A"/>
    <w:rsid w:val="000B5CC0"/>
    <w:rsid w:val="000B5D45"/>
    <w:rsid w:val="000B682A"/>
    <w:rsid w:val="000B6D14"/>
    <w:rsid w:val="000B6D23"/>
    <w:rsid w:val="000B7AD5"/>
    <w:rsid w:val="000C01F9"/>
    <w:rsid w:val="000C05AB"/>
    <w:rsid w:val="000C0871"/>
    <w:rsid w:val="000C0CA5"/>
    <w:rsid w:val="000C0F55"/>
    <w:rsid w:val="000C127D"/>
    <w:rsid w:val="000C15BE"/>
    <w:rsid w:val="000C1723"/>
    <w:rsid w:val="000C1B20"/>
    <w:rsid w:val="000C224F"/>
    <w:rsid w:val="000C277F"/>
    <w:rsid w:val="000C33AB"/>
    <w:rsid w:val="000C3FD9"/>
    <w:rsid w:val="000C4107"/>
    <w:rsid w:val="000C45E7"/>
    <w:rsid w:val="000C45F5"/>
    <w:rsid w:val="000C462E"/>
    <w:rsid w:val="000C5555"/>
    <w:rsid w:val="000C5656"/>
    <w:rsid w:val="000C5C31"/>
    <w:rsid w:val="000C5E98"/>
    <w:rsid w:val="000C698D"/>
    <w:rsid w:val="000C705C"/>
    <w:rsid w:val="000C7197"/>
    <w:rsid w:val="000C7A13"/>
    <w:rsid w:val="000C7AE4"/>
    <w:rsid w:val="000D01F4"/>
    <w:rsid w:val="000D064E"/>
    <w:rsid w:val="000D0B89"/>
    <w:rsid w:val="000D1519"/>
    <w:rsid w:val="000D1AD9"/>
    <w:rsid w:val="000D2869"/>
    <w:rsid w:val="000D3145"/>
    <w:rsid w:val="000D36D1"/>
    <w:rsid w:val="000D4AAD"/>
    <w:rsid w:val="000D52DC"/>
    <w:rsid w:val="000D6054"/>
    <w:rsid w:val="000D619B"/>
    <w:rsid w:val="000D6779"/>
    <w:rsid w:val="000D788B"/>
    <w:rsid w:val="000D7C4C"/>
    <w:rsid w:val="000E1724"/>
    <w:rsid w:val="000E1AF7"/>
    <w:rsid w:val="000E26C1"/>
    <w:rsid w:val="000E2A9B"/>
    <w:rsid w:val="000E3059"/>
    <w:rsid w:val="000E3487"/>
    <w:rsid w:val="000E34ED"/>
    <w:rsid w:val="000E4456"/>
    <w:rsid w:val="000E4F4D"/>
    <w:rsid w:val="000E53A8"/>
    <w:rsid w:val="000E6184"/>
    <w:rsid w:val="000E6375"/>
    <w:rsid w:val="000E67FE"/>
    <w:rsid w:val="000E6A87"/>
    <w:rsid w:val="000E7385"/>
    <w:rsid w:val="000F0477"/>
    <w:rsid w:val="000F0C0A"/>
    <w:rsid w:val="000F15C9"/>
    <w:rsid w:val="000F175F"/>
    <w:rsid w:val="000F17D1"/>
    <w:rsid w:val="000F1FED"/>
    <w:rsid w:val="000F29C1"/>
    <w:rsid w:val="000F2C75"/>
    <w:rsid w:val="000F3506"/>
    <w:rsid w:val="000F350C"/>
    <w:rsid w:val="000F4232"/>
    <w:rsid w:val="000F46B3"/>
    <w:rsid w:val="000F515E"/>
    <w:rsid w:val="000F593E"/>
    <w:rsid w:val="000F5CF0"/>
    <w:rsid w:val="000F60F3"/>
    <w:rsid w:val="000F60FF"/>
    <w:rsid w:val="000F635F"/>
    <w:rsid w:val="000F6C61"/>
    <w:rsid w:val="000F6D76"/>
    <w:rsid w:val="00100C12"/>
    <w:rsid w:val="00100D83"/>
    <w:rsid w:val="00100F34"/>
    <w:rsid w:val="001013A8"/>
    <w:rsid w:val="001016E1"/>
    <w:rsid w:val="00101D33"/>
    <w:rsid w:val="00102CC8"/>
    <w:rsid w:val="001030B5"/>
    <w:rsid w:val="0010352B"/>
    <w:rsid w:val="00103CCE"/>
    <w:rsid w:val="001049B6"/>
    <w:rsid w:val="00104A39"/>
    <w:rsid w:val="00104DE3"/>
    <w:rsid w:val="001051C6"/>
    <w:rsid w:val="00105211"/>
    <w:rsid w:val="0010577B"/>
    <w:rsid w:val="00105C9C"/>
    <w:rsid w:val="001065DA"/>
    <w:rsid w:val="001069ED"/>
    <w:rsid w:val="00106C1F"/>
    <w:rsid w:val="00110599"/>
    <w:rsid w:val="00110B82"/>
    <w:rsid w:val="001116BA"/>
    <w:rsid w:val="0011177A"/>
    <w:rsid w:val="0011179E"/>
    <w:rsid w:val="00111C71"/>
    <w:rsid w:val="0011289F"/>
    <w:rsid w:val="00113B73"/>
    <w:rsid w:val="00113F47"/>
    <w:rsid w:val="001141C0"/>
    <w:rsid w:val="00116317"/>
    <w:rsid w:val="00116E31"/>
    <w:rsid w:val="001172AE"/>
    <w:rsid w:val="001175DF"/>
    <w:rsid w:val="00117CC3"/>
    <w:rsid w:val="00120169"/>
    <w:rsid w:val="00120EED"/>
    <w:rsid w:val="001212B4"/>
    <w:rsid w:val="0012304E"/>
    <w:rsid w:val="001239C8"/>
    <w:rsid w:val="00123A56"/>
    <w:rsid w:val="00123D1A"/>
    <w:rsid w:val="00124247"/>
    <w:rsid w:val="001248EF"/>
    <w:rsid w:val="00124F40"/>
    <w:rsid w:val="001257C7"/>
    <w:rsid w:val="00126502"/>
    <w:rsid w:val="001266C2"/>
    <w:rsid w:val="00126AF2"/>
    <w:rsid w:val="00126DDF"/>
    <w:rsid w:val="001270BF"/>
    <w:rsid w:val="0012764F"/>
    <w:rsid w:val="00127BAC"/>
    <w:rsid w:val="00127FF5"/>
    <w:rsid w:val="001308A9"/>
    <w:rsid w:val="00130A82"/>
    <w:rsid w:val="00131EC2"/>
    <w:rsid w:val="0013226C"/>
    <w:rsid w:val="00132E82"/>
    <w:rsid w:val="00132FC9"/>
    <w:rsid w:val="0013374F"/>
    <w:rsid w:val="00134983"/>
    <w:rsid w:val="00135467"/>
    <w:rsid w:val="001364D3"/>
    <w:rsid w:val="00136545"/>
    <w:rsid w:val="001366C4"/>
    <w:rsid w:val="0013686A"/>
    <w:rsid w:val="00136BE0"/>
    <w:rsid w:val="00136DC3"/>
    <w:rsid w:val="0013703C"/>
    <w:rsid w:val="0013718B"/>
    <w:rsid w:val="00137BB5"/>
    <w:rsid w:val="00137BB9"/>
    <w:rsid w:val="00137C74"/>
    <w:rsid w:val="00137C95"/>
    <w:rsid w:val="00137D50"/>
    <w:rsid w:val="00140038"/>
    <w:rsid w:val="00140F2C"/>
    <w:rsid w:val="00141563"/>
    <w:rsid w:val="001416AC"/>
    <w:rsid w:val="001417D1"/>
    <w:rsid w:val="001419CA"/>
    <w:rsid w:val="00141A2D"/>
    <w:rsid w:val="00142280"/>
    <w:rsid w:val="0014241E"/>
    <w:rsid w:val="001424C6"/>
    <w:rsid w:val="00142A56"/>
    <w:rsid w:val="001432A7"/>
    <w:rsid w:val="00143BE5"/>
    <w:rsid w:val="00144280"/>
    <w:rsid w:val="001447BA"/>
    <w:rsid w:val="00144AAD"/>
    <w:rsid w:val="00144DF5"/>
    <w:rsid w:val="001455C7"/>
    <w:rsid w:val="00145A97"/>
    <w:rsid w:val="00146485"/>
    <w:rsid w:val="00146A28"/>
    <w:rsid w:val="00146B77"/>
    <w:rsid w:val="00147492"/>
    <w:rsid w:val="001503B9"/>
    <w:rsid w:val="001504CD"/>
    <w:rsid w:val="0015080E"/>
    <w:rsid w:val="0015084A"/>
    <w:rsid w:val="00150AD6"/>
    <w:rsid w:val="0015173F"/>
    <w:rsid w:val="00151B23"/>
    <w:rsid w:val="0015205C"/>
    <w:rsid w:val="00152443"/>
    <w:rsid w:val="001529AD"/>
    <w:rsid w:val="00152B73"/>
    <w:rsid w:val="00152B88"/>
    <w:rsid w:val="001535AE"/>
    <w:rsid w:val="00153B40"/>
    <w:rsid w:val="00153BCF"/>
    <w:rsid w:val="00154ADA"/>
    <w:rsid w:val="00154B08"/>
    <w:rsid w:val="001550BA"/>
    <w:rsid w:val="0015531A"/>
    <w:rsid w:val="001558FD"/>
    <w:rsid w:val="001560D7"/>
    <w:rsid w:val="00157418"/>
    <w:rsid w:val="00157A1F"/>
    <w:rsid w:val="00157B5A"/>
    <w:rsid w:val="0016050B"/>
    <w:rsid w:val="00161798"/>
    <w:rsid w:val="0016380C"/>
    <w:rsid w:val="00163816"/>
    <w:rsid w:val="00163B27"/>
    <w:rsid w:val="0016425E"/>
    <w:rsid w:val="00164BC0"/>
    <w:rsid w:val="00164BF7"/>
    <w:rsid w:val="001652F4"/>
    <w:rsid w:val="00165317"/>
    <w:rsid w:val="00165641"/>
    <w:rsid w:val="001657AB"/>
    <w:rsid w:val="00166180"/>
    <w:rsid w:val="00170537"/>
    <w:rsid w:val="0017073D"/>
    <w:rsid w:val="00170D38"/>
    <w:rsid w:val="00170FE2"/>
    <w:rsid w:val="00171484"/>
    <w:rsid w:val="00171BAD"/>
    <w:rsid w:val="00171F2C"/>
    <w:rsid w:val="00172D36"/>
    <w:rsid w:val="001731C7"/>
    <w:rsid w:val="00173AF1"/>
    <w:rsid w:val="00173CE0"/>
    <w:rsid w:val="001744B4"/>
    <w:rsid w:val="001751EF"/>
    <w:rsid w:val="0017533D"/>
    <w:rsid w:val="001756A1"/>
    <w:rsid w:val="001761EE"/>
    <w:rsid w:val="00176EAA"/>
    <w:rsid w:val="00177030"/>
    <w:rsid w:val="0017725A"/>
    <w:rsid w:val="0017747A"/>
    <w:rsid w:val="00177C4B"/>
    <w:rsid w:val="00177F6A"/>
    <w:rsid w:val="001816C3"/>
    <w:rsid w:val="0018187C"/>
    <w:rsid w:val="00182137"/>
    <w:rsid w:val="001822F7"/>
    <w:rsid w:val="00182A38"/>
    <w:rsid w:val="0018325A"/>
    <w:rsid w:val="001839A3"/>
    <w:rsid w:val="00183D7A"/>
    <w:rsid w:val="00184CAE"/>
    <w:rsid w:val="0018557B"/>
    <w:rsid w:val="00186199"/>
    <w:rsid w:val="00186D33"/>
    <w:rsid w:val="00186F7A"/>
    <w:rsid w:val="00190AE2"/>
    <w:rsid w:val="00190E27"/>
    <w:rsid w:val="001928F7"/>
    <w:rsid w:val="00192AD3"/>
    <w:rsid w:val="00192E92"/>
    <w:rsid w:val="00192ECC"/>
    <w:rsid w:val="00193182"/>
    <w:rsid w:val="00193575"/>
    <w:rsid w:val="0019389D"/>
    <w:rsid w:val="00193B62"/>
    <w:rsid w:val="00194522"/>
    <w:rsid w:val="00194537"/>
    <w:rsid w:val="0019563C"/>
    <w:rsid w:val="001956CA"/>
    <w:rsid w:val="00195B79"/>
    <w:rsid w:val="0019793D"/>
    <w:rsid w:val="001A088E"/>
    <w:rsid w:val="001A0F4A"/>
    <w:rsid w:val="001A16AE"/>
    <w:rsid w:val="001A1A70"/>
    <w:rsid w:val="001A1B13"/>
    <w:rsid w:val="001A1D38"/>
    <w:rsid w:val="001A21A9"/>
    <w:rsid w:val="001A21B7"/>
    <w:rsid w:val="001A2743"/>
    <w:rsid w:val="001A2A97"/>
    <w:rsid w:val="001A3287"/>
    <w:rsid w:val="001A3339"/>
    <w:rsid w:val="001A355F"/>
    <w:rsid w:val="001A364F"/>
    <w:rsid w:val="001A39B7"/>
    <w:rsid w:val="001A42FA"/>
    <w:rsid w:val="001A4AEC"/>
    <w:rsid w:val="001A599A"/>
    <w:rsid w:val="001A59D8"/>
    <w:rsid w:val="001A5FA6"/>
    <w:rsid w:val="001A668F"/>
    <w:rsid w:val="001A71CC"/>
    <w:rsid w:val="001A7F30"/>
    <w:rsid w:val="001B2F0C"/>
    <w:rsid w:val="001B30CA"/>
    <w:rsid w:val="001B3513"/>
    <w:rsid w:val="001B353A"/>
    <w:rsid w:val="001B3D3E"/>
    <w:rsid w:val="001B47BC"/>
    <w:rsid w:val="001B50CD"/>
    <w:rsid w:val="001B52FE"/>
    <w:rsid w:val="001B5BCC"/>
    <w:rsid w:val="001B65EB"/>
    <w:rsid w:val="001B7890"/>
    <w:rsid w:val="001B7C43"/>
    <w:rsid w:val="001C005A"/>
    <w:rsid w:val="001C00CF"/>
    <w:rsid w:val="001C03FC"/>
    <w:rsid w:val="001C0806"/>
    <w:rsid w:val="001C1FBF"/>
    <w:rsid w:val="001C2F9C"/>
    <w:rsid w:val="001C2FA5"/>
    <w:rsid w:val="001C3260"/>
    <w:rsid w:val="001C3399"/>
    <w:rsid w:val="001C37F6"/>
    <w:rsid w:val="001C4928"/>
    <w:rsid w:val="001C4D40"/>
    <w:rsid w:val="001C4D9F"/>
    <w:rsid w:val="001C4E1B"/>
    <w:rsid w:val="001C5289"/>
    <w:rsid w:val="001C6288"/>
    <w:rsid w:val="001C6561"/>
    <w:rsid w:val="001C67A1"/>
    <w:rsid w:val="001C6E2B"/>
    <w:rsid w:val="001C7C6D"/>
    <w:rsid w:val="001D0538"/>
    <w:rsid w:val="001D0634"/>
    <w:rsid w:val="001D0F6A"/>
    <w:rsid w:val="001D1BB9"/>
    <w:rsid w:val="001D1F29"/>
    <w:rsid w:val="001D21BC"/>
    <w:rsid w:val="001D2CCD"/>
    <w:rsid w:val="001D2D34"/>
    <w:rsid w:val="001D2E47"/>
    <w:rsid w:val="001D2FA5"/>
    <w:rsid w:val="001D35E0"/>
    <w:rsid w:val="001D3BBE"/>
    <w:rsid w:val="001D3BEC"/>
    <w:rsid w:val="001D5045"/>
    <w:rsid w:val="001D5494"/>
    <w:rsid w:val="001D5A44"/>
    <w:rsid w:val="001D6169"/>
    <w:rsid w:val="001D6213"/>
    <w:rsid w:val="001D724B"/>
    <w:rsid w:val="001D78F4"/>
    <w:rsid w:val="001D7B2F"/>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6EBF"/>
    <w:rsid w:val="001F0307"/>
    <w:rsid w:val="001F03E1"/>
    <w:rsid w:val="001F221F"/>
    <w:rsid w:val="001F391E"/>
    <w:rsid w:val="001F3CC6"/>
    <w:rsid w:val="001F3F50"/>
    <w:rsid w:val="001F4530"/>
    <w:rsid w:val="001F547A"/>
    <w:rsid w:val="001F5CE2"/>
    <w:rsid w:val="001F5DBA"/>
    <w:rsid w:val="001F5DE3"/>
    <w:rsid w:val="001F5F74"/>
    <w:rsid w:val="001F73B8"/>
    <w:rsid w:val="00200680"/>
    <w:rsid w:val="002010DE"/>
    <w:rsid w:val="00201962"/>
    <w:rsid w:val="00201B58"/>
    <w:rsid w:val="00201DDA"/>
    <w:rsid w:val="00202457"/>
    <w:rsid w:val="00202968"/>
    <w:rsid w:val="00202C32"/>
    <w:rsid w:val="00203744"/>
    <w:rsid w:val="0020389B"/>
    <w:rsid w:val="00203973"/>
    <w:rsid w:val="00203AEF"/>
    <w:rsid w:val="002047F1"/>
    <w:rsid w:val="002057EF"/>
    <w:rsid w:val="00206186"/>
    <w:rsid w:val="002063BA"/>
    <w:rsid w:val="00206B18"/>
    <w:rsid w:val="002071E5"/>
    <w:rsid w:val="00207E26"/>
    <w:rsid w:val="00211A26"/>
    <w:rsid w:val="00212249"/>
    <w:rsid w:val="0021243C"/>
    <w:rsid w:val="002125F7"/>
    <w:rsid w:val="00212901"/>
    <w:rsid w:val="0021397C"/>
    <w:rsid w:val="00214463"/>
    <w:rsid w:val="00214756"/>
    <w:rsid w:val="00215918"/>
    <w:rsid w:val="00215CF2"/>
    <w:rsid w:val="00215D9F"/>
    <w:rsid w:val="00216310"/>
    <w:rsid w:val="00216632"/>
    <w:rsid w:val="00216BCE"/>
    <w:rsid w:val="002176DD"/>
    <w:rsid w:val="00217867"/>
    <w:rsid w:val="00220542"/>
    <w:rsid w:val="00220963"/>
    <w:rsid w:val="00220C36"/>
    <w:rsid w:val="00220D7F"/>
    <w:rsid w:val="002210EB"/>
    <w:rsid w:val="00221174"/>
    <w:rsid w:val="00221AC7"/>
    <w:rsid w:val="00221DD9"/>
    <w:rsid w:val="002229B6"/>
    <w:rsid w:val="00222A97"/>
    <w:rsid w:val="00222DE3"/>
    <w:rsid w:val="002233F0"/>
    <w:rsid w:val="002245F9"/>
    <w:rsid w:val="0022498A"/>
    <w:rsid w:val="00225756"/>
    <w:rsid w:val="00225ADC"/>
    <w:rsid w:val="00225CEB"/>
    <w:rsid w:val="0022692D"/>
    <w:rsid w:val="002272CB"/>
    <w:rsid w:val="002309A7"/>
    <w:rsid w:val="002318F3"/>
    <w:rsid w:val="002331A0"/>
    <w:rsid w:val="0023323F"/>
    <w:rsid w:val="00234202"/>
    <w:rsid w:val="002352BA"/>
    <w:rsid w:val="00235842"/>
    <w:rsid w:val="002359EB"/>
    <w:rsid w:val="002363AB"/>
    <w:rsid w:val="00236933"/>
    <w:rsid w:val="00236E9A"/>
    <w:rsid w:val="0023727B"/>
    <w:rsid w:val="00237579"/>
    <w:rsid w:val="00237675"/>
    <w:rsid w:val="00237C6D"/>
    <w:rsid w:val="00240616"/>
    <w:rsid w:val="0024096B"/>
    <w:rsid w:val="00240DBE"/>
    <w:rsid w:val="00241582"/>
    <w:rsid w:val="00241B45"/>
    <w:rsid w:val="002424D7"/>
    <w:rsid w:val="0024260D"/>
    <w:rsid w:val="00242657"/>
    <w:rsid w:val="002428F6"/>
    <w:rsid w:val="00242D7A"/>
    <w:rsid w:val="00242FA2"/>
    <w:rsid w:val="002439DA"/>
    <w:rsid w:val="00245012"/>
    <w:rsid w:val="0024504E"/>
    <w:rsid w:val="00245761"/>
    <w:rsid w:val="002463BF"/>
    <w:rsid w:val="0024651F"/>
    <w:rsid w:val="00247729"/>
    <w:rsid w:val="0025158D"/>
    <w:rsid w:val="00251C7E"/>
    <w:rsid w:val="00252697"/>
    <w:rsid w:val="0025281A"/>
    <w:rsid w:val="00252824"/>
    <w:rsid w:val="0025348D"/>
    <w:rsid w:val="00253D3C"/>
    <w:rsid w:val="002544D7"/>
    <w:rsid w:val="00255144"/>
    <w:rsid w:val="00255292"/>
    <w:rsid w:val="00257578"/>
    <w:rsid w:val="00260200"/>
    <w:rsid w:val="00260B06"/>
    <w:rsid w:val="00260BFB"/>
    <w:rsid w:val="00260FC4"/>
    <w:rsid w:val="0026196C"/>
    <w:rsid w:val="00261D93"/>
    <w:rsid w:val="00262029"/>
    <w:rsid w:val="00262553"/>
    <w:rsid w:val="00262F7C"/>
    <w:rsid w:val="00263BBD"/>
    <w:rsid w:val="00264252"/>
    <w:rsid w:val="002648D8"/>
    <w:rsid w:val="002655BD"/>
    <w:rsid w:val="00265AFB"/>
    <w:rsid w:val="00267C30"/>
    <w:rsid w:val="00267EE3"/>
    <w:rsid w:val="00267F59"/>
    <w:rsid w:val="002700E9"/>
    <w:rsid w:val="00270CE9"/>
    <w:rsid w:val="0027235A"/>
    <w:rsid w:val="00272EFC"/>
    <w:rsid w:val="00273083"/>
    <w:rsid w:val="00273B24"/>
    <w:rsid w:val="00273F86"/>
    <w:rsid w:val="002741BE"/>
    <w:rsid w:val="002752EA"/>
    <w:rsid w:val="0027534A"/>
    <w:rsid w:val="00275D56"/>
    <w:rsid w:val="00275EAD"/>
    <w:rsid w:val="00276B03"/>
    <w:rsid w:val="0027730C"/>
    <w:rsid w:val="002773FB"/>
    <w:rsid w:val="002774F0"/>
    <w:rsid w:val="00277722"/>
    <w:rsid w:val="002813C5"/>
    <w:rsid w:val="00282794"/>
    <w:rsid w:val="0028284A"/>
    <w:rsid w:val="00282C23"/>
    <w:rsid w:val="0028315D"/>
    <w:rsid w:val="00283885"/>
    <w:rsid w:val="002839A4"/>
    <w:rsid w:val="0028459B"/>
    <w:rsid w:val="00284B43"/>
    <w:rsid w:val="00284C5F"/>
    <w:rsid w:val="0028507E"/>
    <w:rsid w:val="00286183"/>
    <w:rsid w:val="002873F0"/>
    <w:rsid w:val="00287762"/>
    <w:rsid w:val="00290793"/>
    <w:rsid w:val="002916E3"/>
    <w:rsid w:val="00291A70"/>
    <w:rsid w:val="00291A85"/>
    <w:rsid w:val="00291C84"/>
    <w:rsid w:val="00291F6F"/>
    <w:rsid w:val="002925F4"/>
    <w:rsid w:val="0029379A"/>
    <w:rsid w:val="00293C97"/>
    <w:rsid w:val="002942CB"/>
    <w:rsid w:val="002947DF"/>
    <w:rsid w:val="00294D8F"/>
    <w:rsid w:val="00295BC4"/>
    <w:rsid w:val="00295D5A"/>
    <w:rsid w:val="002964F9"/>
    <w:rsid w:val="0029673F"/>
    <w:rsid w:val="00296823"/>
    <w:rsid w:val="0029690F"/>
    <w:rsid w:val="002969CC"/>
    <w:rsid w:val="00297D85"/>
    <w:rsid w:val="002A07F4"/>
    <w:rsid w:val="002A090A"/>
    <w:rsid w:val="002A0B47"/>
    <w:rsid w:val="002A1381"/>
    <w:rsid w:val="002A14AD"/>
    <w:rsid w:val="002A1CB9"/>
    <w:rsid w:val="002A1F14"/>
    <w:rsid w:val="002A2678"/>
    <w:rsid w:val="002A29EA"/>
    <w:rsid w:val="002A2E01"/>
    <w:rsid w:val="002A32E5"/>
    <w:rsid w:val="002A34B9"/>
    <w:rsid w:val="002A398F"/>
    <w:rsid w:val="002A3DFD"/>
    <w:rsid w:val="002A46A7"/>
    <w:rsid w:val="002A4F2C"/>
    <w:rsid w:val="002A5C6B"/>
    <w:rsid w:val="002A5D31"/>
    <w:rsid w:val="002A714F"/>
    <w:rsid w:val="002A75A6"/>
    <w:rsid w:val="002A75D7"/>
    <w:rsid w:val="002B039C"/>
    <w:rsid w:val="002B09C0"/>
    <w:rsid w:val="002B0AC4"/>
    <w:rsid w:val="002B0CB8"/>
    <w:rsid w:val="002B1741"/>
    <w:rsid w:val="002B1851"/>
    <w:rsid w:val="002B240B"/>
    <w:rsid w:val="002B26EA"/>
    <w:rsid w:val="002B27FF"/>
    <w:rsid w:val="002B2919"/>
    <w:rsid w:val="002B2F4E"/>
    <w:rsid w:val="002B32F2"/>
    <w:rsid w:val="002B5462"/>
    <w:rsid w:val="002B5C8E"/>
    <w:rsid w:val="002B6793"/>
    <w:rsid w:val="002B6A7A"/>
    <w:rsid w:val="002B780B"/>
    <w:rsid w:val="002B7D41"/>
    <w:rsid w:val="002C07DD"/>
    <w:rsid w:val="002C0D22"/>
    <w:rsid w:val="002C1260"/>
    <w:rsid w:val="002C1726"/>
    <w:rsid w:val="002C21A6"/>
    <w:rsid w:val="002C26D5"/>
    <w:rsid w:val="002C2B83"/>
    <w:rsid w:val="002C2D4C"/>
    <w:rsid w:val="002C4C45"/>
    <w:rsid w:val="002C5777"/>
    <w:rsid w:val="002C5889"/>
    <w:rsid w:val="002C5C95"/>
    <w:rsid w:val="002C65FA"/>
    <w:rsid w:val="002C661D"/>
    <w:rsid w:val="002C7C89"/>
    <w:rsid w:val="002D0B5F"/>
    <w:rsid w:val="002D1A0F"/>
    <w:rsid w:val="002D22BF"/>
    <w:rsid w:val="002D237C"/>
    <w:rsid w:val="002D29CB"/>
    <w:rsid w:val="002D32E3"/>
    <w:rsid w:val="002D33F1"/>
    <w:rsid w:val="002D353D"/>
    <w:rsid w:val="002D3A71"/>
    <w:rsid w:val="002D4772"/>
    <w:rsid w:val="002D515D"/>
    <w:rsid w:val="002D52AD"/>
    <w:rsid w:val="002D58D8"/>
    <w:rsid w:val="002D5EB1"/>
    <w:rsid w:val="002D6E81"/>
    <w:rsid w:val="002E036F"/>
    <w:rsid w:val="002E0394"/>
    <w:rsid w:val="002E0644"/>
    <w:rsid w:val="002E0FEB"/>
    <w:rsid w:val="002E171B"/>
    <w:rsid w:val="002E1BCA"/>
    <w:rsid w:val="002E319D"/>
    <w:rsid w:val="002E49E4"/>
    <w:rsid w:val="002E4AD5"/>
    <w:rsid w:val="002E4C2D"/>
    <w:rsid w:val="002E551E"/>
    <w:rsid w:val="002E6461"/>
    <w:rsid w:val="002E7213"/>
    <w:rsid w:val="002E72F6"/>
    <w:rsid w:val="002F05CD"/>
    <w:rsid w:val="002F0F79"/>
    <w:rsid w:val="002F100F"/>
    <w:rsid w:val="002F145D"/>
    <w:rsid w:val="002F1C9E"/>
    <w:rsid w:val="002F1EB2"/>
    <w:rsid w:val="002F280E"/>
    <w:rsid w:val="002F2CBB"/>
    <w:rsid w:val="002F3470"/>
    <w:rsid w:val="002F3709"/>
    <w:rsid w:val="002F3A6C"/>
    <w:rsid w:val="002F4296"/>
    <w:rsid w:val="002F5777"/>
    <w:rsid w:val="002F5A6D"/>
    <w:rsid w:val="002F60EA"/>
    <w:rsid w:val="002F680E"/>
    <w:rsid w:val="00300951"/>
    <w:rsid w:val="00300E8A"/>
    <w:rsid w:val="003023C9"/>
    <w:rsid w:val="003029E6"/>
    <w:rsid w:val="00302CA8"/>
    <w:rsid w:val="00302DE9"/>
    <w:rsid w:val="00304860"/>
    <w:rsid w:val="00304D8D"/>
    <w:rsid w:val="00304E23"/>
    <w:rsid w:val="00305084"/>
    <w:rsid w:val="00305871"/>
    <w:rsid w:val="003060BC"/>
    <w:rsid w:val="003060C1"/>
    <w:rsid w:val="00306408"/>
    <w:rsid w:val="00306B13"/>
    <w:rsid w:val="00307249"/>
    <w:rsid w:val="00312474"/>
    <w:rsid w:val="00312C47"/>
    <w:rsid w:val="00312DAE"/>
    <w:rsid w:val="003132DB"/>
    <w:rsid w:val="00313336"/>
    <w:rsid w:val="003137CA"/>
    <w:rsid w:val="00313918"/>
    <w:rsid w:val="00313A3A"/>
    <w:rsid w:val="003153CB"/>
    <w:rsid w:val="00315416"/>
    <w:rsid w:val="003155B2"/>
    <w:rsid w:val="00315A47"/>
    <w:rsid w:val="003166DE"/>
    <w:rsid w:val="00316B8C"/>
    <w:rsid w:val="003171A3"/>
    <w:rsid w:val="00317226"/>
    <w:rsid w:val="00317528"/>
    <w:rsid w:val="00317C8E"/>
    <w:rsid w:val="003201F9"/>
    <w:rsid w:val="003204E9"/>
    <w:rsid w:val="0032050A"/>
    <w:rsid w:val="00320AF3"/>
    <w:rsid w:val="00320B7B"/>
    <w:rsid w:val="0032160D"/>
    <w:rsid w:val="00321618"/>
    <w:rsid w:val="00321E8C"/>
    <w:rsid w:val="00321FDA"/>
    <w:rsid w:val="00322110"/>
    <w:rsid w:val="00322318"/>
    <w:rsid w:val="00322A86"/>
    <w:rsid w:val="00323041"/>
    <w:rsid w:val="00323305"/>
    <w:rsid w:val="003237EC"/>
    <w:rsid w:val="00323A7B"/>
    <w:rsid w:val="00323AE8"/>
    <w:rsid w:val="00323B32"/>
    <w:rsid w:val="00323E80"/>
    <w:rsid w:val="00324548"/>
    <w:rsid w:val="003251F4"/>
    <w:rsid w:val="00325408"/>
    <w:rsid w:val="00326861"/>
    <w:rsid w:val="00326927"/>
    <w:rsid w:val="00326934"/>
    <w:rsid w:val="00327DF3"/>
    <w:rsid w:val="003303E3"/>
    <w:rsid w:val="00330651"/>
    <w:rsid w:val="00331770"/>
    <w:rsid w:val="00331A88"/>
    <w:rsid w:val="003329EA"/>
    <w:rsid w:val="00332C6E"/>
    <w:rsid w:val="00332D73"/>
    <w:rsid w:val="0033368C"/>
    <w:rsid w:val="00333872"/>
    <w:rsid w:val="003338BE"/>
    <w:rsid w:val="00336007"/>
    <w:rsid w:val="00336AA2"/>
    <w:rsid w:val="00337271"/>
    <w:rsid w:val="00337852"/>
    <w:rsid w:val="00337B1B"/>
    <w:rsid w:val="003401FF"/>
    <w:rsid w:val="003405DA"/>
    <w:rsid w:val="00340730"/>
    <w:rsid w:val="003407A5"/>
    <w:rsid w:val="003410A1"/>
    <w:rsid w:val="00341188"/>
    <w:rsid w:val="003412BB"/>
    <w:rsid w:val="0034147B"/>
    <w:rsid w:val="0034193C"/>
    <w:rsid w:val="003424CB"/>
    <w:rsid w:val="00342821"/>
    <w:rsid w:val="00342D52"/>
    <w:rsid w:val="003439DB"/>
    <w:rsid w:val="00344FBE"/>
    <w:rsid w:val="00345E37"/>
    <w:rsid w:val="00346083"/>
    <w:rsid w:val="00346759"/>
    <w:rsid w:val="0034695C"/>
    <w:rsid w:val="00350014"/>
    <w:rsid w:val="00350238"/>
    <w:rsid w:val="003502C1"/>
    <w:rsid w:val="0035109C"/>
    <w:rsid w:val="00351752"/>
    <w:rsid w:val="00351F0A"/>
    <w:rsid w:val="00352648"/>
    <w:rsid w:val="003530BA"/>
    <w:rsid w:val="003532D4"/>
    <w:rsid w:val="00353AC6"/>
    <w:rsid w:val="003542B7"/>
    <w:rsid w:val="0035432B"/>
    <w:rsid w:val="00354765"/>
    <w:rsid w:val="00354968"/>
    <w:rsid w:val="00354B71"/>
    <w:rsid w:val="00354E10"/>
    <w:rsid w:val="00357B15"/>
    <w:rsid w:val="00357BB3"/>
    <w:rsid w:val="003602EA"/>
    <w:rsid w:val="00360494"/>
    <w:rsid w:val="00360659"/>
    <w:rsid w:val="00360F81"/>
    <w:rsid w:val="003611FA"/>
    <w:rsid w:val="003617C8"/>
    <w:rsid w:val="00361E7E"/>
    <w:rsid w:val="00361EF8"/>
    <w:rsid w:val="00363564"/>
    <w:rsid w:val="00363635"/>
    <w:rsid w:val="003648F2"/>
    <w:rsid w:val="00364C72"/>
    <w:rsid w:val="00364FA1"/>
    <w:rsid w:val="0036560F"/>
    <w:rsid w:val="00365EEE"/>
    <w:rsid w:val="00366B02"/>
    <w:rsid w:val="003670F7"/>
    <w:rsid w:val="003671F5"/>
    <w:rsid w:val="00370949"/>
    <w:rsid w:val="00370AA4"/>
    <w:rsid w:val="00370DD3"/>
    <w:rsid w:val="003711F2"/>
    <w:rsid w:val="0037130D"/>
    <w:rsid w:val="0037177A"/>
    <w:rsid w:val="003717FC"/>
    <w:rsid w:val="00371FF4"/>
    <w:rsid w:val="003723C2"/>
    <w:rsid w:val="0037275D"/>
    <w:rsid w:val="00372797"/>
    <w:rsid w:val="003733AD"/>
    <w:rsid w:val="00373E14"/>
    <w:rsid w:val="0037470E"/>
    <w:rsid w:val="00375CC4"/>
    <w:rsid w:val="00376103"/>
    <w:rsid w:val="003767B3"/>
    <w:rsid w:val="00376B49"/>
    <w:rsid w:val="00376D16"/>
    <w:rsid w:val="00376FC5"/>
    <w:rsid w:val="00377520"/>
    <w:rsid w:val="00377593"/>
    <w:rsid w:val="00380D36"/>
    <w:rsid w:val="00380F49"/>
    <w:rsid w:val="003817C9"/>
    <w:rsid w:val="003820A6"/>
    <w:rsid w:val="003822D3"/>
    <w:rsid w:val="00382D2D"/>
    <w:rsid w:val="00382E49"/>
    <w:rsid w:val="0038480C"/>
    <w:rsid w:val="00384DC9"/>
    <w:rsid w:val="0038566E"/>
    <w:rsid w:val="00385C66"/>
    <w:rsid w:val="00386630"/>
    <w:rsid w:val="00386A6C"/>
    <w:rsid w:val="0038797D"/>
    <w:rsid w:val="003879FD"/>
    <w:rsid w:val="00387BDE"/>
    <w:rsid w:val="003902DE"/>
    <w:rsid w:val="00390379"/>
    <w:rsid w:val="00390741"/>
    <w:rsid w:val="003909FB"/>
    <w:rsid w:val="00390B25"/>
    <w:rsid w:val="00390DD9"/>
    <w:rsid w:val="00390F34"/>
    <w:rsid w:val="00390FD9"/>
    <w:rsid w:val="0039108D"/>
    <w:rsid w:val="00391FFA"/>
    <w:rsid w:val="003920A4"/>
    <w:rsid w:val="00392138"/>
    <w:rsid w:val="00392AE5"/>
    <w:rsid w:val="00393A83"/>
    <w:rsid w:val="00395CAA"/>
    <w:rsid w:val="00396588"/>
    <w:rsid w:val="00396863"/>
    <w:rsid w:val="00397156"/>
    <w:rsid w:val="0039742F"/>
    <w:rsid w:val="00397960"/>
    <w:rsid w:val="00397B84"/>
    <w:rsid w:val="003A0663"/>
    <w:rsid w:val="003A0834"/>
    <w:rsid w:val="003A0BDE"/>
    <w:rsid w:val="003A0DB9"/>
    <w:rsid w:val="003A1FE0"/>
    <w:rsid w:val="003A2C23"/>
    <w:rsid w:val="003A2CA4"/>
    <w:rsid w:val="003A3BC4"/>
    <w:rsid w:val="003A458A"/>
    <w:rsid w:val="003A516D"/>
    <w:rsid w:val="003A551D"/>
    <w:rsid w:val="003A7E6F"/>
    <w:rsid w:val="003B05F2"/>
    <w:rsid w:val="003B2F13"/>
    <w:rsid w:val="003B3353"/>
    <w:rsid w:val="003B3552"/>
    <w:rsid w:val="003B39BF"/>
    <w:rsid w:val="003B405E"/>
    <w:rsid w:val="003B4622"/>
    <w:rsid w:val="003B4712"/>
    <w:rsid w:val="003B47EB"/>
    <w:rsid w:val="003B48BA"/>
    <w:rsid w:val="003B4A15"/>
    <w:rsid w:val="003B57D3"/>
    <w:rsid w:val="003B59CA"/>
    <w:rsid w:val="003B6067"/>
    <w:rsid w:val="003B6EC6"/>
    <w:rsid w:val="003B7593"/>
    <w:rsid w:val="003C08E3"/>
    <w:rsid w:val="003C09B5"/>
    <w:rsid w:val="003C0F62"/>
    <w:rsid w:val="003C1176"/>
    <w:rsid w:val="003C1D9A"/>
    <w:rsid w:val="003C1F58"/>
    <w:rsid w:val="003C3232"/>
    <w:rsid w:val="003C3B00"/>
    <w:rsid w:val="003C48B1"/>
    <w:rsid w:val="003C4A8C"/>
    <w:rsid w:val="003C57A7"/>
    <w:rsid w:val="003C5917"/>
    <w:rsid w:val="003C5C2B"/>
    <w:rsid w:val="003C618D"/>
    <w:rsid w:val="003C64EE"/>
    <w:rsid w:val="003C6943"/>
    <w:rsid w:val="003C6BD2"/>
    <w:rsid w:val="003C7294"/>
    <w:rsid w:val="003C7703"/>
    <w:rsid w:val="003C792F"/>
    <w:rsid w:val="003C7ABD"/>
    <w:rsid w:val="003C7C3D"/>
    <w:rsid w:val="003D08F8"/>
    <w:rsid w:val="003D124B"/>
    <w:rsid w:val="003D18F3"/>
    <w:rsid w:val="003D2CC1"/>
    <w:rsid w:val="003D47E0"/>
    <w:rsid w:val="003D4E1A"/>
    <w:rsid w:val="003D4FF1"/>
    <w:rsid w:val="003D4FFC"/>
    <w:rsid w:val="003D51ED"/>
    <w:rsid w:val="003D569B"/>
    <w:rsid w:val="003D6616"/>
    <w:rsid w:val="003D7575"/>
    <w:rsid w:val="003D78B5"/>
    <w:rsid w:val="003D7FC6"/>
    <w:rsid w:val="003E099F"/>
    <w:rsid w:val="003E0AF9"/>
    <w:rsid w:val="003E14A8"/>
    <w:rsid w:val="003E1EDC"/>
    <w:rsid w:val="003E2211"/>
    <w:rsid w:val="003E244F"/>
    <w:rsid w:val="003E37AE"/>
    <w:rsid w:val="003E4BC4"/>
    <w:rsid w:val="003E5165"/>
    <w:rsid w:val="003E57C5"/>
    <w:rsid w:val="003E5A64"/>
    <w:rsid w:val="003E5E48"/>
    <w:rsid w:val="003E5F1F"/>
    <w:rsid w:val="003E62A6"/>
    <w:rsid w:val="003E695F"/>
    <w:rsid w:val="003E6C9B"/>
    <w:rsid w:val="003E6D39"/>
    <w:rsid w:val="003E709C"/>
    <w:rsid w:val="003E712E"/>
    <w:rsid w:val="003E726D"/>
    <w:rsid w:val="003E7B89"/>
    <w:rsid w:val="003F0B30"/>
    <w:rsid w:val="003F0FA3"/>
    <w:rsid w:val="003F1912"/>
    <w:rsid w:val="003F266F"/>
    <w:rsid w:val="003F276B"/>
    <w:rsid w:val="003F2EA5"/>
    <w:rsid w:val="003F4241"/>
    <w:rsid w:val="003F4B25"/>
    <w:rsid w:val="003F4B8A"/>
    <w:rsid w:val="003F62BB"/>
    <w:rsid w:val="003F68DC"/>
    <w:rsid w:val="003F6FEC"/>
    <w:rsid w:val="003F7C45"/>
    <w:rsid w:val="00400241"/>
    <w:rsid w:val="0040132C"/>
    <w:rsid w:val="0040231A"/>
    <w:rsid w:val="00403E84"/>
    <w:rsid w:val="004049BD"/>
    <w:rsid w:val="00404EB5"/>
    <w:rsid w:val="00405085"/>
    <w:rsid w:val="004058FB"/>
    <w:rsid w:val="00405D28"/>
    <w:rsid w:val="004066FC"/>
    <w:rsid w:val="00407481"/>
    <w:rsid w:val="00407753"/>
    <w:rsid w:val="00407C10"/>
    <w:rsid w:val="00407E90"/>
    <w:rsid w:val="00410CF2"/>
    <w:rsid w:val="004113B4"/>
    <w:rsid w:val="00413323"/>
    <w:rsid w:val="00414503"/>
    <w:rsid w:val="00414827"/>
    <w:rsid w:val="004153B3"/>
    <w:rsid w:val="00415772"/>
    <w:rsid w:val="00415F6B"/>
    <w:rsid w:val="004161F8"/>
    <w:rsid w:val="004163FD"/>
    <w:rsid w:val="0041683D"/>
    <w:rsid w:val="00416C10"/>
    <w:rsid w:val="00417976"/>
    <w:rsid w:val="00417A0E"/>
    <w:rsid w:val="00417F87"/>
    <w:rsid w:val="004201DA"/>
    <w:rsid w:val="0042053A"/>
    <w:rsid w:val="004213D6"/>
    <w:rsid w:val="00422440"/>
    <w:rsid w:val="00422916"/>
    <w:rsid w:val="00422C6C"/>
    <w:rsid w:val="0042363C"/>
    <w:rsid w:val="00423BA3"/>
    <w:rsid w:val="00423EF4"/>
    <w:rsid w:val="004241AD"/>
    <w:rsid w:val="00424213"/>
    <w:rsid w:val="00424A91"/>
    <w:rsid w:val="00424EF3"/>
    <w:rsid w:val="00426384"/>
    <w:rsid w:val="004267DB"/>
    <w:rsid w:val="004268BB"/>
    <w:rsid w:val="00426A4B"/>
    <w:rsid w:val="00430272"/>
    <w:rsid w:val="00430724"/>
    <w:rsid w:val="0043097C"/>
    <w:rsid w:val="00431047"/>
    <w:rsid w:val="00431B86"/>
    <w:rsid w:val="00433EED"/>
    <w:rsid w:val="00436556"/>
    <w:rsid w:val="00437C96"/>
    <w:rsid w:val="004408EC"/>
    <w:rsid w:val="004416A4"/>
    <w:rsid w:val="00441E6A"/>
    <w:rsid w:val="00442AEE"/>
    <w:rsid w:val="00442ED0"/>
    <w:rsid w:val="0044346A"/>
    <w:rsid w:val="00443C8F"/>
    <w:rsid w:val="00444C60"/>
    <w:rsid w:val="00444E35"/>
    <w:rsid w:val="0044502D"/>
    <w:rsid w:val="00445F6B"/>
    <w:rsid w:val="0044666E"/>
    <w:rsid w:val="00446FCC"/>
    <w:rsid w:val="0044755D"/>
    <w:rsid w:val="00447C32"/>
    <w:rsid w:val="00447CEF"/>
    <w:rsid w:val="00447E28"/>
    <w:rsid w:val="00450BA9"/>
    <w:rsid w:val="00450C98"/>
    <w:rsid w:val="00450F23"/>
    <w:rsid w:val="00451542"/>
    <w:rsid w:val="00452481"/>
    <w:rsid w:val="004528FA"/>
    <w:rsid w:val="00452C1A"/>
    <w:rsid w:val="0045321B"/>
    <w:rsid w:val="0045390F"/>
    <w:rsid w:val="00453DC8"/>
    <w:rsid w:val="00455165"/>
    <w:rsid w:val="0045778B"/>
    <w:rsid w:val="00457804"/>
    <w:rsid w:val="00460AEF"/>
    <w:rsid w:val="00460B74"/>
    <w:rsid w:val="00460C52"/>
    <w:rsid w:val="00462279"/>
    <w:rsid w:val="0046299F"/>
    <w:rsid w:val="00462A4B"/>
    <w:rsid w:val="00463C4A"/>
    <w:rsid w:val="00463E5E"/>
    <w:rsid w:val="004646BF"/>
    <w:rsid w:val="00464744"/>
    <w:rsid w:val="00465ECC"/>
    <w:rsid w:val="00466104"/>
    <w:rsid w:val="004665A8"/>
    <w:rsid w:val="004665E3"/>
    <w:rsid w:val="00466EF6"/>
    <w:rsid w:val="0046760F"/>
    <w:rsid w:val="00470E06"/>
    <w:rsid w:val="0047186F"/>
    <w:rsid w:val="004718E4"/>
    <w:rsid w:val="00471E18"/>
    <w:rsid w:val="0047237D"/>
    <w:rsid w:val="00472561"/>
    <w:rsid w:val="004731F1"/>
    <w:rsid w:val="00473704"/>
    <w:rsid w:val="00473887"/>
    <w:rsid w:val="00473AE0"/>
    <w:rsid w:val="00473EB5"/>
    <w:rsid w:val="0047456B"/>
    <w:rsid w:val="00475251"/>
    <w:rsid w:val="00477400"/>
    <w:rsid w:val="00477662"/>
    <w:rsid w:val="00480478"/>
    <w:rsid w:val="004807D6"/>
    <w:rsid w:val="00480AE9"/>
    <w:rsid w:val="00480BC8"/>
    <w:rsid w:val="00481265"/>
    <w:rsid w:val="004814BF"/>
    <w:rsid w:val="00481D02"/>
    <w:rsid w:val="00482456"/>
    <w:rsid w:val="00482649"/>
    <w:rsid w:val="00483630"/>
    <w:rsid w:val="004836EA"/>
    <w:rsid w:val="00483F72"/>
    <w:rsid w:val="004849C2"/>
    <w:rsid w:val="0048510F"/>
    <w:rsid w:val="004851CD"/>
    <w:rsid w:val="00485215"/>
    <w:rsid w:val="00485340"/>
    <w:rsid w:val="0048587E"/>
    <w:rsid w:val="00485F46"/>
    <w:rsid w:val="0048608A"/>
    <w:rsid w:val="00486200"/>
    <w:rsid w:val="004862BE"/>
    <w:rsid w:val="00486C9C"/>
    <w:rsid w:val="00486D6A"/>
    <w:rsid w:val="00487815"/>
    <w:rsid w:val="00487C2B"/>
    <w:rsid w:val="00487F25"/>
    <w:rsid w:val="004900FF"/>
    <w:rsid w:val="0049125B"/>
    <w:rsid w:val="004914B6"/>
    <w:rsid w:val="00491C58"/>
    <w:rsid w:val="00491FAB"/>
    <w:rsid w:val="00492081"/>
    <w:rsid w:val="0049227D"/>
    <w:rsid w:val="0049297D"/>
    <w:rsid w:val="004929F2"/>
    <w:rsid w:val="00492F5E"/>
    <w:rsid w:val="004932B3"/>
    <w:rsid w:val="004933B7"/>
    <w:rsid w:val="004934F8"/>
    <w:rsid w:val="0049419A"/>
    <w:rsid w:val="0049447B"/>
    <w:rsid w:val="00495A03"/>
    <w:rsid w:val="00495E28"/>
    <w:rsid w:val="00496695"/>
    <w:rsid w:val="00497079"/>
    <w:rsid w:val="00497450"/>
    <w:rsid w:val="00497B5A"/>
    <w:rsid w:val="00497F49"/>
    <w:rsid w:val="004A017F"/>
    <w:rsid w:val="004A091D"/>
    <w:rsid w:val="004A1BBA"/>
    <w:rsid w:val="004A23C2"/>
    <w:rsid w:val="004A2861"/>
    <w:rsid w:val="004A3336"/>
    <w:rsid w:val="004A3E3C"/>
    <w:rsid w:val="004A4069"/>
    <w:rsid w:val="004A484E"/>
    <w:rsid w:val="004A4AFC"/>
    <w:rsid w:val="004A50BE"/>
    <w:rsid w:val="004A54D5"/>
    <w:rsid w:val="004A63E1"/>
    <w:rsid w:val="004A6513"/>
    <w:rsid w:val="004A6885"/>
    <w:rsid w:val="004A7CCE"/>
    <w:rsid w:val="004B0D11"/>
    <w:rsid w:val="004B0E6D"/>
    <w:rsid w:val="004B15C3"/>
    <w:rsid w:val="004B16E8"/>
    <w:rsid w:val="004B1CBF"/>
    <w:rsid w:val="004B2CA5"/>
    <w:rsid w:val="004B2CC2"/>
    <w:rsid w:val="004B412E"/>
    <w:rsid w:val="004B4637"/>
    <w:rsid w:val="004B522C"/>
    <w:rsid w:val="004B5B92"/>
    <w:rsid w:val="004B6250"/>
    <w:rsid w:val="004B66F3"/>
    <w:rsid w:val="004B68D2"/>
    <w:rsid w:val="004B68EC"/>
    <w:rsid w:val="004B76B1"/>
    <w:rsid w:val="004C0057"/>
    <w:rsid w:val="004C0258"/>
    <w:rsid w:val="004C0541"/>
    <w:rsid w:val="004C0983"/>
    <w:rsid w:val="004C0BBF"/>
    <w:rsid w:val="004C1BF4"/>
    <w:rsid w:val="004C1D08"/>
    <w:rsid w:val="004C1D55"/>
    <w:rsid w:val="004C2533"/>
    <w:rsid w:val="004C2836"/>
    <w:rsid w:val="004C2C46"/>
    <w:rsid w:val="004C2C85"/>
    <w:rsid w:val="004C3E5A"/>
    <w:rsid w:val="004C405B"/>
    <w:rsid w:val="004C54CA"/>
    <w:rsid w:val="004C65B9"/>
    <w:rsid w:val="004C69A2"/>
    <w:rsid w:val="004C7214"/>
    <w:rsid w:val="004C7235"/>
    <w:rsid w:val="004C7955"/>
    <w:rsid w:val="004D0140"/>
    <w:rsid w:val="004D0213"/>
    <w:rsid w:val="004D047F"/>
    <w:rsid w:val="004D1529"/>
    <w:rsid w:val="004D250B"/>
    <w:rsid w:val="004D29F1"/>
    <w:rsid w:val="004D29F3"/>
    <w:rsid w:val="004D31B5"/>
    <w:rsid w:val="004D3D96"/>
    <w:rsid w:val="004D40BB"/>
    <w:rsid w:val="004D5316"/>
    <w:rsid w:val="004D575C"/>
    <w:rsid w:val="004D650F"/>
    <w:rsid w:val="004D7269"/>
    <w:rsid w:val="004D74EE"/>
    <w:rsid w:val="004D7F01"/>
    <w:rsid w:val="004E02B0"/>
    <w:rsid w:val="004E08FC"/>
    <w:rsid w:val="004E0B6E"/>
    <w:rsid w:val="004E2133"/>
    <w:rsid w:val="004E2B92"/>
    <w:rsid w:val="004E2BD2"/>
    <w:rsid w:val="004E395B"/>
    <w:rsid w:val="004E3A6C"/>
    <w:rsid w:val="004E3C7D"/>
    <w:rsid w:val="004E4735"/>
    <w:rsid w:val="004E4B86"/>
    <w:rsid w:val="004E4CD7"/>
    <w:rsid w:val="004E4F38"/>
    <w:rsid w:val="004E5EDB"/>
    <w:rsid w:val="004E60FB"/>
    <w:rsid w:val="004E73A5"/>
    <w:rsid w:val="004E758A"/>
    <w:rsid w:val="004F0126"/>
    <w:rsid w:val="004F0522"/>
    <w:rsid w:val="004F0D41"/>
    <w:rsid w:val="004F1C42"/>
    <w:rsid w:val="004F23CE"/>
    <w:rsid w:val="004F2C5A"/>
    <w:rsid w:val="004F2F61"/>
    <w:rsid w:val="004F345B"/>
    <w:rsid w:val="004F4601"/>
    <w:rsid w:val="004F5BEF"/>
    <w:rsid w:val="004F76F0"/>
    <w:rsid w:val="004F779C"/>
    <w:rsid w:val="004F7846"/>
    <w:rsid w:val="004F7919"/>
    <w:rsid w:val="005000A6"/>
    <w:rsid w:val="005000D4"/>
    <w:rsid w:val="00500234"/>
    <w:rsid w:val="005003EC"/>
    <w:rsid w:val="005004EE"/>
    <w:rsid w:val="005007AB"/>
    <w:rsid w:val="00500B1E"/>
    <w:rsid w:val="00500B24"/>
    <w:rsid w:val="00500B50"/>
    <w:rsid w:val="00500C17"/>
    <w:rsid w:val="005027F4"/>
    <w:rsid w:val="005036C2"/>
    <w:rsid w:val="00503AE3"/>
    <w:rsid w:val="00503C28"/>
    <w:rsid w:val="0050492E"/>
    <w:rsid w:val="005051C9"/>
    <w:rsid w:val="00506389"/>
    <w:rsid w:val="00506EDA"/>
    <w:rsid w:val="00506F9D"/>
    <w:rsid w:val="00510A69"/>
    <w:rsid w:val="00510CAF"/>
    <w:rsid w:val="00510D0F"/>
    <w:rsid w:val="0051114C"/>
    <w:rsid w:val="0051137D"/>
    <w:rsid w:val="00511597"/>
    <w:rsid w:val="005116B7"/>
    <w:rsid w:val="00511915"/>
    <w:rsid w:val="00511B90"/>
    <w:rsid w:val="005128C5"/>
    <w:rsid w:val="00512905"/>
    <w:rsid w:val="00512D8B"/>
    <w:rsid w:val="00512DF1"/>
    <w:rsid w:val="00512E85"/>
    <w:rsid w:val="00512F9A"/>
    <w:rsid w:val="005130D2"/>
    <w:rsid w:val="005136C7"/>
    <w:rsid w:val="00513A66"/>
    <w:rsid w:val="0051419B"/>
    <w:rsid w:val="0051478B"/>
    <w:rsid w:val="00514C1C"/>
    <w:rsid w:val="00514C59"/>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3D80"/>
    <w:rsid w:val="00524434"/>
    <w:rsid w:val="0052560E"/>
    <w:rsid w:val="00525732"/>
    <w:rsid w:val="00525740"/>
    <w:rsid w:val="00525E59"/>
    <w:rsid w:val="00526030"/>
    <w:rsid w:val="005278EE"/>
    <w:rsid w:val="00530A21"/>
    <w:rsid w:val="005310DD"/>
    <w:rsid w:val="005312BC"/>
    <w:rsid w:val="00531851"/>
    <w:rsid w:val="005318CC"/>
    <w:rsid w:val="0053199E"/>
    <w:rsid w:val="00531D65"/>
    <w:rsid w:val="005321E1"/>
    <w:rsid w:val="005334E4"/>
    <w:rsid w:val="005349B1"/>
    <w:rsid w:val="00535AA4"/>
    <w:rsid w:val="00535DA3"/>
    <w:rsid w:val="005364A6"/>
    <w:rsid w:val="005364AE"/>
    <w:rsid w:val="0053652C"/>
    <w:rsid w:val="0053659B"/>
    <w:rsid w:val="005368A0"/>
    <w:rsid w:val="005374BC"/>
    <w:rsid w:val="005400EE"/>
    <w:rsid w:val="005401BF"/>
    <w:rsid w:val="005416E1"/>
    <w:rsid w:val="005427DC"/>
    <w:rsid w:val="00543177"/>
    <w:rsid w:val="00543188"/>
    <w:rsid w:val="005432F0"/>
    <w:rsid w:val="00543367"/>
    <w:rsid w:val="0054384E"/>
    <w:rsid w:val="005439DB"/>
    <w:rsid w:val="00543BFA"/>
    <w:rsid w:val="00544115"/>
    <w:rsid w:val="0054516E"/>
    <w:rsid w:val="005453FA"/>
    <w:rsid w:val="0054655E"/>
    <w:rsid w:val="00546601"/>
    <w:rsid w:val="00547D9C"/>
    <w:rsid w:val="00547DA1"/>
    <w:rsid w:val="005501BC"/>
    <w:rsid w:val="00550498"/>
    <w:rsid w:val="0055068D"/>
    <w:rsid w:val="00551BA5"/>
    <w:rsid w:val="00551BAB"/>
    <w:rsid w:val="00551C53"/>
    <w:rsid w:val="005520B8"/>
    <w:rsid w:val="0055216D"/>
    <w:rsid w:val="0055221B"/>
    <w:rsid w:val="005526DC"/>
    <w:rsid w:val="005535B7"/>
    <w:rsid w:val="00554BFC"/>
    <w:rsid w:val="00554CAC"/>
    <w:rsid w:val="0055513C"/>
    <w:rsid w:val="005553C4"/>
    <w:rsid w:val="00555E77"/>
    <w:rsid w:val="0055637C"/>
    <w:rsid w:val="00556532"/>
    <w:rsid w:val="00556540"/>
    <w:rsid w:val="00556B00"/>
    <w:rsid w:val="0055753F"/>
    <w:rsid w:val="00557618"/>
    <w:rsid w:val="00557782"/>
    <w:rsid w:val="00560C94"/>
    <w:rsid w:val="00560FD5"/>
    <w:rsid w:val="00561094"/>
    <w:rsid w:val="00561A6F"/>
    <w:rsid w:val="00561BBC"/>
    <w:rsid w:val="00561C0A"/>
    <w:rsid w:val="00562765"/>
    <w:rsid w:val="0056283B"/>
    <w:rsid w:val="0056291C"/>
    <w:rsid w:val="00563E82"/>
    <w:rsid w:val="00564289"/>
    <w:rsid w:val="005643FD"/>
    <w:rsid w:val="005646BB"/>
    <w:rsid w:val="005647F9"/>
    <w:rsid w:val="00564B19"/>
    <w:rsid w:val="00564C4B"/>
    <w:rsid w:val="00565A63"/>
    <w:rsid w:val="00565DFA"/>
    <w:rsid w:val="00566588"/>
    <w:rsid w:val="0056662E"/>
    <w:rsid w:val="00566A26"/>
    <w:rsid w:val="00566F6B"/>
    <w:rsid w:val="00567012"/>
    <w:rsid w:val="00567EA5"/>
    <w:rsid w:val="00570514"/>
    <w:rsid w:val="00570A9F"/>
    <w:rsid w:val="00571A41"/>
    <w:rsid w:val="005721D0"/>
    <w:rsid w:val="0057275D"/>
    <w:rsid w:val="00572919"/>
    <w:rsid w:val="0057329C"/>
    <w:rsid w:val="005733A2"/>
    <w:rsid w:val="00573C50"/>
    <w:rsid w:val="00574103"/>
    <w:rsid w:val="00574350"/>
    <w:rsid w:val="00575B68"/>
    <w:rsid w:val="00575DA6"/>
    <w:rsid w:val="0057737F"/>
    <w:rsid w:val="00577FF9"/>
    <w:rsid w:val="005800A9"/>
    <w:rsid w:val="00580488"/>
    <w:rsid w:val="00580687"/>
    <w:rsid w:val="0058074D"/>
    <w:rsid w:val="005807CD"/>
    <w:rsid w:val="00580FD1"/>
    <w:rsid w:val="0058162B"/>
    <w:rsid w:val="00582FAD"/>
    <w:rsid w:val="00583489"/>
    <w:rsid w:val="0058391F"/>
    <w:rsid w:val="00583A80"/>
    <w:rsid w:val="00583E3A"/>
    <w:rsid w:val="00584188"/>
    <w:rsid w:val="00584E33"/>
    <w:rsid w:val="00585748"/>
    <w:rsid w:val="00585AD4"/>
    <w:rsid w:val="00586216"/>
    <w:rsid w:val="005862F2"/>
    <w:rsid w:val="00586819"/>
    <w:rsid w:val="00586E9A"/>
    <w:rsid w:val="00587419"/>
    <w:rsid w:val="00590D38"/>
    <w:rsid w:val="00590FE4"/>
    <w:rsid w:val="00591D9C"/>
    <w:rsid w:val="00592786"/>
    <w:rsid w:val="0059282D"/>
    <w:rsid w:val="00593091"/>
    <w:rsid w:val="005932C1"/>
    <w:rsid w:val="00593440"/>
    <w:rsid w:val="005936BF"/>
    <w:rsid w:val="00593DE5"/>
    <w:rsid w:val="00594E57"/>
    <w:rsid w:val="005958D1"/>
    <w:rsid w:val="0059592B"/>
    <w:rsid w:val="00595C9F"/>
    <w:rsid w:val="00596617"/>
    <w:rsid w:val="00596CC4"/>
    <w:rsid w:val="00597057"/>
    <w:rsid w:val="005973A6"/>
    <w:rsid w:val="00597AAB"/>
    <w:rsid w:val="00597D8B"/>
    <w:rsid w:val="005A0742"/>
    <w:rsid w:val="005A0E1F"/>
    <w:rsid w:val="005A0ED5"/>
    <w:rsid w:val="005A1788"/>
    <w:rsid w:val="005A19CD"/>
    <w:rsid w:val="005A1C30"/>
    <w:rsid w:val="005A31C9"/>
    <w:rsid w:val="005A3295"/>
    <w:rsid w:val="005A46FF"/>
    <w:rsid w:val="005A4AFF"/>
    <w:rsid w:val="005A65F0"/>
    <w:rsid w:val="005A67F3"/>
    <w:rsid w:val="005A6A07"/>
    <w:rsid w:val="005A7655"/>
    <w:rsid w:val="005A7758"/>
    <w:rsid w:val="005A7D56"/>
    <w:rsid w:val="005B011E"/>
    <w:rsid w:val="005B028B"/>
    <w:rsid w:val="005B0BD4"/>
    <w:rsid w:val="005B2E84"/>
    <w:rsid w:val="005B352F"/>
    <w:rsid w:val="005B385E"/>
    <w:rsid w:val="005B3E66"/>
    <w:rsid w:val="005B3FE8"/>
    <w:rsid w:val="005B436C"/>
    <w:rsid w:val="005B44F3"/>
    <w:rsid w:val="005B4F97"/>
    <w:rsid w:val="005B52A4"/>
    <w:rsid w:val="005B5CA4"/>
    <w:rsid w:val="005B6E01"/>
    <w:rsid w:val="005B6FF1"/>
    <w:rsid w:val="005B7476"/>
    <w:rsid w:val="005B7688"/>
    <w:rsid w:val="005B7849"/>
    <w:rsid w:val="005B7B0E"/>
    <w:rsid w:val="005C0DFA"/>
    <w:rsid w:val="005C0FF0"/>
    <w:rsid w:val="005C219B"/>
    <w:rsid w:val="005C45F9"/>
    <w:rsid w:val="005C491A"/>
    <w:rsid w:val="005C492F"/>
    <w:rsid w:val="005C4B4C"/>
    <w:rsid w:val="005C5409"/>
    <w:rsid w:val="005C55EF"/>
    <w:rsid w:val="005C5915"/>
    <w:rsid w:val="005C5D9A"/>
    <w:rsid w:val="005C628C"/>
    <w:rsid w:val="005C65BB"/>
    <w:rsid w:val="005C6765"/>
    <w:rsid w:val="005C685C"/>
    <w:rsid w:val="005C69AC"/>
    <w:rsid w:val="005C722E"/>
    <w:rsid w:val="005C7576"/>
    <w:rsid w:val="005C7759"/>
    <w:rsid w:val="005D01A4"/>
    <w:rsid w:val="005D0BD3"/>
    <w:rsid w:val="005D1543"/>
    <w:rsid w:val="005D15AE"/>
    <w:rsid w:val="005D167D"/>
    <w:rsid w:val="005D1A7B"/>
    <w:rsid w:val="005D1EDD"/>
    <w:rsid w:val="005D2F83"/>
    <w:rsid w:val="005D36E9"/>
    <w:rsid w:val="005D456F"/>
    <w:rsid w:val="005D45B3"/>
    <w:rsid w:val="005D4AB3"/>
    <w:rsid w:val="005D4CEB"/>
    <w:rsid w:val="005D5344"/>
    <w:rsid w:val="005D5DA8"/>
    <w:rsid w:val="005D61EB"/>
    <w:rsid w:val="005D7C30"/>
    <w:rsid w:val="005E0599"/>
    <w:rsid w:val="005E0AE0"/>
    <w:rsid w:val="005E10E3"/>
    <w:rsid w:val="005E5EA8"/>
    <w:rsid w:val="005E61FE"/>
    <w:rsid w:val="005E6628"/>
    <w:rsid w:val="005E72D6"/>
    <w:rsid w:val="005F04E6"/>
    <w:rsid w:val="005F17EC"/>
    <w:rsid w:val="005F1C2F"/>
    <w:rsid w:val="005F1F3F"/>
    <w:rsid w:val="005F2429"/>
    <w:rsid w:val="005F24AA"/>
    <w:rsid w:val="005F2F3F"/>
    <w:rsid w:val="005F39D5"/>
    <w:rsid w:val="005F3AB5"/>
    <w:rsid w:val="005F3E05"/>
    <w:rsid w:val="005F43B9"/>
    <w:rsid w:val="005F4B2F"/>
    <w:rsid w:val="005F4BBF"/>
    <w:rsid w:val="005F55D6"/>
    <w:rsid w:val="005F5CA9"/>
    <w:rsid w:val="005F68CB"/>
    <w:rsid w:val="005F6BDE"/>
    <w:rsid w:val="00600242"/>
    <w:rsid w:val="00602A38"/>
    <w:rsid w:val="00602B89"/>
    <w:rsid w:val="006033E3"/>
    <w:rsid w:val="00605FC7"/>
    <w:rsid w:val="00606218"/>
    <w:rsid w:val="00606CA3"/>
    <w:rsid w:val="00606E91"/>
    <w:rsid w:val="00607018"/>
    <w:rsid w:val="006077ED"/>
    <w:rsid w:val="00607C5F"/>
    <w:rsid w:val="0061009B"/>
    <w:rsid w:val="00610954"/>
    <w:rsid w:val="00610CBE"/>
    <w:rsid w:val="00610E1F"/>
    <w:rsid w:val="0061194E"/>
    <w:rsid w:val="00611BFF"/>
    <w:rsid w:val="00612228"/>
    <w:rsid w:val="0061321C"/>
    <w:rsid w:val="006138C5"/>
    <w:rsid w:val="00614CA1"/>
    <w:rsid w:val="00614E53"/>
    <w:rsid w:val="00615122"/>
    <w:rsid w:val="00615C2C"/>
    <w:rsid w:val="0061774F"/>
    <w:rsid w:val="00617E47"/>
    <w:rsid w:val="0062038A"/>
    <w:rsid w:val="006203A8"/>
    <w:rsid w:val="00620E59"/>
    <w:rsid w:val="00621132"/>
    <w:rsid w:val="00622656"/>
    <w:rsid w:val="00622804"/>
    <w:rsid w:val="00622C05"/>
    <w:rsid w:val="006237B0"/>
    <w:rsid w:val="0062386E"/>
    <w:rsid w:val="00623C78"/>
    <w:rsid w:val="00623D9A"/>
    <w:rsid w:val="00623F01"/>
    <w:rsid w:val="006242FB"/>
    <w:rsid w:val="00624738"/>
    <w:rsid w:val="00624F4E"/>
    <w:rsid w:val="0062670B"/>
    <w:rsid w:val="0062691B"/>
    <w:rsid w:val="00626BE7"/>
    <w:rsid w:val="00626E2D"/>
    <w:rsid w:val="00626E98"/>
    <w:rsid w:val="0062719D"/>
    <w:rsid w:val="006272DE"/>
    <w:rsid w:val="00627D94"/>
    <w:rsid w:val="006304D3"/>
    <w:rsid w:val="00630AB9"/>
    <w:rsid w:val="00630B42"/>
    <w:rsid w:val="006310FC"/>
    <w:rsid w:val="006312E2"/>
    <w:rsid w:val="00631688"/>
    <w:rsid w:val="006316E9"/>
    <w:rsid w:val="006320D8"/>
    <w:rsid w:val="00632540"/>
    <w:rsid w:val="00632A5D"/>
    <w:rsid w:val="00632CB8"/>
    <w:rsid w:val="00632E88"/>
    <w:rsid w:val="00633473"/>
    <w:rsid w:val="00633782"/>
    <w:rsid w:val="00633B6F"/>
    <w:rsid w:val="0063454C"/>
    <w:rsid w:val="00634DBB"/>
    <w:rsid w:val="00635744"/>
    <w:rsid w:val="006357FF"/>
    <w:rsid w:val="00636088"/>
    <w:rsid w:val="0063723E"/>
    <w:rsid w:val="00637C26"/>
    <w:rsid w:val="00640732"/>
    <w:rsid w:val="006412FA"/>
    <w:rsid w:val="00642072"/>
    <w:rsid w:val="00643284"/>
    <w:rsid w:val="006440ED"/>
    <w:rsid w:val="0064467C"/>
    <w:rsid w:val="00644B90"/>
    <w:rsid w:val="00645213"/>
    <w:rsid w:val="00645293"/>
    <w:rsid w:val="006453AF"/>
    <w:rsid w:val="00645C59"/>
    <w:rsid w:val="0064606B"/>
    <w:rsid w:val="006468CB"/>
    <w:rsid w:val="006469D9"/>
    <w:rsid w:val="00646B2A"/>
    <w:rsid w:val="00647093"/>
    <w:rsid w:val="00650BC5"/>
    <w:rsid w:val="00650C60"/>
    <w:rsid w:val="00651B78"/>
    <w:rsid w:val="00652263"/>
    <w:rsid w:val="0065238F"/>
    <w:rsid w:val="00652881"/>
    <w:rsid w:val="00652985"/>
    <w:rsid w:val="006533AE"/>
    <w:rsid w:val="00653F72"/>
    <w:rsid w:val="00654C98"/>
    <w:rsid w:val="00654DAA"/>
    <w:rsid w:val="00654F26"/>
    <w:rsid w:val="006551AE"/>
    <w:rsid w:val="00656138"/>
    <w:rsid w:val="00657E49"/>
    <w:rsid w:val="0066085C"/>
    <w:rsid w:val="00661974"/>
    <w:rsid w:val="006623E2"/>
    <w:rsid w:val="006624E3"/>
    <w:rsid w:val="006640CF"/>
    <w:rsid w:val="006640F9"/>
    <w:rsid w:val="00664551"/>
    <w:rsid w:val="00664685"/>
    <w:rsid w:val="00664B95"/>
    <w:rsid w:val="00664DC1"/>
    <w:rsid w:val="0066545B"/>
    <w:rsid w:val="00665D5F"/>
    <w:rsid w:val="00665FB2"/>
    <w:rsid w:val="0066647C"/>
    <w:rsid w:val="00666FDE"/>
    <w:rsid w:val="006676A0"/>
    <w:rsid w:val="006704F3"/>
    <w:rsid w:val="00670857"/>
    <w:rsid w:val="00671124"/>
    <w:rsid w:val="006720D9"/>
    <w:rsid w:val="006727B0"/>
    <w:rsid w:val="0067307E"/>
    <w:rsid w:val="006739C0"/>
    <w:rsid w:val="00673F6D"/>
    <w:rsid w:val="00674850"/>
    <w:rsid w:val="00675116"/>
    <w:rsid w:val="0067568D"/>
    <w:rsid w:val="00675D03"/>
    <w:rsid w:val="00676016"/>
    <w:rsid w:val="0067604E"/>
    <w:rsid w:val="00676481"/>
    <w:rsid w:val="006767D7"/>
    <w:rsid w:val="00676EA7"/>
    <w:rsid w:val="006805DF"/>
    <w:rsid w:val="0068083B"/>
    <w:rsid w:val="006808B4"/>
    <w:rsid w:val="00680A78"/>
    <w:rsid w:val="00682AE3"/>
    <w:rsid w:val="00682EC2"/>
    <w:rsid w:val="00683134"/>
    <w:rsid w:val="00683F61"/>
    <w:rsid w:val="00685A94"/>
    <w:rsid w:val="00686A36"/>
    <w:rsid w:val="00686E84"/>
    <w:rsid w:val="00687AD5"/>
    <w:rsid w:val="0069211A"/>
    <w:rsid w:val="0069229E"/>
    <w:rsid w:val="00692972"/>
    <w:rsid w:val="00692B81"/>
    <w:rsid w:val="00692C4F"/>
    <w:rsid w:val="00692C9B"/>
    <w:rsid w:val="0069364B"/>
    <w:rsid w:val="006949D2"/>
    <w:rsid w:val="00694C5F"/>
    <w:rsid w:val="00695251"/>
    <w:rsid w:val="006953EF"/>
    <w:rsid w:val="00695636"/>
    <w:rsid w:val="00695689"/>
    <w:rsid w:val="00695ADE"/>
    <w:rsid w:val="00695C0D"/>
    <w:rsid w:val="00695CAE"/>
    <w:rsid w:val="00695D11"/>
    <w:rsid w:val="00696356"/>
    <w:rsid w:val="006968EA"/>
    <w:rsid w:val="0069700F"/>
    <w:rsid w:val="00697403"/>
    <w:rsid w:val="006A015D"/>
    <w:rsid w:val="006A032B"/>
    <w:rsid w:val="006A0A25"/>
    <w:rsid w:val="006A1C10"/>
    <w:rsid w:val="006A2E6B"/>
    <w:rsid w:val="006A2EA3"/>
    <w:rsid w:val="006A3BA9"/>
    <w:rsid w:val="006A3CC1"/>
    <w:rsid w:val="006A4899"/>
    <w:rsid w:val="006A4AB1"/>
    <w:rsid w:val="006A62E1"/>
    <w:rsid w:val="006A6566"/>
    <w:rsid w:val="006A6C20"/>
    <w:rsid w:val="006A6C3A"/>
    <w:rsid w:val="006A72C6"/>
    <w:rsid w:val="006A7310"/>
    <w:rsid w:val="006B02DA"/>
    <w:rsid w:val="006B08FB"/>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5F5"/>
    <w:rsid w:val="006B7EAE"/>
    <w:rsid w:val="006C0150"/>
    <w:rsid w:val="006C02A0"/>
    <w:rsid w:val="006C09B6"/>
    <w:rsid w:val="006C13F6"/>
    <w:rsid w:val="006C168D"/>
    <w:rsid w:val="006C196A"/>
    <w:rsid w:val="006C1D8F"/>
    <w:rsid w:val="006C1EDE"/>
    <w:rsid w:val="006C2BF5"/>
    <w:rsid w:val="006C3E6C"/>
    <w:rsid w:val="006C4A40"/>
    <w:rsid w:val="006C4E56"/>
    <w:rsid w:val="006C5CE0"/>
    <w:rsid w:val="006C61CD"/>
    <w:rsid w:val="006C642C"/>
    <w:rsid w:val="006C6FC6"/>
    <w:rsid w:val="006C7462"/>
    <w:rsid w:val="006C7BB9"/>
    <w:rsid w:val="006C7D50"/>
    <w:rsid w:val="006C7F32"/>
    <w:rsid w:val="006D141C"/>
    <w:rsid w:val="006D1BB4"/>
    <w:rsid w:val="006D2425"/>
    <w:rsid w:val="006D2CF3"/>
    <w:rsid w:val="006D2D08"/>
    <w:rsid w:val="006D2F35"/>
    <w:rsid w:val="006D3228"/>
    <w:rsid w:val="006D349E"/>
    <w:rsid w:val="006D3FF6"/>
    <w:rsid w:val="006D41EF"/>
    <w:rsid w:val="006D44FB"/>
    <w:rsid w:val="006D53AA"/>
    <w:rsid w:val="006D6993"/>
    <w:rsid w:val="006D78AA"/>
    <w:rsid w:val="006E032F"/>
    <w:rsid w:val="006E0D09"/>
    <w:rsid w:val="006E17F6"/>
    <w:rsid w:val="006E241F"/>
    <w:rsid w:val="006E24EE"/>
    <w:rsid w:val="006E2565"/>
    <w:rsid w:val="006E25BD"/>
    <w:rsid w:val="006E3379"/>
    <w:rsid w:val="006E34B7"/>
    <w:rsid w:val="006E36B8"/>
    <w:rsid w:val="006E3874"/>
    <w:rsid w:val="006E3DBD"/>
    <w:rsid w:val="006E4244"/>
    <w:rsid w:val="006E49B9"/>
    <w:rsid w:val="006E5585"/>
    <w:rsid w:val="006E5E32"/>
    <w:rsid w:val="006E633A"/>
    <w:rsid w:val="006E6A14"/>
    <w:rsid w:val="006E6B16"/>
    <w:rsid w:val="006E6DE8"/>
    <w:rsid w:val="006E780C"/>
    <w:rsid w:val="006F01EB"/>
    <w:rsid w:val="006F07A5"/>
    <w:rsid w:val="006F0BA7"/>
    <w:rsid w:val="006F0F01"/>
    <w:rsid w:val="006F132D"/>
    <w:rsid w:val="006F174D"/>
    <w:rsid w:val="006F1F41"/>
    <w:rsid w:val="006F265A"/>
    <w:rsid w:val="006F32EF"/>
    <w:rsid w:val="006F3615"/>
    <w:rsid w:val="006F3BD2"/>
    <w:rsid w:val="006F3C54"/>
    <w:rsid w:val="006F4CD8"/>
    <w:rsid w:val="006F53D9"/>
    <w:rsid w:val="006F5812"/>
    <w:rsid w:val="006F609A"/>
    <w:rsid w:val="006F7278"/>
    <w:rsid w:val="006F7D2A"/>
    <w:rsid w:val="007004DC"/>
    <w:rsid w:val="00700E76"/>
    <w:rsid w:val="00701093"/>
    <w:rsid w:val="00701468"/>
    <w:rsid w:val="007022C4"/>
    <w:rsid w:val="007026E9"/>
    <w:rsid w:val="00703357"/>
    <w:rsid w:val="00703C8B"/>
    <w:rsid w:val="00703E8A"/>
    <w:rsid w:val="00704159"/>
    <w:rsid w:val="00704C2B"/>
    <w:rsid w:val="00704F60"/>
    <w:rsid w:val="00706EA3"/>
    <w:rsid w:val="007078BE"/>
    <w:rsid w:val="00710BF6"/>
    <w:rsid w:val="00711522"/>
    <w:rsid w:val="007118A6"/>
    <w:rsid w:val="007124FE"/>
    <w:rsid w:val="00712533"/>
    <w:rsid w:val="00713186"/>
    <w:rsid w:val="0071352E"/>
    <w:rsid w:val="00713757"/>
    <w:rsid w:val="00713758"/>
    <w:rsid w:val="007137D8"/>
    <w:rsid w:val="00713FB1"/>
    <w:rsid w:val="00714064"/>
    <w:rsid w:val="00714EE5"/>
    <w:rsid w:val="0071550A"/>
    <w:rsid w:val="00715517"/>
    <w:rsid w:val="00716A38"/>
    <w:rsid w:val="0071724E"/>
    <w:rsid w:val="00717772"/>
    <w:rsid w:val="007200E5"/>
    <w:rsid w:val="00720C17"/>
    <w:rsid w:val="00721AF1"/>
    <w:rsid w:val="00721E6C"/>
    <w:rsid w:val="00722322"/>
    <w:rsid w:val="0072280F"/>
    <w:rsid w:val="00722B5E"/>
    <w:rsid w:val="007235F5"/>
    <w:rsid w:val="00723B2C"/>
    <w:rsid w:val="00724676"/>
    <w:rsid w:val="00724E63"/>
    <w:rsid w:val="00725251"/>
    <w:rsid w:val="007253CC"/>
    <w:rsid w:val="0072671F"/>
    <w:rsid w:val="00726F5A"/>
    <w:rsid w:val="0072708F"/>
    <w:rsid w:val="00730E81"/>
    <w:rsid w:val="00731000"/>
    <w:rsid w:val="00731204"/>
    <w:rsid w:val="007319BC"/>
    <w:rsid w:val="0073222B"/>
    <w:rsid w:val="0073251A"/>
    <w:rsid w:val="00732582"/>
    <w:rsid w:val="00732D1D"/>
    <w:rsid w:val="007332C4"/>
    <w:rsid w:val="0073375D"/>
    <w:rsid w:val="00733844"/>
    <w:rsid w:val="00734381"/>
    <w:rsid w:val="00736034"/>
    <w:rsid w:val="0073681C"/>
    <w:rsid w:val="00736C29"/>
    <w:rsid w:val="00737068"/>
    <w:rsid w:val="0073725B"/>
    <w:rsid w:val="00737C35"/>
    <w:rsid w:val="0074033C"/>
    <w:rsid w:val="0074050E"/>
    <w:rsid w:val="00740B66"/>
    <w:rsid w:val="00740D9C"/>
    <w:rsid w:val="00741AF8"/>
    <w:rsid w:val="00741EBE"/>
    <w:rsid w:val="00742181"/>
    <w:rsid w:val="007424EC"/>
    <w:rsid w:val="00742728"/>
    <w:rsid w:val="00742E39"/>
    <w:rsid w:val="00742EDA"/>
    <w:rsid w:val="00743DDD"/>
    <w:rsid w:val="007440FA"/>
    <w:rsid w:val="00744201"/>
    <w:rsid w:val="00744AE3"/>
    <w:rsid w:val="00745FCE"/>
    <w:rsid w:val="00746130"/>
    <w:rsid w:val="00746A40"/>
    <w:rsid w:val="00746E6A"/>
    <w:rsid w:val="00747598"/>
    <w:rsid w:val="00750358"/>
    <w:rsid w:val="00750BFE"/>
    <w:rsid w:val="007520A3"/>
    <w:rsid w:val="007526F5"/>
    <w:rsid w:val="007536B4"/>
    <w:rsid w:val="007539C6"/>
    <w:rsid w:val="007541BB"/>
    <w:rsid w:val="00754717"/>
    <w:rsid w:val="00754836"/>
    <w:rsid w:val="00754CC2"/>
    <w:rsid w:val="00754FB9"/>
    <w:rsid w:val="00755CDF"/>
    <w:rsid w:val="0075605E"/>
    <w:rsid w:val="007566CD"/>
    <w:rsid w:val="00756868"/>
    <w:rsid w:val="00757042"/>
    <w:rsid w:val="007573AF"/>
    <w:rsid w:val="00757588"/>
    <w:rsid w:val="007578C3"/>
    <w:rsid w:val="00757A4C"/>
    <w:rsid w:val="00760895"/>
    <w:rsid w:val="00760925"/>
    <w:rsid w:val="00761FB5"/>
    <w:rsid w:val="00762269"/>
    <w:rsid w:val="00762ABF"/>
    <w:rsid w:val="00762F29"/>
    <w:rsid w:val="007634AD"/>
    <w:rsid w:val="00764A94"/>
    <w:rsid w:val="00764B26"/>
    <w:rsid w:val="00764EA6"/>
    <w:rsid w:val="007651A9"/>
    <w:rsid w:val="007651E5"/>
    <w:rsid w:val="0076524F"/>
    <w:rsid w:val="00765584"/>
    <w:rsid w:val="00765AC1"/>
    <w:rsid w:val="007665B2"/>
    <w:rsid w:val="007670DC"/>
    <w:rsid w:val="00767356"/>
    <w:rsid w:val="00767589"/>
    <w:rsid w:val="00767A77"/>
    <w:rsid w:val="00767B59"/>
    <w:rsid w:val="00767B5F"/>
    <w:rsid w:val="00770076"/>
    <w:rsid w:val="00770F2A"/>
    <w:rsid w:val="0077111A"/>
    <w:rsid w:val="00771C99"/>
    <w:rsid w:val="0077213A"/>
    <w:rsid w:val="00772272"/>
    <w:rsid w:val="0077232D"/>
    <w:rsid w:val="007723AA"/>
    <w:rsid w:val="00772549"/>
    <w:rsid w:val="0077369F"/>
    <w:rsid w:val="0077371D"/>
    <w:rsid w:val="0077463A"/>
    <w:rsid w:val="00774AB3"/>
    <w:rsid w:val="00774D0F"/>
    <w:rsid w:val="00774D7B"/>
    <w:rsid w:val="007756ED"/>
    <w:rsid w:val="0077589D"/>
    <w:rsid w:val="007760E4"/>
    <w:rsid w:val="0077617F"/>
    <w:rsid w:val="007765F6"/>
    <w:rsid w:val="00776A3D"/>
    <w:rsid w:val="0077707A"/>
    <w:rsid w:val="007776BF"/>
    <w:rsid w:val="00777F71"/>
    <w:rsid w:val="007819A1"/>
    <w:rsid w:val="00783554"/>
    <w:rsid w:val="0078391A"/>
    <w:rsid w:val="00783BA5"/>
    <w:rsid w:val="00784894"/>
    <w:rsid w:val="00784F9E"/>
    <w:rsid w:val="0078533C"/>
    <w:rsid w:val="007857FB"/>
    <w:rsid w:val="007870FC"/>
    <w:rsid w:val="00787C7F"/>
    <w:rsid w:val="00787CD0"/>
    <w:rsid w:val="007905A2"/>
    <w:rsid w:val="007907FF"/>
    <w:rsid w:val="00791053"/>
    <w:rsid w:val="00791261"/>
    <w:rsid w:val="007918FE"/>
    <w:rsid w:val="00791A3A"/>
    <w:rsid w:val="00791FAC"/>
    <w:rsid w:val="0079262D"/>
    <w:rsid w:val="00792A53"/>
    <w:rsid w:val="00793D67"/>
    <w:rsid w:val="00793DAA"/>
    <w:rsid w:val="00794196"/>
    <w:rsid w:val="00794C47"/>
    <w:rsid w:val="00794FFF"/>
    <w:rsid w:val="007957C3"/>
    <w:rsid w:val="00795F07"/>
    <w:rsid w:val="00796D4D"/>
    <w:rsid w:val="007971B8"/>
    <w:rsid w:val="00797637"/>
    <w:rsid w:val="00797982"/>
    <w:rsid w:val="0079798D"/>
    <w:rsid w:val="007A0018"/>
    <w:rsid w:val="007A08AA"/>
    <w:rsid w:val="007A0ADE"/>
    <w:rsid w:val="007A163A"/>
    <w:rsid w:val="007A1B35"/>
    <w:rsid w:val="007A1EA9"/>
    <w:rsid w:val="007A3680"/>
    <w:rsid w:val="007A3BCD"/>
    <w:rsid w:val="007A5214"/>
    <w:rsid w:val="007A5357"/>
    <w:rsid w:val="007A59B8"/>
    <w:rsid w:val="007A620B"/>
    <w:rsid w:val="007A65A8"/>
    <w:rsid w:val="007A65AF"/>
    <w:rsid w:val="007A7177"/>
    <w:rsid w:val="007A7682"/>
    <w:rsid w:val="007A7962"/>
    <w:rsid w:val="007A7F42"/>
    <w:rsid w:val="007B2862"/>
    <w:rsid w:val="007B2A83"/>
    <w:rsid w:val="007B2FD8"/>
    <w:rsid w:val="007B3074"/>
    <w:rsid w:val="007B349F"/>
    <w:rsid w:val="007B3968"/>
    <w:rsid w:val="007B3B2A"/>
    <w:rsid w:val="007B45AF"/>
    <w:rsid w:val="007B4DD0"/>
    <w:rsid w:val="007B5188"/>
    <w:rsid w:val="007B611E"/>
    <w:rsid w:val="007B62FA"/>
    <w:rsid w:val="007B662A"/>
    <w:rsid w:val="007B705D"/>
    <w:rsid w:val="007B70EE"/>
    <w:rsid w:val="007B71DC"/>
    <w:rsid w:val="007B75CD"/>
    <w:rsid w:val="007B7743"/>
    <w:rsid w:val="007C04F4"/>
    <w:rsid w:val="007C06B8"/>
    <w:rsid w:val="007C1C54"/>
    <w:rsid w:val="007C2139"/>
    <w:rsid w:val="007C27DE"/>
    <w:rsid w:val="007C299E"/>
    <w:rsid w:val="007C2D9E"/>
    <w:rsid w:val="007C2ECC"/>
    <w:rsid w:val="007C48BD"/>
    <w:rsid w:val="007C4A8B"/>
    <w:rsid w:val="007C525F"/>
    <w:rsid w:val="007C5321"/>
    <w:rsid w:val="007C55F6"/>
    <w:rsid w:val="007C5E8A"/>
    <w:rsid w:val="007C5F4B"/>
    <w:rsid w:val="007C6AAB"/>
    <w:rsid w:val="007C7B84"/>
    <w:rsid w:val="007D0CF8"/>
    <w:rsid w:val="007D0E38"/>
    <w:rsid w:val="007D122D"/>
    <w:rsid w:val="007D1FE9"/>
    <w:rsid w:val="007D28C9"/>
    <w:rsid w:val="007D3054"/>
    <w:rsid w:val="007D326B"/>
    <w:rsid w:val="007D36EC"/>
    <w:rsid w:val="007D38F0"/>
    <w:rsid w:val="007D3A96"/>
    <w:rsid w:val="007D3B2F"/>
    <w:rsid w:val="007D3CC8"/>
    <w:rsid w:val="007D4010"/>
    <w:rsid w:val="007D430A"/>
    <w:rsid w:val="007D47FB"/>
    <w:rsid w:val="007D4DD3"/>
    <w:rsid w:val="007D576A"/>
    <w:rsid w:val="007D59D0"/>
    <w:rsid w:val="007D62F9"/>
    <w:rsid w:val="007D63A4"/>
    <w:rsid w:val="007D6542"/>
    <w:rsid w:val="007E08DE"/>
    <w:rsid w:val="007E14D7"/>
    <w:rsid w:val="007E1697"/>
    <w:rsid w:val="007E1A91"/>
    <w:rsid w:val="007E1AA2"/>
    <w:rsid w:val="007E1F2C"/>
    <w:rsid w:val="007E2306"/>
    <w:rsid w:val="007E279D"/>
    <w:rsid w:val="007E2D69"/>
    <w:rsid w:val="007E3B9A"/>
    <w:rsid w:val="007E46E8"/>
    <w:rsid w:val="007E470F"/>
    <w:rsid w:val="007E4C1F"/>
    <w:rsid w:val="007E690F"/>
    <w:rsid w:val="007E6DF3"/>
    <w:rsid w:val="007E739B"/>
    <w:rsid w:val="007F01DE"/>
    <w:rsid w:val="007F0759"/>
    <w:rsid w:val="007F0BCC"/>
    <w:rsid w:val="007F0D5B"/>
    <w:rsid w:val="007F0E4F"/>
    <w:rsid w:val="007F1025"/>
    <w:rsid w:val="007F1482"/>
    <w:rsid w:val="007F156E"/>
    <w:rsid w:val="007F1BC1"/>
    <w:rsid w:val="007F1C97"/>
    <w:rsid w:val="007F1CF3"/>
    <w:rsid w:val="007F25C0"/>
    <w:rsid w:val="007F2BE8"/>
    <w:rsid w:val="007F30BB"/>
    <w:rsid w:val="007F3154"/>
    <w:rsid w:val="007F366D"/>
    <w:rsid w:val="007F4C96"/>
    <w:rsid w:val="007F5895"/>
    <w:rsid w:val="007F5F52"/>
    <w:rsid w:val="007F672A"/>
    <w:rsid w:val="007F6A1D"/>
    <w:rsid w:val="007F6A2C"/>
    <w:rsid w:val="007F77C6"/>
    <w:rsid w:val="007F79D4"/>
    <w:rsid w:val="007F7E86"/>
    <w:rsid w:val="008003A1"/>
    <w:rsid w:val="008006B7"/>
    <w:rsid w:val="00800C27"/>
    <w:rsid w:val="00800FDB"/>
    <w:rsid w:val="008019AE"/>
    <w:rsid w:val="00802081"/>
    <w:rsid w:val="008020F6"/>
    <w:rsid w:val="008023A0"/>
    <w:rsid w:val="0080298E"/>
    <w:rsid w:val="0080304E"/>
    <w:rsid w:val="00803833"/>
    <w:rsid w:val="00804316"/>
    <w:rsid w:val="008044F8"/>
    <w:rsid w:val="00804B55"/>
    <w:rsid w:val="00806461"/>
    <w:rsid w:val="008064C1"/>
    <w:rsid w:val="008101CB"/>
    <w:rsid w:val="0081096D"/>
    <w:rsid w:val="00810EAD"/>
    <w:rsid w:val="00811833"/>
    <w:rsid w:val="008138FE"/>
    <w:rsid w:val="00814BDE"/>
    <w:rsid w:val="00814DBC"/>
    <w:rsid w:val="0081667E"/>
    <w:rsid w:val="008174D4"/>
    <w:rsid w:val="0082002E"/>
    <w:rsid w:val="00820309"/>
    <w:rsid w:val="0082083C"/>
    <w:rsid w:val="00820C54"/>
    <w:rsid w:val="00820F37"/>
    <w:rsid w:val="00820FE6"/>
    <w:rsid w:val="00821A66"/>
    <w:rsid w:val="00822476"/>
    <w:rsid w:val="00822882"/>
    <w:rsid w:val="00822A1E"/>
    <w:rsid w:val="00822D19"/>
    <w:rsid w:val="0082312C"/>
    <w:rsid w:val="00823755"/>
    <w:rsid w:val="008238C7"/>
    <w:rsid w:val="008247D0"/>
    <w:rsid w:val="00825268"/>
    <w:rsid w:val="0082571C"/>
    <w:rsid w:val="00825B94"/>
    <w:rsid w:val="00825BB4"/>
    <w:rsid w:val="00825F68"/>
    <w:rsid w:val="0082714C"/>
    <w:rsid w:val="008273D2"/>
    <w:rsid w:val="00830777"/>
    <w:rsid w:val="008308EE"/>
    <w:rsid w:val="00830E92"/>
    <w:rsid w:val="00831151"/>
    <w:rsid w:val="00831232"/>
    <w:rsid w:val="00831543"/>
    <w:rsid w:val="008316B5"/>
    <w:rsid w:val="008320ED"/>
    <w:rsid w:val="00832360"/>
    <w:rsid w:val="00832A0F"/>
    <w:rsid w:val="008353D5"/>
    <w:rsid w:val="00835408"/>
    <w:rsid w:val="008358A2"/>
    <w:rsid w:val="008359DA"/>
    <w:rsid w:val="00835EAC"/>
    <w:rsid w:val="0083628E"/>
    <w:rsid w:val="00837CEF"/>
    <w:rsid w:val="00837E2F"/>
    <w:rsid w:val="00840035"/>
    <w:rsid w:val="00840516"/>
    <w:rsid w:val="00842120"/>
    <w:rsid w:val="00842661"/>
    <w:rsid w:val="008428A9"/>
    <w:rsid w:val="00843355"/>
    <w:rsid w:val="00843EA1"/>
    <w:rsid w:val="00844112"/>
    <w:rsid w:val="00844AD1"/>
    <w:rsid w:val="008456C9"/>
    <w:rsid w:val="008458C2"/>
    <w:rsid w:val="00845BD3"/>
    <w:rsid w:val="0084611D"/>
    <w:rsid w:val="00846177"/>
    <w:rsid w:val="0084628F"/>
    <w:rsid w:val="0084654D"/>
    <w:rsid w:val="00846C9F"/>
    <w:rsid w:val="00847BD6"/>
    <w:rsid w:val="00850137"/>
    <w:rsid w:val="00850C62"/>
    <w:rsid w:val="008524A5"/>
    <w:rsid w:val="00852B48"/>
    <w:rsid w:val="00852B60"/>
    <w:rsid w:val="008537BA"/>
    <w:rsid w:val="0085474D"/>
    <w:rsid w:val="00856481"/>
    <w:rsid w:val="00856753"/>
    <w:rsid w:val="008567A2"/>
    <w:rsid w:val="00856D61"/>
    <w:rsid w:val="00856E6C"/>
    <w:rsid w:val="00857DE1"/>
    <w:rsid w:val="00860793"/>
    <w:rsid w:val="00863011"/>
    <w:rsid w:val="00863C5B"/>
    <w:rsid w:val="00863D2E"/>
    <w:rsid w:val="008649BF"/>
    <w:rsid w:val="00864E32"/>
    <w:rsid w:val="00865075"/>
    <w:rsid w:val="0086555C"/>
    <w:rsid w:val="0086615F"/>
    <w:rsid w:val="0086748F"/>
    <w:rsid w:val="00870576"/>
    <w:rsid w:val="00870AA7"/>
    <w:rsid w:val="00872649"/>
    <w:rsid w:val="00872757"/>
    <w:rsid w:val="00872CE4"/>
    <w:rsid w:val="008734FD"/>
    <w:rsid w:val="00873AA4"/>
    <w:rsid w:val="00873CA8"/>
    <w:rsid w:val="00873F5D"/>
    <w:rsid w:val="0087570C"/>
    <w:rsid w:val="00875B87"/>
    <w:rsid w:val="008768B5"/>
    <w:rsid w:val="008773BA"/>
    <w:rsid w:val="00877B62"/>
    <w:rsid w:val="00880587"/>
    <w:rsid w:val="008805E9"/>
    <w:rsid w:val="00881015"/>
    <w:rsid w:val="008810B0"/>
    <w:rsid w:val="00881665"/>
    <w:rsid w:val="008819B6"/>
    <w:rsid w:val="00881AAC"/>
    <w:rsid w:val="00881F31"/>
    <w:rsid w:val="00882648"/>
    <w:rsid w:val="00882C04"/>
    <w:rsid w:val="0088356E"/>
    <w:rsid w:val="008836B7"/>
    <w:rsid w:val="00883F7C"/>
    <w:rsid w:val="008841D3"/>
    <w:rsid w:val="0088427E"/>
    <w:rsid w:val="008843CB"/>
    <w:rsid w:val="00884987"/>
    <w:rsid w:val="00884BE0"/>
    <w:rsid w:val="00885827"/>
    <w:rsid w:val="00886421"/>
    <w:rsid w:val="0088684C"/>
    <w:rsid w:val="00886BF8"/>
    <w:rsid w:val="00887AB9"/>
    <w:rsid w:val="00887BF9"/>
    <w:rsid w:val="00887DE6"/>
    <w:rsid w:val="00890A00"/>
    <w:rsid w:val="0089214A"/>
    <w:rsid w:val="00892226"/>
    <w:rsid w:val="008922FA"/>
    <w:rsid w:val="00892D15"/>
    <w:rsid w:val="00892D3E"/>
    <w:rsid w:val="00892E02"/>
    <w:rsid w:val="008936DC"/>
    <w:rsid w:val="00893784"/>
    <w:rsid w:val="00893E53"/>
    <w:rsid w:val="008945EB"/>
    <w:rsid w:val="00894C2A"/>
    <w:rsid w:val="008960DD"/>
    <w:rsid w:val="0089690B"/>
    <w:rsid w:val="00896A5F"/>
    <w:rsid w:val="0089728F"/>
    <w:rsid w:val="008976C0"/>
    <w:rsid w:val="00897708"/>
    <w:rsid w:val="00897BB7"/>
    <w:rsid w:val="00897D88"/>
    <w:rsid w:val="008A085F"/>
    <w:rsid w:val="008A17AF"/>
    <w:rsid w:val="008A1A34"/>
    <w:rsid w:val="008A2C65"/>
    <w:rsid w:val="008A2F16"/>
    <w:rsid w:val="008A3521"/>
    <w:rsid w:val="008A36AE"/>
    <w:rsid w:val="008A3815"/>
    <w:rsid w:val="008A48C3"/>
    <w:rsid w:val="008A4E18"/>
    <w:rsid w:val="008A520C"/>
    <w:rsid w:val="008A5493"/>
    <w:rsid w:val="008A5935"/>
    <w:rsid w:val="008A596C"/>
    <w:rsid w:val="008A64C4"/>
    <w:rsid w:val="008A665E"/>
    <w:rsid w:val="008A6BF7"/>
    <w:rsid w:val="008A6CC1"/>
    <w:rsid w:val="008A72FB"/>
    <w:rsid w:val="008A77C3"/>
    <w:rsid w:val="008A7F03"/>
    <w:rsid w:val="008B09A0"/>
    <w:rsid w:val="008B11D8"/>
    <w:rsid w:val="008B1823"/>
    <w:rsid w:val="008B1B4E"/>
    <w:rsid w:val="008B21EA"/>
    <w:rsid w:val="008B24DC"/>
    <w:rsid w:val="008B2BDF"/>
    <w:rsid w:val="008B4198"/>
    <w:rsid w:val="008B586A"/>
    <w:rsid w:val="008B6651"/>
    <w:rsid w:val="008B6E16"/>
    <w:rsid w:val="008B7110"/>
    <w:rsid w:val="008B7A20"/>
    <w:rsid w:val="008C09FC"/>
    <w:rsid w:val="008C0DF9"/>
    <w:rsid w:val="008C1CE4"/>
    <w:rsid w:val="008C2029"/>
    <w:rsid w:val="008C267C"/>
    <w:rsid w:val="008C2C90"/>
    <w:rsid w:val="008C2E44"/>
    <w:rsid w:val="008C3427"/>
    <w:rsid w:val="008C3BC2"/>
    <w:rsid w:val="008C4F76"/>
    <w:rsid w:val="008C504A"/>
    <w:rsid w:val="008C55AD"/>
    <w:rsid w:val="008C61D6"/>
    <w:rsid w:val="008C649D"/>
    <w:rsid w:val="008C64F1"/>
    <w:rsid w:val="008C7C1A"/>
    <w:rsid w:val="008D0DC1"/>
    <w:rsid w:val="008D1BB0"/>
    <w:rsid w:val="008D20FF"/>
    <w:rsid w:val="008D2B9A"/>
    <w:rsid w:val="008D30A6"/>
    <w:rsid w:val="008D3656"/>
    <w:rsid w:val="008D3DE6"/>
    <w:rsid w:val="008D4223"/>
    <w:rsid w:val="008D44CC"/>
    <w:rsid w:val="008D46E3"/>
    <w:rsid w:val="008D4CED"/>
    <w:rsid w:val="008D50F9"/>
    <w:rsid w:val="008D55B2"/>
    <w:rsid w:val="008D5843"/>
    <w:rsid w:val="008D5CAF"/>
    <w:rsid w:val="008D6709"/>
    <w:rsid w:val="008D68DB"/>
    <w:rsid w:val="008E083A"/>
    <w:rsid w:val="008E1045"/>
    <w:rsid w:val="008E12AD"/>
    <w:rsid w:val="008E22FF"/>
    <w:rsid w:val="008E2450"/>
    <w:rsid w:val="008E2900"/>
    <w:rsid w:val="008E2AFC"/>
    <w:rsid w:val="008E2BDD"/>
    <w:rsid w:val="008E3453"/>
    <w:rsid w:val="008E3F27"/>
    <w:rsid w:val="008E47EF"/>
    <w:rsid w:val="008E4E6E"/>
    <w:rsid w:val="008E588C"/>
    <w:rsid w:val="008E5DB7"/>
    <w:rsid w:val="008E61EB"/>
    <w:rsid w:val="008E6DAA"/>
    <w:rsid w:val="008E6E72"/>
    <w:rsid w:val="008E7896"/>
    <w:rsid w:val="008E79C7"/>
    <w:rsid w:val="008E7B6F"/>
    <w:rsid w:val="008E7C05"/>
    <w:rsid w:val="008E7C9D"/>
    <w:rsid w:val="008E7D8A"/>
    <w:rsid w:val="008F14C7"/>
    <w:rsid w:val="008F1E9E"/>
    <w:rsid w:val="008F2165"/>
    <w:rsid w:val="008F2477"/>
    <w:rsid w:val="008F3879"/>
    <w:rsid w:val="008F3B3C"/>
    <w:rsid w:val="008F3D0D"/>
    <w:rsid w:val="008F48E1"/>
    <w:rsid w:val="008F5442"/>
    <w:rsid w:val="008F653E"/>
    <w:rsid w:val="008F72BF"/>
    <w:rsid w:val="008F7769"/>
    <w:rsid w:val="008F7ACC"/>
    <w:rsid w:val="009004FE"/>
    <w:rsid w:val="009010F0"/>
    <w:rsid w:val="00901162"/>
    <w:rsid w:val="00901B53"/>
    <w:rsid w:val="0090223A"/>
    <w:rsid w:val="009028E2"/>
    <w:rsid w:val="00902AAB"/>
    <w:rsid w:val="00902EDD"/>
    <w:rsid w:val="009039FE"/>
    <w:rsid w:val="00903C0C"/>
    <w:rsid w:val="00903E9A"/>
    <w:rsid w:val="00904BFA"/>
    <w:rsid w:val="00905404"/>
    <w:rsid w:val="00906478"/>
    <w:rsid w:val="00906753"/>
    <w:rsid w:val="009069AF"/>
    <w:rsid w:val="00906F29"/>
    <w:rsid w:val="00907264"/>
    <w:rsid w:val="0090765F"/>
    <w:rsid w:val="00911305"/>
    <w:rsid w:val="00911B09"/>
    <w:rsid w:val="00912590"/>
    <w:rsid w:val="00913200"/>
    <w:rsid w:val="009138EB"/>
    <w:rsid w:val="00914EAB"/>
    <w:rsid w:val="009152D8"/>
    <w:rsid w:val="00915A1D"/>
    <w:rsid w:val="00915C3C"/>
    <w:rsid w:val="0091600C"/>
    <w:rsid w:val="00916830"/>
    <w:rsid w:val="00917FC5"/>
    <w:rsid w:val="0092071F"/>
    <w:rsid w:val="009211EF"/>
    <w:rsid w:val="00922042"/>
    <w:rsid w:val="00922567"/>
    <w:rsid w:val="009228DB"/>
    <w:rsid w:val="00922D49"/>
    <w:rsid w:val="00923353"/>
    <w:rsid w:val="009236B9"/>
    <w:rsid w:val="00923DE6"/>
    <w:rsid w:val="00925E37"/>
    <w:rsid w:val="00925EDD"/>
    <w:rsid w:val="00925F20"/>
    <w:rsid w:val="0092728A"/>
    <w:rsid w:val="00927899"/>
    <w:rsid w:val="00927D0E"/>
    <w:rsid w:val="00930067"/>
    <w:rsid w:val="009309DA"/>
    <w:rsid w:val="00931040"/>
    <w:rsid w:val="009311F7"/>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434"/>
    <w:rsid w:val="009419AE"/>
    <w:rsid w:val="00942286"/>
    <w:rsid w:val="00942B48"/>
    <w:rsid w:val="00942EFD"/>
    <w:rsid w:val="00943748"/>
    <w:rsid w:val="00943CEE"/>
    <w:rsid w:val="009444A0"/>
    <w:rsid w:val="009444F4"/>
    <w:rsid w:val="00944674"/>
    <w:rsid w:val="0094589B"/>
    <w:rsid w:val="00945CC4"/>
    <w:rsid w:val="00945CF5"/>
    <w:rsid w:val="0094691C"/>
    <w:rsid w:val="00946D19"/>
    <w:rsid w:val="00947254"/>
    <w:rsid w:val="00947C95"/>
    <w:rsid w:val="00947EED"/>
    <w:rsid w:val="00950029"/>
    <w:rsid w:val="009500A1"/>
    <w:rsid w:val="009502BC"/>
    <w:rsid w:val="0095037E"/>
    <w:rsid w:val="00950563"/>
    <w:rsid w:val="00950BD7"/>
    <w:rsid w:val="00951D97"/>
    <w:rsid w:val="00952230"/>
    <w:rsid w:val="00952743"/>
    <w:rsid w:val="00952AAD"/>
    <w:rsid w:val="00953167"/>
    <w:rsid w:val="00953B2B"/>
    <w:rsid w:val="00954567"/>
    <w:rsid w:val="009547B3"/>
    <w:rsid w:val="00954A89"/>
    <w:rsid w:val="00956671"/>
    <w:rsid w:val="009569B4"/>
    <w:rsid w:val="00957022"/>
    <w:rsid w:val="00957466"/>
    <w:rsid w:val="00957505"/>
    <w:rsid w:val="009576F7"/>
    <w:rsid w:val="00957EAF"/>
    <w:rsid w:val="009604A0"/>
    <w:rsid w:val="00960722"/>
    <w:rsid w:val="009611A4"/>
    <w:rsid w:val="00961356"/>
    <w:rsid w:val="00961BEC"/>
    <w:rsid w:val="009621D2"/>
    <w:rsid w:val="00962401"/>
    <w:rsid w:val="00962510"/>
    <w:rsid w:val="0096260B"/>
    <w:rsid w:val="0096275C"/>
    <w:rsid w:val="009627FF"/>
    <w:rsid w:val="00962A27"/>
    <w:rsid w:val="00962B9D"/>
    <w:rsid w:val="00962EDC"/>
    <w:rsid w:val="00964E3D"/>
    <w:rsid w:val="009664D5"/>
    <w:rsid w:val="009668A9"/>
    <w:rsid w:val="009670C1"/>
    <w:rsid w:val="00970C69"/>
    <w:rsid w:val="00971262"/>
    <w:rsid w:val="0097168F"/>
    <w:rsid w:val="00971F1C"/>
    <w:rsid w:val="0097211A"/>
    <w:rsid w:val="0097211D"/>
    <w:rsid w:val="009724F9"/>
    <w:rsid w:val="0097263C"/>
    <w:rsid w:val="00972DF9"/>
    <w:rsid w:val="00972E10"/>
    <w:rsid w:val="00972F24"/>
    <w:rsid w:val="009738AD"/>
    <w:rsid w:val="00973D11"/>
    <w:rsid w:val="00974694"/>
    <w:rsid w:val="009746CA"/>
    <w:rsid w:val="00974E7C"/>
    <w:rsid w:val="00977134"/>
    <w:rsid w:val="00980013"/>
    <w:rsid w:val="00980E65"/>
    <w:rsid w:val="0098122D"/>
    <w:rsid w:val="009813F4"/>
    <w:rsid w:val="00981963"/>
    <w:rsid w:val="009822E0"/>
    <w:rsid w:val="009831B9"/>
    <w:rsid w:val="00983A16"/>
    <w:rsid w:val="00983C82"/>
    <w:rsid w:val="00983F2A"/>
    <w:rsid w:val="009844D6"/>
    <w:rsid w:val="00984520"/>
    <w:rsid w:val="0098537C"/>
    <w:rsid w:val="0098545C"/>
    <w:rsid w:val="009862F1"/>
    <w:rsid w:val="009871EA"/>
    <w:rsid w:val="00990819"/>
    <w:rsid w:val="00991675"/>
    <w:rsid w:val="00991A59"/>
    <w:rsid w:val="00991E72"/>
    <w:rsid w:val="00992BA2"/>
    <w:rsid w:val="00992F83"/>
    <w:rsid w:val="0099344F"/>
    <w:rsid w:val="00993A3C"/>
    <w:rsid w:val="009943EE"/>
    <w:rsid w:val="0099508A"/>
    <w:rsid w:val="009974EB"/>
    <w:rsid w:val="00997A12"/>
    <w:rsid w:val="009A0C49"/>
    <w:rsid w:val="009A1126"/>
    <w:rsid w:val="009A232E"/>
    <w:rsid w:val="009A2393"/>
    <w:rsid w:val="009A2C8B"/>
    <w:rsid w:val="009A5564"/>
    <w:rsid w:val="009A5A85"/>
    <w:rsid w:val="009A6E62"/>
    <w:rsid w:val="009A6ECD"/>
    <w:rsid w:val="009A71B7"/>
    <w:rsid w:val="009A7469"/>
    <w:rsid w:val="009B07EE"/>
    <w:rsid w:val="009B1584"/>
    <w:rsid w:val="009B1B32"/>
    <w:rsid w:val="009B21CA"/>
    <w:rsid w:val="009B2648"/>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2C25"/>
    <w:rsid w:val="009C3238"/>
    <w:rsid w:val="009C36E6"/>
    <w:rsid w:val="009C3730"/>
    <w:rsid w:val="009C37BD"/>
    <w:rsid w:val="009C3888"/>
    <w:rsid w:val="009C3AAC"/>
    <w:rsid w:val="009C40DA"/>
    <w:rsid w:val="009C4D19"/>
    <w:rsid w:val="009C4E61"/>
    <w:rsid w:val="009C5F6C"/>
    <w:rsid w:val="009C5FDB"/>
    <w:rsid w:val="009C64A5"/>
    <w:rsid w:val="009C693E"/>
    <w:rsid w:val="009C6B2C"/>
    <w:rsid w:val="009C6ED6"/>
    <w:rsid w:val="009C702E"/>
    <w:rsid w:val="009C70CB"/>
    <w:rsid w:val="009C75E1"/>
    <w:rsid w:val="009C7623"/>
    <w:rsid w:val="009D0D7E"/>
    <w:rsid w:val="009D1492"/>
    <w:rsid w:val="009D14EB"/>
    <w:rsid w:val="009D160A"/>
    <w:rsid w:val="009D1B18"/>
    <w:rsid w:val="009D1E70"/>
    <w:rsid w:val="009D1EA4"/>
    <w:rsid w:val="009D206C"/>
    <w:rsid w:val="009D27AA"/>
    <w:rsid w:val="009D2BFD"/>
    <w:rsid w:val="009D2FF8"/>
    <w:rsid w:val="009D3F20"/>
    <w:rsid w:val="009D428F"/>
    <w:rsid w:val="009D4991"/>
    <w:rsid w:val="009D597B"/>
    <w:rsid w:val="009D5BB5"/>
    <w:rsid w:val="009D696D"/>
    <w:rsid w:val="009D6993"/>
    <w:rsid w:val="009D6ED2"/>
    <w:rsid w:val="009D715F"/>
    <w:rsid w:val="009D7DB4"/>
    <w:rsid w:val="009E08B3"/>
    <w:rsid w:val="009E0F1A"/>
    <w:rsid w:val="009E140D"/>
    <w:rsid w:val="009E27FA"/>
    <w:rsid w:val="009E43DD"/>
    <w:rsid w:val="009E4465"/>
    <w:rsid w:val="009E4C72"/>
    <w:rsid w:val="009E4CF2"/>
    <w:rsid w:val="009E5176"/>
    <w:rsid w:val="009E5318"/>
    <w:rsid w:val="009E6401"/>
    <w:rsid w:val="009E6C54"/>
    <w:rsid w:val="009F00D6"/>
    <w:rsid w:val="009F04C8"/>
    <w:rsid w:val="009F0812"/>
    <w:rsid w:val="009F0E02"/>
    <w:rsid w:val="009F248B"/>
    <w:rsid w:val="009F2A25"/>
    <w:rsid w:val="009F349C"/>
    <w:rsid w:val="009F3A1A"/>
    <w:rsid w:val="009F45DD"/>
    <w:rsid w:val="009F479E"/>
    <w:rsid w:val="009F4C7D"/>
    <w:rsid w:val="009F5235"/>
    <w:rsid w:val="009F531A"/>
    <w:rsid w:val="009F6344"/>
    <w:rsid w:val="009F6550"/>
    <w:rsid w:val="009F6B65"/>
    <w:rsid w:val="009F786E"/>
    <w:rsid w:val="009F7B30"/>
    <w:rsid w:val="00A00817"/>
    <w:rsid w:val="00A00902"/>
    <w:rsid w:val="00A0098B"/>
    <w:rsid w:val="00A011CA"/>
    <w:rsid w:val="00A01DE4"/>
    <w:rsid w:val="00A021AA"/>
    <w:rsid w:val="00A0294E"/>
    <w:rsid w:val="00A039FF"/>
    <w:rsid w:val="00A04524"/>
    <w:rsid w:val="00A046B6"/>
    <w:rsid w:val="00A05ACE"/>
    <w:rsid w:val="00A1027B"/>
    <w:rsid w:val="00A114B9"/>
    <w:rsid w:val="00A1211A"/>
    <w:rsid w:val="00A13A65"/>
    <w:rsid w:val="00A14589"/>
    <w:rsid w:val="00A14AE3"/>
    <w:rsid w:val="00A15059"/>
    <w:rsid w:val="00A153F1"/>
    <w:rsid w:val="00A159B1"/>
    <w:rsid w:val="00A15CD5"/>
    <w:rsid w:val="00A16675"/>
    <w:rsid w:val="00A179F6"/>
    <w:rsid w:val="00A20CBF"/>
    <w:rsid w:val="00A20FDF"/>
    <w:rsid w:val="00A2105B"/>
    <w:rsid w:val="00A21955"/>
    <w:rsid w:val="00A22CD6"/>
    <w:rsid w:val="00A234EC"/>
    <w:rsid w:val="00A24128"/>
    <w:rsid w:val="00A2417A"/>
    <w:rsid w:val="00A24431"/>
    <w:rsid w:val="00A25642"/>
    <w:rsid w:val="00A26668"/>
    <w:rsid w:val="00A2681F"/>
    <w:rsid w:val="00A26931"/>
    <w:rsid w:val="00A26BFD"/>
    <w:rsid w:val="00A2774D"/>
    <w:rsid w:val="00A27804"/>
    <w:rsid w:val="00A3276D"/>
    <w:rsid w:val="00A328C8"/>
    <w:rsid w:val="00A32D4D"/>
    <w:rsid w:val="00A334D1"/>
    <w:rsid w:val="00A34257"/>
    <w:rsid w:val="00A3655D"/>
    <w:rsid w:val="00A36822"/>
    <w:rsid w:val="00A36AB5"/>
    <w:rsid w:val="00A373FA"/>
    <w:rsid w:val="00A374FD"/>
    <w:rsid w:val="00A3754B"/>
    <w:rsid w:val="00A402DD"/>
    <w:rsid w:val="00A4069E"/>
    <w:rsid w:val="00A40BBF"/>
    <w:rsid w:val="00A40D4A"/>
    <w:rsid w:val="00A411D1"/>
    <w:rsid w:val="00A4279D"/>
    <w:rsid w:val="00A43389"/>
    <w:rsid w:val="00A434A7"/>
    <w:rsid w:val="00A43E71"/>
    <w:rsid w:val="00A44442"/>
    <w:rsid w:val="00A444FF"/>
    <w:rsid w:val="00A4526F"/>
    <w:rsid w:val="00A45753"/>
    <w:rsid w:val="00A457B8"/>
    <w:rsid w:val="00A46E47"/>
    <w:rsid w:val="00A473E8"/>
    <w:rsid w:val="00A47B15"/>
    <w:rsid w:val="00A5094A"/>
    <w:rsid w:val="00A51286"/>
    <w:rsid w:val="00A51708"/>
    <w:rsid w:val="00A52F84"/>
    <w:rsid w:val="00A533CC"/>
    <w:rsid w:val="00A53AB0"/>
    <w:rsid w:val="00A54086"/>
    <w:rsid w:val="00A54284"/>
    <w:rsid w:val="00A5465A"/>
    <w:rsid w:val="00A54FB5"/>
    <w:rsid w:val="00A554D5"/>
    <w:rsid w:val="00A56B05"/>
    <w:rsid w:val="00A56C06"/>
    <w:rsid w:val="00A56E50"/>
    <w:rsid w:val="00A57523"/>
    <w:rsid w:val="00A57678"/>
    <w:rsid w:val="00A57972"/>
    <w:rsid w:val="00A579F5"/>
    <w:rsid w:val="00A57CD7"/>
    <w:rsid w:val="00A57F83"/>
    <w:rsid w:val="00A6076E"/>
    <w:rsid w:val="00A60E2F"/>
    <w:rsid w:val="00A614D3"/>
    <w:rsid w:val="00A62510"/>
    <w:rsid w:val="00A627AD"/>
    <w:rsid w:val="00A62D6C"/>
    <w:rsid w:val="00A63246"/>
    <w:rsid w:val="00A63284"/>
    <w:rsid w:val="00A63458"/>
    <w:rsid w:val="00A6372D"/>
    <w:rsid w:val="00A63C04"/>
    <w:rsid w:val="00A64CB8"/>
    <w:rsid w:val="00A66065"/>
    <w:rsid w:val="00A66DFB"/>
    <w:rsid w:val="00A66EBF"/>
    <w:rsid w:val="00A67018"/>
    <w:rsid w:val="00A671D2"/>
    <w:rsid w:val="00A67289"/>
    <w:rsid w:val="00A672F3"/>
    <w:rsid w:val="00A673DC"/>
    <w:rsid w:val="00A675A4"/>
    <w:rsid w:val="00A678D4"/>
    <w:rsid w:val="00A67A31"/>
    <w:rsid w:val="00A67A7E"/>
    <w:rsid w:val="00A7076E"/>
    <w:rsid w:val="00A709BE"/>
    <w:rsid w:val="00A70D85"/>
    <w:rsid w:val="00A71000"/>
    <w:rsid w:val="00A7162E"/>
    <w:rsid w:val="00A7275F"/>
    <w:rsid w:val="00A72D71"/>
    <w:rsid w:val="00A73112"/>
    <w:rsid w:val="00A73617"/>
    <w:rsid w:val="00A7369D"/>
    <w:rsid w:val="00A747D2"/>
    <w:rsid w:val="00A74FD1"/>
    <w:rsid w:val="00A75123"/>
    <w:rsid w:val="00A75705"/>
    <w:rsid w:val="00A75F35"/>
    <w:rsid w:val="00A765A9"/>
    <w:rsid w:val="00A77BF3"/>
    <w:rsid w:val="00A77C69"/>
    <w:rsid w:val="00A80D3B"/>
    <w:rsid w:val="00A80F93"/>
    <w:rsid w:val="00A8103E"/>
    <w:rsid w:val="00A812B1"/>
    <w:rsid w:val="00A82C61"/>
    <w:rsid w:val="00A8301B"/>
    <w:rsid w:val="00A83049"/>
    <w:rsid w:val="00A83945"/>
    <w:rsid w:val="00A83953"/>
    <w:rsid w:val="00A83CD7"/>
    <w:rsid w:val="00A83D72"/>
    <w:rsid w:val="00A8400B"/>
    <w:rsid w:val="00A84132"/>
    <w:rsid w:val="00A8416A"/>
    <w:rsid w:val="00A846DA"/>
    <w:rsid w:val="00A8485B"/>
    <w:rsid w:val="00A853D5"/>
    <w:rsid w:val="00A853D8"/>
    <w:rsid w:val="00A8661E"/>
    <w:rsid w:val="00A8695A"/>
    <w:rsid w:val="00A86ACF"/>
    <w:rsid w:val="00A8708E"/>
    <w:rsid w:val="00A903B6"/>
    <w:rsid w:val="00A90F4F"/>
    <w:rsid w:val="00A92570"/>
    <w:rsid w:val="00A92579"/>
    <w:rsid w:val="00A936F9"/>
    <w:rsid w:val="00A94247"/>
    <w:rsid w:val="00A947AA"/>
    <w:rsid w:val="00A94888"/>
    <w:rsid w:val="00A94990"/>
    <w:rsid w:val="00A94DDB"/>
    <w:rsid w:val="00A9681C"/>
    <w:rsid w:val="00A96867"/>
    <w:rsid w:val="00A96B3D"/>
    <w:rsid w:val="00A97141"/>
    <w:rsid w:val="00A97820"/>
    <w:rsid w:val="00AA1733"/>
    <w:rsid w:val="00AA1A73"/>
    <w:rsid w:val="00AA1B53"/>
    <w:rsid w:val="00AA1DEA"/>
    <w:rsid w:val="00AA256D"/>
    <w:rsid w:val="00AA311D"/>
    <w:rsid w:val="00AA33BA"/>
    <w:rsid w:val="00AA3556"/>
    <w:rsid w:val="00AA35FD"/>
    <w:rsid w:val="00AA364F"/>
    <w:rsid w:val="00AA3DB7"/>
    <w:rsid w:val="00AA41D3"/>
    <w:rsid w:val="00AA469C"/>
    <w:rsid w:val="00AA47EA"/>
    <w:rsid w:val="00AA5F8B"/>
    <w:rsid w:val="00AA734A"/>
    <w:rsid w:val="00AB0039"/>
    <w:rsid w:val="00AB0D96"/>
    <w:rsid w:val="00AB15A3"/>
    <w:rsid w:val="00AB1647"/>
    <w:rsid w:val="00AB16AA"/>
    <w:rsid w:val="00AB177A"/>
    <w:rsid w:val="00AB216D"/>
    <w:rsid w:val="00AB2678"/>
    <w:rsid w:val="00AB3012"/>
    <w:rsid w:val="00AB321C"/>
    <w:rsid w:val="00AB473F"/>
    <w:rsid w:val="00AB4C91"/>
    <w:rsid w:val="00AB4E3B"/>
    <w:rsid w:val="00AB5381"/>
    <w:rsid w:val="00AB688F"/>
    <w:rsid w:val="00AB75EA"/>
    <w:rsid w:val="00AB7AA2"/>
    <w:rsid w:val="00AC0A22"/>
    <w:rsid w:val="00AC0B9A"/>
    <w:rsid w:val="00AC1515"/>
    <w:rsid w:val="00AC17A3"/>
    <w:rsid w:val="00AC1F41"/>
    <w:rsid w:val="00AC1F57"/>
    <w:rsid w:val="00AC2234"/>
    <w:rsid w:val="00AC26AA"/>
    <w:rsid w:val="00AC29B8"/>
    <w:rsid w:val="00AC3FF3"/>
    <w:rsid w:val="00AC4BC1"/>
    <w:rsid w:val="00AC50EC"/>
    <w:rsid w:val="00AC544A"/>
    <w:rsid w:val="00AC5715"/>
    <w:rsid w:val="00AC62CC"/>
    <w:rsid w:val="00AC7D8D"/>
    <w:rsid w:val="00AD04BD"/>
    <w:rsid w:val="00AD0765"/>
    <w:rsid w:val="00AD0F00"/>
    <w:rsid w:val="00AD1AD5"/>
    <w:rsid w:val="00AD4493"/>
    <w:rsid w:val="00AD55A8"/>
    <w:rsid w:val="00AD5625"/>
    <w:rsid w:val="00AD5A2E"/>
    <w:rsid w:val="00AD5CA4"/>
    <w:rsid w:val="00AD6A91"/>
    <w:rsid w:val="00AD6C2C"/>
    <w:rsid w:val="00AD7214"/>
    <w:rsid w:val="00AD73EC"/>
    <w:rsid w:val="00AE0211"/>
    <w:rsid w:val="00AE04DB"/>
    <w:rsid w:val="00AE0DA2"/>
    <w:rsid w:val="00AE0E09"/>
    <w:rsid w:val="00AE1066"/>
    <w:rsid w:val="00AE14DD"/>
    <w:rsid w:val="00AE2CB7"/>
    <w:rsid w:val="00AE2FA5"/>
    <w:rsid w:val="00AE30D0"/>
    <w:rsid w:val="00AE346F"/>
    <w:rsid w:val="00AE3A4F"/>
    <w:rsid w:val="00AE4518"/>
    <w:rsid w:val="00AE487A"/>
    <w:rsid w:val="00AE4C42"/>
    <w:rsid w:val="00AE50C5"/>
    <w:rsid w:val="00AE537D"/>
    <w:rsid w:val="00AE5D7F"/>
    <w:rsid w:val="00AE6F7D"/>
    <w:rsid w:val="00AE79EE"/>
    <w:rsid w:val="00AE79F0"/>
    <w:rsid w:val="00AF0386"/>
    <w:rsid w:val="00AF07B0"/>
    <w:rsid w:val="00AF0E5A"/>
    <w:rsid w:val="00AF109C"/>
    <w:rsid w:val="00AF1225"/>
    <w:rsid w:val="00AF1752"/>
    <w:rsid w:val="00AF42FC"/>
    <w:rsid w:val="00AF483E"/>
    <w:rsid w:val="00AF4AC5"/>
    <w:rsid w:val="00AF4C2C"/>
    <w:rsid w:val="00AF5143"/>
    <w:rsid w:val="00AF597D"/>
    <w:rsid w:val="00AF6D46"/>
    <w:rsid w:val="00AF6EC1"/>
    <w:rsid w:val="00AF7174"/>
    <w:rsid w:val="00AF784D"/>
    <w:rsid w:val="00AF7CE9"/>
    <w:rsid w:val="00AF7D1D"/>
    <w:rsid w:val="00B00331"/>
    <w:rsid w:val="00B00AAB"/>
    <w:rsid w:val="00B00C41"/>
    <w:rsid w:val="00B014A1"/>
    <w:rsid w:val="00B01A80"/>
    <w:rsid w:val="00B025B3"/>
    <w:rsid w:val="00B046AF"/>
    <w:rsid w:val="00B0509C"/>
    <w:rsid w:val="00B05262"/>
    <w:rsid w:val="00B05D23"/>
    <w:rsid w:val="00B06036"/>
    <w:rsid w:val="00B06B2D"/>
    <w:rsid w:val="00B07C27"/>
    <w:rsid w:val="00B07FB2"/>
    <w:rsid w:val="00B10017"/>
    <w:rsid w:val="00B1004A"/>
    <w:rsid w:val="00B101CE"/>
    <w:rsid w:val="00B1057D"/>
    <w:rsid w:val="00B10DE1"/>
    <w:rsid w:val="00B10FF8"/>
    <w:rsid w:val="00B11E02"/>
    <w:rsid w:val="00B12D3F"/>
    <w:rsid w:val="00B12F0D"/>
    <w:rsid w:val="00B137BC"/>
    <w:rsid w:val="00B13A85"/>
    <w:rsid w:val="00B13BC7"/>
    <w:rsid w:val="00B13CD4"/>
    <w:rsid w:val="00B153D8"/>
    <w:rsid w:val="00B154DE"/>
    <w:rsid w:val="00B15814"/>
    <w:rsid w:val="00B16B91"/>
    <w:rsid w:val="00B17B14"/>
    <w:rsid w:val="00B203C4"/>
    <w:rsid w:val="00B20863"/>
    <w:rsid w:val="00B20CDD"/>
    <w:rsid w:val="00B21E30"/>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71F2"/>
    <w:rsid w:val="00B30F3C"/>
    <w:rsid w:val="00B30F7D"/>
    <w:rsid w:val="00B31884"/>
    <w:rsid w:val="00B31D19"/>
    <w:rsid w:val="00B32396"/>
    <w:rsid w:val="00B323A0"/>
    <w:rsid w:val="00B32AB3"/>
    <w:rsid w:val="00B32DAE"/>
    <w:rsid w:val="00B331CA"/>
    <w:rsid w:val="00B3341F"/>
    <w:rsid w:val="00B33825"/>
    <w:rsid w:val="00B34BB2"/>
    <w:rsid w:val="00B34E7C"/>
    <w:rsid w:val="00B35AF6"/>
    <w:rsid w:val="00B36228"/>
    <w:rsid w:val="00B366A3"/>
    <w:rsid w:val="00B368EA"/>
    <w:rsid w:val="00B378A6"/>
    <w:rsid w:val="00B37EEF"/>
    <w:rsid w:val="00B4041F"/>
    <w:rsid w:val="00B418AD"/>
    <w:rsid w:val="00B4229C"/>
    <w:rsid w:val="00B42F1A"/>
    <w:rsid w:val="00B435E1"/>
    <w:rsid w:val="00B43790"/>
    <w:rsid w:val="00B4430B"/>
    <w:rsid w:val="00B443D9"/>
    <w:rsid w:val="00B44531"/>
    <w:rsid w:val="00B446AA"/>
    <w:rsid w:val="00B44BBB"/>
    <w:rsid w:val="00B45478"/>
    <w:rsid w:val="00B45C90"/>
    <w:rsid w:val="00B45D41"/>
    <w:rsid w:val="00B46587"/>
    <w:rsid w:val="00B467BC"/>
    <w:rsid w:val="00B46912"/>
    <w:rsid w:val="00B46CDD"/>
    <w:rsid w:val="00B47AD2"/>
    <w:rsid w:val="00B47CF7"/>
    <w:rsid w:val="00B50686"/>
    <w:rsid w:val="00B50B04"/>
    <w:rsid w:val="00B50C50"/>
    <w:rsid w:val="00B50D84"/>
    <w:rsid w:val="00B513C0"/>
    <w:rsid w:val="00B536C4"/>
    <w:rsid w:val="00B53708"/>
    <w:rsid w:val="00B53DCB"/>
    <w:rsid w:val="00B54184"/>
    <w:rsid w:val="00B5428F"/>
    <w:rsid w:val="00B54370"/>
    <w:rsid w:val="00B54A05"/>
    <w:rsid w:val="00B54DEA"/>
    <w:rsid w:val="00B55185"/>
    <w:rsid w:val="00B55C03"/>
    <w:rsid w:val="00B55F0B"/>
    <w:rsid w:val="00B56947"/>
    <w:rsid w:val="00B5695D"/>
    <w:rsid w:val="00B56976"/>
    <w:rsid w:val="00B56A70"/>
    <w:rsid w:val="00B56CF4"/>
    <w:rsid w:val="00B57646"/>
    <w:rsid w:val="00B57762"/>
    <w:rsid w:val="00B57FC2"/>
    <w:rsid w:val="00B60638"/>
    <w:rsid w:val="00B606F8"/>
    <w:rsid w:val="00B60A44"/>
    <w:rsid w:val="00B616D5"/>
    <w:rsid w:val="00B61923"/>
    <w:rsid w:val="00B621D6"/>
    <w:rsid w:val="00B63AF2"/>
    <w:rsid w:val="00B64F93"/>
    <w:rsid w:val="00B65747"/>
    <w:rsid w:val="00B65D6F"/>
    <w:rsid w:val="00B65FAD"/>
    <w:rsid w:val="00B66174"/>
    <w:rsid w:val="00B6719D"/>
    <w:rsid w:val="00B67B37"/>
    <w:rsid w:val="00B67C23"/>
    <w:rsid w:val="00B70132"/>
    <w:rsid w:val="00B7079B"/>
    <w:rsid w:val="00B70DC7"/>
    <w:rsid w:val="00B71622"/>
    <w:rsid w:val="00B721A4"/>
    <w:rsid w:val="00B72B5B"/>
    <w:rsid w:val="00B72EFF"/>
    <w:rsid w:val="00B73E2F"/>
    <w:rsid w:val="00B74A6F"/>
    <w:rsid w:val="00B750C2"/>
    <w:rsid w:val="00B756CB"/>
    <w:rsid w:val="00B75735"/>
    <w:rsid w:val="00B77142"/>
    <w:rsid w:val="00B8010E"/>
    <w:rsid w:val="00B802C3"/>
    <w:rsid w:val="00B80879"/>
    <w:rsid w:val="00B80A2C"/>
    <w:rsid w:val="00B80D3B"/>
    <w:rsid w:val="00B8135C"/>
    <w:rsid w:val="00B814BB"/>
    <w:rsid w:val="00B81547"/>
    <w:rsid w:val="00B81710"/>
    <w:rsid w:val="00B81730"/>
    <w:rsid w:val="00B81732"/>
    <w:rsid w:val="00B81F60"/>
    <w:rsid w:val="00B82123"/>
    <w:rsid w:val="00B823D4"/>
    <w:rsid w:val="00B8314A"/>
    <w:rsid w:val="00B83412"/>
    <w:rsid w:val="00B8382C"/>
    <w:rsid w:val="00B841AC"/>
    <w:rsid w:val="00B85873"/>
    <w:rsid w:val="00B85E95"/>
    <w:rsid w:val="00B86147"/>
    <w:rsid w:val="00B865B0"/>
    <w:rsid w:val="00B865DC"/>
    <w:rsid w:val="00B86779"/>
    <w:rsid w:val="00B870E8"/>
    <w:rsid w:val="00B875E3"/>
    <w:rsid w:val="00B8778A"/>
    <w:rsid w:val="00B87C29"/>
    <w:rsid w:val="00B90780"/>
    <w:rsid w:val="00B90968"/>
    <w:rsid w:val="00B91BC2"/>
    <w:rsid w:val="00B9240D"/>
    <w:rsid w:val="00B93CBD"/>
    <w:rsid w:val="00B943EF"/>
    <w:rsid w:val="00B94960"/>
    <w:rsid w:val="00B9543E"/>
    <w:rsid w:val="00B96F6E"/>
    <w:rsid w:val="00B979D4"/>
    <w:rsid w:val="00BA0FE8"/>
    <w:rsid w:val="00BA19C5"/>
    <w:rsid w:val="00BA22A8"/>
    <w:rsid w:val="00BA2608"/>
    <w:rsid w:val="00BA309F"/>
    <w:rsid w:val="00BA33A5"/>
    <w:rsid w:val="00BA3580"/>
    <w:rsid w:val="00BA3B8F"/>
    <w:rsid w:val="00BA3E48"/>
    <w:rsid w:val="00BA434F"/>
    <w:rsid w:val="00BA4905"/>
    <w:rsid w:val="00BA4BD3"/>
    <w:rsid w:val="00BA5C24"/>
    <w:rsid w:val="00BA60C6"/>
    <w:rsid w:val="00BA643D"/>
    <w:rsid w:val="00BA6E49"/>
    <w:rsid w:val="00BA7866"/>
    <w:rsid w:val="00BB0187"/>
    <w:rsid w:val="00BB0E56"/>
    <w:rsid w:val="00BB1EB3"/>
    <w:rsid w:val="00BB2678"/>
    <w:rsid w:val="00BB3077"/>
    <w:rsid w:val="00BB33A8"/>
    <w:rsid w:val="00BB3927"/>
    <w:rsid w:val="00BB3D8C"/>
    <w:rsid w:val="00BB4B39"/>
    <w:rsid w:val="00BB53AF"/>
    <w:rsid w:val="00BB5C26"/>
    <w:rsid w:val="00BB6591"/>
    <w:rsid w:val="00BB6A40"/>
    <w:rsid w:val="00BB734D"/>
    <w:rsid w:val="00BB7AF4"/>
    <w:rsid w:val="00BB7D1B"/>
    <w:rsid w:val="00BC013A"/>
    <w:rsid w:val="00BC0366"/>
    <w:rsid w:val="00BC162A"/>
    <w:rsid w:val="00BC2343"/>
    <w:rsid w:val="00BC2E1B"/>
    <w:rsid w:val="00BC407B"/>
    <w:rsid w:val="00BC5824"/>
    <w:rsid w:val="00BC6CC0"/>
    <w:rsid w:val="00BC702F"/>
    <w:rsid w:val="00BC7377"/>
    <w:rsid w:val="00BC75B8"/>
    <w:rsid w:val="00BD0ECF"/>
    <w:rsid w:val="00BD12D1"/>
    <w:rsid w:val="00BD2D67"/>
    <w:rsid w:val="00BD30C8"/>
    <w:rsid w:val="00BD3398"/>
    <w:rsid w:val="00BD3766"/>
    <w:rsid w:val="00BD38F4"/>
    <w:rsid w:val="00BD3EB4"/>
    <w:rsid w:val="00BD4C5B"/>
    <w:rsid w:val="00BD5359"/>
    <w:rsid w:val="00BD556E"/>
    <w:rsid w:val="00BD5C65"/>
    <w:rsid w:val="00BD721A"/>
    <w:rsid w:val="00BD7BCC"/>
    <w:rsid w:val="00BE0037"/>
    <w:rsid w:val="00BE1199"/>
    <w:rsid w:val="00BE158C"/>
    <w:rsid w:val="00BE16E9"/>
    <w:rsid w:val="00BE1A2B"/>
    <w:rsid w:val="00BE219C"/>
    <w:rsid w:val="00BE2730"/>
    <w:rsid w:val="00BE2A17"/>
    <w:rsid w:val="00BE2B11"/>
    <w:rsid w:val="00BE31BE"/>
    <w:rsid w:val="00BE3A1D"/>
    <w:rsid w:val="00BE3B92"/>
    <w:rsid w:val="00BE487E"/>
    <w:rsid w:val="00BE528E"/>
    <w:rsid w:val="00BE52C8"/>
    <w:rsid w:val="00BE6018"/>
    <w:rsid w:val="00BE68DB"/>
    <w:rsid w:val="00BE7086"/>
    <w:rsid w:val="00BE7142"/>
    <w:rsid w:val="00BE7278"/>
    <w:rsid w:val="00BF1F57"/>
    <w:rsid w:val="00BF20FD"/>
    <w:rsid w:val="00BF2239"/>
    <w:rsid w:val="00BF22C6"/>
    <w:rsid w:val="00BF25DE"/>
    <w:rsid w:val="00BF28E1"/>
    <w:rsid w:val="00BF34C2"/>
    <w:rsid w:val="00BF3804"/>
    <w:rsid w:val="00BF3B4E"/>
    <w:rsid w:val="00BF4086"/>
    <w:rsid w:val="00BF426C"/>
    <w:rsid w:val="00BF4594"/>
    <w:rsid w:val="00BF4E6B"/>
    <w:rsid w:val="00BF58D0"/>
    <w:rsid w:val="00BF6027"/>
    <w:rsid w:val="00BF63BC"/>
    <w:rsid w:val="00BF6702"/>
    <w:rsid w:val="00BF77DB"/>
    <w:rsid w:val="00BF7952"/>
    <w:rsid w:val="00BF7D6A"/>
    <w:rsid w:val="00C0021D"/>
    <w:rsid w:val="00C00300"/>
    <w:rsid w:val="00C00A6C"/>
    <w:rsid w:val="00C00B8B"/>
    <w:rsid w:val="00C013E1"/>
    <w:rsid w:val="00C01611"/>
    <w:rsid w:val="00C01772"/>
    <w:rsid w:val="00C023EE"/>
    <w:rsid w:val="00C0273E"/>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10086"/>
    <w:rsid w:val="00C104CC"/>
    <w:rsid w:val="00C10EE9"/>
    <w:rsid w:val="00C11521"/>
    <w:rsid w:val="00C139C3"/>
    <w:rsid w:val="00C142AD"/>
    <w:rsid w:val="00C142C1"/>
    <w:rsid w:val="00C14686"/>
    <w:rsid w:val="00C14A30"/>
    <w:rsid w:val="00C152FE"/>
    <w:rsid w:val="00C15D1B"/>
    <w:rsid w:val="00C16739"/>
    <w:rsid w:val="00C168DD"/>
    <w:rsid w:val="00C16A00"/>
    <w:rsid w:val="00C176CC"/>
    <w:rsid w:val="00C21031"/>
    <w:rsid w:val="00C221B9"/>
    <w:rsid w:val="00C225EA"/>
    <w:rsid w:val="00C22CCE"/>
    <w:rsid w:val="00C232BC"/>
    <w:rsid w:val="00C23BA2"/>
    <w:rsid w:val="00C246E3"/>
    <w:rsid w:val="00C2485F"/>
    <w:rsid w:val="00C248B1"/>
    <w:rsid w:val="00C24B63"/>
    <w:rsid w:val="00C251DD"/>
    <w:rsid w:val="00C262A0"/>
    <w:rsid w:val="00C26A4E"/>
    <w:rsid w:val="00C276EF"/>
    <w:rsid w:val="00C31190"/>
    <w:rsid w:val="00C31195"/>
    <w:rsid w:val="00C31774"/>
    <w:rsid w:val="00C3180E"/>
    <w:rsid w:val="00C31A2C"/>
    <w:rsid w:val="00C3214E"/>
    <w:rsid w:val="00C322C9"/>
    <w:rsid w:val="00C32AF2"/>
    <w:rsid w:val="00C33051"/>
    <w:rsid w:val="00C33204"/>
    <w:rsid w:val="00C338EB"/>
    <w:rsid w:val="00C33AD3"/>
    <w:rsid w:val="00C34389"/>
    <w:rsid w:val="00C3463C"/>
    <w:rsid w:val="00C3465D"/>
    <w:rsid w:val="00C347D5"/>
    <w:rsid w:val="00C34A42"/>
    <w:rsid w:val="00C35C57"/>
    <w:rsid w:val="00C36D89"/>
    <w:rsid w:val="00C379E9"/>
    <w:rsid w:val="00C401CC"/>
    <w:rsid w:val="00C403CD"/>
    <w:rsid w:val="00C40BE2"/>
    <w:rsid w:val="00C40ECA"/>
    <w:rsid w:val="00C42041"/>
    <w:rsid w:val="00C42BD9"/>
    <w:rsid w:val="00C43934"/>
    <w:rsid w:val="00C439FB"/>
    <w:rsid w:val="00C43AA8"/>
    <w:rsid w:val="00C43F23"/>
    <w:rsid w:val="00C441A4"/>
    <w:rsid w:val="00C452E1"/>
    <w:rsid w:val="00C45585"/>
    <w:rsid w:val="00C463C9"/>
    <w:rsid w:val="00C46B15"/>
    <w:rsid w:val="00C47648"/>
    <w:rsid w:val="00C47852"/>
    <w:rsid w:val="00C47931"/>
    <w:rsid w:val="00C47BB3"/>
    <w:rsid w:val="00C47F0C"/>
    <w:rsid w:val="00C50011"/>
    <w:rsid w:val="00C5254B"/>
    <w:rsid w:val="00C53104"/>
    <w:rsid w:val="00C53973"/>
    <w:rsid w:val="00C539F9"/>
    <w:rsid w:val="00C547AC"/>
    <w:rsid w:val="00C54B8F"/>
    <w:rsid w:val="00C54BB7"/>
    <w:rsid w:val="00C54E54"/>
    <w:rsid w:val="00C5569A"/>
    <w:rsid w:val="00C55D39"/>
    <w:rsid w:val="00C55FBF"/>
    <w:rsid w:val="00C56539"/>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14C7"/>
    <w:rsid w:val="00C7191D"/>
    <w:rsid w:val="00C71D18"/>
    <w:rsid w:val="00C72C6F"/>
    <w:rsid w:val="00C73C14"/>
    <w:rsid w:val="00C74171"/>
    <w:rsid w:val="00C74453"/>
    <w:rsid w:val="00C7473A"/>
    <w:rsid w:val="00C74996"/>
    <w:rsid w:val="00C75AB0"/>
    <w:rsid w:val="00C76166"/>
    <w:rsid w:val="00C76B7B"/>
    <w:rsid w:val="00C76BBD"/>
    <w:rsid w:val="00C76DE2"/>
    <w:rsid w:val="00C772BA"/>
    <w:rsid w:val="00C7748B"/>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50A3"/>
    <w:rsid w:val="00C856D0"/>
    <w:rsid w:val="00C85C32"/>
    <w:rsid w:val="00C85D4F"/>
    <w:rsid w:val="00C85F45"/>
    <w:rsid w:val="00C86C8C"/>
    <w:rsid w:val="00C8752B"/>
    <w:rsid w:val="00C87568"/>
    <w:rsid w:val="00C87E55"/>
    <w:rsid w:val="00C87FD0"/>
    <w:rsid w:val="00C90389"/>
    <w:rsid w:val="00C90DB6"/>
    <w:rsid w:val="00C92603"/>
    <w:rsid w:val="00C93177"/>
    <w:rsid w:val="00C93649"/>
    <w:rsid w:val="00C9394F"/>
    <w:rsid w:val="00C93B1A"/>
    <w:rsid w:val="00C94F05"/>
    <w:rsid w:val="00C9525B"/>
    <w:rsid w:val="00C95874"/>
    <w:rsid w:val="00C958B3"/>
    <w:rsid w:val="00C9611F"/>
    <w:rsid w:val="00C96495"/>
    <w:rsid w:val="00C96D24"/>
    <w:rsid w:val="00C96F5F"/>
    <w:rsid w:val="00C97055"/>
    <w:rsid w:val="00C97C0D"/>
    <w:rsid w:val="00CA14D1"/>
    <w:rsid w:val="00CA2B4F"/>
    <w:rsid w:val="00CA2DD7"/>
    <w:rsid w:val="00CA30C3"/>
    <w:rsid w:val="00CA5927"/>
    <w:rsid w:val="00CA635E"/>
    <w:rsid w:val="00CA6BB0"/>
    <w:rsid w:val="00CA70CE"/>
    <w:rsid w:val="00CA7164"/>
    <w:rsid w:val="00CA79EC"/>
    <w:rsid w:val="00CB002C"/>
    <w:rsid w:val="00CB138F"/>
    <w:rsid w:val="00CB18D6"/>
    <w:rsid w:val="00CB1E4B"/>
    <w:rsid w:val="00CB259F"/>
    <w:rsid w:val="00CB2670"/>
    <w:rsid w:val="00CB2DE9"/>
    <w:rsid w:val="00CB39C2"/>
    <w:rsid w:val="00CB45FC"/>
    <w:rsid w:val="00CB4C8C"/>
    <w:rsid w:val="00CB4E90"/>
    <w:rsid w:val="00CB56FC"/>
    <w:rsid w:val="00CB5850"/>
    <w:rsid w:val="00CB5C99"/>
    <w:rsid w:val="00CB633B"/>
    <w:rsid w:val="00CB6782"/>
    <w:rsid w:val="00CB6D13"/>
    <w:rsid w:val="00CB6E3E"/>
    <w:rsid w:val="00CB74AC"/>
    <w:rsid w:val="00CB785A"/>
    <w:rsid w:val="00CC080A"/>
    <w:rsid w:val="00CC0A2E"/>
    <w:rsid w:val="00CC0D0F"/>
    <w:rsid w:val="00CC1275"/>
    <w:rsid w:val="00CC12EE"/>
    <w:rsid w:val="00CC156B"/>
    <w:rsid w:val="00CC170E"/>
    <w:rsid w:val="00CC42B9"/>
    <w:rsid w:val="00CC45D2"/>
    <w:rsid w:val="00CC47CE"/>
    <w:rsid w:val="00CC4A8D"/>
    <w:rsid w:val="00CC4B18"/>
    <w:rsid w:val="00CC5767"/>
    <w:rsid w:val="00CC5D2F"/>
    <w:rsid w:val="00CC667C"/>
    <w:rsid w:val="00CC6881"/>
    <w:rsid w:val="00CC68CC"/>
    <w:rsid w:val="00CC6B3E"/>
    <w:rsid w:val="00CC701E"/>
    <w:rsid w:val="00CC7735"/>
    <w:rsid w:val="00CD0310"/>
    <w:rsid w:val="00CD158F"/>
    <w:rsid w:val="00CD268B"/>
    <w:rsid w:val="00CD2E48"/>
    <w:rsid w:val="00CD2E64"/>
    <w:rsid w:val="00CD4826"/>
    <w:rsid w:val="00CD4E19"/>
    <w:rsid w:val="00CD6219"/>
    <w:rsid w:val="00CD655C"/>
    <w:rsid w:val="00CD6BCA"/>
    <w:rsid w:val="00CD700F"/>
    <w:rsid w:val="00CD70EB"/>
    <w:rsid w:val="00CD7319"/>
    <w:rsid w:val="00CD7E19"/>
    <w:rsid w:val="00CE09CE"/>
    <w:rsid w:val="00CE0ED1"/>
    <w:rsid w:val="00CE148E"/>
    <w:rsid w:val="00CE208D"/>
    <w:rsid w:val="00CE2453"/>
    <w:rsid w:val="00CE326A"/>
    <w:rsid w:val="00CE356D"/>
    <w:rsid w:val="00CE3811"/>
    <w:rsid w:val="00CE3FA4"/>
    <w:rsid w:val="00CE44F8"/>
    <w:rsid w:val="00CE4AEB"/>
    <w:rsid w:val="00CE5277"/>
    <w:rsid w:val="00CE54F6"/>
    <w:rsid w:val="00CE5B4D"/>
    <w:rsid w:val="00CE6358"/>
    <w:rsid w:val="00CE6490"/>
    <w:rsid w:val="00CE6686"/>
    <w:rsid w:val="00CE6E12"/>
    <w:rsid w:val="00CE6E97"/>
    <w:rsid w:val="00CE77DA"/>
    <w:rsid w:val="00CE7868"/>
    <w:rsid w:val="00CE7968"/>
    <w:rsid w:val="00CE796C"/>
    <w:rsid w:val="00CF02F5"/>
    <w:rsid w:val="00CF0CE2"/>
    <w:rsid w:val="00CF0DB0"/>
    <w:rsid w:val="00CF0E8D"/>
    <w:rsid w:val="00CF11E6"/>
    <w:rsid w:val="00CF1B70"/>
    <w:rsid w:val="00CF1DD1"/>
    <w:rsid w:val="00CF2161"/>
    <w:rsid w:val="00CF2307"/>
    <w:rsid w:val="00CF26AE"/>
    <w:rsid w:val="00CF2D54"/>
    <w:rsid w:val="00CF2F9D"/>
    <w:rsid w:val="00CF311F"/>
    <w:rsid w:val="00CF3DE4"/>
    <w:rsid w:val="00CF5047"/>
    <w:rsid w:val="00CF618D"/>
    <w:rsid w:val="00CF70B1"/>
    <w:rsid w:val="00D00188"/>
    <w:rsid w:val="00D01344"/>
    <w:rsid w:val="00D01B90"/>
    <w:rsid w:val="00D01C0E"/>
    <w:rsid w:val="00D024CD"/>
    <w:rsid w:val="00D02F01"/>
    <w:rsid w:val="00D034DA"/>
    <w:rsid w:val="00D03538"/>
    <w:rsid w:val="00D0372D"/>
    <w:rsid w:val="00D0421D"/>
    <w:rsid w:val="00D04549"/>
    <w:rsid w:val="00D046FD"/>
    <w:rsid w:val="00D047F7"/>
    <w:rsid w:val="00D049B8"/>
    <w:rsid w:val="00D04C8A"/>
    <w:rsid w:val="00D04DB2"/>
    <w:rsid w:val="00D0516C"/>
    <w:rsid w:val="00D051AD"/>
    <w:rsid w:val="00D05B56"/>
    <w:rsid w:val="00D05C2F"/>
    <w:rsid w:val="00D05EE7"/>
    <w:rsid w:val="00D068D0"/>
    <w:rsid w:val="00D06FE0"/>
    <w:rsid w:val="00D07307"/>
    <w:rsid w:val="00D076A9"/>
    <w:rsid w:val="00D07754"/>
    <w:rsid w:val="00D078D1"/>
    <w:rsid w:val="00D105A4"/>
    <w:rsid w:val="00D10C4B"/>
    <w:rsid w:val="00D1293B"/>
    <w:rsid w:val="00D129A8"/>
    <w:rsid w:val="00D12BD4"/>
    <w:rsid w:val="00D12FB9"/>
    <w:rsid w:val="00D13431"/>
    <w:rsid w:val="00D135F2"/>
    <w:rsid w:val="00D138C3"/>
    <w:rsid w:val="00D13C61"/>
    <w:rsid w:val="00D13D00"/>
    <w:rsid w:val="00D14764"/>
    <w:rsid w:val="00D147C0"/>
    <w:rsid w:val="00D149D0"/>
    <w:rsid w:val="00D14CF5"/>
    <w:rsid w:val="00D15465"/>
    <w:rsid w:val="00D15696"/>
    <w:rsid w:val="00D15C51"/>
    <w:rsid w:val="00D15F8C"/>
    <w:rsid w:val="00D16436"/>
    <w:rsid w:val="00D166A2"/>
    <w:rsid w:val="00D16C68"/>
    <w:rsid w:val="00D16DEC"/>
    <w:rsid w:val="00D200BD"/>
    <w:rsid w:val="00D201AA"/>
    <w:rsid w:val="00D204A7"/>
    <w:rsid w:val="00D20AA5"/>
    <w:rsid w:val="00D21434"/>
    <w:rsid w:val="00D21507"/>
    <w:rsid w:val="00D21C0C"/>
    <w:rsid w:val="00D22399"/>
    <w:rsid w:val="00D23239"/>
    <w:rsid w:val="00D235B5"/>
    <w:rsid w:val="00D23ECF"/>
    <w:rsid w:val="00D24F39"/>
    <w:rsid w:val="00D2662C"/>
    <w:rsid w:val="00D27125"/>
    <w:rsid w:val="00D27BD3"/>
    <w:rsid w:val="00D27FA3"/>
    <w:rsid w:val="00D30711"/>
    <w:rsid w:val="00D316DE"/>
    <w:rsid w:val="00D3176C"/>
    <w:rsid w:val="00D31B3F"/>
    <w:rsid w:val="00D32392"/>
    <w:rsid w:val="00D326D8"/>
    <w:rsid w:val="00D33751"/>
    <w:rsid w:val="00D35D4A"/>
    <w:rsid w:val="00D35E07"/>
    <w:rsid w:val="00D36F6E"/>
    <w:rsid w:val="00D372B0"/>
    <w:rsid w:val="00D37343"/>
    <w:rsid w:val="00D3750E"/>
    <w:rsid w:val="00D40229"/>
    <w:rsid w:val="00D40B53"/>
    <w:rsid w:val="00D4188E"/>
    <w:rsid w:val="00D42034"/>
    <w:rsid w:val="00D4205E"/>
    <w:rsid w:val="00D432CA"/>
    <w:rsid w:val="00D44AAA"/>
    <w:rsid w:val="00D44EB8"/>
    <w:rsid w:val="00D45CFB"/>
    <w:rsid w:val="00D46DDB"/>
    <w:rsid w:val="00D47399"/>
    <w:rsid w:val="00D47BB2"/>
    <w:rsid w:val="00D47D04"/>
    <w:rsid w:val="00D5056A"/>
    <w:rsid w:val="00D510A0"/>
    <w:rsid w:val="00D522CB"/>
    <w:rsid w:val="00D527EE"/>
    <w:rsid w:val="00D529C4"/>
    <w:rsid w:val="00D53929"/>
    <w:rsid w:val="00D539D0"/>
    <w:rsid w:val="00D53F2B"/>
    <w:rsid w:val="00D540DC"/>
    <w:rsid w:val="00D542E2"/>
    <w:rsid w:val="00D54B68"/>
    <w:rsid w:val="00D55616"/>
    <w:rsid w:val="00D5574C"/>
    <w:rsid w:val="00D55992"/>
    <w:rsid w:val="00D55AD2"/>
    <w:rsid w:val="00D55DAC"/>
    <w:rsid w:val="00D56D68"/>
    <w:rsid w:val="00D56F09"/>
    <w:rsid w:val="00D57BDB"/>
    <w:rsid w:val="00D6153F"/>
    <w:rsid w:val="00D61982"/>
    <w:rsid w:val="00D61EA9"/>
    <w:rsid w:val="00D61EFF"/>
    <w:rsid w:val="00D622DF"/>
    <w:rsid w:val="00D62655"/>
    <w:rsid w:val="00D6267A"/>
    <w:rsid w:val="00D62998"/>
    <w:rsid w:val="00D647DE"/>
    <w:rsid w:val="00D64C54"/>
    <w:rsid w:val="00D6501F"/>
    <w:rsid w:val="00D6531B"/>
    <w:rsid w:val="00D65347"/>
    <w:rsid w:val="00D66B2B"/>
    <w:rsid w:val="00D67D12"/>
    <w:rsid w:val="00D701B8"/>
    <w:rsid w:val="00D705FF"/>
    <w:rsid w:val="00D70B0C"/>
    <w:rsid w:val="00D7145C"/>
    <w:rsid w:val="00D724BB"/>
    <w:rsid w:val="00D73146"/>
    <w:rsid w:val="00D735B5"/>
    <w:rsid w:val="00D73DA0"/>
    <w:rsid w:val="00D744BC"/>
    <w:rsid w:val="00D7585A"/>
    <w:rsid w:val="00D775AA"/>
    <w:rsid w:val="00D77C53"/>
    <w:rsid w:val="00D77E96"/>
    <w:rsid w:val="00D80618"/>
    <w:rsid w:val="00D8068C"/>
    <w:rsid w:val="00D807DF"/>
    <w:rsid w:val="00D82339"/>
    <w:rsid w:val="00D82466"/>
    <w:rsid w:val="00D82494"/>
    <w:rsid w:val="00D826E9"/>
    <w:rsid w:val="00D828AC"/>
    <w:rsid w:val="00D82FF2"/>
    <w:rsid w:val="00D833B4"/>
    <w:rsid w:val="00D83774"/>
    <w:rsid w:val="00D84162"/>
    <w:rsid w:val="00D84A4B"/>
    <w:rsid w:val="00D856EA"/>
    <w:rsid w:val="00D90A81"/>
    <w:rsid w:val="00D90B7D"/>
    <w:rsid w:val="00D90CC7"/>
    <w:rsid w:val="00D90DCE"/>
    <w:rsid w:val="00D913ED"/>
    <w:rsid w:val="00D92168"/>
    <w:rsid w:val="00D9231C"/>
    <w:rsid w:val="00D92356"/>
    <w:rsid w:val="00D928CC"/>
    <w:rsid w:val="00D92A5E"/>
    <w:rsid w:val="00D92EC6"/>
    <w:rsid w:val="00D931F2"/>
    <w:rsid w:val="00D935BD"/>
    <w:rsid w:val="00D940B5"/>
    <w:rsid w:val="00D9582D"/>
    <w:rsid w:val="00D95CB0"/>
    <w:rsid w:val="00D95EA9"/>
    <w:rsid w:val="00D9654F"/>
    <w:rsid w:val="00D966FE"/>
    <w:rsid w:val="00D977C0"/>
    <w:rsid w:val="00D97E14"/>
    <w:rsid w:val="00DA00A3"/>
    <w:rsid w:val="00DA03CF"/>
    <w:rsid w:val="00DA0BAC"/>
    <w:rsid w:val="00DA111A"/>
    <w:rsid w:val="00DA13F3"/>
    <w:rsid w:val="00DA222E"/>
    <w:rsid w:val="00DA2DE3"/>
    <w:rsid w:val="00DA3633"/>
    <w:rsid w:val="00DA3A6E"/>
    <w:rsid w:val="00DA400B"/>
    <w:rsid w:val="00DA6443"/>
    <w:rsid w:val="00DA64B3"/>
    <w:rsid w:val="00DA6B5E"/>
    <w:rsid w:val="00DA7146"/>
    <w:rsid w:val="00DA716A"/>
    <w:rsid w:val="00DA7A37"/>
    <w:rsid w:val="00DA7B82"/>
    <w:rsid w:val="00DB0640"/>
    <w:rsid w:val="00DB1169"/>
    <w:rsid w:val="00DB1F4F"/>
    <w:rsid w:val="00DB2CD0"/>
    <w:rsid w:val="00DB37EE"/>
    <w:rsid w:val="00DB3A5F"/>
    <w:rsid w:val="00DB401F"/>
    <w:rsid w:val="00DB4450"/>
    <w:rsid w:val="00DB48C2"/>
    <w:rsid w:val="00DB4EE7"/>
    <w:rsid w:val="00DB51BC"/>
    <w:rsid w:val="00DB521D"/>
    <w:rsid w:val="00DB5574"/>
    <w:rsid w:val="00DB5803"/>
    <w:rsid w:val="00DB5971"/>
    <w:rsid w:val="00DB5D51"/>
    <w:rsid w:val="00DB5F53"/>
    <w:rsid w:val="00DB6567"/>
    <w:rsid w:val="00DB76E4"/>
    <w:rsid w:val="00DB7B69"/>
    <w:rsid w:val="00DC0A2F"/>
    <w:rsid w:val="00DC0DBE"/>
    <w:rsid w:val="00DC16EC"/>
    <w:rsid w:val="00DC1A73"/>
    <w:rsid w:val="00DC223C"/>
    <w:rsid w:val="00DC234A"/>
    <w:rsid w:val="00DC41E4"/>
    <w:rsid w:val="00DC496E"/>
    <w:rsid w:val="00DC4A8B"/>
    <w:rsid w:val="00DC4AEC"/>
    <w:rsid w:val="00DC5116"/>
    <w:rsid w:val="00DC6544"/>
    <w:rsid w:val="00DC6B41"/>
    <w:rsid w:val="00DC6F0C"/>
    <w:rsid w:val="00DC791F"/>
    <w:rsid w:val="00DC7C77"/>
    <w:rsid w:val="00DC7FD5"/>
    <w:rsid w:val="00DD02FF"/>
    <w:rsid w:val="00DD1366"/>
    <w:rsid w:val="00DD15A1"/>
    <w:rsid w:val="00DD1C09"/>
    <w:rsid w:val="00DD24F9"/>
    <w:rsid w:val="00DD26AD"/>
    <w:rsid w:val="00DD26EC"/>
    <w:rsid w:val="00DD2A01"/>
    <w:rsid w:val="00DD2D41"/>
    <w:rsid w:val="00DD2DFB"/>
    <w:rsid w:val="00DD3604"/>
    <w:rsid w:val="00DD39C4"/>
    <w:rsid w:val="00DD3F4D"/>
    <w:rsid w:val="00DD6A41"/>
    <w:rsid w:val="00DD6F2E"/>
    <w:rsid w:val="00DD72E1"/>
    <w:rsid w:val="00DD7A1F"/>
    <w:rsid w:val="00DD7B16"/>
    <w:rsid w:val="00DD7EA2"/>
    <w:rsid w:val="00DE00F2"/>
    <w:rsid w:val="00DE117F"/>
    <w:rsid w:val="00DE1C7A"/>
    <w:rsid w:val="00DE2D17"/>
    <w:rsid w:val="00DE353C"/>
    <w:rsid w:val="00DE38D2"/>
    <w:rsid w:val="00DE39E2"/>
    <w:rsid w:val="00DE401C"/>
    <w:rsid w:val="00DE561B"/>
    <w:rsid w:val="00DE5954"/>
    <w:rsid w:val="00DE689F"/>
    <w:rsid w:val="00DE6E2F"/>
    <w:rsid w:val="00DE6F47"/>
    <w:rsid w:val="00DE7D13"/>
    <w:rsid w:val="00DE7E42"/>
    <w:rsid w:val="00DF030C"/>
    <w:rsid w:val="00DF1B8C"/>
    <w:rsid w:val="00DF1EAE"/>
    <w:rsid w:val="00DF22B4"/>
    <w:rsid w:val="00DF274B"/>
    <w:rsid w:val="00DF287B"/>
    <w:rsid w:val="00DF3816"/>
    <w:rsid w:val="00DF3818"/>
    <w:rsid w:val="00DF3F94"/>
    <w:rsid w:val="00DF4369"/>
    <w:rsid w:val="00DF4C20"/>
    <w:rsid w:val="00DF557F"/>
    <w:rsid w:val="00DF5970"/>
    <w:rsid w:val="00DF5B14"/>
    <w:rsid w:val="00DF63FA"/>
    <w:rsid w:val="00DF66E2"/>
    <w:rsid w:val="00DF70BE"/>
    <w:rsid w:val="00E001FD"/>
    <w:rsid w:val="00E00A1C"/>
    <w:rsid w:val="00E00D60"/>
    <w:rsid w:val="00E012CC"/>
    <w:rsid w:val="00E0147A"/>
    <w:rsid w:val="00E01953"/>
    <w:rsid w:val="00E01CCC"/>
    <w:rsid w:val="00E0220A"/>
    <w:rsid w:val="00E0220E"/>
    <w:rsid w:val="00E02751"/>
    <w:rsid w:val="00E02961"/>
    <w:rsid w:val="00E02A1E"/>
    <w:rsid w:val="00E02B71"/>
    <w:rsid w:val="00E02DEB"/>
    <w:rsid w:val="00E03370"/>
    <w:rsid w:val="00E03999"/>
    <w:rsid w:val="00E0399E"/>
    <w:rsid w:val="00E03E78"/>
    <w:rsid w:val="00E042A1"/>
    <w:rsid w:val="00E05CA4"/>
    <w:rsid w:val="00E05E82"/>
    <w:rsid w:val="00E069E3"/>
    <w:rsid w:val="00E07016"/>
    <w:rsid w:val="00E07425"/>
    <w:rsid w:val="00E1043E"/>
    <w:rsid w:val="00E104FA"/>
    <w:rsid w:val="00E1082A"/>
    <w:rsid w:val="00E10956"/>
    <w:rsid w:val="00E10B68"/>
    <w:rsid w:val="00E110B5"/>
    <w:rsid w:val="00E11166"/>
    <w:rsid w:val="00E11B12"/>
    <w:rsid w:val="00E12818"/>
    <w:rsid w:val="00E12887"/>
    <w:rsid w:val="00E12D39"/>
    <w:rsid w:val="00E13182"/>
    <w:rsid w:val="00E14523"/>
    <w:rsid w:val="00E14972"/>
    <w:rsid w:val="00E14CB9"/>
    <w:rsid w:val="00E151F2"/>
    <w:rsid w:val="00E15383"/>
    <w:rsid w:val="00E15C82"/>
    <w:rsid w:val="00E166F8"/>
    <w:rsid w:val="00E1738C"/>
    <w:rsid w:val="00E17797"/>
    <w:rsid w:val="00E201C0"/>
    <w:rsid w:val="00E20560"/>
    <w:rsid w:val="00E21ABD"/>
    <w:rsid w:val="00E2223E"/>
    <w:rsid w:val="00E22775"/>
    <w:rsid w:val="00E22D28"/>
    <w:rsid w:val="00E22F81"/>
    <w:rsid w:val="00E22F87"/>
    <w:rsid w:val="00E230E3"/>
    <w:rsid w:val="00E235AE"/>
    <w:rsid w:val="00E23C97"/>
    <w:rsid w:val="00E23FF3"/>
    <w:rsid w:val="00E24727"/>
    <w:rsid w:val="00E24D5F"/>
    <w:rsid w:val="00E25043"/>
    <w:rsid w:val="00E255F2"/>
    <w:rsid w:val="00E265A7"/>
    <w:rsid w:val="00E26FC5"/>
    <w:rsid w:val="00E27B80"/>
    <w:rsid w:val="00E30EDF"/>
    <w:rsid w:val="00E31B43"/>
    <w:rsid w:val="00E31FBA"/>
    <w:rsid w:val="00E3245D"/>
    <w:rsid w:val="00E33513"/>
    <w:rsid w:val="00E33A4F"/>
    <w:rsid w:val="00E33A8F"/>
    <w:rsid w:val="00E33F3E"/>
    <w:rsid w:val="00E341E5"/>
    <w:rsid w:val="00E34315"/>
    <w:rsid w:val="00E350D6"/>
    <w:rsid w:val="00E35A77"/>
    <w:rsid w:val="00E35D52"/>
    <w:rsid w:val="00E35FBC"/>
    <w:rsid w:val="00E3612E"/>
    <w:rsid w:val="00E36AAE"/>
    <w:rsid w:val="00E37198"/>
    <w:rsid w:val="00E3774C"/>
    <w:rsid w:val="00E41313"/>
    <w:rsid w:val="00E41773"/>
    <w:rsid w:val="00E41ACD"/>
    <w:rsid w:val="00E423D7"/>
    <w:rsid w:val="00E42FE6"/>
    <w:rsid w:val="00E43BB4"/>
    <w:rsid w:val="00E44171"/>
    <w:rsid w:val="00E44352"/>
    <w:rsid w:val="00E44D25"/>
    <w:rsid w:val="00E44E78"/>
    <w:rsid w:val="00E4544A"/>
    <w:rsid w:val="00E460B6"/>
    <w:rsid w:val="00E4631E"/>
    <w:rsid w:val="00E46BD2"/>
    <w:rsid w:val="00E46BE2"/>
    <w:rsid w:val="00E473D4"/>
    <w:rsid w:val="00E47461"/>
    <w:rsid w:val="00E474CF"/>
    <w:rsid w:val="00E47639"/>
    <w:rsid w:val="00E513F6"/>
    <w:rsid w:val="00E518C5"/>
    <w:rsid w:val="00E51EC6"/>
    <w:rsid w:val="00E52F3B"/>
    <w:rsid w:val="00E52F80"/>
    <w:rsid w:val="00E53CFC"/>
    <w:rsid w:val="00E53D94"/>
    <w:rsid w:val="00E53DEA"/>
    <w:rsid w:val="00E53E25"/>
    <w:rsid w:val="00E53FF5"/>
    <w:rsid w:val="00E5416E"/>
    <w:rsid w:val="00E5424B"/>
    <w:rsid w:val="00E544BA"/>
    <w:rsid w:val="00E55AE0"/>
    <w:rsid w:val="00E55B64"/>
    <w:rsid w:val="00E60700"/>
    <w:rsid w:val="00E609DE"/>
    <w:rsid w:val="00E616DB"/>
    <w:rsid w:val="00E61C71"/>
    <w:rsid w:val="00E62442"/>
    <w:rsid w:val="00E627A4"/>
    <w:rsid w:val="00E630ED"/>
    <w:rsid w:val="00E6437C"/>
    <w:rsid w:val="00E65237"/>
    <w:rsid w:val="00E67862"/>
    <w:rsid w:val="00E70ACF"/>
    <w:rsid w:val="00E70C81"/>
    <w:rsid w:val="00E70D46"/>
    <w:rsid w:val="00E712A9"/>
    <w:rsid w:val="00E713BC"/>
    <w:rsid w:val="00E72444"/>
    <w:rsid w:val="00E72515"/>
    <w:rsid w:val="00E738C2"/>
    <w:rsid w:val="00E7410F"/>
    <w:rsid w:val="00E74CA7"/>
    <w:rsid w:val="00E74EC5"/>
    <w:rsid w:val="00E75161"/>
    <w:rsid w:val="00E764D5"/>
    <w:rsid w:val="00E76B86"/>
    <w:rsid w:val="00E773F4"/>
    <w:rsid w:val="00E8000D"/>
    <w:rsid w:val="00E800AE"/>
    <w:rsid w:val="00E809F3"/>
    <w:rsid w:val="00E80C21"/>
    <w:rsid w:val="00E820BD"/>
    <w:rsid w:val="00E8227B"/>
    <w:rsid w:val="00E82FC7"/>
    <w:rsid w:val="00E8342F"/>
    <w:rsid w:val="00E836F6"/>
    <w:rsid w:val="00E84210"/>
    <w:rsid w:val="00E844CD"/>
    <w:rsid w:val="00E84503"/>
    <w:rsid w:val="00E847A7"/>
    <w:rsid w:val="00E84FE5"/>
    <w:rsid w:val="00E85249"/>
    <w:rsid w:val="00E85CA1"/>
    <w:rsid w:val="00E85F5A"/>
    <w:rsid w:val="00E86682"/>
    <w:rsid w:val="00E86E79"/>
    <w:rsid w:val="00E906B4"/>
    <w:rsid w:val="00E9095B"/>
    <w:rsid w:val="00E9145E"/>
    <w:rsid w:val="00E91B24"/>
    <w:rsid w:val="00E91B2B"/>
    <w:rsid w:val="00E926B8"/>
    <w:rsid w:val="00E927BF"/>
    <w:rsid w:val="00E93513"/>
    <w:rsid w:val="00E936DA"/>
    <w:rsid w:val="00E9399B"/>
    <w:rsid w:val="00E939A7"/>
    <w:rsid w:val="00E94008"/>
    <w:rsid w:val="00E94762"/>
    <w:rsid w:val="00E9490D"/>
    <w:rsid w:val="00E94BDB"/>
    <w:rsid w:val="00E95208"/>
    <w:rsid w:val="00E956BA"/>
    <w:rsid w:val="00E96157"/>
    <w:rsid w:val="00E96B52"/>
    <w:rsid w:val="00E97216"/>
    <w:rsid w:val="00E97523"/>
    <w:rsid w:val="00EA0018"/>
    <w:rsid w:val="00EA05BD"/>
    <w:rsid w:val="00EA08BE"/>
    <w:rsid w:val="00EA0A85"/>
    <w:rsid w:val="00EA14B0"/>
    <w:rsid w:val="00EA2244"/>
    <w:rsid w:val="00EA2E18"/>
    <w:rsid w:val="00EA3A02"/>
    <w:rsid w:val="00EA4DDC"/>
    <w:rsid w:val="00EA53F6"/>
    <w:rsid w:val="00EA6FA7"/>
    <w:rsid w:val="00EB067F"/>
    <w:rsid w:val="00EB17BE"/>
    <w:rsid w:val="00EB1A1B"/>
    <w:rsid w:val="00EB1F02"/>
    <w:rsid w:val="00EB2E64"/>
    <w:rsid w:val="00EB2FEF"/>
    <w:rsid w:val="00EB30D0"/>
    <w:rsid w:val="00EB3290"/>
    <w:rsid w:val="00EB4ED4"/>
    <w:rsid w:val="00EB5BC5"/>
    <w:rsid w:val="00EB5E43"/>
    <w:rsid w:val="00EB5E9E"/>
    <w:rsid w:val="00EB6212"/>
    <w:rsid w:val="00EB6BB5"/>
    <w:rsid w:val="00EB6E30"/>
    <w:rsid w:val="00EB7371"/>
    <w:rsid w:val="00EB73BC"/>
    <w:rsid w:val="00EB7618"/>
    <w:rsid w:val="00EB7B51"/>
    <w:rsid w:val="00EB7F93"/>
    <w:rsid w:val="00EC086C"/>
    <w:rsid w:val="00EC1720"/>
    <w:rsid w:val="00EC2429"/>
    <w:rsid w:val="00EC2DB7"/>
    <w:rsid w:val="00EC32D2"/>
    <w:rsid w:val="00EC337D"/>
    <w:rsid w:val="00EC3ED1"/>
    <w:rsid w:val="00EC421C"/>
    <w:rsid w:val="00EC42D0"/>
    <w:rsid w:val="00EC590A"/>
    <w:rsid w:val="00EC638F"/>
    <w:rsid w:val="00EC68D5"/>
    <w:rsid w:val="00EC7927"/>
    <w:rsid w:val="00ED095E"/>
    <w:rsid w:val="00ED1A0B"/>
    <w:rsid w:val="00ED27DD"/>
    <w:rsid w:val="00ED2997"/>
    <w:rsid w:val="00ED2F4D"/>
    <w:rsid w:val="00ED2F5B"/>
    <w:rsid w:val="00ED5162"/>
    <w:rsid w:val="00ED563A"/>
    <w:rsid w:val="00ED697C"/>
    <w:rsid w:val="00ED7848"/>
    <w:rsid w:val="00ED7C27"/>
    <w:rsid w:val="00ED7FB7"/>
    <w:rsid w:val="00EE06CA"/>
    <w:rsid w:val="00EE1E0C"/>
    <w:rsid w:val="00EE43AD"/>
    <w:rsid w:val="00EE4874"/>
    <w:rsid w:val="00EE48D6"/>
    <w:rsid w:val="00EE4A6E"/>
    <w:rsid w:val="00EE4BAB"/>
    <w:rsid w:val="00EE4C71"/>
    <w:rsid w:val="00EE4D3B"/>
    <w:rsid w:val="00EE63A7"/>
    <w:rsid w:val="00EE7922"/>
    <w:rsid w:val="00EE79A6"/>
    <w:rsid w:val="00EE79B8"/>
    <w:rsid w:val="00EF11DF"/>
    <w:rsid w:val="00EF130D"/>
    <w:rsid w:val="00EF1356"/>
    <w:rsid w:val="00EF18DA"/>
    <w:rsid w:val="00EF2856"/>
    <w:rsid w:val="00EF30E0"/>
    <w:rsid w:val="00EF3D05"/>
    <w:rsid w:val="00EF42CF"/>
    <w:rsid w:val="00EF51C4"/>
    <w:rsid w:val="00EF5403"/>
    <w:rsid w:val="00EF567D"/>
    <w:rsid w:val="00EF5F11"/>
    <w:rsid w:val="00EF6111"/>
    <w:rsid w:val="00EF6B58"/>
    <w:rsid w:val="00EF7B93"/>
    <w:rsid w:val="00F005A0"/>
    <w:rsid w:val="00F01835"/>
    <w:rsid w:val="00F01DE9"/>
    <w:rsid w:val="00F0229D"/>
    <w:rsid w:val="00F02B1B"/>
    <w:rsid w:val="00F032BB"/>
    <w:rsid w:val="00F032C8"/>
    <w:rsid w:val="00F03567"/>
    <w:rsid w:val="00F03DD3"/>
    <w:rsid w:val="00F04BBE"/>
    <w:rsid w:val="00F0633D"/>
    <w:rsid w:val="00F06616"/>
    <w:rsid w:val="00F068BF"/>
    <w:rsid w:val="00F07002"/>
    <w:rsid w:val="00F07485"/>
    <w:rsid w:val="00F07B4F"/>
    <w:rsid w:val="00F10BC6"/>
    <w:rsid w:val="00F11352"/>
    <w:rsid w:val="00F11AD0"/>
    <w:rsid w:val="00F12313"/>
    <w:rsid w:val="00F1279E"/>
    <w:rsid w:val="00F12D32"/>
    <w:rsid w:val="00F12E67"/>
    <w:rsid w:val="00F13D34"/>
    <w:rsid w:val="00F14308"/>
    <w:rsid w:val="00F14602"/>
    <w:rsid w:val="00F14763"/>
    <w:rsid w:val="00F1498D"/>
    <w:rsid w:val="00F14DDF"/>
    <w:rsid w:val="00F152AD"/>
    <w:rsid w:val="00F15BA3"/>
    <w:rsid w:val="00F15D52"/>
    <w:rsid w:val="00F165B7"/>
    <w:rsid w:val="00F16F88"/>
    <w:rsid w:val="00F17561"/>
    <w:rsid w:val="00F17B8D"/>
    <w:rsid w:val="00F2048F"/>
    <w:rsid w:val="00F20C9C"/>
    <w:rsid w:val="00F21708"/>
    <w:rsid w:val="00F21827"/>
    <w:rsid w:val="00F21A00"/>
    <w:rsid w:val="00F21D28"/>
    <w:rsid w:val="00F226F1"/>
    <w:rsid w:val="00F2285F"/>
    <w:rsid w:val="00F23155"/>
    <w:rsid w:val="00F231C3"/>
    <w:rsid w:val="00F235BB"/>
    <w:rsid w:val="00F23B66"/>
    <w:rsid w:val="00F23BA7"/>
    <w:rsid w:val="00F23EE4"/>
    <w:rsid w:val="00F24236"/>
    <w:rsid w:val="00F24E0E"/>
    <w:rsid w:val="00F25111"/>
    <w:rsid w:val="00F25707"/>
    <w:rsid w:val="00F26693"/>
    <w:rsid w:val="00F26A13"/>
    <w:rsid w:val="00F27C59"/>
    <w:rsid w:val="00F27D3B"/>
    <w:rsid w:val="00F31261"/>
    <w:rsid w:val="00F31BB3"/>
    <w:rsid w:val="00F31C67"/>
    <w:rsid w:val="00F320B1"/>
    <w:rsid w:val="00F323C3"/>
    <w:rsid w:val="00F3263C"/>
    <w:rsid w:val="00F32A15"/>
    <w:rsid w:val="00F32EE6"/>
    <w:rsid w:val="00F32F3C"/>
    <w:rsid w:val="00F339EC"/>
    <w:rsid w:val="00F3443B"/>
    <w:rsid w:val="00F34FDD"/>
    <w:rsid w:val="00F35279"/>
    <w:rsid w:val="00F3560A"/>
    <w:rsid w:val="00F35F1A"/>
    <w:rsid w:val="00F36130"/>
    <w:rsid w:val="00F3625F"/>
    <w:rsid w:val="00F36278"/>
    <w:rsid w:val="00F3644F"/>
    <w:rsid w:val="00F36B71"/>
    <w:rsid w:val="00F373AE"/>
    <w:rsid w:val="00F37B81"/>
    <w:rsid w:val="00F4032F"/>
    <w:rsid w:val="00F40360"/>
    <w:rsid w:val="00F40444"/>
    <w:rsid w:val="00F40CE6"/>
    <w:rsid w:val="00F413F2"/>
    <w:rsid w:val="00F41B59"/>
    <w:rsid w:val="00F42099"/>
    <w:rsid w:val="00F423BD"/>
    <w:rsid w:val="00F425DE"/>
    <w:rsid w:val="00F4299A"/>
    <w:rsid w:val="00F42E1D"/>
    <w:rsid w:val="00F431C5"/>
    <w:rsid w:val="00F432FF"/>
    <w:rsid w:val="00F43DA6"/>
    <w:rsid w:val="00F456D2"/>
    <w:rsid w:val="00F45B08"/>
    <w:rsid w:val="00F46163"/>
    <w:rsid w:val="00F46431"/>
    <w:rsid w:val="00F469AD"/>
    <w:rsid w:val="00F4715C"/>
    <w:rsid w:val="00F47C9F"/>
    <w:rsid w:val="00F50CE8"/>
    <w:rsid w:val="00F51361"/>
    <w:rsid w:val="00F5197A"/>
    <w:rsid w:val="00F52330"/>
    <w:rsid w:val="00F525CE"/>
    <w:rsid w:val="00F5277F"/>
    <w:rsid w:val="00F54603"/>
    <w:rsid w:val="00F54772"/>
    <w:rsid w:val="00F54869"/>
    <w:rsid w:val="00F54B32"/>
    <w:rsid w:val="00F556B2"/>
    <w:rsid w:val="00F55ABD"/>
    <w:rsid w:val="00F565E8"/>
    <w:rsid w:val="00F56CB4"/>
    <w:rsid w:val="00F573C7"/>
    <w:rsid w:val="00F5754B"/>
    <w:rsid w:val="00F576DE"/>
    <w:rsid w:val="00F57747"/>
    <w:rsid w:val="00F578BC"/>
    <w:rsid w:val="00F60702"/>
    <w:rsid w:val="00F61266"/>
    <w:rsid w:val="00F633F1"/>
    <w:rsid w:val="00F63BF7"/>
    <w:rsid w:val="00F64537"/>
    <w:rsid w:val="00F6453E"/>
    <w:rsid w:val="00F65215"/>
    <w:rsid w:val="00F655AA"/>
    <w:rsid w:val="00F65617"/>
    <w:rsid w:val="00F6572B"/>
    <w:rsid w:val="00F65844"/>
    <w:rsid w:val="00F659AA"/>
    <w:rsid w:val="00F65A88"/>
    <w:rsid w:val="00F6611E"/>
    <w:rsid w:val="00F66494"/>
    <w:rsid w:val="00F66BEB"/>
    <w:rsid w:val="00F66ECF"/>
    <w:rsid w:val="00F700B9"/>
    <w:rsid w:val="00F7011F"/>
    <w:rsid w:val="00F710BE"/>
    <w:rsid w:val="00F712C1"/>
    <w:rsid w:val="00F72016"/>
    <w:rsid w:val="00F72C43"/>
    <w:rsid w:val="00F72DAD"/>
    <w:rsid w:val="00F736D2"/>
    <w:rsid w:val="00F754D4"/>
    <w:rsid w:val="00F75519"/>
    <w:rsid w:val="00F7564C"/>
    <w:rsid w:val="00F76220"/>
    <w:rsid w:val="00F76651"/>
    <w:rsid w:val="00F769BE"/>
    <w:rsid w:val="00F7735C"/>
    <w:rsid w:val="00F774FD"/>
    <w:rsid w:val="00F77BD5"/>
    <w:rsid w:val="00F77EDF"/>
    <w:rsid w:val="00F81CBB"/>
    <w:rsid w:val="00F82E6B"/>
    <w:rsid w:val="00F83644"/>
    <w:rsid w:val="00F83662"/>
    <w:rsid w:val="00F838C0"/>
    <w:rsid w:val="00F83B5E"/>
    <w:rsid w:val="00F85F83"/>
    <w:rsid w:val="00F876FB"/>
    <w:rsid w:val="00F90852"/>
    <w:rsid w:val="00F90FC8"/>
    <w:rsid w:val="00F91049"/>
    <w:rsid w:val="00F91081"/>
    <w:rsid w:val="00F9109B"/>
    <w:rsid w:val="00F912FD"/>
    <w:rsid w:val="00F91D43"/>
    <w:rsid w:val="00F92331"/>
    <w:rsid w:val="00F9367F"/>
    <w:rsid w:val="00F93AF6"/>
    <w:rsid w:val="00F94AAF"/>
    <w:rsid w:val="00F95411"/>
    <w:rsid w:val="00F9619C"/>
    <w:rsid w:val="00F96339"/>
    <w:rsid w:val="00F97859"/>
    <w:rsid w:val="00F97973"/>
    <w:rsid w:val="00F97B71"/>
    <w:rsid w:val="00F97E35"/>
    <w:rsid w:val="00FA06A3"/>
    <w:rsid w:val="00FA0ED2"/>
    <w:rsid w:val="00FA2CFC"/>
    <w:rsid w:val="00FA2DDA"/>
    <w:rsid w:val="00FA34CA"/>
    <w:rsid w:val="00FA3BA7"/>
    <w:rsid w:val="00FA3E3E"/>
    <w:rsid w:val="00FA4A55"/>
    <w:rsid w:val="00FA4C66"/>
    <w:rsid w:val="00FA4D4F"/>
    <w:rsid w:val="00FA54E8"/>
    <w:rsid w:val="00FA5FE8"/>
    <w:rsid w:val="00FA668B"/>
    <w:rsid w:val="00FA67CF"/>
    <w:rsid w:val="00FA6B9A"/>
    <w:rsid w:val="00FA7699"/>
    <w:rsid w:val="00FA7E5F"/>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A03"/>
    <w:rsid w:val="00FC1CA5"/>
    <w:rsid w:val="00FC1D8E"/>
    <w:rsid w:val="00FC24AF"/>
    <w:rsid w:val="00FC2733"/>
    <w:rsid w:val="00FC2979"/>
    <w:rsid w:val="00FC2B25"/>
    <w:rsid w:val="00FC37BD"/>
    <w:rsid w:val="00FC3F0B"/>
    <w:rsid w:val="00FC5041"/>
    <w:rsid w:val="00FC619F"/>
    <w:rsid w:val="00FC649E"/>
    <w:rsid w:val="00FC6CDA"/>
    <w:rsid w:val="00FC6D6C"/>
    <w:rsid w:val="00FC764F"/>
    <w:rsid w:val="00FD0D45"/>
    <w:rsid w:val="00FD108C"/>
    <w:rsid w:val="00FD1163"/>
    <w:rsid w:val="00FD1176"/>
    <w:rsid w:val="00FD137B"/>
    <w:rsid w:val="00FD1BEF"/>
    <w:rsid w:val="00FD1C3C"/>
    <w:rsid w:val="00FD1E4F"/>
    <w:rsid w:val="00FD24F6"/>
    <w:rsid w:val="00FD2DB1"/>
    <w:rsid w:val="00FD38A8"/>
    <w:rsid w:val="00FD48C3"/>
    <w:rsid w:val="00FD5348"/>
    <w:rsid w:val="00FD5AF7"/>
    <w:rsid w:val="00FD6AC8"/>
    <w:rsid w:val="00FE06DF"/>
    <w:rsid w:val="00FE0A6C"/>
    <w:rsid w:val="00FE1385"/>
    <w:rsid w:val="00FE1727"/>
    <w:rsid w:val="00FE1738"/>
    <w:rsid w:val="00FE20CA"/>
    <w:rsid w:val="00FE2BA4"/>
    <w:rsid w:val="00FE3638"/>
    <w:rsid w:val="00FE3720"/>
    <w:rsid w:val="00FE3EA1"/>
    <w:rsid w:val="00FE4196"/>
    <w:rsid w:val="00FE4535"/>
    <w:rsid w:val="00FE4818"/>
    <w:rsid w:val="00FE4CA4"/>
    <w:rsid w:val="00FE50FE"/>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3334"/>
    <w:rsid w:val="00FF450B"/>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909F0E7-87AD-4AFA-900C-7D29488B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B70132"/>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D39C4"/>
    <w:pPr>
      <w:tabs>
        <w:tab w:val="left" w:pos="420"/>
        <w:tab w:val="right" w:leader="dot" w:pos="9072"/>
      </w:tabs>
      <w:spacing w:before="29" w:line="288" w:lineRule="auto"/>
    </w:pPr>
    <w:rPr>
      <w:b/>
    </w:rPr>
  </w:style>
  <w:style w:type="paragraph" w:styleId="32">
    <w:name w:val="toc 3"/>
    <w:basedOn w:val="a"/>
    <w:next w:val="a"/>
    <w:autoRedefine/>
    <w:uiPriority w:val="39"/>
    <w:qFormat/>
    <w:rsid w:val="00B70132"/>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character" w:styleId="af8">
    <w:name w:val="Strong"/>
    <w:basedOn w:val="a1"/>
    <w:uiPriority w:val="22"/>
    <w:qFormat/>
    <w:locked/>
    <w:rsid w:val="000041E0"/>
    <w:rPr>
      <w:b/>
      <w:bCs/>
    </w:rPr>
  </w:style>
  <w:style w:type="paragraph" w:styleId="40">
    <w:name w:val="toc 4"/>
    <w:basedOn w:val="a"/>
    <w:next w:val="a"/>
    <w:autoRedefine/>
    <w:uiPriority w:val="39"/>
    <w:unhideWhenUsed/>
    <w:rsid w:val="00CF0E8D"/>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CF0E8D"/>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CF0E8D"/>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CF0E8D"/>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CF0E8D"/>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CF0E8D"/>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55811545">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43877909">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D79AE-F5A2-4B2E-846F-0DC9976FD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724</TotalTime>
  <Pages>65</Pages>
  <Words>8199</Words>
  <Characters>46735</Characters>
  <Application>Microsoft Office Word</Application>
  <DocSecurity>0</DocSecurity>
  <Lines>389</Lines>
  <Paragraphs>109</Paragraphs>
  <ScaleCrop>false</ScaleCrop>
  <Company/>
  <LinksUpToDate>false</LinksUpToDate>
  <CharactersWithSpaces>54825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1049</cp:revision>
  <cp:lastPrinted>2007-07-19T00:46:00Z</cp:lastPrinted>
  <dcterms:created xsi:type="dcterms:W3CDTF">2013-08-08T02:33:00Z</dcterms:created>
  <dcterms:modified xsi:type="dcterms:W3CDTF">2017-03-27T12:55:00Z</dcterms:modified>
</cp:coreProperties>
</file>