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704" w:rsidRPr="00A95203" w:rsidRDefault="00536704" w:rsidP="00536704">
      <w:pPr>
        <w:spacing w:line="360" w:lineRule="auto"/>
        <w:ind w:firstLineChars="200" w:firstLine="480"/>
        <w:rPr>
          <w:b/>
          <w:sz w:val="24"/>
        </w:rPr>
      </w:pPr>
      <w:r w:rsidRPr="00A95203">
        <w:rPr>
          <w:sz w:val="24"/>
        </w:rPr>
        <w:t>1</w:t>
      </w:r>
      <w:r w:rsidRPr="00A95203">
        <w:rPr>
          <w:sz w:val="24"/>
        </w:rPr>
        <w:t>、每笔基金转换视为一笔赎回和一笔申购，基金转换费用相应由转出基金的赎回费用及转出、转入基金的申购补差费用构成。</w:t>
      </w:r>
    </w:p>
    <w:p w:rsidR="00536704" w:rsidRPr="00A95203" w:rsidRDefault="00536704" w:rsidP="00536704">
      <w:pPr>
        <w:spacing w:line="360" w:lineRule="auto"/>
        <w:ind w:firstLineChars="200" w:firstLine="480"/>
        <w:rPr>
          <w:sz w:val="24"/>
        </w:rPr>
      </w:pPr>
      <w:r w:rsidRPr="00A95203">
        <w:rPr>
          <w:sz w:val="24"/>
        </w:rPr>
        <w:t>2</w:t>
      </w:r>
      <w:r w:rsidRPr="00A95203">
        <w:rPr>
          <w:sz w:val="24"/>
        </w:rPr>
        <w:t>、转出基金的赎回费用</w:t>
      </w:r>
    </w:p>
    <w:p w:rsidR="00536704" w:rsidRPr="00A95203" w:rsidRDefault="00BE45AF" w:rsidP="001E3377">
      <w:pPr>
        <w:pStyle w:val="af2"/>
        <w:spacing w:line="360" w:lineRule="auto"/>
        <w:ind w:rightChars="-85" w:right="-178" w:firstLineChars="200" w:firstLine="480"/>
        <w:rPr>
          <w:sz w:val="24"/>
        </w:rPr>
      </w:pPr>
      <w:bookmarkStart w:id="0" w:name="OLE_LINK19"/>
      <w:bookmarkStart w:id="1" w:name="OLE_LINK16"/>
      <w:r w:rsidRPr="00A95203">
        <w:rPr>
          <w:sz w:val="24"/>
        </w:rPr>
        <w:t>（</w:t>
      </w:r>
      <w:r w:rsidRPr="00A95203">
        <w:rPr>
          <w:sz w:val="24"/>
        </w:rPr>
        <w:t>1</w:t>
      </w:r>
      <w:r w:rsidRPr="00A95203">
        <w:rPr>
          <w:sz w:val="24"/>
        </w:rPr>
        <w:t>）</w:t>
      </w:r>
      <w:r w:rsidR="0044505C" w:rsidRPr="00A95203">
        <w:rPr>
          <w:sz w:val="24"/>
        </w:rPr>
        <w:t>转出基金的赎回费用按照各基金最新的更新招募说明书及相关公告规定的赎回费率和计费方式收取</w:t>
      </w:r>
      <w:r w:rsidR="00536704" w:rsidRPr="00A95203">
        <w:rPr>
          <w:sz w:val="24"/>
        </w:rPr>
        <w:t>，赎回费用的</w:t>
      </w:r>
      <w:r w:rsidR="00536704" w:rsidRPr="00A95203">
        <w:rPr>
          <w:sz w:val="24"/>
        </w:rPr>
        <w:t>25%</w:t>
      </w:r>
      <w:r w:rsidR="00536704" w:rsidRPr="00A95203">
        <w:rPr>
          <w:sz w:val="24"/>
        </w:rPr>
        <w:t>归入基金财产</w:t>
      </w:r>
      <w:r w:rsidRPr="00A95203">
        <w:rPr>
          <w:sz w:val="24"/>
        </w:rPr>
        <w:t>（交银新成长</w:t>
      </w:r>
      <w:r w:rsidR="008E0202" w:rsidRPr="00A95203">
        <w:rPr>
          <w:sz w:val="24"/>
        </w:rPr>
        <w:t>、交银新回报</w:t>
      </w:r>
      <w:r w:rsidR="00F1122A" w:rsidRPr="00A95203">
        <w:rPr>
          <w:kern w:val="0"/>
          <w:sz w:val="22"/>
          <w:szCs w:val="22"/>
        </w:rPr>
        <w:t>A</w:t>
      </w:r>
      <w:r w:rsidR="00F1122A" w:rsidRPr="00A95203">
        <w:rPr>
          <w:kern w:val="0"/>
          <w:sz w:val="22"/>
          <w:szCs w:val="22"/>
        </w:rPr>
        <w:t>类</w:t>
      </w:r>
      <w:r w:rsidR="00F1122A">
        <w:rPr>
          <w:rFonts w:hint="eastAsia"/>
          <w:kern w:val="0"/>
          <w:sz w:val="22"/>
          <w:szCs w:val="22"/>
        </w:rPr>
        <w:t>基金份额</w:t>
      </w:r>
      <w:r w:rsidR="008E0202" w:rsidRPr="00A95203">
        <w:rPr>
          <w:sz w:val="24"/>
        </w:rPr>
        <w:t>、交银多策略回报</w:t>
      </w:r>
      <w:r w:rsidR="00F1122A" w:rsidRPr="00A95203">
        <w:rPr>
          <w:kern w:val="0"/>
          <w:sz w:val="22"/>
          <w:szCs w:val="22"/>
        </w:rPr>
        <w:t>A</w:t>
      </w:r>
      <w:r w:rsidR="00F1122A" w:rsidRPr="00A95203">
        <w:rPr>
          <w:kern w:val="0"/>
          <w:sz w:val="22"/>
          <w:szCs w:val="22"/>
        </w:rPr>
        <w:t>类</w:t>
      </w:r>
      <w:r w:rsidR="00F1122A">
        <w:rPr>
          <w:rFonts w:hint="eastAsia"/>
          <w:kern w:val="0"/>
          <w:sz w:val="22"/>
          <w:szCs w:val="22"/>
        </w:rPr>
        <w:t>基金份额</w:t>
      </w:r>
      <w:r w:rsidR="00BC54B9" w:rsidRPr="00A95203">
        <w:rPr>
          <w:sz w:val="24"/>
        </w:rPr>
        <w:t>、交银消费新驱动</w:t>
      </w:r>
      <w:r w:rsidR="007F780E" w:rsidRPr="00A95203">
        <w:rPr>
          <w:sz w:val="24"/>
        </w:rPr>
        <w:t>、交银国企改革</w:t>
      </w:r>
      <w:r w:rsidR="00281216" w:rsidRPr="00A95203">
        <w:rPr>
          <w:sz w:val="24"/>
        </w:rPr>
        <w:t>、交银荣和保本</w:t>
      </w:r>
      <w:r w:rsidR="00C75A65">
        <w:rPr>
          <w:rFonts w:hint="eastAsia"/>
          <w:sz w:val="24"/>
        </w:rPr>
        <w:t>、交银科技创新</w:t>
      </w:r>
      <w:r w:rsidR="00D14546">
        <w:rPr>
          <w:rFonts w:hint="eastAsia"/>
          <w:sz w:val="24"/>
        </w:rPr>
        <w:t>、交银数据产业</w:t>
      </w:r>
      <w:r w:rsidR="001B543A">
        <w:rPr>
          <w:rFonts w:hint="eastAsia"/>
          <w:sz w:val="24"/>
        </w:rPr>
        <w:t>、交银经济新动力</w:t>
      </w:r>
      <w:r w:rsidRPr="00A95203">
        <w:rPr>
          <w:sz w:val="24"/>
        </w:rPr>
        <w:t>除外）</w:t>
      </w:r>
      <w:r w:rsidR="00536704" w:rsidRPr="00A95203">
        <w:rPr>
          <w:sz w:val="24"/>
        </w:rPr>
        <w:t>，其余部分用于支付注册登记费等相关手续费</w:t>
      </w:r>
      <w:r w:rsidR="001E3377" w:rsidRPr="00A95203">
        <w:rPr>
          <w:sz w:val="24"/>
        </w:rPr>
        <w:t>。</w:t>
      </w:r>
      <w:r w:rsidR="00536704" w:rsidRPr="00A95203">
        <w:rPr>
          <w:sz w:val="24"/>
        </w:rPr>
        <w:t>赎回费率具体如下：</w:t>
      </w:r>
    </w:p>
    <w:tbl>
      <w:tblPr>
        <w:tblW w:w="0" w:type="auto"/>
        <w:tblCellSpacing w:w="0" w:type="dxa"/>
        <w:tblBorders>
          <w:top w:val="single" w:sz="2" w:space="0" w:color="7F7F7F"/>
          <w:left w:val="single" w:sz="2" w:space="0" w:color="7F7F7F"/>
          <w:bottom w:val="single" w:sz="2" w:space="0" w:color="7F7F7F"/>
          <w:right w:val="single" w:sz="2" w:space="0" w:color="7F7F7F"/>
          <w:insideH w:val="single" w:sz="6" w:space="0" w:color="7F7F7F"/>
          <w:insideV w:val="single" w:sz="6" w:space="0" w:color="7F7F7F"/>
        </w:tblBorders>
        <w:tblLayout w:type="fixed"/>
        <w:tblCellMar>
          <w:left w:w="0" w:type="dxa"/>
          <w:right w:w="0" w:type="dxa"/>
        </w:tblCellMar>
        <w:tblLook w:val="04A0"/>
      </w:tblPr>
      <w:tblGrid>
        <w:gridCol w:w="3941"/>
        <w:gridCol w:w="2683"/>
        <w:gridCol w:w="1677"/>
      </w:tblGrid>
      <w:tr w:rsidR="00536704" w:rsidRPr="00A95203" w:rsidTr="00D7547A">
        <w:trPr>
          <w:tblCellSpacing w:w="0" w:type="dxa"/>
        </w:trPr>
        <w:tc>
          <w:tcPr>
            <w:tcW w:w="3941" w:type="dxa"/>
            <w:tcBorders>
              <w:top w:val="single" w:sz="6" w:space="0" w:color="7F7F7F"/>
              <w:left w:val="single" w:sz="6" w:space="0" w:color="7F7F7F"/>
              <w:bottom w:val="single" w:sz="6" w:space="0" w:color="7F7F7F"/>
              <w:right w:val="single" w:sz="6" w:space="0" w:color="7F7F7F"/>
            </w:tcBorders>
            <w:vAlign w:val="center"/>
            <w:hideMark/>
          </w:tcPr>
          <w:p w:rsidR="00536704" w:rsidRPr="00A95203" w:rsidRDefault="00536704" w:rsidP="00B46B47">
            <w:pPr>
              <w:widowControl/>
              <w:tabs>
                <w:tab w:val="left" w:pos="420"/>
              </w:tabs>
              <w:spacing w:before="100" w:beforeAutospacing="1" w:after="100" w:afterAutospacing="1"/>
              <w:jc w:val="center"/>
              <w:rPr>
                <w:kern w:val="0"/>
                <w:sz w:val="22"/>
                <w:szCs w:val="22"/>
              </w:rPr>
            </w:pPr>
            <w:r w:rsidRPr="00A95203">
              <w:rPr>
                <w:b/>
                <w:bCs/>
                <w:kern w:val="0"/>
                <w:sz w:val="22"/>
              </w:rPr>
              <w:t>转出基金</w:t>
            </w:r>
          </w:p>
        </w:tc>
        <w:tc>
          <w:tcPr>
            <w:tcW w:w="2683" w:type="dxa"/>
            <w:tcBorders>
              <w:top w:val="single" w:sz="6" w:space="0" w:color="7F7F7F"/>
              <w:left w:val="single" w:sz="6" w:space="0" w:color="7F7F7F"/>
              <w:bottom w:val="single" w:sz="6" w:space="0" w:color="7F7F7F"/>
              <w:right w:val="single" w:sz="6" w:space="0" w:color="7F7F7F"/>
            </w:tcBorders>
            <w:vAlign w:val="center"/>
            <w:hideMark/>
          </w:tcPr>
          <w:p w:rsidR="00536704" w:rsidRPr="00A95203" w:rsidRDefault="00536704" w:rsidP="00B46B47">
            <w:pPr>
              <w:widowControl/>
              <w:tabs>
                <w:tab w:val="left" w:pos="420"/>
              </w:tabs>
              <w:spacing w:before="100" w:beforeAutospacing="1" w:after="100" w:afterAutospacing="1"/>
              <w:jc w:val="center"/>
              <w:rPr>
                <w:kern w:val="0"/>
                <w:sz w:val="22"/>
                <w:szCs w:val="22"/>
              </w:rPr>
            </w:pPr>
            <w:r w:rsidRPr="00A95203">
              <w:rPr>
                <w:b/>
                <w:bCs/>
                <w:kern w:val="0"/>
                <w:sz w:val="22"/>
              </w:rPr>
              <w:t>转出份额持有时间</w:t>
            </w:r>
          </w:p>
        </w:tc>
        <w:tc>
          <w:tcPr>
            <w:tcW w:w="1677" w:type="dxa"/>
            <w:tcBorders>
              <w:top w:val="single" w:sz="6" w:space="0" w:color="7F7F7F"/>
              <w:left w:val="single" w:sz="6" w:space="0" w:color="7F7F7F"/>
              <w:bottom w:val="single" w:sz="6" w:space="0" w:color="7F7F7F"/>
              <w:right w:val="single" w:sz="6" w:space="0" w:color="7F7F7F"/>
            </w:tcBorders>
            <w:vAlign w:val="center"/>
            <w:hideMark/>
          </w:tcPr>
          <w:p w:rsidR="00536704" w:rsidRPr="00A95203" w:rsidRDefault="00536704" w:rsidP="00B46B47">
            <w:pPr>
              <w:widowControl/>
              <w:tabs>
                <w:tab w:val="left" w:pos="420"/>
              </w:tabs>
              <w:spacing w:before="100" w:beforeAutospacing="1" w:after="100" w:afterAutospacing="1"/>
              <w:jc w:val="center"/>
              <w:rPr>
                <w:kern w:val="0"/>
                <w:sz w:val="22"/>
                <w:szCs w:val="22"/>
              </w:rPr>
            </w:pPr>
            <w:r w:rsidRPr="00A95203">
              <w:rPr>
                <w:b/>
                <w:bCs/>
                <w:kern w:val="0"/>
                <w:sz w:val="22"/>
              </w:rPr>
              <w:t>赎回费率</w:t>
            </w:r>
          </w:p>
        </w:tc>
      </w:tr>
      <w:tr w:rsidR="00B73642" w:rsidRPr="00A95203" w:rsidTr="00563075">
        <w:trPr>
          <w:tblCellSpacing w:w="0" w:type="dxa"/>
        </w:trPr>
        <w:tc>
          <w:tcPr>
            <w:tcW w:w="3941" w:type="dxa"/>
            <w:vMerge w:val="restart"/>
            <w:tcBorders>
              <w:top w:val="single" w:sz="6" w:space="0" w:color="7F7F7F"/>
              <w:left w:val="single" w:sz="6" w:space="0" w:color="7F7F7F"/>
              <w:right w:val="single" w:sz="6" w:space="0" w:color="7F7F7F"/>
            </w:tcBorders>
            <w:vAlign w:val="center"/>
            <w:hideMark/>
          </w:tcPr>
          <w:p w:rsidR="00B73642" w:rsidRPr="00A95203" w:rsidRDefault="00B73642" w:rsidP="00D7547A">
            <w:pPr>
              <w:tabs>
                <w:tab w:val="left" w:pos="420"/>
              </w:tabs>
              <w:spacing w:before="100" w:beforeAutospacing="1" w:after="100" w:afterAutospacing="1"/>
              <w:jc w:val="left"/>
              <w:rPr>
                <w:kern w:val="0"/>
                <w:sz w:val="22"/>
                <w:szCs w:val="22"/>
              </w:rPr>
            </w:pPr>
            <w:r w:rsidRPr="00A95203">
              <w:rPr>
                <w:kern w:val="0"/>
                <w:sz w:val="22"/>
                <w:szCs w:val="22"/>
              </w:rPr>
              <w:t>交银荣祥保本</w:t>
            </w:r>
          </w:p>
        </w:tc>
        <w:tc>
          <w:tcPr>
            <w:tcW w:w="2683" w:type="dxa"/>
            <w:tcBorders>
              <w:top w:val="single" w:sz="6" w:space="0" w:color="7F7F7F"/>
              <w:left w:val="single" w:sz="6" w:space="0" w:color="7F7F7F"/>
              <w:bottom w:val="single" w:sz="6" w:space="0" w:color="7F7F7F"/>
              <w:right w:val="single" w:sz="6" w:space="0" w:color="7F7F7F"/>
            </w:tcBorders>
            <w:vAlign w:val="center"/>
            <w:hideMark/>
          </w:tcPr>
          <w:p w:rsidR="00B73642" w:rsidRPr="00A95203" w:rsidRDefault="00B73642" w:rsidP="00D7547A">
            <w:pPr>
              <w:widowControl/>
              <w:tabs>
                <w:tab w:val="left" w:pos="420"/>
              </w:tabs>
              <w:spacing w:before="100" w:beforeAutospacing="1" w:after="100" w:afterAutospacing="1"/>
              <w:jc w:val="center"/>
              <w:rPr>
                <w:kern w:val="0"/>
                <w:sz w:val="22"/>
                <w:szCs w:val="22"/>
              </w:rPr>
            </w:pPr>
            <w:r w:rsidRPr="00A95203">
              <w:rPr>
                <w:kern w:val="0"/>
                <w:sz w:val="22"/>
                <w:szCs w:val="22"/>
              </w:rPr>
              <w:t>1</w:t>
            </w:r>
            <w:r w:rsidRPr="00A95203">
              <w:rPr>
                <w:kern w:val="0"/>
                <w:sz w:val="22"/>
                <w:szCs w:val="22"/>
              </w:rPr>
              <w:t>年以内（含）</w:t>
            </w:r>
          </w:p>
        </w:tc>
        <w:tc>
          <w:tcPr>
            <w:tcW w:w="1677" w:type="dxa"/>
            <w:tcBorders>
              <w:top w:val="single" w:sz="6" w:space="0" w:color="7F7F7F"/>
              <w:left w:val="single" w:sz="6" w:space="0" w:color="7F7F7F"/>
              <w:bottom w:val="single" w:sz="6" w:space="0" w:color="7F7F7F"/>
              <w:right w:val="single" w:sz="6" w:space="0" w:color="7F7F7F"/>
            </w:tcBorders>
            <w:vAlign w:val="center"/>
            <w:hideMark/>
          </w:tcPr>
          <w:p w:rsidR="00B73642" w:rsidRPr="00A95203" w:rsidRDefault="00B73642" w:rsidP="00D7547A">
            <w:pPr>
              <w:widowControl/>
              <w:tabs>
                <w:tab w:val="left" w:pos="420"/>
              </w:tabs>
              <w:spacing w:before="100" w:beforeAutospacing="1" w:after="100" w:afterAutospacing="1"/>
              <w:jc w:val="center"/>
              <w:rPr>
                <w:kern w:val="0"/>
                <w:sz w:val="22"/>
                <w:szCs w:val="22"/>
              </w:rPr>
            </w:pPr>
            <w:r w:rsidRPr="00A95203">
              <w:rPr>
                <w:kern w:val="0"/>
                <w:sz w:val="22"/>
                <w:szCs w:val="22"/>
              </w:rPr>
              <w:t>1.8%</w:t>
            </w:r>
          </w:p>
        </w:tc>
      </w:tr>
      <w:tr w:rsidR="00B73642" w:rsidRPr="00A95203" w:rsidTr="00563075">
        <w:trPr>
          <w:tblCellSpacing w:w="0" w:type="dxa"/>
        </w:trPr>
        <w:tc>
          <w:tcPr>
            <w:tcW w:w="3941" w:type="dxa"/>
            <w:vMerge/>
            <w:tcBorders>
              <w:left w:val="single" w:sz="6" w:space="0" w:color="7F7F7F"/>
              <w:right w:val="single" w:sz="6" w:space="0" w:color="7F7F7F"/>
            </w:tcBorders>
            <w:vAlign w:val="center"/>
            <w:hideMark/>
          </w:tcPr>
          <w:p w:rsidR="00B73642" w:rsidRPr="00A95203" w:rsidRDefault="00B73642" w:rsidP="00D7547A">
            <w:pPr>
              <w:tabs>
                <w:tab w:val="left" w:pos="420"/>
              </w:tabs>
              <w:spacing w:before="100" w:beforeAutospacing="1" w:after="100" w:afterAutospacing="1"/>
              <w:jc w:val="left"/>
              <w:rPr>
                <w:kern w:val="0"/>
                <w:sz w:val="22"/>
                <w:szCs w:val="22"/>
              </w:rPr>
            </w:pPr>
          </w:p>
        </w:tc>
        <w:tc>
          <w:tcPr>
            <w:tcW w:w="2683" w:type="dxa"/>
            <w:tcBorders>
              <w:top w:val="single" w:sz="6" w:space="0" w:color="7F7F7F"/>
              <w:left w:val="single" w:sz="6" w:space="0" w:color="7F7F7F"/>
              <w:bottom w:val="single" w:sz="6" w:space="0" w:color="7F7F7F"/>
              <w:right w:val="single" w:sz="6" w:space="0" w:color="7F7F7F"/>
            </w:tcBorders>
            <w:vAlign w:val="center"/>
            <w:hideMark/>
          </w:tcPr>
          <w:p w:rsidR="00B73642" w:rsidRPr="00A95203" w:rsidRDefault="00B73642" w:rsidP="00D7547A">
            <w:pPr>
              <w:widowControl/>
              <w:tabs>
                <w:tab w:val="left" w:pos="420"/>
              </w:tabs>
              <w:spacing w:before="100" w:beforeAutospacing="1" w:after="100" w:afterAutospacing="1"/>
              <w:jc w:val="center"/>
              <w:rPr>
                <w:kern w:val="0"/>
                <w:sz w:val="22"/>
                <w:szCs w:val="22"/>
              </w:rPr>
            </w:pPr>
            <w:r w:rsidRPr="00A95203">
              <w:rPr>
                <w:kern w:val="0"/>
                <w:sz w:val="22"/>
                <w:szCs w:val="22"/>
              </w:rPr>
              <w:t>1</w:t>
            </w:r>
            <w:r w:rsidRPr="00A95203">
              <w:rPr>
                <w:kern w:val="0"/>
                <w:sz w:val="22"/>
                <w:szCs w:val="22"/>
              </w:rPr>
              <w:t>年至</w:t>
            </w:r>
            <w:r w:rsidRPr="00A95203">
              <w:rPr>
                <w:kern w:val="0"/>
                <w:sz w:val="22"/>
                <w:szCs w:val="22"/>
              </w:rPr>
              <w:t>2</w:t>
            </w:r>
            <w:r w:rsidRPr="00A95203">
              <w:rPr>
                <w:kern w:val="0"/>
                <w:sz w:val="22"/>
                <w:szCs w:val="22"/>
              </w:rPr>
              <w:t>年（含）</w:t>
            </w:r>
          </w:p>
        </w:tc>
        <w:tc>
          <w:tcPr>
            <w:tcW w:w="1677" w:type="dxa"/>
            <w:tcBorders>
              <w:top w:val="single" w:sz="6" w:space="0" w:color="7F7F7F"/>
              <w:left w:val="single" w:sz="6" w:space="0" w:color="7F7F7F"/>
              <w:bottom w:val="single" w:sz="6" w:space="0" w:color="7F7F7F"/>
              <w:right w:val="single" w:sz="6" w:space="0" w:color="7F7F7F"/>
            </w:tcBorders>
            <w:vAlign w:val="center"/>
            <w:hideMark/>
          </w:tcPr>
          <w:p w:rsidR="00B73642" w:rsidRPr="00A95203" w:rsidRDefault="00B73642" w:rsidP="00D7547A">
            <w:pPr>
              <w:widowControl/>
              <w:tabs>
                <w:tab w:val="left" w:pos="420"/>
              </w:tabs>
              <w:spacing w:before="100" w:beforeAutospacing="1" w:after="100" w:afterAutospacing="1"/>
              <w:jc w:val="center"/>
              <w:rPr>
                <w:kern w:val="0"/>
                <w:sz w:val="22"/>
                <w:szCs w:val="22"/>
              </w:rPr>
            </w:pPr>
            <w:r w:rsidRPr="00A95203">
              <w:rPr>
                <w:kern w:val="0"/>
                <w:sz w:val="22"/>
                <w:szCs w:val="22"/>
              </w:rPr>
              <w:t>1.5%</w:t>
            </w:r>
          </w:p>
        </w:tc>
      </w:tr>
      <w:tr w:rsidR="00B73642" w:rsidRPr="00A95203" w:rsidTr="00563075">
        <w:trPr>
          <w:tblCellSpacing w:w="0" w:type="dxa"/>
        </w:trPr>
        <w:tc>
          <w:tcPr>
            <w:tcW w:w="3941" w:type="dxa"/>
            <w:vMerge/>
            <w:tcBorders>
              <w:left w:val="single" w:sz="6" w:space="0" w:color="7F7F7F"/>
              <w:right w:val="single" w:sz="6" w:space="0" w:color="7F7F7F"/>
            </w:tcBorders>
            <w:vAlign w:val="center"/>
            <w:hideMark/>
          </w:tcPr>
          <w:p w:rsidR="00B73642" w:rsidRPr="00A95203" w:rsidRDefault="00B73642" w:rsidP="00D7547A">
            <w:pPr>
              <w:tabs>
                <w:tab w:val="left" w:pos="420"/>
              </w:tabs>
              <w:spacing w:before="100" w:beforeAutospacing="1" w:after="100" w:afterAutospacing="1"/>
              <w:jc w:val="left"/>
              <w:rPr>
                <w:kern w:val="0"/>
                <w:sz w:val="22"/>
                <w:szCs w:val="22"/>
              </w:rPr>
            </w:pPr>
          </w:p>
        </w:tc>
        <w:tc>
          <w:tcPr>
            <w:tcW w:w="2683" w:type="dxa"/>
            <w:tcBorders>
              <w:top w:val="single" w:sz="6" w:space="0" w:color="7F7F7F"/>
              <w:left w:val="single" w:sz="6" w:space="0" w:color="7F7F7F"/>
              <w:bottom w:val="single" w:sz="6" w:space="0" w:color="7F7F7F"/>
              <w:right w:val="single" w:sz="6" w:space="0" w:color="7F7F7F"/>
            </w:tcBorders>
            <w:vAlign w:val="center"/>
            <w:hideMark/>
          </w:tcPr>
          <w:p w:rsidR="00B73642" w:rsidRPr="00A95203" w:rsidRDefault="00B73642" w:rsidP="00D7547A">
            <w:pPr>
              <w:widowControl/>
              <w:tabs>
                <w:tab w:val="left" w:pos="420"/>
              </w:tabs>
              <w:spacing w:before="100" w:beforeAutospacing="1" w:after="100" w:afterAutospacing="1"/>
              <w:jc w:val="center"/>
              <w:rPr>
                <w:kern w:val="0"/>
                <w:sz w:val="22"/>
                <w:szCs w:val="22"/>
              </w:rPr>
            </w:pPr>
            <w:r w:rsidRPr="00A95203">
              <w:rPr>
                <w:kern w:val="0"/>
                <w:sz w:val="22"/>
                <w:szCs w:val="22"/>
              </w:rPr>
              <w:t>2</w:t>
            </w:r>
            <w:r w:rsidRPr="00A95203">
              <w:rPr>
                <w:kern w:val="0"/>
                <w:sz w:val="22"/>
                <w:szCs w:val="22"/>
              </w:rPr>
              <w:t>年至</w:t>
            </w:r>
            <w:r w:rsidRPr="00A95203">
              <w:rPr>
                <w:kern w:val="0"/>
                <w:sz w:val="22"/>
                <w:szCs w:val="22"/>
              </w:rPr>
              <w:t>3</w:t>
            </w:r>
            <w:r w:rsidRPr="00A95203">
              <w:rPr>
                <w:kern w:val="0"/>
                <w:sz w:val="22"/>
                <w:szCs w:val="22"/>
              </w:rPr>
              <w:t>年</w:t>
            </w:r>
          </w:p>
        </w:tc>
        <w:tc>
          <w:tcPr>
            <w:tcW w:w="1677" w:type="dxa"/>
            <w:tcBorders>
              <w:top w:val="single" w:sz="6" w:space="0" w:color="7F7F7F"/>
              <w:left w:val="single" w:sz="6" w:space="0" w:color="7F7F7F"/>
              <w:bottom w:val="single" w:sz="6" w:space="0" w:color="7F7F7F"/>
              <w:right w:val="single" w:sz="6" w:space="0" w:color="7F7F7F"/>
            </w:tcBorders>
            <w:vAlign w:val="center"/>
            <w:hideMark/>
          </w:tcPr>
          <w:p w:rsidR="00B73642" w:rsidRPr="00A95203" w:rsidRDefault="00B73642" w:rsidP="00D7547A">
            <w:pPr>
              <w:widowControl/>
              <w:tabs>
                <w:tab w:val="left" w:pos="420"/>
              </w:tabs>
              <w:spacing w:before="100" w:beforeAutospacing="1" w:after="100" w:afterAutospacing="1"/>
              <w:jc w:val="center"/>
              <w:rPr>
                <w:kern w:val="0"/>
                <w:sz w:val="22"/>
                <w:szCs w:val="22"/>
              </w:rPr>
            </w:pPr>
            <w:r w:rsidRPr="00A95203">
              <w:rPr>
                <w:kern w:val="0"/>
                <w:sz w:val="22"/>
                <w:szCs w:val="22"/>
              </w:rPr>
              <w:t>1.0%</w:t>
            </w:r>
          </w:p>
        </w:tc>
      </w:tr>
      <w:tr w:rsidR="00B73642" w:rsidRPr="00A95203" w:rsidTr="00563075">
        <w:trPr>
          <w:tblCellSpacing w:w="0" w:type="dxa"/>
        </w:trPr>
        <w:tc>
          <w:tcPr>
            <w:tcW w:w="3941" w:type="dxa"/>
            <w:vMerge/>
            <w:tcBorders>
              <w:left w:val="single" w:sz="6" w:space="0" w:color="7F7F7F"/>
              <w:bottom w:val="single" w:sz="6" w:space="0" w:color="7F7F7F"/>
              <w:right w:val="single" w:sz="6" w:space="0" w:color="7F7F7F"/>
            </w:tcBorders>
            <w:vAlign w:val="center"/>
            <w:hideMark/>
          </w:tcPr>
          <w:p w:rsidR="00B73642" w:rsidRPr="00A95203" w:rsidRDefault="00B73642" w:rsidP="00D7547A">
            <w:pPr>
              <w:widowControl/>
              <w:tabs>
                <w:tab w:val="left" w:pos="420"/>
              </w:tabs>
              <w:spacing w:before="100" w:beforeAutospacing="1" w:after="100" w:afterAutospacing="1"/>
              <w:jc w:val="left"/>
              <w:rPr>
                <w:kern w:val="0"/>
                <w:sz w:val="22"/>
                <w:szCs w:val="22"/>
              </w:rPr>
            </w:pPr>
          </w:p>
        </w:tc>
        <w:tc>
          <w:tcPr>
            <w:tcW w:w="2683" w:type="dxa"/>
            <w:tcBorders>
              <w:top w:val="single" w:sz="6" w:space="0" w:color="7F7F7F"/>
              <w:left w:val="single" w:sz="6" w:space="0" w:color="7F7F7F"/>
              <w:bottom w:val="single" w:sz="6" w:space="0" w:color="7F7F7F"/>
              <w:right w:val="single" w:sz="6" w:space="0" w:color="7F7F7F"/>
            </w:tcBorders>
            <w:vAlign w:val="center"/>
            <w:hideMark/>
          </w:tcPr>
          <w:p w:rsidR="00B73642" w:rsidRPr="00A95203" w:rsidRDefault="00B73642" w:rsidP="00D7547A">
            <w:pPr>
              <w:widowControl/>
              <w:tabs>
                <w:tab w:val="left" w:pos="420"/>
              </w:tabs>
              <w:spacing w:before="100" w:beforeAutospacing="1" w:after="100" w:afterAutospacing="1"/>
              <w:jc w:val="center"/>
              <w:rPr>
                <w:kern w:val="0"/>
                <w:sz w:val="22"/>
                <w:szCs w:val="22"/>
              </w:rPr>
            </w:pPr>
            <w:r w:rsidRPr="00A95203">
              <w:rPr>
                <w:kern w:val="0"/>
                <w:sz w:val="22"/>
                <w:szCs w:val="22"/>
              </w:rPr>
              <w:t>持有到保本周期到期日</w:t>
            </w:r>
          </w:p>
        </w:tc>
        <w:tc>
          <w:tcPr>
            <w:tcW w:w="1677" w:type="dxa"/>
            <w:tcBorders>
              <w:top w:val="single" w:sz="6" w:space="0" w:color="7F7F7F"/>
              <w:left w:val="single" w:sz="6" w:space="0" w:color="7F7F7F"/>
              <w:bottom w:val="single" w:sz="6" w:space="0" w:color="7F7F7F"/>
              <w:right w:val="single" w:sz="6" w:space="0" w:color="7F7F7F"/>
            </w:tcBorders>
            <w:vAlign w:val="center"/>
            <w:hideMark/>
          </w:tcPr>
          <w:p w:rsidR="00B73642" w:rsidRPr="00A95203" w:rsidRDefault="00B73642" w:rsidP="00D7547A">
            <w:pPr>
              <w:widowControl/>
              <w:tabs>
                <w:tab w:val="left" w:pos="420"/>
              </w:tabs>
              <w:spacing w:before="100" w:beforeAutospacing="1" w:after="100" w:afterAutospacing="1"/>
              <w:jc w:val="center"/>
              <w:rPr>
                <w:kern w:val="0"/>
                <w:sz w:val="22"/>
                <w:szCs w:val="22"/>
              </w:rPr>
            </w:pPr>
            <w:r w:rsidRPr="00A95203">
              <w:rPr>
                <w:kern w:val="0"/>
                <w:sz w:val="22"/>
                <w:szCs w:val="22"/>
              </w:rPr>
              <w:t>0</w:t>
            </w:r>
          </w:p>
        </w:tc>
      </w:tr>
      <w:tr w:rsidR="009916DF" w:rsidRPr="00A95203" w:rsidTr="00D7547A">
        <w:trPr>
          <w:tblCellSpacing w:w="0" w:type="dxa"/>
        </w:trPr>
        <w:tc>
          <w:tcPr>
            <w:tcW w:w="3941" w:type="dxa"/>
            <w:vMerge w:val="restart"/>
            <w:tcBorders>
              <w:top w:val="single" w:sz="6" w:space="0" w:color="7F7F7F"/>
              <w:left w:val="single" w:sz="6" w:space="0" w:color="7F7F7F"/>
              <w:bottom w:val="single" w:sz="6" w:space="0" w:color="7F7F7F"/>
              <w:right w:val="single" w:sz="6" w:space="0" w:color="7F7F7F"/>
            </w:tcBorders>
            <w:vAlign w:val="center"/>
            <w:hideMark/>
          </w:tcPr>
          <w:p w:rsidR="009916DF" w:rsidRPr="00A95203" w:rsidRDefault="009916DF" w:rsidP="00173A7B">
            <w:pPr>
              <w:widowControl/>
              <w:spacing w:before="100" w:beforeAutospacing="1" w:after="100" w:afterAutospacing="1"/>
              <w:jc w:val="left"/>
              <w:rPr>
                <w:kern w:val="0"/>
                <w:sz w:val="22"/>
                <w:szCs w:val="22"/>
              </w:rPr>
            </w:pPr>
            <w:r w:rsidRPr="00A95203">
              <w:rPr>
                <w:kern w:val="0"/>
                <w:sz w:val="22"/>
                <w:szCs w:val="22"/>
              </w:rPr>
              <w:t>交银精选、交银稳健、交银成长、交银蓝筹、交银行业、交银先锋、交银治理、交银主题、交银趋势、交银制造、交银价值、交银策略回报、交银核心、交银成长</w:t>
            </w:r>
            <w:r w:rsidRPr="00A95203">
              <w:rPr>
                <w:kern w:val="0"/>
                <w:sz w:val="22"/>
                <w:szCs w:val="22"/>
              </w:rPr>
              <w:t>30</w:t>
            </w:r>
            <w:r w:rsidRPr="00A95203">
              <w:rPr>
                <w:kern w:val="0"/>
                <w:sz w:val="22"/>
                <w:szCs w:val="22"/>
              </w:rPr>
              <w:t>、交银双息平衡、交银周期回报</w:t>
            </w:r>
            <w:r w:rsidR="00F1122A" w:rsidRPr="00A95203">
              <w:rPr>
                <w:kern w:val="0"/>
                <w:sz w:val="22"/>
                <w:szCs w:val="22"/>
              </w:rPr>
              <w:t>A</w:t>
            </w:r>
            <w:r w:rsidR="00F1122A" w:rsidRPr="00A95203">
              <w:rPr>
                <w:kern w:val="0"/>
                <w:sz w:val="22"/>
                <w:szCs w:val="22"/>
              </w:rPr>
              <w:t>类</w:t>
            </w:r>
            <w:r w:rsidR="00F1122A">
              <w:rPr>
                <w:rFonts w:hint="eastAsia"/>
                <w:kern w:val="0"/>
                <w:sz w:val="22"/>
                <w:szCs w:val="22"/>
              </w:rPr>
              <w:t>基金份额</w:t>
            </w:r>
          </w:p>
        </w:tc>
        <w:tc>
          <w:tcPr>
            <w:tcW w:w="2683" w:type="dxa"/>
            <w:tcBorders>
              <w:top w:val="single" w:sz="6" w:space="0" w:color="7F7F7F"/>
              <w:left w:val="single" w:sz="6" w:space="0" w:color="7F7F7F"/>
              <w:bottom w:val="single" w:sz="6" w:space="0" w:color="7F7F7F"/>
              <w:right w:val="single" w:sz="6" w:space="0" w:color="7F7F7F"/>
            </w:tcBorders>
            <w:vAlign w:val="center"/>
            <w:hideMark/>
          </w:tcPr>
          <w:p w:rsidR="009916DF" w:rsidRPr="00A95203" w:rsidRDefault="009916DF" w:rsidP="00B46B47">
            <w:pPr>
              <w:widowControl/>
              <w:tabs>
                <w:tab w:val="left" w:pos="420"/>
              </w:tabs>
              <w:spacing w:before="100" w:beforeAutospacing="1" w:after="100" w:afterAutospacing="1"/>
              <w:jc w:val="center"/>
              <w:rPr>
                <w:kern w:val="0"/>
                <w:sz w:val="22"/>
                <w:szCs w:val="22"/>
              </w:rPr>
            </w:pPr>
            <w:r w:rsidRPr="00A95203">
              <w:rPr>
                <w:kern w:val="0"/>
                <w:sz w:val="22"/>
                <w:szCs w:val="22"/>
              </w:rPr>
              <w:t>1</w:t>
            </w:r>
            <w:r w:rsidRPr="00A95203">
              <w:rPr>
                <w:kern w:val="0"/>
                <w:sz w:val="22"/>
                <w:szCs w:val="22"/>
              </w:rPr>
              <w:t>年（含）以内</w:t>
            </w:r>
          </w:p>
        </w:tc>
        <w:tc>
          <w:tcPr>
            <w:tcW w:w="1677" w:type="dxa"/>
            <w:tcBorders>
              <w:top w:val="single" w:sz="6" w:space="0" w:color="7F7F7F"/>
              <w:left w:val="single" w:sz="6" w:space="0" w:color="7F7F7F"/>
              <w:bottom w:val="single" w:sz="6" w:space="0" w:color="7F7F7F"/>
              <w:right w:val="single" w:sz="6" w:space="0" w:color="7F7F7F"/>
            </w:tcBorders>
            <w:vAlign w:val="center"/>
            <w:hideMark/>
          </w:tcPr>
          <w:p w:rsidR="009916DF" w:rsidRPr="00A95203" w:rsidRDefault="009916DF" w:rsidP="00D7547A">
            <w:pPr>
              <w:widowControl/>
              <w:tabs>
                <w:tab w:val="left" w:pos="420"/>
              </w:tabs>
              <w:spacing w:before="100" w:beforeAutospacing="1" w:after="100" w:afterAutospacing="1"/>
              <w:jc w:val="center"/>
              <w:rPr>
                <w:kern w:val="0"/>
                <w:sz w:val="22"/>
                <w:szCs w:val="22"/>
              </w:rPr>
            </w:pPr>
            <w:r w:rsidRPr="00A95203">
              <w:rPr>
                <w:kern w:val="0"/>
                <w:sz w:val="22"/>
                <w:szCs w:val="22"/>
              </w:rPr>
              <w:t>0.5%</w:t>
            </w:r>
          </w:p>
        </w:tc>
      </w:tr>
      <w:tr w:rsidR="009916DF" w:rsidRPr="00A95203" w:rsidTr="00D7547A">
        <w:trPr>
          <w:tblCellSpacing w:w="0" w:type="dxa"/>
        </w:trPr>
        <w:tc>
          <w:tcPr>
            <w:tcW w:w="3941" w:type="dxa"/>
            <w:vMerge/>
            <w:tcBorders>
              <w:top w:val="single" w:sz="6" w:space="0" w:color="7F7F7F"/>
              <w:left w:val="single" w:sz="6" w:space="0" w:color="7F7F7F"/>
              <w:bottom w:val="single" w:sz="6" w:space="0" w:color="7F7F7F"/>
              <w:right w:val="single" w:sz="6" w:space="0" w:color="7F7F7F"/>
            </w:tcBorders>
            <w:vAlign w:val="center"/>
            <w:hideMark/>
          </w:tcPr>
          <w:p w:rsidR="009916DF" w:rsidRPr="00A95203" w:rsidRDefault="009916DF" w:rsidP="00D7547A">
            <w:pPr>
              <w:widowControl/>
              <w:jc w:val="left"/>
              <w:rPr>
                <w:kern w:val="0"/>
                <w:sz w:val="22"/>
                <w:szCs w:val="22"/>
              </w:rPr>
            </w:pPr>
          </w:p>
        </w:tc>
        <w:tc>
          <w:tcPr>
            <w:tcW w:w="2683" w:type="dxa"/>
            <w:tcBorders>
              <w:top w:val="single" w:sz="6" w:space="0" w:color="7F7F7F"/>
              <w:left w:val="single" w:sz="6" w:space="0" w:color="7F7F7F"/>
              <w:bottom w:val="single" w:sz="6" w:space="0" w:color="7F7F7F"/>
              <w:right w:val="single" w:sz="6" w:space="0" w:color="7F7F7F"/>
            </w:tcBorders>
            <w:vAlign w:val="center"/>
            <w:hideMark/>
          </w:tcPr>
          <w:p w:rsidR="009916DF" w:rsidRPr="00A95203" w:rsidRDefault="009916DF" w:rsidP="00B46B47">
            <w:pPr>
              <w:widowControl/>
              <w:tabs>
                <w:tab w:val="left" w:pos="420"/>
              </w:tabs>
              <w:spacing w:before="100" w:beforeAutospacing="1" w:after="100" w:afterAutospacing="1"/>
              <w:jc w:val="center"/>
              <w:rPr>
                <w:kern w:val="0"/>
                <w:sz w:val="22"/>
                <w:szCs w:val="22"/>
              </w:rPr>
            </w:pPr>
            <w:r w:rsidRPr="00A95203">
              <w:rPr>
                <w:kern w:val="0"/>
                <w:sz w:val="22"/>
                <w:szCs w:val="22"/>
              </w:rPr>
              <w:t>1</w:t>
            </w:r>
            <w:r w:rsidRPr="00A95203">
              <w:rPr>
                <w:kern w:val="0"/>
                <w:sz w:val="22"/>
                <w:szCs w:val="22"/>
              </w:rPr>
              <w:t>年</w:t>
            </w:r>
            <w:r w:rsidRPr="00A95203">
              <w:rPr>
                <w:kern w:val="0"/>
                <w:sz w:val="22"/>
                <w:szCs w:val="22"/>
              </w:rPr>
              <w:t>-2</w:t>
            </w:r>
            <w:r w:rsidRPr="00A95203">
              <w:rPr>
                <w:kern w:val="0"/>
                <w:sz w:val="22"/>
                <w:szCs w:val="22"/>
              </w:rPr>
              <w:t>年（含）</w:t>
            </w:r>
          </w:p>
        </w:tc>
        <w:tc>
          <w:tcPr>
            <w:tcW w:w="1677" w:type="dxa"/>
            <w:tcBorders>
              <w:top w:val="single" w:sz="6" w:space="0" w:color="7F7F7F"/>
              <w:left w:val="single" w:sz="6" w:space="0" w:color="7F7F7F"/>
              <w:bottom w:val="single" w:sz="6" w:space="0" w:color="7F7F7F"/>
              <w:right w:val="single" w:sz="6" w:space="0" w:color="7F7F7F"/>
            </w:tcBorders>
            <w:vAlign w:val="center"/>
            <w:hideMark/>
          </w:tcPr>
          <w:p w:rsidR="009916DF" w:rsidRPr="00A95203" w:rsidRDefault="009916DF" w:rsidP="00D7547A">
            <w:pPr>
              <w:widowControl/>
              <w:tabs>
                <w:tab w:val="left" w:pos="420"/>
              </w:tabs>
              <w:spacing w:before="100" w:beforeAutospacing="1" w:after="100" w:afterAutospacing="1"/>
              <w:jc w:val="center"/>
              <w:rPr>
                <w:kern w:val="0"/>
                <w:sz w:val="22"/>
                <w:szCs w:val="22"/>
              </w:rPr>
            </w:pPr>
            <w:r w:rsidRPr="00A95203">
              <w:rPr>
                <w:kern w:val="0"/>
                <w:sz w:val="22"/>
                <w:szCs w:val="22"/>
              </w:rPr>
              <w:t>0.2%</w:t>
            </w:r>
          </w:p>
        </w:tc>
      </w:tr>
      <w:tr w:rsidR="009916DF" w:rsidRPr="00A95203" w:rsidTr="00D7547A">
        <w:trPr>
          <w:tblCellSpacing w:w="0" w:type="dxa"/>
        </w:trPr>
        <w:tc>
          <w:tcPr>
            <w:tcW w:w="3941" w:type="dxa"/>
            <w:vMerge/>
            <w:tcBorders>
              <w:top w:val="single" w:sz="6" w:space="0" w:color="7F7F7F"/>
              <w:left w:val="single" w:sz="6" w:space="0" w:color="7F7F7F"/>
              <w:bottom w:val="single" w:sz="6" w:space="0" w:color="7F7F7F"/>
              <w:right w:val="single" w:sz="6" w:space="0" w:color="7F7F7F"/>
            </w:tcBorders>
            <w:vAlign w:val="center"/>
            <w:hideMark/>
          </w:tcPr>
          <w:p w:rsidR="009916DF" w:rsidRPr="00A95203" w:rsidRDefault="009916DF" w:rsidP="00D7547A">
            <w:pPr>
              <w:widowControl/>
              <w:jc w:val="left"/>
              <w:rPr>
                <w:kern w:val="0"/>
                <w:sz w:val="22"/>
                <w:szCs w:val="22"/>
              </w:rPr>
            </w:pPr>
          </w:p>
        </w:tc>
        <w:tc>
          <w:tcPr>
            <w:tcW w:w="2683" w:type="dxa"/>
            <w:tcBorders>
              <w:top w:val="single" w:sz="6" w:space="0" w:color="7F7F7F"/>
              <w:left w:val="single" w:sz="6" w:space="0" w:color="7F7F7F"/>
              <w:bottom w:val="single" w:sz="6" w:space="0" w:color="7F7F7F"/>
              <w:right w:val="single" w:sz="6" w:space="0" w:color="7F7F7F"/>
            </w:tcBorders>
            <w:vAlign w:val="center"/>
            <w:hideMark/>
          </w:tcPr>
          <w:p w:rsidR="009916DF" w:rsidRPr="00A95203" w:rsidRDefault="009916DF" w:rsidP="00B46B47">
            <w:pPr>
              <w:widowControl/>
              <w:tabs>
                <w:tab w:val="left" w:pos="420"/>
              </w:tabs>
              <w:spacing w:before="100" w:beforeAutospacing="1" w:after="100" w:afterAutospacing="1"/>
              <w:jc w:val="center"/>
              <w:rPr>
                <w:kern w:val="0"/>
                <w:sz w:val="22"/>
                <w:szCs w:val="22"/>
              </w:rPr>
            </w:pPr>
            <w:r w:rsidRPr="00A95203">
              <w:rPr>
                <w:kern w:val="0"/>
                <w:sz w:val="22"/>
                <w:szCs w:val="22"/>
              </w:rPr>
              <w:t>2</w:t>
            </w:r>
            <w:r w:rsidRPr="00A95203">
              <w:rPr>
                <w:kern w:val="0"/>
                <w:sz w:val="22"/>
                <w:szCs w:val="22"/>
              </w:rPr>
              <w:t>年以上</w:t>
            </w:r>
          </w:p>
        </w:tc>
        <w:tc>
          <w:tcPr>
            <w:tcW w:w="1677" w:type="dxa"/>
            <w:tcBorders>
              <w:top w:val="single" w:sz="6" w:space="0" w:color="7F7F7F"/>
              <w:left w:val="single" w:sz="6" w:space="0" w:color="7F7F7F"/>
              <w:bottom w:val="single" w:sz="6" w:space="0" w:color="7F7F7F"/>
              <w:right w:val="single" w:sz="6" w:space="0" w:color="7F7F7F"/>
            </w:tcBorders>
            <w:vAlign w:val="center"/>
            <w:hideMark/>
          </w:tcPr>
          <w:p w:rsidR="009916DF" w:rsidRPr="00A95203" w:rsidRDefault="009916DF" w:rsidP="00D7547A">
            <w:pPr>
              <w:widowControl/>
              <w:tabs>
                <w:tab w:val="left" w:pos="420"/>
              </w:tabs>
              <w:spacing w:before="100" w:beforeAutospacing="1" w:after="100" w:afterAutospacing="1"/>
              <w:jc w:val="center"/>
              <w:rPr>
                <w:kern w:val="0"/>
                <w:sz w:val="22"/>
                <w:szCs w:val="22"/>
              </w:rPr>
            </w:pPr>
            <w:r w:rsidRPr="00A95203">
              <w:rPr>
                <w:kern w:val="0"/>
                <w:sz w:val="22"/>
                <w:szCs w:val="22"/>
              </w:rPr>
              <w:t>0</w:t>
            </w:r>
          </w:p>
        </w:tc>
      </w:tr>
      <w:tr w:rsidR="009916DF" w:rsidRPr="00A95203" w:rsidTr="00D7547A">
        <w:trPr>
          <w:tblCellSpacing w:w="0" w:type="dxa"/>
        </w:trPr>
        <w:tc>
          <w:tcPr>
            <w:tcW w:w="3941" w:type="dxa"/>
            <w:vMerge w:val="restart"/>
            <w:tcBorders>
              <w:top w:val="single" w:sz="6" w:space="0" w:color="7F7F7F"/>
              <w:left w:val="single" w:sz="6" w:space="0" w:color="7F7F7F"/>
              <w:bottom w:val="single" w:sz="2" w:space="0" w:color="7F7F7F"/>
              <w:right w:val="single" w:sz="6" w:space="0" w:color="7F7F7F"/>
            </w:tcBorders>
            <w:vAlign w:val="center"/>
            <w:hideMark/>
          </w:tcPr>
          <w:p w:rsidR="009916DF" w:rsidRPr="00A95203" w:rsidRDefault="009916DF" w:rsidP="00380F1D">
            <w:pPr>
              <w:widowControl/>
              <w:spacing w:before="100" w:beforeAutospacing="1" w:after="100" w:afterAutospacing="1"/>
              <w:jc w:val="left"/>
              <w:rPr>
                <w:kern w:val="0"/>
                <w:sz w:val="22"/>
                <w:szCs w:val="22"/>
              </w:rPr>
            </w:pPr>
            <w:r w:rsidRPr="00A95203">
              <w:rPr>
                <w:kern w:val="0"/>
                <w:sz w:val="22"/>
                <w:szCs w:val="22"/>
              </w:rPr>
              <w:t>交银增利</w:t>
            </w:r>
            <w:r w:rsidRPr="00A95203">
              <w:rPr>
                <w:kern w:val="0"/>
                <w:sz w:val="22"/>
                <w:szCs w:val="22"/>
              </w:rPr>
              <w:t>A</w:t>
            </w:r>
            <w:r w:rsidRPr="00A95203">
              <w:rPr>
                <w:kern w:val="0"/>
                <w:sz w:val="22"/>
                <w:szCs w:val="22"/>
              </w:rPr>
              <w:t>类</w:t>
            </w:r>
            <w:r w:rsidR="00380F1D">
              <w:rPr>
                <w:rFonts w:hint="eastAsia"/>
                <w:kern w:val="0"/>
                <w:sz w:val="22"/>
                <w:szCs w:val="22"/>
              </w:rPr>
              <w:t>和</w:t>
            </w:r>
            <w:r w:rsidRPr="00A95203">
              <w:rPr>
                <w:kern w:val="0"/>
                <w:sz w:val="22"/>
                <w:szCs w:val="22"/>
              </w:rPr>
              <w:t>B</w:t>
            </w:r>
            <w:r w:rsidRPr="00A95203">
              <w:rPr>
                <w:kern w:val="0"/>
                <w:sz w:val="22"/>
                <w:szCs w:val="22"/>
              </w:rPr>
              <w:t>类基金份额</w:t>
            </w:r>
            <w:r w:rsidR="00380F1D">
              <w:rPr>
                <w:rFonts w:hint="eastAsia"/>
                <w:kern w:val="0"/>
                <w:sz w:val="22"/>
                <w:szCs w:val="22"/>
              </w:rPr>
              <w:t>、</w:t>
            </w:r>
            <w:r w:rsidRPr="00A95203">
              <w:rPr>
                <w:kern w:val="0"/>
                <w:sz w:val="22"/>
                <w:szCs w:val="22"/>
              </w:rPr>
              <w:t>交银双利</w:t>
            </w:r>
            <w:r w:rsidRPr="00A95203">
              <w:rPr>
                <w:kern w:val="0"/>
                <w:sz w:val="22"/>
                <w:szCs w:val="22"/>
              </w:rPr>
              <w:t>A</w:t>
            </w:r>
            <w:r w:rsidRPr="00A95203">
              <w:rPr>
                <w:kern w:val="0"/>
                <w:sz w:val="22"/>
                <w:szCs w:val="22"/>
              </w:rPr>
              <w:t>类</w:t>
            </w:r>
            <w:r w:rsidR="00380F1D">
              <w:rPr>
                <w:rFonts w:hint="eastAsia"/>
                <w:kern w:val="0"/>
                <w:sz w:val="22"/>
                <w:szCs w:val="22"/>
              </w:rPr>
              <w:t>和</w:t>
            </w:r>
            <w:r w:rsidRPr="00A95203">
              <w:rPr>
                <w:kern w:val="0"/>
                <w:sz w:val="22"/>
                <w:szCs w:val="22"/>
              </w:rPr>
              <w:t>B</w:t>
            </w:r>
            <w:r w:rsidRPr="00A95203">
              <w:rPr>
                <w:kern w:val="0"/>
                <w:sz w:val="22"/>
                <w:szCs w:val="22"/>
              </w:rPr>
              <w:t>类基金份额</w:t>
            </w:r>
            <w:r w:rsidR="00380F1D">
              <w:rPr>
                <w:rFonts w:hint="eastAsia"/>
                <w:kern w:val="0"/>
                <w:sz w:val="22"/>
                <w:szCs w:val="22"/>
              </w:rPr>
              <w:t>、</w:t>
            </w:r>
            <w:r w:rsidRPr="00A95203">
              <w:rPr>
                <w:kern w:val="0"/>
                <w:sz w:val="22"/>
                <w:szCs w:val="22"/>
              </w:rPr>
              <w:t>交银纯债</w:t>
            </w:r>
            <w:r w:rsidRPr="00A95203">
              <w:rPr>
                <w:kern w:val="0"/>
                <w:sz w:val="22"/>
                <w:szCs w:val="22"/>
              </w:rPr>
              <w:t>A</w:t>
            </w:r>
            <w:r w:rsidRPr="00A95203">
              <w:rPr>
                <w:kern w:val="0"/>
                <w:sz w:val="22"/>
                <w:szCs w:val="22"/>
              </w:rPr>
              <w:t>类</w:t>
            </w:r>
            <w:r w:rsidR="00380F1D">
              <w:rPr>
                <w:rFonts w:hint="eastAsia"/>
                <w:kern w:val="0"/>
                <w:sz w:val="22"/>
                <w:szCs w:val="22"/>
              </w:rPr>
              <w:t>和</w:t>
            </w:r>
            <w:r w:rsidRPr="00A95203">
              <w:rPr>
                <w:kern w:val="0"/>
                <w:sz w:val="22"/>
                <w:szCs w:val="22"/>
              </w:rPr>
              <w:t>B</w:t>
            </w:r>
            <w:r w:rsidRPr="00A95203">
              <w:rPr>
                <w:kern w:val="0"/>
                <w:sz w:val="22"/>
                <w:szCs w:val="22"/>
              </w:rPr>
              <w:t>类基金份额</w:t>
            </w:r>
            <w:r w:rsidR="00380F1D">
              <w:rPr>
                <w:rFonts w:hint="eastAsia"/>
                <w:kern w:val="0"/>
                <w:sz w:val="22"/>
                <w:szCs w:val="22"/>
              </w:rPr>
              <w:t>、</w:t>
            </w:r>
            <w:r w:rsidRPr="00A95203">
              <w:rPr>
                <w:kern w:val="0"/>
                <w:sz w:val="22"/>
                <w:szCs w:val="22"/>
              </w:rPr>
              <w:t>交银双轮动</w:t>
            </w:r>
            <w:r w:rsidRPr="00A95203">
              <w:rPr>
                <w:kern w:val="0"/>
                <w:sz w:val="22"/>
                <w:szCs w:val="22"/>
              </w:rPr>
              <w:t>A</w:t>
            </w:r>
            <w:r w:rsidRPr="00A95203">
              <w:rPr>
                <w:kern w:val="0"/>
                <w:sz w:val="22"/>
                <w:szCs w:val="22"/>
              </w:rPr>
              <w:t>类</w:t>
            </w:r>
            <w:r w:rsidR="00380F1D">
              <w:rPr>
                <w:rFonts w:hint="eastAsia"/>
                <w:kern w:val="0"/>
                <w:sz w:val="22"/>
                <w:szCs w:val="22"/>
              </w:rPr>
              <w:t>和</w:t>
            </w:r>
            <w:r w:rsidRPr="00A95203">
              <w:rPr>
                <w:kern w:val="0"/>
                <w:sz w:val="22"/>
                <w:szCs w:val="22"/>
              </w:rPr>
              <w:t>B</w:t>
            </w:r>
            <w:r w:rsidRPr="00A95203">
              <w:rPr>
                <w:kern w:val="0"/>
                <w:sz w:val="22"/>
                <w:szCs w:val="22"/>
              </w:rPr>
              <w:t>类基金份额</w:t>
            </w:r>
            <w:r w:rsidR="00380F1D">
              <w:rPr>
                <w:rFonts w:hint="eastAsia"/>
                <w:kern w:val="0"/>
                <w:sz w:val="22"/>
                <w:szCs w:val="22"/>
              </w:rPr>
              <w:t>、</w:t>
            </w:r>
            <w:r w:rsidRPr="00A95203">
              <w:rPr>
                <w:kern w:val="0"/>
                <w:sz w:val="22"/>
                <w:szCs w:val="22"/>
              </w:rPr>
              <w:t>交银月月丰</w:t>
            </w:r>
            <w:r w:rsidRPr="00A95203">
              <w:rPr>
                <w:kern w:val="0"/>
                <w:sz w:val="22"/>
                <w:szCs w:val="22"/>
              </w:rPr>
              <w:t>A</w:t>
            </w:r>
            <w:r w:rsidRPr="00A95203">
              <w:rPr>
                <w:kern w:val="0"/>
                <w:sz w:val="22"/>
                <w:szCs w:val="22"/>
              </w:rPr>
              <w:t>类基金份额</w:t>
            </w:r>
            <w:r w:rsidR="00380F1D">
              <w:rPr>
                <w:rFonts w:hint="eastAsia"/>
                <w:kern w:val="0"/>
                <w:sz w:val="22"/>
                <w:szCs w:val="22"/>
              </w:rPr>
              <w:t>、</w:t>
            </w:r>
            <w:r w:rsidRPr="00A95203">
              <w:rPr>
                <w:kern w:val="0"/>
                <w:sz w:val="22"/>
                <w:szCs w:val="22"/>
              </w:rPr>
              <w:t>交银强化回报</w:t>
            </w:r>
            <w:r w:rsidRPr="00A95203">
              <w:rPr>
                <w:kern w:val="0"/>
                <w:sz w:val="22"/>
                <w:szCs w:val="22"/>
              </w:rPr>
              <w:t>A</w:t>
            </w:r>
            <w:r w:rsidRPr="00A95203">
              <w:rPr>
                <w:kern w:val="0"/>
                <w:sz w:val="22"/>
                <w:szCs w:val="22"/>
              </w:rPr>
              <w:t>类</w:t>
            </w:r>
            <w:r w:rsidR="00380F1D">
              <w:rPr>
                <w:rFonts w:hint="eastAsia"/>
                <w:kern w:val="0"/>
                <w:sz w:val="22"/>
                <w:szCs w:val="22"/>
              </w:rPr>
              <w:t>和</w:t>
            </w:r>
            <w:r w:rsidRPr="00A95203">
              <w:rPr>
                <w:kern w:val="0"/>
                <w:sz w:val="22"/>
                <w:szCs w:val="22"/>
              </w:rPr>
              <w:t>B</w:t>
            </w:r>
            <w:r w:rsidRPr="00A95203">
              <w:rPr>
                <w:kern w:val="0"/>
                <w:sz w:val="22"/>
                <w:szCs w:val="22"/>
              </w:rPr>
              <w:t>类基金份额</w:t>
            </w:r>
          </w:p>
        </w:tc>
        <w:tc>
          <w:tcPr>
            <w:tcW w:w="2683" w:type="dxa"/>
            <w:tcBorders>
              <w:top w:val="single" w:sz="6" w:space="0" w:color="7F7F7F"/>
              <w:left w:val="single" w:sz="6" w:space="0" w:color="7F7F7F"/>
              <w:bottom w:val="single" w:sz="6" w:space="0" w:color="7F7F7F"/>
              <w:right w:val="single" w:sz="6" w:space="0" w:color="7F7F7F"/>
            </w:tcBorders>
            <w:vAlign w:val="center"/>
            <w:hideMark/>
          </w:tcPr>
          <w:p w:rsidR="009916DF" w:rsidRPr="00A95203" w:rsidRDefault="009916DF" w:rsidP="00D7547A">
            <w:pPr>
              <w:widowControl/>
              <w:tabs>
                <w:tab w:val="left" w:pos="420"/>
              </w:tabs>
              <w:spacing w:before="100" w:beforeAutospacing="1" w:after="100" w:afterAutospacing="1"/>
              <w:jc w:val="center"/>
              <w:rPr>
                <w:kern w:val="0"/>
                <w:sz w:val="22"/>
                <w:szCs w:val="22"/>
              </w:rPr>
            </w:pPr>
            <w:r w:rsidRPr="00A95203">
              <w:rPr>
                <w:kern w:val="0"/>
                <w:sz w:val="22"/>
                <w:szCs w:val="22"/>
              </w:rPr>
              <w:t>1</w:t>
            </w:r>
            <w:r w:rsidRPr="00A95203">
              <w:rPr>
                <w:kern w:val="0"/>
                <w:sz w:val="22"/>
                <w:szCs w:val="22"/>
              </w:rPr>
              <w:t>年（含）以内</w:t>
            </w:r>
          </w:p>
        </w:tc>
        <w:tc>
          <w:tcPr>
            <w:tcW w:w="1677" w:type="dxa"/>
            <w:tcBorders>
              <w:top w:val="single" w:sz="6" w:space="0" w:color="7F7F7F"/>
              <w:left w:val="single" w:sz="6" w:space="0" w:color="7F7F7F"/>
              <w:bottom w:val="single" w:sz="6" w:space="0" w:color="7F7F7F"/>
              <w:right w:val="single" w:sz="6" w:space="0" w:color="7F7F7F"/>
            </w:tcBorders>
            <w:vAlign w:val="center"/>
            <w:hideMark/>
          </w:tcPr>
          <w:p w:rsidR="009916DF" w:rsidRPr="00A95203" w:rsidRDefault="009916DF" w:rsidP="00D7547A">
            <w:pPr>
              <w:widowControl/>
              <w:tabs>
                <w:tab w:val="left" w:pos="420"/>
              </w:tabs>
              <w:spacing w:before="100" w:beforeAutospacing="1" w:after="100" w:afterAutospacing="1"/>
              <w:jc w:val="center"/>
              <w:rPr>
                <w:kern w:val="0"/>
                <w:sz w:val="22"/>
                <w:szCs w:val="22"/>
              </w:rPr>
            </w:pPr>
            <w:r w:rsidRPr="00A95203">
              <w:rPr>
                <w:kern w:val="0"/>
                <w:sz w:val="22"/>
                <w:szCs w:val="22"/>
              </w:rPr>
              <w:t>0.1%</w:t>
            </w:r>
          </w:p>
        </w:tc>
      </w:tr>
      <w:tr w:rsidR="009916DF" w:rsidRPr="00A95203" w:rsidTr="00D7547A">
        <w:trPr>
          <w:tblCellSpacing w:w="0" w:type="dxa"/>
        </w:trPr>
        <w:tc>
          <w:tcPr>
            <w:tcW w:w="3941" w:type="dxa"/>
            <w:vMerge/>
            <w:tcBorders>
              <w:top w:val="single" w:sz="6" w:space="0" w:color="7F7F7F"/>
              <w:left w:val="single" w:sz="6" w:space="0" w:color="7F7F7F"/>
              <w:bottom w:val="single" w:sz="2" w:space="0" w:color="7F7F7F"/>
              <w:right w:val="single" w:sz="6" w:space="0" w:color="7F7F7F"/>
            </w:tcBorders>
            <w:vAlign w:val="center"/>
            <w:hideMark/>
          </w:tcPr>
          <w:p w:rsidR="009916DF" w:rsidRPr="00A95203" w:rsidRDefault="009916DF" w:rsidP="00D7547A">
            <w:pPr>
              <w:widowControl/>
              <w:jc w:val="left"/>
              <w:rPr>
                <w:kern w:val="0"/>
                <w:sz w:val="22"/>
                <w:szCs w:val="22"/>
              </w:rPr>
            </w:pPr>
          </w:p>
        </w:tc>
        <w:tc>
          <w:tcPr>
            <w:tcW w:w="2683" w:type="dxa"/>
            <w:tcBorders>
              <w:top w:val="single" w:sz="6" w:space="0" w:color="7F7F7F"/>
              <w:left w:val="single" w:sz="6" w:space="0" w:color="7F7F7F"/>
              <w:bottom w:val="single" w:sz="6" w:space="0" w:color="7F7F7F"/>
              <w:right w:val="single" w:sz="6" w:space="0" w:color="7F7F7F"/>
            </w:tcBorders>
            <w:vAlign w:val="center"/>
            <w:hideMark/>
          </w:tcPr>
          <w:p w:rsidR="009916DF" w:rsidRPr="00A95203" w:rsidRDefault="009916DF" w:rsidP="00D7547A">
            <w:pPr>
              <w:widowControl/>
              <w:tabs>
                <w:tab w:val="left" w:pos="420"/>
              </w:tabs>
              <w:spacing w:before="100" w:beforeAutospacing="1" w:after="100" w:afterAutospacing="1"/>
              <w:jc w:val="center"/>
              <w:rPr>
                <w:kern w:val="0"/>
                <w:sz w:val="22"/>
                <w:szCs w:val="22"/>
              </w:rPr>
            </w:pPr>
            <w:r w:rsidRPr="00A95203">
              <w:rPr>
                <w:kern w:val="0"/>
                <w:sz w:val="22"/>
                <w:szCs w:val="22"/>
              </w:rPr>
              <w:t>1</w:t>
            </w:r>
            <w:r w:rsidRPr="00A95203">
              <w:rPr>
                <w:kern w:val="0"/>
                <w:sz w:val="22"/>
                <w:szCs w:val="22"/>
              </w:rPr>
              <w:t>年</w:t>
            </w:r>
            <w:r w:rsidRPr="00A95203">
              <w:rPr>
                <w:kern w:val="0"/>
                <w:sz w:val="22"/>
                <w:szCs w:val="22"/>
              </w:rPr>
              <w:t>-2</w:t>
            </w:r>
            <w:r w:rsidRPr="00A95203">
              <w:rPr>
                <w:kern w:val="0"/>
                <w:sz w:val="22"/>
                <w:szCs w:val="22"/>
              </w:rPr>
              <w:t>年（含）</w:t>
            </w:r>
          </w:p>
        </w:tc>
        <w:tc>
          <w:tcPr>
            <w:tcW w:w="1677" w:type="dxa"/>
            <w:tcBorders>
              <w:top w:val="single" w:sz="6" w:space="0" w:color="7F7F7F"/>
              <w:left w:val="single" w:sz="6" w:space="0" w:color="7F7F7F"/>
              <w:bottom w:val="single" w:sz="6" w:space="0" w:color="7F7F7F"/>
              <w:right w:val="single" w:sz="6" w:space="0" w:color="7F7F7F"/>
            </w:tcBorders>
            <w:vAlign w:val="center"/>
            <w:hideMark/>
          </w:tcPr>
          <w:p w:rsidR="009916DF" w:rsidRPr="00A95203" w:rsidRDefault="009916DF" w:rsidP="00D7547A">
            <w:pPr>
              <w:widowControl/>
              <w:tabs>
                <w:tab w:val="left" w:pos="420"/>
              </w:tabs>
              <w:spacing w:before="100" w:beforeAutospacing="1" w:after="100" w:afterAutospacing="1"/>
              <w:jc w:val="center"/>
              <w:rPr>
                <w:kern w:val="0"/>
                <w:sz w:val="22"/>
                <w:szCs w:val="22"/>
              </w:rPr>
            </w:pPr>
            <w:r w:rsidRPr="00A95203">
              <w:rPr>
                <w:kern w:val="0"/>
                <w:sz w:val="22"/>
                <w:szCs w:val="22"/>
              </w:rPr>
              <w:t>0.05%</w:t>
            </w:r>
          </w:p>
        </w:tc>
      </w:tr>
      <w:tr w:rsidR="009916DF" w:rsidRPr="00A95203" w:rsidTr="00D7547A">
        <w:trPr>
          <w:tblCellSpacing w:w="0" w:type="dxa"/>
        </w:trPr>
        <w:tc>
          <w:tcPr>
            <w:tcW w:w="3941" w:type="dxa"/>
            <w:vMerge/>
            <w:tcBorders>
              <w:top w:val="single" w:sz="6" w:space="0" w:color="7F7F7F"/>
              <w:left w:val="single" w:sz="6" w:space="0" w:color="7F7F7F"/>
              <w:bottom w:val="single" w:sz="6" w:space="0" w:color="7F7F7F"/>
              <w:right w:val="single" w:sz="6" w:space="0" w:color="7F7F7F"/>
            </w:tcBorders>
            <w:vAlign w:val="center"/>
            <w:hideMark/>
          </w:tcPr>
          <w:p w:rsidR="009916DF" w:rsidRPr="00A95203" w:rsidRDefault="009916DF" w:rsidP="00D7547A">
            <w:pPr>
              <w:widowControl/>
              <w:jc w:val="left"/>
              <w:rPr>
                <w:kern w:val="0"/>
                <w:sz w:val="22"/>
                <w:szCs w:val="22"/>
              </w:rPr>
            </w:pPr>
          </w:p>
        </w:tc>
        <w:tc>
          <w:tcPr>
            <w:tcW w:w="2683" w:type="dxa"/>
            <w:tcBorders>
              <w:top w:val="single" w:sz="6" w:space="0" w:color="7F7F7F"/>
              <w:left w:val="single" w:sz="6" w:space="0" w:color="7F7F7F"/>
              <w:bottom w:val="single" w:sz="6" w:space="0" w:color="7F7F7F"/>
              <w:right w:val="single" w:sz="6" w:space="0" w:color="7F7F7F"/>
            </w:tcBorders>
            <w:vAlign w:val="center"/>
            <w:hideMark/>
          </w:tcPr>
          <w:p w:rsidR="009916DF" w:rsidRPr="00A95203" w:rsidRDefault="009916DF" w:rsidP="00D7547A">
            <w:pPr>
              <w:widowControl/>
              <w:tabs>
                <w:tab w:val="left" w:pos="420"/>
              </w:tabs>
              <w:spacing w:before="100" w:beforeAutospacing="1" w:after="100" w:afterAutospacing="1"/>
              <w:jc w:val="center"/>
              <w:rPr>
                <w:kern w:val="0"/>
                <w:sz w:val="22"/>
                <w:szCs w:val="22"/>
              </w:rPr>
            </w:pPr>
            <w:r w:rsidRPr="00A95203">
              <w:rPr>
                <w:kern w:val="0"/>
                <w:sz w:val="22"/>
                <w:szCs w:val="22"/>
              </w:rPr>
              <w:t>2</w:t>
            </w:r>
            <w:r w:rsidRPr="00A95203">
              <w:rPr>
                <w:kern w:val="0"/>
                <w:sz w:val="22"/>
                <w:szCs w:val="22"/>
              </w:rPr>
              <w:t>年以上</w:t>
            </w:r>
          </w:p>
        </w:tc>
        <w:tc>
          <w:tcPr>
            <w:tcW w:w="1677" w:type="dxa"/>
            <w:tcBorders>
              <w:top w:val="single" w:sz="6" w:space="0" w:color="7F7F7F"/>
              <w:left w:val="single" w:sz="6" w:space="0" w:color="7F7F7F"/>
              <w:bottom w:val="single" w:sz="6" w:space="0" w:color="7F7F7F"/>
              <w:right w:val="single" w:sz="6" w:space="0" w:color="7F7F7F"/>
            </w:tcBorders>
            <w:vAlign w:val="center"/>
            <w:hideMark/>
          </w:tcPr>
          <w:p w:rsidR="009916DF" w:rsidRPr="00A95203" w:rsidRDefault="009916DF" w:rsidP="00D7547A">
            <w:pPr>
              <w:widowControl/>
              <w:tabs>
                <w:tab w:val="left" w:pos="420"/>
              </w:tabs>
              <w:spacing w:before="100" w:beforeAutospacing="1" w:after="100" w:afterAutospacing="1"/>
              <w:jc w:val="center"/>
              <w:rPr>
                <w:kern w:val="0"/>
                <w:sz w:val="22"/>
                <w:szCs w:val="22"/>
              </w:rPr>
            </w:pPr>
            <w:r w:rsidRPr="00A95203">
              <w:rPr>
                <w:kern w:val="0"/>
                <w:sz w:val="22"/>
                <w:szCs w:val="22"/>
              </w:rPr>
              <w:t>0</w:t>
            </w:r>
          </w:p>
        </w:tc>
      </w:tr>
      <w:tr w:rsidR="009916DF" w:rsidRPr="00A95203" w:rsidTr="0018117A">
        <w:trPr>
          <w:trHeight w:val="254"/>
          <w:tblCellSpacing w:w="0" w:type="dxa"/>
        </w:trPr>
        <w:tc>
          <w:tcPr>
            <w:tcW w:w="3941" w:type="dxa"/>
            <w:vMerge w:val="restart"/>
            <w:tcBorders>
              <w:top w:val="single" w:sz="6" w:space="0" w:color="7F7F7F"/>
              <w:left w:val="single" w:sz="6" w:space="0" w:color="7F7F7F"/>
              <w:right w:val="single" w:sz="6" w:space="0" w:color="7F7F7F"/>
            </w:tcBorders>
            <w:vAlign w:val="center"/>
            <w:hideMark/>
          </w:tcPr>
          <w:p w:rsidR="009916DF" w:rsidRPr="00A95203" w:rsidRDefault="009916DF" w:rsidP="00D7547A">
            <w:pPr>
              <w:widowControl/>
              <w:jc w:val="left"/>
              <w:rPr>
                <w:kern w:val="0"/>
                <w:sz w:val="22"/>
                <w:szCs w:val="22"/>
              </w:rPr>
            </w:pPr>
            <w:r w:rsidRPr="00A95203">
              <w:rPr>
                <w:kern w:val="0"/>
                <w:sz w:val="22"/>
                <w:szCs w:val="22"/>
              </w:rPr>
              <w:t>交银新成长、交银消费新驱动、交银国企改革</w:t>
            </w:r>
            <w:r w:rsidR="00ED4438" w:rsidRPr="00A95203">
              <w:rPr>
                <w:kern w:val="0"/>
                <w:sz w:val="22"/>
                <w:szCs w:val="22"/>
              </w:rPr>
              <w:t>、交银荣和保本</w:t>
            </w:r>
            <w:r w:rsidR="00C75A65">
              <w:rPr>
                <w:rFonts w:hint="eastAsia"/>
                <w:kern w:val="0"/>
                <w:sz w:val="22"/>
                <w:szCs w:val="22"/>
              </w:rPr>
              <w:t>、交银科技创新</w:t>
            </w:r>
            <w:r w:rsidR="00D14546">
              <w:rPr>
                <w:rFonts w:hint="eastAsia"/>
                <w:kern w:val="0"/>
                <w:sz w:val="22"/>
                <w:szCs w:val="22"/>
              </w:rPr>
              <w:t>、交银数据产业</w:t>
            </w:r>
            <w:r w:rsidR="001B543A">
              <w:rPr>
                <w:rFonts w:hint="eastAsia"/>
                <w:kern w:val="0"/>
                <w:sz w:val="22"/>
                <w:szCs w:val="22"/>
              </w:rPr>
              <w:t>、交银经济新动力</w:t>
            </w:r>
          </w:p>
        </w:tc>
        <w:tc>
          <w:tcPr>
            <w:tcW w:w="2683" w:type="dxa"/>
            <w:tcBorders>
              <w:top w:val="single" w:sz="6" w:space="0" w:color="7F7F7F"/>
              <w:left w:val="single" w:sz="6" w:space="0" w:color="7F7F7F"/>
              <w:bottom w:val="single" w:sz="6" w:space="0" w:color="7F7F7F"/>
              <w:right w:val="single" w:sz="6" w:space="0" w:color="7F7F7F"/>
            </w:tcBorders>
            <w:hideMark/>
          </w:tcPr>
          <w:p w:rsidR="009916DF" w:rsidRPr="00A95203" w:rsidRDefault="009916DF" w:rsidP="00D7547A">
            <w:pPr>
              <w:widowControl/>
              <w:tabs>
                <w:tab w:val="left" w:pos="420"/>
              </w:tabs>
              <w:spacing w:before="100" w:beforeAutospacing="1" w:after="100" w:afterAutospacing="1"/>
              <w:jc w:val="center"/>
              <w:rPr>
                <w:kern w:val="0"/>
                <w:sz w:val="22"/>
                <w:szCs w:val="22"/>
              </w:rPr>
            </w:pPr>
            <w:r w:rsidRPr="00A95203">
              <w:rPr>
                <w:sz w:val="24"/>
              </w:rPr>
              <w:t>7</w:t>
            </w:r>
            <w:r w:rsidRPr="00A95203">
              <w:rPr>
                <w:sz w:val="24"/>
              </w:rPr>
              <w:t>日以内</w:t>
            </w:r>
          </w:p>
        </w:tc>
        <w:tc>
          <w:tcPr>
            <w:tcW w:w="1677" w:type="dxa"/>
            <w:tcBorders>
              <w:top w:val="single" w:sz="6" w:space="0" w:color="7F7F7F"/>
              <w:left w:val="single" w:sz="6" w:space="0" w:color="7F7F7F"/>
              <w:bottom w:val="single" w:sz="6" w:space="0" w:color="7F7F7F"/>
              <w:right w:val="single" w:sz="6" w:space="0" w:color="7F7F7F"/>
            </w:tcBorders>
            <w:hideMark/>
          </w:tcPr>
          <w:p w:rsidR="009916DF" w:rsidRPr="00A95203" w:rsidRDefault="009916DF" w:rsidP="00D7547A">
            <w:pPr>
              <w:widowControl/>
              <w:tabs>
                <w:tab w:val="left" w:pos="420"/>
              </w:tabs>
              <w:spacing w:before="100" w:beforeAutospacing="1" w:after="100" w:afterAutospacing="1"/>
              <w:jc w:val="center"/>
              <w:rPr>
                <w:kern w:val="0"/>
                <w:sz w:val="22"/>
                <w:szCs w:val="22"/>
              </w:rPr>
            </w:pPr>
            <w:r w:rsidRPr="00A95203">
              <w:rPr>
                <w:sz w:val="24"/>
              </w:rPr>
              <w:t>1.5%</w:t>
            </w:r>
          </w:p>
        </w:tc>
      </w:tr>
      <w:tr w:rsidR="009916DF" w:rsidRPr="00A95203" w:rsidTr="0018117A">
        <w:trPr>
          <w:trHeight w:val="316"/>
          <w:tblCellSpacing w:w="0" w:type="dxa"/>
        </w:trPr>
        <w:tc>
          <w:tcPr>
            <w:tcW w:w="3941" w:type="dxa"/>
            <w:vMerge/>
            <w:tcBorders>
              <w:left w:val="single" w:sz="6" w:space="0" w:color="7F7F7F"/>
              <w:right w:val="single" w:sz="6" w:space="0" w:color="7F7F7F"/>
            </w:tcBorders>
            <w:vAlign w:val="center"/>
            <w:hideMark/>
          </w:tcPr>
          <w:p w:rsidR="009916DF" w:rsidRPr="00A95203" w:rsidRDefault="009916DF" w:rsidP="00D7547A">
            <w:pPr>
              <w:widowControl/>
              <w:jc w:val="left"/>
              <w:rPr>
                <w:kern w:val="0"/>
                <w:sz w:val="22"/>
                <w:szCs w:val="22"/>
              </w:rPr>
            </w:pPr>
          </w:p>
        </w:tc>
        <w:tc>
          <w:tcPr>
            <w:tcW w:w="2683" w:type="dxa"/>
            <w:tcBorders>
              <w:top w:val="single" w:sz="6" w:space="0" w:color="7F7F7F"/>
              <w:left w:val="single" w:sz="6" w:space="0" w:color="7F7F7F"/>
              <w:bottom w:val="single" w:sz="6" w:space="0" w:color="7F7F7F"/>
              <w:right w:val="single" w:sz="6" w:space="0" w:color="7F7F7F"/>
            </w:tcBorders>
            <w:hideMark/>
          </w:tcPr>
          <w:p w:rsidR="009916DF" w:rsidRPr="00A95203" w:rsidRDefault="009916DF" w:rsidP="00D7547A">
            <w:pPr>
              <w:widowControl/>
              <w:tabs>
                <w:tab w:val="left" w:pos="420"/>
              </w:tabs>
              <w:spacing w:before="100" w:beforeAutospacing="1" w:after="100" w:afterAutospacing="1"/>
              <w:jc w:val="center"/>
              <w:rPr>
                <w:kern w:val="0"/>
                <w:sz w:val="22"/>
                <w:szCs w:val="22"/>
              </w:rPr>
            </w:pPr>
            <w:r w:rsidRPr="00A95203">
              <w:rPr>
                <w:sz w:val="24"/>
              </w:rPr>
              <w:t>7</w:t>
            </w:r>
            <w:r w:rsidRPr="00A95203">
              <w:rPr>
                <w:sz w:val="24"/>
              </w:rPr>
              <w:t>日（含）</w:t>
            </w:r>
            <w:r w:rsidRPr="00A95203">
              <w:rPr>
                <w:sz w:val="24"/>
              </w:rPr>
              <w:t>-30</w:t>
            </w:r>
            <w:r w:rsidRPr="00A95203">
              <w:rPr>
                <w:sz w:val="24"/>
              </w:rPr>
              <w:t>日</w:t>
            </w:r>
          </w:p>
        </w:tc>
        <w:tc>
          <w:tcPr>
            <w:tcW w:w="1677" w:type="dxa"/>
            <w:tcBorders>
              <w:top w:val="single" w:sz="6" w:space="0" w:color="7F7F7F"/>
              <w:left w:val="single" w:sz="6" w:space="0" w:color="7F7F7F"/>
              <w:bottom w:val="single" w:sz="6" w:space="0" w:color="7F7F7F"/>
              <w:right w:val="single" w:sz="6" w:space="0" w:color="7F7F7F"/>
            </w:tcBorders>
            <w:hideMark/>
          </w:tcPr>
          <w:p w:rsidR="009916DF" w:rsidRPr="00A95203" w:rsidRDefault="009916DF" w:rsidP="00D7547A">
            <w:pPr>
              <w:widowControl/>
              <w:tabs>
                <w:tab w:val="left" w:pos="420"/>
              </w:tabs>
              <w:spacing w:before="100" w:beforeAutospacing="1" w:after="100" w:afterAutospacing="1"/>
              <w:jc w:val="center"/>
              <w:rPr>
                <w:kern w:val="0"/>
                <w:sz w:val="22"/>
                <w:szCs w:val="22"/>
              </w:rPr>
            </w:pPr>
            <w:r w:rsidRPr="00A95203">
              <w:rPr>
                <w:sz w:val="24"/>
              </w:rPr>
              <w:t>0.75%</w:t>
            </w:r>
          </w:p>
        </w:tc>
      </w:tr>
      <w:tr w:rsidR="009916DF" w:rsidRPr="00A95203" w:rsidTr="0018117A">
        <w:trPr>
          <w:trHeight w:val="277"/>
          <w:tblCellSpacing w:w="0" w:type="dxa"/>
        </w:trPr>
        <w:tc>
          <w:tcPr>
            <w:tcW w:w="3941" w:type="dxa"/>
            <w:vMerge/>
            <w:tcBorders>
              <w:left w:val="single" w:sz="6" w:space="0" w:color="7F7F7F"/>
              <w:right w:val="single" w:sz="6" w:space="0" w:color="7F7F7F"/>
            </w:tcBorders>
            <w:vAlign w:val="center"/>
            <w:hideMark/>
          </w:tcPr>
          <w:p w:rsidR="009916DF" w:rsidRPr="00A95203" w:rsidRDefault="009916DF" w:rsidP="00D7547A">
            <w:pPr>
              <w:widowControl/>
              <w:jc w:val="left"/>
              <w:rPr>
                <w:kern w:val="0"/>
                <w:sz w:val="22"/>
                <w:szCs w:val="22"/>
              </w:rPr>
            </w:pPr>
          </w:p>
        </w:tc>
        <w:tc>
          <w:tcPr>
            <w:tcW w:w="2683" w:type="dxa"/>
            <w:tcBorders>
              <w:top w:val="single" w:sz="6" w:space="0" w:color="7F7F7F"/>
              <w:left w:val="single" w:sz="6" w:space="0" w:color="7F7F7F"/>
              <w:bottom w:val="single" w:sz="6" w:space="0" w:color="7F7F7F"/>
              <w:right w:val="single" w:sz="6" w:space="0" w:color="7F7F7F"/>
            </w:tcBorders>
            <w:hideMark/>
          </w:tcPr>
          <w:p w:rsidR="009916DF" w:rsidRPr="00A95203" w:rsidRDefault="009916DF" w:rsidP="00D7547A">
            <w:pPr>
              <w:widowControl/>
              <w:tabs>
                <w:tab w:val="left" w:pos="420"/>
              </w:tabs>
              <w:spacing w:before="100" w:beforeAutospacing="1" w:after="100" w:afterAutospacing="1"/>
              <w:jc w:val="center"/>
              <w:rPr>
                <w:kern w:val="0"/>
                <w:sz w:val="22"/>
                <w:szCs w:val="22"/>
              </w:rPr>
            </w:pPr>
            <w:r w:rsidRPr="00A95203">
              <w:rPr>
                <w:sz w:val="24"/>
              </w:rPr>
              <w:t>30</w:t>
            </w:r>
            <w:r w:rsidRPr="00A95203">
              <w:rPr>
                <w:sz w:val="24"/>
              </w:rPr>
              <w:t>日（含）</w:t>
            </w:r>
            <w:r w:rsidRPr="00A95203">
              <w:rPr>
                <w:sz w:val="24"/>
              </w:rPr>
              <w:t>-1</w:t>
            </w:r>
            <w:r w:rsidRPr="00A95203">
              <w:rPr>
                <w:sz w:val="24"/>
              </w:rPr>
              <w:t>年</w:t>
            </w:r>
          </w:p>
        </w:tc>
        <w:tc>
          <w:tcPr>
            <w:tcW w:w="1677" w:type="dxa"/>
            <w:tcBorders>
              <w:top w:val="single" w:sz="6" w:space="0" w:color="7F7F7F"/>
              <w:left w:val="single" w:sz="6" w:space="0" w:color="7F7F7F"/>
              <w:bottom w:val="single" w:sz="6" w:space="0" w:color="7F7F7F"/>
              <w:right w:val="single" w:sz="6" w:space="0" w:color="7F7F7F"/>
            </w:tcBorders>
            <w:hideMark/>
          </w:tcPr>
          <w:p w:rsidR="009916DF" w:rsidRPr="00A95203" w:rsidRDefault="009916DF" w:rsidP="00D7547A">
            <w:pPr>
              <w:widowControl/>
              <w:tabs>
                <w:tab w:val="left" w:pos="420"/>
              </w:tabs>
              <w:spacing w:before="100" w:beforeAutospacing="1" w:after="100" w:afterAutospacing="1"/>
              <w:jc w:val="center"/>
              <w:rPr>
                <w:kern w:val="0"/>
                <w:sz w:val="22"/>
                <w:szCs w:val="22"/>
              </w:rPr>
            </w:pPr>
            <w:r w:rsidRPr="00A95203">
              <w:rPr>
                <w:sz w:val="24"/>
              </w:rPr>
              <w:t>0.5%</w:t>
            </w:r>
          </w:p>
        </w:tc>
      </w:tr>
      <w:tr w:rsidR="009916DF" w:rsidRPr="00A95203" w:rsidTr="0018117A">
        <w:trPr>
          <w:trHeight w:val="340"/>
          <w:tblCellSpacing w:w="0" w:type="dxa"/>
        </w:trPr>
        <w:tc>
          <w:tcPr>
            <w:tcW w:w="3941" w:type="dxa"/>
            <w:vMerge/>
            <w:tcBorders>
              <w:left w:val="single" w:sz="6" w:space="0" w:color="7F7F7F"/>
              <w:right w:val="single" w:sz="6" w:space="0" w:color="7F7F7F"/>
            </w:tcBorders>
            <w:vAlign w:val="center"/>
            <w:hideMark/>
          </w:tcPr>
          <w:p w:rsidR="009916DF" w:rsidRPr="00A95203" w:rsidRDefault="009916DF" w:rsidP="00D7547A">
            <w:pPr>
              <w:widowControl/>
              <w:jc w:val="left"/>
              <w:rPr>
                <w:kern w:val="0"/>
                <w:sz w:val="22"/>
                <w:szCs w:val="22"/>
              </w:rPr>
            </w:pPr>
          </w:p>
        </w:tc>
        <w:tc>
          <w:tcPr>
            <w:tcW w:w="2683" w:type="dxa"/>
            <w:tcBorders>
              <w:top w:val="single" w:sz="6" w:space="0" w:color="7F7F7F"/>
              <w:left w:val="single" w:sz="6" w:space="0" w:color="7F7F7F"/>
              <w:bottom w:val="single" w:sz="6" w:space="0" w:color="7F7F7F"/>
              <w:right w:val="single" w:sz="6" w:space="0" w:color="7F7F7F"/>
            </w:tcBorders>
            <w:hideMark/>
          </w:tcPr>
          <w:p w:rsidR="009916DF" w:rsidRPr="00A95203" w:rsidRDefault="009916DF" w:rsidP="00D7547A">
            <w:pPr>
              <w:widowControl/>
              <w:tabs>
                <w:tab w:val="left" w:pos="420"/>
              </w:tabs>
              <w:spacing w:before="100" w:beforeAutospacing="1" w:after="100" w:afterAutospacing="1"/>
              <w:jc w:val="center"/>
              <w:rPr>
                <w:kern w:val="0"/>
                <w:sz w:val="22"/>
                <w:szCs w:val="22"/>
              </w:rPr>
            </w:pPr>
            <w:r w:rsidRPr="00A95203">
              <w:rPr>
                <w:sz w:val="24"/>
              </w:rPr>
              <w:t>1</w:t>
            </w:r>
            <w:r w:rsidRPr="00A95203">
              <w:rPr>
                <w:sz w:val="24"/>
              </w:rPr>
              <w:t>年（含）</w:t>
            </w:r>
            <w:r w:rsidRPr="00A95203">
              <w:rPr>
                <w:sz w:val="24"/>
              </w:rPr>
              <w:t>-2</w:t>
            </w:r>
            <w:r w:rsidRPr="00A95203">
              <w:rPr>
                <w:sz w:val="24"/>
              </w:rPr>
              <w:t>年</w:t>
            </w:r>
          </w:p>
        </w:tc>
        <w:tc>
          <w:tcPr>
            <w:tcW w:w="1677" w:type="dxa"/>
            <w:tcBorders>
              <w:top w:val="single" w:sz="6" w:space="0" w:color="7F7F7F"/>
              <w:left w:val="single" w:sz="6" w:space="0" w:color="7F7F7F"/>
              <w:bottom w:val="single" w:sz="6" w:space="0" w:color="7F7F7F"/>
              <w:right w:val="single" w:sz="6" w:space="0" w:color="7F7F7F"/>
            </w:tcBorders>
            <w:hideMark/>
          </w:tcPr>
          <w:p w:rsidR="009916DF" w:rsidRPr="00A95203" w:rsidRDefault="009916DF" w:rsidP="00D7547A">
            <w:pPr>
              <w:widowControl/>
              <w:tabs>
                <w:tab w:val="left" w:pos="420"/>
              </w:tabs>
              <w:spacing w:before="100" w:beforeAutospacing="1" w:after="100" w:afterAutospacing="1"/>
              <w:jc w:val="center"/>
              <w:rPr>
                <w:kern w:val="0"/>
                <w:sz w:val="22"/>
                <w:szCs w:val="22"/>
              </w:rPr>
            </w:pPr>
            <w:r w:rsidRPr="00A95203">
              <w:rPr>
                <w:sz w:val="24"/>
              </w:rPr>
              <w:t>0.25%</w:t>
            </w:r>
          </w:p>
        </w:tc>
      </w:tr>
      <w:tr w:rsidR="009916DF" w:rsidRPr="00A95203" w:rsidTr="0018117A">
        <w:trPr>
          <w:trHeight w:val="260"/>
          <w:tblCellSpacing w:w="0" w:type="dxa"/>
        </w:trPr>
        <w:tc>
          <w:tcPr>
            <w:tcW w:w="3941" w:type="dxa"/>
            <w:vMerge/>
            <w:tcBorders>
              <w:left w:val="single" w:sz="6" w:space="0" w:color="7F7F7F"/>
              <w:bottom w:val="single" w:sz="6" w:space="0" w:color="7F7F7F"/>
              <w:right w:val="single" w:sz="6" w:space="0" w:color="7F7F7F"/>
            </w:tcBorders>
            <w:vAlign w:val="center"/>
            <w:hideMark/>
          </w:tcPr>
          <w:p w:rsidR="009916DF" w:rsidRPr="00A95203" w:rsidRDefault="009916DF" w:rsidP="00D7547A">
            <w:pPr>
              <w:widowControl/>
              <w:jc w:val="left"/>
              <w:rPr>
                <w:kern w:val="0"/>
                <w:sz w:val="22"/>
                <w:szCs w:val="22"/>
              </w:rPr>
            </w:pPr>
          </w:p>
        </w:tc>
        <w:tc>
          <w:tcPr>
            <w:tcW w:w="2683" w:type="dxa"/>
            <w:tcBorders>
              <w:top w:val="single" w:sz="6" w:space="0" w:color="7F7F7F"/>
              <w:left w:val="single" w:sz="6" w:space="0" w:color="7F7F7F"/>
              <w:bottom w:val="single" w:sz="6" w:space="0" w:color="7F7F7F"/>
              <w:right w:val="single" w:sz="6" w:space="0" w:color="7F7F7F"/>
            </w:tcBorders>
            <w:hideMark/>
          </w:tcPr>
          <w:p w:rsidR="009916DF" w:rsidRPr="00A95203" w:rsidRDefault="009916DF" w:rsidP="00D7547A">
            <w:pPr>
              <w:widowControl/>
              <w:tabs>
                <w:tab w:val="left" w:pos="420"/>
              </w:tabs>
              <w:spacing w:before="100" w:beforeAutospacing="1" w:after="100" w:afterAutospacing="1"/>
              <w:jc w:val="center"/>
              <w:rPr>
                <w:kern w:val="0"/>
                <w:sz w:val="22"/>
                <w:szCs w:val="22"/>
              </w:rPr>
            </w:pPr>
            <w:r w:rsidRPr="00A95203">
              <w:rPr>
                <w:sz w:val="24"/>
              </w:rPr>
              <w:t>2</w:t>
            </w:r>
            <w:r w:rsidRPr="00A95203">
              <w:rPr>
                <w:sz w:val="24"/>
              </w:rPr>
              <w:t>年以上（含）</w:t>
            </w:r>
          </w:p>
        </w:tc>
        <w:tc>
          <w:tcPr>
            <w:tcW w:w="1677" w:type="dxa"/>
            <w:tcBorders>
              <w:top w:val="single" w:sz="6" w:space="0" w:color="7F7F7F"/>
              <w:left w:val="single" w:sz="6" w:space="0" w:color="7F7F7F"/>
              <w:bottom w:val="single" w:sz="6" w:space="0" w:color="7F7F7F"/>
              <w:right w:val="single" w:sz="6" w:space="0" w:color="7F7F7F"/>
            </w:tcBorders>
            <w:hideMark/>
          </w:tcPr>
          <w:p w:rsidR="009916DF" w:rsidRPr="00A95203" w:rsidRDefault="009916DF" w:rsidP="00D7547A">
            <w:pPr>
              <w:widowControl/>
              <w:tabs>
                <w:tab w:val="left" w:pos="420"/>
              </w:tabs>
              <w:spacing w:before="100" w:beforeAutospacing="1" w:after="100" w:afterAutospacing="1"/>
              <w:jc w:val="center"/>
              <w:rPr>
                <w:kern w:val="0"/>
                <w:sz w:val="22"/>
                <w:szCs w:val="22"/>
              </w:rPr>
            </w:pPr>
            <w:r w:rsidRPr="00A95203">
              <w:rPr>
                <w:sz w:val="24"/>
              </w:rPr>
              <w:t>0</w:t>
            </w:r>
          </w:p>
        </w:tc>
      </w:tr>
      <w:tr w:rsidR="009916DF" w:rsidRPr="00A95203" w:rsidTr="00BC54B9">
        <w:trPr>
          <w:trHeight w:val="260"/>
          <w:tblCellSpacing w:w="0" w:type="dxa"/>
        </w:trPr>
        <w:tc>
          <w:tcPr>
            <w:tcW w:w="3941" w:type="dxa"/>
            <w:vMerge w:val="restart"/>
            <w:tcBorders>
              <w:left w:val="single" w:sz="6" w:space="0" w:color="7F7F7F"/>
              <w:right w:val="single" w:sz="6" w:space="0" w:color="7F7F7F"/>
            </w:tcBorders>
            <w:vAlign w:val="center"/>
            <w:hideMark/>
          </w:tcPr>
          <w:p w:rsidR="009916DF" w:rsidRPr="00A95203" w:rsidRDefault="009916DF" w:rsidP="00D7547A">
            <w:pPr>
              <w:widowControl/>
              <w:jc w:val="left"/>
              <w:rPr>
                <w:kern w:val="0"/>
                <w:sz w:val="22"/>
                <w:szCs w:val="22"/>
              </w:rPr>
            </w:pPr>
            <w:r w:rsidRPr="00A95203">
              <w:rPr>
                <w:kern w:val="0"/>
                <w:sz w:val="22"/>
                <w:szCs w:val="22"/>
              </w:rPr>
              <w:t>交银多策略回报</w:t>
            </w:r>
            <w:r w:rsidR="00F1122A" w:rsidRPr="00A95203">
              <w:rPr>
                <w:kern w:val="0"/>
                <w:sz w:val="22"/>
                <w:szCs w:val="22"/>
              </w:rPr>
              <w:t>A</w:t>
            </w:r>
            <w:r w:rsidR="00F1122A" w:rsidRPr="00A95203">
              <w:rPr>
                <w:kern w:val="0"/>
                <w:sz w:val="22"/>
                <w:szCs w:val="22"/>
              </w:rPr>
              <w:t>类</w:t>
            </w:r>
            <w:r w:rsidR="00F1122A">
              <w:rPr>
                <w:rFonts w:hint="eastAsia"/>
                <w:kern w:val="0"/>
                <w:sz w:val="22"/>
                <w:szCs w:val="22"/>
              </w:rPr>
              <w:t>基金份额</w:t>
            </w:r>
          </w:p>
        </w:tc>
        <w:tc>
          <w:tcPr>
            <w:tcW w:w="2683" w:type="dxa"/>
            <w:tcBorders>
              <w:top w:val="single" w:sz="6" w:space="0" w:color="7F7F7F"/>
              <w:left w:val="single" w:sz="6" w:space="0" w:color="7F7F7F"/>
              <w:bottom w:val="single" w:sz="6" w:space="0" w:color="7F7F7F"/>
              <w:right w:val="single" w:sz="6" w:space="0" w:color="7F7F7F"/>
            </w:tcBorders>
            <w:vAlign w:val="center"/>
            <w:hideMark/>
          </w:tcPr>
          <w:p w:rsidR="009916DF" w:rsidRPr="00A95203" w:rsidRDefault="009916DF" w:rsidP="00D7547A">
            <w:pPr>
              <w:widowControl/>
              <w:tabs>
                <w:tab w:val="left" w:pos="420"/>
              </w:tabs>
              <w:spacing w:before="100" w:beforeAutospacing="1" w:after="100" w:afterAutospacing="1"/>
              <w:jc w:val="center"/>
              <w:rPr>
                <w:sz w:val="24"/>
              </w:rPr>
            </w:pPr>
            <w:r w:rsidRPr="00A95203">
              <w:rPr>
                <w:color w:val="333333"/>
                <w:sz w:val="22"/>
                <w:szCs w:val="22"/>
              </w:rPr>
              <w:t>7</w:t>
            </w:r>
            <w:r w:rsidRPr="00A95203">
              <w:rPr>
                <w:color w:val="333333"/>
                <w:sz w:val="22"/>
                <w:szCs w:val="22"/>
              </w:rPr>
              <w:t>日以内</w:t>
            </w:r>
          </w:p>
        </w:tc>
        <w:tc>
          <w:tcPr>
            <w:tcW w:w="1677" w:type="dxa"/>
            <w:tcBorders>
              <w:top w:val="single" w:sz="6" w:space="0" w:color="7F7F7F"/>
              <w:left w:val="single" w:sz="6" w:space="0" w:color="7F7F7F"/>
              <w:bottom w:val="single" w:sz="6" w:space="0" w:color="7F7F7F"/>
              <w:right w:val="single" w:sz="6" w:space="0" w:color="7F7F7F"/>
            </w:tcBorders>
            <w:vAlign w:val="center"/>
            <w:hideMark/>
          </w:tcPr>
          <w:p w:rsidR="009916DF" w:rsidRPr="00A95203" w:rsidRDefault="009916DF" w:rsidP="00D7547A">
            <w:pPr>
              <w:widowControl/>
              <w:tabs>
                <w:tab w:val="left" w:pos="420"/>
              </w:tabs>
              <w:spacing w:before="100" w:beforeAutospacing="1" w:after="100" w:afterAutospacing="1"/>
              <w:jc w:val="center"/>
              <w:rPr>
                <w:sz w:val="24"/>
              </w:rPr>
            </w:pPr>
            <w:r w:rsidRPr="00A95203">
              <w:rPr>
                <w:sz w:val="24"/>
              </w:rPr>
              <w:t>1.5%</w:t>
            </w:r>
          </w:p>
        </w:tc>
      </w:tr>
      <w:tr w:rsidR="009916DF" w:rsidRPr="00A95203" w:rsidTr="00BC54B9">
        <w:trPr>
          <w:trHeight w:val="260"/>
          <w:tblCellSpacing w:w="0" w:type="dxa"/>
        </w:trPr>
        <w:tc>
          <w:tcPr>
            <w:tcW w:w="3941" w:type="dxa"/>
            <w:vMerge/>
            <w:tcBorders>
              <w:left w:val="single" w:sz="6" w:space="0" w:color="7F7F7F"/>
              <w:right w:val="single" w:sz="6" w:space="0" w:color="7F7F7F"/>
            </w:tcBorders>
            <w:vAlign w:val="center"/>
            <w:hideMark/>
          </w:tcPr>
          <w:p w:rsidR="009916DF" w:rsidRPr="00A95203" w:rsidRDefault="009916DF" w:rsidP="00D7547A">
            <w:pPr>
              <w:widowControl/>
              <w:jc w:val="left"/>
              <w:rPr>
                <w:kern w:val="0"/>
                <w:sz w:val="22"/>
                <w:szCs w:val="22"/>
              </w:rPr>
            </w:pPr>
          </w:p>
        </w:tc>
        <w:tc>
          <w:tcPr>
            <w:tcW w:w="2683" w:type="dxa"/>
            <w:tcBorders>
              <w:top w:val="single" w:sz="6" w:space="0" w:color="7F7F7F"/>
              <w:left w:val="single" w:sz="6" w:space="0" w:color="7F7F7F"/>
              <w:bottom w:val="single" w:sz="6" w:space="0" w:color="7F7F7F"/>
              <w:right w:val="single" w:sz="6" w:space="0" w:color="7F7F7F"/>
            </w:tcBorders>
            <w:vAlign w:val="center"/>
            <w:hideMark/>
          </w:tcPr>
          <w:p w:rsidR="009916DF" w:rsidRPr="00A95203" w:rsidRDefault="009916DF" w:rsidP="00D7547A">
            <w:pPr>
              <w:widowControl/>
              <w:tabs>
                <w:tab w:val="left" w:pos="420"/>
              </w:tabs>
              <w:spacing w:before="100" w:beforeAutospacing="1" w:after="100" w:afterAutospacing="1"/>
              <w:jc w:val="center"/>
              <w:rPr>
                <w:sz w:val="24"/>
              </w:rPr>
            </w:pPr>
            <w:r w:rsidRPr="00A95203">
              <w:rPr>
                <w:color w:val="333333"/>
                <w:sz w:val="22"/>
                <w:szCs w:val="22"/>
              </w:rPr>
              <w:t>7</w:t>
            </w:r>
            <w:r w:rsidRPr="00A95203">
              <w:rPr>
                <w:color w:val="333333"/>
                <w:sz w:val="22"/>
                <w:szCs w:val="22"/>
              </w:rPr>
              <w:t>日（含）</w:t>
            </w:r>
            <w:r w:rsidRPr="00A95203">
              <w:rPr>
                <w:color w:val="333333"/>
                <w:sz w:val="22"/>
                <w:szCs w:val="22"/>
              </w:rPr>
              <w:t>-30</w:t>
            </w:r>
            <w:r w:rsidRPr="00A95203">
              <w:rPr>
                <w:color w:val="333333"/>
                <w:sz w:val="22"/>
                <w:szCs w:val="22"/>
              </w:rPr>
              <w:t>日</w:t>
            </w:r>
          </w:p>
        </w:tc>
        <w:tc>
          <w:tcPr>
            <w:tcW w:w="1677" w:type="dxa"/>
            <w:tcBorders>
              <w:top w:val="single" w:sz="6" w:space="0" w:color="7F7F7F"/>
              <w:left w:val="single" w:sz="6" w:space="0" w:color="7F7F7F"/>
              <w:bottom w:val="single" w:sz="6" w:space="0" w:color="7F7F7F"/>
              <w:right w:val="single" w:sz="6" w:space="0" w:color="7F7F7F"/>
            </w:tcBorders>
            <w:vAlign w:val="center"/>
            <w:hideMark/>
          </w:tcPr>
          <w:p w:rsidR="009916DF" w:rsidRPr="00A95203" w:rsidRDefault="009916DF" w:rsidP="00D7547A">
            <w:pPr>
              <w:widowControl/>
              <w:tabs>
                <w:tab w:val="left" w:pos="420"/>
              </w:tabs>
              <w:spacing w:before="100" w:beforeAutospacing="1" w:after="100" w:afterAutospacing="1"/>
              <w:jc w:val="center"/>
              <w:rPr>
                <w:sz w:val="24"/>
              </w:rPr>
            </w:pPr>
            <w:r w:rsidRPr="00A95203">
              <w:rPr>
                <w:sz w:val="24"/>
              </w:rPr>
              <w:t>0.75%</w:t>
            </w:r>
          </w:p>
        </w:tc>
      </w:tr>
      <w:tr w:rsidR="009916DF" w:rsidRPr="00A95203" w:rsidTr="00BC54B9">
        <w:trPr>
          <w:trHeight w:val="260"/>
          <w:tblCellSpacing w:w="0" w:type="dxa"/>
        </w:trPr>
        <w:tc>
          <w:tcPr>
            <w:tcW w:w="3941" w:type="dxa"/>
            <w:vMerge/>
            <w:tcBorders>
              <w:left w:val="single" w:sz="6" w:space="0" w:color="7F7F7F"/>
              <w:right w:val="single" w:sz="6" w:space="0" w:color="7F7F7F"/>
            </w:tcBorders>
            <w:vAlign w:val="center"/>
            <w:hideMark/>
          </w:tcPr>
          <w:p w:rsidR="009916DF" w:rsidRPr="00A95203" w:rsidRDefault="009916DF" w:rsidP="00D7547A">
            <w:pPr>
              <w:widowControl/>
              <w:jc w:val="left"/>
              <w:rPr>
                <w:kern w:val="0"/>
                <w:sz w:val="22"/>
                <w:szCs w:val="22"/>
              </w:rPr>
            </w:pPr>
          </w:p>
        </w:tc>
        <w:tc>
          <w:tcPr>
            <w:tcW w:w="2683" w:type="dxa"/>
            <w:tcBorders>
              <w:top w:val="single" w:sz="6" w:space="0" w:color="7F7F7F"/>
              <w:left w:val="single" w:sz="6" w:space="0" w:color="7F7F7F"/>
              <w:bottom w:val="single" w:sz="6" w:space="0" w:color="7F7F7F"/>
              <w:right w:val="single" w:sz="6" w:space="0" w:color="7F7F7F"/>
            </w:tcBorders>
            <w:vAlign w:val="center"/>
            <w:hideMark/>
          </w:tcPr>
          <w:p w:rsidR="009916DF" w:rsidRPr="00A95203" w:rsidRDefault="009916DF" w:rsidP="00D7547A">
            <w:pPr>
              <w:widowControl/>
              <w:tabs>
                <w:tab w:val="left" w:pos="420"/>
              </w:tabs>
              <w:spacing w:before="100" w:beforeAutospacing="1" w:after="100" w:afterAutospacing="1"/>
              <w:jc w:val="center"/>
              <w:rPr>
                <w:sz w:val="24"/>
              </w:rPr>
            </w:pPr>
            <w:r w:rsidRPr="00A95203">
              <w:rPr>
                <w:color w:val="333333"/>
                <w:sz w:val="22"/>
                <w:szCs w:val="22"/>
              </w:rPr>
              <w:t>30</w:t>
            </w:r>
            <w:r w:rsidRPr="00A95203">
              <w:rPr>
                <w:color w:val="333333"/>
                <w:sz w:val="22"/>
                <w:szCs w:val="22"/>
              </w:rPr>
              <w:t>日（含）</w:t>
            </w:r>
            <w:r w:rsidRPr="00A95203">
              <w:rPr>
                <w:color w:val="333333"/>
                <w:sz w:val="22"/>
                <w:szCs w:val="22"/>
              </w:rPr>
              <w:t>-1</w:t>
            </w:r>
            <w:r w:rsidRPr="00A95203">
              <w:rPr>
                <w:color w:val="333333"/>
                <w:sz w:val="22"/>
                <w:szCs w:val="22"/>
              </w:rPr>
              <w:t>年</w:t>
            </w:r>
          </w:p>
        </w:tc>
        <w:tc>
          <w:tcPr>
            <w:tcW w:w="1677" w:type="dxa"/>
            <w:tcBorders>
              <w:top w:val="single" w:sz="6" w:space="0" w:color="7F7F7F"/>
              <w:left w:val="single" w:sz="6" w:space="0" w:color="7F7F7F"/>
              <w:bottom w:val="single" w:sz="6" w:space="0" w:color="7F7F7F"/>
              <w:right w:val="single" w:sz="6" w:space="0" w:color="7F7F7F"/>
            </w:tcBorders>
            <w:vAlign w:val="center"/>
            <w:hideMark/>
          </w:tcPr>
          <w:p w:rsidR="009916DF" w:rsidRPr="00A95203" w:rsidRDefault="009916DF" w:rsidP="00D7547A">
            <w:pPr>
              <w:widowControl/>
              <w:tabs>
                <w:tab w:val="left" w:pos="420"/>
              </w:tabs>
              <w:spacing w:before="100" w:beforeAutospacing="1" w:after="100" w:afterAutospacing="1"/>
              <w:jc w:val="center"/>
              <w:rPr>
                <w:sz w:val="24"/>
              </w:rPr>
            </w:pPr>
            <w:r w:rsidRPr="00A95203">
              <w:rPr>
                <w:sz w:val="24"/>
              </w:rPr>
              <w:t>0.5%</w:t>
            </w:r>
          </w:p>
        </w:tc>
      </w:tr>
      <w:tr w:rsidR="009916DF" w:rsidRPr="00A95203" w:rsidTr="00BC54B9">
        <w:trPr>
          <w:trHeight w:val="260"/>
          <w:tblCellSpacing w:w="0" w:type="dxa"/>
        </w:trPr>
        <w:tc>
          <w:tcPr>
            <w:tcW w:w="3941" w:type="dxa"/>
            <w:vMerge/>
            <w:tcBorders>
              <w:left w:val="single" w:sz="6" w:space="0" w:color="7F7F7F"/>
              <w:right w:val="single" w:sz="6" w:space="0" w:color="7F7F7F"/>
            </w:tcBorders>
            <w:vAlign w:val="center"/>
            <w:hideMark/>
          </w:tcPr>
          <w:p w:rsidR="009916DF" w:rsidRPr="00A95203" w:rsidRDefault="009916DF" w:rsidP="00D7547A">
            <w:pPr>
              <w:widowControl/>
              <w:jc w:val="left"/>
              <w:rPr>
                <w:kern w:val="0"/>
                <w:sz w:val="22"/>
                <w:szCs w:val="22"/>
              </w:rPr>
            </w:pPr>
          </w:p>
        </w:tc>
        <w:tc>
          <w:tcPr>
            <w:tcW w:w="2683" w:type="dxa"/>
            <w:tcBorders>
              <w:top w:val="single" w:sz="6" w:space="0" w:color="7F7F7F"/>
              <w:left w:val="single" w:sz="6" w:space="0" w:color="7F7F7F"/>
              <w:bottom w:val="single" w:sz="6" w:space="0" w:color="7F7F7F"/>
              <w:right w:val="single" w:sz="6" w:space="0" w:color="7F7F7F"/>
            </w:tcBorders>
            <w:vAlign w:val="center"/>
            <w:hideMark/>
          </w:tcPr>
          <w:p w:rsidR="009916DF" w:rsidRPr="00A95203" w:rsidRDefault="009916DF" w:rsidP="00D7547A">
            <w:pPr>
              <w:widowControl/>
              <w:tabs>
                <w:tab w:val="left" w:pos="420"/>
              </w:tabs>
              <w:spacing w:before="100" w:beforeAutospacing="1" w:after="100" w:afterAutospacing="1"/>
              <w:jc w:val="center"/>
              <w:rPr>
                <w:sz w:val="24"/>
              </w:rPr>
            </w:pPr>
            <w:r w:rsidRPr="00A95203">
              <w:rPr>
                <w:color w:val="333333"/>
                <w:sz w:val="22"/>
                <w:szCs w:val="22"/>
              </w:rPr>
              <w:t>1</w:t>
            </w:r>
            <w:r w:rsidRPr="00A95203">
              <w:rPr>
                <w:color w:val="333333"/>
                <w:sz w:val="22"/>
                <w:szCs w:val="22"/>
              </w:rPr>
              <w:t>年（含）</w:t>
            </w:r>
            <w:r w:rsidRPr="00A95203">
              <w:rPr>
                <w:color w:val="333333"/>
                <w:sz w:val="22"/>
                <w:szCs w:val="22"/>
              </w:rPr>
              <w:t>-2</w:t>
            </w:r>
            <w:r w:rsidRPr="00A95203">
              <w:rPr>
                <w:color w:val="333333"/>
                <w:sz w:val="22"/>
                <w:szCs w:val="22"/>
              </w:rPr>
              <w:t>年</w:t>
            </w:r>
          </w:p>
        </w:tc>
        <w:tc>
          <w:tcPr>
            <w:tcW w:w="1677" w:type="dxa"/>
            <w:tcBorders>
              <w:top w:val="single" w:sz="6" w:space="0" w:color="7F7F7F"/>
              <w:left w:val="single" w:sz="6" w:space="0" w:color="7F7F7F"/>
              <w:bottom w:val="single" w:sz="6" w:space="0" w:color="7F7F7F"/>
              <w:right w:val="single" w:sz="6" w:space="0" w:color="7F7F7F"/>
            </w:tcBorders>
            <w:vAlign w:val="center"/>
            <w:hideMark/>
          </w:tcPr>
          <w:p w:rsidR="009916DF" w:rsidRPr="00A95203" w:rsidRDefault="009916DF" w:rsidP="00D7547A">
            <w:pPr>
              <w:widowControl/>
              <w:tabs>
                <w:tab w:val="left" w:pos="420"/>
              </w:tabs>
              <w:spacing w:before="100" w:beforeAutospacing="1" w:after="100" w:afterAutospacing="1"/>
              <w:jc w:val="center"/>
              <w:rPr>
                <w:sz w:val="24"/>
              </w:rPr>
            </w:pPr>
            <w:r w:rsidRPr="00A95203">
              <w:rPr>
                <w:sz w:val="24"/>
              </w:rPr>
              <w:t>0.2%</w:t>
            </w:r>
          </w:p>
        </w:tc>
      </w:tr>
      <w:tr w:rsidR="009916DF" w:rsidRPr="00A95203" w:rsidTr="00BC54B9">
        <w:trPr>
          <w:trHeight w:val="260"/>
          <w:tblCellSpacing w:w="0" w:type="dxa"/>
        </w:trPr>
        <w:tc>
          <w:tcPr>
            <w:tcW w:w="3941" w:type="dxa"/>
            <w:vMerge/>
            <w:tcBorders>
              <w:left w:val="single" w:sz="6" w:space="0" w:color="7F7F7F"/>
              <w:bottom w:val="single" w:sz="6" w:space="0" w:color="7F7F7F"/>
              <w:right w:val="single" w:sz="6" w:space="0" w:color="7F7F7F"/>
            </w:tcBorders>
            <w:vAlign w:val="center"/>
            <w:hideMark/>
          </w:tcPr>
          <w:p w:rsidR="009916DF" w:rsidRPr="00A95203" w:rsidRDefault="009916DF" w:rsidP="00D7547A">
            <w:pPr>
              <w:widowControl/>
              <w:jc w:val="left"/>
              <w:rPr>
                <w:kern w:val="0"/>
                <w:sz w:val="22"/>
                <w:szCs w:val="22"/>
              </w:rPr>
            </w:pPr>
          </w:p>
        </w:tc>
        <w:tc>
          <w:tcPr>
            <w:tcW w:w="2683" w:type="dxa"/>
            <w:tcBorders>
              <w:top w:val="single" w:sz="6" w:space="0" w:color="7F7F7F"/>
              <w:left w:val="single" w:sz="6" w:space="0" w:color="7F7F7F"/>
              <w:bottom w:val="single" w:sz="6" w:space="0" w:color="7F7F7F"/>
              <w:right w:val="single" w:sz="6" w:space="0" w:color="7F7F7F"/>
            </w:tcBorders>
            <w:vAlign w:val="center"/>
            <w:hideMark/>
          </w:tcPr>
          <w:p w:rsidR="009916DF" w:rsidRPr="00A95203" w:rsidRDefault="009916DF" w:rsidP="00D7547A">
            <w:pPr>
              <w:widowControl/>
              <w:tabs>
                <w:tab w:val="left" w:pos="420"/>
              </w:tabs>
              <w:spacing w:before="100" w:beforeAutospacing="1" w:after="100" w:afterAutospacing="1"/>
              <w:jc w:val="center"/>
              <w:rPr>
                <w:sz w:val="24"/>
              </w:rPr>
            </w:pPr>
            <w:r w:rsidRPr="00A95203">
              <w:t>2</w:t>
            </w:r>
            <w:r w:rsidRPr="00A95203">
              <w:t>年以上（含）</w:t>
            </w:r>
          </w:p>
        </w:tc>
        <w:tc>
          <w:tcPr>
            <w:tcW w:w="1677" w:type="dxa"/>
            <w:tcBorders>
              <w:top w:val="single" w:sz="6" w:space="0" w:color="7F7F7F"/>
              <w:left w:val="single" w:sz="6" w:space="0" w:color="7F7F7F"/>
              <w:bottom w:val="single" w:sz="6" w:space="0" w:color="7F7F7F"/>
              <w:right w:val="single" w:sz="6" w:space="0" w:color="7F7F7F"/>
            </w:tcBorders>
            <w:vAlign w:val="center"/>
            <w:hideMark/>
          </w:tcPr>
          <w:p w:rsidR="009916DF" w:rsidRPr="00A95203" w:rsidRDefault="009916DF" w:rsidP="00D7547A">
            <w:pPr>
              <w:widowControl/>
              <w:tabs>
                <w:tab w:val="left" w:pos="420"/>
              </w:tabs>
              <w:spacing w:before="100" w:beforeAutospacing="1" w:after="100" w:afterAutospacing="1"/>
              <w:jc w:val="center"/>
              <w:rPr>
                <w:sz w:val="24"/>
              </w:rPr>
            </w:pPr>
            <w:r w:rsidRPr="00A95203">
              <w:rPr>
                <w:sz w:val="24"/>
              </w:rPr>
              <w:t>0</w:t>
            </w:r>
          </w:p>
        </w:tc>
      </w:tr>
      <w:tr w:rsidR="001512A4" w:rsidRPr="00A95203" w:rsidTr="001E6C4C">
        <w:trPr>
          <w:trHeight w:val="260"/>
          <w:tblCellSpacing w:w="0" w:type="dxa"/>
        </w:trPr>
        <w:tc>
          <w:tcPr>
            <w:tcW w:w="3941" w:type="dxa"/>
            <w:vMerge w:val="restart"/>
            <w:tcBorders>
              <w:left w:val="single" w:sz="6" w:space="0" w:color="7F7F7F"/>
              <w:right w:val="single" w:sz="6" w:space="0" w:color="7F7F7F"/>
            </w:tcBorders>
            <w:vAlign w:val="center"/>
            <w:hideMark/>
          </w:tcPr>
          <w:p w:rsidR="001512A4" w:rsidRPr="00A95203" w:rsidRDefault="001512A4" w:rsidP="00D7547A">
            <w:pPr>
              <w:widowControl/>
              <w:jc w:val="left"/>
              <w:rPr>
                <w:kern w:val="0"/>
                <w:sz w:val="22"/>
                <w:szCs w:val="22"/>
              </w:rPr>
            </w:pPr>
            <w:r w:rsidRPr="00A95203">
              <w:rPr>
                <w:kern w:val="0"/>
                <w:sz w:val="22"/>
                <w:szCs w:val="22"/>
              </w:rPr>
              <w:t>交银新回报</w:t>
            </w:r>
            <w:r w:rsidRPr="00A95203">
              <w:rPr>
                <w:kern w:val="0"/>
                <w:sz w:val="22"/>
                <w:szCs w:val="22"/>
              </w:rPr>
              <w:t>A</w:t>
            </w:r>
            <w:r w:rsidRPr="00A95203">
              <w:rPr>
                <w:kern w:val="0"/>
                <w:sz w:val="22"/>
                <w:szCs w:val="22"/>
              </w:rPr>
              <w:t>类</w:t>
            </w:r>
            <w:r>
              <w:rPr>
                <w:rFonts w:hint="eastAsia"/>
                <w:kern w:val="0"/>
                <w:sz w:val="22"/>
                <w:szCs w:val="22"/>
              </w:rPr>
              <w:t>基金份额</w:t>
            </w:r>
          </w:p>
        </w:tc>
        <w:tc>
          <w:tcPr>
            <w:tcW w:w="2683" w:type="dxa"/>
            <w:tcBorders>
              <w:top w:val="single" w:sz="6" w:space="0" w:color="7F7F7F"/>
              <w:left w:val="single" w:sz="6" w:space="0" w:color="7F7F7F"/>
              <w:bottom w:val="single" w:sz="6" w:space="0" w:color="7F7F7F"/>
              <w:right w:val="single" w:sz="6" w:space="0" w:color="7F7F7F"/>
            </w:tcBorders>
            <w:hideMark/>
          </w:tcPr>
          <w:p w:rsidR="001512A4" w:rsidRPr="00A95203" w:rsidRDefault="001512A4" w:rsidP="00D7547A">
            <w:pPr>
              <w:widowControl/>
              <w:tabs>
                <w:tab w:val="left" w:pos="420"/>
              </w:tabs>
              <w:spacing w:before="100" w:beforeAutospacing="1" w:after="100" w:afterAutospacing="1"/>
              <w:jc w:val="center"/>
            </w:pPr>
            <w:r w:rsidRPr="0077155B">
              <w:rPr>
                <w:rFonts w:hint="eastAsia"/>
                <w:sz w:val="24"/>
              </w:rPr>
              <w:t>7</w:t>
            </w:r>
            <w:r w:rsidRPr="0077155B">
              <w:rPr>
                <w:rFonts w:hint="eastAsia"/>
                <w:sz w:val="24"/>
              </w:rPr>
              <w:t>日以内</w:t>
            </w:r>
          </w:p>
        </w:tc>
        <w:tc>
          <w:tcPr>
            <w:tcW w:w="1677" w:type="dxa"/>
            <w:tcBorders>
              <w:top w:val="single" w:sz="6" w:space="0" w:color="7F7F7F"/>
              <w:left w:val="single" w:sz="6" w:space="0" w:color="7F7F7F"/>
              <w:bottom w:val="single" w:sz="6" w:space="0" w:color="7F7F7F"/>
              <w:right w:val="single" w:sz="6" w:space="0" w:color="7F7F7F"/>
            </w:tcBorders>
            <w:hideMark/>
          </w:tcPr>
          <w:p w:rsidR="001512A4" w:rsidRPr="00A95203" w:rsidRDefault="001512A4" w:rsidP="00D7547A">
            <w:pPr>
              <w:widowControl/>
              <w:tabs>
                <w:tab w:val="left" w:pos="420"/>
              </w:tabs>
              <w:spacing w:before="100" w:beforeAutospacing="1" w:after="100" w:afterAutospacing="1"/>
              <w:jc w:val="center"/>
              <w:rPr>
                <w:sz w:val="24"/>
              </w:rPr>
            </w:pPr>
            <w:r w:rsidRPr="0077155B">
              <w:rPr>
                <w:rFonts w:hint="eastAsia"/>
                <w:sz w:val="24"/>
              </w:rPr>
              <w:t>1.5%</w:t>
            </w:r>
          </w:p>
        </w:tc>
      </w:tr>
      <w:tr w:rsidR="001512A4" w:rsidRPr="00A95203" w:rsidTr="001E6C4C">
        <w:trPr>
          <w:trHeight w:val="260"/>
          <w:tblCellSpacing w:w="0" w:type="dxa"/>
        </w:trPr>
        <w:tc>
          <w:tcPr>
            <w:tcW w:w="3941" w:type="dxa"/>
            <w:vMerge/>
            <w:tcBorders>
              <w:left w:val="single" w:sz="6" w:space="0" w:color="7F7F7F"/>
              <w:right w:val="single" w:sz="6" w:space="0" w:color="7F7F7F"/>
            </w:tcBorders>
            <w:vAlign w:val="center"/>
            <w:hideMark/>
          </w:tcPr>
          <w:p w:rsidR="001512A4" w:rsidRPr="00A95203" w:rsidRDefault="001512A4" w:rsidP="00D7547A">
            <w:pPr>
              <w:widowControl/>
              <w:jc w:val="left"/>
              <w:rPr>
                <w:kern w:val="0"/>
                <w:sz w:val="22"/>
                <w:szCs w:val="22"/>
              </w:rPr>
            </w:pPr>
          </w:p>
        </w:tc>
        <w:tc>
          <w:tcPr>
            <w:tcW w:w="2683" w:type="dxa"/>
            <w:tcBorders>
              <w:top w:val="single" w:sz="6" w:space="0" w:color="7F7F7F"/>
              <w:left w:val="single" w:sz="6" w:space="0" w:color="7F7F7F"/>
              <w:bottom w:val="single" w:sz="6" w:space="0" w:color="7F7F7F"/>
              <w:right w:val="single" w:sz="6" w:space="0" w:color="7F7F7F"/>
            </w:tcBorders>
            <w:hideMark/>
          </w:tcPr>
          <w:p w:rsidR="001512A4" w:rsidRPr="00A95203" w:rsidRDefault="001512A4" w:rsidP="00D7547A">
            <w:pPr>
              <w:widowControl/>
              <w:tabs>
                <w:tab w:val="left" w:pos="420"/>
              </w:tabs>
              <w:spacing w:before="100" w:beforeAutospacing="1" w:after="100" w:afterAutospacing="1"/>
              <w:jc w:val="center"/>
            </w:pPr>
            <w:r w:rsidRPr="0077155B">
              <w:rPr>
                <w:rFonts w:hint="eastAsia"/>
                <w:sz w:val="24"/>
              </w:rPr>
              <w:t>7</w:t>
            </w:r>
            <w:r w:rsidRPr="0077155B">
              <w:rPr>
                <w:rFonts w:hint="eastAsia"/>
                <w:sz w:val="24"/>
              </w:rPr>
              <w:t>日（含）—</w:t>
            </w:r>
            <w:r w:rsidRPr="0077155B">
              <w:rPr>
                <w:rFonts w:hint="eastAsia"/>
                <w:sz w:val="24"/>
              </w:rPr>
              <w:t>30</w:t>
            </w:r>
            <w:r w:rsidRPr="0077155B">
              <w:rPr>
                <w:rFonts w:hint="eastAsia"/>
                <w:sz w:val="24"/>
              </w:rPr>
              <w:t>日</w:t>
            </w:r>
          </w:p>
        </w:tc>
        <w:tc>
          <w:tcPr>
            <w:tcW w:w="1677" w:type="dxa"/>
            <w:tcBorders>
              <w:top w:val="single" w:sz="6" w:space="0" w:color="7F7F7F"/>
              <w:left w:val="single" w:sz="6" w:space="0" w:color="7F7F7F"/>
              <w:bottom w:val="single" w:sz="6" w:space="0" w:color="7F7F7F"/>
              <w:right w:val="single" w:sz="6" w:space="0" w:color="7F7F7F"/>
            </w:tcBorders>
            <w:hideMark/>
          </w:tcPr>
          <w:p w:rsidR="001512A4" w:rsidRPr="00A95203" w:rsidRDefault="001512A4" w:rsidP="00D7547A">
            <w:pPr>
              <w:widowControl/>
              <w:tabs>
                <w:tab w:val="left" w:pos="420"/>
              </w:tabs>
              <w:spacing w:before="100" w:beforeAutospacing="1" w:after="100" w:afterAutospacing="1"/>
              <w:jc w:val="center"/>
              <w:rPr>
                <w:sz w:val="24"/>
              </w:rPr>
            </w:pPr>
            <w:r w:rsidRPr="0077155B">
              <w:rPr>
                <w:rFonts w:hint="eastAsia"/>
                <w:sz w:val="24"/>
              </w:rPr>
              <w:t>0.75%</w:t>
            </w:r>
          </w:p>
        </w:tc>
      </w:tr>
      <w:tr w:rsidR="001512A4" w:rsidRPr="00A95203" w:rsidTr="001E6C4C">
        <w:trPr>
          <w:trHeight w:val="260"/>
          <w:tblCellSpacing w:w="0" w:type="dxa"/>
        </w:trPr>
        <w:tc>
          <w:tcPr>
            <w:tcW w:w="3941" w:type="dxa"/>
            <w:vMerge/>
            <w:tcBorders>
              <w:left w:val="single" w:sz="6" w:space="0" w:color="7F7F7F"/>
              <w:right w:val="single" w:sz="6" w:space="0" w:color="7F7F7F"/>
            </w:tcBorders>
            <w:vAlign w:val="center"/>
            <w:hideMark/>
          </w:tcPr>
          <w:p w:rsidR="001512A4" w:rsidRPr="00A95203" w:rsidRDefault="001512A4" w:rsidP="00D7547A">
            <w:pPr>
              <w:widowControl/>
              <w:jc w:val="left"/>
              <w:rPr>
                <w:kern w:val="0"/>
                <w:sz w:val="22"/>
                <w:szCs w:val="22"/>
              </w:rPr>
            </w:pPr>
          </w:p>
        </w:tc>
        <w:tc>
          <w:tcPr>
            <w:tcW w:w="2683" w:type="dxa"/>
            <w:tcBorders>
              <w:top w:val="single" w:sz="6" w:space="0" w:color="7F7F7F"/>
              <w:left w:val="single" w:sz="6" w:space="0" w:color="7F7F7F"/>
              <w:bottom w:val="single" w:sz="6" w:space="0" w:color="7F7F7F"/>
              <w:right w:val="single" w:sz="6" w:space="0" w:color="7F7F7F"/>
            </w:tcBorders>
            <w:hideMark/>
          </w:tcPr>
          <w:p w:rsidR="001512A4" w:rsidRPr="00A95203" w:rsidRDefault="001512A4" w:rsidP="00D7547A">
            <w:pPr>
              <w:widowControl/>
              <w:tabs>
                <w:tab w:val="left" w:pos="420"/>
              </w:tabs>
              <w:spacing w:before="100" w:beforeAutospacing="1" w:after="100" w:afterAutospacing="1"/>
              <w:jc w:val="center"/>
            </w:pPr>
            <w:r w:rsidRPr="0077155B">
              <w:rPr>
                <w:rFonts w:hint="eastAsia"/>
                <w:sz w:val="24"/>
              </w:rPr>
              <w:t>30</w:t>
            </w:r>
            <w:r w:rsidRPr="0077155B">
              <w:rPr>
                <w:rFonts w:hint="eastAsia"/>
                <w:sz w:val="24"/>
              </w:rPr>
              <w:t>日（含）—</w:t>
            </w:r>
            <w:r w:rsidRPr="0077155B">
              <w:rPr>
                <w:rFonts w:hint="eastAsia"/>
                <w:sz w:val="24"/>
              </w:rPr>
              <w:t>6</w:t>
            </w:r>
            <w:r w:rsidRPr="0077155B">
              <w:rPr>
                <w:rFonts w:hint="eastAsia"/>
                <w:sz w:val="24"/>
              </w:rPr>
              <w:t>个月</w:t>
            </w:r>
          </w:p>
        </w:tc>
        <w:tc>
          <w:tcPr>
            <w:tcW w:w="1677" w:type="dxa"/>
            <w:tcBorders>
              <w:top w:val="single" w:sz="6" w:space="0" w:color="7F7F7F"/>
              <w:left w:val="single" w:sz="6" w:space="0" w:color="7F7F7F"/>
              <w:bottom w:val="single" w:sz="6" w:space="0" w:color="7F7F7F"/>
              <w:right w:val="single" w:sz="6" w:space="0" w:color="7F7F7F"/>
            </w:tcBorders>
            <w:hideMark/>
          </w:tcPr>
          <w:p w:rsidR="001512A4" w:rsidRPr="00A95203" w:rsidRDefault="001512A4" w:rsidP="00D7547A">
            <w:pPr>
              <w:widowControl/>
              <w:tabs>
                <w:tab w:val="left" w:pos="420"/>
              </w:tabs>
              <w:spacing w:before="100" w:beforeAutospacing="1" w:after="100" w:afterAutospacing="1"/>
              <w:jc w:val="center"/>
              <w:rPr>
                <w:sz w:val="24"/>
              </w:rPr>
            </w:pPr>
            <w:r w:rsidRPr="0077155B">
              <w:rPr>
                <w:rFonts w:hint="eastAsia"/>
                <w:sz w:val="24"/>
              </w:rPr>
              <w:t>0.5%</w:t>
            </w:r>
          </w:p>
        </w:tc>
      </w:tr>
      <w:tr w:rsidR="001512A4" w:rsidRPr="00A95203" w:rsidTr="001E6C4C">
        <w:trPr>
          <w:trHeight w:val="260"/>
          <w:tblCellSpacing w:w="0" w:type="dxa"/>
        </w:trPr>
        <w:tc>
          <w:tcPr>
            <w:tcW w:w="3941" w:type="dxa"/>
            <w:vMerge/>
            <w:tcBorders>
              <w:left w:val="single" w:sz="6" w:space="0" w:color="7F7F7F"/>
              <w:bottom w:val="single" w:sz="6" w:space="0" w:color="7F7F7F"/>
              <w:right w:val="single" w:sz="6" w:space="0" w:color="7F7F7F"/>
            </w:tcBorders>
            <w:vAlign w:val="center"/>
            <w:hideMark/>
          </w:tcPr>
          <w:p w:rsidR="001512A4" w:rsidRPr="00A95203" w:rsidRDefault="001512A4" w:rsidP="00D7547A">
            <w:pPr>
              <w:widowControl/>
              <w:jc w:val="left"/>
              <w:rPr>
                <w:kern w:val="0"/>
                <w:sz w:val="22"/>
                <w:szCs w:val="22"/>
              </w:rPr>
            </w:pPr>
          </w:p>
        </w:tc>
        <w:tc>
          <w:tcPr>
            <w:tcW w:w="2683" w:type="dxa"/>
            <w:tcBorders>
              <w:top w:val="single" w:sz="6" w:space="0" w:color="7F7F7F"/>
              <w:left w:val="single" w:sz="6" w:space="0" w:color="7F7F7F"/>
              <w:bottom w:val="single" w:sz="6" w:space="0" w:color="7F7F7F"/>
              <w:right w:val="single" w:sz="6" w:space="0" w:color="7F7F7F"/>
            </w:tcBorders>
            <w:hideMark/>
          </w:tcPr>
          <w:p w:rsidR="001512A4" w:rsidRPr="00A95203" w:rsidRDefault="001512A4" w:rsidP="00D7547A">
            <w:pPr>
              <w:widowControl/>
              <w:tabs>
                <w:tab w:val="left" w:pos="420"/>
              </w:tabs>
              <w:spacing w:before="100" w:beforeAutospacing="1" w:after="100" w:afterAutospacing="1"/>
              <w:jc w:val="center"/>
            </w:pPr>
            <w:r w:rsidRPr="0077155B">
              <w:rPr>
                <w:rFonts w:hint="eastAsia"/>
                <w:sz w:val="24"/>
              </w:rPr>
              <w:t>6</w:t>
            </w:r>
            <w:r w:rsidRPr="0077155B">
              <w:rPr>
                <w:rFonts w:hint="eastAsia"/>
                <w:sz w:val="24"/>
              </w:rPr>
              <w:t>个月以上（含）</w:t>
            </w:r>
          </w:p>
        </w:tc>
        <w:tc>
          <w:tcPr>
            <w:tcW w:w="1677" w:type="dxa"/>
            <w:tcBorders>
              <w:top w:val="single" w:sz="6" w:space="0" w:color="7F7F7F"/>
              <w:left w:val="single" w:sz="6" w:space="0" w:color="7F7F7F"/>
              <w:bottom w:val="single" w:sz="6" w:space="0" w:color="7F7F7F"/>
              <w:right w:val="single" w:sz="6" w:space="0" w:color="7F7F7F"/>
            </w:tcBorders>
            <w:hideMark/>
          </w:tcPr>
          <w:p w:rsidR="001512A4" w:rsidRPr="00A95203" w:rsidRDefault="001512A4" w:rsidP="00D7547A">
            <w:pPr>
              <w:widowControl/>
              <w:tabs>
                <w:tab w:val="left" w:pos="420"/>
              </w:tabs>
              <w:spacing w:before="100" w:beforeAutospacing="1" w:after="100" w:afterAutospacing="1"/>
              <w:jc w:val="center"/>
              <w:rPr>
                <w:sz w:val="24"/>
              </w:rPr>
            </w:pPr>
            <w:r w:rsidRPr="0077155B">
              <w:rPr>
                <w:rFonts w:hint="eastAsia"/>
                <w:sz w:val="24"/>
              </w:rPr>
              <w:t>0</w:t>
            </w:r>
          </w:p>
        </w:tc>
      </w:tr>
      <w:tr w:rsidR="001512A4" w:rsidRPr="00A95203" w:rsidTr="00D7547A">
        <w:trPr>
          <w:tblCellSpacing w:w="0" w:type="dxa"/>
        </w:trPr>
        <w:tc>
          <w:tcPr>
            <w:tcW w:w="3941" w:type="dxa"/>
            <w:tcBorders>
              <w:top w:val="single" w:sz="6" w:space="0" w:color="7F7F7F"/>
              <w:left w:val="single" w:sz="6" w:space="0" w:color="7F7F7F"/>
              <w:bottom w:val="single" w:sz="6" w:space="0" w:color="7F7F7F"/>
              <w:right w:val="single" w:sz="6" w:space="0" w:color="7F7F7F"/>
            </w:tcBorders>
            <w:vAlign w:val="center"/>
            <w:hideMark/>
          </w:tcPr>
          <w:p w:rsidR="001512A4" w:rsidRPr="00A95203" w:rsidRDefault="001512A4" w:rsidP="00D7547A">
            <w:pPr>
              <w:widowControl/>
              <w:jc w:val="left"/>
              <w:rPr>
                <w:kern w:val="0"/>
                <w:sz w:val="22"/>
                <w:szCs w:val="22"/>
              </w:rPr>
            </w:pPr>
          </w:p>
        </w:tc>
        <w:tc>
          <w:tcPr>
            <w:tcW w:w="2683" w:type="dxa"/>
            <w:tcBorders>
              <w:top w:val="single" w:sz="6" w:space="0" w:color="7F7F7F"/>
              <w:left w:val="single" w:sz="6" w:space="0" w:color="7F7F7F"/>
              <w:bottom w:val="single" w:sz="6" w:space="0" w:color="7F7F7F"/>
              <w:right w:val="single" w:sz="6" w:space="0" w:color="7F7F7F"/>
            </w:tcBorders>
            <w:vAlign w:val="center"/>
            <w:hideMark/>
          </w:tcPr>
          <w:p w:rsidR="001512A4" w:rsidRPr="00A95203" w:rsidRDefault="001512A4" w:rsidP="00D7547A">
            <w:pPr>
              <w:widowControl/>
              <w:tabs>
                <w:tab w:val="left" w:pos="420"/>
              </w:tabs>
              <w:spacing w:before="100" w:beforeAutospacing="1" w:after="100" w:afterAutospacing="1"/>
              <w:jc w:val="center"/>
              <w:rPr>
                <w:kern w:val="0"/>
                <w:sz w:val="22"/>
                <w:szCs w:val="22"/>
              </w:rPr>
            </w:pPr>
          </w:p>
        </w:tc>
        <w:tc>
          <w:tcPr>
            <w:tcW w:w="1677" w:type="dxa"/>
            <w:tcBorders>
              <w:top w:val="single" w:sz="6" w:space="0" w:color="7F7F7F"/>
              <w:left w:val="single" w:sz="6" w:space="0" w:color="7F7F7F"/>
              <w:bottom w:val="single" w:sz="6" w:space="0" w:color="7F7F7F"/>
              <w:right w:val="single" w:sz="6" w:space="0" w:color="7F7F7F"/>
            </w:tcBorders>
            <w:vAlign w:val="center"/>
            <w:hideMark/>
          </w:tcPr>
          <w:p w:rsidR="001512A4" w:rsidRPr="00A95203" w:rsidRDefault="001512A4" w:rsidP="00D7547A">
            <w:pPr>
              <w:widowControl/>
              <w:tabs>
                <w:tab w:val="left" w:pos="420"/>
              </w:tabs>
              <w:spacing w:before="100" w:beforeAutospacing="1" w:after="100" w:afterAutospacing="1"/>
              <w:jc w:val="center"/>
              <w:rPr>
                <w:kern w:val="0"/>
                <w:sz w:val="22"/>
                <w:szCs w:val="22"/>
              </w:rPr>
            </w:pPr>
          </w:p>
        </w:tc>
      </w:tr>
      <w:tr w:rsidR="001512A4" w:rsidRPr="00A95203" w:rsidTr="00D7547A">
        <w:trPr>
          <w:tblCellSpacing w:w="0" w:type="dxa"/>
        </w:trPr>
        <w:tc>
          <w:tcPr>
            <w:tcW w:w="3941" w:type="dxa"/>
            <w:tcBorders>
              <w:top w:val="single" w:sz="6" w:space="0" w:color="7F7F7F"/>
              <w:left w:val="single" w:sz="6" w:space="0" w:color="7F7F7F"/>
              <w:bottom w:val="single" w:sz="6" w:space="0" w:color="7F7F7F"/>
              <w:right w:val="single" w:sz="6" w:space="0" w:color="7F7F7F"/>
            </w:tcBorders>
            <w:vAlign w:val="center"/>
            <w:hideMark/>
          </w:tcPr>
          <w:p w:rsidR="001512A4" w:rsidRPr="00A95203" w:rsidRDefault="001512A4" w:rsidP="00D7547A">
            <w:pPr>
              <w:widowControl/>
              <w:jc w:val="left"/>
              <w:rPr>
                <w:kern w:val="0"/>
                <w:sz w:val="22"/>
                <w:szCs w:val="22"/>
              </w:rPr>
            </w:pPr>
          </w:p>
        </w:tc>
        <w:tc>
          <w:tcPr>
            <w:tcW w:w="2683" w:type="dxa"/>
            <w:tcBorders>
              <w:top w:val="single" w:sz="6" w:space="0" w:color="7F7F7F"/>
              <w:left w:val="single" w:sz="6" w:space="0" w:color="7F7F7F"/>
              <w:bottom w:val="single" w:sz="6" w:space="0" w:color="7F7F7F"/>
              <w:right w:val="single" w:sz="6" w:space="0" w:color="7F7F7F"/>
            </w:tcBorders>
            <w:vAlign w:val="center"/>
            <w:hideMark/>
          </w:tcPr>
          <w:p w:rsidR="001512A4" w:rsidRPr="00A95203" w:rsidRDefault="001512A4" w:rsidP="00D7547A">
            <w:pPr>
              <w:widowControl/>
              <w:tabs>
                <w:tab w:val="left" w:pos="420"/>
              </w:tabs>
              <w:spacing w:before="100" w:beforeAutospacing="1" w:after="100" w:afterAutospacing="1"/>
              <w:jc w:val="center"/>
              <w:rPr>
                <w:kern w:val="0"/>
                <w:sz w:val="22"/>
                <w:szCs w:val="22"/>
              </w:rPr>
            </w:pPr>
          </w:p>
        </w:tc>
        <w:tc>
          <w:tcPr>
            <w:tcW w:w="1677" w:type="dxa"/>
            <w:tcBorders>
              <w:top w:val="single" w:sz="6" w:space="0" w:color="7F7F7F"/>
              <w:left w:val="single" w:sz="6" w:space="0" w:color="7F7F7F"/>
              <w:bottom w:val="single" w:sz="6" w:space="0" w:color="7F7F7F"/>
              <w:right w:val="single" w:sz="6" w:space="0" w:color="7F7F7F"/>
            </w:tcBorders>
            <w:vAlign w:val="center"/>
            <w:hideMark/>
          </w:tcPr>
          <w:p w:rsidR="001512A4" w:rsidRPr="00A95203" w:rsidRDefault="001512A4" w:rsidP="00D7547A">
            <w:pPr>
              <w:widowControl/>
              <w:tabs>
                <w:tab w:val="left" w:pos="420"/>
              </w:tabs>
              <w:spacing w:before="100" w:beforeAutospacing="1" w:after="100" w:afterAutospacing="1"/>
              <w:jc w:val="center"/>
              <w:rPr>
                <w:kern w:val="0"/>
                <w:sz w:val="22"/>
                <w:szCs w:val="22"/>
              </w:rPr>
            </w:pPr>
          </w:p>
        </w:tc>
      </w:tr>
    </w:tbl>
    <w:p w:rsidR="00FD2D8E" w:rsidRPr="00A95203" w:rsidRDefault="00BE45AF" w:rsidP="00FD2D8E">
      <w:pPr>
        <w:pStyle w:val="af2"/>
        <w:spacing w:line="360" w:lineRule="auto"/>
        <w:ind w:rightChars="-85" w:right="-178" w:firstLineChars="200" w:firstLine="480"/>
        <w:rPr>
          <w:sz w:val="24"/>
          <w:szCs w:val="24"/>
        </w:rPr>
      </w:pPr>
      <w:r w:rsidRPr="00A95203">
        <w:rPr>
          <w:sz w:val="24"/>
          <w:szCs w:val="24"/>
        </w:rPr>
        <w:lastRenderedPageBreak/>
        <w:t>（</w:t>
      </w:r>
      <w:r w:rsidRPr="00A95203">
        <w:rPr>
          <w:sz w:val="24"/>
          <w:szCs w:val="24"/>
        </w:rPr>
        <w:t>2</w:t>
      </w:r>
      <w:r w:rsidRPr="00A95203">
        <w:rPr>
          <w:sz w:val="24"/>
          <w:szCs w:val="24"/>
        </w:rPr>
        <w:t>）交银新成长</w:t>
      </w:r>
      <w:r w:rsidR="00FD2D8E" w:rsidRPr="00A95203">
        <w:rPr>
          <w:sz w:val="24"/>
          <w:szCs w:val="24"/>
        </w:rPr>
        <w:t>、交银新回报</w:t>
      </w:r>
      <w:r w:rsidR="00F1122A" w:rsidRPr="00A95203">
        <w:rPr>
          <w:kern w:val="0"/>
          <w:sz w:val="22"/>
          <w:szCs w:val="22"/>
        </w:rPr>
        <w:t>A</w:t>
      </w:r>
      <w:r w:rsidR="00F1122A" w:rsidRPr="00A95203">
        <w:rPr>
          <w:kern w:val="0"/>
          <w:sz w:val="22"/>
          <w:szCs w:val="22"/>
        </w:rPr>
        <w:t>类</w:t>
      </w:r>
      <w:r w:rsidR="00F1122A">
        <w:rPr>
          <w:rFonts w:hint="eastAsia"/>
          <w:kern w:val="0"/>
          <w:sz w:val="22"/>
          <w:szCs w:val="22"/>
        </w:rPr>
        <w:t>基金份额</w:t>
      </w:r>
      <w:r w:rsidR="00FD2D8E" w:rsidRPr="00A95203">
        <w:rPr>
          <w:sz w:val="24"/>
          <w:szCs w:val="24"/>
        </w:rPr>
        <w:t>、交银多策略回报</w:t>
      </w:r>
      <w:r w:rsidR="00F1122A" w:rsidRPr="00A95203">
        <w:rPr>
          <w:kern w:val="0"/>
          <w:sz w:val="22"/>
          <w:szCs w:val="22"/>
        </w:rPr>
        <w:t>A</w:t>
      </w:r>
      <w:r w:rsidR="00F1122A" w:rsidRPr="00A95203">
        <w:rPr>
          <w:kern w:val="0"/>
          <w:sz w:val="22"/>
          <w:szCs w:val="22"/>
        </w:rPr>
        <w:t>类</w:t>
      </w:r>
      <w:r w:rsidR="00F1122A">
        <w:rPr>
          <w:rFonts w:hint="eastAsia"/>
          <w:kern w:val="0"/>
          <w:sz w:val="22"/>
          <w:szCs w:val="22"/>
        </w:rPr>
        <w:t>基金份额</w:t>
      </w:r>
      <w:r w:rsidR="00BC54B9" w:rsidRPr="00DF6827">
        <w:rPr>
          <w:sz w:val="24"/>
          <w:szCs w:val="24"/>
        </w:rPr>
        <w:t>、</w:t>
      </w:r>
      <w:r w:rsidR="00847452" w:rsidRPr="00A95203">
        <w:rPr>
          <w:sz w:val="24"/>
          <w:szCs w:val="24"/>
        </w:rPr>
        <w:t>交银消费新驱</w:t>
      </w:r>
      <w:r w:rsidR="007F780E" w:rsidRPr="00A95203">
        <w:rPr>
          <w:sz w:val="24"/>
          <w:szCs w:val="24"/>
        </w:rPr>
        <w:t>动、交银国企改革</w:t>
      </w:r>
      <w:r w:rsidR="00EB026E" w:rsidRPr="00A95203">
        <w:rPr>
          <w:sz w:val="24"/>
          <w:szCs w:val="24"/>
        </w:rPr>
        <w:t>、交银荣和保本</w:t>
      </w:r>
      <w:r w:rsidR="00C75A65">
        <w:rPr>
          <w:rFonts w:hint="eastAsia"/>
          <w:sz w:val="24"/>
          <w:szCs w:val="24"/>
        </w:rPr>
        <w:t>、交银科技创新</w:t>
      </w:r>
      <w:r w:rsidR="00D14546">
        <w:rPr>
          <w:rFonts w:hint="eastAsia"/>
          <w:sz w:val="24"/>
          <w:szCs w:val="24"/>
        </w:rPr>
        <w:t>、交银数据产业</w:t>
      </w:r>
      <w:r w:rsidR="001B543A">
        <w:rPr>
          <w:rFonts w:hint="eastAsia"/>
          <w:sz w:val="24"/>
          <w:szCs w:val="24"/>
        </w:rPr>
        <w:t>、交银经济新动力</w:t>
      </w:r>
      <w:r w:rsidR="007F780E" w:rsidRPr="00A95203">
        <w:rPr>
          <w:sz w:val="24"/>
          <w:szCs w:val="24"/>
        </w:rPr>
        <w:t>赎回费用归入基金资产比例情况：对持续持有期少于</w:t>
      </w:r>
      <w:r w:rsidR="007F780E" w:rsidRPr="00A95203">
        <w:rPr>
          <w:sz w:val="24"/>
          <w:szCs w:val="24"/>
        </w:rPr>
        <w:t>30</w:t>
      </w:r>
      <w:r w:rsidR="007F780E" w:rsidRPr="00A95203">
        <w:rPr>
          <w:sz w:val="24"/>
          <w:szCs w:val="24"/>
        </w:rPr>
        <w:t>日的投资人，将</w:t>
      </w:r>
      <w:r w:rsidRPr="00A95203">
        <w:rPr>
          <w:sz w:val="24"/>
          <w:szCs w:val="24"/>
        </w:rPr>
        <w:t>其赎回费全额计入基金财产；对持续持有期大于等于</w:t>
      </w:r>
      <w:r w:rsidRPr="00A95203">
        <w:rPr>
          <w:sz w:val="24"/>
          <w:szCs w:val="24"/>
        </w:rPr>
        <w:t>30</w:t>
      </w:r>
      <w:r w:rsidRPr="00A95203">
        <w:rPr>
          <w:sz w:val="24"/>
          <w:szCs w:val="24"/>
        </w:rPr>
        <w:t>日但少于</w:t>
      </w:r>
      <w:r w:rsidRPr="00A95203">
        <w:rPr>
          <w:sz w:val="24"/>
          <w:szCs w:val="24"/>
        </w:rPr>
        <w:t>3</w:t>
      </w:r>
      <w:r w:rsidRPr="00A95203">
        <w:rPr>
          <w:sz w:val="24"/>
          <w:szCs w:val="24"/>
        </w:rPr>
        <w:t>个月的投资人，将</w:t>
      </w:r>
      <w:r w:rsidR="00700CF6" w:rsidRPr="00A95203">
        <w:rPr>
          <w:sz w:val="24"/>
          <w:szCs w:val="24"/>
        </w:rPr>
        <w:t>其</w:t>
      </w:r>
      <w:r w:rsidRPr="00A95203">
        <w:rPr>
          <w:sz w:val="24"/>
          <w:szCs w:val="24"/>
        </w:rPr>
        <w:t>不低于赎回费总额的</w:t>
      </w:r>
      <w:r w:rsidRPr="00A95203">
        <w:rPr>
          <w:sz w:val="24"/>
          <w:szCs w:val="24"/>
        </w:rPr>
        <w:t>75%</w:t>
      </w:r>
      <w:r w:rsidRPr="00A95203">
        <w:rPr>
          <w:sz w:val="24"/>
          <w:szCs w:val="24"/>
        </w:rPr>
        <w:t>计入基金财产；对持续持有期大于等于</w:t>
      </w:r>
      <w:r w:rsidRPr="00A95203">
        <w:rPr>
          <w:sz w:val="24"/>
          <w:szCs w:val="24"/>
        </w:rPr>
        <w:t>3</w:t>
      </w:r>
      <w:r w:rsidRPr="00A95203">
        <w:rPr>
          <w:sz w:val="24"/>
          <w:szCs w:val="24"/>
        </w:rPr>
        <w:t>个月但少于</w:t>
      </w:r>
      <w:r w:rsidRPr="00A95203">
        <w:rPr>
          <w:sz w:val="24"/>
          <w:szCs w:val="24"/>
        </w:rPr>
        <w:t>6</w:t>
      </w:r>
      <w:r w:rsidRPr="00A95203">
        <w:rPr>
          <w:sz w:val="24"/>
          <w:szCs w:val="24"/>
        </w:rPr>
        <w:t>个月的投资人，将</w:t>
      </w:r>
      <w:r w:rsidR="00700CF6" w:rsidRPr="00A95203">
        <w:rPr>
          <w:sz w:val="24"/>
          <w:szCs w:val="24"/>
        </w:rPr>
        <w:t>其</w:t>
      </w:r>
      <w:r w:rsidRPr="00A95203">
        <w:rPr>
          <w:sz w:val="24"/>
          <w:szCs w:val="24"/>
        </w:rPr>
        <w:t>不低于赎回费总额的</w:t>
      </w:r>
      <w:r w:rsidRPr="00A95203">
        <w:rPr>
          <w:sz w:val="24"/>
          <w:szCs w:val="24"/>
        </w:rPr>
        <w:t>50%</w:t>
      </w:r>
      <w:r w:rsidRPr="00A95203">
        <w:rPr>
          <w:sz w:val="24"/>
          <w:szCs w:val="24"/>
        </w:rPr>
        <w:t>计入基金财产；对持续持有期长于</w:t>
      </w:r>
      <w:r w:rsidRPr="00A95203">
        <w:rPr>
          <w:sz w:val="24"/>
          <w:szCs w:val="24"/>
        </w:rPr>
        <w:t>6</w:t>
      </w:r>
      <w:r w:rsidRPr="00A95203">
        <w:rPr>
          <w:sz w:val="24"/>
          <w:szCs w:val="24"/>
        </w:rPr>
        <w:t>个月的投资人，</w:t>
      </w:r>
      <w:r w:rsidR="00700CF6" w:rsidRPr="00A95203">
        <w:rPr>
          <w:sz w:val="24"/>
          <w:szCs w:val="24"/>
        </w:rPr>
        <w:t>将其</w:t>
      </w:r>
      <w:r w:rsidRPr="00A95203">
        <w:rPr>
          <w:sz w:val="24"/>
          <w:szCs w:val="24"/>
        </w:rPr>
        <w:t>不低于赎回费总额的</w:t>
      </w:r>
      <w:r w:rsidRPr="00A95203">
        <w:rPr>
          <w:sz w:val="24"/>
          <w:szCs w:val="24"/>
        </w:rPr>
        <w:t>25%</w:t>
      </w:r>
      <w:r w:rsidRPr="00A95203">
        <w:rPr>
          <w:sz w:val="24"/>
          <w:szCs w:val="24"/>
        </w:rPr>
        <w:t>计入基金财产；其余用于支付登记费和其他必要的手续费。</w:t>
      </w:r>
    </w:p>
    <w:p w:rsidR="00536704" w:rsidRPr="00A95203" w:rsidRDefault="00536704" w:rsidP="00536704">
      <w:pPr>
        <w:pStyle w:val="af2"/>
        <w:spacing w:line="360" w:lineRule="auto"/>
        <w:ind w:rightChars="-85" w:right="-178" w:firstLineChars="200" w:firstLine="480"/>
        <w:rPr>
          <w:sz w:val="24"/>
          <w:szCs w:val="24"/>
        </w:rPr>
      </w:pPr>
      <w:r w:rsidRPr="00A95203">
        <w:rPr>
          <w:sz w:val="24"/>
          <w:szCs w:val="24"/>
        </w:rPr>
        <w:t>3</w:t>
      </w:r>
      <w:r w:rsidRPr="00A95203">
        <w:rPr>
          <w:sz w:val="24"/>
          <w:szCs w:val="24"/>
        </w:rPr>
        <w:t>、前端收费模式下转出与转入基金的申购补差费用</w:t>
      </w:r>
    </w:p>
    <w:p w:rsidR="00536704" w:rsidRPr="00A95203" w:rsidRDefault="0044505C" w:rsidP="00536704">
      <w:pPr>
        <w:pStyle w:val="af2"/>
        <w:spacing w:line="360" w:lineRule="auto"/>
        <w:ind w:rightChars="-85" w:right="-178" w:firstLineChars="200" w:firstLine="480"/>
        <w:rPr>
          <w:sz w:val="24"/>
          <w:szCs w:val="24"/>
        </w:rPr>
      </w:pPr>
      <w:r w:rsidRPr="00AB1603">
        <w:rPr>
          <w:sz w:val="24"/>
          <w:szCs w:val="24"/>
        </w:rPr>
        <w:t>从不收取申购费用的基金或前端申购费用低的基金向前端申购费用高的基金转换，收取前端申购补差费用；从前端申购费用高的基金向前端申购费用低的基金或不收取申购费用的基金转换，不收取前端申购补差费用</w:t>
      </w:r>
      <w:r w:rsidR="00536704" w:rsidRPr="00A95203">
        <w:rPr>
          <w:sz w:val="24"/>
          <w:szCs w:val="24"/>
        </w:rPr>
        <w:t>。申购补差费用原则上按照转出确认金额对应分档的转入基金前端申购费率减去转出基金前端申购费率差额进行补差，转出与转入基金的申购补差费率按照转出确认金额分档，并随着转出确认金额递减。前端收费模式下转出与转入基金的申购补差费率具体如下：</w:t>
      </w:r>
    </w:p>
    <w:tbl>
      <w:tblPr>
        <w:tblW w:w="8475" w:type="dxa"/>
        <w:tblCellSpacing w:w="0" w:type="dxa"/>
        <w:tblBorders>
          <w:top w:val="single" w:sz="2" w:space="0" w:color="7F7F7F"/>
          <w:left w:val="single" w:sz="2" w:space="0" w:color="7F7F7F"/>
          <w:bottom w:val="single" w:sz="2" w:space="0" w:color="7F7F7F"/>
          <w:right w:val="single" w:sz="2" w:space="0" w:color="7F7F7F"/>
          <w:insideH w:val="single" w:sz="6" w:space="0" w:color="7F7F7F"/>
          <w:insideV w:val="single" w:sz="6" w:space="0" w:color="7F7F7F"/>
        </w:tblBorders>
        <w:tblLayout w:type="fixed"/>
        <w:tblCellMar>
          <w:left w:w="0" w:type="dxa"/>
          <w:right w:w="0" w:type="dxa"/>
        </w:tblCellMar>
        <w:tblLook w:val="04A0"/>
      </w:tblPr>
      <w:tblGrid>
        <w:gridCol w:w="1922"/>
        <w:gridCol w:w="2010"/>
        <w:gridCol w:w="3029"/>
        <w:gridCol w:w="1514"/>
      </w:tblGrid>
      <w:tr w:rsidR="00C254DD" w:rsidRPr="00A95203" w:rsidTr="003B7662">
        <w:trPr>
          <w:tblCellSpacing w:w="0" w:type="dxa"/>
        </w:trPr>
        <w:tc>
          <w:tcPr>
            <w:tcW w:w="1922" w:type="dxa"/>
            <w:tcBorders>
              <w:top w:val="single" w:sz="6" w:space="0" w:color="7F7F7F"/>
              <w:left w:val="single" w:sz="6" w:space="0" w:color="7F7F7F"/>
              <w:bottom w:val="single" w:sz="6" w:space="0" w:color="7F7F7F"/>
              <w:right w:val="single" w:sz="6" w:space="0" w:color="7F7F7F"/>
            </w:tcBorders>
            <w:vAlign w:val="center"/>
            <w:hideMark/>
          </w:tcPr>
          <w:p w:rsidR="00C254DD" w:rsidRPr="00A95203" w:rsidRDefault="00C254DD" w:rsidP="00534F16">
            <w:pPr>
              <w:widowControl/>
              <w:tabs>
                <w:tab w:val="left" w:pos="420"/>
              </w:tabs>
              <w:spacing w:before="100" w:beforeAutospacing="1" w:after="100" w:afterAutospacing="1"/>
              <w:jc w:val="center"/>
              <w:rPr>
                <w:kern w:val="0"/>
                <w:sz w:val="22"/>
                <w:szCs w:val="22"/>
              </w:rPr>
            </w:pPr>
            <w:r w:rsidRPr="00A95203">
              <w:rPr>
                <w:b/>
                <w:bCs/>
                <w:kern w:val="0"/>
                <w:sz w:val="22"/>
                <w:szCs w:val="22"/>
              </w:rPr>
              <w:t>转出基金</w:t>
            </w:r>
          </w:p>
        </w:tc>
        <w:tc>
          <w:tcPr>
            <w:tcW w:w="2010" w:type="dxa"/>
            <w:tcBorders>
              <w:top w:val="single" w:sz="6" w:space="0" w:color="7F7F7F"/>
              <w:left w:val="single" w:sz="6" w:space="0" w:color="7F7F7F"/>
              <w:bottom w:val="single" w:sz="6" w:space="0" w:color="7F7F7F"/>
              <w:right w:val="single" w:sz="6" w:space="0" w:color="7F7F7F"/>
            </w:tcBorders>
            <w:vAlign w:val="center"/>
            <w:hideMark/>
          </w:tcPr>
          <w:p w:rsidR="00C254DD" w:rsidRPr="00A95203" w:rsidRDefault="00C254DD" w:rsidP="00534F16">
            <w:pPr>
              <w:widowControl/>
              <w:tabs>
                <w:tab w:val="left" w:pos="420"/>
              </w:tabs>
              <w:spacing w:before="100" w:beforeAutospacing="1" w:after="100" w:afterAutospacing="1"/>
              <w:jc w:val="center"/>
              <w:rPr>
                <w:kern w:val="0"/>
                <w:sz w:val="22"/>
                <w:szCs w:val="22"/>
              </w:rPr>
            </w:pPr>
            <w:r w:rsidRPr="00A95203">
              <w:rPr>
                <w:b/>
                <w:bCs/>
                <w:kern w:val="0"/>
                <w:sz w:val="22"/>
                <w:szCs w:val="22"/>
              </w:rPr>
              <w:t>转入基金</w:t>
            </w:r>
          </w:p>
        </w:tc>
        <w:tc>
          <w:tcPr>
            <w:tcW w:w="3029" w:type="dxa"/>
            <w:tcBorders>
              <w:top w:val="single" w:sz="6" w:space="0" w:color="7F7F7F"/>
              <w:left w:val="single" w:sz="6" w:space="0" w:color="7F7F7F"/>
              <w:bottom w:val="single" w:sz="6" w:space="0" w:color="7F7F7F"/>
              <w:right w:val="single" w:sz="6" w:space="0" w:color="7F7F7F"/>
            </w:tcBorders>
            <w:vAlign w:val="center"/>
            <w:hideMark/>
          </w:tcPr>
          <w:p w:rsidR="00C254DD" w:rsidRPr="00A95203" w:rsidRDefault="00C254DD" w:rsidP="00534F16">
            <w:pPr>
              <w:widowControl/>
              <w:tabs>
                <w:tab w:val="left" w:pos="420"/>
              </w:tabs>
              <w:spacing w:before="100" w:beforeAutospacing="1" w:after="100" w:afterAutospacing="1"/>
              <w:jc w:val="center"/>
              <w:rPr>
                <w:kern w:val="0"/>
                <w:sz w:val="22"/>
                <w:szCs w:val="22"/>
              </w:rPr>
            </w:pPr>
            <w:r w:rsidRPr="00A95203">
              <w:rPr>
                <w:b/>
                <w:bCs/>
                <w:kern w:val="0"/>
                <w:sz w:val="22"/>
                <w:szCs w:val="22"/>
              </w:rPr>
              <w:t>转出确认金额</w:t>
            </w:r>
          </w:p>
        </w:tc>
        <w:tc>
          <w:tcPr>
            <w:tcW w:w="1514" w:type="dxa"/>
            <w:tcBorders>
              <w:top w:val="single" w:sz="6" w:space="0" w:color="7F7F7F"/>
              <w:left w:val="single" w:sz="6" w:space="0" w:color="7F7F7F"/>
              <w:bottom w:val="single" w:sz="6" w:space="0" w:color="7F7F7F"/>
              <w:right w:val="single" w:sz="6" w:space="0" w:color="7F7F7F"/>
            </w:tcBorders>
            <w:vAlign w:val="center"/>
            <w:hideMark/>
          </w:tcPr>
          <w:p w:rsidR="00C254DD" w:rsidRPr="00A95203" w:rsidRDefault="00C254DD" w:rsidP="00534F16">
            <w:pPr>
              <w:widowControl/>
              <w:tabs>
                <w:tab w:val="left" w:pos="420"/>
              </w:tabs>
              <w:spacing w:before="100" w:beforeAutospacing="1" w:after="100" w:afterAutospacing="1"/>
              <w:jc w:val="center"/>
              <w:rPr>
                <w:kern w:val="0"/>
                <w:sz w:val="22"/>
                <w:szCs w:val="22"/>
              </w:rPr>
            </w:pPr>
            <w:r w:rsidRPr="00A95203">
              <w:rPr>
                <w:b/>
                <w:bCs/>
                <w:kern w:val="0"/>
                <w:sz w:val="22"/>
                <w:szCs w:val="22"/>
              </w:rPr>
              <w:t>转出与转入基金的申购补差费率</w:t>
            </w:r>
          </w:p>
        </w:tc>
      </w:tr>
      <w:tr w:rsidR="00BB4D53" w:rsidRPr="00A95203" w:rsidTr="003B7662">
        <w:trPr>
          <w:trHeight w:val="374"/>
          <w:tblCellSpacing w:w="0" w:type="dxa"/>
        </w:trPr>
        <w:tc>
          <w:tcPr>
            <w:tcW w:w="1922" w:type="dxa"/>
            <w:vMerge w:val="restart"/>
            <w:tcBorders>
              <w:top w:val="single" w:sz="6" w:space="0" w:color="7F7F7F"/>
              <w:left w:val="single" w:sz="6" w:space="0" w:color="7F7F7F"/>
              <w:right w:val="single" w:sz="6" w:space="0" w:color="7F7F7F"/>
            </w:tcBorders>
            <w:vAlign w:val="center"/>
            <w:hideMark/>
          </w:tcPr>
          <w:p w:rsidR="00BB4D53" w:rsidRPr="00A95203" w:rsidRDefault="00BB4D53" w:rsidP="00380F1D">
            <w:pPr>
              <w:widowControl/>
              <w:jc w:val="left"/>
              <w:rPr>
                <w:b/>
                <w:bCs/>
                <w:kern w:val="0"/>
                <w:sz w:val="22"/>
                <w:szCs w:val="22"/>
              </w:rPr>
            </w:pPr>
            <w:r w:rsidRPr="00A95203">
              <w:rPr>
                <w:kern w:val="0"/>
                <w:sz w:val="22"/>
                <w:szCs w:val="22"/>
              </w:rPr>
              <w:t>交银货币</w:t>
            </w:r>
            <w:r w:rsidR="00380F1D">
              <w:rPr>
                <w:rFonts w:hint="eastAsia"/>
                <w:kern w:val="0"/>
                <w:sz w:val="22"/>
                <w:szCs w:val="22"/>
              </w:rPr>
              <w:t>、</w:t>
            </w:r>
            <w:r w:rsidRPr="00A95203">
              <w:rPr>
                <w:kern w:val="0"/>
                <w:sz w:val="22"/>
                <w:szCs w:val="22"/>
              </w:rPr>
              <w:t>交银增利</w:t>
            </w:r>
            <w:r w:rsidRPr="00A95203">
              <w:rPr>
                <w:kern w:val="0"/>
                <w:sz w:val="22"/>
                <w:szCs w:val="22"/>
              </w:rPr>
              <w:t>C</w:t>
            </w:r>
            <w:r w:rsidRPr="00A95203">
              <w:rPr>
                <w:kern w:val="0"/>
                <w:sz w:val="22"/>
                <w:szCs w:val="22"/>
              </w:rPr>
              <w:t>类基金份额</w:t>
            </w:r>
            <w:r w:rsidR="00380F1D">
              <w:rPr>
                <w:rFonts w:hint="eastAsia"/>
                <w:kern w:val="0"/>
                <w:sz w:val="22"/>
                <w:szCs w:val="22"/>
              </w:rPr>
              <w:t>、</w:t>
            </w:r>
            <w:r w:rsidRPr="00A95203">
              <w:rPr>
                <w:kern w:val="0"/>
                <w:sz w:val="22"/>
                <w:szCs w:val="22"/>
              </w:rPr>
              <w:t>交银双利</w:t>
            </w:r>
            <w:r w:rsidRPr="00A95203">
              <w:rPr>
                <w:kern w:val="0"/>
                <w:sz w:val="22"/>
                <w:szCs w:val="22"/>
              </w:rPr>
              <w:t>C</w:t>
            </w:r>
            <w:r w:rsidRPr="00A95203">
              <w:rPr>
                <w:kern w:val="0"/>
                <w:sz w:val="22"/>
                <w:szCs w:val="22"/>
              </w:rPr>
              <w:t>类基金份额</w:t>
            </w:r>
            <w:r w:rsidR="00380F1D">
              <w:rPr>
                <w:rFonts w:hint="eastAsia"/>
                <w:kern w:val="0"/>
                <w:sz w:val="22"/>
                <w:szCs w:val="22"/>
              </w:rPr>
              <w:t>、</w:t>
            </w:r>
            <w:r w:rsidRPr="00A95203">
              <w:rPr>
                <w:kern w:val="0"/>
                <w:sz w:val="22"/>
                <w:szCs w:val="22"/>
              </w:rPr>
              <w:t>交银纯债</w:t>
            </w:r>
            <w:r w:rsidRPr="00A95203">
              <w:rPr>
                <w:kern w:val="0"/>
                <w:sz w:val="22"/>
                <w:szCs w:val="22"/>
              </w:rPr>
              <w:t>C</w:t>
            </w:r>
            <w:r w:rsidRPr="00A95203">
              <w:rPr>
                <w:kern w:val="0"/>
                <w:sz w:val="22"/>
                <w:szCs w:val="22"/>
              </w:rPr>
              <w:t>类基金份额</w:t>
            </w:r>
            <w:r w:rsidR="00380F1D">
              <w:rPr>
                <w:rFonts w:hint="eastAsia"/>
                <w:kern w:val="0"/>
                <w:sz w:val="22"/>
                <w:szCs w:val="22"/>
              </w:rPr>
              <w:t>、</w:t>
            </w:r>
            <w:r w:rsidRPr="00A95203">
              <w:rPr>
                <w:kern w:val="0"/>
                <w:sz w:val="22"/>
                <w:szCs w:val="22"/>
              </w:rPr>
              <w:t>交银双轮动</w:t>
            </w:r>
            <w:r w:rsidRPr="00A95203">
              <w:rPr>
                <w:kern w:val="0"/>
                <w:sz w:val="22"/>
                <w:szCs w:val="22"/>
              </w:rPr>
              <w:t>C</w:t>
            </w:r>
            <w:r w:rsidRPr="00A95203">
              <w:rPr>
                <w:kern w:val="0"/>
                <w:sz w:val="22"/>
                <w:szCs w:val="22"/>
              </w:rPr>
              <w:t>类基金份额</w:t>
            </w:r>
            <w:r w:rsidR="00380F1D">
              <w:rPr>
                <w:rFonts w:hint="eastAsia"/>
                <w:kern w:val="0"/>
                <w:sz w:val="22"/>
                <w:szCs w:val="22"/>
              </w:rPr>
              <w:t>、</w:t>
            </w:r>
            <w:r w:rsidRPr="00A95203">
              <w:rPr>
                <w:kern w:val="0"/>
                <w:sz w:val="22"/>
                <w:szCs w:val="22"/>
              </w:rPr>
              <w:t>交银月月丰</w:t>
            </w:r>
            <w:r w:rsidRPr="00A95203">
              <w:rPr>
                <w:kern w:val="0"/>
                <w:sz w:val="22"/>
                <w:szCs w:val="22"/>
              </w:rPr>
              <w:t>C</w:t>
            </w:r>
            <w:r w:rsidRPr="00A95203">
              <w:rPr>
                <w:kern w:val="0"/>
                <w:sz w:val="22"/>
                <w:szCs w:val="22"/>
              </w:rPr>
              <w:t>类基金份额</w:t>
            </w:r>
            <w:r w:rsidR="00380F1D">
              <w:rPr>
                <w:rFonts w:hint="eastAsia"/>
                <w:kern w:val="0"/>
                <w:sz w:val="22"/>
                <w:szCs w:val="22"/>
              </w:rPr>
              <w:t>、</w:t>
            </w:r>
            <w:r w:rsidRPr="00A95203">
              <w:rPr>
                <w:kern w:val="0"/>
                <w:sz w:val="22"/>
                <w:szCs w:val="22"/>
              </w:rPr>
              <w:t>交银强化回报</w:t>
            </w:r>
            <w:r w:rsidRPr="00A95203">
              <w:rPr>
                <w:kern w:val="0"/>
                <w:sz w:val="22"/>
                <w:szCs w:val="22"/>
              </w:rPr>
              <w:t>C</w:t>
            </w:r>
            <w:r w:rsidRPr="00A95203">
              <w:rPr>
                <w:kern w:val="0"/>
                <w:sz w:val="22"/>
                <w:szCs w:val="22"/>
              </w:rPr>
              <w:t>类基金份额</w:t>
            </w:r>
          </w:p>
        </w:tc>
        <w:tc>
          <w:tcPr>
            <w:tcW w:w="2010" w:type="dxa"/>
            <w:vMerge w:val="restart"/>
            <w:tcBorders>
              <w:top w:val="single" w:sz="6" w:space="0" w:color="7F7F7F"/>
              <w:left w:val="single" w:sz="6" w:space="0" w:color="7F7F7F"/>
              <w:right w:val="single" w:sz="6" w:space="0" w:color="7F7F7F"/>
            </w:tcBorders>
            <w:vAlign w:val="center"/>
            <w:hideMark/>
          </w:tcPr>
          <w:p w:rsidR="00BB4D53" w:rsidRPr="00A95203" w:rsidRDefault="00BB4D53" w:rsidP="00C250CF">
            <w:pPr>
              <w:widowControl/>
              <w:jc w:val="left"/>
              <w:rPr>
                <w:kern w:val="0"/>
                <w:sz w:val="22"/>
                <w:szCs w:val="22"/>
              </w:rPr>
            </w:pPr>
            <w:r w:rsidRPr="00A95203">
              <w:rPr>
                <w:kern w:val="0"/>
                <w:sz w:val="22"/>
                <w:szCs w:val="22"/>
              </w:rPr>
              <w:t>前端收费模式下</w:t>
            </w:r>
          </w:p>
          <w:p w:rsidR="00BB4D53" w:rsidRPr="00A95203" w:rsidRDefault="00BB4D53" w:rsidP="00C250CF">
            <w:pPr>
              <w:widowControl/>
              <w:jc w:val="left"/>
              <w:rPr>
                <w:b/>
                <w:bCs/>
                <w:kern w:val="0"/>
                <w:sz w:val="22"/>
                <w:szCs w:val="22"/>
              </w:rPr>
            </w:pPr>
            <w:r w:rsidRPr="00A95203">
              <w:rPr>
                <w:kern w:val="0"/>
                <w:sz w:val="22"/>
                <w:szCs w:val="22"/>
              </w:rPr>
              <w:t>交银新成长</w:t>
            </w:r>
          </w:p>
        </w:tc>
        <w:tc>
          <w:tcPr>
            <w:tcW w:w="3029" w:type="dxa"/>
            <w:tcBorders>
              <w:top w:val="single" w:sz="6" w:space="0" w:color="7F7F7F"/>
              <w:left w:val="single" w:sz="6" w:space="0" w:color="7F7F7F"/>
              <w:bottom w:val="single" w:sz="6" w:space="0" w:color="7F7F7F"/>
              <w:right w:val="single" w:sz="6" w:space="0" w:color="7F7F7F"/>
            </w:tcBorders>
            <w:vAlign w:val="center"/>
            <w:hideMark/>
          </w:tcPr>
          <w:p w:rsidR="00BB4D53" w:rsidRPr="00A95203" w:rsidRDefault="00BB4D53" w:rsidP="00534F16">
            <w:pPr>
              <w:widowControl/>
              <w:tabs>
                <w:tab w:val="left" w:pos="420"/>
              </w:tabs>
              <w:spacing w:before="100" w:beforeAutospacing="1" w:after="100" w:afterAutospacing="1"/>
              <w:jc w:val="center"/>
              <w:rPr>
                <w:b/>
                <w:bCs/>
                <w:kern w:val="0"/>
                <w:sz w:val="22"/>
                <w:szCs w:val="22"/>
              </w:rPr>
            </w:pPr>
            <w:r w:rsidRPr="00A95203">
              <w:rPr>
                <w:sz w:val="22"/>
                <w:szCs w:val="22"/>
              </w:rPr>
              <w:t>100</w:t>
            </w:r>
            <w:r w:rsidRPr="00A95203">
              <w:rPr>
                <w:sz w:val="22"/>
                <w:szCs w:val="22"/>
              </w:rPr>
              <w:t>万元以下</w:t>
            </w:r>
          </w:p>
        </w:tc>
        <w:tc>
          <w:tcPr>
            <w:tcW w:w="1514" w:type="dxa"/>
            <w:tcBorders>
              <w:top w:val="single" w:sz="6" w:space="0" w:color="7F7F7F"/>
              <w:left w:val="single" w:sz="6" w:space="0" w:color="7F7F7F"/>
              <w:bottom w:val="single" w:sz="6" w:space="0" w:color="7F7F7F"/>
              <w:right w:val="single" w:sz="6" w:space="0" w:color="7F7F7F"/>
            </w:tcBorders>
            <w:vAlign w:val="center"/>
            <w:hideMark/>
          </w:tcPr>
          <w:p w:rsidR="00BB4D53" w:rsidRPr="00A95203" w:rsidRDefault="00BB4D53" w:rsidP="00534F16">
            <w:pPr>
              <w:widowControl/>
              <w:tabs>
                <w:tab w:val="left" w:pos="420"/>
              </w:tabs>
              <w:spacing w:before="100" w:beforeAutospacing="1" w:after="100" w:afterAutospacing="1"/>
              <w:jc w:val="center"/>
              <w:rPr>
                <w:b/>
                <w:bCs/>
                <w:kern w:val="0"/>
                <w:sz w:val="22"/>
                <w:szCs w:val="22"/>
              </w:rPr>
            </w:pPr>
            <w:r w:rsidRPr="00A95203">
              <w:rPr>
                <w:sz w:val="22"/>
                <w:szCs w:val="22"/>
              </w:rPr>
              <w:t>1.5%</w:t>
            </w:r>
          </w:p>
        </w:tc>
      </w:tr>
      <w:tr w:rsidR="00BB4D53" w:rsidRPr="00A95203" w:rsidTr="003B7662">
        <w:trPr>
          <w:trHeight w:val="408"/>
          <w:tblCellSpacing w:w="0" w:type="dxa"/>
        </w:trPr>
        <w:tc>
          <w:tcPr>
            <w:tcW w:w="1922" w:type="dxa"/>
            <w:vMerge/>
            <w:tcBorders>
              <w:left w:val="single" w:sz="6" w:space="0" w:color="7F7F7F"/>
              <w:right w:val="single" w:sz="6" w:space="0" w:color="7F7F7F"/>
            </w:tcBorders>
            <w:vAlign w:val="center"/>
            <w:hideMark/>
          </w:tcPr>
          <w:p w:rsidR="00BB4D53" w:rsidRPr="00A95203" w:rsidRDefault="00BB4D53" w:rsidP="00534F16">
            <w:pPr>
              <w:widowControl/>
              <w:tabs>
                <w:tab w:val="left" w:pos="420"/>
              </w:tabs>
              <w:spacing w:before="100" w:beforeAutospacing="1" w:after="100" w:afterAutospacing="1"/>
              <w:jc w:val="center"/>
              <w:rPr>
                <w:b/>
                <w:bCs/>
                <w:kern w:val="0"/>
                <w:sz w:val="22"/>
                <w:szCs w:val="22"/>
              </w:rPr>
            </w:pPr>
          </w:p>
        </w:tc>
        <w:tc>
          <w:tcPr>
            <w:tcW w:w="2010" w:type="dxa"/>
            <w:vMerge/>
            <w:tcBorders>
              <w:left w:val="single" w:sz="6" w:space="0" w:color="7F7F7F"/>
              <w:right w:val="single" w:sz="6" w:space="0" w:color="7F7F7F"/>
            </w:tcBorders>
            <w:vAlign w:val="center"/>
            <w:hideMark/>
          </w:tcPr>
          <w:p w:rsidR="00BB4D53" w:rsidRPr="00A95203" w:rsidRDefault="00BB4D53" w:rsidP="00534F16">
            <w:pPr>
              <w:widowControl/>
              <w:tabs>
                <w:tab w:val="left" w:pos="420"/>
              </w:tabs>
              <w:spacing w:before="100" w:beforeAutospacing="1" w:after="100" w:afterAutospacing="1"/>
              <w:jc w:val="center"/>
              <w:rPr>
                <w:b/>
                <w:bCs/>
                <w:kern w:val="0"/>
                <w:sz w:val="22"/>
                <w:szCs w:val="22"/>
              </w:rPr>
            </w:pPr>
          </w:p>
        </w:tc>
        <w:tc>
          <w:tcPr>
            <w:tcW w:w="3029" w:type="dxa"/>
            <w:tcBorders>
              <w:top w:val="single" w:sz="6" w:space="0" w:color="7F7F7F"/>
              <w:left w:val="single" w:sz="6" w:space="0" w:color="7F7F7F"/>
              <w:bottom w:val="single" w:sz="6" w:space="0" w:color="7F7F7F"/>
              <w:right w:val="single" w:sz="6" w:space="0" w:color="7F7F7F"/>
            </w:tcBorders>
            <w:vAlign w:val="center"/>
            <w:hideMark/>
          </w:tcPr>
          <w:p w:rsidR="00BB4D53" w:rsidRPr="00A95203" w:rsidRDefault="00BB4D53" w:rsidP="00BB4D53">
            <w:pPr>
              <w:widowControl/>
              <w:tabs>
                <w:tab w:val="left" w:pos="420"/>
              </w:tabs>
              <w:spacing w:before="100" w:beforeAutospacing="1" w:after="100" w:afterAutospacing="1"/>
              <w:jc w:val="center"/>
              <w:rPr>
                <w:b/>
                <w:bCs/>
                <w:kern w:val="0"/>
                <w:sz w:val="22"/>
                <w:szCs w:val="22"/>
              </w:rPr>
            </w:pPr>
            <w:r w:rsidRPr="00A95203">
              <w:rPr>
                <w:sz w:val="22"/>
                <w:szCs w:val="22"/>
              </w:rPr>
              <w:t>100</w:t>
            </w:r>
            <w:r w:rsidRPr="00A95203">
              <w:rPr>
                <w:sz w:val="22"/>
                <w:szCs w:val="22"/>
              </w:rPr>
              <w:t>万元（含）至</w:t>
            </w:r>
            <w:r w:rsidRPr="00A95203">
              <w:rPr>
                <w:sz w:val="22"/>
                <w:szCs w:val="22"/>
              </w:rPr>
              <w:t>300</w:t>
            </w:r>
            <w:r w:rsidRPr="00A95203">
              <w:rPr>
                <w:sz w:val="22"/>
                <w:szCs w:val="22"/>
              </w:rPr>
              <w:t>万元</w:t>
            </w:r>
          </w:p>
        </w:tc>
        <w:tc>
          <w:tcPr>
            <w:tcW w:w="1514" w:type="dxa"/>
            <w:tcBorders>
              <w:top w:val="single" w:sz="6" w:space="0" w:color="7F7F7F"/>
              <w:left w:val="single" w:sz="6" w:space="0" w:color="7F7F7F"/>
              <w:bottom w:val="single" w:sz="6" w:space="0" w:color="7F7F7F"/>
              <w:right w:val="single" w:sz="6" w:space="0" w:color="7F7F7F"/>
            </w:tcBorders>
            <w:vAlign w:val="center"/>
            <w:hideMark/>
          </w:tcPr>
          <w:p w:rsidR="00BB4D53" w:rsidRPr="00A95203" w:rsidRDefault="00BB4D53" w:rsidP="00534F16">
            <w:pPr>
              <w:widowControl/>
              <w:tabs>
                <w:tab w:val="left" w:pos="420"/>
              </w:tabs>
              <w:spacing w:before="100" w:beforeAutospacing="1" w:after="100" w:afterAutospacing="1"/>
              <w:jc w:val="center"/>
              <w:rPr>
                <w:b/>
                <w:bCs/>
                <w:kern w:val="0"/>
                <w:sz w:val="22"/>
                <w:szCs w:val="22"/>
              </w:rPr>
            </w:pPr>
            <w:r w:rsidRPr="00A95203">
              <w:rPr>
                <w:sz w:val="22"/>
                <w:szCs w:val="22"/>
              </w:rPr>
              <w:t>1.2%</w:t>
            </w:r>
          </w:p>
        </w:tc>
      </w:tr>
      <w:tr w:rsidR="00BB4D53" w:rsidRPr="00A95203" w:rsidTr="003B7662">
        <w:trPr>
          <w:trHeight w:val="399"/>
          <w:tblCellSpacing w:w="0" w:type="dxa"/>
        </w:trPr>
        <w:tc>
          <w:tcPr>
            <w:tcW w:w="1922" w:type="dxa"/>
            <w:vMerge/>
            <w:tcBorders>
              <w:left w:val="single" w:sz="6" w:space="0" w:color="7F7F7F"/>
              <w:right w:val="single" w:sz="6" w:space="0" w:color="7F7F7F"/>
            </w:tcBorders>
            <w:vAlign w:val="center"/>
            <w:hideMark/>
          </w:tcPr>
          <w:p w:rsidR="00BB4D53" w:rsidRPr="00A95203" w:rsidRDefault="00BB4D53" w:rsidP="00534F16">
            <w:pPr>
              <w:widowControl/>
              <w:tabs>
                <w:tab w:val="left" w:pos="420"/>
              </w:tabs>
              <w:spacing w:before="100" w:beforeAutospacing="1" w:after="100" w:afterAutospacing="1"/>
              <w:jc w:val="center"/>
              <w:rPr>
                <w:b/>
                <w:bCs/>
                <w:kern w:val="0"/>
                <w:sz w:val="22"/>
                <w:szCs w:val="22"/>
              </w:rPr>
            </w:pPr>
          </w:p>
        </w:tc>
        <w:tc>
          <w:tcPr>
            <w:tcW w:w="2010" w:type="dxa"/>
            <w:vMerge/>
            <w:tcBorders>
              <w:left w:val="single" w:sz="6" w:space="0" w:color="7F7F7F"/>
              <w:right w:val="single" w:sz="6" w:space="0" w:color="7F7F7F"/>
            </w:tcBorders>
            <w:vAlign w:val="center"/>
            <w:hideMark/>
          </w:tcPr>
          <w:p w:rsidR="00BB4D53" w:rsidRPr="00A95203" w:rsidRDefault="00BB4D53" w:rsidP="00534F16">
            <w:pPr>
              <w:widowControl/>
              <w:tabs>
                <w:tab w:val="left" w:pos="420"/>
              </w:tabs>
              <w:spacing w:before="100" w:beforeAutospacing="1" w:after="100" w:afterAutospacing="1"/>
              <w:jc w:val="center"/>
              <w:rPr>
                <w:b/>
                <w:bCs/>
                <w:kern w:val="0"/>
                <w:sz w:val="22"/>
                <w:szCs w:val="22"/>
              </w:rPr>
            </w:pPr>
          </w:p>
        </w:tc>
        <w:tc>
          <w:tcPr>
            <w:tcW w:w="3029" w:type="dxa"/>
            <w:tcBorders>
              <w:top w:val="single" w:sz="6" w:space="0" w:color="7F7F7F"/>
              <w:left w:val="single" w:sz="6" w:space="0" w:color="7F7F7F"/>
              <w:bottom w:val="single" w:sz="6" w:space="0" w:color="7F7F7F"/>
              <w:right w:val="single" w:sz="6" w:space="0" w:color="7F7F7F"/>
            </w:tcBorders>
            <w:vAlign w:val="center"/>
            <w:hideMark/>
          </w:tcPr>
          <w:p w:rsidR="00BB4D53" w:rsidRPr="00A95203" w:rsidRDefault="00BB4D53" w:rsidP="00534F16">
            <w:pPr>
              <w:widowControl/>
              <w:tabs>
                <w:tab w:val="left" w:pos="420"/>
              </w:tabs>
              <w:spacing w:before="100" w:beforeAutospacing="1" w:after="100" w:afterAutospacing="1"/>
              <w:jc w:val="center"/>
              <w:rPr>
                <w:b/>
                <w:bCs/>
                <w:kern w:val="0"/>
                <w:sz w:val="22"/>
                <w:szCs w:val="22"/>
              </w:rPr>
            </w:pPr>
            <w:r w:rsidRPr="00A95203">
              <w:rPr>
                <w:sz w:val="22"/>
                <w:szCs w:val="22"/>
              </w:rPr>
              <w:t>300</w:t>
            </w:r>
            <w:r w:rsidRPr="00A95203">
              <w:rPr>
                <w:sz w:val="22"/>
                <w:szCs w:val="22"/>
              </w:rPr>
              <w:t>万元（含）至</w:t>
            </w:r>
            <w:r w:rsidRPr="00A95203">
              <w:rPr>
                <w:sz w:val="22"/>
                <w:szCs w:val="22"/>
              </w:rPr>
              <w:t>500</w:t>
            </w:r>
            <w:r w:rsidRPr="00A95203">
              <w:rPr>
                <w:sz w:val="22"/>
                <w:szCs w:val="22"/>
              </w:rPr>
              <w:t>万元</w:t>
            </w:r>
          </w:p>
        </w:tc>
        <w:tc>
          <w:tcPr>
            <w:tcW w:w="1514" w:type="dxa"/>
            <w:tcBorders>
              <w:top w:val="single" w:sz="6" w:space="0" w:color="7F7F7F"/>
              <w:left w:val="single" w:sz="6" w:space="0" w:color="7F7F7F"/>
              <w:bottom w:val="single" w:sz="6" w:space="0" w:color="7F7F7F"/>
              <w:right w:val="single" w:sz="6" w:space="0" w:color="7F7F7F"/>
            </w:tcBorders>
            <w:vAlign w:val="center"/>
            <w:hideMark/>
          </w:tcPr>
          <w:p w:rsidR="00BB4D53" w:rsidRPr="00A95203" w:rsidRDefault="00BB4D53" w:rsidP="00534F16">
            <w:pPr>
              <w:widowControl/>
              <w:tabs>
                <w:tab w:val="left" w:pos="420"/>
              </w:tabs>
              <w:spacing w:before="100" w:beforeAutospacing="1" w:after="100" w:afterAutospacing="1"/>
              <w:jc w:val="center"/>
              <w:rPr>
                <w:b/>
                <w:bCs/>
                <w:kern w:val="0"/>
                <w:sz w:val="22"/>
                <w:szCs w:val="22"/>
              </w:rPr>
            </w:pPr>
            <w:r w:rsidRPr="00A95203">
              <w:rPr>
                <w:sz w:val="22"/>
                <w:szCs w:val="22"/>
              </w:rPr>
              <w:t>0.8%</w:t>
            </w:r>
          </w:p>
        </w:tc>
      </w:tr>
      <w:tr w:rsidR="00D14B23" w:rsidRPr="00A95203" w:rsidTr="003B7662">
        <w:trPr>
          <w:trHeight w:val="377"/>
          <w:tblCellSpacing w:w="0" w:type="dxa"/>
        </w:trPr>
        <w:tc>
          <w:tcPr>
            <w:tcW w:w="1922" w:type="dxa"/>
            <w:vMerge/>
            <w:tcBorders>
              <w:left w:val="single" w:sz="6" w:space="0" w:color="7F7F7F"/>
              <w:right w:val="single" w:sz="6" w:space="0" w:color="7F7F7F"/>
            </w:tcBorders>
            <w:vAlign w:val="center"/>
            <w:hideMark/>
          </w:tcPr>
          <w:p w:rsidR="00D14B23" w:rsidRPr="00A95203" w:rsidRDefault="00D14B23" w:rsidP="00534F16">
            <w:pPr>
              <w:widowControl/>
              <w:tabs>
                <w:tab w:val="left" w:pos="420"/>
              </w:tabs>
              <w:spacing w:before="100" w:beforeAutospacing="1" w:after="100" w:afterAutospacing="1"/>
              <w:jc w:val="center"/>
              <w:rPr>
                <w:b/>
                <w:bCs/>
                <w:kern w:val="0"/>
                <w:sz w:val="22"/>
                <w:szCs w:val="22"/>
              </w:rPr>
            </w:pPr>
          </w:p>
        </w:tc>
        <w:tc>
          <w:tcPr>
            <w:tcW w:w="2010" w:type="dxa"/>
            <w:vMerge/>
            <w:tcBorders>
              <w:left w:val="single" w:sz="6" w:space="0" w:color="7F7F7F"/>
              <w:right w:val="single" w:sz="6" w:space="0" w:color="7F7F7F"/>
            </w:tcBorders>
            <w:vAlign w:val="center"/>
            <w:hideMark/>
          </w:tcPr>
          <w:p w:rsidR="00D14B23" w:rsidRPr="00A95203" w:rsidRDefault="00D14B23" w:rsidP="00534F16">
            <w:pPr>
              <w:widowControl/>
              <w:tabs>
                <w:tab w:val="left" w:pos="420"/>
              </w:tabs>
              <w:spacing w:before="100" w:beforeAutospacing="1" w:after="100" w:afterAutospacing="1"/>
              <w:jc w:val="center"/>
              <w:rPr>
                <w:b/>
                <w:bCs/>
                <w:kern w:val="0"/>
                <w:sz w:val="22"/>
                <w:szCs w:val="22"/>
              </w:rPr>
            </w:pPr>
          </w:p>
        </w:tc>
        <w:tc>
          <w:tcPr>
            <w:tcW w:w="3029" w:type="dxa"/>
            <w:tcBorders>
              <w:top w:val="single" w:sz="6" w:space="0" w:color="7F7F7F"/>
              <w:left w:val="single" w:sz="6" w:space="0" w:color="7F7F7F"/>
              <w:bottom w:val="single" w:sz="6" w:space="0" w:color="7F7F7F"/>
              <w:right w:val="single" w:sz="6" w:space="0" w:color="7F7F7F"/>
            </w:tcBorders>
            <w:vAlign w:val="center"/>
            <w:hideMark/>
          </w:tcPr>
          <w:p w:rsidR="00D14B23" w:rsidRPr="00A95203" w:rsidRDefault="00D14B23" w:rsidP="00534F16">
            <w:pPr>
              <w:widowControl/>
              <w:tabs>
                <w:tab w:val="left" w:pos="420"/>
              </w:tabs>
              <w:spacing w:before="100" w:beforeAutospacing="1" w:after="100" w:afterAutospacing="1"/>
              <w:jc w:val="center"/>
              <w:rPr>
                <w:b/>
                <w:bCs/>
                <w:kern w:val="0"/>
                <w:sz w:val="22"/>
                <w:szCs w:val="22"/>
              </w:rPr>
            </w:pPr>
            <w:r w:rsidRPr="00A95203">
              <w:rPr>
                <w:sz w:val="22"/>
                <w:szCs w:val="22"/>
              </w:rPr>
              <w:t>500</w:t>
            </w:r>
            <w:r w:rsidRPr="00A95203">
              <w:rPr>
                <w:sz w:val="22"/>
                <w:szCs w:val="22"/>
              </w:rPr>
              <w:t>万元（含）至</w:t>
            </w:r>
            <w:r w:rsidRPr="00A95203">
              <w:rPr>
                <w:sz w:val="22"/>
                <w:szCs w:val="22"/>
              </w:rPr>
              <w:t>1000</w:t>
            </w:r>
            <w:r w:rsidRPr="00A95203">
              <w:rPr>
                <w:sz w:val="22"/>
                <w:szCs w:val="22"/>
              </w:rPr>
              <w:t>万元</w:t>
            </w:r>
          </w:p>
        </w:tc>
        <w:tc>
          <w:tcPr>
            <w:tcW w:w="1514" w:type="dxa"/>
            <w:tcBorders>
              <w:top w:val="single" w:sz="6" w:space="0" w:color="7F7F7F"/>
              <w:left w:val="single" w:sz="6" w:space="0" w:color="7F7F7F"/>
              <w:bottom w:val="single" w:sz="6" w:space="0" w:color="7F7F7F"/>
              <w:right w:val="single" w:sz="6" w:space="0" w:color="7F7F7F"/>
            </w:tcBorders>
            <w:vAlign w:val="center"/>
            <w:hideMark/>
          </w:tcPr>
          <w:p w:rsidR="00D14B23" w:rsidRPr="00A95203" w:rsidRDefault="00D14B23" w:rsidP="00D14B23">
            <w:pPr>
              <w:widowControl/>
              <w:tabs>
                <w:tab w:val="left" w:pos="420"/>
              </w:tabs>
              <w:spacing w:before="100" w:beforeAutospacing="1" w:after="100" w:afterAutospacing="1"/>
              <w:jc w:val="center"/>
              <w:rPr>
                <w:b/>
                <w:bCs/>
                <w:kern w:val="0"/>
                <w:sz w:val="22"/>
                <w:szCs w:val="22"/>
              </w:rPr>
            </w:pPr>
            <w:r w:rsidRPr="00A95203">
              <w:rPr>
                <w:sz w:val="22"/>
                <w:szCs w:val="22"/>
              </w:rPr>
              <w:t>0.5%</w:t>
            </w:r>
          </w:p>
        </w:tc>
      </w:tr>
      <w:tr w:rsidR="00D14B23" w:rsidRPr="00A95203" w:rsidTr="003B7662">
        <w:trPr>
          <w:trHeight w:val="412"/>
          <w:tblCellSpacing w:w="0" w:type="dxa"/>
        </w:trPr>
        <w:tc>
          <w:tcPr>
            <w:tcW w:w="1922" w:type="dxa"/>
            <w:vMerge/>
            <w:tcBorders>
              <w:left w:val="single" w:sz="6" w:space="0" w:color="7F7F7F"/>
              <w:bottom w:val="single" w:sz="6" w:space="0" w:color="7F7F7F"/>
              <w:right w:val="single" w:sz="6" w:space="0" w:color="7F7F7F"/>
            </w:tcBorders>
            <w:vAlign w:val="center"/>
            <w:hideMark/>
          </w:tcPr>
          <w:p w:rsidR="00D14B23" w:rsidRPr="00A95203" w:rsidRDefault="00D14B23" w:rsidP="00534F16">
            <w:pPr>
              <w:widowControl/>
              <w:tabs>
                <w:tab w:val="left" w:pos="420"/>
              </w:tabs>
              <w:spacing w:before="100" w:beforeAutospacing="1" w:after="100" w:afterAutospacing="1"/>
              <w:jc w:val="center"/>
              <w:rPr>
                <w:b/>
                <w:bCs/>
                <w:kern w:val="0"/>
                <w:sz w:val="22"/>
                <w:szCs w:val="22"/>
              </w:rPr>
            </w:pPr>
          </w:p>
        </w:tc>
        <w:tc>
          <w:tcPr>
            <w:tcW w:w="2010" w:type="dxa"/>
            <w:vMerge/>
            <w:tcBorders>
              <w:left w:val="single" w:sz="6" w:space="0" w:color="7F7F7F"/>
              <w:bottom w:val="single" w:sz="6" w:space="0" w:color="7F7F7F"/>
              <w:right w:val="single" w:sz="6" w:space="0" w:color="7F7F7F"/>
            </w:tcBorders>
            <w:vAlign w:val="center"/>
            <w:hideMark/>
          </w:tcPr>
          <w:p w:rsidR="00D14B23" w:rsidRPr="00A95203" w:rsidRDefault="00D14B23" w:rsidP="00534F16">
            <w:pPr>
              <w:widowControl/>
              <w:tabs>
                <w:tab w:val="left" w:pos="420"/>
              </w:tabs>
              <w:spacing w:before="100" w:beforeAutospacing="1" w:after="100" w:afterAutospacing="1"/>
              <w:jc w:val="center"/>
              <w:rPr>
                <w:b/>
                <w:bCs/>
                <w:kern w:val="0"/>
                <w:sz w:val="22"/>
                <w:szCs w:val="22"/>
              </w:rPr>
            </w:pPr>
          </w:p>
        </w:tc>
        <w:tc>
          <w:tcPr>
            <w:tcW w:w="3029" w:type="dxa"/>
            <w:tcBorders>
              <w:top w:val="single" w:sz="6" w:space="0" w:color="7F7F7F"/>
              <w:left w:val="single" w:sz="6" w:space="0" w:color="7F7F7F"/>
              <w:bottom w:val="single" w:sz="6" w:space="0" w:color="7F7F7F"/>
              <w:right w:val="single" w:sz="6" w:space="0" w:color="7F7F7F"/>
            </w:tcBorders>
            <w:vAlign w:val="center"/>
            <w:hideMark/>
          </w:tcPr>
          <w:p w:rsidR="00D14B23" w:rsidRPr="00A95203" w:rsidRDefault="007C45BA" w:rsidP="00534F16">
            <w:pPr>
              <w:widowControl/>
              <w:tabs>
                <w:tab w:val="left" w:pos="420"/>
              </w:tabs>
              <w:spacing w:before="100" w:beforeAutospacing="1" w:after="100" w:afterAutospacing="1"/>
              <w:jc w:val="center"/>
              <w:rPr>
                <w:b/>
                <w:bCs/>
                <w:kern w:val="0"/>
                <w:sz w:val="22"/>
                <w:szCs w:val="22"/>
              </w:rPr>
            </w:pPr>
            <w:r w:rsidRPr="00A95203">
              <w:rPr>
                <w:sz w:val="22"/>
                <w:szCs w:val="22"/>
              </w:rPr>
              <w:t>1000</w:t>
            </w:r>
            <w:r w:rsidRPr="00A95203">
              <w:rPr>
                <w:sz w:val="22"/>
                <w:szCs w:val="22"/>
              </w:rPr>
              <w:t>万元以上（含</w:t>
            </w:r>
            <w:r w:rsidRPr="00A95203">
              <w:rPr>
                <w:sz w:val="22"/>
                <w:szCs w:val="22"/>
              </w:rPr>
              <w:t>1000</w:t>
            </w:r>
            <w:r w:rsidRPr="00A95203">
              <w:rPr>
                <w:sz w:val="22"/>
                <w:szCs w:val="22"/>
              </w:rPr>
              <w:t>万）</w:t>
            </w:r>
          </w:p>
        </w:tc>
        <w:tc>
          <w:tcPr>
            <w:tcW w:w="1514" w:type="dxa"/>
            <w:tcBorders>
              <w:top w:val="single" w:sz="6" w:space="0" w:color="7F7F7F"/>
              <w:left w:val="single" w:sz="6" w:space="0" w:color="7F7F7F"/>
              <w:bottom w:val="single" w:sz="6" w:space="0" w:color="7F7F7F"/>
              <w:right w:val="single" w:sz="6" w:space="0" w:color="7F7F7F"/>
            </w:tcBorders>
            <w:vAlign w:val="center"/>
            <w:hideMark/>
          </w:tcPr>
          <w:p w:rsidR="007C45BA" w:rsidRPr="00A95203" w:rsidRDefault="007C45BA" w:rsidP="007C45BA">
            <w:pPr>
              <w:widowControl/>
              <w:tabs>
                <w:tab w:val="left" w:pos="420"/>
              </w:tabs>
              <w:jc w:val="center"/>
              <w:rPr>
                <w:sz w:val="22"/>
                <w:szCs w:val="22"/>
              </w:rPr>
            </w:pPr>
            <w:r w:rsidRPr="00A95203">
              <w:rPr>
                <w:sz w:val="22"/>
                <w:szCs w:val="22"/>
              </w:rPr>
              <w:t>每笔交易</w:t>
            </w:r>
          </w:p>
          <w:p w:rsidR="00D14B23" w:rsidRPr="00A95203" w:rsidRDefault="007C45BA" w:rsidP="007C45BA">
            <w:pPr>
              <w:widowControl/>
              <w:tabs>
                <w:tab w:val="left" w:pos="420"/>
              </w:tabs>
              <w:jc w:val="center"/>
              <w:rPr>
                <w:b/>
                <w:bCs/>
                <w:kern w:val="0"/>
                <w:sz w:val="22"/>
                <w:szCs w:val="22"/>
              </w:rPr>
            </w:pPr>
            <w:r w:rsidRPr="00A95203">
              <w:rPr>
                <w:sz w:val="22"/>
                <w:szCs w:val="22"/>
              </w:rPr>
              <w:t>1000</w:t>
            </w:r>
            <w:r w:rsidRPr="00A95203">
              <w:rPr>
                <w:sz w:val="22"/>
                <w:szCs w:val="22"/>
              </w:rPr>
              <w:t>元</w:t>
            </w:r>
          </w:p>
        </w:tc>
      </w:tr>
      <w:tr w:rsidR="00D14B23" w:rsidRPr="00A95203" w:rsidTr="00380F1D">
        <w:trPr>
          <w:trHeight w:val="411"/>
          <w:tblCellSpacing w:w="0" w:type="dxa"/>
        </w:trPr>
        <w:tc>
          <w:tcPr>
            <w:tcW w:w="1922" w:type="dxa"/>
            <w:vMerge w:val="restart"/>
            <w:tcBorders>
              <w:top w:val="single" w:sz="6" w:space="0" w:color="7F7F7F"/>
              <w:left w:val="single" w:sz="6" w:space="0" w:color="7F7F7F"/>
              <w:right w:val="single" w:sz="6" w:space="0" w:color="7F7F7F"/>
            </w:tcBorders>
            <w:vAlign w:val="center"/>
            <w:hideMark/>
          </w:tcPr>
          <w:p w:rsidR="00D14B23" w:rsidRPr="00A95203" w:rsidRDefault="00D14B23" w:rsidP="00AA3168">
            <w:pPr>
              <w:widowControl/>
              <w:jc w:val="left"/>
              <w:rPr>
                <w:kern w:val="0"/>
                <w:sz w:val="22"/>
                <w:szCs w:val="22"/>
              </w:rPr>
            </w:pPr>
            <w:r w:rsidRPr="00A95203">
              <w:rPr>
                <w:kern w:val="0"/>
                <w:sz w:val="22"/>
                <w:szCs w:val="22"/>
              </w:rPr>
              <w:t>交银货币</w:t>
            </w:r>
            <w:r w:rsidR="00380F1D">
              <w:rPr>
                <w:rFonts w:hint="eastAsia"/>
                <w:kern w:val="0"/>
                <w:sz w:val="22"/>
                <w:szCs w:val="22"/>
              </w:rPr>
              <w:t>、</w:t>
            </w:r>
            <w:r w:rsidRPr="00A95203">
              <w:rPr>
                <w:kern w:val="0"/>
                <w:sz w:val="22"/>
                <w:szCs w:val="22"/>
              </w:rPr>
              <w:t>交银增利</w:t>
            </w:r>
            <w:r w:rsidRPr="00A95203">
              <w:rPr>
                <w:kern w:val="0"/>
                <w:sz w:val="22"/>
                <w:szCs w:val="22"/>
              </w:rPr>
              <w:t>C</w:t>
            </w:r>
            <w:r w:rsidRPr="00A95203">
              <w:rPr>
                <w:kern w:val="0"/>
                <w:sz w:val="22"/>
                <w:szCs w:val="22"/>
              </w:rPr>
              <w:t>类基金份额</w:t>
            </w:r>
            <w:r w:rsidR="00380F1D">
              <w:rPr>
                <w:rFonts w:hint="eastAsia"/>
                <w:kern w:val="0"/>
                <w:sz w:val="22"/>
                <w:szCs w:val="22"/>
              </w:rPr>
              <w:t>、</w:t>
            </w:r>
            <w:r w:rsidRPr="00A95203">
              <w:rPr>
                <w:kern w:val="0"/>
                <w:sz w:val="22"/>
                <w:szCs w:val="22"/>
              </w:rPr>
              <w:t>交银双利</w:t>
            </w:r>
            <w:r w:rsidRPr="00A95203">
              <w:rPr>
                <w:kern w:val="0"/>
                <w:sz w:val="22"/>
                <w:szCs w:val="22"/>
              </w:rPr>
              <w:t>C</w:t>
            </w:r>
            <w:r w:rsidRPr="00A95203">
              <w:rPr>
                <w:kern w:val="0"/>
                <w:sz w:val="22"/>
                <w:szCs w:val="22"/>
              </w:rPr>
              <w:t>类基金份额</w:t>
            </w:r>
            <w:r w:rsidR="00380F1D">
              <w:rPr>
                <w:rFonts w:hint="eastAsia"/>
                <w:kern w:val="0"/>
                <w:sz w:val="22"/>
                <w:szCs w:val="22"/>
              </w:rPr>
              <w:t>、</w:t>
            </w:r>
            <w:r w:rsidRPr="00A95203">
              <w:rPr>
                <w:kern w:val="0"/>
                <w:sz w:val="22"/>
                <w:szCs w:val="22"/>
              </w:rPr>
              <w:t>交银纯债</w:t>
            </w:r>
            <w:r w:rsidRPr="00A95203">
              <w:rPr>
                <w:kern w:val="0"/>
                <w:sz w:val="22"/>
                <w:szCs w:val="22"/>
              </w:rPr>
              <w:t>C</w:t>
            </w:r>
            <w:r w:rsidRPr="00A95203">
              <w:rPr>
                <w:kern w:val="0"/>
                <w:sz w:val="22"/>
                <w:szCs w:val="22"/>
              </w:rPr>
              <w:t>类基金份额</w:t>
            </w:r>
            <w:r w:rsidR="00380F1D">
              <w:rPr>
                <w:rFonts w:hint="eastAsia"/>
                <w:kern w:val="0"/>
                <w:sz w:val="22"/>
                <w:szCs w:val="22"/>
              </w:rPr>
              <w:t>、</w:t>
            </w:r>
            <w:r w:rsidRPr="00A95203">
              <w:rPr>
                <w:kern w:val="0"/>
                <w:sz w:val="22"/>
                <w:szCs w:val="22"/>
              </w:rPr>
              <w:t>交银双轮动</w:t>
            </w:r>
            <w:r w:rsidRPr="00A95203">
              <w:rPr>
                <w:kern w:val="0"/>
                <w:sz w:val="22"/>
                <w:szCs w:val="22"/>
              </w:rPr>
              <w:t>C</w:t>
            </w:r>
            <w:r w:rsidRPr="00A95203">
              <w:rPr>
                <w:kern w:val="0"/>
                <w:sz w:val="22"/>
                <w:szCs w:val="22"/>
              </w:rPr>
              <w:t>类基金份额</w:t>
            </w:r>
            <w:r w:rsidR="00380F1D">
              <w:rPr>
                <w:rFonts w:hint="eastAsia"/>
                <w:kern w:val="0"/>
                <w:sz w:val="22"/>
                <w:szCs w:val="22"/>
              </w:rPr>
              <w:t>、</w:t>
            </w:r>
            <w:r w:rsidRPr="00A95203">
              <w:rPr>
                <w:kern w:val="0"/>
                <w:sz w:val="22"/>
                <w:szCs w:val="22"/>
              </w:rPr>
              <w:t>交银月月丰</w:t>
            </w:r>
            <w:r w:rsidRPr="00A95203">
              <w:rPr>
                <w:kern w:val="0"/>
                <w:sz w:val="22"/>
                <w:szCs w:val="22"/>
              </w:rPr>
              <w:t>C</w:t>
            </w:r>
            <w:r w:rsidRPr="00A95203">
              <w:rPr>
                <w:kern w:val="0"/>
                <w:sz w:val="22"/>
                <w:szCs w:val="22"/>
              </w:rPr>
              <w:t>类基金份额</w:t>
            </w:r>
          </w:p>
          <w:p w:rsidR="00D14B23" w:rsidRPr="00A95203" w:rsidRDefault="00D14B23" w:rsidP="00AA3168">
            <w:pPr>
              <w:widowControl/>
              <w:jc w:val="left"/>
              <w:rPr>
                <w:kern w:val="0"/>
                <w:sz w:val="22"/>
                <w:szCs w:val="22"/>
              </w:rPr>
            </w:pPr>
            <w:r w:rsidRPr="00A95203">
              <w:rPr>
                <w:kern w:val="0"/>
                <w:sz w:val="22"/>
                <w:szCs w:val="22"/>
              </w:rPr>
              <w:t>交银强化回报</w:t>
            </w:r>
            <w:r w:rsidRPr="00A95203">
              <w:rPr>
                <w:kern w:val="0"/>
                <w:sz w:val="22"/>
                <w:szCs w:val="22"/>
              </w:rPr>
              <w:t>C</w:t>
            </w:r>
            <w:r w:rsidRPr="00A95203">
              <w:rPr>
                <w:kern w:val="0"/>
                <w:sz w:val="22"/>
                <w:szCs w:val="22"/>
              </w:rPr>
              <w:t>类</w:t>
            </w:r>
            <w:r w:rsidRPr="00A95203">
              <w:rPr>
                <w:kern w:val="0"/>
                <w:sz w:val="22"/>
                <w:szCs w:val="22"/>
              </w:rPr>
              <w:lastRenderedPageBreak/>
              <w:t>基金份额</w:t>
            </w:r>
          </w:p>
        </w:tc>
        <w:tc>
          <w:tcPr>
            <w:tcW w:w="2010" w:type="dxa"/>
            <w:vMerge w:val="restart"/>
            <w:tcBorders>
              <w:top w:val="single" w:sz="6" w:space="0" w:color="7F7F7F"/>
              <w:left w:val="single" w:sz="6" w:space="0" w:color="7F7F7F"/>
              <w:right w:val="single" w:sz="6" w:space="0" w:color="7F7F7F"/>
            </w:tcBorders>
            <w:vAlign w:val="center"/>
            <w:hideMark/>
          </w:tcPr>
          <w:p w:rsidR="00D14B23" w:rsidRPr="00A95203" w:rsidRDefault="00D14B23" w:rsidP="00AA3168">
            <w:pPr>
              <w:widowControl/>
              <w:jc w:val="left"/>
              <w:rPr>
                <w:kern w:val="0"/>
                <w:sz w:val="22"/>
                <w:szCs w:val="22"/>
              </w:rPr>
            </w:pPr>
            <w:r w:rsidRPr="00A95203">
              <w:rPr>
                <w:kern w:val="0"/>
                <w:sz w:val="22"/>
                <w:szCs w:val="22"/>
              </w:rPr>
              <w:lastRenderedPageBreak/>
              <w:t>前端收费模式下</w:t>
            </w:r>
          </w:p>
          <w:p w:rsidR="00D14B23" w:rsidRPr="00A95203" w:rsidRDefault="00D14B23" w:rsidP="00AA3168">
            <w:pPr>
              <w:widowControl/>
              <w:jc w:val="left"/>
              <w:rPr>
                <w:kern w:val="0"/>
                <w:sz w:val="22"/>
                <w:szCs w:val="22"/>
              </w:rPr>
            </w:pPr>
            <w:r w:rsidRPr="00A95203">
              <w:rPr>
                <w:kern w:val="0"/>
                <w:sz w:val="22"/>
                <w:szCs w:val="22"/>
              </w:rPr>
              <w:t>交银周期回报</w:t>
            </w:r>
            <w:r w:rsidR="00F1122A" w:rsidRPr="00A95203">
              <w:rPr>
                <w:kern w:val="0"/>
                <w:sz w:val="22"/>
                <w:szCs w:val="22"/>
              </w:rPr>
              <w:t>A</w:t>
            </w:r>
            <w:r w:rsidR="00F1122A" w:rsidRPr="00A95203">
              <w:rPr>
                <w:kern w:val="0"/>
                <w:sz w:val="22"/>
                <w:szCs w:val="22"/>
              </w:rPr>
              <w:t>类</w:t>
            </w:r>
            <w:r w:rsidR="00F1122A">
              <w:rPr>
                <w:rFonts w:hint="eastAsia"/>
                <w:kern w:val="0"/>
                <w:sz w:val="22"/>
                <w:szCs w:val="22"/>
              </w:rPr>
              <w:t>基金份额</w:t>
            </w:r>
          </w:p>
        </w:tc>
        <w:tc>
          <w:tcPr>
            <w:tcW w:w="3029" w:type="dxa"/>
            <w:tcBorders>
              <w:top w:val="single" w:sz="6" w:space="0" w:color="7F7F7F"/>
              <w:left w:val="single" w:sz="6" w:space="0" w:color="7F7F7F"/>
              <w:bottom w:val="single" w:sz="6" w:space="0" w:color="7F7F7F"/>
              <w:right w:val="single" w:sz="6" w:space="0" w:color="7F7F7F"/>
            </w:tcBorders>
            <w:vAlign w:val="center"/>
            <w:hideMark/>
          </w:tcPr>
          <w:p w:rsidR="00D14B23" w:rsidRPr="00A95203" w:rsidRDefault="00D14B23" w:rsidP="00E21369">
            <w:pPr>
              <w:widowControl/>
              <w:tabs>
                <w:tab w:val="left" w:pos="420"/>
              </w:tabs>
              <w:spacing w:before="100" w:beforeAutospacing="1" w:after="100" w:afterAutospacing="1"/>
              <w:jc w:val="center"/>
              <w:rPr>
                <w:kern w:val="0"/>
                <w:sz w:val="22"/>
                <w:szCs w:val="22"/>
              </w:rPr>
            </w:pPr>
            <w:r w:rsidRPr="00A95203">
              <w:rPr>
                <w:sz w:val="22"/>
                <w:szCs w:val="22"/>
              </w:rPr>
              <w:t>100</w:t>
            </w:r>
            <w:r w:rsidRPr="00A95203">
              <w:rPr>
                <w:sz w:val="22"/>
                <w:szCs w:val="22"/>
              </w:rPr>
              <w:t>万元以下</w:t>
            </w:r>
          </w:p>
        </w:tc>
        <w:tc>
          <w:tcPr>
            <w:tcW w:w="1514" w:type="dxa"/>
            <w:tcBorders>
              <w:top w:val="single" w:sz="6" w:space="0" w:color="7F7F7F"/>
              <w:left w:val="single" w:sz="6" w:space="0" w:color="7F7F7F"/>
              <w:right w:val="single" w:sz="6" w:space="0" w:color="7F7F7F"/>
            </w:tcBorders>
            <w:vAlign w:val="center"/>
            <w:hideMark/>
          </w:tcPr>
          <w:p w:rsidR="00D14B23" w:rsidRPr="00A95203" w:rsidRDefault="00D14B23" w:rsidP="00E21369">
            <w:pPr>
              <w:widowControl/>
              <w:tabs>
                <w:tab w:val="left" w:pos="420"/>
              </w:tabs>
              <w:spacing w:before="100" w:beforeAutospacing="1" w:after="100" w:afterAutospacing="1"/>
              <w:jc w:val="center"/>
              <w:rPr>
                <w:kern w:val="0"/>
                <w:sz w:val="22"/>
                <w:szCs w:val="22"/>
              </w:rPr>
            </w:pPr>
            <w:r w:rsidRPr="00A95203">
              <w:rPr>
                <w:sz w:val="22"/>
                <w:szCs w:val="22"/>
              </w:rPr>
              <w:t>1.5%</w:t>
            </w:r>
          </w:p>
        </w:tc>
      </w:tr>
      <w:tr w:rsidR="00D14B23" w:rsidRPr="00A95203" w:rsidTr="003B7662">
        <w:trPr>
          <w:trHeight w:val="351"/>
          <w:tblCellSpacing w:w="0" w:type="dxa"/>
        </w:trPr>
        <w:tc>
          <w:tcPr>
            <w:tcW w:w="1922" w:type="dxa"/>
            <w:vMerge/>
            <w:tcBorders>
              <w:left w:val="single" w:sz="6" w:space="0" w:color="7F7F7F"/>
              <w:right w:val="single" w:sz="6" w:space="0" w:color="7F7F7F"/>
            </w:tcBorders>
            <w:vAlign w:val="center"/>
            <w:hideMark/>
          </w:tcPr>
          <w:p w:rsidR="00D14B23" w:rsidRPr="00A95203" w:rsidRDefault="00D14B23" w:rsidP="00AA3168">
            <w:pPr>
              <w:widowControl/>
              <w:jc w:val="left"/>
              <w:rPr>
                <w:kern w:val="0"/>
                <w:sz w:val="22"/>
                <w:szCs w:val="22"/>
              </w:rPr>
            </w:pPr>
          </w:p>
        </w:tc>
        <w:tc>
          <w:tcPr>
            <w:tcW w:w="2010" w:type="dxa"/>
            <w:vMerge/>
            <w:tcBorders>
              <w:left w:val="single" w:sz="6" w:space="0" w:color="7F7F7F"/>
              <w:right w:val="single" w:sz="6" w:space="0" w:color="7F7F7F"/>
            </w:tcBorders>
            <w:vAlign w:val="center"/>
            <w:hideMark/>
          </w:tcPr>
          <w:p w:rsidR="00D14B23" w:rsidRPr="00A95203" w:rsidRDefault="00D14B23" w:rsidP="00AA3168">
            <w:pPr>
              <w:widowControl/>
              <w:jc w:val="left"/>
              <w:rPr>
                <w:kern w:val="0"/>
                <w:sz w:val="22"/>
                <w:szCs w:val="22"/>
              </w:rPr>
            </w:pPr>
          </w:p>
        </w:tc>
        <w:tc>
          <w:tcPr>
            <w:tcW w:w="3029" w:type="dxa"/>
            <w:tcBorders>
              <w:top w:val="single" w:sz="6" w:space="0" w:color="7F7F7F"/>
              <w:left w:val="single" w:sz="6" w:space="0" w:color="7F7F7F"/>
              <w:bottom w:val="single" w:sz="6" w:space="0" w:color="7F7F7F"/>
              <w:right w:val="single" w:sz="6" w:space="0" w:color="7F7F7F"/>
            </w:tcBorders>
            <w:vAlign w:val="center"/>
            <w:hideMark/>
          </w:tcPr>
          <w:p w:rsidR="00D14B23" w:rsidRPr="00A95203" w:rsidRDefault="00D14B23" w:rsidP="00E21369">
            <w:pPr>
              <w:widowControl/>
              <w:tabs>
                <w:tab w:val="left" w:pos="420"/>
              </w:tabs>
              <w:spacing w:before="100" w:beforeAutospacing="1" w:after="100" w:afterAutospacing="1"/>
              <w:jc w:val="center"/>
              <w:rPr>
                <w:kern w:val="0"/>
                <w:sz w:val="22"/>
                <w:szCs w:val="22"/>
              </w:rPr>
            </w:pPr>
            <w:r w:rsidRPr="00A95203">
              <w:rPr>
                <w:sz w:val="22"/>
                <w:szCs w:val="22"/>
              </w:rPr>
              <w:t>100</w:t>
            </w:r>
            <w:r w:rsidRPr="00A95203">
              <w:rPr>
                <w:sz w:val="22"/>
                <w:szCs w:val="22"/>
              </w:rPr>
              <w:t>万元（含）至</w:t>
            </w:r>
            <w:r w:rsidRPr="00A95203">
              <w:rPr>
                <w:sz w:val="22"/>
                <w:szCs w:val="22"/>
              </w:rPr>
              <w:t>200</w:t>
            </w:r>
            <w:r w:rsidRPr="00A95203">
              <w:rPr>
                <w:sz w:val="22"/>
                <w:szCs w:val="22"/>
              </w:rPr>
              <w:t>万元</w:t>
            </w:r>
          </w:p>
        </w:tc>
        <w:tc>
          <w:tcPr>
            <w:tcW w:w="1514" w:type="dxa"/>
            <w:tcBorders>
              <w:left w:val="single" w:sz="6" w:space="0" w:color="7F7F7F"/>
              <w:right w:val="single" w:sz="6" w:space="0" w:color="7F7F7F"/>
            </w:tcBorders>
            <w:vAlign w:val="center"/>
            <w:hideMark/>
          </w:tcPr>
          <w:p w:rsidR="00D14B23" w:rsidRPr="00A95203" w:rsidRDefault="00D14B23" w:rsidP="00E21369">
            <w:pPr>
              <w:widowControl/>
              <w:tabs>
                <w:tab w:val="left" w:pos="420"/>
              </w:tabs>
              <w:spacing w:before="100" w:beforeAutospacing="1" w:after="100" w:afterAutospacing="1"/>
              <w:jc w:val="center"/>
              <w:rPr>
                <w:kern w:val="0"/>
                <w:sz w:val="22"/>
                <w:szCs w:val="22"/>
              </w:rPr>
            </w:pPr>
            <w:r w:rsidRPr="00A95203">
              <w:rPr>
                <w:sz w:val="22"/>
                <w:szCs w:val="22"/>
              </w:rPr>
              <w:t>1.2%</w:t>
            </w:r>
          </w:p>
        </w:tc>
      </w:tr>
      <w:tr w:rsidR="00D14B23" w:rsidRPr="00A95203" w:rsidTr="003B7662">
        <w:trPr>
          <w:trHeight w:val="351"/>
          <w:tblCellSpacing w:w="0" w:type="dxa"/>
        </w:trPr>
        <w:tc>
          <w:tcPr>
            <w:tcW w:w="1922" w:type="dxa"/>
            <w:vMerge/>
            <w:tcBorders>
              <w:left w:val="single" w:sz="6" w:space="0" w:color="7F7F7F"/>
              <w:right w:val="single" w:sz="6" w:space="0" w:color="7F7F7F"/>
            </w:tcBorders>
            <w:vAlign w:val="center"/>
            <w:hideMark/>
          </w:tcPr>
          <w:p w:rsidR="00D14B23" w:rsidRPr="00A95203" w:rsidRDefault="00D14B23" w:rsidP="00AA3168">
            <w:pPr>
              <w:widowControl/>
              <w:jc w:val="left"/>
              <w:rPr>
                <w:kern w:val="0"/>
                <w:sz w:val="22"/>
                <w:szCs w:val="22"/>
              </w:rPr>
            </w:pPr>
          </w:p>
        </w:tc>
        <w:tc>
          <w:tcPr>
            <w:tcW w:w="2010" w:type="dxa"/>
            <w:vMerge/>
            <w:tcBorders>
              <w:left w:val="single" w:sz="6" w:space="0" w:color="7F7F7F"/>
              <w:right w:val="single" w:sz="6" w:space="0" w:color="7F7F7F"/>
            </w:tcBorders>
            <w:vAlign w:val="center"/>
            <w:hideMark/>
          </w:tcPr>
          <w:p w:rsidR="00D14B23" w:rsidRPr="00A95203" w:rsidRDefault="00D14B23" w:rsidP="00AA3168">
            <w:pPr>
              <w:widowControl/>
              <w:jc w:val="left"/>
              <w:rPr>
                <w:kern w:val="0"/>
                <w:sz w:val="22"/>
                <w:szCs w:val="22"/>
              </w:rPr>
            </w:pPr>
          </w:p>
        </w:tc>
        <w:tc>
          <w:tcPr>
            <w:tcW w:w="3029" w:type="dxa"/>
            <w:tcBorders>
              <w:top w:val="single" w:sz="6" w:space="0" w:color="7F7F7F"/>
              <w:left w:val="single" w:sz="6" w:space="0" w:color="7F7F7F"/>
              <w:bottom w:val="single" w:sz="6" w:space="0" w:color="7F7F7F"/>
              <w:right w:val="single" w:sz="6" w:space="0" w:color="7F7F7F"/>
            </w:tcBorders>
            <w:vAlign w:val="center"/>
            <w:hideMark/>
          </w:tcPr>
          <w:p w:rsidR="00D14B23" w:rsidRPr="00A95203" w:rsidRDefault="00D14B23" w:rsidP="00E21369">
            <w:pPr>
              <w:widowControl/>
              <w:tabs>
                <w:tab w:val="left" w:pos="420"/>
              </w:tabs>
              <w:spacing w:before="100" w:beforeAutospacing="1" w:after="100" w:afterAutospacing="1"/>
              <w:jc w:val="center"/>
              <w:rPr>
                <w:kern w:val="0"/>
                <w:sz w:val="22"/>
                <w:szCs w:val="22"/>
              </w:rPr>
            </w:pPr>
            <w:r w:rsidRPr="00A95203">
              <w:rPr>
                <w:sz w:val="22"/>
                <w:szCs w:val="22"/>
              </w:rPr>
              <w:t>200</w:t>
            </w:r>
            <w:r w:rsidRPr="00A95203">
              <w:rPr>
                <w:sz w:val="22"/>
                <w:szCs w:val="22"/>
              </w:rPr>
              <w:t>万元（含）至</w:t>
            </w:r>
            <w:r w:rsidRPr="00A95203">
              <w:rPr>
                <w:sz w:val="22"/>
                <w:szCs w:val="22"/>
              </w:rPr>
              <w:t>500</w:t>
            </w:r>
            <w:r w:rsidRPr="00A95203">
              <w:rPr>
                <w:sz w:val="22"/>
                <w:szCs w:val="22"/>
              </w:rPr>
              <w:t>万元</w:t>
            </w:r>
          </w:p>
        </w:tc>
        <w:tc>
          <w:tcPr>
            <w:tcW w:w="1514" w:type="dxa"/>
            <w:tcBorders>
              <w:left w:val="single" w:sz="6" w:space="0" w:color="7F7F7F"/>
              <w:right w:val="single" w:sz="6" w:space="0" w:color="7F7F7F"/>
            </w:tcBorders>
            <w:vAlign w:val="center"/>
            <w:hideMark/>
          </w:tcPr>
          <w:p w:rsidR="00D14B23" w:rsidRPr="00A95203" w:rsidRDefault="00D14B23" w:rsidP="00E21369">
            <w:pPr>
              <w:widowControl/>
              <w:tabs>
                <w:tab w:val="left" w:pos="420"/>
              </w:tabs>
              <w:spacing w:before="100" w:beforeAutospacing="1" w:after="100" w:afterAutospacing="1"/>
              <w:jc w:val="center"/>
              <w:rPr>
                <w:kern w:val="0"/>
                <w:sz w:val="22"/>
                <w:szCs w:val="22"/>
              </w:rPr>
            </w:pPr>
            <w:r w:rsidRPr="00A95203">
              <w:rPr>
                <w:sz w:val="22"/>
                <w:szCs w:val="22"/>
              </w:rPr>
              <w:t>0.8%</w:t>
            </w:r>
          </w:p>
        </w:tc>
      </w:tr>
      <w:tr w:rsidR="00D14B23" w:rsidRPr="00A95203" w:rsidTr="003B7662">
        <w:trPr>
          <w:trHeight w:val="351"/>
          <w:tblCellSpacing w:w="0" w:type="dxa"/>
        </w:trPr>
        <w:tc>
          <w:tcPr>
            <w:tcW w:w="1922" w:type="dxa"/>
            <w:vMerge/>
            <w:tcBorders>
              <w:left w:val="single" w:sz="6" w:space="0" w:color="7F7F7F"/>
              <w:right w:val="single" w:sz="6" w:space="0" w:color="7F7F7F"/>
            </w:tcBorders>
            <w:vAlign w:val="center"/>
            <w:hideMark/>
          </w:tcPr>
          <w:p w:rsidR="00D14B23" w:rsidRPr="00A95203" w:rsidRDefault="00D14B23" w:rsidP="00AA3168">
            <w:pPr>
              <w:widowControl/>
              <w:jc w:val="left"/>
              <w:rPr>
                <w:kern w:val="0"/>
                <w:sz w:val="22"/>
                <w:szCs w:val="22"/>
              </w:rPr>
            </w:pPr>
          </w:p>
        </w:tc>
        <w:tc>
          <w:tcPr>
            <w:tcW w:w="2010" w:type="dxa"/>
            <w:vMerge/>
            <w:tcBorders>
              <w:left w:val="single" w:sz="6" w:space="0" w:color="7F7F7F"/>
              <w:right w:val="single" w:sz="6" w:space="0" w:color="7F7F7F"/>
            </w:tcBorders>
            <w:vAlign w:val="center"/>
            <w:hideMark/>
          </w:tcPr>
          <w:p w:rsidR="00D14B23" w:rsidRPr="00A95203" w:rsidRDefault="00D14B23" w:rsidP="00AA3168">
            <w:pPr>
              <w:widowControl/>
              <w:jc w:val="left"/>
              <w:rPr>
                <w:kern w:val="0"/>
                <w:sz w:val="22"/>
                <w:szCs w:val="22"/>
              </w:rPr>
            </w:pPr>
          </w:p>
        </w:tc>
        <w:tc>
          <w:tcPr>
            <w:tcW w:w="3029" w:type="dxa"/>
            <w:tcBorders>
              <w:top w:val="single" w:sz="6" w:space="0" w:color="7F7F7F"/>
              <w:left w:val="single" w:sz="6" w:space="0" w:color="7F7F7F"/>
              <w:bottom w:val="single" w:sz="6" w:space="0" w:color="7F7F7F"/>
              <w:right w:val="single" w:sz="6" w:space="0" w:color="7F7F7F"/>
            </w:tcBorders>
            <w:vAlign w:val="center"/>
            <w:hideMark/>
          </w:tcPr>
          <w:p w:rsidR="00D14B23" w:rsidRPr="00A95203" w:rsidRDefault="00D14B23" w:rsidP="00E21369">
            <w:pPr>
              <w:widowControl/>
              <w:tabs>
                <w:tab w:val="left" w:pos="420"/>
              </w:tabs>
              <w:spacing w:before="100" w:beforeAutospacing="1" w:after="100" w:afterAutospacing="1"/>
              <w:jc w:val="center"/>
              <w:rPr>
                <w:kern w:val="0"/>
                <w:sz w:val="22"/>
                <w:szCs w:val="22"/>
              </w:rPr>
            </w:pPr>
            <w:r w:rsidRPr="00A95203">
              <w:rPr>
                <w:sz w:val="22"/>
                <w:szCs w:val="22"/>
              </w:rPr>
              <w:t>500</w:t>
            </w:r>
            <w:r w:rsidRPr="00A95203">
              <w:rPr>
                <w:sz w:val="22"/>
                <w:szCs w:val="22"/>
              </w:rPr>
              <w:t>万元（含）至</w:t>
            </w:r>
            <w:r w:rsidRPr="00A95203">
              <w:rPr>
                <w:sz w:val="22"/>
                <w:szCs w:val="22"/>
              </w:rPr>
              <w:t>1000</w:t>
            </w:r>
            <w:r w:rsidRPr="00A95203">
              <w:rPr>
                <w:sz w:val="22"/>
                <w:szCs w:val="22"/>
              </w:rPr>
              <w:t>万元</w:t>
            </w:r>
          </w:p>
        </w:tc>
        <w:tc>
          <w:tcPr>
            <w:tcW w:w="1514" w:type="dxa"/>
            <w:tcBorders>
              <w:left w:val="single" w:sz="6" w:space="0" w:color="7F7F7F"/>
              <w:right w:val="single" w:sz="6" w:space="0" w:color="7F7F7F"/>
            </w:tcBorders>
            <w:vAlign w:val="center"/>
            <w:hideMark/>
          </w:tcPr>
          <w:p w:rsidR="00D14B23" w:rsidRPr="00A95203" w:rsidRDefault="00D14B23" w:rsidP="00E21369">
            <w:pPr>
              <w:widowControl/>
              <w:tabs>
                <w:tab w:val="left" w:pos="420"/>
              </w:tabs>
              <w:spacing w:before="100" w:beforeAutospacing="1" w:after="100" w:afterAutospacing="1"/>
              <w:jc w:val="center"/>
              <w:rPr>
                <w:kern w:val="0"/>
                <w:sz w:val="22"/>
                <w:szCs w:val="22"/>
              </w:rPr>
            </w:pPr>
            <w:r w:rsidRPr="00A95203">
              <w:rPr>
                <w:sz w:val="22"/>
                <w:szCs w:val="22"/>
              </w:rPr>
              <w:t>0.3%</w:t>
            </w:r>
          </w:p>
        </w:tc>
      </w:tr>
      <w:tr w:rsidR="00D14B23" w:rsidRPr="00A95203" w:rsidTr="003B7662">
        <w:trPr>
          <w:trHeight w:val="904"/>
          <w:tblCellSpacing w:w="0" w:type="dxa"/>
        </w:trPr>
        <w:tc>
          <w:tcPr>
            <w:tcW w:w="1922" w:type="dxa"/>
            <w:vMerge/>
            <w:tcBorders>
              <w:left w:val="single" w:sz="6" w:space="0" w:color="7F7F7F"/>
              <w:bottom w:val="single" w:sz="6" w:space="0" w:color="7F7F7F"/>
              <w:right w:val="single" w:sz="6" w:space="0" w:color="7F7F7F"/>
            </w:tcBorders>
            <w:vAlign w:val="center"/>
            <w:hideMark/>
          </w:tcPr>
          <w:p w:rsidR="00D14B23" w:rsidRPr="00A95203" w:rsidRDefault="00D14B23" w:rsidP="00AA3168">
            <w:pPr>
              <w:widowControl/>
              <w:jc w:val="left"/>
              <w:rPr>
                <w:kern w:val="0"/>
                <w:sz w:val="22"/>
                <w:szCs w:val="22"/>
              </w:rPr>
            </w:pPr>
          </w:p>
        </w:tc>
        <w:tc>
          <w:tcPr>
            <w:tcW w:w="2010" w:type="dxa"/>
            <w:vMerge/>
            <w:tcBorders>
              <w:left w:val="single" w:sz="6" w:space="0" w:color="7F7F7F"/>
              <w:bottom w:val="single" w:sz="6" w:space="0" w:color="7F7F7F"/>
              <w:right w:val="single" w:sz="6" w:space="0" w:color="7F7F7F"/>
            </w:tcBorders>
            <w:vAlign w:val="center"/>
            <w:hideMark/>
          </w:tcPr>
          <w:p w:rsidR="00D14B23" w:rsidRPr="00A95203" w:rsidRDefault="00D14B23" w:rsidP="00AA3168">
            <w:pPr>
              <w:widowControl/>
              <w:jc w:val="left"/>
              <w:rPr>
                <w:kern w:val="0"/>
                <w:sz w:val="22"/>
                <w:szCs w:val="22"/>
              </w:rPr>
            </w:pPr>
          </w:p>
        </w:tc>
        <w:tc>
          <w:tcPr>
            <w:tcW w:w="3029" w:type="dxa"/>
            <w:tcBorders>
              <w:top w:val="single" w:sz="6" w:space="0" w:color="7F7F7F"/>
              <w:left w:val="single" w:sz="6" w:space="0" w:color="7F7F7F"/>
              <w:bottom w:val="single" w:sz="6" w:space="0" w:color="7F7F7F"/>
              <w:right w:val="single" w:sz="6" w:space="0" w:color="7F7F7F"/>
            </w:tcBorders>
            <w:vAlign w:val="center"/>
            <w:hideMark/>
          </w:tcPr>
          <w:p w:rsidR="00D14B23" w:rsidRPr="00A95203" w:rsidRDefault="00D14B23" w:rsidP="00E21369">
            <w:pPr>
              <w:widowControl/>
              <w:tabs>
                <w:tab w:val="left" w:pos="420"/>
              </w:tabs>
              <w:spacing w:before="100" w:beforeAutospacing="1" w:after="100" w:afterAutospacing="1"/>
              <w:jc w:val="center"/>
              <w:rPr>
                <w:kern w:val="0"/>
                <w:sz w:val="22"/>
                <w:szCs w:val="22"/>
              </w:rPr>
            </w:pPr>
            <w:r w:rsidRPr="00A95203">
              <w:rPr>
                <w:sz w:val="22"/>
                <w:szCs w:val="22"/>
              </w:rPr>
              <w:t>1000</w:t>
            </w:r>
            <w:r w:rsidRPr="00A95203">
              <w:rPr>
                <w:sz w:val="22"/>
                <w:szCs w:val="22"/>
              </w:rPr>
              <w:t>万元以上（含</w:t>
            </w:r>
            <w:r w:rsidRPr="00A95203">
              <w:rPr>
                <w:sz w:val="22"/>
                <w:szCs w:val="22"/>
              </w:rPr>
              <w:t>1000</w:t>
            </w:r>
            <w:r w:rsidRPr="00A95203">
              <w:rPr>
                <w:sz w:val="22"/>
                <w:szCs w:val="22"/>
              </w:rPr>
              <w:t>万）</w:t>
            </w:r>
          </w:p>
        </w:tc>
        <w:tc>
          <w:tcPr>
            <w:tcW w:w="1514" w:type="dxa"/>
            <w:tcBorders>
              <w:left w:val="single" w:sz="6" w:space="0" w:color="7F7F7F"/>
              <w:bottom w:val="single" w:sz="6" w:space="0" w:color="7F7F7F"/>
              <w:right w:val="single" w:sz="6" w:space="0" w:color="7F7F7F"/>
            </w:tcBorders>
            <w:vAlign w:val="center"/>
            <w:hideMark/>
          </w:tcPr>
          <w:p w:rsidR="00D14B23" w:rsidRPr="00A95203" w:rsidRDefault="00D14B23" w:rsidP="00E21369">
            <w:pPr>
              <w:widowControl/>
              <w:tabs>
                <w:tab w:val="left" w:pos="420"/>
              </w:tabs>
              <w:jc w:val="center"/>
              <w:rPr>
                <w:sz w:val="22"/>
                <w:szCs w:val="22"/>
              </w:rPr>
            </w:pPr>
            <w:r w:rsidRPr="00A95203">
              <w:rPr>
                <w:sz w:val="22"/>
                <w:szCs w:val="22"/>
              </w:rPr>
              <w:t>每笔交易</w:t>
            </w:r>
          </w:p>
          <w:p w:rsidR="00D14B23" w:rsidRPr="00A95203" w:rsidRDefault="00D14B23" w:rsidP="00E21369">
            <w:pPr>
              <w:widowControl/>
              <w:tabs>
                <w:tab w:val="left" w:pos="420"/>
              </w:tabs>
              <w:jc w:val="center"/>
              <w:rPr>
                <w:kern w:val="0"/>
                <w:sz w:val="22"/>
                <w:szCs w:val="22"/>
              </w:rPr>
            </w:pPr>
            <w:r w:rsidRPr="00A95203">
              <w:rPr>
                <w:sz w:val="22"/>
                <w:szCs w:val="22"/>
              </w:rPr>
              <w:t>1000</w:t>
            </w:r>
            <w:r w:rsidRPr="00A95203">
              <w:rPr>
                <w:sz w:val="22"/>
                <w:szCs w:val="22"/>
              </w:rPr>
              <w:t>元</w:t>
            </w:r>
          </w:p>
        </w:tc>
      </w:tr>
      <w:tr w:rsidR="00D14B23" w:rsidRPr="00A95203" w:rsidTr="003B7662">
        <w:trPr>
          <w:tblCellSpacing w:w="0" w:type="dxa"/>
        </w:trPr>
        <w:tc>
          <w:tcPr>
            <w:tcW w:w="1922" w:type="dxa"/>
            <w:vMerge w:val="restart"/>
            <w:tcBorders>
              <w:top w:val="single" w:sz="6" w:space="0" w:color="7F7F7F"/>
              <w:left w:val="single" w:sz="6" w:space="0" w:color="7F7F7F"/>
              <w:bottom w:val="single" w:sz="6" w:space="0" w:color="7F7F7F"/>
              <w:right w:val="single" w:sz="6" w:space="0" w:color="7F7F7F"/>
            </w:tcBorders>
            <w:vAlign w:val="center"/>
          </w:tcPr>
          <w:p w:rsidR="009676F3" w:rsidRPr="00A95203" w:rsidRDefault="00D14B23" w:rsidP="009676F3">
            <w:pPr>
              <w:widowControl/>
              <w:jc w:val="left"/>
              <w:rPr>
                <w:kern w:val="0"/>
                <w:sz w:val="22"/>
                <w:szCs w:val="22"/>
              </w:rPr>
            </w:pPr>
            <w:r w:rsidRPr="00A95203">
              <w:rPr>
                <w:kern w:val="0"/>
                <w:sz w:val="22"/>
                <w:szCs w:val="22"/>
              </w:rPr>
              <w:lastRenderedPageBreak/>
              <w:t>交银货币</w:t>
            </w:r>
            <w:r w:rsidR="00380F1D">
              <w:rPr>
                <w:rFonts w:hint="eastAsia"/>
                <w:kern w:val="0"/>
                <w:sz w:val="22"/>
                <w:szCs w:val="22"/>
              </w:rPr>
              <w:t>、</w:t>
            </w:r>
            <w:r w:rsidRPr="00A95203">
              <w:rPr>
                <w:kern w:val="0"/>
                <w:sz w:val="22"/>
                <w:szCs w:val="22"/>
              </w:rPr>
              <w:t>交银增利</w:t>
            </w:r>
            <w:r w:rsidRPr="00A95203">
              <w:rPr>
                <w:kern w:val="0"/>
                <w:sz w:val="22"/>
                <w:szCs w:val="22"/>
              </w:rPr>
              <w:t>C</w:t>
            </w:r>
            <w:r w:rsidRPr="00A95203">
              <w:rPr>
                <w:kern w:val="0"/>
                <w:sz w:val="22"/>
                <w:szCs w:val="22"/>
              </w:rPr>
              <w:t>类基金份额</w:t>
            </w:r>
            <w:r w:rsidR="00380F1D">
              <w:rPr>
                <w:rFonts w:hint="eastAsia"/>
                <w:kern w:val="0"/>
                <w:sz w:val="22"/>
                <w:szCs w:val="22"/>
              </w:rPr>
              <w:t>、</w:t>
            </w:r>
            <w:r w:rsidRPr="00A95203">
              <w:rPr>
                <w:kern w:val="0"/>
                <w:sz w:val="22"/>
                <w:szCs w:val="22"/>
              </w:rPr>
              <w:t>交银双利</w:t>
            </w:r>
            <w:r w:rsidRPr="00A95203">
              <w:rPr>
                <w:kern w:val="0"/>
                <w:sz w:val="22"/>
                <w:szCs w:val="22"/>
              </w:rPr>
              <w:t>C</w:t>
            </w:r>
            <w:r w:rsidRPr="00A95203">
              <w:rPr>
                <w:kern w:val="0"/>
                <w:sz w:val="22"/>
                <w:szCs w:val="22"/>
              </w:rPr>
              <w:t>类基金份额</w:t>
            </w:r>
            <w:r w:rsidR="00380F1D">
              <w:rPr>
                <w:rFonts w:hint="eastAsia"/>
                <w:kern w:val="0"/>
                <w:sz w:val="22"/>
                <w:szCs w:val="22"/>
              </w:rPr>
              <w:t>、</w:t>
            </w:r>
          </w:p>
          <w:p w:rsidR="009676F3" w:rsidRPr="00A95203" w:rsidRDefault="00D14B23" w:rsidP="00380F1D">
            <w:pPr>
              <w:widowControl/>
              <w:jc w:val="left"/>
              <w:rPr>
                <w:kern w:val="0"/>
                <w:sz w:val="22"/>
                <w:szCs w:val="22"/>
              </w:rPr>
            </w:pPr>
            <w:r w:rsidRPr="00A95203">
              <w:rPr>
                <w:kern w:val="0"/>
                <w:sz w:val="22"/>
                <w:szCs w:val="22"/>
              </w:rPr>
              <w:t>交银纯债</w:t>
            </w:r>
            <w:r w:rsidRPr="00A95203">
              <w:rPr>
                <w:kern w:val="0"/>
                <w:sz w:val="22"/>
                <w:szCs w:val="22"/>
              </w:rPr>
              <w:t>C</w:t>
            </w:r>
            <w:r w:rsidRPr="00A95203">
              <w:rPr>
                <w:kern w:val="0"/>
                <w:sz w:val="22"/>
                <w:szCs w:val="22"/>
              </w:rPr>
              <w:t>类基金份额</w:t>
            </w:r>
            <w:r w:rsidR="00380F1D">
              <w:rPr>
                <w:rFonts w:hint="eastAsia"/>
                <w:kern w:val="0"/>
                <w:sz w:val="22"/>
                <w:szCs w:val="22"/>
              </w:rPr>
              <w:t>、</w:t>
            </w:r>
            <w:r w:rsidRPr="00A95203">
              <w:rPr>
                <w:kern w:val="0"/>
                <w:sz w:val="22"/>
                <w:szCs w:val="22"/>
              </w:rPr>
              <w:t>交银双轮动</w:t>
            </w:r>
            <w:r w:rsidRPr="00A95203">
              <w:rPr>
                <w:kern w:val="0"/>
                <w:sz w:val="22"/>
                <w:szCs w:val="22"/>
              </w:rPr>
              <w:t>C</w:t>
            </w:r>
            <w:r w:rsidRPr="00A95203">
              <w:rPr>
                <w:kern w:val="0"/>
                <w:sz w:val="22"/>
                <w:szCs w:val="22"/>
              </w:rPr>
              <w:t>类基金份额</w:t>
            </w:r>
            <w:r w:rsidR="00380F1D">
              <w:rPr>
                <w:rFonts w:hint="eastAsia"/>
                <w:kern w:val="0"/>
                <w:sz w:val="22"/>
                <w:szCs w:val="22"/>
              </w:rPr>
              <w:t>、</w:t>
            </w:r>
            <w:r w:rsidRPr="00A95203">
              <w:rPr>
                <w:kern w:val="0"/>
                <w:sz w:val="22"/>
                <w:szCs w:val="22"/>
              </w:rPr>
              <w:t>交银月月丰</w:t>
            </w:r>
            <w:r w:rsidRPr="00A95203">
              <w:rPr>
                <w:kern w:val="0"/>
                <w:sz w:val="22"/>
                <w:szCs w:val="22"/>
              </w:rPr>
              <w:t>C</w:t>
            </w:r>
            <w:r w:rsidRPr="00A95203">
              <w:rPr>
                <w:kern w:val="0"/>
                <w:sz w:val="22"/>
                <w:szCs w:val="22"/>
              </w:rPr>
              <w:t>类基金份额</w:t>
            </w:r>
            <w:r w:rsidR="00380F1D">
              <w:rPr>
                <w:rFonts w:hint="eastAsia"/>
                <w:kern w:val="0"/>
                <w:sz w:val="22"/>
                <w:szCs w:val="22"/>
              </w:rPr>
              <w:t>、</w:t>
            </w:r>
            <w:r w:rsidRPr="00A95203">
              <w:rPr>
                <w:kern w:val="0"/>
                <w:sz w:val="22"/>
                <w:szCs w:val="22"/>
              </w:rPr>
              <w:t>交银强化回报</w:t>
            </w:r>
            <w:r w:rsidRPr="00A95203">
              <w:rPr>
                <w:kern w:val="0"/>
                <w:sz w:val="22"/>
                <w:szCs w:val="22"/>
              </w:rPr>
              <w:t>C</w:t>
            </w:r>
            <w:r w:rsidRPr="00A95203">
              <w:rPr>
                <w:kern w:val="0"/>
                <w:sz w:val="22"/>
                <w:szCs w:val="22"/>
              </w:rPr>
              <w:t>类基金份额</w:t>
            </w:r>
          </w:p>
        </w:tc>
        <w:tc>
          <w:tcPr>
            <w:tcW w:w="2010" w:type="dxa"/>
            <w:vMerge w:val="restart"/>
            <w:tcBorders>
              <w:top w:val="single" w:sz="6" w:space="0" w:color="7F7F7F"/>
              <w:left w:val="single" w:sz="6" w:space="0" w:color="7F7F7F"/>
              <w:bottom w:val="single" w:sz="6" w:space="0" w:color="7F7F7F"/>
              <w:right w:val="single" w:sz="6" w:space="0" w:color="7F7F7F"/>
            </w:tcBorders>
            <w:vAlign w:val="center"/>
            <w:hideMark/>
          </w:tcPr>
          <w:p w:rsidR="00D14B23" w:rsidRPr="00A95203" w:rsidRDefault="00D14B23" w:rsidP="00534F16">
            <w:pPr>
              <w:widowControl/>
              <w:jc w:val="left"/>
              <w:rPr>
                <w:kern w:val="0"/>
                <w:sz w:val="22"/>
                <w:szCs w:val="22"/>
              </w:rPr>
            </w:pPr>
            <w:r w:rsidRPr="00A95203">
              <w:rPr>
                <w:kern w:val="0"/>
                <w:sz w:val="22"/>
                <w:szCs w:val="22"/>
              </w:rPr>
              <w:t>前端收费模式下</w:t>
            </w:r>
          </w:p>
          <w:p w:rsidR="00D14B23" w:rsidRPr="00A95203" w:rsidRDefault="00D14B23" w:rsidP="00BA295B">
            <w:pPr>
              <w:widowControl/>
              <w:tabs>
                <w:tab w:val="left" w:pos="420"/>
              </w:tabs>
              <w:jc w:val="left"/>
              <w:rPr>
                <w:kern w:val="0"/>
                <w:sz w:val="22"/>
                <w:szCs w:val="22"/>
              </w:rPr>
            </w:pPr>
            <w:r w:rsidRPr="00A95203">
              <w:rPr>
                <w:kern w:val="0"/>
                <w:sz w:val="22"/>
                <w:szCs w:val="22"/>
              </w:rPr>
              <w:t>交银精选、交银稳健、交银成长、交银蓝筹、交银先锋、交银治理、交银主题、交银制造、交银价值、</w:t>
            </w:r>
            <w:r w:rsidR="00BA295B" w:rsidRPr="00A95203">
              <w:rPr>
                <w:kern w:val="0"/>
                <w:sz w:val="22"/>
                <w:szCs w:val="22"/>
              </w:rPr>
              <w:t>交银策略回报、</w:t>
            </w:r>
            <w:r w:rsidRPr="00A95203">
              <w:rPr>
                <w:kern w:val="0"/>
                <w:sz w:val="22"/>
                <w:szCs w:val="22"/>
              </w:rPr>
              <w:t>交银核心、</w:t>
            </w:r>
            <w:r w:rsidR="00BA295B" w:rsidRPr="00A95203">
              <w:rPr>
                <w:kern w:val="0"/>
                <w:sz w:val="22"/>
                <w:szCs w:val="22"/>
              </w:rPr>
              <w:t>交银消费新驱动、</w:t>
            </w:r>
            <w:r w:rsidRPr="00A95203">
              <w:rPr>
                <w:kern w:val="0"/>
                <w:sz w:val="22"/>
                <w:szCs w:val="22"/>
              </w:rPr>
              <w:t>交银成长</w:t>
            </w:r>
            <w:r w:rsidRPr="00A95203">
              <w:rPr>
                <w:kern w:val="0"/>
                <w:sz w:val="22"/>
                <w:szCs w:val="22"/>
              </w:rPr>
              <w:t>30</w:t>
            </w:r>
            <w:r w:rsidRPr="00A95203">
              <w:rPr>
                <w:kern w:val="0"/>
                <w:sz w:val="22"/>
                <w:szCs w:val="22"/>
              </w:rPr>
              <w:t>、交银双息平衡</w:t>
            </w:r>
            <w:r w:rsidR="008E0202" w:rsidRPr="00A95203">
              <w:rPr>
                <w:kern w:val="0"/>
                <w:sz w:val="22"/>
                <w:szCs w:val="22"/>
              </w:rPr>
              <w:t>、交银新回报</w:t>
            </w:r>
            <w:r w:rsidR="00F1122A" w:rsidRPr="00A95203">
              <w:rPr>
                <w:kern w:val="0"/>
                <w:sz w:val="22"/>
                <w:szCs w:val="22"/>
              </w:rPr>
              <w:t>A</w:t>
            </w:r>
            <w:r w:rsidR="00F1122A" w:rsidRPr="00A95203">
              <w:rPr>
                <w:kern w:val="0"/>
                <w:sz w:val="22"/>
                <w:szCs w:val="22"/>
              </w:rPr>
              <w:t>类</w:t>
            </w:r>
            <w:r w:rsidR="00F1122A">
              <w:rPr>
                <w:rFonts w:hint="eastAsia"/>
                <w:kern w:val="0"/>
                <w:sz w:val="22"/>
                <w:szCs w:val="22"/>
              </w:rPr>
              <w:t>基金份额</w:t>
            </w:r>
            <w:r w:rsidR="008E0202" w:rsidRPr="00A95203">
              <w:rPr>
                <w:kern w:val="0"/>
                <w:sz w:val="22"/>
                <w:szCs w:val="22"/>
              </w:rPr>
              <w:t>、交银多策略</w:t>
            </w:r>
            <w:r w:rsidR="00F1122A" w:rsidRPr="00A95203">
              <w:rPr>
                <w:kern w:val="0"/>
                <w:sz w:val="22"/>
                <w:szCs w:val="22"/>
              </w:rPr>
              <w:t>A</w:t>
            </w:r>
            <w:r w:rsidR="00F1122A" w:rsidRPr="00A95203">
              <w:rPr>
                <w:kern w:val="0"/>
                <w:sz w:val="22"/>
                <w:szCs w:val="22"/>
              </w:rPr>
              <w:t>类</w:t>
            </w:r>
            <w:r w:rsidR="00F1122A">
              <w:rPr>
                <w:rFonts w:hint="eastAsia"/>
                <w:kern w:val="0"/>
                <w:sz w:val="22"/>
                <w:szCs w:val="22"/>
              </w:rPr>
              <w:t>基金份额</w:t>
            </w:r>
            <w:r w:rsidR="007F780E" w:rsidRPr="00A95203">
              <w:rPr>
                <w:kern w:val="0"/>
                <w:sz w:val="22"/>
                <w:szCs w:val="22"/>
              </w:rPr>
              <w:t>、交银国企改革</w:t>
            </w:r>
            <w:r w:rsidR="00D14546">
              <w:rPr>
                <w:rFonts w:hint="eastAsia"/>
                <w:kern w:val="0"/>
                <w:sz w:val="22"/>
                <w:szCs w:val="22"/>
              </w:rPr>
              <w:t>、交银数据产业</w:t>
            </w:r>
          </w:p>
        </w:tc>
        <w:tc>
          <w:tcPr>
            <w:tcW w:w="3029" w:type="dxa"/>
            <w:tcBorders>
              <w:top w:val="single" w:sz="6" w:space="0" w:color="7F7F7F"/>
              <w:left w:val="single" w:sz="6" w:space="0" w:color="7F7F7F"/>
              <w:bottom w:val="single" w:sz="6" w:space="0" w:color="7F7F7F"/>
              <w:right w:val="single" w:sz="6" w:space="0" w:color="7F7F7F"/>
            </w:tcBorders>
            <w:hideMark/>
          </w:tcPr>
          <w:p w:rsidR="00D14B23" w:rsidRPr="00A95203" w:rsidRDefault="00D14B23" w:rsidP="00534F16">
            <w:pPr>
              <w:widowControl/>
              <w:tabs>
                <w:tab w:val="left" w:pos="420"/>
              </w:tabs>
              <w:spacing w:before="100" w:beforeAutospacing="1" w:after="100" w:afterAutospacing="1"/>
              <w:jc w:val="center"/>
              <w:rPr>
                <w:kern w:val="0"/>
                <w:sz w:val="22"/>
                <w:szCs w:val="22"/>
              </w:rPr>
            </w:pPr>
            <w:r w:rsidRPr="00A95203">
              <w:rPr>
                <w:kern w:val="0"/>
                <w:sz w:val="22"/>
                <w:szCs w:val="22"/>
              </w:rPr>
              <w:t>50</w:t>
            </w:r>
            <w:r w:rsidRPr="00A95203">
              <w:rPr>
                <w:kern w:val="0"/>
                <w:sz w:val="22"/>
                <w:szCs w:val="22"/>
              </w:rPr>
              <w:t>万元以下</w:t>
            </w:r>
          </w:p>
        </w:tc>
        <w:tc>
          <w:tcPr>
            <w:tcW w:w="1514" w:type="dxa"/>
            <w:tcBorders>
              <w:top w:val="single" w:sz="6" w:space="0" w:color="7F7F7F"/>
              <w:left w:val="single" w:sz="6" w:space="0" w:color="7F7F7F"/>
              <w:bottom w:val="single" w:sz="6" w:space="0" w:color="7F7F7F"/>
              <w:right w:val="single" w:sz="6" w:space="0" w:color="7F7F7F"/>
            </w:tcBorders>
            <w:hideMark/>
          </w:tcPr>
          <w:p w:rsidR="00D14B23" w:rsidRPr="00A95203" w:rsidRDefault="00D14B23" w:rsidP="00534F16">
            <w:pPr>
              <w:widowControl/>
              <w:tabs>
                <w:tab w:val="left" w:pos="420"/>
              </w:tabs>
              <w:jc w:val="center"/>
              <w:rPr>
                <w:kern w:val="0"/>
                <w:sz w:val="22"/>
                <w:szCs w:val="22"/>
              </w:rPr>
            </w:pPr>
            <w:r w:rsidRPr="00A95203">
              <w:rPr>
                <w:kern w:val="0"/>
                <w:sz w:val="22"/>
                <w:szCs w:val="22"/>
              </w:rPr>
              <w:t>1.5%</w:t>
            </w:r>
          </w:p>
        </w:tc>
      </w:tr>
      <w:tr w:rsidR="00D14B23" w:rsidRPr="00A95203" w:rsidTr="003B7662">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D14B23" w:rsidRPr="00A95203" w:rsidRDefault="00D14B23" w:rsidP="00534F16">
            <w:pPr>
              <w:widowControl/>
              <w:jc w:val="left"/>
              <w:rPr>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D14B23" w:rsidRPr="00A95203" w:rsidRDefault="00D14B23" w:rsidP="00534F16">
            <w:pPr>
              <w:widowControl/>
              <w:jc w:val="left"/>
              <w:rPr>
                <w:kern w:val="0"/>
                <w:sz w:val="22"/>
                <w:szCs w:val="22"/>
              </w:rPr>
            </w:pPr>
          </w:p>
        </w:tc>
        <w:tc>
          <w:tcPr>
            <w:tcW w:w="3029" w:type="dxa"/>
            <w:tcBorders>
              <w:top w:val="single" w:sz="6" w:space="0" w:color="7F7F7F"/>
              <w:left w:val="single" w:sz="6" w:space="0" w:color="7F7F7F"/>
              <w:bottom w:val="single" w:sz="6" w:space="0" w:color="7F7F7F"/>
              <w:right w:val="single" w:sz="6" w:space="0" w:color="7F7F7F"/>
            </w:tcBorders>
            <w:hideMark/>
          </w:tcPr>
          <w:p w:rsidR="00D14B23" w:rsidRPr="00A95203" w:rsidRDefault="00D14B23" w:rsidP="00534F16">
            <w:pPr>
              <w:widowControl/>
              <w:tabs>
                <w:tab w:val="left" w:pos="420"/>
              </w:tabs>
              <w:spacing w:before="100" w:beforeAutospacing="1" w:after="100" w:afterAutospacing="1"/>
              <w:jc w:val="center"/>
              <w:rPr>
                <w:kern w:val="0"/>
                <w:sz w:val="22"/>
                <w:szCs w:val="22"/>
              </w:rPr>
            </w:pPr>
            <w:r w:rsidRPr="00A95203">
              <w:rPr>
                <w:kern w:val="0"/>
                <w:sz w:val="22"/>
                <w:szCs w:val="22"/>
              </w:rPr>
              <w:t>50</w:t>
            </w:r>
            <w:r w:rsidRPr="00A95203">
              <w:rPr>
                <w:kern w:val="0"/>
                <w:sz w:val="22"/>
                <w:szCs w:val="22"/>
              </w:rPr>
              <w:t>万元（含）至</w:t>
            </w:r>
            <w:r w:rsidRPr="00A95203">
              <w:rPr>
                <w:kern w:val="0"/>
                <w:sz w:val="22"/>
                <w:szCs w:val="22"/>
              </w:rPr>
              <w:t>100</w:t>
            </w:r>
            <w:r w:rsidRPr="00A95203">
              <w:rPr>
                <w:kern w:val="0"/>
                <w:sz w:val="22"/>
                <w:szCs w:val="22"/>
              </w:rPr>
              <w:t>万元</w:t>
            </w:r>
          </w:p>
        </w:tc>
        <w:tc>
          <w:tcPr>
            <w:tcW w:w="1514" w:type="dxa"/>
            <w:tcBorders>
              <w:top w:val="single" w:sz="6" w:space="0" w:color="7F7F7F"/>
              <w:left w:val="single" w:sz="6" w:space="0" w:color="7F7F7F"/>
              <w:bottom w:val="single" w:sz="6" w:space="0" w:color="7F7F7F"/>
              <w:right w:val="single" w:sz="6" w:space="0" w:color="7F7F7F"/>
            </w:tcBorders>
            <w:hideMark/>
          </w:tcPr>
          <w:p w:rsidR="00D14B23" w:rsidRPr="00A95203" w:rsidRDefault="00D14B23" w:rsidP="00534F16">
            <w:pPr>
              <w:widowControl/>
              <w:tabs>
                <w:tab w:val="left" w:pos="420"/>
              </w:tabs>
              <w:spacing w:before="100" w:beforeAutospacing="1" w:after="100" w:afterAutospacing="1"/>
              <w:jc w:val="center"/>
              <w:rPr>
                <w:kern w:val="0"/>
                <w:sz w:val="22"/>
                <w:szCs w:val="22"/>
              </w:rPr>
            </w:pPr>
            <w:r w:rsidRPr="00A95203">
              <w:rPr>
                <w:kern w:val="0"/>
                <w:sz w:val="22"/>
                <w:szCs w:val="22"/>
              </w:rPr>
              <w:t>1.2%</w:t>
            </w:r>
          </w:p>
        </w:tc>
      </w:tr>
      <w:tr w:rsidR="00D14B23" w:rsidRPr="00A95203" w:rsidTr="003B7662">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D14B23" w:rsidRPr="00A95203" w:rsidRDefault="00D14B23" w:rsidP="00534F16">
            <w:pPr>
              <w:widowControl/>
              <w:jc w:val="left"/>
              <w:rPr>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D14B23" w:rsidRPr="00A95203" w:rsidRDefault="00D14B23" w:rsidP="00534F16">
            <w:pPr>
              <w:widowControl/>
              <w:jc w:val="left"/>
              <w:rPr>
                <w:kern w:val="0"/>
                <w:sz w:val="22"/>
                <w:szCs w:val="22"/>
              </w:rPr>
            </w:pPr>
          </w:p>
        </w:tc>
        <w:tc>
          <w:tcPr>
            <w:tcW w:w="3029" w:type="dxa"/>
            <w:tcBorders>
              <w:top w:val="single" w:sz="6" w:space="0" w:color="7F7F7F"/>
              <w:left w:val="single" w:sz="6" w:space="0" w:color="7F7F7F"/>
              <w:bottom w:val="single" w:sz="6" w:space="0" w:color="7F7F7F"/>
              <w:right w:val="single" w:sz="6" w:space="0" w:color="7F7F7F"/>
            </w:tcBorders>
            <w:hideMark/>
          </w:tcPr>
          <w:p w:rsidR="00D14B23" w:rsidRPr="00A95203" w:rsidRDefault="00D14B23" w:rsidP="00534F16">
            <w:pPr>
              <w:widowControl/>
              <w:tabs>
                <w:tab w:val="left" w:pos="420"/>
              </w:tabs>
              <w:spacing w:before="100" w:beforeAutospacing="1" w:after="100" w:afterAutospacing="1"/>
              <w:jc w:val="center"/>
              <w:rPr>
                <w:kern w:val="0"/>
                <w:sz w:val="22"/>
                <w:szCs w:val="22"/>
              </w:rPr>
            </w:pPr>
            <w:r w:rsidRPr="00A95203">
              <w:rPr>
                <w:kern w:val="0"/>
                <w:sz w:val="22"/>
                <w:szCs w:val="22"/>
              </w:rPr>
              <w:t>100</w:t>
            </w:r>
            <w:r w:rsidRPr="00A95203">
              <w:rPr>
                <w:kern w:val="0"/>
                <w:sz w:val="22"/>
                <w:szCs w:val="22"/>
              </w:rPr>
              <w:t>万元（含）至</w:t>
            </w:r>
            <w:r w:rsidRPr="00A95203">
              <w:rPr>
                <w:kern w:val="0"/>
                <w:sz w:val="22"/>
                <w:szCs w:val="22"/>
              </w:rPr>
              <w:t>200</w:t>
            </w:r>
            <w:r w:rsidRPr="00A95203">
              <w:rPr>
                <w:kern w:val="0"/>
                <w:sz w:val="22"/>
                <w:szCs w:val="22"/>
              </w:rPr>
              <w:t>万元</w:t>
            </w:r>
          </w:p>
        </w:tc>
        <w:tc>
          <w:tcPr>
            <w:tcW w:w="1514" w:type="dxa"/>
            <w:tcBorders>
              <w:top w:val="single" w:sz="6" w:space="0" w:color="7F7F7F"/>
              <w:left w:val="single" w:sz="6" w:space="0" w:color="7F7F7F"/>
              <w:bottom w:val="single" w:sz="6" w:space="0" w:color="7F7F7F"/>
              <w:right w:val="single" w:sz="6" w:space="0" w:color="7F7F7F"/>
            </w:tcBorders>
            <w:hideMark/>
          </w:tcPr>
          <w:p w:rsidR="00D14B23" w:rsidRPr="00A95203" w:rsidRDefault="00D14B23" w:rsidP="00534F16">
            <w:pPr>
              <w:widowControl/>
              <w:tabs>
                <w:tab w:val="left" w:pos="420"/>
              </w:tabs>
              <w:spacing w:before="100" w:beforeAutospacing="1" w:after="100" w:afterAutospacing="1"/>
              <w:jc w:val="center"/>
              <w:rPr>
                <w:kern w:val="0"/>
                <w:sz w:val="22"/>
                <w:szCs w:val="22"/>
              </w:rPr>
            </w:pPr>
            <w:r w:rsidRPr="00A95203">
              <w:rPr>
                <w:kern w:val="0"/>
                <w:sz w:val="22"/>
                <w:szCs w:val="22"/>
              </w:rPr>
              <w:t>0.8%</w:t>
            </w:r>
          </w:p>
        </w:tc>
      </w:tr>
      <w:tr w:rsidR="00D14B23" w:rsidRPr="00A95203" w:rsidTr="003B7662">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D14B23" w:rsidRPr="00A95203" w:rsidRDefault="00D14B23" w:rsidP="00534F16">
            <w:pPr>
              <w:widowControl/>
              <w:jc w:val="left"/>
              <w:rPr>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D14B23" w:rsidRPr="00A95203" w:rsidRDefault="00D14B23" w:rsidP="00534F16">
            <w:pPr>
              <w:widowControl/>
              <w:jc w:val="left"/>
              <w:rPr>
                <w:kern w:val="0"/>
                <w:sz w:val="22"/>
                <w:szCs w:val="22"/>
              </w:rPr>
            </w:pPr>
          </w:p>
        </w:tc>
        <w:tc>
          <w:tcPr>
            <w:tcW w:w="3029" w:type="dxa"/>
            <w:tcBorders>
              <w:top w:val="single" w:sz="6" w:space="0" w:color="7F7F7F"/>
              <w:left w:val="single" w:sz="6" w:space="0" w:color="7F7F7F"/>
              <w:bottom w:val="single" w:sz="6" w:space="0" w:color="7F7F7F"/>
              <w:right w:val="single" w:sz="6" w:space="0" w:color="7F7F7F"/>
            </w:tcBorders>
            <w:hideMark/>
          </w:tcPr>
          <w:p w:rsidR="00D14B23" w:rsidRPr="00A95203" w:rsidRDefault="00D14B23" w:rsidP="00534F16">
            <w:pPr>
              <w:widowControl/>
              <w:tabs>
                <w:tab w:val="left" w:pos="420"/>
              </w:tabs>
              <w:spacing w:before="100" w:beforeAutospacing="1" w:after="100" w:afterAutospacing="1"/>
              <w:jc w:val="center"/>
              <w:rPr>
                <w:kern w:val="0"/>
                <w:sz w:val="22"/>
                <w:szCs w:val="22"/>
              </w:rPr>
            </w:pPr>
            <w:r w:rsidRPr="00A95203">
              <w:rPr>
                <w:kern w:val="0"/>
                <w:sz w:val="22"/>
                <w:szCs w:val="22"/>
              </w:rPr>
              <w:t>200</w:t>
            </w:r>
            <w:r w:rsidRPr="00A95203">
              <w:rPr>
                <w:kern w:val="0"/>
                <w:sz w:val="22"/>
                <w:szCs w:val="22"/>
              </w:rPr>
              <w:t>万元（含）至</w:t>
            </w:r>
            <w:r w:rsidRPr="00A95203">
              <w:rPr>
                <w:kern w:val="0"/>
                <w:sz w:val="22"/>
                <w:szCs w:val="22"/>
              </w:rPr>
              <w:t>500</w:t>
            </w:r>
            <w:r w:rsidRPr="00A95203">
              <w:rPr>
                <w:kern w:val="0"/>
                <w:sz w:val="22"/>
                <w:szCs w:val="22"/>
              </w:rPr>
              <w:t>万元</w:t>
            </w:r>
          </w:p>
        </w:tc>
        <w:tc>
          <w:tcPr>
            <w:tcW w:w="1514" w:type="dxa"/>
            <w:tcBorders>
              <w:top w:val="single" w:sz="6" w:space="0" w:color="7F7F7F"/>
              <w:left w:val="single" w:sz="6" w:space="0" w:color="7F7F7F"/>
              <w:bottom w:val="single" w:sz="6" w:space="0" w:color="7F7F7F"/>
              <w:right w:val="single" w:sz="6" w:space="0" w:color="7F7F7F"/>
            </w:tcBorders>
            <w:hideMark/>
          </w:tcPr>
          <w:p w:rsidR="00D14B23" w:rsidRPr="00A95203" w:rsidRDefault="00D14B23" w:rsidP="00534F16">
            <w:pPr>
              <w:widowControl/>
              <w:tabs>
                <w:tab w:val="left" w:pos="420"/>
              </w:tabs>
              <w:spacing w:before="100" w:beforeAutospacing="1" w:after="100" w:afterAutospacing="1"/>
              <w:jc w:val="center"/>
              <w:rPr>
                <w:kern w:val="0"/>
                <w:sz w:val="22"/>
                <w:szCs w:val="22"/>
              </w:rPr>
            </w:pPr>
            <w:r w:rsidRPr="00A95203">
              <w:rPr>
                <w:kern w:val="0"/>
                <w:sz w:val="22"/>
                <w:szCs w:val="22"/>
              </w:rPr>
              <w:t>0.5%</w:t>
            </w:r>
          </w:p>
        </w:tc>
      </w:tr>
      <w:tr w:rsidR="00D14B23" w:rsidRPr="00A95203" w:rsidTr="003B7662">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D14B23" w:rsidRPr="00A95203" w:rsidRDefault="00D14B23" w:rsidP="00534F16">
            <w:pPr>
              <w:widowControl/>
              <w:jc w:val="left"/>
              <w:rPr>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D14B23" w:rsidRPr="00A95203" w:rsidRDefault="00D14B23" w:rsidP="00534F16">
            <w:pPr>
              <w:widowControl/>
              <w:jc w:val="left"/>
              <w:rPr>
                <w:kern w:val="0"/>
                <w:sz w:val="22"/>
                <w:szCs w:val="22"/>
              </w:rPr>
            </w:pPr>
          </w:p>
        </w:tc>
        <w:tc>
          <w:tcPr>
            <w:tcW w:w="3029" w:type="dxa"/>
            <w:tcBorders>
              <w:top w:val="single" w:sz="6" w:space="0" w:color="7F7F7F"/>
              <w:left w:val="single" w:sz="6" w:space="0" w:color="7F7F7F"/>
              <w:bottom w:val="single" w:sz="6" w:space="0" w:color="7F7F7F"/>
              <w:right w:val="single" w:sz="6" w:space="0" w:color="7F7F7F"/>
            </w:tcBorders>
            <w:vAlign w:val="center"/>
            <w:hideMark/>
          </w:tcPr>
          <w:p w:rsidR="00D14B23" w:rsidRPr="00A95203" w:rsidRDefault="00D14B23" w:rsidP="00534F16">
            <w:pPr>
              <w:widowControl/>
              <w:tabs>
                <w:tab w:val="left" w:pos="420"/>
              </w:tabs>
              <w:spacing w:before="100" w:beforeAutospacing="1" w:after="100" w:afterAutospacing="1"/>
              <w:jc w:val="center"/>
              <w:rPr>
                <w:kern w:val="0"/>
                <w:sz w:val="22"/>
                <w:szCs w:val="22"/>
              </w:rPr>
            </w:pPr>
            <w:r w:rsidRPr="00A95203">
              <w:rPr>
                <w:kern w:val="0"/>
                <w:sz w:val="22"/>
                <w:szCs w:val="22"/>
              </w:rPr>
              <w:t>500</w:t>
            </w:r>
            <w:r w:rsidRPr="00A95203">
              <w:rPr>
                <w:kern w:val="0"/>
                <w:sz w:val="22"/>
                <w:szCs w:val="22"/>
              </w:rPr>
              <w:t>万元以上（含</w:t>
            </w:r>
            <w:r w:rsidRPr="00A95203">
              <w:rPr>
                <w:kern w:val="0"/>
                <w:sz w:val="22"/>
                <w:szCs w:val="22"/>
              </w:rPr>
              <w:t>500</w:t>
            </w:r>
            <w:r w:rsidRPr="00A95203">
              <w:rPr>
                <w:kern w:val="0"/>
                <w:sz w:val="22"/>
                <w:szCs w:val="22"/>
              </w:rPr>
              <w:t>万）</w:t>
            </w:r>
          </w:p>
        </w:tc>
        <w:tc>
          <w:tcPr>
            <w:tcW w:w="1514" w:type="dxa"/>
            <w:tcBorders>
              <w:top w:val="single" w:sz="6" w:space="0" w:color="7F7F7F"/>
              <w:left w:val="single" w:sz="6" w:space="0" w:color="7F7F7F"/>
              <w:bottom w:val="single" w:sz="6" w:space="0" w:color="7F7F7F"/>
              <w:right w:val="single" w:sz="6" w:space="0" w:color="7F7F7F"/>
            </w:tcBorders>
            <w:hideMark/>
          </w:tcPr>
          <w:p w:rsidR="00D14B23" w:rsidRPr="00A95203" w:rsidRDefault="00D14B23" w:rsidP="00534F16">
            <w:pPr>
              <w:widowControl/>
              <w:tabs>
                <w:tab w:val="left" w:pos="420"/>
              </w:tabs>
              <w:spacing w:before="100" w:beforeAutospacing="1" w:after="100" w:afterAutospacing="1"/>
              <w:jc w:val="center"/>
              <w:rPr>
                <w:kern w:val="0"/>
                <w:sz w:val="22"/>
                <w:szCs w:val="22"/>
              </w:rPr>
            </w:pPr>
            <w:r w:rsidRPr="00A95203">
              <w:rPr>
                <w:kern w:val="0"/>
                <w:sz w:val="22"/>
                <w:szCs w:val="22"/>
              </w:rPr>
              <w:t>每笔交易</w:t>
            </w:r>
            <w:r w:rsidRPr="00A95203">
              <w:rPr>
                <w:kern w:val="0"/>
                <w:sz w:val="22"/>
                <w:szCs w:val="22"/>
              </w:rPr>
              <w:t>1000</w:t>
            </w:r>
            <w:r w:rsidRPr="00A95203">
              <w:rPr>
                <w:kern w:val="0"/>
                <w:sz w:val="22"/>
                <w:szCs w:val="22"/>
              </w:rPr>
              <w:t>元</w:t>
            </w:r>
          </w:p>
        </w:tc>
      </w:tr>
      <w:tr w:rsidR="00BA0346" w:rsidRPr="00A95203" w:rsidTr="003B7662">
        <w:trPr>
          <w:tblCellSpacing w:w="0" w:type="dxa"/>
        </w:trPr>
        <w:tc>
          <w:tcPr>
            <w:tcW w:w="1922" w:type="dxa"/>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534F16">
            <w:pPr>
              <w:widowControl/>
              <w:jc w:val="left"/>
              <w:rPr>
                <w:kern w:val="0"/>
                <w:sz w:val="22"/>
                <w:szCs w:val="22"/>
              </w:rPr>
            </w:pPr>
          </w:p>
        </w:tc>
        <w:tc>
          <w:tcPr>
            <w:tcW w:w="2010" w:type="dxa"/>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534F16">
            <w:pPr>
              <w:widowControl/>
              <w:jc w:val="left"/>
              <w:rPr>
                <w:kern w:val="0"/>
                <w:sz w:val="22"/>
                <w:szCs w:val="22"/>
              </w:rPr>
            </w:pPr>
          </w:p>
        </w:tc>
        <w:tc>
          <w:tcPr>
            <w:tcW w:w="3029" w:type="dxa"/>
            <w:tcBorders>
              <w:top w:val="single" w:sz="6" w:space="0" w:color="7F7F7F"/>
              <w:left w:val="single" w:sz="6" w:space="0" w:color="7F7F7F"/>
              <w:bottom w:val="single" w:sz="6" w:space="0" w:color="7F7F7F"/>
              <w:right w:val="single" w:sz="6" w:space="0" w:color="7F7F7F"/>
            </w:tcBorders>
            <w:hideMark/>
          </w:tcPr>
          <w:p w:rsidR="00BA0346" w:rsidRPr="00A95203" w:rsidRDefault="00BA0346" w:rsidP="00534F16">
            <w:pPr>
              <w:widowControl/>
              <w:tabs>
                <w:tab w:val="left" w:pos="420"/>
              </w:tabs>
              <w:spacing w:before="100" w:beforeAutospacing="1" w:after="100" w:afterAutospacing="1"/>
              <w:jc w:val="center"/>
              <w:rPr>
                <w:kern w:val="0"/>
                <w:sz w:val="22"/>
                <w:szCs w:val="22"/>
              </w:rPr>
            </w:pPr>
          </w:p>
        </w:tc>
        <w:tc>
          <w:tcPr>
            <w:tcW w:w="1514" w:type="dxa"/>
            <w:tcBorders>
              <w:top w:val="single" w:sz="6" w:space="0" w:color="7F7F7F"/>
              <w:left w:val="single" w:sz="6" w:space="0" w:color="7F7F7F"/>
              <w:bottom w:val="single" w:sz="6" w:space="0" w:color="7F7F7F"/>
              <w:right w:val="single" w:sz="6" w:space="0" w:color="7F7F7F"/>
            </w:tcBorders>
            <w:hideMark/>
          </w:tcPr>
          <w:p w:rsidR="00BA0346" w:rsidRPr="00A95203" w:rsidRDefault="00BA0346" w:rsidP="00534F16">
            <w:pPr>
              <w:widowControl/>
              <w:tabs>
                <w:tab w:val="left" w:pos="420"/>
              </w:tabs>
              <w:spacing w:before="100" w:beforeAutospacing="1" w:after="100" w:afterAutospacing="1"/>
              <w:jc w:val="center"/>
              <w:rPr>
                <w:kern w:val="0"/>
                <w:sz w:val="22"/>
                <w:szCs w:val="22"/>
              </w:rPr>
            </w:pPr>
          </w:p>
        </w:tc>
      </w:tr>
      <w:tr w:rsidR="00BA0346" w:rsidRPr="00A95203" w:rsidTr="001E6C4C">
        <w:trPr>
          <w:tblCellSpacing w:w="0" w:type="dxa"/>
        </w:trPr>
        <w:tc>
          <w:tcPr>
            <w:tcW w:w="1922" w:type="dxa"/>
            <w:vMerge w:val="restart"/>
            <w:tcBorders>
              <w:top w:val="single" w:sz="6" w:space="0" w:color="7F7F7F"/>
              <w:left w:val="single" w:sz="6" w:space="0" w:color="7F7F7F"/>
              <w:right w:val="single" w:sz="6" w:space="0" w:color="7F7F7F"/>
            </w:tcBorders>
            <w:vAlign w:val="center"/>
            <w:hideMark/>
          </w:tcPr>
          <w:p w:rsidR="00BA0346" w:rsidRPr="00A95203" w:rsidRDefault="00BA0346" w:rsidP="00380F1D">
            <w:pPr>
              <w:widowControl/>
              <w:tabs>
                <w:tab w:val="left" w:pos="420"/>
              </w:tabs>
              <w:jc w:val="left"/>
              <w:rPr>
                <w:kern w:val="0"/>
                <w:sz w:val="22"/>
                <w:szCs w:val="22"/>
              </w:rPr>
            </w:pPr>
            <w:r w:rsidRPr="00A95203">
              <w:rPr>
                <w:kern w:val="0"/>
                <w:sz w:val="22"/>
                <w:szCs w:val="22"/>
              </w:rPr>
              <w:t>交银货币</w:t>
            </w:r>
            <w:r w:rsidR="00380F1D">
              <w:rPr>
                <w:rFonts w:hint="eastAsia"/>
                <w:kern w:val="0"/>
                <w:sz w:val="22"/>
                <w:szCs w:val="22"/>
              </w:rPr>
              <w:t>、</w:t>
            </w:r>
            <w:r w:rsidRPr="00A95203">
              <w:rPr>
                <w:kern w:val="0"/>
                <w:sz w:val="22"/>
                <w:szCs w:val="22"/>
              </w:rPr>
              <w:t>交银增利</w:t>
            </w:r>
            <w:r w:rsidRPr="00A95203">
              <w:rPr>
                <w:kern w:val="0"/>
                <w:sz w:val="22"/>
                <w:szCs w:val="22"/>
              </w:rPr>
              <w:t>C</w:t>
            </w:r>
            <w:r w:rsidRPr="00A95203">
              <w:rPr>
                <w:kern w:val="0"/>
                <w:sz w:val="22"/>
                <w:szCs w:val="22"/>
              </w:rPr>
              <w:t>类基金份额</w:t>
            </w:r>
            <w:r w:rsidR="00380F1D">
              <w:rPr>
                <w:rFonts w:hint="eastAsia"/>
                <w:kern w:val="0"/>
                <w:sz w:val="22"/>
                <w:szCs w:val="22"/>
              </w:rPr>
              <w:t>、</w:t>
            </w:r>
            <w:r w:rsidRPr="00A95203">
              <w:rPr>
                <w:kern w:val="0"/>
                <w:sz w:val="22"/>
                <w:szCs w:val="22"/>
              </w:rPr>
              <w:t>交银双利</w:t>
            </w:r>
            <w:r w:rsidRPr="00A95203">
              <w:rPr>
                <w:kern w:val="0"/>
                <w:sz w:val="22"/>
                <w:szCs w:val="22"/>
              </w:rPr>
              <w:t>C</w:t>
            </w:r>
            <w:r w:rsidRPr="00A95203">
              <w:rPr>
                <w:kern w:val="0"/>
                <w:sz w:val="22"/>
                <w:szCs w:val="22"/>
              </w:rPr>
              <w:t>类基金份额</w:t>
            </w:r>
            <w:r w:rsidR="00380F1D">
              <w:rPr>
                <w:rFonts w:hint="eastAsia"/>
                <w:kern w:val="0"/>
                <w:sz w:val="22"/>
                <w:szCs w:val="22"/>
              </w:rPr>
              <w:t>、</w:t>
            </w:r>
            <w:r w:rsidRPr="00A95203">
              <w:rPr>
                <w:kern w:val="0"/>
                <w:sz w:val="22"/>
                <w:szCs w:val="22"/>
              </w:rPr>
              <w:t>交银纯债</w:t>
            </w:r>
            <w:r w:rsidRPr="00A95203">
              <w:rPr>
                <w:kern w:val="0"/>
                <w:sz w:val="22"/>
                <w:szCs w:val="22"/>
              </w:rPr>
              <w:t>C</w:t>
            </w:r>
            <w:r w:rsidRPr="00A95203">
              <w:rPr>
                <w:kern w:val="0"/>
                <w:sz w:val="22"/>
                <w:szCs w:val="22"/>
              </w:rPr>
              <w:t>类基金份额</w:t>
            </w:r>
            <w:r w:rsidR="00380F1D">
              <w:rPr>
                <w:rFonts w:hint="eastAsia"/>
                <w:kern w:val="0"/>
                <w:sz w:val="22"/>
                <w:szCs w:val="22"/>
              </w:rPr>
              <w:t>、</w:t>
            </w:r>
            <w:r w:rsidRPr="00A95203">
              <w:rPr>
                <w:kern w:val="0"/>
                <w:sz w:val="22"/>
                <w:szCs w:val="22"/>
              </w:rPr>
              <w:t>交银双轮动</w:t>
            </w:r>
            <w:r w:rsidRPr="00A95203">
              <w:rPr>
                <w:kern w:val="0"/>
                <w:sz w:val="22"/>
                <w:szCs w:val="22"/>
              </w:rPr>
              <w:t>C</w:t>
            </w:r>
            <w:r w:rsidRPr="00A95203">
              <w:rPr>
                <w:kern w:val="0"/>
                <w:sz w:val="22"/>
                <w:szCs w:val="22"/>
              </w:rPr>
              <w:t>类基金份额</w:t>
            </w:r>
            <w:r w:rsidR="00380F1D">
              <w:rPr>
                <w:rFonts w:hint="eastAsia"/>
                <w:kern w:val="0"/>
                <w:sz w:val="22"/>
                <w:szCs w:val="22"/>
              </w:rPr>
              <w:t>、</w:t>
            </w:r>
            <w:r w:rsidRPr="00A95203">
              <w:rPr>
                <w:kern w:val="0"/>
                <w:sz w:val="22"/>
                <w:szCs w:val="22"/>
              </w:rPr>
              <w:t>交银月月丰</w:t>
            </w:r>
            <w:r w:rsidRPr="00A95203">
              <w:rPr>
                <w:kern w:val="0"/>
                <w:sz w:val="22"/>
                <w:szCs w:val="22"/>
              </w:rPr>
              <w:t>C</w:t>
            </w:r>
            <w:r w:rsidRPr="00A95203">
              <w:rPr>
                <w:kern w:val="0"/>
                <w:sz w:val="22"/>
                <w:szCs w:val="22"/>
              </w:rPr>
              <w:t>类基金份额</w:t>
            </w:r>
            <w:r w:rsidR="00380F1D">
              <w:rPr>
                <w:rFonts w:hint="eastAsia"/>
                <w:kern w:val="0"/>
                <w:sz w:val="22"/>
                <w:szCs w:val="22"/>
              </w:rPr>
              <w:t>、</w:t>
            </w:r>
            <w:r w:rsidRPr="00A95203">
              <w:rPr>
                <w:kern w:val="0"/>
                <w:sz w:val="22"/>
                <w:szCs w:val="22"/>
              </w:rPr>
              <w:t>交银强化回报</w:t>
            </w:r>
            <w:r w:rsidRPr="00A95203">
              <w:rPr>
                <w:kern w:val="0"/>
                <w:sz w:val="22"/>
                <w:szCs w:val="22"/>
              </w:rPr>
              <w:t>C</w:t>
            </w:r>
            <w:r w:rsidRPr="00A95203">
              <w:rPr>
                <w:kern w:val="0"/>
                <w:sz w:val="22"/>
                <w:szCs w:val="22"/>
              </w:rPr>
              <w:t>类基金份额</w:t>
            </w:r>
          </w:p>
        </w:tc>
        <w:tc>
          <w:tcPr>
            <w:tcW w:w="2010" w:type="dxa"/>
            <w:vMerge w:val="restart"/>
            <w:tcBorders>
              <w:top w:val="single" w:sz="6" w:space="0" w:color="7F7F7F"/>
              <w:left w:val="single" w:sz="6" w:space="0" w:color="7F7F7F"/>
              <w:right w:val="single" w:sz="6" w:space="0" w:color="7F7F7F"/>
            </w:tcBorders>
            <w:vAlign w:val="center"/>
            <w:hideMark/>
          </w:tcPr>
          <w:p w:rsidR="00BA0346" w:rsidRPr="00A95203" w:rsidRDefault="00BA0346" w:rsidP="00BA0346">
            <w:pPr>
              <w:widowControl/>
              <w:tabs>
                <w:tab w:val="left" w:pos="420"/>
              </w:tabs>
              <w:jc w:val="left"/>
              <w:rPr>
                <w:kern w:val="0"/>
                <w:sz w:val="22"/>
                <w:szCs w:val="22"/>
              </w:rPr>
            </w:pPr>
            <w:r>
              <w:rPr>
                <w:rFonts w:hint="eastAsia"/>
                <w:kern w:val="0"/>
                <w:sz w:val="22"/>
                <w:szCs w:val="22"/>
              </w:rPr>
              <w:t>交银荣祥保本</w:t>
            </w:r>
          </w:p>
        </w:tc>
        <w:tc>
          <w:tcPr>
            <w:tcW w:w="3029" w:type="dxa"/>
            <w:tcBorders>
              <w:top w:val="single" w:sz="6" w:space="0" w:color="7F7F7F"/>
              <w:left w:val="single" w:sz="6" w:space="0" w:color="7F7F7F"/>
              <w:bottom w:val="single" w:sz="6" w:space="0" w:color="7F7F7F"/>
              <w:right w:val="single" w:sz="6" w:space="0" w:color="7F7F7F"/>
            </w:tcBorders>
            <w:hideMark/>
          </w:tcPr>
          <w:p w:rsidR="00BA0346" w:rsidRPr="00A95203" w:rsidRDefault="00BA0346" w:rsidP="001E6C4C">
            <w:pPr>
              <w:widowControl/>
              <w:tabs>
                <w:tab w:val="left" w:pos="420"/>
              </w:tabs>
              <w:spacing w:before="100" w:beforeAutospacing="1" w:after="100" w:afterAutospacing="1"/>
              <w:jc w:val="center"/>
              <w:rPr>
                <w:kern w:val="0"/>
                <w:sz w:val="22"/>
                <w:szCs w:val="22"/>
              </w:rPr>
            </w:pPr>
            <w:r w:rsidRPr="00A95203">
              <w:rPr>
                <w:kern w:val="0"/>
                <w:sz w:val="22"/>
                <w:szCs w:val="22"/>
              </w:rPr>
              <w:t>50</w:t>
            </w:r>
            <w:r w:rsidRPr="00A95203">
              <w:rPr>
                <w:kern w:val="0"/>
                <w:sz w:val="22"/>
                <w:szCs w:val="22"/>
              </w:rPr>
              <w:t>万元以下</w:t>
            </w:r>
          </w:p>
        </w:tc>
        <w:tc>
          <w:tcPr>
            <w:tcW w:w="1514" w:type="dxa"/>
            <w:tcBorders>
              <w:top w:val="single" w:sz="6" w:space="0" w:color="7F7F7F"/>
              <w:left w:val="single" w:sz="6" w:space="0" w:color="7F7F7F"/>
              <w:bottom w:val="single" w:sz="6" w:space="0" w:color="7F7F7F"/>
              <w:right w:val="single" w:sz="6" w:space="0" w:color="7F7F7F"/>
            </w:tcBorders>
            <w:hideMark/>
          </w:tcPr>
          <w:p w:rsidR="00BA0346" w:rsidRPr="00A95203" w:rsidRDefault="00BA0346" w:rsidP="00BA0346">
            <w:pPr>
              <w:widowControl/>
              <w:tabs>
                <w:tab w:val="left" w:pos="420"/>
              </w:tabs>
              <w:spacing w:before="100" w:beforeAutospacing="1" w:after="100" w:afterAutospacing="1"/>
              <w:jc w:val="center"/>
              <w:rPr>
                <w:kern w:val="0"/>
                <w:sz w:val="22"/>
                <w:szCs w:val="22"/>
              </w:rPr>
            </w:pPr>
            <w:r w:rsidRPr="00BA0346">
              <w:rPr>
                <w:kern w:val="0"/>
                <w:sz w:val="22"/>
                <w:szCs w:val="22"/>
              </w:rPr>
              <w:t>1.2%</w:t>
            </w:r>
          </w:p>
        </w:tc>
      </w:tr>
      <w:tr w:rsidR="00BA0346" w:rsidRPr="00A95203" w:rsidTr="001E6C4C">
        <w:trPr>
          <w:tblCellSpacing w:w="0" w:type="dxa"/>
        </w:trPr>
        <w:tc>
          <w:tcPr>
            <w:tcW w:w="1922" w:type="dxa"/>
            <w:vMerge/>
            <w:tcBorders>
              <w:left w:val="single" w:sz="6" w:space="0" w:color="7F7F7F"/>
              <w:right w:val="single" w:sz="6" w:space="0" w:color="7F7F7F"/>
            </w:tcBorders>
            <w:vAlign w:val="center"/>
            <w:hideMark/>
          </w:tcPr>
          <w:p w:rsidR="00BA0346" w:rsidRPr="00A95203" w:rsidRDefault="00BA0346" w:rsidP="001E6C4C">
            <w:pPr>
              <w:widowControl/>
              <w:jc w:val="left"/>
              <w:rPr>
                <w:kern w:val="0"/>
                <w:sz w:val="22"/>
                <w:szCs w:val="22"/>
              </w:rPr>
            </w:pPr>
          </w:p>
        </w:tc>
        <w:tc>
          <w:tcPr>
            <w:tcW w:w="2010" w:type="dxa"/>
            <w:vMerge/>
            <w:tcBorders>
              <w:left w:val="single" w:sz="6" w:space="0" w:color="7F7F7F"/>
              <w:right w:val="single" w:sz="6" w:space="0" w:color="7F7F7F"/>
            </w:tcBorders>
            <w:vAlign w:val="center"/>
            <w:hideMark/>
          </w:tcPr>
          <w:p w:rsidR="00BA0346" w:rsidRPr="00A95203" w:rsidRDefault="00BA0346" w:rsidP="001E6C4C">
            <w:pPr>
              <w:widowControl/>
              <w:jc w:val="left"/>
              <w:rPr>
                <w:kern w:val="0"/>
                <w:sz w:val="22"/>
                <w:szCs w:val="22"/>
              </w:rPr>
            </w:pPr>
          </w:p>
        </w:tc>
        <w:tc>
          <w:tcPr>
            <w:tcW w:w="3029" w:type="dxa"/>
            <w:tcBorders>
              <w:top w:val="single" w:sz="6" w:space="0" w:color="7F7F7F"/>
              <w:left w:val="single" w:sz="6" w:space="0" w:color="7F7F7F"/>
              <w:bottom w:val="single" w:sz="6" w:space="0" w:color="7F7F7F"/>
              <w:right w:val="single" w:sz="6" w:space="0" w:color="7F7F7F"/>
            </w:tcBorders>
            <w:hideMark/>
          </w:tcPr>
          <w:p w:rsidR="00BA0346" w:rsidRPr="00A95203" w:rsidRDefault="00BA0346" w:rsidP="001E6C4C">
            <w:pPr>
              <w:widowControl/>
              <w:tabs>
                <w:tab w:val="left" w:pos="420"/>
              </w:tabs>
              <w:spacing w:before="100" w:beforeAutospacing="1" w:after="100" w:afterAutospacing="1"/>
              <w:jc w:val="center"/>
              <w:rPr>
                <w:kern w:val="0"/>
                <w:sz w:val="22"/>
                <w:szCs w:val="22"/>
              </w:rPr>
            </w:pPr>
            <w:r w:rsidRPr="00A95203">
              <w:rPr>
                <w:kern w:val="0"/>
                <w:sz w:val="22"/>
                <w:szCs w:val="22"/>
              </w:rPr>
              <w:t>50</w:t>
            </w:r>
            <w:r w:rsidRPr="00A95203">
              <w:rPr>
                <w:kern w:val="0"/>
                <w:sz w:val="22"/>
                <w:szCs w:val="22"/>
              </w:rPr>
              <w:t>万元（含）至</w:t>
            </w:r>
            <w:r w:rsidRPr="00A95203">
              <w:rPr>
                <w:kern w:val="0"/>
                <w:sz w:val="22"/>
                <w:szCs w:val="22"/>
              </w:rPr>
              <w:t>100</w:t>
            </w:r>
            <w:r w:rsidRPr="00A95203">
              <w:rPr>
                <w:kern w:val="0"/>
                <w:sz w:val="22"/>
                <w:szCs w:val="22"/>
              </w:rPr>
              <w:t>万元</w:t>
            </w:r>
          </w:p>
        </w:tc>
        <w:tc>
          <w:tcPr>
            <w:tcW w:w="1514" w:type="dxa"/>
            <w:tcBorders>
              <w:top w:val="single" w:sz="6" w:space="0" w:color="7F7F7F"/>
              <w:left w:val="single" w:sz="6" w:space="0" w:color="7F7F7F"/>
              <w:bottom w:val="single" w:sz="6" w:space="0" w:color="7F7F7F"/>
              <w:right w:val="single" w:sz="6" w:space="0" w:color="7F7F7F"/>
            </w:tcBorders>
            <w:hideMark/>
          </w:tcPr>
          <w:p w:rsidR="00BA0346" w:rsidRPr="00A95203" w:rsidRDefault="00BA0346" w:rsidP="00BA0346">
            <w:pPr>
              <w:widowControl/>
              <w:tabs>
                <w:tab w:val="left" w:pos="420"/>
              </w:tabs>
              <w:spacing w:before="100" w:beforeAutospacing="1" w:after="100" w:afterAutospacing="1"/>
              <w:jc w:val="center"/>
              <w:rPr>
                <w:kern w:val="0"/>
                <w:sz w:val="22"/>
                <w:szCs w:val="22"/>
              </w:rPr>
            </w:pPr>
            <w:r w:rsidRPr="00BA0346">
              <w:rPr>
                <w:kern w:val="0"/>
                <w:sz w:val="22"/>
                <w:szCs w:val="22"/>
              </w:rPr>
              <w:t>1</w:t>
            </w:r>
            <w:r>
              <w:rPr>
                <w:rFonts w:hint="eastAsia"/>
                <w:kern w:val="0"/>
                <w:sz w:val="22"/>
                <w:szCs w:val="22"/>
              </w:rPr>
              <w:t>.0</w:t>
            </w:r>
            <w:r w:rsidRPr="00BA0346">
              <w:rPr>
                <w:kern w:val="0"/>
                <w:sz w:val="22"/>
                <w:szCs w:val="22"/>
              </w:rPr>
              <w:t>%</w:t>
            </w:r>
          </w:p>
        </w:tc>
      </w:tr>
      <w:tr w:rsidR="00BA0346" w:rsidRPr="00A95203" w:rsidTr="001E6C4C">
        <w:trPr>
          <w:trHeight w:val="298"/>
          <w:tblCellSpacing w:w="0" w:type="dxa"/>
        </w:trPr>
        <w:tc>
          <w:tcPr>
            <w:tcW w:w="1922" w:type="dxa"/>
            <w:vMerge/>
            <w:tcBorders>
              <w:left w:val="single" w:sz="6" w:space="0" w:color="7F7F7F"/>
              <w:right w:val="single" w:sz="6" w:space="0" w:color="7F7F7F"/>
            </w:tcBorders>
            <w:vAlign w:val="center"/>
            <w:hideMark/>
          </w:tcPr>
          <w:p w:rsidR="00BA0346" w:rsidRPr="00A95203" w:rsidRDefault="00BA0346" w:rsidP="001E6C4C">
            <w:pPr>
              <w:widowControl/>
              <w:jc w:val="left"/>
              <w:rPr>
                <w:kern w:val="0"/>
                <w:sz w:val="22"/>
                <w:szCs w:val="22"/>
              </w:rPr>
            </w:pPr>
          </w:p>
        </w:tc>
        <w:tc>
          <w:tcPr>
            <w:tcW w:w="2010" w:type="dxa"/>
            <w:vMerge/>
            <w:tcBorders>
              <w:left w:val="single" w:sz="6" w:space="0" w:color="7F7F7F"/>
              <w:right w:val="single" w:sz="6" w:space="0" w:color="7F7F7F"/>
            </w:tcBorders>
            <w:vAlign w:val="center"/>
            <w:hideMark/>
          </w:tcPr>
          <w:p w:rsidR="00BA0346" w:rsidRPr="00A95203" w:rsidRDefault="00BA0346" w:rsidP="001E6C4C">
            <w:pPr>
              <w:widowControl/>
              <w:jc w:val="left"/>
              <w:rPr>
                <w:kern w:val="0"/>
                <w:sz w:val="22"/>
                <w:szCs w:val="22"/>
              </w:rPr>
            </w:pPr>
          </w:p>
        </w:tc>
        <w:tc>
          <w:tcPr>
            <w:tcW w:w="3029" w:type="dxa"/>
            <w:tcBorders>
              <w:top w:val="single" w:sz="6" w:space="0" w:color="7F7F7F"/>
              <w:left w:val="single" w:sz="6" w:space="0" w:color="7F7F7F"/>
              <w:bottom w:val="single" w:sz="6" w:space="0" w:color="7F7F7F"/>
              <w:right w:val="single" w:sz="6" w:space="0" w:color="7F7F7F"/>
            </w:tcBorders>
            <w:hideMark/>
          </w:tcPr>
          <w:p w:rsidR="00BA0346" w:rsidRPr="00A95203" w:rsidRDefault="00BA0346" w:rsidP="001E6C4C">
            <w:pPr>
              <w:widowControl/>
              <w:tabs>
                <w:tab w:val="left" w:pos="420"/>
              </w:tabs>
              <w:spacing w:before="100" w:beforeAutospacing="1" w:after="100" w:afterAutospacing="1"/>
              <w:jc w:val="center"/>
              <w:rPr>
                <w:kern w:val="0"/>
                <w:sz w:val="22"/>
                <w:szCs w:val="22"/>
              </w:rPr>
            </w:pPr>
            <w:r w:rsidRPr="00A95203">
              <w:rPr>
                <w:kern w:val="0"/>
                <w:sz w:val="22"/>
                <w:szCs w:val="22"/>
              </w:rPr>
              <w:t>100</w:t>
            </w:r>
            <w:r w:rsidRPr="00A95203">
              <w:rPr>
                <w:kern w:val="0"/>
                <w:sz w:val="22"/>
                <w:szCs w:val="22"/>
              </w:rPr>
              <w:t>万元（含）至</w:t>
            </w:r>
            <w:r w:rsidRPr="00A95203">
              <w:rPr>
                <w:kern w:val="0"/>
                <w:sz w:val="22"/>
                <w:szCs w:val="22"/>
              </w:rPr>
              <w:t>200</w:t>
            </w:r>
            <w:r w:rsidRPr="00A95203">
              <w:rPr>
                <w:kern w:val="0"/>
                <w:sz w:val="22"/>
                <w:szCs w:val="22"/>
              </w:rPr>
              <w:t>万元</w:t>
            </w:r>
          </w:p>
        </w:tc>
        <w:tc>
          <w:tcPr>
            <w:tcW w:w="1514" w:type="dxa"/>
            <w:tcBorders>
              <w:top w:val="single" w:sz="6" w:space="0" w:color="7F7F7F"/>
              <w:left w:val="single" w:sz="6" w:space="0" w:color="7F7F7F"/>
              <w:bottom w:val="single" w:sz="6" w:space="0" w:color="7F7F7F"/>
              <w:right w:val="single" w:sz="6" w:space="0" w:color="7F7F7F"/>
            </w:tcBorders>
            <w:hideMark/>
          </w:tcPr>
          <w:p w:rsidR="00BA0346" w:rsidRPr="00A95203" w:rsidRDefault="00BA0346" w:rsidP="001E6C4C">
            <w:pPr>
              <w:widowControl/>
              <w:tabs>
                <w:tab w:val="left" w:pos="420"/>
              </w:tabs>
              <w:spacing w:before="100" w:beforeAutospacing="1" w:after="100" w:afterAutospacing="1"/>
              <w:jc w:val="center"/>
              <w:rPr>
                <w:kern w:val="0"/>
                <w:sz w:val="22"/>
                <w:szCs w:val="22"/>
              </w:rPr>
            </w:pPr>
            <w:r w:rsidRPr="00A95203">
              <w:rPr>
                <w:kern w:val="0"/>
                <w:sz w:val="22"/>
                <w:szCs w:val="22"/>
              </w:rPr>
              <w:t>0.8%</w:t>
            </w:r>
          </w:p>
        </w:tc>
      </w:tr>
      <w:tr w:rsidR="00BA0346" w:rsidRPr="00A95203" w:rsidTr="001E6C4C">
        <w:trPr>
          <w:trHeight w:val="246"/>
          <w:tblCellSpacing w:w="0" w:type="dxa"/>
        </w:trPr>
        <w:tc>
          <w:tcPr>
            <w:tcW w:w="1922" w:type="dxa"/>
            <w:vMerge/>
            <w:tcBorders>
              <w:left w:val="single" w:sz="6" w:space="0" w:color="7F7F7F"/>
              <w:right w:val="single" w:sz="6" w:space="0" w:color="7F7F7F"/>
            </w:tcBorders>
            <w:vAlign w:val="center"/>
            <w:hideMark/>
          </w:tcPr>
          <w:p w:rsidR="00BA0346" w:rsidRPr="00A95203" w:rsidRDefault="00BA0346" w:rsidP="001E6C4C">
            <w:pPr>
              <w:widowControl/>
              <w:jc w:val="left"/>
              <w:rPr>
                <w:kern w:val="0"/>
                <w:sz w:val="22"/>
                <w:szCs w:val="22"/>
              </w:rPr>
            </w:pPr>
          </w:p>
        </w:tc>
        <w:tc>
          <w:tcPr>
            <w:tcW w:w="2010" w:type="dxa"/>
            <w:vMerge/>
            <w:tcBorders>
              <w:left w:val="single" w:sz="6" w:space="0" w:color="7F7F7F"/>
              <w:right w:val="single" w:sz="6" w:space="0" w:color="7F7F7F"/>
            </w:tcBorders>
            <w:vAlign w:val="center"/>
            <w:hideMark/>
          </w:tcPr>
          <w:p w:rsidR="00BA0346" w:rsidRPr="00A95203" w:rsidRDefault="00BA0346" w:rsidP="001E6C4C">
            <w:pPr>
              <w:widowControl/>
              <w:jc w:val="left"/>
              <w:rPr>
                <w:kern w:val="0"/>
                <w:sz w:val="22"/>
                <w:szCs w:val="22"/>
              </w:rPr>
            </w:pPr>
          </w:p>
        </w:tc>
        <w:tc>
          <w:tcPr>
            <w:tcW w:w="3029" w:type="dxa"/>
            <w:tcBorders>
              <w:top w:val="single" w:sz="6" w:space="0" w:color="7F7F7F"/>
              <w:left w:val="single" w:sz="6" w:space="0" w:color="7F7F7F"/>
              <w:bottom w:val="single" w:sz="6" w:space="0" w:color="7F7F7F"/>
              <w:right w:val="single" w:sz="6" w:space="0" w:color="7F7F7F"/>
            </w:tcBorders>
            <w:hideMark/>
          </w:tcPr>
          <w:p w:rsidR="00BA0346" w:rsidRPr="00A95203" w:rsidRDefault="00BA0346" w:rsidP="001E6C4C">
            <w:pPr>
              <w:widowControl/>
              <w:tabs>
                <w:tab w:val="left" w:pos="420"/>
              </w:tabs>
              <w:spacing w:before="100" w:beforeAutospacing="1" w:after="100" w:afterAutospacing="1"/>
              <w:jc w:val="center"/>
              <w:rPr>
                <w:kern w:val="0"/>
                <w:sz w:val="22"/>
                <w:szCs w:val="22"/>
              </w:rPr>
            </w:pPr>
            <w:r w:rsidRPr="00A95203">
              <w:rPr>
                <w:kern w:val="0"/>
                <w:sz w:val="22"/>
                <w:szCs w:val="22"/>
              </w:rPr>
              <w:t>200</w:t>
            </w:r>
            <w:r w:rsidRPr="00A95203">
              <w:rPr>
                <w:kern w:val="0"/>
                <w:sz w:val="22"/>
                <w:szCs w:val="22"/>
              </w:rPr>
              <w:t>万元（含）至</w:t>
            </w:r>
            <w:r w:rsidRPr="00A95203">
              <w:rPr>
                <w:kern w:val="0"/>
                <w:sz w:val="22"/>
                <w:szCs w:val="22"/>
              </w:rPr>
              <w:t>500</w:t>
            </w:r>
            <w:r w:rsidRPr="00A95203">
              <w:rPr>
                <w:kern w:val="0"/>
                <w:sz w:val="22"/>
                <w:szCs w:val="22"/>
              </w:rPr>
              <w:t>万元</w:t>
            </w:r>
          </w:p>
        </w:tc>
        <w:tc>
          <w:tcPr>
            <w:tcW w:w="1514" w:type="dxa"/>
            <w:tcBorders>
              <w:top w:val="single" w:sz="6" w:space="0" w:color="7F7F7F"/>
              <w:left w:val="single" w:sz="6" w:space="0" w:color="7F7F7F"/>
              <w:bottom w:val="single" w:sz="6" w:space="0" w:color="7F7F7F"/>
              <w:right w:val="single" w:sz="6" w:space="0" w:color="7F7F7F"/>
            </w:tcBorders>
            <w:hideMark/>
          </w:tcPr>
          <w:p w:rsidR="00BA0346" w:rsidRPr="00A95203" w:rsidRDefault="00BA0346" w:rsidP="00BA0346">
            <w:pPr>
              <w:widowControl/>
              <w:tabs>
                <w:tab w:val="left" w:pos="420"/>
              </w:tabs>
              <w:spacing w:before="100" w:beforeAutospacing="1" w:after="100" w:afterAutospacing="1"/>
              <w:jc w:val="center"/>
              <w:rPr>
                <w:kern w:val="0"/>
                <w:sz w:val="22"/>
                <w:szCs w:val="22"/>
              </w:rPr>
            </w:pPr>
            <w:r w:rsidRPr="00A95203">
              <w:rPr>
                <w:kern w:val="0"/>
                <w:sz w:val="22"/>
                <w:szCs w:val="22"/>
              </w:rPr>
              <w:t>0.</w:t>
            </w:r>
            <w:r>
              <w:rPr>
                <w:rFonts w:hint="eastAsia"/>
                <w:kern w:val="0"/>
                <w:sz w:val="22"/>
                <w:szCs w:val="22"/>
              </w:rPr>
              <w:t>6</w:t>
            </w:r>
            <w:r w:rsidRPr="00A95203">
              <w:rPr>
                <w:kern w:val="0"/>
                <w:sz w:val="22"/>
                <w:szCs w:val="22"/>
              </w:rPr>
              <w:t>%</w:t>
            </w:r>
          </w:p>
        </w:tc>
      </w:tr>
      <w:tr w:rsidR="00BA0346" w:rsidRPr="00A95203" w:rsidTr="001E6C4C">
        <w:trPr>
          <w:trHeight w:val="398"/>
          <w:tblCellSpacing w:w="0" w:type="dxa"/>
        </w:trPr>
        <w:tc>
          <w:tcPr>
            <w:tcW w:w="1922" w:type="dxa"/>
            <w:vMerge/>
            <w:tcBorders>
              <w:left w:val="single" w:sz="6" w:space="0" w:color="7F7F7F"/>
              <w:bottom w:val="single" w:sz="6" w:space="0" w:color="7F7F7F"/>
              <w:right w:val="single" w:sz="6" w:space="0" w:color="7F7F7F"/>
            </w:tcBorders>
            <w:vAlign w:val="center"/>
            <w:hideMark/>
          </w:tcPr>
          <w:p w:rsidR="00BA0346" w:rsidRPr="00A95203" w:rsidRDefault="00BA0346" w:rsidP="001E6C4C">
            <w:pPr>
              <w:widowControl/>
              <w:jc w:val="left"/>
              <w:rPr>
                <w:kern w:val="0"/>
                <w:sz w:val="22"/>
                <w:szCs w:val="22"/>
              </w:rPr>
            </w:pPr>
          </w:p>
        </w:tc>
        <w:tc>
          <w:tcPr>
            <w:tcW w:w="2010" w:type="dxa"/>
            <w:vMerge/>
            <w:tcBorders>
              <w:left w:val="single" w:sz="6" w:space="0" w:color="7F7F7F"/>
              <w:bottom w:val="single" w:sz="6" w:space="0" w:color="7F7F7F"/>
              <w:right w:val="single" w:sz="6" w:space="0" w:color="7F7F7F"/>
            </w:tcBorders>
            <w:vAlign w:val="center"/>
            <w:hideMark/>
          </w:tcPr>
          <w:p w:rsidR="00BA0346" w:rsidRPr="00A95203" w:rsidRDefault="00BA0346" w:rsidP="001E6C4C">
            <w:pPr>
              <w:widowControl/>
              <w:jc w:val="left"/>
              <w:rPr>
                <w:kern w:val="0"/>
                <w:sz w:val="22"/>
                <w:szCs w:val="22"/>
              </w:rPr>
            </w:pPr>
          </w:p>
        </w:tc>
        <w:tc>
          <w:tcPr>
            <w:tcW w:w="3029" w:type="dxa"/>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1E6C4C">
            <w:pPr>
              <w:widowControl/>
              <w:tabs>
                <w:tab w:val="left" w:pos="420"/>
              </w:tabs>
              <w:spacing w:before="100" w:beforeAutospacing="1" w:after="100" w:afterAutospacing="1"/>
              <w:jc w:val="center"/>
              <w:rPr>
                <w:kern w:val="0"/>
                <w:sz w:val="22"/>
                <w:szCs w:val="22"/>
              </w:rPr>
            </w:pPr>
            <w:r w:rsidRPr="00A95203">
              <w:rPr>
                <w:kern w:val="0"/>
                <w:sz w:val="22"/>
                <w:szCs w:val="22"/>
              </w:rPr>
              <w:t>500</w:t>
            </w:r>
            <w:r w:rsidRPr="00A95203">
              <w:rPr>
                <w:kern w:val="0"/>
                <w:sz w:val="22"/>
                <w:szCs w:val="22"/>
              </w:rPr>
              <w:t>万元以上（含</w:t>
            </w:r>
            <w:r w:rsidRPr="00A95203">
              <w:rPr>
                <w:kern w:val="0"/>
                <w:sz w:val="22"/>
                <w:szCs w:val="22"/>
              </w:rPr>
              <w:t>500</w:t>
            </w:r>
            <w:r w:rsidRPr="00A95203">
              <w:rPr>
                <w:kern w:val="0"/>
                <w:sz w:val="22"/>
                <w:szCs w:val="22"/>
              </w:rPr>
              <w:t>万）</w:t>
            </w:r>
          </w:p>
        </w:tc>
        <w:tc>
          <w:tcPr>
            <w:tcW w:w="1514" w:type="dxa"/>
            <w:tcBorders>
              <w:top w:val="single" w:sz="6" w:space="0" w:color="7F7F7F"/>
              <w:left w:val="single" w:sz="6" w:space="0" w:color="7F7F7F"/>
              <w:bottom w:val="single" w:sz="6" w:space="0" w:color="7F7F7F"/>
              <w:right w:val="single" w:sz="6" w:space="0" w:color="7F7F7F"/>
            </w:tcBorders>
            <w:hideMark/>
          </w:tcPr>
          <w:p w:rsidR="00BA0346" w:rsidRPr="00A95203" w:rsidRDefault="00BA0346" w:rsidP="001E6C4C">
            <w:pPr>
              <w:widowControl/>
              <w:tabs>
                <w:tab w:val="left" w:pos="420"/>
              </w:tabs>
              <w:spacing w:before="100" w:beforeAutospacing="1" w:after="100" w:afterAutospacing="1"/>
              <w:jc w:val="center"/>
              <w:rPr>
                <w:kern w:val="0"/>
                <w:sz w:val="22"/>
                <w:szCs w:val="22"/>
              </w:rPr>
            </w:pPr>
            <w:r w:rsidRPr="00A95203">
              <w:rPr>
                <w:kern w:val="0"/>
                <w:sz w:val="22"/>
                <w:szCs w:val="22"/>
              </w:rPr>
              <w:t>每笔交易</w:t>
            </w:r>
            <w:r w:rsidRPr="00A95203">
              <w:rPr>
                <w:kern w:val="0"/>
                <w:sz w:val="22"/>
                <w:szCs w:val="22"/>
              </w:rPr>
              <w:t>1000</w:t>
            </w:r>
            <w:r w:rsidRPr="00A95203">
              <w:rPr>
                <w:kern w:val="0"/>
                <w:sz w:val="22"/>
                <w:szCs w:val="22"/>
              </w:rPr>
              <w:t>元</w:t>
            </w:r>
          </w:p>
        </w:tc>
      </w:tr>
      <w:tr w:rsidR="00BA0346" w:rsidRPr="00A95203" w:rsidTr="003B7662">
        <w:trPr>
          <w:tblCellSpacing w:w="0" w:type="dxa"/>
        </w:trPr>
        <w:tc>
          <w:tcPr>
            <w:tcW w:w="1922" w:type="dxa"/>
            <w:vMerge w:val="restart"/>
            <w:tcBorders>
              <w:top w:val="single" w:sz="6" w:space="0" w:color="7F7F7F"/>
              <w:left w:val="single" w:sz="6" w:space="0" w:color="7F7F7F"/>
              <w:bottom w:val="single" w:sz="6" w:space="0" w:color="7F7F7F"/>
              <w:right w:val="single" w:sz="6" w:space="0" w:color="7F7F7F"/>
            </w:tcBorders>
            <w:vAlign w:val="center"/>
            <w:hideMark/>
          </w:tcPr>
          <w:p w:rsidR="00000000" w:rsidRDefault="00BA0346">
            <w:pPr>
              <w:widowControl/>
              <w:jc w:val="left"/>
              <w:rPr>
                <w:kern w:val="0"/>
                <w:sz w:val="22"/>
                <w:szCs w:val="22"/>
              </w:rPr>
            </w:pPr>
            <w:r w:rsidRPr="00A95203">
              <w:rPr>
                <w:kern w:val="0"/>
                <w:sz w:val="22"/>
                <w:szCs w:val="22"/>
              </w:rPr>
              <w:t>交银货币</w:t>
            </w:r>
            <w:r w:rsidR="00380F1D">
              <w:rPr>
                <w:rFonts w:hint="eastAsia"/>
                <w:kern w:val="0"/>
                <w:sz w:val="22"/>
                <w:szCs w:val="22"/>
              </w:rPr>
              <w:t>、</w:t>
            </w:r>
            <w:r w:rsidRPr="00A95203">
              <w:rPr>
                <w:kern w:val="0"/>
                <w:sz w:val="22"/>
                <w:szCs w:val="22"/>
              </w:rPr>
              <w:t>交银增利</w:t>
            </w:r>
            <w:r w:rsidRPr="00A95203">
              <w:rPr>
                <w:kern w:val="0"/>
                <w:sz w:val="22"/>
                <w:szCs w:val="22"/>
              </w:rPr>
              <w:t>C</w:t>
            </w:r>
            <w:r w:rsidRPr="00A95203">
              <w:rPr>
                <w:kern w:val="0"/>
                <w:sz w:val="22"/>
                <w:szCs w:val="22"/>
              </w:rPr>
              <w:t>类基金份额</w:t>
            </w:r>
            <w:r w:rsidR="00380F1D">
              <w:rPr>
                <w:rFonts w:hint="eastAsia"/>
                <w:kern w:val="0"/>
                <w:sz w:val="22"/>
                <w:szCs w:val="22"/>
              </w:rPr>
              <w:t>、</w:t>
            </w:r>
            <w:r w:rsidRPr="00A95203">
              <w:rPr>
                <w:kern w:val="0"/>
                <w:sz w:val="22"/>
                <w:szCs w:val="22"/>
              </w:rPr>
              <w:t>交银双利</w:t>
            </w:r>
            <w:r w:rsidRPr="00A95203">
              <w:rPr>
                <w:kern w:val="0"/>
                <w:sz w:val="22"/>
                <w:szCs w:val="22"/>
              </w:rPr>
              <w:t>C</w:t>
            </w:r>
            <w:r w:rsidRPr="00A95203">
              <w:rPr>
                <w:kern w:val="0"/>
                <w:sz w:val="22"/>
                <w:szCs w:val="22"/>
              </w:rPr>
              <w:t>类基金份额</w:t>
            </w:r>
            <w:r w:rsidR="00380F1D">
              <w:rPr>
                <w:rFonts w:hint="eastAsia"/>
                <w:kern w:val="0"/>
                <w:sz w:val="22"/>
                <w:szCs w:val="22"/>
              </w:rPr>
              <w:t>、</w:t>
            </w:r>
          </w:p>
          <w:p w:rsidR="00BA0346" w:rsidRPr="00A95203" w:rsidRDefault="00BA0346" w:rsidP="00380F1D">
            <w:pPr>
              <w:widowControl/>
              <w:tabs>
                <w:tab w:val="left" w:pos="420"/>
              </w:tabs>
              <w:jc w:val="left"/>
              <w:rPr>
                <w:kern w:val="0"/>
                <w:sz w:val="22"/>
                <w:szCs w:val="22"/>
              </w:rPr>
            </w:pPr>
            <w:r w:rsidRPr="00A95203">
              <w:rPr>
                <w:kern w:val="0"/>
                <w:sz w:val="22"/>
                <w:szCs w:val="22"/>
              </w:rPr>
              <w:t>交银纯债</w:t>
            </w:r>
            <w:r w:rsidRPr="00A95203">
              <w:rPr>
                <w:kern w:val="0"/>
                <w:sz w:val="22"/>
                <w:szCs w:val="22"/>
              </w:rPr>
              <w:t>C</w:t>
            </w:r>
            <w:r w:rsidRPr="00A95203">
              <w:rPr>
                <w:kern w:val="0"/>
                <w:sz w:val="22"/>
                <w:szCs w:val="22"/>
              </w:rPr>
              <w:t>类基金份额</w:t>
            </w:r>
            <w:r w:rsidR="00380F1D">
              <w:rPr>
                <w:rFonts w:hint="eastAsia"/>
                <w:kern w:val="0"/>
                <w:sz w:val="22"/>
                <w:szCs w:val="22"/>
              </w:rPr>
              <w:t>、</w:t>
            </w:r>
            <w:r w:rsidRPr="00A95203">
              <w:rPr>
                <w:kern w:val="0"/>
                <w:sz w:val="22"/>
                <w:szCs w:val="22"/>
              </w:rPr>
              <w:t>交银双轮动</w:t>
            </w:r>
            <w:r w:rsidRPr="00A95203">
              <w:rPr>
                <w:kern w:val="0"/>
                <w:sz w:val="22"/>
                <w:szCs w:val="22"/>
              </w:rPr>
              <w:t>C</w:t>
            </w:r>
            <w:r w:rsidRPr="00A95203">
              <w:rPr>
                <w:kern w:val="0"/>
                <w:sz w:val="22"/>
                <w:szCs w:val="22"/>
              </w:rPr>
              <w:t>类基金份额</w:t>
            </w:r>
            <w:r w:rsidR="00380F1D">
              <w:rPr>
                <w:rFonts w:hint="eastAsia"/>
                <w:kern w:val="0"/>
                <w:sz w:val="22"/>
                <w:szCs w:val="22"/>
              </w:rPr>
              <w:t>、</w:t>
            </w:r>
            <w:r w:rsidRPr="00A95203">
              <w:rPr>
                <w:kern w:val="0"/>
                <w:sz w:val="22"/>
                <w:szCs w:val="22"/>
              </w:rPr>
              <w:t>交银月月丰</w:t>
            </w:r>
            <w:r w:rsidRPr="00A95203">
              <w:rPr>
                <w:kern w:val="0"/>
                <w:sz w:val="22"/>
                <w:szCs w:val="22"/>
              </w:rPr>
              <w:t>C</w:t>
            </w:r>
            <w:r w:rsidRPr="00A95203">
              <w:rPr>
                <w:kern w:val="0"/>
                <w:sz w:val="22"/>
                <w:szCs w:val="22"/>
              </w:rPr>
              <w:t>类基金份额</w:t>
            </w:r>
            <w:r w:rsidR="00380F1D">
              <w:rPr>
                <w:rFonts w:hint="eastAsia"/>
                <w:kern w:val="0"/>
                <w:sz w:val="22"/>
                <w:szCs w:val="22"/>
              </w:rPr>
              <w:t>、</w:t>
            </w:r>
            <w:r w:rsidRPr="00A95203">
              <w:rPr>
                <w:kern w:val="0"/>
                <w:sz w:val="22"/>
                <w:szCs w:val="22"/>
              </w:rPr>
              <w:t>交银强化回报</w:t>
            </w:r>
            <w:r w:rsidRPr="00A95203">
              <w:rPr>
                <w:kern w:val="0"/>
                <w:sz w:val="22"/>
                <w:szCs w:val="22"/>
              </w:rPr>
              <w:t>C</w:t>
            </w:r>
            <w:r w:rsidRPr="00A95203">
              <w:rPr>
                <w:kern w:val="0"/>
                <w:sz w:val="22"/>
                <w:szCs w:val="22"/>
              </w:rPr>
              <w:t>类基金份额</w:t>
            </w:r>
          </w:p>
        </w:tc>
        <w:tc>
          <w:tcPr>
            <w:tcW w:w="2010" w:type="dxa"/>
            <w:vMerge w:val="restart"/>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534F16">
            <w:pPr>
              <w:widowControl/>
              <w:jc w:val="left"/>
              <w:rPr>
                <w:kern w:val="0"/>
                <w:sz w:val="22"/>
                <w:szCs w:val="22"/>
              </w:rPr>
            </w:pPr>
            <w:r w:rsidRPr="00A95203">
              <w:rPr>
                <w:kern w:val="0"/>
                <w:sz w:val="22"/>
                <w:szCs w:val="22"/>
              </w:rPr>
              <w:t>前端收费模式下</w:t>
            </w:r>
          </w:p>
          <w:p w:rsidR="00BA0346" w:rsidRPr="00A95203" w:rsidRDefault="00BA0346" w:rsidP="00534F16">
            <w:pPr>
              <w:widowControl/>
              <w:tabs>
                <w:tab w:val="left" w:pos="420"/>
              </w:tabs>
              <w:jc w:val="left"/>
              <w:rPr>
                <w:kern w:val="0"/>
                <w:sz w:val="22"/>
                <w:szCs w:val="22"/>
              </w:rPr>
            </w:pPr>
            <w:r w:rsidRPr="00A95203">
              <w:rPr>
                <w:kern w:val="0"/>
                <w:sz w:val="22"/>
                <w:szCs w:val="22"/>
              </w:rPr>
              <w:t>交银行业、交银趋势</w:t>
            </w:r>
            <w:r w:rsidR="001B543A">
              <w:rPr>
                <w:rFonts w:hint="eastAsia"/>
                <w:kern w:val="0"/>
                <w:sz w:val="22"/>
                <w:szCs w:val="22"/>
              </w:rPr>
              <w:t>、交银经济新动力</w:t>
            </w:r>
          </w:p>
        </w:tc>
        <w:tc>
          <w:tcPr>
            <w:tcW w:w="3029" w:type="dxa"/>
            <w:tcBorders>
              <w:top w:val="single" w:sz="6" w:space="0" w:color="7F7F7F"/>
              <w:left w:val="single" w:sz="6" w:space="0" w:color="7F7F7F"/>
              <w:bottom w:val="single" w:sz="6" w:space="0" w:color="7F7F7F"/>
              <w:right w:val="single" w:sz="6" w:space="0" w:color="7F7F7F"/>
            </w:tcBorders>
            <w:hideMark/>
          </w:tcPr>
          <w:p w:rsidR="00BA0346" w:rsidRPr="00A95203" w:rsidRDefault="00BA0346" w:rsidP="00534F16">
            <w:pPr>
              <w:widowControl/>
              <w:tabs>
                <w:tab w:val="left" w:pos="420"/>
              </w:tabs>
              <w:spacing w:before="100" w:beforeAutospacing="1" w:after="100" w:afterAutospacing="1"/>
              <w:jc w:val="center"/>
              <w:rPr>
                <w:kern w:val="0"/>
                <w:sz w:val="22"/>
                <w:szCs w:val="22"/>
              </w:rPr>
            </w:pPr>
            <w:r w:rsidRPr="00A95203">
              <w:rPr>
                <w:kern w:val="0"/>
                <w:sz w:val="22"/>
                <w:szCs w:val="22"/>
              </w:rPr>
              <w:t>100</w:t>
            </w:r>
            <w:r w:rsidRPr="00A95203">
              <w:rPr>
                <w:kern w:val="0"/>
                <w:sz w:val="22"/>
                <w:szCs w:val="22"/>
              </w:rPr>
              <w:t>万元以下</w:t>
            </w:r>
          </w:p>
        </w:tc>
        <w:tc>
          <w:tcPr>
            <w:tcW w:w="1514" w:type="dxa"/>
            <w:tcBorders>
              <w:top w:val="single" w:sz="6" w:space="0" w:color="7F7F7F"/>
              <w:left w:val="single" w:sz="6" w:space="0" w:color="7F7F7F"/>
              <w:bottom w:val="single" w:sz="6" w:space="0" w:color="7F7F7F"/>
              <w:right w:val="single" w:sz="6" w:space="0" w:color="7F7F7F"/>
            </w:tcBorders>
            <w:hideMark/>
          </w:tcPr>
          <w:p w:rsidR="00BA0346" w:rsidRPr="00A95203" w:rsidRDefault="00BA0346" w:rsidP="00534F16">
            <w:pPr>
              <w:widowControl/>
              <w:tabs>
                <w:tab w:val="left" w:pos="420"/>
              </w:tabs>
              <w:spacing w:before="100" w:beforeAutospacing="1" w:after="100" w:afterAutospacing="1"/>
              <w:jc w:val="center"/>
              <w:rPr>
                <w:kern w:val="0"/>
                <w:sz w:val="22"/>
                <w:szCs w:val="22"/>
              </w:rPr>
            </w:pPr>
            <w:r w:rsidRPr="00A95203">
              <w:rPr>
                <w:kern w:val="0"/>
                <w:sz w:val="22"/>
                <w:szCs w:val="22"/>
              </w:rPr>
              <w:t>1.5%</w:t>
            </w:r>
          </w:p>
        </w:tc>
      </w:tr>
      <w:tr w:rsidR="00BA0346" w:rsidRPr="00A95203" w:rsidTr="003B7662">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534F16">
            <w:pPr>
              <w:widowControl/>
              <w:jc w:val="left"/>
              <w:rPr>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534F16">
            <w:pPr>
              <w:widowControl/>
              <w:jc w:val="left"/>
              <w:rPr>
                <w:kern w:val="0"/>
                <w:sz w:val="22"/>
                <w:szCs w:val="22"/>
              </w:rPr>
            </w:pPr>
          </w:p>
        </w:tc>
        <w:tc>
          <w:tcPr>
            <w:tcW w:w="3029" w:type="dxa"/>
            <w:tcBorders>
              <w:top w:val="single" w:sz="6" w:space="0" w:color="7F7F7F"/>
              <w:left w:val="single" w:sz="6" w:space="0" w:color="7F7F7F"/>
              <w:bottom w:val="single" w:sz="6" w:space="0" w:color="7F7F7F"/>
              <w:right w:val="single" w:sz="6" w:space="0" w:color="7F7F7F"/>
            </w:tcBorders>
            <w:hideMark/>
          </w:tcPr>
          <w:p w:rsidR="00BA0346" w:rsidRPr="00A95203" w:rsidRDefault="00BA0346" w:rsidP="00534F16">
            <w:pPr>
              <w:widowControl/>
              <w:tabs>
                <w:tab w:val="left" w:pos="420"/>
              </w:tabs>
              <w:spacing w:before="100" w:beforeAutospacing="1" w:after="100" w:afterAutospacing="1"/>
              <w:jc w:val="center"/>
              <w:rPr>
                <w:kern w:val="0"/>
                <w:sz w:val="22"/>
                <w:szCs w:val="22"/>
              </w:rPr>
            </w:pPr>
            <w:r w:rsidRPr="00A95203">
              <w:rPr>
                <w:kern w:val="0"/>
                <w:sz w:val="22"/>
                <w:szCs w:val="22"/>
              </w:rPr>
              <w:t>100</w:t>
            </w:r>
            <w:r w:rsidRPr="00A95203">
              <w:rPr>
                <w:kern w:val="0"/>
                <w:sz w:val="22"/>
                <w:szCs w:val="22"/>
              </w:rPr>
              <w:t>万元（含）至</w:t>
            </w:r>
            <w:r w:rsidRPr="00A95203">
              <w:rPr>
                <w:kern w:val="0"/>
                <w:sz w:val="22"/>
                <w:szCs w:val="22"/>
              </w:rPr>
              <w:t>500</w:t>
            </w:r>
            <w:r w:rsidRPr="00A95203">
              <w:rPr>
                <w:kern w:val="0"/>
                <w:sz w:val="22"/>
                <w:szCs w:val="22"/>
              </w:rPr>
              <w:t>万元</w:t>
            </w:r>
          </w:p>
        </w:tc>
        <w:tc>
          <w:tcPr>
            <w:tcW w:w="1514" w:type="dxa"/>
            <w:tcBorders>
              <w:top w:val="single" w:sz="6" w:space="0" w:color="7F7F7F"/>
              <w:left w:val="single" w:sz="6" w:space="0" w:color="7F7F7F"/>
              <w:bottom w:val="single" w:sz="6" w:space="0" w:color="7F7F7F"/>
              <w:right w:val="single" w:sz="6" w:space="0" w:color="7F7F7F"/>
            </w:tcBorders>
            <w:hideMark/>
          </w:tcPr>
          <w:p w:rsidR="00BA0346" w:rsidRPr="00A95203" w:rsidRDefault="00BA0346" w:rsidP="00534F16">
            <w:pPr>
              <w:widowControl/>
              <w:tabs>
                <w:tab w:val="left" w:pos="420"/>
              </w:tabs>
              <w:spacing w:before="100" w:beforeAutospacing="1" w:after="100" w:afterAutospacing="1"/>
              <w:jc w:val="center"/>
              <w:rPr>
                <w:kern w:val="0"/>
                <w:sz w:val="22"/>
                <w:szCs w:val="22"/>
              </w:rPr>
            </w:pPr>
            <w:r w:rsidRPr="00A95203">
              <w:rPr>
                <w:kern w:val="0"/>
                <w:sz w:val="22"/>
                <w:szCs w:val="22"/>
              </w:rPr>
              <w:t>1.0%</w:t>
            </w:r>
          </w:p>
        </w:tc>
      </w:tr>
      <w:tr w:rsidR="00BA0346" w:rsidRPr="00A95203" w:rsidTr="003B7662">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534F16">
            <w:pPr>
              <w:widowControl/>
              <w:jc w:val="left"/>
              <w:rPr>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534F16">
            <w:pPr>
              <w:widowControl/>
              <w:jc w:val="left"/>
              <w:rPr>
                <w:kern w:val="0"/>
                <w:sz w:val="22"/>
                <w:szCs w:val="22"/>
              </w:rPr>
            </w:pPr>
          </w:p>
        </w:tc>
        <w:tc>
          <w:tcPr>
            <w:tcW w:w="3029" w:type="dxa"/>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534F16">
            <w:pPr>
              <w:widowControl/>
              <w:tabs>
                <w:tab w:val="left" w:pos="420"/>
              </w:tabs>
              <w:spacing w:before="100" w:beforeAutospacing="1" w:after="100" w:afterAutospacing="1"/>
              <w:jc w:val="center"/>
              <w:rPr>
                <w:kern w:val="0"/>
                <w:sz w:val="22"/>
                <w:szCs w:val="22"/>
              </w:rPr>
            </w:pPr>
            <w:r w:rsidRPr="00A95203">
              <w:rPr>
                <w:kern w:val="0"/>
                <w:sz w:val="22"/>
                <w:szCs w:val="22"/>
              </w:rPr>
              <w:t>500</w:t>
            </w:r>
            <w:r w:rsidRPr="00A95203">
              <w:rPr>
                <w:kern w:val="0"/>
                <w:sz w:val="22"/>
                <w:szCs w:val="22"/>
              </w:rPr>
              <w:t>万元以上（含</w:t>
            </w:r>
            <w:r w:rsidRPr="00A95203">
              <w:rPr>
                <w:kern w:val="0"/>
                <w:sz w:val="22"/>
                <w:szCs w:val="22"/>
              </w:rPr>
              <w:t>500</w:t>
            </w:r>
            <w:r w:rsidRPr="00A95203">
              <w:rPr>
                <w:kern w:val="0"/>
                <w:sz w:val="22"/>
                <w:szCs w:val="22"/>
              </w:rPr>
              <w:t>万）</w:t>
            </w:r>
          </w:p>
        </w:tc>
        <w:tc>
          <w:tcPr>
            <w:tcW w:w="1514" w:type="dxa"/>
            <w:tcBorders>
              <w:top w:val="single" w:sz="6" w:space="0" w:color="7F7F7F"/>
              <w:left w:val="single" w:sz="6" w:space="0" w:color="7F7F7F"/>
              <w:bottom w:val="single" w:sz="6" w:space="0" w:color="7F7F7F"/>
              <w:right w:val="single" w:sz="6" w:space="0" w:color="7F7F7F"/>
            </w:tcBorders>
            <w:hideMark/>
          </w:tcPr>
          <w:p w:rsidR="00BA0346" w:rsidRPr="00A95203" w:rsidRDefault="00BA0346" w:rsidP="00534F16">
            <w:pPr>
              <w:widowControl/>
              <w:tabs>
                <w:tab w:val="left" w:pos="420"/>
              </w:tabs>
              <w:spacing w:before="100" w:beforeAutospacing="1" w:after="100" w:afterAutospacing="1"/>
              <w:jc w:val="center"/>
              <w:rPr>
                <w:kern w:val="0"/>
                <w:sz w:val="22"/>
                <w:szCs w:val="22"/>
              </w:rPr>
            </w:pPr>
            <w:r w:rsidRPr="00A95203">
              <w:rPr>
                <w:kern w:val="0"/>
                <w:sz w:val="22"/>
                <w:szCs w:val="22"/>
              </w:rPr>
              <w:t>每笔交易</w:t>
            </w:r>
            <w:r w:rsidRPr="00A95203">
              <w:rPr>
                <w:kern w:val="0"/>
                <w:sz w:val="22"/>
                <w:szCs w:val="22"/>
              </w:rPr>
              <w:t>1000</w:t>
            </w:r>
            <w:r w:rsidRPr="00A95203">
              <w:rPr>
                <w:kern w:val="0"/>
                <w:sz w:val="22"/>
                <w:szCs w:val="22"/>
              </w:rPr>
              <w:t>元</w:t>
            </w:r>
          </w:p>
        </w:tc>
      </w:tr>
      <w:tr w:rsidR="00BA0346" w:rsidRPr="00A95203" w:rsidTr="001E6C4C">
        <w:trPr>
          <w:trHeight w:val="269"/>
          <w:tblCellSpacing w:w="0" w:type="dxa"/>
        </w:trPr>
        <w:tc>
          <w:tcPr>
            <w:tcW w:w="1922" w:type="dxa"/>
            <w:vMerge w:val="restart"/>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380F1D">
            <w:pPr>
              <w:widowControl/>
              <w:jc w:val="left"/>
              <w:rPr>
                <w:kern w:val="0"/>
                <w:sz w:val="22"/>
                <w:szCs w:val="22"/>
              </w:rPr>
            </w:pPr>
            <w:r w:rsidRPr="00A95203">
              <w:rPr>
                <w:kern w:val="0"/>
                <w:sz w:val="22"/>
                <w:szCs w:val="22"/>
              </w:rPr>
              <w:t>交银货币</w:t>
            </w:r>
            <w:r w:rsidR="00380F1D">
              <w:rPr>
                <w:rFonts w:hint="eastAsia"/>
                <w:kern w:val="0"/>
                <w:sz w:val="22"/>
                <w:szCs w:val="22"/>
              </w:rPr>
              <w:t>、</w:t>
            </w:r>
            <w:r w:rsidRPr="00A95203">
              <w:rPr>
                <w:kern w:val="0"/>
                <w:sz w:val="22"/>
                <w:szCs w:val="22"/>
              </w:rPr>
              <w:t>交银增利</w:t>
            </w:r>
            <w:r w:rsidRPr="00A95203">
              <w:rPr>
                <w:kern w:val="0"/>
                <w:sz w:val="22"/>
                <w:szCs w:val="22"/>
              </w:rPr>
              <w:t>C</w:t>
            </w:r>
            <w:r w:rsidRPr="00A95203">
              <w:rPr>
                <w:kern w:val="0"/>
                <w:sz w:val="22"/>
                <w:szCs w:val="22"/>
              </w:rPr>
              <w:t>类基金份额</w:t>
            </w:r>
            <w:r w:rsidR="00380F1D">
              <w:rPr>
                <w:rFonts w:hint="eastAsia"/>
                <w:kern w:val="0"/>
                <w:sz w:val="22"/>
                <w:szCs w:val="22"/>
              </w:rPr>
              <w:t>、</w:t>
            </w:r>
            <w:r w:rsidRPr="00A95203">
              <w:rPr>
                <w:kern w:val="0"/>
                <w:sz w:val="22"/>
                <w:szCs w:val="22"/>
              </w:rPr>
              <w:t>交银双利</w:t>
            </w:r>
            <w:r w:rsidRPr="00A95203">
              <w:rPr>
                <w:kern w:val="0"/>
                <w:sz w:val="22"/>
                <w:szCs w:val="22"/>
              </w:rPr>
              <w:t>C</w:t>
            </w:r>
            <w:r w:rsidRPr="00A95203">
              <w:rPr>
                <w:kern w:val="0"/>
                <w:sz w:val="22"/>
                <w:szCs w:val="22"/>
              </w:rPr>
              <w:t>类基金份额</w:t>
            </w:r>
            <w:r w:rsidR="00380F1D">
              <w:rPr>
                <w:rFonts w:hint="eastAsia"/>
                <w:kern w:val="0"/>
                <w:sz w:val="22"/>
                <w:szCs w:val="22"/>
              </w:rPr>
              <w:t>、</w:t>
            </w:r>
            <w:r w:rsidRPr="00A95203">
              <w:rPr>
                <w:kern w:val="0"/>
                <w:sz w:val="22"/>
                <w:szCs w:val="22"/>
              </w:rPr>
              <w:t>交银纯债</w:t>
            </w:r>
            <w:r w:rsidRPr="00A95203">
              <w:rPr>
                <w:kern w:val="0"/>
                <w:sz w:val="22"/>
                <w:szCs w:val="22"/>
              </w:rPr>
              <w:t>C</w:t>
            </w:r>
            <w:r w:rsidRPr="00A95203">
              <w:rPr>
                <w:kern w:val="0"/>
                <w:sz w:val="22"/>
                <w:szCs w:val="22"/>
              </w:rPr>
              <w:t>类基金</w:t>
            </w:r>
            <w:r w:rsidR="00380F1D">
              <w:rPr>
                <w:rFonts w:hint="eastAsia"/>
                <w:kern w:val="0"/>
                <w:sz w:val="22"/>
                <w:szCs w:val="22"/>
              </w:rPr>
              <w:t>、</w:t>
            </w:r>
            <w:r w:rsidRPr="00A95203">
              <w:rPr>
                <w:kern w:val="0"/>
                <w:sz w:val="22"/>
                <w:szCs w:val="22"/>
              </w:rPr>
              <w:t>份额</w:t>
            </w:r>
            <w:r w:rsidR="00380F1D">
              <w:rPr>
                <w:rFonts w:hint="eastAsia"/>
                <w:kern w:val="0"/>
                <w:sz w:val="22"/>
                <w:szCs w:val="22"/>
              </w:rPr>
              <w:t>、</w:t>
            </w:r>
            <w:r w:rsidRPr="00A95203">
              <w:rPr>
                <w:kern w:val="0"/>
                <w:sz w:val="22"/>
                <w:szCs w:val="22"/>
              </w:rPr>
              <w:t>交银双轮动</w:t>
            </w:r>
            <w:r w:rsidRPr="00A95203">
              <w:rPr>
                <w:kern w:val="0"/>
                <w:sz w:val="22"/>
                <w:szCs w:val="22"/>
              </w:rPr>
              <w:t>C</w:t>
            </w:r>
            <w:r w:rsidRPr="00A95203">
              <w:rPr>
                <w:kern w:val="0"/>
                <w:sz w:val="22"/>
                <w:szCs w:val="22"/>
              </w:rPr>
              <w:t>类基金份额</w:t>
            </w:r>
            <w:r w:rsidR="00380F1D">
              <w:rPr>
                <w:rFonts w:hint="eastAsia"/>
                <w:kern w:val="0"/>
                <w:sz w:val="22"/>
                <w:szCs w:val="22"/>
              </w:rPr>
              <w:t>、</w:t>
            </w:r>
            <w:r w:rsidRPr="00A95203">
              <w:rPr>
                <w:kern w:val="0"/>
                <w:sz w:val="22"/>
                <w:szCs w:val="22"/>
              </w:rPr>
              <w:t>交银月月丰</w:t>
            </w:r>
            <w:r w:rsidRPr="00A95203">
              <w:rPr>
                <w:kern w:val="0"/>
                <w:sz w:val="22"/>
                <w:szCs w:val="22"/>
              </w:rPr>
              <w:t>C</w:t>
            </w:r>
            <w:r w:rsidRPr="00A95203">
              <w:rPr>
                <w:kern w:val="0"/>
                <w:sz w:val="22"/>
                <w:szCs w:val="22"/>
              </w:rPr>
              <w:t>类基金份额</w:t>
            </w:r>
            <w:r w:rsidR="00380F1D">
              <w:rPr>
                <w:rFonts w:hint="eastAsia"/>
                <w:kern w:val="0"/>
                <w:sz w:val="22"/>
                <w:szCs w:val="22"/>
              </w:rPr>
              <w:t>、</w:t>
            </w:r>
            <w:r w:rsidRPr="00A95203">
              <w:rPr>
                <w:kern w:val="0"/>
                <w:sz w:val="22"/>
                <w:szCs w:val="22"/>
              </w:rPr>
              <w:t>交银强化回报</w:t>
            </w:r>
            <w:r w:rsidRPr="00A95203">
              <w:rPr>
                <w:kern w:val="0"/>
                <w:sz w:val="22"/>
                <w:szCs w:val="22"/>
              </w:rPr>
              <w:t>C</w:t>
            </w:r>
            <w:r w:rsidRPr="00A95203">
              <w:rPr>
                <w:kern w:val="0"/>
                <w:sz w:val="22"/>
                <w:szCs w:val="22"/>
              </w:rPr>
              <w:t>类基金份额</w:t>
            </w:r>
          </w:p>
        </w:tc>
        <w:tc>
          <w:tcPr>
            <w:tcW w:w="2010" w:type="dxa"/>
            <w:vMerge w:val="restart"/>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B46B47">
            <w:pPr>
              <w:widowControl/>
              <w:jc w:val="left"/>
              <w:rPr>
                <w:kern w:val="0"/>
                <w:sz w:val="22"/>
                <w:szCs w:val="22"/>
              </w:rPr>
            </w:pPr>
            <w:r w:rsidRPr="00A95203">
              <w:rPr>
                <w:kern w:val="0"/>
                <w:sz w:val="22"/>
                <w:szCs w:val="22"/>
              </w:rPr>
              <w:t>交银强化回报</w:t>
            </w:r>
            <w:r w:rsidRPr="00A95203">
              <w:rPr>
                <w:kern w:val="0"/>
                <w:sz w:val="22"/>
                <w:szCs w:val="22"/>
              </w:rPr>
              <w:t>A</w:t>
            </w:r>
            <w:r w:rsidRPr="00A95203">
              <w:rPr>
                <w:kern w:val="0"/>
                <w:sz w:val="22"/>
                <w:szCs w:val="22"/>
              </w:rPr>
              <w:t>类基金份额</w:t>
            </w:r>
            <w:r w:rsidR="00B46B47">
              <w:rPr>
                <w:rFonts w:hint="eastAsia"/>
                <w:kern w:val="0"/>
                <w:sz w:val="22"/>
                <w:szCs w:val="22"/>
              </w:rPr>
              <w:t>、</w:t>
            </w:r>
            <w:r w:rsidRPr="00A95203">
              <w:rPr>
                <w:kern w:val="0"/>
                <w:sz w:val="22"/>
                <w:szCs w:val="22"/>
              </w:rPr>
              <w:t>交银月月丰</w:t>
            </w:r>
            <w:r w:rsidRPr="00A95203">
              <w:rPr>
                <w:kern w:val="0"/>
                <w:sz w:val="22"/>
                <w:szCs w:val="22"/>
              </w:rPr>
              <w:t>A</w:t>
            </w:r>
            <w:r w:rsidRPr="00A95203">
              <w:rPr>
                <w:kern w:val="0"/>
                <w:sz w:val="22"/>
                <w:szCs w:val="22"/>
              </w:rPr>
              <w:t>类基金份额</w:t>
            </w:r>
            <w:r w:rsidR="00B46B47">
              <w:rPr>
                <w:rFonts w:hint="eastAsia"/>
                <w:kern w:val="0"/>
                <w:sz w:val="22"/>
                <w:szCs w:val="22"/>
              </w:rPr>
              <w:t>、</w:t>
            </w:r>
            <w:r w:rsidRPr="00A95203">
              <w:rPr>
                <w:kern w:val="0"/>
                <w:sz w:val="22"/>
                <w:szCs w:val="22"/>
              </w:rPr>
              <w:t>交银双轮动</w:t>
            </w:r>
            <w:r w:rsidRPr="00A95203">
              <w:rPr>
                <w:kern w:val="0"/>
                <w:sz w:val="22"/>
                <w:szCs w:val="22"/>
              </w:rPr>
              <w:t>A</w:t>
            </w:r>
            <w:r w:rsidRPr="00A95203">
              <w:rPr>
                <w:kern w:val="0"/>
                <w:sz w:val="22"/>
                <w:szCs w:val="22"/>
              </w:rPr>
              <w:t>类基金份额</w:t>
            </w:r>
            <w:r w:rsidR="00B46B47">
              <w:rPr>
                <w:rFonts w:hint="eastAsia"/>
                <w:kern w:val="0"/>
                <w:sz w:val="22"/>
                <w:szCs w:val="22"/>
              </w:rPr>
              <w:t>、</w:t>
            </w:r>
            <w:r w:rsidRPr="00A95203">
              <w:rPr>
                <w:kern w:val="0"/>
                <w:sz w:val="22"/>
                <w:szCs w:val="22"/>
              </w:rPr>
              <w:t>交银纯债</w:t>
            </w:r>
            <w:r w:rsidRPr="00A95203">
              <w:rPr>
                <w:kern w:val="0"/>
                <w:sz w:val="22"/>
                <w:szCs w:val="22"/>
              </w:rPr>
              <w:t>A</w:t>
            </w:r>
            <w:r w:rsidRPr="00A95203">
              <w:rPr>
                <w:kern w:val="0"/>
                <w:sz w:val="22"/>
                <w:szCs w:val="22"/>
              </w:rPr>
              <w:t>类基金份额</w:t>
            </w:r>
            <w:r w:rsidR="00B46B47">
              <w:rPr>
                <w:rFonts w:hint="eastAsia"/>
                <w:kern w:val="0"/>
                <w:sz w:val="22"/>
                <w:szCs w:val="22"/>
              </w:rPr>
              <w:t>、</w:t>
            </w:r>
            <w:r w:rsidRPr="00A95203">
              <w:rPr>
                <w:kern w:val="0"/>
                <w:sz w:val="22"/>
                <w:szCs w:val="22"/>
              </w:rPr>
              <w:t>交银双利</w:t>
            </w:r>
            <w:r w:rsidRPr="00A95203">
              <w:rPr>
                <w:kern w:val="0"/>
                <w:sz w:val="22"/>
                <w:szCs w:val="22"/>
              </w:rPr>
              <w:t>A</w:t>
            </w:r>
            <w:r w:rsidRPr="00A95203">
              <w:rPr>
                <w:kern w:val="0"/>
                <w:sz w:val="22"/>
                <w:szCs w:val="22"/>
              </w:rPr>
              <w:t>类基金份额</w:t>
            </w:r>
            <w:r w:rsidR="00B46B47">
              <w:rPr>
                <w:rFonts w:hint="eastAsia"/>
                <w:kern w:val="0"/>
                <w:sz w:val="22"/>
                <w:szCs w:val="22"/>
              </w:rPr>
              <w:t>、</w:t>
            </w:r>
            <w:r w:rsidRPr="00A95203">
              <w:rPr>
                <w:kern w:val="0"/>
                <w:sz w:val="22"/>
                <w:szCs w:val="22"/>
              </w:rPr>
              <w:t>交银增利</w:t>
            </w:r>
            <w:r w:rsidRPr="00A95203">
              <w:rPr>
                <w:kern w:val="0"/>
                <w:sz w:val="22"/>
                <w:szCs w:val="22"/>
              </w:rPr>
              <w:t>A</w:t>
            </w:r>
            <w:r w:rsidRPr="00A95203">
              <w:rPr>
                <w:kern w:val="0"/>
                <w:sz w:val="22"/>
                <w:szCs w:val="22"/>
              </w:rPr>
              <w:t>类基金份额</w:t>
            </w:r>
          </w:p>
        </w:tc>
        <w:tc>
          <w:tcPr>
            <w:tcW w:w="3029" w:type="dxa"/>
            <w:tcBorders>
              <w:top w:val="single" w:sz="6" w:space="0" w:color="7F7F7F"/>
              <w:left w:val="single" w:sz="6" w:space="0" w:color="7F7F7F"/>
              <w:bottom w:val="single" w:sz="6" w:space="0" w:color="7F7F7F"/>
              <w:right w:val="single" w:sz="6" w:space="0" w:color="7F7F7F"/>
            </w:tcBorders>
            <w:hideMark/>
          </w:tcPr>
          <w:p w:rsidR="00BA0346" w:rsidRPr="00A95203" w:rsidRDefault="00BA0346" w:rsidP="00534F16">
            <w:pPr>
              <w:widowControl/>
              <w:tabs>
                <w:tab w:val="left" w:pos="420"/>
              </w:tabs>
              <w:spacing w:before="100" w:beforeAutospacing="1" w:after="100" w:afterAutospacing="1"/>
              <w:jc w:val="center"/>
              <w:rPr>
                <w:kern w:val="0"/>
                <w:sz w:val="22"/>
                <w:szCs w:val="22"/>
              </w:rPr>
            </w:pPr>
            <w:r w:rsidRPr="00A95203">
              <w:rPr>
                <w:kern w:val="0"/>
                <w:sz w:val="22"/>
                <w:szCs w:val="22"/>
              </w:rPr>
              <w:t>50</w:t>
            </w:r>
            <w:r w:rsidRPr="00A95203">
              <w:rPr>
                <w:kern w:val="0"/>
                <w:sz w:val="22"/>
                <w:szCs w:val="22"/>
              </w:rPr>
              <w:t>万元以下</w:t>
            </w:r>
          </w:p>
        </w:tc>
        <w:tc>
          <w:tcPr>
            <w:tcW w:w="1514" w:type="dxa"/>
            <w:tcBorders>
              <w:top w:val="single" w:sz="6" w:space="0" w:color="7F7F7F"/>
              <w:left w:val="single" w:sz="6" w:space="0" w:color="7F7F7F"/>
              <w:bottom w:val="single" w:sz="6" w:space="0" w:color="7F7F7F"/>
              <w:right w:val="single" w:sz="6" w:space="0" w:color="7F7F7F"/>
            </w:tcBorders>
            <w:hideMark/>
          </w:tcPr>
          <w:p w:rsidR="00BA0346" w:rsidRPr="00A95203" w:rsidRDefault="00BA0346" w:rsidP="00534F16">
            <w:pPr>
              <w:widowControl/>
              <w:tabs>
                <w:tab w:val="left" w:pos="420"/>
              </w:tabs>
              <w:spacing w:before="100" w:beforeAutospacing="1" w:after="100" w:afterAutospacing="1"/>
              <w:jc w:val="center"/>
              <w:rPr>
                <w:kern w:val="0"/>
                <w:sz w:val="22"/>
                <w:szCs w:val="22"/>
              </w:rPr>
            </w:pPr>
            <w:r w:rsidRPr="00A95203">
              <w:rPr>
                <w:kern w:val="0"/>
                <w:sz w:val="22"/>
                <w:szCs w:val="22"/>
              </w:rPr>
              <w:t>0.8%</w:t>
            </w:r>
          </w:p>
        </w:tc>
      </w:tr>
      <w:tr w:rsidR="00BA0346" w:rsidRPr="00A95203" w:rsidTr="003B7662">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534F16">
            <w:pPr>
              <w:widowControl/>
              <w:jc w:val="left"/>
              <w:rPr>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534F16">
            <w:pPr>
              <w:widowControl/>
              <w:jc w:val="left"/>
              <w:rPr>
                <w:kern w:val="0"/>
                <w:sz w:val="22"/>
                <w:szCs w:val="22"/>
              </w:rPr>
            </w:pPr>
          </w:p>
        </w:tc>
        <w:tc>
          <w:tcPr>
            <w:tcW w:w="3029" w:type="dxa"/>
            <w:tcBorders>
              <w:top w:val="single" w:sz="6" w:space="0" w:color="7F7F7F"/>
              <w:left w:val="single" w:sz="6" w:space="0" w:color="7F7F7F"/>
              <w:bottom w:val="single" w:sz="6" w:space="0" w:color="7F7F7F"/>
              <w:right w:val="single" w:sz="6" w:space="0" w:color="7F7F7F"/>
            </w:tcBorders>
            <w:hideMark/>
          </w:tcPr>
          <w:p w:rsidR="00BA0346" w:rsidRPr="00A95203" w:rsidRDefault="00BA0346" w:rsidP="00534F16">
            <w:pPr>
              <w:widowControl/>
              <w:tabs>
                <w:tab w:val="left" w:pos="420"/>
              </w:tabs>
              <w:spacing w:before="100" w:beforeAutospacing="1" w:after="100" w:afterAutospacing="1"/>
              <w:jc w:val="center"/>
              <w:rPr>
                <w:kern w:val="0"/>
                <w:sz w:val="22"/>
                <w:szCs w:val="22"/>
              </w:rPr>
            </w:pPr>
            <w:r w:rsidRPr="00A95203">
              <w:rPr>
                <w:kern w:val="0"/>
                <w:sz w:val="22"/>
                <w:szCs w:val="22"/>
              </w:rPr>
              <w:t>50</w:t>
            </w:r>
            <w:r w:rsidRPr="00A95203">
              <w:rPr>
                <w:kern w:val="0"/>
                <w:sz w:val="22"/>
                <w:szCs w:val="22"/>
              </w:rPr>
              <w:t>万元（含）至</w:t>
            </w:r>
            <w:r w:rsidRPr="00A95203">
              <w:rPr>
                <w:kern w:val="0"/>
                <w:sz w:val="22"/>
                <w:szCs w:val="22"/>
              </w:rPr>
              <w:t>100</w:t>
            </w:r>
            <w:r w:rsidRPr="00A95203">
              <w:rPr>
                <w:kern w:val="0"/>
                <w:sz w:val="22"/>
                <w:szCs w:val="22"/>
              </w:rPr>
              <w:t>万元</w:t>
            </w:r>
          </w:p>
        </w:tc>
        <w:tc>
          <w:tcPr>
            <w:tcW w:w="1514" w:type="dxa"/>
            <w:tcBorders>
              <w:top w:val="single" w:sz="6" w:space="0" w:color="7F7F7F"/>
              <w:left w:val="single" w:sz="6" w:space="0" w:color="7F7F7F"/>
              <w:bottom w:val="single" w:sz="6" w:space="0" w:color="7F7F7F"/>
              <w:right w:val="single" w:sz="6" w:space="0" w:color="7F7F7F"/>
            </w:tcBorders>
            <w:hideMark/>
          </w:tcPr>
          <w:p w:rsidR="00BA0346" w:rsidRPr="00A95203" w:rsidRDefault="00BA0346" w:rsidP="00534F16">
            <w:pPr>
              <w:widowControl/>
              <w:tabs>
                <w:tab w:val="left" w:pos="420"/>
              </w:tabs>
              <w:spacing w:before="100" w:beforeAutospacing="1" w:after="100" w:afterAutospacing="1"/>
              <w:jc w:val="center"/>
              <w:rPr>
                <w:kern w:val="0"/>
                <w:sz w:val="22"/>
                <w:szCs w:val="22"/>
              </w:rPr>
            </w:pPr>
            <w:r w:rsidRPr="00A95203">
              <w:rPr>
                <w:kern w:val="0"/>
                <w:sz w:val="22"/>
                <w:szCs w:val="22"/>
              </w:rPr>
              <w:t>0.6%</w:t>
            </w:r>
          </w:p>
        </w:tc>
      </w:tr>
      <w:tr w:rsidR="00BA0346" w:rsidRPr="00A95203" w:rsidTr="003B7662">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534F16">
            <w:pPr>
              <w:widowControl/>
              <w:jc w:val="left"/>
              <w:rPr>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534F16">
            <w:pPr>
              <w:widowControl/>
              <w:jc w:val="left"/>
              <w:rPr>
                <w:kern w:val="0"/>
                <w:sz w:val="22"/>
                <w:szCs w:val="22"/>
              </w:rPr>
            </w:pPr>
          </w:p>
        </w:tc>
        <w:tc>
          <w:tcPr>
            <w:tcW w:w="3029" w:type="dxa"/>
            <w:tcBorders>
              <w:top w:val="single" w:sz="6" w:space="0" w:color="7F7F7F"/>
              <w:left w:val="single" w:sz="6" w:space="0" w:color="7F7F7F"/>
              <w:bottom w:val="single" w:sz="6" w:space="0" w:color="7F7F7F"/>
              <w:right w:val="single" w:sz="6" w:space="0" w:color="7F7F7F"/>
            </w:tcBorders>
            <w:hideMark/>
          </w:tcPr>
          <w:p w:rsidR="00BA0346" w:rsidRPr="00A95203" w:rsidRDefault="00BA0346" w:rsidP="00534F16">
            <w:pPr>
              <w:widowControl/>
              <w:tabs>
                <w:tab w:val="left" w:pos="420"/>
              </w:tabs>
              <w:spacing w:before="100" w:beforeAutospacing="1" w:after="100" w:afterAutospacing="1"/>
              <w:jc w:val="center"/>
              <w:rPr>
                <w:kern w:val="0"/>
                <w:sz w:val="22"/>
                <w:szCs w:val="22"/>
              </w:rPr>
            </w:pPr>
            <w:r w:rsidRPr="00A95203">
              <w:rPr>
                <w:kern w:val="0"/>
                <w:sz w:val="22"/>
                <w:szCs w:val="22"/>
              </w:rPr>
              <w:t>100</w:t>
            </w:r>
            <w:r w:rsidRPr="00A95203">
              <w:rPr>
                <w:kern w:val="0"/>
                <w:sz w:val="22"/>
                <w:szCs w:val="22"/>
              </w:rPr>
              <w:t>万元（含）至</w:t>
            </w:r>
            <w:r w:rsidRPr="00A95203">
              <w:rPr>
                <w:kern w:val="0"/>
                <w:sz w:val="22"/>
                <w:szCs w:val="22"/>
              </w:rPr>
              <w:t>200</w:t>
            </w:r>
            <w:r w:rsidRPr="00A95203">
              <w:rPr>
                <w:kern w:val="0"/>
                <w:sz w:val="22"/>
                <w:szCs w:val="22"/>
              </w:rPr>
              <w:t>万元</w:t>
            </w:r>
          </w:p>
        </w:tc>
        <w:tc>
          <w:tcPr>
            <w:tcW w:w="1514" w:type="dxa"/>
            <w:tcBorders>
              <w:top w:val="single" w:sz="6" w:space="0" w:color="7F7F7F"/>
              <w:left w:val="single" w:sz="6" w:space="0" w:color="7F7F7F"/>
              <w:bottom w:val="single" w:sz="6" w:space="0" w:color="7F7F7F"/>
              <w:right w:val="single" w:sz="6" w:space="0" w:color="7F7F7F"/>
            </w:tcBorders>
            <w:hideMark/>
          </w:tcPr>
          <w:p w:rsidR="00BA0346" w:rsidRPr="00A95203" w:rsidRDefault="00BA0346" w:rsidP="00534F16">
            <w:pPr>
              <w:widowControl/>
              <w:tabs>
                <w:tab w:val="left" w:pos="420"/>
              </w:tabs>
              <w:spacing w:before="100" w:beforeAutospacing="1" w:after="100" w:afterAutospacing="1"/>
              <w:jc w:val="center"/>
              <w:rPr>
                <w:kern w:val="0"/>
                <w:sz w:val="22"/>
                <w:szCs w:val="22"/>
              </w:rPr>
            </w:pPr>
            <w:r w:rsidRPr="00A95203">
              <w:rPr>
                <w:kern w:val="0"/>
                <w:sz w:val="22"/>
                <w:szCs w:val="22"/>
              </w:rPr>
              <w:t>0.5%</w:t>
            </w:r>
          </w:p>
        </w:tc>
      </w:tr>
      <w:tr w:rsidR="00BA0346" w:rsidRPr="00A95203" w:rsidTr="003B7662">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534F16">
            <w:pPr>
              <w:widowControl/>
              <w:jc w:val="left"/>
              <w:rPr>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534F16">
            <w:pPr>
              <w:widowControl/>
              <w:jc w:val="left"/>
              <w:rPr>
                <w:kern w:val="0"/>
                <w:sz w:val="22"/>
                <w:szCs w:val="22"/>
              </w:rPr>
            </w:pPr>
          </w:p>
        </w:tc>
        <w:tc>
          <w:tcPr>
            <w:tcW w:w="3029" w:type="dxa"/>
            <w:tcBorders>
              <w:top w:val="single" w:sz="6" w:space="0" w:color="7F7F7F"/>
              <w:left w:val="single" w:sz="6" w:space="0" w:color="7F7F7F"/>
              <w:bottom w:val="single" w:sz="6" w:space="0" w:color="7F7F7F"/>
              <w:right w:val="single" w:sz="6" w:space="0" w:color="7F7F7F"/>
            </w:tcBorders>
            <w:hideMark/>
          </w:tcPr>
          <w:p w:rsidR="00BA0346" w:rsidRPr="00A95203" w:rsidRDefault="00BA0346" w:rsidP="00534F16">
            <w:pPr>
              <w:widowControl/>
              <w:tabs>
                <w:tab w:val="left" w:pos="420"/>
              </w:tabs>
              <w:spacing w:before="100" w:beforeAutospacing="1" w:after="100" w:afterAutospacing="1"/>
              <w:jc w:val="center"/>
              <w:rPr>
                <w:kern w:val="0"/>
                <w:sz w:val="22"/>
                <w:szCs w:val="22"/>
              </w:rPr>
            </w:pPr>
            <w:r w:rsidRPr="00A95203">
              <w:rPr>
                <w:kern w:val="0"/>
                <w:sz w:val="22"/>
                <w:szCs w:val="22"/>
              </w:rPr>
              <w:t>200</w:t>
            </w:r>
            <w:r w:rsidRPr="00A95203">
              <w:rPr>
                <w:kern w:val="0"/>
                <w:sz w:val="22"/>
                <w:szCs w:val="22"/>
              </w:rPr>
              <w:t>万元（含）至</w:t>
            </w:r>
            <w:r w:rsidRPr="00A95203">
              <w:rPr>
                <w:kern w:val="0"/>
                <w:sz w:val="22"/>
                <w:szCs w:val="22"/>
              </w:rPr>
              <w:t>500</w:t>
            </w:r>
            <w:r w:rsidRPr="00A95203">
              <w:rPr>
                <w:kern w:val="0"/>
                <w:sz w:val="22"/>
                <w:szCs w:val="22"/>
              </w:rPr>
              <w:t>万元</w:t>
            </w:r>
          </w:p>
        </w:tc>
        <w:tc>
          <w:tcPr>
            <w:tcW w:w="1514" w:type="dxa"/>
            <w:tcBorders>
              <w:top w:val="single" w:sz="6" w:space="0" w:color="7F7F7F"/>
              <w:left w:val="single" w:sz="6" w:space="0" w:color="7F7F7F"/>
              <w:bottom w:val="single" w:sz="6" w:space="0" w:color="7F7F7F"/>
              <w:right w:val="single" w:sz="6" w:space="0" w:color="7F7F7F"/>
            </w:tcBorders>
            <w:hideMark/>
          </w:tcPr>
          <w:p w:rsidR="00BA0346" w:rsidRPr="00A95203" w:rsidRDefault="00BA0346" w:rsidP="00534F16">
            <w:pPr>
              <w:widowControl/>
              <w:tabs>
                <w:tab w:val="left" w:pos="420"/>
              </w:tabs>
              <w:spacing w:before="100" w:beforeAutospacing="1" w:after="100" w:afterAutospacing="1"/>
              <w:jc w:val="center"/>
              <w:rPr>
                <w:kern w:val="0"/>
                <w:sz w:val="22"/>
                <w:szCs w:val="22"/>
              </w:rPr>
            </w:pPr>
            <w:r w:rsidRPr="00A95203">
              <w:rPr>
                <w:kern w:val="0"/>
                <w:sz w:val="22"/>
                <w:szCs w:val="22"/>
              </w:rPr>
              <w:t>0.3%</w:t>
            </w:r>
          </w:p>
        </w:tc>
      </w:tr>
      <w:tr w:rsidR="00BA0346" w:rsidRPr="00A95203" w:rsidTr="001E6C4C">
        <w:trPr>
          <w:trHeight w:val="203"/>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534F16">
            <w:pPr>
              <w:widowControl/>
              <w:jc w:val="left"/>
              <w:rPr>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534F16">
            <w:pPr>
              <w:widowControl/>
              <w:jc w:val="left"/>
              <w:rPr>
                <w:kern w:val="0"/>
                <w:sz w:val="22"/>
                <w:szCs w:val="22"/>
              </w:rPr>
            </w:pPr>
          </w:p>
        </w:tc>
        <w:tc>
          <w:tcPr>
            <w:tcW w:w="3029" w:type="dxa"/>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534F16">
            <w:pPr>
              <w:widowControl/>
              <w:tabs>
                <w:tab w:val="left" w:pos="420"/>
              </w:tabs>
              <w:spacing w:before="100" w:beforeAutospacing="1" w:after="100" w:afterAutospacing="1"/>
              <w:jc w:val="center"/>
              <w:rPr>
                <w:kern w:val="0"/>
                <w:sz w:val="22"/>
                <w:szCs w:val="22"/>
              </w:rPr>
            </w:pPr>
            <w:r w:rsidRPr="00A95203">
              <w:rPr>
                <w:kern w:val="0"/>
                <w:sz w:val="22"/>
                <w:szCs w:val="22"/>
              </w:rPr>
              <w:t>500</w:t>
            </w:r>
            <w:r w:rsidRPr="00A95203">
              <w:rPr>
                <w:kern w:val="0"/>
                <w:sz w:val="22"/>
                <w:szCs w:val="22"/>
              </w:rPr>
              <w:t>万元以上（含</w:t>
            </w:r>
            <w:r w:rsidRPr="00A95203">
              <w:rPr>
                <w:kern w:val="0"/>
                <w:sz w:val="22"/>
                <w:szCs w:val="22"/>
              </w:rPr>
              <w:t>500</w:t>
            </w:r>
            <w:r w:rsidRPr="00A95203">
              <w:rPr>
                <w:kern w:val="0"/>
                <w:sz w:val="22"/>
                <w:szCs w:val="22"/>
              </w:rPr>
              <w:t>万）</w:t>
            </w:r>
          </w:p>
        </w:tc>
        <w:tc>
          <w:tcPr>
            <w:tcW w:w="1514" w:type="dxa"/>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E21369">
            <w:pPr>
              <w:widowControl/>
              <w:tabs>
                <w:tab w:val="left" w:pos="420"/>
              </w:tabs>
              <w:spacing w:before="100" w:beforeAutospacing="1" w:after="100" w:afterAutospacing="1"/>
              <w:jc w:val="center"/>
              <w:rPr>
                <w:kern w:val="0"/>
                <w:sz w:val="22"/>
                <w:szCs w:val="22"/>
              </w:rPr>
            </w:pPr>
            <w:r w:rsidRPr="00A95203">
              <w:rPr>
                <w:kern w:val="0"/>
                <w:sz w:val="22"/>
                <w:szCs w:val="22"/>
              </w:rPr>
              <w:t>每笔交易</w:t>
            </w:r>
            <w:r w:rsidRPr="00A95203">
              <w:rPr>
                <w:kern w:val="0"/>
                <w:sz w:val="22"/>
                <w:szCs w:val="22"/>
              </w:rPr>
              <w:t>1000</w:t>
            </w:r>
            <w:r w:rsidRPr="00A95203">
              <w:rPr>
                <w:kern w:val="0"/>
                <w:sz w:val="22"/>
                <w:szCs w:val="22"/>
              </w:rPr>
              <w:t>元</w:t>
            </w:r>
          </w:p>
        </w:tc>
      </w:tr>
      <w:tr w:rsidR="00BA0346" w:rsidRPr="00A95203" w:rsidTr="003B7662">
        <w:trPr>
          <w:tblCellSpacing w:w="0" w:type="dxa"/>
        </w:trPr>
        <w:tc>
          <w:tcPr>
            <w:tcW w:w="1922" w:type="dxa"/>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534F16">
            <w:pPr>
              <w:widowControl/>
              <w:jc w:val="left"/>
              <w:rPr>
                <w:kern w:val="0"/>
                <w:sz w:val="22"/>
                <w:szCs w:val="22"/>
              </w:rPr>
            </w:pPr>
          </w:p>
        </w:tc>
        <w:tc>
          <w:tcPr>
            <w:tcW w:w="2010" w:type="dxa"/>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534F16">
            <w:pPr>
              <w:widowControl/>
              <w:jc w:val="left"/>
              <w:rPr>
                <w:kern w:val="0"/>
                <w:sz w:val="22"/>
                <w:szCs w:val="22"/>
              </w:rPr>
            </w:pPr>
          </w:p>
        </w:tc>
        <w:tc>
          <w:tcPr>
            <w:tcW w:w="3029" w:type="dxa"/>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534F16">
            <w:pPr>
              <w:widowControl/>
              <w:tabs>
                <w:tab w:val="left" w:pos="420"/>
              </w:tabs>
              <w:spacing w:before="100" w:beforeAutospacing="1" w:after="100" w:afterAutospacing="1"/>
              <w:jc w:val="center"/>
              <w:rPr>
                <w:kern w:val="0"/>
                <w:sz w:val="22"/>
                <w:szCs w:val="22"/>
              </w:rPr>
            </w:pPr>
          </w:p>
        </w:tc>
        <w:tc>
          <w:tcPr>
            <w:tcW w:w="1514" w:type="dxa"/>
            <w:tcBorders>
              <w:top w:val="single" w:sz="6" w:space="0" w:color="7F7F7F"/>
              <w:left w:val="single" w:sz="6" w:space="0" w:color="7F7F7F"/>
              <w:bottom w:val="single" w:sz="6" w:space="0" w:color="7F7F7F"/>
              <w:right w:val="single" w:sz="6" w:space="0" w:color="7F7F7F"/>
            </w:tcBorders>
            <w:hideMark/>
          </w:tcPr>
          <w:p w:rsidR="00BA0346" w:rsidRPr="00A95203" w:rsidRDefault="00BA0346" w:rsidP="00534F16">
            <w:pPr>
              <w:widowControl/>
              <w:tabs>
                <w:tab w:val="left" w:pos="420"/>
              </w:tabs>
              <w:spacing w:before="100" w:beforeAutospacing="1" w:after="100" w:afterAutospacing="1"/>
              <w:jc w:val="center"/>
              <w:rPr>
                <w:kern w:val="0"/>
                <w:sz w:val="22"/>
                <w:szCs w:val="22"/>
              </w:rPr>
            </w:pPr>
          </w:p>
        </w:tc>
      </w:tr>
      <w:tr w:rsidR="00BA0346" w:rsidRPr="00A95203" w:rsidTr="00C75A65">
        <w:trPr>
          <w:tblCellSpacing w:w="0" w:type="dxa"/>
        </w:trPr>
        <w:tc>
          <w:tcPr>
            <w:tcW w:w="1922" w:type="dxa"/>
            <w:vMerge w:val="restart"/>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380F1D">
            <w:pPr>
              <w:widowControl/>
              <w:jc w:val="left"/>
              <w:rPr>
                <w:kern w:val="0"/>
                <w:sz w:val="22"/>
                <w:szCs w:val="22"/>
              </w:rPr>
            </w:pPr>
            <w:r w:rsidRPr="00A95203">
              <w:rPr>
                <w:kern w:val="0"/>
                <w:sz w:val="22"/>
                <w:szCs w:val="22"/>
              </w:rPr>
              <w:lastRenderedPageBreak/>
              <w:t>交银货币</w:t>
            </w:r>
            <w:r w:rsidR="00380F1D">
              <w:rPr>
                <w:rFonts w:hint="eastAsia"/>
                <w:kern w:val="0"/>
                <w:sz w:val="22"/>
                <w:szCs w:val="22"/>
              </w:rPr>
              <w:t>、</w:t>
            </w:r>
            <w:r w:rsidRPr="00A95203">
              <w:rPr>
                <w:kern w:val="0"/>
                <w:sz w:val="22"/>
                <w:szCs w:val="22"/>
              </w:rPr>
              <w:t>交银增利</w:t>
            </w:r>
            <w:r w:rsidRPr="00A95203">
              <w:rPr>
                <w:kern w:val="0"/>
                <w:sz w:val="22"/>
                <w:szCs w:val="22"/>
              </w:rPr>
              <w:t>C</w:t>
            </w:r>
            <w:r w:rsidRPr="00A95203">
              <w:rPr>
                <w:kern w:val="0"/>
                <w:sz w:val="22"/>
                <w:szCs w:val="22"/>
              </w:rPr>
              <w:t>类基金份额</w:t>
            </w:r>
            <w:r w:rsidR="00380F1D">
              <w:rPr>
                <w:rFonts w:hint="eastAsia"/>
                <w:kern w:val="0"/>
                <w:sz w:val="22"/>
                <w:szCs w:val="22"/>
              </w:rPr>
              <w:t>、</w:t>
            </w:r>
            <w:r w:rsidRPr="00A95203">
              <w:rPr>
                <w:kern w:val="0"/>
                <w:sz w:val="22"/>
                <w:szCs w:val="22"/>
              </w:rPr>
              <w:t>交银双利</w:t>
            </w:r>
            <w:r w:rsidRPr="00A95203">
              <w:rPr>
                <w:kern w:val="0"/>
                <w:sz w:val="22"/>
                <w:szCs w:val="22"/>
              </w:rPr>
              <w:t>C</w:t>
            </w:r>
            <w:r w:rsidRPr="00A95203">
              <w:rPr>
                <w:kern w:val="0"/>
                <w:sz w:val="22"/>
                <w:szCs w:val="22"/>
              </w:rPr>
              <w:t>类基金份额</w:t>
            </w:r>
            <w:r w:rsidR="00380F1D">
              <w:rPr>
                <w:rFonts w:hint="eastAsia"/>
                <w:kern w:val="0"/>
                <w:sz w:val="22"/>
                <w:szCs w:val="22"/>
              </w:rPr>
              <w:t>、</w:t>
            </w:r>
            <w:r w:rsidRPr="00A95203">
              <w:rPr>
                <w:kern w:val="0"/>
                <w:sz w:val="22"/>
                <w:szCs w:val="22"/>
              </w:rPr>
              <w:t>交银纯债</w:t>
            </w:r>
            <w:r w:rsidRPr="00A95203">
              <w:rPr>
                <w:kern w:val="0"/>
                <w:sz w:val="22"/>
                <w:szCs w:val="22"/>
              </w:rPr>
              <w:t>C</w:t>
            </w:r>
            <w:r w:rsidRPr="00A95203">
              <w:rPr>
                <w:kern w:val="0"/>
                <w:sz w:val="22"/>
                <w:szCs w:val="22"/>
              </w:rPr>
              <w:t>类基金份额</w:t>
            </w:r>
            <w:r w:rsidR="00380F1D">
              <w:rPr>
                <w:rFonts w:hint="eastAsia"/>
                <w:kern w:val="0"/>
                <w:sz w:val="22"/>
                <w:szCs w:val="22"/>
              </w:rPr>
              <w:t>、</w:t>
            </w:r>
            <w:r w:rsidRPr="00A95203">
              <w:rPr>
                <w:kern w:val="0"/>
                <w:sz w:val="22"/>
                <w:szCs w:val="22"/>
              </w:rPr>
              <w:t>交银双轮动</w:t>
            </w:r>
            <w:r w:rsidRPr="00A95203">
              <w:rPr>
                <w:kern w:val="0"/>
                <w:sz w:val="22"/>
                <w:szCs w:val="22"/>
              </w:rPr>
              <w:t>C</w:t>
            </w:r>
            <w:r w:rsidRPr="00A95203">
              <w:rPr>
                <w:kern w:val="0"/>
                <w:sz w:val="22"/>
                <w:szCs w:val="22"/>
              </w:rPr>
              <w:t>类基金份额</w:t>
            </w:r>
            <w:r w:rsidR="00380F1D">
              <w:rPr>
                <w:rFonts w:hint="eastAsia"/>
                <w:kern w:val="0"/>
                <w:sz w:val="22"/>
                <w:szCs w:val="22"/>
              </w:rPr>
              <w:t>、</w:t>
            </w:r>
            <w:r w:rsidRPr="00A95203">
              <w:rPr>
                <w:kern w:val="0"/>
                <w:sz w:val="22"/>
                <w:szCs w:val="22"/>
              </w:rPr>
              <w:t>交银月月丰</w:t>
            </w:r>
            <w:r w:rsidRPr="00A95203">
              <w:rPr>
                <w:kern w:val="0"/>
                <w:sz w:val="22"/>
                <w:szCs w:val="22"/>
              </w:rPr>
              <w:t>C</w:t>
            </w:r>
            <w:r w:rsidRPr="00A95203">
              <w:rPr>
                <w:kern w:val="0"/>
                <w:sz w:val="22"/>
                <w:szCs w:val="22"/>
              </w:rPr>
              <w:t>类基金份额</w:t>
            </w:r>
            <w:r w:rsidR="00380F1D">
              <w:rPr>
                <w:rFonts w:hint="eastAsia"/>
                <w:kern w:val="0"/>
                <w:sz w:val="22"/>
                <w:szCs w:val="22"/>
              </w:rPr>
              <w:t>、</w:t>
            </w:r>
            <w:r w:rsidRPr="00A95203">
              <w:rPr>
                <w:kern w:val="0"/>
                <w:sz w:val="22"/>
                <w:szCs w:val="22"/>
              </w:rPr>
              <w:t>交银强化回报</w:t>
            </w:r>
            <w:r w:rsidRPr="00A95203">
              <w:rPr>
                <w:kern w:val="0"/>
                <w:sz w:val="22"/>
                <w:szCs w:val="22"/>
              </w:rPr>
              <w:t>C</w:t>
            </w:r>
            <w:r w:rsidRPr="00A95203">
              <w:rPr>
                <w:kern w:val="0"/>
                <w:sz w:val="22"/>
                <w:szCs w:val="22"/>
              </w:rPr>
              <w:t>类基金份额</w:t>
            </w:r>
          </w:p>
        </w:tc>
        <w:tc>
          <w:tcPr>
            <w:tcW w:w="2010" w:type="dxa"/>
            <w:vMerge w:val="restart"/>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B85AA7">
            <w:pPr>
              <w:widowControl/>
              <w:tabs>
                <w:tab w:val="left" w:pos="420"/>
              </w:tabs>
              <w:jc w:val="left"/>
              <w:rPr>
                <w:kern w:val="0"/>
                <w:sz w:val="22"/>
                <w:szCs w:val="22"/>
              </w:rPr>
            </w:pPr>
            <w:r w:rsidRPr="00A95203">
              <w:rPr>
                <w:kern w:val="0"/>
                <w:sz w:val="22"/>
                <w:szCs w:val="22"/>
              </w:rPr>
              <w:t>交银荣和保本</w:t>
            </w:r>
          </w:p>
        </w:tc>
        <w:tc>
          <w:tcPr>
            <w:tcW w:w="3029" w:type="dxa"/>
            <w:tcBorders>
              <w:top w:val="single" w:sz="6" w:space="0" w:color="7F7F7F"/>
              <w:left w:val="single" w:sz="6" w:space="0" w:color="7F7F7F"/>
              <w:bottom w:val="single" w:sz="6" w:space="0" w:color="7F7F7F"/>
              <w:right w:val="single" w:sz="6" w:space="0" w:color="7F7F7F"/>
            </w:tcBorders>
            <w:hideMark/>
          </w:tcPr>
          <w:p w:rsidR="00BA0346" w:rsidRPr="00A95203" w:rsidRDefault="00BA0346" w:rsidP="00C75A65">
            <w:pPr>
              <w:widowControl/>
              <w:tabs>
                <w:tab w:val="left" w:pos="420"/>
              </w:tabs>
              <w:spacing w:before="100" w:beforeAutospacing="1" w:after="100" w:afterAutospacing="1"/>
              <w:jc w:val="center"/>
              <w:rPr>
                <w:kern w:val="0"/>
                <w:sz w:val="22"/>
                <w:szCs w:val="22"/>
              </w:rPr>
            </w:pPr>
            <w:r w:rsidRPr="00A95203">
              <w:rPr>
                <w:kern w:val="0"/>
                <w:sz w:val="22"/>
                <w:szCs w:val="22"/>
              </w:rPr>
              <w:t>50</w:t>
            </w:r>
            <w:r w:rsidRPr="00A95203">
              <w:rPr>
                <w:kern w:val="0"/>
                <w:sz w:val="22"/>
                <w:szCs w:val="22"/>
              </w:rPr>
              <w:t>万元以下</w:t>
            </w:r>
          </w:p>
        </w:tc>
        <w:tc>
          <w:tcPr>
            <w:tcW w:w="1514" w:type="dxa"/>
            <w:tcBorders>
              <w:top w:val="single" w:sz="6" w:space="0" w:color="7F7F7F"/>
              <w:left w:val="single" w:sz="6" w:space="0" w:color="7F7F7F"/>
              <w:bottom w:val="single" w:sz="6" w:space="0" w:color="7F7F7F"/>
              <w:right w:val="single" w:sz="6" w:space="0" w:color="7F7F7F"/>
            </w:tcBorders>
            <w:hideMark/>
          </w:tcPr>
          <w:p w:rsidR="00BA0346" w:rsidRPr="00A95203" w:rsidRDefault="00BA0346" w:rsidP="00C75A65">
            <w:pPr>
              <w:widowControl/>
              <w:tabs>
                <w:tab w:val="left" w:pos="420"/>
              </w:tabs>
              <w:spacing w:before="100" w:beforeAutospacing="1" w:after="100" w:afterAutospacing="1"/>
              <w:jc w:val="center"/>
              <w:rPr>
                <w:kern w:val="0"/>
                <w:sz w:val="22"/>
                <w:szCs w:val="22"/>
              </w:rPr>
            </w:pPr>
            <w:r w:rsidRPr="00A95203">
              <w:rPr>
                <w:kern w:val="0"/>
                <w:sz w:val="22"/>
                <w:szCs w:val="22"/>
              </w:rPr>
              <w:t>1.0%</w:t>
            </w:r>
          </w:p>
        </w:tc>
      </w:tr>
      <w:tr w:rsidR="00BA0346" w:rsidRPr="00A95203" w:rsidTr="00C75A65">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C75A65">
            <w:pPr>
              <w:widowControl/>
              <w:jc w:val="left"/>
              <w:rPr>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C75A65">
            <w:pPr>
              <w:widowControl/>
              <w:jc w:val="left"/>
              <w:rPr>
                <w:kern w:val="0"/>
                <w:sz w:val="22"/>
                <w:szCs w:val="22"/>
              </w:rPr>
            </w:pPr>
          </w:p>
        </w:tc>
        <w:tc>
          <w:tcPr>
            <w:tcW w:w="3029" w:type="dxa"/>
            <w:tcBorders>
              <w:top w:val="single" w:sz="6" w:space="0" w:color="7F7F7F"/>
              <w:left w:val="single" w:sz="6" w:space="0" w:color="7F7F7F"/>
              <w:bottom w:val="single" w:sz="6" w:space="0" w:color="7F7F7F"/>
              <w:right w:val="single" w:sz="6" w:space="0" w:color="7F7F7F"/>
            </w:tcBorders>
            <w:hideMark/>
          </w:tcPr>
          <w:p w:rsidR="00BA0346" w:rsidRPr="00A95203" w:rsidRDefault="00BA0346" w:rsidP="00C75A65">
            <w:pPr>
              <w:widowControl/>
              <w:tabs>
                <w:tab w:val="left" w:pos="420"/>
              </w:tabs>
              <w:spacing w:before="100" w:beforeAutospacing="1" w:after="100" w:afterAutospacing="1"/>
              <w:jc w:val="center"/>
              <w:rPr>
                <w:kern w:val="0"/>
                <w:sz w:val="22"/>
                <w:szCs w:val="22"/>
              </w:rPr>
            </w:pPr>
            <w:r w:rsidRPr="00A95203">
              <w:rPr>
                <w:kern w:val="0"/>
                <w:sz w:val="22"/>
                <w:szCs w:val="22"/>
              </w:rPr>
              <w:t>50</w:t>
            </w:r>
            <w:r w:rsidRPr="00A95203">
              <w:rPr>
                <w:kern w:val="0"/>
                <w:sz w:val="22"/>
                <w:szCs w:val="22"/>
              </w:rPr>
              <w:t>万元（含）至</w:t>
            </w:r>
            <w:r w:rsidRPr="00A95203">
              <w:rPr>
                <w:kern w:val="0"/>
                <w:sz w:val="22"/>
                <w:szCs w:val="22"/>
              </w:rPr>
              <w:t>100</w:t>
            </w:r>
            <w:r w:rsidRPr="00A95203">
              <w:rPr>
                <w:kern w:val="0"/>
                <w:sz w:val="22"/>
                <w:szCs w:val="22"/>
              </w:rPr>
              <w:t>万元</w:t>
            </w:r>
          </w:p>
        </w:tc>
        <w:tc>
          <w:tcPr>
            <w:tcW w:w="1514" w:type="dxa"/>
            <w:tcBorders>
              <w:top w:val="single" w:sz="6" w:space="0" w:color="7F7F7F"/>
              <w:left w:val="single" w:sz="6" w:space="0" w:color="7F7F7F"/>
              <w:bottom w:val="single" w:sz="6" w:space="0" w:color="7F7F7F"/>
              <w:right w:val="single" w:sz="6" w:space="0" w:color="7F7F7F"/>
            </w:tcBorders>
            <w:hideMark/>
          </w:tcPr>
          <w:p w:rsidR="00BA0346" w:rsidRPr="00A95203" w:rsidRDefault="00BA0346" w:rsidP="00B60002">
            <w:pPr>
              <w:widowControl/>
              <w:tabs>
                <w:tab w:val="left" w:pos="420"/>
              </w:tabs>
              <w:spacing w:before="100" w:beforeAutospacing="1" w:after="100" w:afterAutospacing="1"/>
              <w:jc w:val="center"/>
              <w:rPr>
                <w:kern w:val="0"/>
                <w:sz w:val="22"/>
                <w:szCs w:val="22"/>
              </w:rPr>
            </w:pPr>
            <w:r w:rsidRPr="00A95203">
              <w:rPr>
                <w:kern w:val="0"/>
                <w:sz w:val="22"/>
                <w:szCs w:val="22"/>
              </w:rPr>
              <w:t>0.8%</w:t>
            </w:r>
          </w:p>
        </w:tc>
      </w:tr>
      <w:tr w:rsidR="00BA0346" w:rsidRPr="00A95203" w:rsidTr="00C75A65">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C75A65">
            <w:pPr>
              <w:widowControl/>
              <w:jc w:val="left"/>
              <w:rPr>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C75A65">
            <w:pPr>
              <w:widowControl/>
              <w:jc w:val="left"/>
              <w:rPr>
                <w:kern w:val="0"/>
                <w:sz w:val="22"/>
                <w:szCs w:val="22"/>
              </w:rPr>
            </w:pPr>
          </w:p>
        </w:tc>
        <w:tc>
          <w:tcPr>
            <w:tcW w:w="3029" w:type="dxa"/>
            <w:tcBorders>
              <w:top w:val="single" w:sz="6" w:space="0" w:color="7F7F7F"/>
              <w:left w:val="single" w:sz="6" w:space="0" w:color="7F7F7F"/>
              <w:bottom w:val="single" w:sz="6" w:space="0" w:color="7F7F7F"/>
              <w:right w:val="single" w:sz="6" w:space="0" w:color="7F7F7F"/>
            </w:tcBorders>
            <w:hideMark/>
          </w:tcPr>
          <w:p w:rsidR="00BA0346" w:rsidRPr="00A95203" w:rsidRDefault="00BA0346" w:rsidP="00C75A65">
            <w:pPr>
              <w:widowControl/>
              <w:tabs>
                <w:tab w:val="left" w:pos="420"/>
              </w:tabs>
              <w:spacing w:before="100" w:beforeAutospacing="1" w:after="100" w:afterAutospacing="1"/>
              <w:jc w:val="center"/>
              <w:rPr>
                <w:kern w:val="0"/>
                <w:sz w:val="22"/>
                <w:szCs w:val="22"/>
              </w:rPr>
            </w:pPr>
            <w:r w:rsidRPr="00A95203">
              <w:rPr>
                <w:kern w:val="0"/>
                <w:sz w:val="22"/>
                <w:szCs w:val="22"/>
              </w:rPr>
              <w:t>100</w:t>
            </w:r>
            <w:r w:rsidRPr="00A95203">
              <w:rPr>
                <w:kern w:val="0"/>
                <w:sz w:val="22"/>
                <w:szCs w:val="22"/>
              </w:rPr>
              <w:t>万元（含）至</w:t>
            </w:r>
            <w:r w:rsidRPr="00A95203">
              <w:rPr>
                <w:kern w:val="0"/>
                <w:sz w:val="22"/>
                <w:szCs w:val="22"/>
              </w:rPr>
              <w:t>200</w:t>
            </w:r>
            <w:r w:rsidRPr="00A95203">
              <w:rPr>
                <w:kern w:val="0"/>
                <w:sz w:val="22"/>
                <w:szCs w:val="22"/>
              </w:rPr>
              <w:t>万元</w:t>
            </w:r>
          </w:p>
        </w:tc>
        <w:tc>
          <w:tcPr>
            <w:tcW w:w="1514" w:type="dxa"/>
            <w:tcBorders>
              <w:top w:val="single" w:sz="6" w:space="0" w:color="7F7F7F"/>
              <w:left w:val="single" w:sz="6" w:space="0" w:color="7F7F7F"/>
              <w:bottom w:val="single" w:sz="6" w:space="0" w:color="7F7F7F"/>
              <w:right w:val="single" w:sz="6" w:space="0" w:color="7F7F7F"/>
            </w:tcBorders>
            <w:hideMark/>
          </w:tcPr>
          <w:p w:rsidR="00BA0346" w:rsidRPr="00A95203" w:rsidRDefault="00BA0346" w:rsidP="00B60002">
            <w:pPr>
              <w:widowControl/>
              <w:tabs>
                <w:tab w:val="left" w:pos="420"/>
              </w:tabs>
              <w:spacing w:before="100" w:beforeAutospacing="1" w:after="100" w:afterAutospacing="1"/>
              <w:jc w:val="center"/>
              <w:rPr>
                <w:kern w:val="0"/>
                <w:sz w:val="22"/>
                <w:szCs w:val="22"/>
              </w:rPr>
            </w:pPr>
            <w:r w:rsidRPr="00A95203">
              <w:rPr>
                <w:kern w:val="0"/>
                <w:sz w:val="22"/>
                <w:szCs w:val="22"/>
              </w:rPr>
              <w:t>0.6%</w:t>
            </w:r>
          </w:p>
        </w:tc>
      </w:tr>
      <w:tr w:rsidR="00BA0346" w:rsidRPr="00A95203" w:rsidTr="00C75A65">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C75A65">
            <w:pPr>
              <w:widowControl/>
              <w:jc w:val="left"/>
              <w:rPr>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C75A65">
            <w:pPr>
              <w:widowControl/>
              <w:jc w:val="left"/>
              <w:rPr>
                <w:kern w:val="0"/>
                <w:sz w:val="22"/>
                <w:szCs w:val="22"/>
              </w:rPr>
            </w:pPr>
          </w:p>
        </w:tc>
        <w:tc>
          <w:tcPr>
            <w:tcW w:w="3029" w:type="dxa"/>
            <w:tcBorders>
              <w:top w:val="single" w:sz="6" w:space="0" w:color="7F7F7F"/>
              <w:left w:val="single" w:sz="6" w:space="0" w:color="7F7F7F"/>
              <w:bottom w:val="single" w:sz="6" w:space="0" w:color="7F7F7F"/>
              <w:right w:val="single" w:sz="6" w:space="0" w:color="7F7F7F"/>
            </w:tcBorders>
            <w:hideMark/>
          </w:tcPr>
          <w:p w:rsidR="00BA0346" w:rsidRPr="00A95203" w:rsidRDefault="00BA0346" w:rsidP="00C75A65">
            <w:pPr>
              <w:widowControl/>
              <w:tabs>
                <w:tab w:val="left" w:pos="420"/>
              </w:tabs>
              <w:spacing w:before="100" w:beforeAutospacing="1" w:after="100" w:afterAutospacing="1"/>
              <w:jc w:val="center"/>
              <w:rPr>
                <w:kern w:val="0"/>
                <w:sz w:val="22"/>
                <w:szCs w:val="22"/>
              </w:rPr>
            </w:pPr>
            <w:r w:rsidRPr="00A95203">
              <w:rPr>
                <w:kern w:val="0"/>
                <w:sz w:val="22"/>
                <w:szCs w:val="22"/>
              </w:rPr>
              <w:t>200</w:t>
            </w:r>
            <w:r w:rsidRPr="00A95203">
              <w:rPr>
                <w:kern w:val="0"/>
                <w:sz w:val="22"/>
                <w:szCs w:val="22"/>
              </w:rPr>
              <w:t>万元（含）至</w:t>
            </w:r>
            <w:r w:rsidRPr="00A95203">
              <w:rPr>
                <w:kern w:val="0"/>
                <w:sz w:val="22"/>
                <w:szCs w:val="22"/>
              </w:rPr>
              <w:t>500</w:t>
            </w:r>
            <w:r w:rsidRPr="00A95203">
              <w:rPr>
                <w:kern w:val="0"/>
                <w:sz w:val="22"/>
                <w:szCs w:val="22"/>
              </w:rPr>
              <w:t>万元</w:t>
            </w:r>
          </w:p>
        </w:tc>
        <w:tc>
          <w:tcPr>
            <w:tcW w:w="1514" w:type="dxa"/>
            <w:tcBorders>
              <w:top w:val="single" w:sz="6" w:space="0" w:color="7F7F7F"/>
              <w:left w:val="single" w:sz="6" w:space="0" w:color="7F7F7F"/>
              <w:bottom w:val="single" w:sz="6" w:space="0" w:color="7F7F7F"/>
              <w:right w:val="single" w:sz="6" w:space="0" w:color="7F7F7F"/>
            </w:tcBorders>
            <w:hideMark/>
          </w:tcPr>
          <w:p w:rsidR="00BA0346" w:rsidRPr="00A95203" w:rsidRDefault="00BA0346" w:rsidP="00B60002">
            <w:pPr>
              <w:widowControl/>
              <w:tabs>
                <w:tab w:val="left" w:pos="420"/>
              </w:tabs>
              <w:spacing w:before="100" w:beforeAutospacing="1" w:after="100" w:afterAutospacing="1"/>
              <w:jc w:val="center"/>
              <w:rPr>
                <w:kern w:val="0"/>
                <w:sz w:val="22"/>
                <w:szCs w:val="22"/>
              </w:rPr>
            </w:pPr>
            <w:r w:rsidRPr="00A95203">
              <w:rPr>
                <w:kern w:val="0"/>
                <w:sz w:val="22"/>
                <w:szCs w:val="22"/>
              </w:rPr>
              <w:t>0.4%</w:t>
            </w:r>
          </w:p>
        </w:tc>
      </w:tr>
      <w:tr w:rsidR="00BA0346" w:rsidRPr="00A95203" w:rsidTr="00380F1D">
        <w:trPr>
          <w:trHeight w:val="1648"/>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C75A65">
            <w:pPr>
              <w:widowControl/>
              <w:jc w:val="left"/>
              <w:rPr>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C75A65">
            <w:pPr>
              <w:widowControl/>
              <w:jc w:val="left"/>
              <w:rPr>
                <w:kern w:val="0"/>
                <w:sz w:val="22"/>
                <w:szCs w:val="22"/>
              </w:rPr>
            </w:pPr>
          </w:p>
        </w:tc>
        <w:tc>
          <w:tcPr>
            <w:tcW w:w="3029" w:type="dxa"/>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C75A65">
            <w:pPr>
              <w:widowControl/>
              <w:tabs>
                <w:tab w:val="left" w:pos="420"/>
              </w:tabs>
              <w:spacing w:before="100" w:beforeAutospacing="1" w:after="100" w:afterAutospacing="1"/>
              <w:jc w:val="center"/>
              <w:rPr>
                <w:kern w:val="0"/>
                <w:sz w:val="22"/>
                <w:szCs w:val="22"/>
              </w:rPr>
            </w:pPr>
            <w:r w:rsidRPr="00A95203">
              <w:rPr>
                <w:kern w:val="0"/>
                <w:sz w:val="22"/>
                <w:szCs w:val="22"/>
              </w:rPr>
              <w:t>500</w:t>
            </w:r>
            <w:r w:rsidRPr="00A95203">
              <w:rPr>
                <w:kern w:val="0"/>
                <w:sz w:val="22"/>
                <w:szCs w:val="22"/>
              </w:rPr>
              <w:t>万元以上（含</w:t>
            </w:r>
            <w:r w:rsidRPr="00A95203">
              <w:rPr>
                <w:kern w:val="0"/>
                <w:sz w:val="22"/>
                <w:szCs w:val="22"/>
              </w:rPr>
              <w:t>500</w:t>
            </w:r>
            <w:r w:rsidRPr="00A95203">
              <w:rPr>
                <w:kern w:val="0"/>
                <w:sz w:val="22"/>
                <w:szCs w:val="22"/>
              </w:rPr>
              <w:t>万）</w:t>
            </w:r>
          </w:p>
        </w:tc>
        <w:tc>
          <w:tcPr>
            <w:tcW w:w="1514" w:type="dxa"/>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C75A65">
            <w:pPr>
              <w:widowControl/>
              <w:tabs>
                <w:tab w:val="left" w:pos="420"/>
              </w:tabs>
              <w:spacing w:before="100" w:beforeAutospacing="1" w:after="100" w:afterAutospacing="1"/>
              <w:jc w:val="center"/>
              <w:rPr>
                <w:kern w:val="0"/>
                <w:sz w:val="22"/>
                <w:szCs w:val="22"/>
              </w:rPr>
            </w:pPr>
            <w:r w:rsidRPr="00A95203">
              <w:rPr>
                <w:kern w:val="0"/>
                <w:sz w:val="22"/>
                <w:szCs w:val="22"/>
              </w:rPr>
              <w:t>每笔交易</w:t>
            </w:r>
            <w:r w:rsidRPr="00A95203">
              <w:rPr>
                <w:kern w:val="0"/>
                <w:sz w:val="22"/>
                <w:szCs w:val="22"/>
              </w:rPr>
              <w:t>1000</w:t>
            </w:r>
            <w:r w:rsidRPr="00A95203">
              <w:rPr>
                <w:kern w:val="0"/>
                <w:sz w:val="22"/>
                <w:szCs w:val="22"/>
              </w:rPr>
              <w:t>元</w:t>
            </w:r>
          </w:p>
        </w:tc>
      </w:tr>
      <w:tr w:rsidR="00BA0346" w:rsidRPr="00A95203" w:rsidTr="001E6C4C">
        <w:trPr>
          <w:trHeight w:val="325"/>
          <w:tblCellSpacing w:w="0" w:type="dxa"/>
        </w:trPr>
        <w:tc>
          <w:tcPr>
            <w:tcW w:w="1922" w:type="dxa"/>
            <w:vMerge w:val="restart"/>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380F1D">
            <w:pPr>
              <w:widowControl/>
              <w:jc w:val="left"/>
              <w:rPr>
                <w:kern w:val="0"/>
                <w:sz w:val="22"/>
                <w:szCs w:val="22"/>
              </w:rPr>
            </w:pPr>
            <w:r w:rsidRPr="00A95203">
              <w:rPr>
                <w:kern w:val="0"/>
                <w:sz w:val="22"/>
                <w:szCs w:val="22"/>
              </w:rPr>
              <w:t>交银货币</w:t>
            </w:r>
            <w:r w:rsidR="00380F1D">
              <w:rPr>
                <w:rFonts w:hint="eastAsia"/>
                <w:kern w:val="0"/>
                <w:sz w:val="22"/>
                <w:szCs w:val="22"/>
              </w:rPr>
              <w:t>、</w:t>
            </w:r>
            <w:r w:rsidRPr="00A95203">
              <w:rPr>
                <w:kern w:val="0"/>
                <w:sz w:val="22"/>
                <w:szCs w:val="22"/>
              </w:rPr>
              <w:t>交银增利</w:t>
            </w:r>
            <w:r w:rsidRPr="00A95203">
              <w:rPr>
                <w:kern w:val="0"/>
                <w:sz w:val="22"/>
                <w:szCs w:val="22"/>
              </w:rPr>
              <w:t>C</w:t>
            </w:r>
            <w:r w:rsidRPr="00A95203">
              <w:rPr>
                <w:kern w:val="0"/>
                <w:sz w:val="22"/>
                <w:szCs w:val="22"/>
              </w:rPr>
              <w:t>类基金份额</w:t>
            </w:r>
            <w:r w:rsidR="00380F1D">
              <w:rPr>
                <w:rFonts w:hint="eastAsia"/>
                <w:kern w:val="0"/>
                <w:sz w:val="22"/>
                <w:szCs w:val="22"/>
              </w:rPr>
              <w:t>、</w:t>
            </w:r>
            <w:r w:rsidRPr="00A95203">
              <w:rPr>
                <w:kern w:val="0"/>
                <w:sz w:val="22"/>
                <w:szCs w:val="22"/>
              </w:rPr>
              <w:t>交银双利</w:t>
            </w:r>
            <w:r w:rsidRPr="00A95203">
              <w:rPr>
                <w:kern w:val="0"/>
                <w:sz w:val="22"/>
                <w:szCs w:val="22"/>
              </w:rPr>
              <w:t>C</w:t>
            </w:r>
            <w:r w:rsidRPr="00A95203">
              <w:rPr>
                <w:kern w:val="0"/>
                <w:sz w:val="22"/>
                <w:szCs w:val="22"/>
              </w:rPr>
              <w:t>类基金份额</w:t>
            </w:r>
            <w:r w:rsidR="00380F1D">
              <w:rPr>
                <w:rFonts w:hint="eastAsia"/>
                <w:kern w:val="0"/>
                <w:sz w:val="22"/>
                <w:szCs w:val="22"/>
              </w:rPr>
              <w:t>、</w:t>
            </w:r>
            <w:r w:rsidRPr="00A95203">
              <w:rPr>
                <w:kern w:val="0"/>
                <w:sz w:val="22"/>
                <w:szCs w:val="22"/>
              </w:rPr>
              <w:t>交银纯债</w:t>
            </w:r>
            <w:r w:rsidRPr="00A95203">
              <w:rPr>
                <w:kern w:val="0"/>
                <w:sz w:val="22"/>
                <w:szCs w:val="22"/>
              </w:rPr>
              <w:t>C</w:t>
            </w:r>
            <w:r w:rsidRPr="00A95203">
              <w:rPr>
                <w:kern w:val="0"/>
                <w:sz w:val="22"/>
                <w:szCs w:val="22"/>
              </w:rPr>
              <w:t>类基金份额</w:t>
            </w:r>
            <w:r w:rsidR="00380F1D">
              <w:rPr>
                <w:rFonts w:hint="eastAsia"/>
                <w:kern w:val="0"/>
                <w:sz w:val="22"/>
                <w:szCs w:val="22"/>
              </w:rPr>
              <w:t>、</w:t>
            </w:r>
            <w:r w:rsidRPr="00A95203">
              <w:rPr>
                <w:kern w:val="0"/>
                <w:sz w:val="22"/>
                <w:szCs w:val="22"/>
              </w:rPr>
              <w:t>交银双轮动</w:t>
            </w:r>
            <w:r w:rsidRPr="00A95203">
              <w:rPr>
                <w:kern w:val="0"/>
                <w:sz w:val="22"/>
                <w:szCs w:val="22"/>
              </w:rPr>
              <w:t>C</w:t>
            </w:r>
            <w:r w:rsidRPr="00A95203">
              <w:rPr>
                <w:kern w:val="0"/>
                <w:sz w:val="22"/>
                <w:szCs w:val="22"/>
              </w:rPr>
              <w:t>类基金份额</w:t>
            </w:r>
            <w:r w:rsidR="00380F1D">
              <w:rPr>
                <w:rFonts w:hint="eastAsia"/>
                <w:kern w:val="0"/>
                <w:sz w:val="22"/>
                <w:szCs w:val="22"/>
              </w:rPr>
              <w:t>、</w:t>
            </w:r>
            <w:r w:rsidRPr="00A95203">
              <w:rPr>
                <w:kern w:val="0"/>
                <w:sz w:val="22"/>
                <w:szCs w:val="22"/>
              </w:rPr>
              <w:t>交银月月丰</w:t>
            </w:r>
            <w:r w:rsidRPr="00A95203">
              <w:rPr>
                <w:kern w:val="0"/>
                <w:sz w:val="22"/>
                <w:szCs w:val="22"/>
              </w:rPr>
              <w:t>C</w:t>
            </w:r>
            <w:r w:rsidRPr="00A95203">
              <w:rPr>
                <w:kern w:val="0"/>
                <w:sz w:val="22"/>
                <w:szCs w:val="22"/>
              </w:rPr>
              <w:t>类基金份额</w:t>
            </w:r>
            <w:r w:rsidR="00380F1D">
              <w:rPr>
                <w:rFonts w:hint="eastAsia"/>
                <w:kern w:val="0"/>
                <w:sz w:val="22"/>
                <w:szCs w:val="22"/>
              </w:rPr>
              <w:t>、</w:t>
            </w:r>
            <w:r w:rsidRPr="00A95203">
              <w:rPr>
                <w:kern w:val="0"/>
                <w:sz w:val="22"/>
                <w:szCs w:val="22"/>
              </w:rPr>
              <w:t>交银强化回报</w:t>
            </w:r>
            <w:r w:rsidRPr="00A95203">
              <w:rPr>
                <w:kern w:val="0"/>
                <w:sz w:val="22"/>
                <w:szCs w:val="22"/>
              </w:rPr>
              <w:t>C</w:t>
            </w:r>
            <w:r w:rsidRPr="00A95203">
              <w:rPr>
                <w:kern w:val="0"/>
                <w:sz w:val="22"/>
                <w:szCs w:val="22"/>
              </w:rPr>
              <w:t>类基金份额</w:t>
            </w:r>
          </w:p>
        </w:tc>
        <w:tc>
          <w:tcPr>
            <w:tcW w:w="2010" w:type="dxa"/>
            <w:vMerge w:val="restart"/>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C75A65">
            <w:pPr>
              <w:widowControl/>
              <w:tabs>
                <w:tab w:val="left" w:pos="420"/>
              </w:tabs>
              <w:jc w:val="left"/>
              <w:rPr>
                <w:kern w:val="0"/>
                <w:sz w:val="22"/>
                <w:szCs w:val="22"/>
              </w:rPr>
            </w:pPr>
            <w:r w:rsidRPr="00A95203">
              <w:rPr>
                <w:kern w:val="0"/>
                <w:sz w:val="22"/>
                <w:szCs w:val="22"/>
              </w:rPr>
              <w:t>交银</w:t>
            </w:r>
            <w:r>
              <w:rPr>
                <w:rFonts w:hint="eastAsia"/>
                <w:kern w:val="0"/>
                <w:sz w:val="22"/>
                <w:szCs w:val="22"/>
              </w:rPr>
              <w:t>科技创新</w:t>
            </w:r>
          </w:p>
        </w:tc>
        <w:tc>
          <w:tcPr>
            <w:tcW w:w="3029" w:type="dxa"/>
            <w:tcBorders>
              <w:top w:val="single" w:sz="6" w:space="0" w:color="7F7F7F"/>
              <w:left w:val="single" w:sz="6" w:space="0" w:color="7F7F7F"/>
              <w:bottom w:val="single" w:sz="6" w:space="0" w:color="7F7F7F"/>
              <w:right w:val="single" w:sz="6" w:space="0" w:color="7F7F7F"/>
            </w:tcBorders>
            <w:hideMark/>
          </w:tcPr>
          <w:p w:rsidR="00BA0346" w:rsidRPr="00A95203" w:rsidRDefault="00BA0346" w:rsidP="00C75A65">
            <w:pPr>
              <w:widowControl/>
              <w:tabs>
                <w:tab w:val="left" w:pos="420"/>
              </w:tabs>
              <w:spacing w:before="100" w:beforeAutospacing="1" w:after="100" w:afterAutospacing="1"/>
              <w:jc w:val="center"/>
              <w:rPr>
                <w:kern w:val="0"/>
                <w:sz w:val="22"/>
                <w:szCs w:val="22"/>
              </w:rPr>
            </w:pPr>
            <w:r w:rsidRPr="00910B71">
              <w:rPr>
                <w:rFonts w:hint="eastAsia"/>
                <w:sz w:val="24"/>
              </w:rPr>
              <w:t>100</w:t>
            </w:r>
            <w:r w:rsidRPr="00910B71">
              <w:rPr>
                <w:rFonts w:hAnsi="宋体"/>
                <w:sz w:val="24"/>
              </w:rPr>
              <w:t>万元以下</w:t>
            </w:r>
          </w:p>
        </w:tc>
        <w:tc>
          <w:tcPr>
            <w:tcW w:w="1514" w:type="dxa"/>
            <w:tcBorders>
              <w:top w:val="single" w:sz="6" w:space="0" w:color="7F7F7F"/>
              <w:left w:val="single" w:sz="6" w:space="0" w:color="7F7F7F"/>
              <w:bottom w:val="single" w:sz="6" w:space="0" w:color="7F7F7F"/>
              <w:right w:val="single" w:sz="6" w:space="0" w:color="7F7F7F"/>
            </w:tcBorders>
            <w:hideMark/>
          </w:tcPr>
          <w:p w:rsidR="00BA0346" w:rsidRPr="00A95203" w:rsidRDefault="00BA0346" w:rsidP="00C75A65">
            <w:pPr>
              <w:widowControl/>
              <w:tabs>
                <w:tab w:val="left" w:pos="420"/>
              </w:tabs>
              <w:spacing w:before="100" w:beforeAutospacing="1" w:after="100" w:afterAutospacing="1"/>
              <w:jc w:val="center"/>
              <w:rPr>
                <w:kern w:val="0"/>
                <w:sz w:val="22"/>
                <w:szCs w:val="22"/>
              </w:rPr>
            </w:pPr>
            <w:r w:rsidRPr="00910B71">
              <w:rPr>
                <w:sz w:val="24"/>
              </w:rPr>
              <w:t>1.5%</w:t>
            </w:r>
          </w:p>
        </w:tc>
      </w:tr>
      <w:tr w:rsidR="00BA0346" w:rsidRPr="00A95203" w:rsidTr="001E6C4C">
        <w:trPr>
          <w:trHeight w:val="260"/>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C75A65">
            <w:pPr>
              <w:widowControl/>
              <w:jc w:val="left"/>
              <w:rPr>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C75A65">
            <w:pPr>
              <w:widowControl/>
              <w:jc w:val="left"/>
              <w:rPr>
                <w:kern w:val="0"/>
                <w:sz w:val="22"/>
                <w:szCs w:val="22"/>
              </w:rPr>
            </w:pPr>
          </w:p>
        </w:tc>
        <w:tc>
          <w:tcPr>
            <w:tcW w:w="3029" w:type="dxa"/>
            <w:tcBorders>
              <w:top w:val="single" w:sz="6" w:space="0" w:color="7F7F7F"/>
              <w:left w:val="single" w:sz="6" w:space="0" w:color="7F7F7F"/>
              <w:bottom w:val="single" w:sz="6" w:space="0" w:color="7F7F7F"/>
              <w:right w:val="single" w:sz="6" w:space="0" w:color="7F7F7F"/>
            </w:tcBorders>
            <w:hideMark/>
          </w:tcPr>
          <w:p w:rsidR="00BA0346" w:rsidRPr="00A95203" w:rsidRDefault="00BA0346" w:rsidP="00C75A65">
            <w:pPr>
              <w:widowControl/>
              <w:tabs>
                <w:tab w:val="left" w:pos="420"/>
              </w:tabs>
              <w:spacing w:before="100" w:beforeAutospacing="1" w:after="100" w:afterAutospacing="1"/>
              <w:jc w:val="center"/>
              <w:rPr>
                <w:kern w:val="0"/>
                <w:sz w:val="22"/>
                <w:szCs w:val="22"/>
              </w:rPr>
            </w:pPr>
            <w:r w:rsidRPr="00910B71">
              <w:rPr>
                <w:sz w:val="24"/>
              </w:rPr>
              <w:t>100</w:t>
            </w:r>
            <w:r w:rsidRPr="00910B71">
              <w:rPr>
                <w:rFonts w:hAnsi="宋体"/>
                <w:sz w:val="24"/>
              </w:rPr>
              <w:t>万元（含）至</w:t>
            </w:r>
            <w:r w:rsidRPr="00910B71">
              <w:rPr>
                <w:sz w:val="24"/>
              </w:rPr>
              <w:t>200</w:t>
            </w:r>
            <w:r w:rsidRPr="00910B71">
              <w:rPr>
                <w:rFonts w:hAnsi="宋体"/>
                <w:sz w:val="24"/>
              </w:rPr>
              <w:t>万元</w:t>
            </w:r>
          </w:p>
        </w:tc>
        <w:tc>
          <w:tcPr>
            <w:tcW w:w="1514" w:type="dxa"/>
            <w:tcBorders>
              <w:top w:val="single" w:sz="6" w:space="0" w:color="7F7F7F"/>
              <w:left w:val="single" w:sz="6" w:space="0" w:color="7F7F7F"/>
              <w:bottom w:val="single" w:sz="6" w:space="0" w:color="7F7F7F"/>
              <w:right w:val="single" w:sz="6" w:space="0" w:color="7F7F7F"/>
            </w:tcBorders>
            <w:hideMark/>
          </w:tcPr>
          <w:p w:rsidR="00BA0346" w:rsidRPr="00A95203" w:rsidRDefault="00BA0346" w:rsidP="00C75A65">
            <w:pPr>
              <w:widowControl/>
              <w:tabs>
                <w:tab w:val="left" w:pos="420"/>
              </w:tabs>
              <w:spacing w:before="100" w:beforeAutospacing="1" w:after="100" w:afterAutospacing="1"/>
              <w:jc w:val="center"/>
              <w:rPr>
                <w:kern w:val="0"/>
                <w:sz w:val="22"/>
                <w:szCs w:val="22"/>
              </w:rPr>
            </w:pPr>
            <w:r w:rsidRPr="00910B71">
              <w:rPr>
                <w:rFonts w:hint="eastAsia"/>
                <w:sz w:val="24"/>
              </w:rPr>
              <w:t>1.2</w:t>
            </w:r>
            <w:r w:rsidRPr="00910B71">
              <w:rPr>
                <w:sz w:val="24"/>
              </w:rPr>
              <w:t>%</w:t>
            </w:r>
          </w:p>
        </w:tc>
      </w:tr>
      <w:tr w:rsidR="00BA0346" w:rsidRPr="00A95203" w:rsidTr="001E6C4C">
        <w:trPr>
          <w:trHeight w:val="350"/>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C75A65">
            <w:pPr>
              <w:widowControl/>
              <w:jc w:val="left"/>
              <w:rPr>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C75A65">
            <w:pPr>
              <w:widowControl/>
              <w:jc w:val="left"/>
              <w:rPr>
                <w:kern w:val="0"/>
                <w:sz w:val="22"/>
                <w:szCs w:val="22"/>
              </w:rPr>
            </w:pPr>
          </w:p>
        </w:tc>
        <w:tc>
          <w:tcPr>
            <w:tcW w:w="3029" w:type="dxa"/>
            <w:tcBorders>
              <w:top w:val="single" w:sz="6" w:space="0" w:color="7F7F7F"/>
              <w:left w:val="single" w:sz="6" w:space="0" w:color="7F7F7F"/>
              <w:bottom w:val="single" w:sz="6" w:space="0" w:color="7F7F7F"/>
              <w:right w:val="single" w:sz="6" w:space="0" w:color="7F7F7F"/>
            </w:tcBorders>
            <w:hideMark/>
          </w:tcPr>
          <w:p w:rsidR="00BA0346" w:rsidRPr="00A95203" w:rsidRDefault="00BA0346" w:rsidP="00C75A65">
            <w:pPr>
              <w:widowControl/>
              <w:tabs>
                <w:tab w:val="left" w:pos="420"/>
              </w:tabs>
              <w:spacing w:before="100" w:beforeAutospacing="1" w:after="100" w:afterAutospacing="1"/>
              <w:jc w:val="center"/>
              <w:rPr>
                <w:kern w:val="0"/>
                <w:sz w:val="22"/>
                <w:szCs w:val="22"/>
              </w:rPr>
            </w:pPr>
            <w:r w:rsidRPr="00910B71">
              <w:rPr>
                <w:sz w:val="24"/>
              </w:rPr>
              <w:t>200</w:t>
            </w:r>
            <w:r w:rsidRPr="00910B71">
              <w:rPr>
                <w:rFonts w:hAnsi="宋体"/>
                <w:sz w:val="24"/>
              </w:rPr>
              <w:t>万元（含）至</w:t>
            </w:r>
            <w:r w:rsidRPr="00910B71">
              <w:rPr>
                <w:sz w:val="24"/>
              </w:rPr>
              <w:t>500</w:t>
            </w:r>
            <w:r w:rsidRPr="00910B71">
              <w:rPr>
                <w:rFonts w:hAnsi="宋体"/>
                <w:sz w:val="24"/>
              </w:rPr>
              <w:t>万元</w:t>
            </w:r>
          </w:p>
        </w:tc>
        <w:tc>
          <w:tcPr>
            <w:tcW w:w="1514" w:type="dxa"/>
            <w:tcBorders>
              <w:top w:val="single" w:sz="6" w:space="0" w:color="7F7F7F"/>
              <w:left w:val="single" w:sz="6" w:space="0" w:color="7F7F7F"/>
              <w:bottom w:val="single" w:sz="6" w:space="0" w:color="7F7F7F"/>
              <w:right w:val="single" w:sz="6" w:space="0" w:color="7F7F7F"/>
            </w:tcBorders>
            <w:hideMark/>
          </w:tcPr>
          <w:p w:rsidR="00BA0346" w:rsidRPr="00A95203" w:rsidRDefault="00BA0346" w:rsidP="00C75A65">
            <w:pPr>
              <w:widowControl/>
              <w:tabs>
                <w:tab w:val="left" w:pos="420"/>
              </w:tabs>
              <w:spacing w:before="100" w:beforeAutospacing="1" w:after="100" w:afterAutospacing="1"/>
              <w:jc w:val="center"/>
              <w:rPr>
                <w:kern w:val="0"/>
                <w:sz w:val="22"/>
                <w:szCs w:val="22"/>
              </w:rPr>
            </w:pPr>
            <w:r w:rsidRPr="00910B71">
              <w:rPr>
                <w:sz w:val="24"/>
              </w:rPr>
              <w:t>0.5%</w:t>
            </w:r>
          </w:p>
        </w:tc>
      </w:tr>
      <w:tr w:rsidR="00BA0346" w:rsidRPr="00A95203" w:rsidTr="00C75A65">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C75A65">
            <w:pPr>
              <w:widowControl/>
              <w:jc w:val="left"/>
              <w:rPr>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C75A65">
            <w:pPr>
              <w:widowControl/>
              <w:jc w:val="left"/>
              <w:rPr>
                <w:kern w:val="0"/>
                <w:sz w:val="22"/>
                <w:szCs w:val="22"/>
              </w:rPr>
            </w:pPr>
          </w:p>
        </w:tc>
        <w:tc>
          <w:tcPr>
            <w:tcW w:w="3029" w:type="dxa"/>
            <w:tcBorders>
              <w:top w:val="single" w:sz="6" w:space="0" w:color="7F7F7F"/>
              <w:left w:val="single" w:sz="6" w:space="0" w:color="7F7F7F"/>
              <w:bottom w:val="single" w:sz="6" w:space="0" w:color="7F7F7F"/>
              <w:right w:val="single" w:sz="6" w:space="0" w:color="7F7F7F"/>
            </w:tcBorders>
            <w:hideMark/>
          </w:tcPr>
          <w:p w:rsidR="00BA0346" w:rsidRPr="00A95203" w:rsidRDefault="00BA0346" w:rsidP="00C75A65">
            <w:pPr>
              <w:widowControl/>
              <w:tabs>
                <w:tab w:val="left" w:pos="420"/>
              </w:tabs>
              <w:spacing w:before="100" w:beforeAutospacing="1" w:after="100" w:afterAutospacing="1"/>
              <w:jc w:val="center"/>
              <w:rPr>
                <w:kern w:val="0"/>
                <w:sz w:val="22"/>
                <w:szCs w:val="22"/>
              </w:rPr>
            </w:pPr>
            <w:r w:rsidRPr="00910B71">
              <w:rPr>
                <w:sz w:val="24"/>
              </w:rPr>
              <w:t>500</w:t>
            </w:r>
            <w:r w:rsidRPr="00910B71">
              <w:rPr>
                <w:rFonts w:hAnsi="宋体"/>
                <w:sz w:val="24"/>
              </w:rPr>
              <w:t>万元以上（含</w:t>
            </w:r>
            <w:r w:rsidRPr="00910B71">
              <w:rPr>
                <w:sz w:val="24"/>
              </w:rPr>
              <w:t>500</w:t>
            </w:r>
            <w:r w:rsidRPr="00910B71">
              <w:rPr>
                <w:rFonts w:hAnsi="宋体"/>
                <w:sz w:val="24"/>
              </w:rPr>
              <w:t>万）</w:t>
            </w:r>
          </w:p>
        </w:tc>
        <w:tc>
          <w:tcPr>
            <w:tcW w:w="1514" w:type="dxa"/>
            <w:tcBorders>
              <w:top w:val="single" w:sz="6" w:space="0" w:color="7F7F7F"/>
              <w:left w:val="single" w:sz="6" w:space="0" w:color="7F7F7F"/>
              <w:bottom w:val="single" w:sz="6" w:space="0" w:color="7F7F7F"/>
              <w:right w:val="single" w:sz="6" w:space="0" w:color="7F7F7F"/>
            </w:tcBorders>
            <w:hideMark/>
          </w:tcPr>
          <w:p w:rsidR="00BA0346" w:rsidRPr="00A95203" w:rsidRDefault="00BA0346" w:rsidP="00C75A65">
            <w:pPr>
              <w:widowControl/>
              <w:tabs>
                <w:tab w:val="left" w:pos="420"/>
              </w:tabs>
              <w:spacing w:before="100" w:beforeAutospacing="1" w:after="100" w:afterAutospacing="1"/>
              <w:jc w:val="center"/>
              <w:rPr>
                <w:kern w:val="0"/>
                <w:sz w:val="22"/>
                <w:szCs w:val="22"/>
              </w:rPr>
            </w:pPr>
            <w:r w:rsidRPr="00910B71">
              <w:rPr>
                <w:rFonts w:hAnsi="宋体"/>
                <w:sz w:val="24"/>
              </w:rPr>
              <w:t>每笔交易</w:t>
            </w:r>
            <w:r w:rsidRPr="00910B71">
              <w:rPr>
                <w:sz w:val="24"/>
              </w:rPr>
              <w:t>1000</w:t>
            </w:r>
            <w:r w:rsidRPr="00910B71">
              <w:rPr>
                <w:rFonts w:hAnsi="宋体"/>
                <w:sz w:val="24"/>
              </w:rPr>
              <w:t>元</w:t>
            </w:r>
          </w:p>
        </w:tc>
      </w:tr>
      <w:tr w:rsidR="00BA0346" w:rsidRPr="00A95203" w:rsidTr="00C75A65">
        <w:trPr>
          <w:tblCellSpacing w:w="0" w:type="dxa"/>
        </w:trPr>
        <w:tc>
          <w:tcPr>
            <w:tcW w:w="1922" w:type="dxa"/>
            <w:vMerge w:val="restart"/>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3A3FB5">
            <w:pPr>
              <w:widowControl/>
              <w:tabs>
                <w:tab w:val="left" w:pos="420"/>
              </w:tabs>
              <w:jc w:val="left"/>
              <w:rPr>
                <w:kern w:val="0"/>
                <w:sz w:val="22"/>
                <w:szCs w:val="22"/>
              </w:rPr>
            </w:pPr>
            <w:r w:rsidRPr="00A95203">
              <w:rPr>
                <w:kern w:val="0"/>
                <w:sz w:val="22"/>
                <w:szCs w:val="22"/>
              </w:rPr>
              <w:t>交银荣和保本</w:t>
            </w:r>
          </w:p>
        </w:tc>
        <w:tc>
          <w:tcPr>
            <w:tcW w:w="2010" w:type="dxa"/>
            <w:vMerge w:val="restart"/>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3A3FB5">
            <w:pPr>
              <w:widowControl/>
              <w:tabs>
                <w:tab w:val="left" w:pos="420"/>
              </w:tabs>
              <w:jc w:val="left"/>
              <w:rPr>
                <w:kern w:val="0"/>
                <w:sz w:val="22"/>
                <w:szCs w:val="22"/>
              </w:rPr>
            </w:pPr>
            <w:r w:rsidRPr="00A95203">
              <w:rPr>
                <w:kern w:val="0"/>
                <w:sz w:val="22"/>
                <w:szCs w:val="22"/>
              </w:rPr>
              <w:t>前端收费模式下</w:t>
            </w:r>
          </w:p>
          <w:p w:rsidR="00BA0346" w:rsidRPr="00A95203" w:rsidRDefault="00BA0346" w:rsidP="003A3FB5">
            <w:pPr>
              <w:widowControl/>
              <w:tabs>
                <w:tab w:val="left" w:pos="420"/>
              </w:tabs>
              <w:jc w:val="left"/>
              <w:rPr>
                <w:kern w:val="0"/>
                <w:sz w:val="22"/>
                <w:szCs w:val="22"/>
              </w:rPr>
            </w:pPr>
            <w:r w:rsidRPr="00A95203">
              <w:rPr>
                <w:kern w:val="0"/>
                <w:sz w:val="22"/>
                <w:szCs w:val="22"/>
              </w:rPr>
              <w:t>交银新成长</w:t>
            </w:r>
          </w:p>
        </w:tc>
        <w:tc>
          <w:tcPr>
            <w:tcW w:w="3029" w:type="dxa"/>
            <w:tcBorders>
              <w:top w:val="single" w:sz="6" w:space="0" w:color="7F7F7F"/>
              <w:left w:val="single" w:sz="6" w:space="0" w:color="7F7F7F"/>
              <w:bottom w:val="single" w:sz="6" w:space="0" w:color="7F7F7F"/>
              <w:right w:val="single" w:sz="6" w:space="0" w:color="7F7F7F"/>
            </w:tcBorders>
            <w:hideMark/>
          </w:tcPr>
          <w:p w:rsidR="00BA0346" w:rsidRPr="00A95203" w:rsidRDefault="00BA0346" w:rsidP="00C75A65">
            <w:pPr>
              <w:widowControl/>
              <w:tabs>
                <w:tab w:val="left" w:pos="420"/>
              </w:tabs>
              <w:spacing w:before="100" w:beforeAutospacing="1" w:after="100" w:afterAutospacing="1"/>
              <w:jc w:val="center"/>
              <w:rPr>
                <w:kern w:val="0"/>
                <w:sz w:val="22"/>
                <w:szCs w:val="22"/>
              </w:rPr>
            </w:pPr>
            <w:r w:rsidRPr="00A95203">
              <w:rPr>
                <w:kern w:val="0"/>
                <w:sz w:val="22"/>
                <w:szCs w:val="22"/>
              </w:rPr>
              <w:t>300</w:t>
            </w:r>
            <w:r w:rsidRPr="00A95203">
              <w:rPr>
                <w:kern w:val="0"/>
                <w:sz w:val="22"/>
                <w:szCs w:val="22"/>
              </w:rPr>
              <w:t>万元以下</w:t>
            </w:r>
          </w:p>
        </w:tc>
        <w:tc>
          <w:tcPr>
            <w:tcW w:w="1514" w:type="dxa"/>
            <w:tcBorders>
              <w:top w:val="single" w:sz="6" w:space="0" w:color="7F7F7F"/>
              <w:left w:val="single" w:sz="6" w:space="0" w:color="7F7F7F"/>
              <w:bottom w:val="single" w:sz="6" w:space="0" w:color="7F7F7F"/>
              <w:right w:val="single" w:sz="6" w:space="0" w:color="7F7F7F"/>
            </w:tcBorders>
            <w:hideMark/>
          </w:tcPr>
          <w:p w:rsidR="00BA0346" w:rsidRPr="00A95203" w:rsidRDefault="00BA0346" w:rsidP="00C75A65">
            <w:pPr>
              <w:widowControl/>
              <w:tabs>
                <w:tab w:val="left" w:pos="420"/>
              </w:tabs>
              <w:spacing w:before="100" w:beforeAutospacing="1" w:after="100" w:afterAutospacing="1"/>
              <w:jc w:val="center"/>
              <w:rPr>
                <w:kern w:val="0"/>
                <w:sz w:val="22"/>
                <w:szCs w:val="22"/>
              </w:rPr>
            </w:pPr>
            <w:r w:rsidRPr="00A95203">
              <w:rPr>
                <w:kern w:val="0"/>
                <w:sz w:val="22"/>
                <w:szCs w:val="22"/>
              </w:rPr>
              <w:t>0.5%</w:t>
            </w:r>
          </w:p>
        </w:tc>
      </w:tr>
      <w:tr w:rsidR="00BA0346" w:rsidRPr="00A95203" w:rsidTr="00C75A65">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C75A65">
            <w:pPr>
              <w:widowControl/>
              <w:jc w:val="left"/>
              <w:rPr>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C75A65">
            <w:pPr>
              <w:widowControl/>
              <w:jc w:val="left"/>
              <w:rPr>
                <w:kern w:val="0"/>
                <w:sz w:val="22"/>
                <w:szCs w:val="22"/>
              </w:rPr>
            </w:pPr>
          </w:p>
        </w:tc>
        <w:tc>
          <w:tcPr>
            <w:tcW w:w="3029" w:type="dxa"/>
            <w:tcBorders>
              <w:top w:val="single" w:sz="6" w:space="0" w:color="7F7F7F"/>
              <w:left w:val="single" w:sz="6" w:space="0" w:color="7F7F7F"/>
              <w:bottom w:val="single" w:sz="6" w:space="0" w:color="7F7F7F"/>
              <w:right w:val="single" w:sz="6" w:space="0" w:color="7F7F7F"/>
            </w:tcBorders>
            <w:hideMark/>
          </w:tcPr>
          <w:p w:rsidR="00BA0346" w:rsidRPr="00A95203" w:rsidRDefault="00BA0346" w:rsidP="00C75A65">
            <w:pPr>
              <w:widowControl/>
              <w:tabs>
                <w:tab w:val="left" w:pos="420"/>
              </w:tabs>
              <w:spacing w:before="100" w:beforeAutospacing="1" w:after="100" w:afterAutospacing="1"/>
              <w:jc w:val="center"/>
              <w:rPr>
                <w:kern w:val="0"/>
                <w:sz w:val="22"/>
                <w:szCs w:val="22"/>
              </w:rPr>
            </w:pPr>
            <w:r w:rsidRPr="00A95203">
              <w:rPr>
                <w:kern w:val="0"/>
                <w:sz w:val="22"/>
                <w:szCs w:val="22"/>
              </w:rPr>
              <w:t>300</w:t>
            </w:r>
            <w:r w:rsidRPr="00A95203">
              <w:rPr>
                <w:kern w:val="0"/>
                <w:sz w:val="22"/>
                <w:szCs w:val="22"/>
              </w:rPr>
              <w:t>万元（含）至</w:t>
            </w:r>
            <w:r w:rsidRPr="00A95203">
              <w:rPr>
                <w:kern w:val="0"/>
                <w:sz w:val="22"/>
                <w:szCs w:val="22"/>
              </w:rPr>
              <w:t>1000</w:t>
            </w:r>
            <w:r w:rsidRPr="00A95203">
              <w:rPr>
                <w:kern w:val="0"/>
                <w:sz w:val="22"/>
                <w:szCs w:val="22"/>
              </w:rPr>
              <w:t>万元</w:t>
            </w:r>
          </w:p>
        </w:tc>
        <w:tc>
          <w:tcPr>
            <w:tcW w:w="1514" w:type="dxa"/>
            <w:tcBorders>
              <w:top w:val="single" w:sz="6" w:space="0" w:color="7F7F7F"/>
              <w:left w:val="single" w:sz="6" w:space="0" w:color="7F7F7F"/>
              <w:bottom w:val="single" w:sz="6" w:space="0" w:color="7F7F7F"/>
              <w:right w:val="single" w:sz="6" w:space="0" w:color="7F7F7F"/>
            </w:tcBorders>
            <w:hideMark/>
          </w:tcPr>
          <w:p w:rsidR="00BA0346" w:rsidRPr="00A95203" w:rsidRDefault="00BA0346" w:rsidP="00C75A65">
            <w:pPr>
              <w:widowControl/>
              <w:tabs>
                <w:tab w:val="left" w:pos="420"/>
              </w:tabs>
              <w:spacing w:before="100" w:beforeAutospacing="1" w:after="100" w:afterAutospacing="1"/>
              <w:jc w:val="center"/>
              <w:rPr>
                <w:kern w:val="0"/>
                <w:sz w:val="22"/>
                <w:szCs w:val="22"/>
              </w:rPr>
            </w:pPr>
            <w:r w:rsidRPr="00A95203">
              <w:rPr>
                <w:kern w:val="0"/>
                <w:sz w:val="22"/>
                <w:szCs w:val="22"/>
              </w:rPr>
              <w:t>0.4%</w:t>
            </w:r>
          </w:p>
        </w:tc>
      </w:tr>
      <w:tr w:rsidR="00BA0346" w:rsidRPr="00A95203" w:rsidTr="0086798C">
        <w:trPr>
          <w:trHeight w:val="280"/>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C75A65">
            <w:pPr>
              <w:widowControl/>
              <w:jc w:val="left"/>
              <w:rPr>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C75A65">
            <w:pPr>
              <w:widowControl/>
              <w:jc w:val="left"/>
              <w:rPr>
                <w:kern w:val="0"/>
                <w:sz w:val="22"/>
                <w:szCs w:val="22"/>
              </w:rPr>
            </w:pPr>
          </w:p>
        </w:tc>
        <w:tc>
          <w:tcPr>
            <w:tcW w:w="3029" w:type="dxa"/>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C75A65">
            <w:pPr>
              <w:widowControl/>
              <w:tabs>
                <w:tab w:val="left" w:pos="420"/>
              </w:tabs>
              <w:spacing w:before="100" w:beforeAutospacing="1" w:after="100" w:afterAutospacing="1"/>
              <w:jc w:val="center"/>
              <w:rPr>
                <w:kern w:val="0"/>
                <w:sz w:val="22"/>
                <w:szCs w:val="22"/>
              </w:rPr>
            </w:pPr>
            <w:r w:rsidRPr="00A95203">
              <w:rPr>
                <w:kern w:val="0"/>
                <w:sz w:val="22"/>
                <w:szCs w:val="22"/>
              </w:rPr>
              <w:t>1000</w:t>
            </w:r>
            <w:r w:rsidRPr="00A95203">
              <w:rPr>
                <w:kern w:val="0"/>
                <w:sz w:val="22"/>
                <w:szCs w:val="22"/>
              </w:rPr>
              <w:t>万元以上（含</w:t>
            </w:r>
            <w:r w:rsidRPr="00A95203">
              <w:rPr>
                <w:kern w:val="0"/>
                <w:sz w:val="22"/>
                <w:szCs w:val="22"/>
              </w:rPr>
              <w:t>1000</w:t>
            </w:r>
            <w:r w:rsidRPr="00A95203">
              <w:rPr>
                <w:kern w:val="0"/>
                <w:sz w:val="22"/>
                <w:szCs w:val="22"/>
              </w:rPr>
              <w:t>万）</w:t>
            </w:r>
          </w:p>
        </w:tc>
        <w:tc>
          <w:tcPr>
            <w:tcW w:w="1514" w:type="dxa"/>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C75A65">
            <w:pPr>
              <w:widowControl/>
              <w:tabs>
                <w:tab w:val="left" w:pos="420"/>
              </w:tabs>
              <w:spacing w:before="100" w:beforeAutospacing="1" w:after="100" w:afterAutospacing="1"/>
              <w:jc w:val="center"/>
              <w:rPr>
                <w:kern w:val="0"/>
                <w:sz w:val="22"/>
                <w:szCs w:val="22"/>
              </w:rPr>
            </w:pPr>
            <w:r w:rsidRPr="00A95203">
              <w:rPr>
                <w:kern w:val="0"/>
                <w:sz w:val="22"/>
                <w:szCs w:val="22"/>
              </w:rPr>
              <w:t>0</w:t>
            </w:r>
          </w:p>
        </w:tc>
      </w:tr>
      <w:tr w:rsidR="00BA0346" w:rsidRPr="00A95203" w:rsidTr="00C75A65">
        <w:trPr>
          <w:tblCellSpacing w:w="0" w:type="dxa"/>
        </w:trPr>
        <w:tc>
          <w:tcPr>
            <w:tcW w:w="1922" w:type="dxa"/>
            <w:vMerge w:val="restart"/>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C75A65">
            <w:pPr>
              <w:widowControl/>
              <w:tabs>
                <w:tab w:val="left" w:pos="420"/>
              </w:tabs>
              <w:jc w:val="left"/>
              <w:rPr>
                <w:kern w:val="0"/>
                <w:sz w:val="22"/>
                <w:szCs w:val="22"/>
              </w:rPr>
            </w:pPr>
            <w:r w:rsidRPr="00A95203">
              <w:rPr>
                <w:kern w:val="0"/>
                <w:sz w:val="22"/>
                <w:szCs w:val="22"/>
              </w:rPr>
              <w:t>交银荣和保本</w:t>
            </w:r>
          </w:p>
        </w:tc>
        <w:tc>
          <w:tcPr>
            <w:tcW w:w="2010" w:type="dxa"/>
            <w:vMerge w:val="restart"/>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C75A65">
            <w:pPr>
              <w:widowControl/>
              <w:tabs>
                <w:tab w:val="left" w:pos="420"/>
              </w:tabs>
              <w:jc w:val="left"/>
              <w:rPr>
                <w:kern w:val="0"/>
                <w:sz w:val="22"/>
                <w:szCs w:val="22"/>
              </w:rPr>
            </w:pPr>
            <w:r w:rsidRPr="00A95203">
              <w:rPr>
                <w:kern w:val="0"/>
                <w:sz w:val="22"/>
                <w:szCs w:val="22"/>
              </w:rPr>
              <w:t>前端收费模式下</w:t>
            </w:r>
          </w:p>
          <w:p w:rsidR="00BA0346" w:rsidRPr="00A95203" w:rsidRDefault="00BA0346" w:rsidP="00C75A65">
            <w:pPr>
              <w:widowControl/>
              <w:tabs>
                <w:tab w:val="left" w:pos="420"/>
              </w:tabs>
              <w:jc w:val="left"/>
              <w:rPr>
                <w:kern w:val="0"/>
                <w:sz w:val="22"/>
                <w:szCs w:val="22"/>
              </w:rPr>
            </w:pPr>
            <w:r w:rsidRPr="00A95203">
              <w:rPr>
                <w:kern w:val="0"/>
                <w:sz w:val="22"/>
                <w:szCs w:val="22"/>
              </w:rPr>
              <w:t>交银周期回报</w:t>
            </w:r>
            <w:r w:rsidR="00F1122A" w:rsidRPr="00A95203">
              <w:rPr>
                <w:kern w:val="0"/>
                <w:sz w:val="22"/>
                <w:szCs w:val="22"/>
              </w:rPr>
              <w:t>A</w:t>
            </w:r>
            <w:r w:rsidR="00F1122A" w:rsidRPr="00A95203">
              <w:rPr>
                <w:kern w:val="0"/>
                <w:sz w:val="22"/>
                <w:szCs w:val="22"/>
              </w:rPr>
              <w:t>类</w:t>
            </w:r>
            <w:r w:rsidR="00F1122A">
              <w:rPr>
                <w:rFonts w:hint="eastAsia"/>
                <w:kern w:val="0"/>
                <w:sz w:val="22"/>
                <w:szCs w:val="22"/>
              </w:rPr>
              <w:t>基金份额</w:t>
            </w:r>
          </w:p>
        </w:tc>
        <w:tc>
          <w:tcPr>
            <w:tcW w:w="3029" w:type="dxa"/>
            <w:tcBorders>
              <w:top w:val="single" w:sz="6" w:space="0" w:color="7F7F7F"/>
              <w:left w:val="single" w:sz="6" w:space="0" w:color="7F7F7F"/>
              <w:bottom w:val="single" w:sz="6" w:space="0" w:color="7F7F7F"/>
              <w:right w:val="single" w:sz="6" w:space="0" w:color="7F7F7F"/>
            </w:tcBorders>
            <w:hideMark/>
          </w:tcPr>
          <w:p w:rsidR="00BA0346" w:rsidRPr="00A95203" w:rsidRDefault="00BA0346" w:rsidP="00C75A65">
            <w:pPr>
              <w:widowControl/>
              <w:tabs>
                <w:tab w:val="left" w:pos="420"/>
              </w:tabs>
              <w:spacing w:before="100" w:beforeAutospacing="1" w:after="100" w:afterAutospacing="1"/>
              <w:jc w:val="center"/>
              <w:rPr>
                <w:kern w:val="0"/>
                <w:sz w:val="22"/>
                <w:szCs w:val="22"/>
              </w:rPr>
            </w:pPr>
            <w:r w:rsidRPr="00A95203">
              <w:rPr>
                <w:kern w:val="0"/>
                <w:sz w:val="22"/>
                <w:szCs w:val="22"/>
              </w:rPr>
              <w:t>200</w:t>
            </w:r>
            <w:r w:rsidRPr="00A95203">
              <w:rPr>
                <w:kern w:val="0"/>
                <w:sz w:val="22"/>
                <w:szCs w:val="22"/>
              </w:rPr>
              <w:t>万元以下</w:t>
            </w:r>
          </w:p>
        </w:tc>
        <w:tc>
          <w:tcPr>
            <w:tcW w:w="1514" w:type="dxa"/>
            <w:tcBorders>
              <w:top w:val="single" w:sz="6" w:space="0" w:color="7F7F7F"/>
              <w:left w:val="single" w:sz="6" w:space="0" w:color="7F7F7F"/>
              <w:bottom w:val="single" w:sz="6" w:space="0" w:color="7F7F7F"/>
              <w:right w:val="single" w:sz="6" w:space="0" w:color="7F7F7F"/>
            </w:tcBorders>
            <w:hideMark/>
          </w:tcPr>
          <w:p w:rsidR="00BA0346" w:rsidRPr="00A95203" w:rsidRDefault="00BA0346" w:rsidP="00C75A65">
            <w:pPr>
              <w:widowControl/>
              <w:tabs>
                <w:tab w:val="left" w:pos="420"/>
              </w:tabs>
              <w:spacing w:before="100" w:beforeAutospacing="1" w:after="100" w:afterAutospacing="1"/>
              <w:jc w:val="center"/>
              <w:rPr>
                <w:kern w:val="0"/>
                <w:sz w:val="22"/>
                <w:szCs w:val="22"/>
              </w:rPr>
            </w:pPr>
            <w:r w:rsidRPr="00A95203">
              <w:rPr>
                <w:kern w:val="0"/>
                <w:sz w:val="22"/>
                <w:szCs w:val="22"/>
              </w:rPr>
              <w:t>0.5%</w:t>
            </w:r>
          </w:p>
        </w:tc>
      </w:tr>
      <w:tr w:rsidR="00BA0346" w:rsidRPr="00A95203" w:rsidTr="00C75A65">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C75A65">
            <w:pPr>
              <w:widowControl/>
              <w:jc w:val="left"/>
              <w:rPr>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C75A65">
            <w:pPr>
              <w:widowControl/>
              <w:jc w:val="left"/>
              <w:rPr>
                <w:kern w:val="0"/>
                <w:sz w:val="22"/>
                <w:szCs w:val="22"/>
              </w:rPr>
            </w:pPr>
          </w:p>
        </w:tc>
        <w:tc>
          <w:tcPr>
            <w:tcW w:w="3029" w:type="dxa"/>
            <w:tcBorders>
              <w:top w:val="single" w:sz="6" w:space="0" w:color="7F7F7F"/>
              <w:left w:val="single" w:sz="6" w:space="0" w:color="7F7F7F"/>
              <w:bottom w:val="single" w:sz="6" w:space="0" w:color="7F7F7F"/>
              <w:right w:val="single" w:sz="6" w:space="0" w:color="7F7F7F"/>
            </w:tcBorders>
            <w:hideMark/>
          </w:tcPr>
          <w:p w:rsidR="00BA0346" w:rsidRPr="00A95203" w:rsidRDefault="00BA0346" w:rsidP="00C75A65">
            <w:pPr>
              <w:widowControl/>
              <w:tabs>
                <w:tab w:val="left" w:pos="420"/>
              </w:tabs>
              <w:spacing w:before="100" w:beforeAutospacing="1" w:after="100" w:afterAutospacing="1"/>
              <w:jc w:val="center"/>
              <w:rPr>
                <w:kern w:val="0"/>
                <w:sz w:val="22"/>
                <w:szCs w:val="22"/>
              </w:rPr>
            </w:pPr>
            <w:r w:rsidRPr="00A95203">
              <w:rPr>
                <w:kern w:val="0"/>
                <w:sz w:val="22"/>
                <w:szCs w:val="22"/>
              </w:rPr>
              <w:t>200</w:t>
            </w:r>
            <w:r w:rsidRPr="00A95203">
              <w:rPr>
                <w:kern w:val="0"/>
                <w:sz w:val="22"/>
                <w:szCs w:val="22"/>
              </w:rPr>
              <w:t>万元（含）至</w:t>
            </w:r>
            <w:r w:rsidRPr="00A95203">
              <w:rPr>
                <w:kern w:val="0"/>
                <w:sz w:val="22"/>
                <w:szCs w:val="22"/>
              </w:rPr>
              <w:t>500</w:t>
            </w:r>
            <w:r w:rsidRPr="00A95203">
              <w:rPr>
                <w:kern w:val="0"/>
                <w:sz w:val="22"/>
                <w:szCs w:val="22"/>
              </w:rPr>
              <w:t>万元</w:t>
            </w:r>
          </w:p>
        </w:tc>
        <w:tc>
          <w:tcPr>
            <w:tcW w:w="1514" w:type="dxa"/>
            <w:tcBorders>
              <w:top w:val="single" w:sz="6" w:space="0" w:color="7F7F7F"/>
              <w:left w:val="single" w:sz="6" w:space="0" w:color="7F7F7F"/>
              <w:bottom w:val="single" w:sz="6" w:space="0" w:color="7F7F7F"/>
              <w:right w:val="single" w:sz="6" w:space="0" w:color="7F7F7F"/>
            </w:tcBorders>
            <w:hideMark/>
          </w:tcPr>
          <w:p w:rsidR="00BA0346" w:rsidRPr="00A95203" w:rsidRDefault="00BA0346" w:rsidP="00C75A65">
            <w:pPr>
              <w:widowControl/>
              <w:tabs>
                <w:tab w:val="left" w:pos="420"/>
              </w:tabs>
              <w:spacing w:before="100" w:beforeAutospacing="1" w:after="100" w:afterAutospacing="1"/>
              <w:jc w:val="center"/>
              <w:rPr>
                <w:kern w:val="0"/>
                <w:sz w:val="22"/>
                <w:szCs w:val="22"/>
              </w:rPr>
            </w:pPr>
            <w:r w:rsidRPr="00A95203">
              <w:rPr>
                <w:kern w:val="0"/>
                <w:sz w:val="22"/>
                <w:szCs w:val="22"/>
              </w:rPr>
              <w:t>0.4%</w:t>
            </w:r>
          </w:p>
        </w:tc>
      </w:tr>
      <w:tr w:rsidR="00BA0346" w:rsidRPr="00A95203" w:rsidTr="00C75A65">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C75A65">
            <w:pPr>
              <w:widowControl/>
              <w:jc w:val="left"/>
              <w:rPr>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C75A65">
            <w:pPr>
              <w:widowControl/>
              <w:jc w:val="left"/>
              <w:rPr>
                <w:kern w:val="0"/>
                <w:sz w:val="22"/>
                <w:szCs w:val="22"/>
              </w:rPr>
            </w:pPr>
          </w:p>
        </w:tc>
        <w:tc>
          <w:tcPr>
            <w:tcW w:w="3029" w:type="dxa"/>
            <w:tcBorders>
              <w:top w:val="single" w:sz="6" w:space="0" w:color="7F7F7F"/>
              <w:left w:val="single" w:sz="6" w:space="0" w:color="7F7F7F"/>
              <w:bottom w:val="single" w:sz="6" w:space="0" w:color="7F7F7F"/>
              <w:right w:val="single" w:sz="6" w:space="0" w:color="7F7F7F"/>
            </w:tcBorders>
            <w:hideMark/>
          </w:tcPr>
          <w:p w:rsidR="00BA0346" w:rsidRPr="00A95203" w:rsidRDefault="00BA0346" w:rsidP="00C75A65">
            <w:pPr>
              <w:widowControl/>
              <w:tabs>
                <w:tab w:val="left" w:pos="420"/>
              </w:tabs>
              <w:spacing w:before="100" w:beforeAutospacing="1" w:after="100" w:afterAutospacing="1"/>
              <w:jc w:val="center"/>
              <w:rPr>
                <w:kern w:val="0"/>
                <w:sz w:val="22"/>
                <w:szCs w:val="22"/>
              </w:rPr>
            </w:pPr>
            <w:r w:rsidRPr="00A95203">
              <w:rPr>
                <w:kern w:val="0"/>
                <w:sz w:val="22"/>
                <w:szCs w:val="22"/>
              </w:rPr>
              <w:t>500</w:t>
            </w:r>
            <w:r w:rsidRPr="00A95203">
              <w:rPr>
                <w:kern w:val="0"/>
                <w:sz w:val="22"/>
                <w:szCs w:val="22"/>
              </w:rPr>
              <w:t>万元（含）至</w:t>
            </w:r>
            <w:r w:rsidRPr="00A95203">
              <w:rPr>
                <w:kern w:val="0"/>
                <w:sz w:val="22"/>
                <w:szCs w:val="22"/>
              </w:rPr>
              <w:t>1000</w:t>
            </w:r>
            <w:r w:rsidRPr="00A95203">
              <w:rPr>
                <w:kern w:val="0"/>
                <w:sz w:val="22"/>
                <w:szCs w:val="22"/>
              </w:rPr>
              <w:t>万元</w:t>
            </w:r>
          </w:p>
        </w:tc>
        <w:tc>
          <w:tcPr>
            <w:tcW w:w="1514" w:type="dxa"/>
            <w:tcBorders>
              <w:top w:val="single" w:sz="6" w:space="0" w:color="7F7F7F"/>
              <w:left w:val="single" w:sz="6" w:space="0" w:color="7F7F7F"/>
              <w:bottom w:val="single" w:sz="6" w:space="0" w:color="7F7F7F"/>
              <w:right w:val="single" w:sz="6" w:space="0" w:color="7F7F7F"/>
            </w:tcBorders>
            <w:hideMark/>
          </w:tcPr>
          <w:p w:rsidR="00BA0346" w:rsidRPr="00A95203" w:rsidRDefault="00BA0346" w:rsidP="00C75A65">
            <w:pPr>
              <w:widowControl/>
              <w:tabs>
                <w:tab w:val="left" w:pos="420"/>
              </w:tabs>
              <w:spacing w:before="100" w:beforeAutospacing="1" w:after="100" w:afterAutospacing="1"/>
              <w:jc w:val="center"/>
              <w:rPr>
                <w:kern w:val="0"/>
                <w:sz w:val="22"/>
                <w:szCs w:val="22"/>
              </w:rPr>
            </w:pPr>
            <w:r w:rsidRPr="00A95203">
              <w:rPr>
                <w:kern w:val="0"/>
                <w:sz w:val="22"/>
                <w:szCs w:val="22"/>
              </w:rPr>
              <w:t>0.28%</w:t>
            </w:r>
          </w:p>
        </w:tc>
      </w:tr>
      <w:tr w:rsidR="00BA0346" w:rsidRPr="00A95203" w:rsidTr="00A55779">
        <w:trPr>
          <w:trHeight w:val="328"/>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C75A65">
            <w:pPr>
              <w:widowControl/>
              <w:jc w:val="left"/>
              <w:rPr>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C75A65">
            <w:pPr>
              <w:widowControl/>
              <w:jc w:val="left"/>
              <w:rPr>
                <w:kern w:val="0"/>
                <w:sz w:val="22"/>
                <w:szCs w:val="22"/>
              </w:rPr>
            </w:pPr>
          </w:p>
        </w:tc>
        <w:tc>
          <w:tcPr>
            <w:tcW w:w="3029" w:type="dxa"/>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C75A65">
            <w:pPr>
              <w:widowControl/>
              <w:tabs>
                <w:tab w:val="left" w:pos="420"/>
              </w:tabs>
              <w:spacing w:before="100" w:beforeAutospacing="1" w:after="100" w:afterAutospacing="1"/>
              <w:jc w:val="center"/>
              <w:rPr>
                <w:kern w:val="0"/>
                <w:sz w:val="22"/>
                <w:szCs w:val="22"/>
              </w:rPr>
            </w:pPr>
            <w:r w:rsidRPr="00A95203">
              <w:rPr>
                <w:kern w:val="0"/>
                <w:sz w:val="22"/>
                <w:szCs w:val="22"/>
              </w:rPr>
              <w:t>1000</w:t>
            </w:r>
            <w:r w:rsidRPr="00A95203">
              <w:rPr>
                <w:kern w:val="0"/>
                <w:sz w:val="22"/>
                <w:szCs w:val="22"/>
              </w:rPr>
              <w:t>万元以上（含</w:t>
            </w:r>
            <w:r w:rsidRPr="00A95203">
              <w:rPr>
                <w:kern w:val="0"/>
                <w:sz w:val="22"/>
                <w:szCs w:val="22"/>
              </w:rPr>
              <w:t>1000</w:t>
            </w:r>
            <w:r w:rsidRPr="00A95203">
              <w:rPr>
                <w:kern w:val="0"/>
                <w:sz w:val="22"/>
                <w:szCs w:val="22"/>
              </w:rPr>
              <w:t>万）</w:t>
            </w:r>
          </w:p>
        </w:tc>
        <w:tc>
          <w:tcPr>
            <w:tcW w:w="1514" w:type="dxa"/>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C75A65">
            <w:pPr>
              <w:widowControl/>
              <w:tabs>
                <w:tab w:val="left" w:pos="420"/>
              </w:tabs>
              <w:spacing w:before="100" w:beforeAutospacing="1" w:after="100" w:afterAutospacing="1"/>
              <w:jc w:val="center"/>
              <w:rPr>
                <w:kern w:val="0"/>
                <w:sz w:val="22"/>
                <w:szCs w:val="22"/>
              </w:rPr>
            </w:pPr>
            <w:r w:rsidRPr="00A95203">
              <w:rPr>
                <w:kern w:val="0"/>
                <w:sz w:val="22"/>
                <w:szCs w:val="22"/>
              </w:rPr>
              <w:t>0</w:t>
            </w:r>
          </w:p>
        </w:tc>
      </w:tr>
      <w:tr w:rsidR="00BA0346" w:rsidRPr="00A95203" w:rsidTr="00C75A65">
        <w:trPr>
          <w:tblCellSpacing w:w="0" w:type="dxa"/>
        </w:trPr>
        <w:tc>
          <w:tcPr>
            <w:tcW w:w="1922" w:type="dxa"/>
            <w:vMerge w:val="restart"/>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C75A65">
            <w:pPr>
              <w:widowControl/>
              <w:tabs>
                <w:tab w:val="left" w:pos="420"/>
              </w:tabs>
              <w:jc w:val="left"/>
              <w:rPr>
                <w:kern w:val="0"/>
                <w:sz w:val="22"/>
                <w:szCs w:val="22"/>
              </w:rPr>
            </w:pPr>
            <w:r w:rsidRPr="00A95203">
              <w:rPr>
                <w:kern w:val="0"/>
                <w:sz w:val="22"/>
                <w:szCs w:val="22"/>
              </w:rPr>
              <w:t>交银荣和保本</w:t>
            </w:r>
          </w:p>
        </w:tc>
        <w:tc>
          <w:tcPr>
            <w:tcW w:w="2010" w:type="dxa"/>
            <w:vMerge w:val="restart"/>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C75A65">
            <w:pPr>
              <w:widowControl/>
              <w:jc w:val="left"/>
              <w:rPr>
                <w:kern w:val="0"/>
                <w:sz w:val="22"/>
                <w:szCs w:val="22"/>
              </w:rPr>
            </w:pPr>
            <w:r w:rsidRPr="00A95203">
              <w:rPr>
                <w:kern w:val="0"/>
                <w:sz w:val="22"/>
                <w:szCs w:val="22"/>
              </w:rPr>
              <w:t>前端收费模式下</w:t>
            </w:r>
          </w:p>
          <w:p w:rsidR="00BA0346" w:rsidRPr="00A95203" w:rsidRDefault="00BA0346" w:rsidP="00C75A65">
            <w:pPr>
              <w:widowControl/>
              <w:tabs>
                <w:tab w:val="left" w:pos="420"/>
              </w:tabs>
              <w:jc w:val="left"/>
              <w:rPr>
                <w:kern w:val="0"/>
                <w:sz w:val="22"/>
                <w:szCs w:val="22"/>
              </w:rPr>
            </w:pPr>
            <w:r w:rsidRPr="00A95203">
              <w:rPr>
                <w:kern w:val="0"/>
                <w:sz w:val="22"/>
                <w:szCs w:val="22"/>
              </w:rPr>
              <w:t>交银精选、交银稳健、交银成长、交银蓝筹、交银先锋、交银治理、交银主题、交银制造、交银价值、交银策略回报、交银核心、交银消费新驱动、交银成长</w:t>
            </w:r>
            <w:r w:rsidRPr="00A95203">
              <w:rPr>
                <w:kern w:val="0"/>
                <w:sz w:val="22"/>
                <w:szCs w:val="22"/>
              </w:rPr>
              <w:t>30</w:t>
            </w:r>
            <w:r w:rsidRPr="00A95203">
              <w:rPr>
                <w:kern w:val="0"/>
                <w:sz w:val="22"/>
                <w:szCs w:val="22"/>
              </w:rPr>
              <w:t>、交银双息平衡、交银新回报</w:t>
            </w:r>
            <w:r w:rsidR="00F1122A" w:rsidRPr="00A95203">
              <w:rPr>
                <w:kern w:val="0"/>
                <w:sz w:val="22"/>
                <w:szCs w:val="22"/>
              </w:rPr>
              <w:t>A</w:t>
            </w:r>
            <w:r w:rsidR="00F1122A" w:rsidRPr="00A95203">
              <w:rPr>
                <w:kern w:val="0"/>
                <w:sz w:val="22"/>
                <w:szCs w:val="22"/>
              </w:rPr>
              <w:t>类</w:t>
            </w:r>
            <w:r w:rsidR="00F1122A">
              <w:rPr>
                <w:rFonts w:hint="eastAsia"/>
                <w:kern w:val="0"/>
                <w:sz w:val="22"/>
                <w:szCs w:val="22"/>
              </w:rPr>
              <w:t>基金份额</w:t>
            </w:r>
            <w:r w:rsidRPr="00A95203">
              <w:rPr>
                <w:kern w:val="0"/>
                <w:sz w:val="22"/>
                <w:szCs w:val="22"/>
              </w:rPr>
              <w:t>、交银多策略</w:t>
            </w:r>
            <w:r w:rsidR="00F1122A" w:rsidRPr="00A95203">
              <w:rPr>
                <w:kern w:val="0"/>
                <w:sz w:val="22"/>
                <w:szCs w:val="22"/>
              </w:rPr>
              <w:t>A</w:t>
            </w:r>
            <w:r w:rsidR="00F1122A" w:rsidRPr="00A95203">
              <w:rPr>
                <w:kern w:val="0"/>
                <w:sz w:val="22"/>
                <w:szCs w:val="22"/>
              </w:rPr>
              <w:t>类</w:t>
            </w:r>
            <w:r w:rsidR="00F1122A">
              <w:rPr>
                <w:rFonts w:hint="eastAsia"/>
                <w:kern w:val="0"/>
                <w:sz w:val="22"/>
                <w:szCs w:val="22"/>
              </w:rPr>
              <w:t>基金份额</w:t>
            </w:r>
            <w:r w:rsidRPr="00A95203">
              <w:rPr>
                <w:kern w:val="0"/>
                <w:sz w:val="22"/>
                <w:szCs w:val="22"/>
              </w:rPr>
              <w:t>、交银国企改革</w:t>
            </w:r>
            <w:r>
              <w:rPr>
                <w:rFonts w:hint="eastAsia"/>
                <w:kern w:val="0"/>
                <w:sz w:val="22"/>
                <w:szCs w:val="22"/>
              </w:rPr>
              <w:t>、交银数据产业</w:t>
            </w:r>
          </w:p>
        </w:tc>
        <w:tc>
          <w:tcPr>
            <w:tcW w:w="3029" w:type="dxa"/>
            <w:tcBorders>
              <w:top w:val="single" w:sz="6" w:space="0" w:color="7F7F7F"/>
              <w:left w:val="single" w:sz="6" w:space="0" w:color="7F7F7F"/>
              <w:bottom w:val="single" w:sz="6" w:space="0" w:color="7F7F7F"/>
              <w:right w:val="single" w:sz="6" w:space="0" w:color="7F7F7F"/>
            </w:tcBorders>
            <w:hideMark/>
          </w:tcPr>
          <w:p w:rsidR="00BA0346" w:rsidRPr="00A95203" w:rsidRDefault="00BA0346" w:rsidP="00C75A65">
            <w:pPr>
              <w:widowControl/>
              <w:tabs>
                <w:tab w:val="left" w:pos="420"/>
              </w:tabs>
              <w:spacing w:before="100" w:beforeAutospacing="1" w:after="100" w:afterAutospacing="1"/>
              <w:jc w:val="center"/>
              <w:rPr>
                <w:kern w:val="0"/>
                <w:sz w:val="22"/>
                <w:szCs w:val="22"/>
              </w:rPr>
            </w:pPr>
            <w:r w:rsidRPr="00A95203">
              <w:rPr>
                <w:kern w:val="0"/>
                <w:sz w:val="22"/>
                <w:szCs w:val="22"/>
              </w:rPr>
              <w:t>50</w:t>
            </w:r>
            <w:r w:rsidRPr="00A95203">
              <w:rPr>
                <w:kern w:val="0"/>
                <w:sz w:val="22"/>
                <w:szCs w:val="22"/>
              </w:rPr>
              <w:t>万元以下</w:t>
            </w:r>
          </w:p>
        </w:tc>
        <w:tc>
          <w:tcPr>
            <w:tcW w:w="1514" w:type="dxa"/>
            <w:tcBorders>
              <w:top w:val="single" w:sz="6" w:space="0" w:color="7F7F7F"/>
              <w:left w:val="single" w:sz="6" w:space="0" w:color="7F7F7F"/>
              <w:bottom w:val="single" w:sz="6" w:space="0" w:color="7F7F7F"/>
              <w:right w:val="single" w:sz="6" w:space="0" w:color="7F7F7F"/>
            </w:tcBorders>
            <w:hideMark/>
          </w:tcPr>
          <w:p w:rsidR="00BA0346" w:rsidRPr="00A95203" w:rsidRDefault="00BA0346" w:rsidP="00C75A65">
            <w:pPr>
              <w:widowControl/>
              <w:tabs>
                <w:tab w:val="left" w:pos="420"/>
              </w:tabs>
              <w:spacing w:before="100" w:beforeAutospacing="1" w:after="100" w:afterAutospacing="1"/>
              <w:jc w:val="center"/>
              <w:rPr>
                <w:kern w:val="0"/>
                <w:sz w:val="22"/>
                <w:szCs w:val="22"/>
              </w:rPr>
            </w:pPr>
            <w:r w:rsidRPr="00A95203">
              <w:rPr>
                <w:kern w:val="0"/>
                <w:sz w:val="22"/>
                <w:szCs w:val="22"/>
              </w:rPr>
              <w:t>0.5%</w:t>
            </w:r>
          </w:p>
        </w:tc>
      </w:tr>
      <w:tr w:rsidR="00BA0346" w:rsidRPr="00A95203" w:rsidTr="00C75A65">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C75A65">
            <w:pPr>
              <w:widowControl/>
              <w:jc w:val="left"/>
              <w:rPr>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C75A65">
            <w:pPr>
              <w:widowControl/>
              <w:jc w:val="left"/>
              <w:rPr>
                <w:kern w:val="0"/>
                <w:sz w:val="22"/>
                <w:szCs w:val="22"/>
              </w:rPr>
            </w:pPr>
          </w:p>
        </w:tc>
        <w:tc>
          <w:tcPr>
            <w:tcW w:w="3029" w:type="dxa"/>
            <w:tcBorders>
              <w:top w:val="single" w:sz="6" w:space="0" w:color="7F7F7F"/>
              <w:left w:val="single" w:sz="6" w:space="0" w:color="7F7F7F"/>
              <w:bottom w:val="single" w:sz="6" w:space="0" w:color="7F7F7F"/>
              <w:right w:val="single" w:sz="6" w:space="0" w:color="7F7F7F"/>
            </w:tcBorders>
            <w:hideMark/>
          </w:tcPr>
          <w:p w:rsidR="00BA0346" w:rsidRPr="00A95203" w:rsidRDefault="00BA0346" w:rsidP="00C75A65">
            <w:pPr>
              <w:widowControl/>
              <w:tabs>
                <w:tab w:val="left" w:pos="420"/>
              </w:tabs>
              <w:spacing w:before="100" w:beforeAutospacing="1" w:after="100" w:afterAutospacing="1"/>
              <w:jc w:val="center"/>
              <w:rPr>
                <w:kern w:val="0"/>
                <w:sz w:val="22"/>
                <w:szCs w:val="22"/>
              </w:rPr>
            </w:pPr>
            <w:r w:rsidRPr="00A95203">
              <w:rPr>
                <w:kern w:val="0"/>
                <w:sz w:val="22"/>
                <w:szCs w:val="22"/>
              </w:rPr>
              <w:t>50</w:t>
            </w:r>
            <w:r w:rsidRPr="00A95203">
              <w:rPr>
                <w:kern w:val="0"/>
                <w:sz w:val="22"/>
                <w:szCs w:val="22"/>
              </w:rPr>
              <w:t>万元（含）至</w:t>
            </w:r>
            <w:r w:rsidRPr="00A95203">
              <w:rPr>
                <w:kern w:val="0"/>
                <w:sz w:val="22"/>
                <w:szCs w:val="22"/>
              </w:rPr>
              <w:t>100</w:t>
            </w:r>
            <w:r w:rsidRPr="00A95203">
              <w:rPr>
                <w:kern w:val="0"/>
                <w:sz w:val="22"/>
                <w:szCs w:val="22"/>
              </w:rPr>
              <w:t>万元</w:t>
            </w:r>
          </w:p>
        </w:tc>
        <w:tc>
          <w:tcPr>
            <w:tcW w:w="1514" w:type="dxa"/>
            <w:tcBorders>
              <w:top w:val="single" w:sz="6" w:space="0" w:color="7F7F7F"/>
              <w:left w:val="single" w:sz="6" w:space="0" w:color="7F7F7F"/>
              <w:bottom w:val="single" w:sz="6" w:space="0" w:color="7F7F7F"/>
              <w:right w:val="single" w:sz="6" w:space="0" w:color="7F7F7F"/>
            </w:tcBorders>
            <w:hideMark/>
          </w:tcPr>
          <w:p w:rsidR="00BA0346" w:rsidRPr="00A95203" w:rsidRDefault="00BA0346" w:rsidP="00C75A65">
            <w:pPr>
              <w:widowControl/>
              <w:tabs>
                <w:tab w:val="left" w:pos="420"/>
              </w:tabs>
              <w:spacing w:before="100" w:beforeAutospacing="1" w:after="100" w:afterAutospacing="1"/>
              <w:jc w:val="center"/>
              <w:rPr>
                <w:kern w:val="0"/>
                <w:sz w:val="22"/>
                <w:szCs w:val="22"/>
              </w:rPr>
            </w:pPr>
            <w:r w:rsidRPr="00A95203">
              <w:rPr>
                <w:kern w:val="0"/>
                <w:sz w:val="22"/>
                <w:szCs w:val="22"/>
              </w:rPr>
              <w:t>0.4%</w:t>
            </w:r>
          </w:p>
        </w:tc>
      </w:tr>
      <w:tr w:rsidR="00BA0346" w:rsidRPr="00A95203" w:rsidTr="00C75A65">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C75A65">
            <w:pPr>
              <w:widowControl/>
              <w:jc w:val="left"/>
              <w:rPr>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C75A65">
            <w:pPr>
              <w:widowControl/>
              <w:jc w:val="left"/>
              <w:rPr>
                <w:kern w:val="0"/>
                <w:sz w:val="22"/>
                <w:szCs w:val="22"/>
              </w:rPr>
            </w:pPr>
          </w:p>
        </w:tc>
        <w:tc>
          <w:tcPr>
            <w:tcW w:w="3029" w:type="dxa"/>
            <w:tcBorders>
              <w:top w:val="single" w:sz="6" w:space="0" w:color="7F7F7F"/>
              <w:left w:val="single" w:sz="6" w:space="0" w:color="7F7F7F"/>
              <w:bottom w:val="single" w:sz="6" w:space="0" w:color="7F7F7F"/>
              <w:right w:val="single" w:sz="6" w:space="0" w:color="7F7F7F"/>
            </w:tcBorders>
            <w:hideMark/>
          </w:tcPr>
          <w:p w:rsidR="00BA0346" w:rsidRPr="00A95203" w:rsidRDefault="00BA0346" w:rsidP="00C75A65">
            <w:pPr>
              <w:widowControl/>
              <w:tabs>
                <w:tab w:val="left" w:pos="420"/>
              </w:tabs>
              <w:spacing w:before="100" w:beforeAutospacing="1" w:after="100" w:afterAutospacing="1"/>
              <w:jc w:val="center"/>
              <w:rPr>
                <w:kern w:val="0"/>
                <w:sz w:val="22"/>
                <w:szCs w:val="22"/>
              </w:rPr>
            </w:pPr>
            <w:r w:rsidRPr="00A95203">
              <w:rPr>
                <w:kern w:val="0"/>
                <w:sz w:val="22"/>
                <w:szCs w:val="22"/>
              </w:rPr>
              <w:t>100</w:t>
            </w:r>
            <w:r w:rsidRPr="00A95203">
              <w:rPr>
                <w:kern w:val="0"/>
                <w:sz w:val="22"/>
                <w:szCs w:val="22"/>
              </w:rPr>
              <w:t>万元（含）至</w:t>
            </w:r>
            <w:r w:rsidRPr="00A95203">
              <w:rPr>
                <w:kern w:val="0"/>
                <w:sz w:val="22"/>
                <w:szCs w:val="22"/>
              </w:rPr>
              <w:t>200</w:t>
            </w:r>
            <w:r w:rsidRPr="00A95203">
              <w:rPr>
                <w:kern w:val="0"/>
                <w:sz w:val="22"/>
                <w:szCs w:val="22"/>
              </w:rPr>
              <w:t>万元</w:t>
            </w:r>
          </w:p>
        </w:tc>
        <w:tc>
          <w:tcPr>
            <w:tcW w:w="1514" w:type="dxa"/>
            <w:tcBorders>
              <w:top w:val="single" w:sz="6" w:space="0" w:color="7F7F7F"/>
              <w:left w:val="single" w:sz="6" w:space="0" w:color="7F7F7F"/>
              <w:bottom w:val="single" w:sz="6" w:space="0" w:color="7F7F7F"/>
              <w:right w:val="single" w:sz="6" w:space="0" w:color="7F7F7F"/>
            </w:tcBorders>
            <w:hideMark/>
          </w:tcPr>
          <w:p w:rsidR="00BA0346" w:rsidRPr="00A95203" w:rsidRDefault="00BA0346" w:rsidP="00C75A65">
            <w:pPr>
              <w:widowControl/>
              <w:tabs>
                <w:tab w:val="left" w:pos="420"/>
              </w:tabs>
              <w:spacing w:before="100" w:beforeAutospacing="1" w:after="100" w:afterAutospacing="1"/>
              <w:jc w:val="center"/>
              <w:rPr>
                <w:kern w:val="0"/>
                <w:sz w:val="22"/>
                <w:szCs w:val="22"/>
              </w:rPr>
            </w:pPr>
            <w:r w:rsidRPr="00A95203">
              <w:rPr>
                <w:kern w:val="0"/>
                <w:sz w:val="22"/>
                <w:szCs w:val="22"/>
              </w:rPr>
              <w:t>0.2%</w:t>
            </w:r>
          </w:p>
        </w:tc>
      </w:tr>
      <w:tr w:rsidR="00BA0346" w:rsidRPr="00A95203" w:rsidTr="00C75A65">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C75A65">
            <w:pPr>
              <w:widowControl/>
              <w:jc w:val="left"/>
              <w:rPr>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C75A65">
            <w:pPr>
              <w:widowControl/>
              <w:jc w:val="left"/>
              <w:rPr>
                <w:kern w:val="0"/>
                <w:sz w:val="22"/>
                <w:szCs w:val="22"/>
              </w:rPr>
            </w:pPr>
          </w:p>
        </w:tc>
        <w:tc>
          <w:tcPr>
            <w:tcW w:w="3029" w:type="dxa"/>
            <w:tcBorders>
              <w:top w:val="single" w:sz="6" w:space="0" w:color="7F7F7F"/>
              <w:left w:val="single" w:sz="6" w:space="0" w:color="7F7F7F"/>
              <w:bottom w:val="single" w:sz="6" w:space="0" w:color="7F7F7F"/>
              <w:right w:val="single" w:sz="6" w:space="0" w:color="7F7F7F"/>
            </w:tcBorders>
            <w:hideMark/>
          </w:tcPr>
          <w:p w:rsidR="00BA0346" w:rsidRPr="00A95203" w:rsidRDefault="00BA0346" w:rsidP="00C75A65">
            <w:pPr>
              <w:widowControl/>
              <w:tabs>
                <w:tab w:val="left" w:pos="420"/>
              </w:tabs>
              <w:spacing w:before="100" w:beforeAutospacing="1" w:after="100" w:afterAutospacing="1"/>
              <w:jc w:val="center"/>
              <w:rPr>
                <w:kern w:val="0"/>
                <w:sz w:val="22"/>
                <w:szCs w:val="22"/>
              </w:rPr>
            </w:pPr>
            <w:r w:rsidRPr="00A95203">
              <w:rPr>
                <w:kern w:val="0"/>
                <w:sz w:val="22"/>
                <w:szCs w:val="22"/>
              </w:rPr>
              <w:t>200</w:t>
            </w:r>
            <w:r w:rsidRPr="00A95203">
              <w:rPr>
                <w:kern w:val="0"/>
                <w:sz w:val="22"/>
                <w:szCs w:val="22"/>
              </w:rPr>
              <w:t>万元（含）至</w:t>
            </w:r>
            <w:r w:rsidRPr="00A95203">
              <w:rPr>
                <w:kern w:val="0"/>
                <w:sz w:val="22"/>
                <w:szCs w:val="22"/>
              </w:rPr>
              <w:t>500</w:t>
            </w:r>
            <w:r w:rsidRPr="00A95203">
              <w:rPr>
                <w:kern w:val="0"/>
                <w:sz w:val="22"/>
                <w:szCs w:val="22"/>
              </w:rPr>
              <w:t>万元</w:t>
            </w:r>
          </w:p>
        </w:tc>
        <w:tc>
          <w:tcPr>
            <w:tcW w:w="1514" w:type="dxa"/>
            <w:tcBorders>
              <w:top w:val="single" w:sz="6" w:space="0" w:color="7F7F7F"/>
              <w:left w:val="single" w:sz="6" w:space="0" w:color="7F7F7F"/>
              <w:bottom w:val="single" w:sz="6" w:space="0" w:color="7F7F7F"/>
              <w:right w:val="single" w:sz="6" w:space="0" w:color="7F7F7F"/>
            </w:tcBorders>
            <w:hideMark/>
          </w:tcPr>
          <w:p w:rsidR="00BA0346" w:rsidRPr="00A95203" w:rsidRDefault="00BA0346" w:rsidP="00C75A65">
            <w:pPr>
              <w:widowControl/>
              <w:tabs>
                <w:tab w:val="left" w:pos="420"/>
              </w:tabs>
              <w:spacing w:before="100" w:beforeAutospacing="1" w:after="100" w:afterAutospacing="1"/>
              <w:jc w:val="center"/>
              <w:rPr>
                <w:kern w:val="0"/>
                <w:sz w:val="22"/>
                <w:szCs w:val="22"/>
              </w:rPr>
            </w:pPr>
            <w:r w:rsidRPr="00A95203">
              <w:rPr>
                <w:kern w:val="0"/>
                <w:sz w:val="22"/>
                <w:szCs w:val="22"/>
              </w:rPr>
              <w:t>0.1%</w:t>
            </w:r>
          </w:p>
        </w:tc>
      </w:tr>
      <w:tr w:rsidR="00BA0346" w:rsidRPr="00A95203" w:rsidTr="00C75A65">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C75A65">
            <w:pPr>
              <w:widowControl/>
              <w:jc w:val="left"/>
              <w:rPr>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C75A65">
            <w:pPr>
              <w:widowControl/>
              <w:jc w:val="left"/>
              <w:rPr>
                <w:kern w:val="0"/>
                <w:sz w:val="22"/>
                <w:szCs w:val="22"/>
              </w:rPr>
            </w:pPr>
          </w:p>
        </w:tc>
        <w:tc>
          <w:tcPr>
            <w:tcW w:w="3029" w:type="dxa"/>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C75A65">
            <w:pPr>
              <w:widowControl/>
              <w:tabs>
                <w:tab w:val="left" w:pos="420"/>
              </w:tabs>
              <w:spacing w:before="100" w:beforeAutospacing="1" w:after="100" w:afterAutospacing="1"/>
              <w:jc w:val="center"/>
              <w:rPr>
                <w:kern w:val="0"/>
                <w:sz w:val="22"/>
                <w:szCs w:val="22"/>
              </w:rPr>
            </w:pPr>
            <w:r w:rsidRPr="00A95203">
              <w:rPr>
                <w:kern w:val="0"/>
                <w:sz w:val="22"/>
                <w:szCs w:val="22"/>
              </w:rPr>
              <w:t>500</w:t>
            </w:r>
            <w:r w:rsidRPr="00A95203">
              <w:rPr>
                <w:kern w:val="0"/>
                <w:sz w:val="22"/>
                <w:szCs w:val="22"/>
              </w:rPr>
              <w:t>万元以上（含</w:t>
            </w:r>
            <w:r w:rsidRPr="00A95203">
              <w:rPr>
                <w:kern w:val="0"/>
                <w:sz w:val="22"/>
                <w:szCs w:val="22"/>
              </w:rPr>
              <w:t>500</w:t>
            </w:r>
            <w:r w:rsidRPr="00A95203">
              <w:rPr>
                <w:kern w:val="0"/>
                <w:sz w:val="22"/>
                <w:szCs w:val="22"/>
              </w:rPr>
              <w:t>万）</w:t>
            </w:r>
          </w:p>
        </w:tc>
        <w:tc>
          <w:tcPr>
            <w:tcW w:w="1514" w:type="dxa"/>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DE6D4A">
            <w:pPr>
              <w:widowControl/>
              <w:tabs>
                <w:tab w:val="left" w:pos="420"/>
              </w:tabs>
              <w:spacing w:before="100" w:beforeAutospacing="1" w:after="100" w:afterAutospacing="1"/>
              <w:jc w:val="center"/>
              <w:rPr>
                <w:kern w:val="0"/>
                <w:sz w:val="22"/>
                <w:szCs w:val="22"/>
              </w:rPr>
            </w:pPr>
            <w:r w:rsidRPr="00A95203">
              <w:rPr>
                <w:kern w:val="0"/>
                <w:sz w:val="22"/>
                <w:szCs w:val="22"/>
              </w:rPr>
              <w:t>0</w:t>
            </w:r>
          </w:p>
        </w:tc>
      </w:tr>
      <w:tr w:rsidR="00BA0346" w:rsidRPr="00A95203" w:rsidTr="008C3258">
        <w:trPr>
          <w:trHeight w:val="411"/>
          <w:tblCellSpacing w:w="0" w:type="dxa"/>
        </w:trPr>
        <w:tc>
          <w:tcPr>
            <w:tcW w:w="1922" w:type="dxa"/>
            <w:vMerge w:val="restart"/>
            <w:tcBorders>
              <w:top w:val="single" w:sz="6" w:space="0" w:color="7F7F7F"/>
              <w:left w:val="single" w:sz="6" w:space="0" w:color="7F7F7F"/>
              <w:right w:val="single" w:sz="6" w:space="0" w:color="7F7F7F"/>
            </w:tcBorders>
            <w:vAlign w:val="center"/>
            <w:hideMark/>
          </w:tcPr>
          <w:p w:rsidR="00BA0346" w:rsidRPr="00A95203" w:rsidRDefault="00BA0346" w:rsidP="003A3FB5">
            <w:pPr>
              <w:widowControl/>
              <w:tabs>
                <w:tab w:val="left" w:pos="420"/>
              </w:tabs>
              <w:jc w:val="left"/>
              <w:rPr>
                <w:kern w:val="0"/>
                <w:sz w:val="22"/>
                <w:szCs w:val="22"/>
              </w:rPr>
            </w:pPr>
            <w:r w:rsidRPr="00A95203">
              <w:rPr>
                <w:kern w:val="0"/>
                <w:sz w:val="22"/>
                <w:szCs w:val="22"/>
              </w:rPr>
              <w:t>交银荣和保本</w:t>
            </w:r>
          </w:p>
        </w:tc>
        <w:tc>
          <w:tcPr>
            <w:tcW w:w="2010" w:type="dxa"/>
            <w:vMerge w:val="restart"/>
            <w:tcBorders>
              <w:top w:val="single" w:sz="6" w:space="0" w:color="7F7F7F"/>
              <w:left w:val="single" w:sz="6" w:space="0" w:color="7F7F7F"/>
              <w:right w:val="single" w:sz="6" w:space="0" w:color="7F7F7F"/>
            </w:tcBorders>
            <w:vAlign w:val="center"/>
            <w:hideMark/>
          </w:tcPr>
          <w:p w:rsidR="00BA0346" w:rsidRPr="00A95203" w:rsidRDefault="00BA0346" w:rsidP="00D14546">
            <w:pPr>
              <w:widowControl/>
              <w:tabs>
                <w:tab w:val="left" w:pos="420"/>
              </w:tabs>
              <w:spacing w:line="360" w:lineRule="auto"/>
              <w:jc w:val="left"/>
              <w:rPr>
                <w:kern w:val="0"/>
                <w:sz w:val="22"/>
                <w:szCs w:val="22"/>
              </w:rPr>
            </w:pPr>
            <w:r w:rsidRPr="00A95203">
              <w:rPr>
                <w:kern w:val="0"/>
                <w:sz w:val="22"/>
                <w:szCs w:val="22"/>
              </w:rPr>
              <w:t>交银荣祥保本</w:t>
            </w:r>
          </w:p>
        </w:tc>
        <w:tc>
          <w:tcPr>
            <w:tcW w:w="3029" w:type="dxa"/>
            <w:tcBorders>
              <w:top w:val="single" w:sz="6" w:space="0" w:color="7F7F7F"/>
              <w:left w:val="single" w:sz="6" w:space="0" w:color="7F7F7F"/>
              <w:bottom w:val="single" w:sz="6" w:space="0" w:color="7F7F7F"/>
              <w:right w:val="single" w:sz="6" w:space="0" w:color="7F7F7F"/>
            </w:tcBorders>
            <w:vAlign w:val="center"/>
            <w:hideMark/>
          </w:tcPr>
          <w:p w:rsidR="00BA0346" w:rsidRPr="001E6C4C" w:rsidRDefault="00BA0346" w:rsidP="00C75A65">
            <w:pPr>
              <w:widowControl/>
              <w:tabs>
                <w:tab w:val="left" w:pos="420"/>
              </w:tabs>
              <w:spacing w:before="100" w:beforeAutospacing="1" w:after="100" w:afterAutospacing="1"/>
              <w:jc w:val="center"/>
              <w:rPr>
                <w:kern w:val="0"/>
                <w:sz w:val="22"/>
                <w:szCs w:val="22"/>
              </w:rPr>
            </w:pPr>
            <w:r w:rsidRPr="001E6C4C">
              <w:rPr>
                <w:kern w:val="0"/>
                <w:sz w:val="22"/>
                <w:szCs w:val="22"/>
              </w:rPr>
              <w:t>500</w:t>
            </w:r>
            <w:r w:rsidRPr="001E6C4C">
              <w:rPr>
                <w:kern w:val="0"/>
                <w:sz w:val="22"/>
                <w:szCs w:val="22"/>
              </w:rPr>
              <w:t>万元以下</w:t>
            </w:r>
          </w:p>
        </w:tc>
        <w:tc>
          <w:tcPr>
            <w:tcW w:w="1514" w:type="dxa"/>
            <w:tcBorders>
              <w:top w:val="single" w:sz="6" w:space="0" w:color="7F7F7F"/>
              <w:left w:val="single" w:sz="6" w:space="0" w:color="7F7F7F"/>
              <w:right w:val="single" w:sz="6" w:space="0" w:color="7F7F7F"/>
            </w:tcBorders>
            <w:vAlign w:val="center"/>
            <w:hideMark/>
          </w:tcPr>
          <w:p w:rsidR="00BA0346" w:rsidRPr="00A95203" w:rsidRDefault="00BA0346" w:rsidP="00C75A65">
            <w:pPr>
              <w:widowControl/>
              <w:tabs>
                <w:tab w:val="left" w:pos="420"/>
              </w:tabs>
              <w:spacing w:before="100" w:beforeAutospacing="1" w:after="100" w:afterAutospacing="1"/>
              <w:jc w:val="center"/>
            </w:pPr>
            <w:r w:rsidRPr="00A95203">
              <w:t>0.2%</w:t>
            </w:r>
          </w:p>
        </w:tc>
      </w:tr>
      <w:tr w:rsidR="00BA0346" w:rsidRPr="00A95203" w:rsidTr="00C75A65">
        <w:trPr>
          <w:trHeight w:val="388"/>
          <w:tblCellSpacing w:w="0" w:type="dxa"/>
        </w:trPr>
        <w:tc>
          <w:tcPr>
            <w:tcW w:w="1922" w:type="dxa"/>
            <w:vMerge/>
            <w:tcBorders>
              <w:left w:val="single" w:sz="6" w:space="0" w:color="7F7F7F"/>
              <w:right w:val="single" w:sz="6" w:space="0" w:color="7F7F7F"/>
            </w:tcBorders>
            <w:vAlign w:val="center"/>
            <w:hideMark/>
          </w:tcPr>
          <w:p w:rsidR="00BA0346" w:rsidRPr="00A95203" w:rsidRDefault="00BA0346" w:rsidP="00C75A65">
            <w:pPr>
              <w:widowControl/>
              <w:jc w:val="left"/>
              <w:rPr>
                <w:kern w:val="0"/>
                <w:sz w:val="22"/>
                <w:szCs w:val="22"/>
              </w:rPr>
            </w:pPr>
          </w:p>
        </w:tc>
        <w:tc>
          <w:tcPr>
            <w:tcW w:w="2010" w:type="dxa"/>
            <w:vMerge/>
            <w:tcBorders>
              <w:left w:val="single" w:sz="6" w:space="0" w:color="7F7F7F"/>
              <w:right w:val="single" w:sz="6" w:space="0" w:color="7F7F7F"/>
            </w:tcBorders>
            <w:vAlign w:val="center"/>
            <w:hideMark/>
          </w:tcPr>
          <w:p w:rsidR="00BA0346" w:rsidRPr="00A95203" w:rsidRDefault="00BA0346" w:rsidP="00C75A65">
            <w:pPr>
              <w:widowControl/>
              <w:spacing w:line="360" w:lineRule="auto"/>
              <w:jc w:val="left"/>
              <w:rPr>
                <w:kern w:val="0"/>
                <w:sz w:val="22"/>
                <w:szCs w:val="22"/>
              </w:rPr>
            </w:pPr>
          </w:p>
        </w:tc>
        <w:tc>
          <w:tcPr>
            <w:tcW w:w="3029" w:type="dxa"/>
            <w:tcBorders>
              <w:top w:val="single" w:sz="6" w:space="0" w:color="7F7F7F"/>
              <w:left w:val="single" w:sz="6" w:space="0" w:color="7F7F7F"/>
              <w:bottom w:val="single" w:sz="6" w:space="0" w:color="7F7F7F"/>
              <w:right w:val="single" w:sz="6" w:space="0" w:color="7F7F7F"/>
            </w:tcBorders>
            <w:vAlign w:val="center"/>
            <w:hideMark/>
          </w:tcPr>
          <w:p w:rsidR="00BA0346" w:rsidRPr="001E6C4C" w:rsidRDefault="00BA0346" w:rsidP="00C75A65">
            <w:pPr>
              <w:widowControl/>
              <w:tabs>
                <w:tab w:val="left" w:pos="420"/>
              </w:tabs>
              <w:spacing w:before="100" w:beforeAutospacing="1" w:after="100" w:afterAutospacing="1"/>
              <w:jc w:val="center"/>
              <w:rPr>
                <w:kern w:val="0"/>
                <w:sz w:val="22"/>
                <w:szCs w:val="22"/>
              </w:rPr>
            </w:pPr>
            <w:r w:rsidRPr="001E6C4C">
              <w:rPr>
                <w:kern w:val="0"/>
                <w:sz w:val="22"/>
                <w:szCs w:val="22"/>
              </w:rPr>
              <w:t>500</w:t>
            </w:r>
            <w:r w:rsidRPr="001E6C4C">
              <w:rPr>
                <w:kern w:val="0"/>
                <w:sz w:val="22"/>
                <w:szCs w:val="22"/>
              </w:rPr>
              <w:t>万元以上（含</w:t>
            </w:r>
            <w:r w:rsidRPr="001E6C4C">
              <w:rPr>
                <w:kern w:val="0"/>
                <w:sz w:val="22"/>
                <w:szCs w:val="22"/>
              </w:rPr>
              <w:t>500</w:t>
            </w:r>
            <w:r w:rsidRPr="001E6C4C">
              <w:rPr>
                <w:kern w:val="0"/>
                <w:sz w:val="22"/>
                <w:szCs w:val="22"/>
              </w:rPr>
              <w:t>万）</w:t>
            </w:r>
          </w:p>
        </w:tc>
        <w:tc>
          <w:tcPr>
            <w:tcW w:w="1514" w:type="dxa"/>
            <w:tcBorders>
              <w:top w:val="single" w:sz="6" w:space="0" w:color="7F7F7F"/>
              <w:left w:val="single" w:sz="6" w:space="0" w:color="7F7F7F"/>
              <w:right w:val="single" w:sz="6" w:space="0" w:color="7F7F7F"/>
            </w:tcBorders>
            <w:vAlign w:val="center"/>
            <w:hideMark/>
          </w:tcPr>
          <w:p w:rsidR="00BA0346" w:rsidRPr="00A95203" w:rsidRDefault="00BA0346" w:rsidP="00C75A65">
            <w:pPr>
              <w:widowControl/>
              <w:tabs>
                <w:tab w:val="left" w:pos="420"/>
              </w:tabs>
              <w:spacing w:before="100" w:beforeAutospacing="1" w:after="100" w:afterAutospacing="1"/>
              <w:jc w:val="center"/>
            </w:pPr>
            <w:r w:rsidRPr="00A95203">
              <w:t>0</w:t>
            </w:r>
          </w:p>
        </w:tc>
      </w:tr>
      <w:tr w:rsidR="00BA0346" w:rsidRPr="00A95203" w:rsidTr="00C75A65">
        <w:trPr>
          <w:trHeight w:val="319"/>
          <w:tblCellSpacing w:w="0" w:type="dxa"/>
        </w:trPr>
        <w:tc>
          <w:tcPr>
            <w:tcW w:w="1922" w:type="dxa"/>
            <w:vMerge w:val="restart"/>
            <w:tcBorders>
              <w:top w:val="single" w:sz="6" w:space="0" w:color="7F7F7F"/>
              <w:left w:val="single" w:sz="6" w:space="0" w:color="7F7F7F"/>
              <w:right w:val="single" w:sz="6" w:space="0" w:color="7F7F7F"/>
            </w:tcBorders>
            <w:vAlign w:val="center"/>
            <w:hideMark/>
          </w:tcPr>
          <w:p w:rsidR="00BA0346" w:rsidRPr="00A95203" w:rsidRDefault="00BA0346" w:rsidP="003A3FB5">
            <w:pPr>
              <w:widowControl/>
              <w:tabs>
                <w:tab w:val="left" w:pos="420"/>
              </w:tabs>
              <w:jc w:val="left"/>
              <w:rPr>
                <w:kern w:val="0"/>
                <w:sz w:val="22"/>
                <w:szCs w:val="22"/>
              </w:rPr>
            </w:pPr>
            <w:r w:rsidRPr="00A95203">
              <w:rPr>
                <w:kern w:val="0"/>
                <w:sz w:val="22"/>
                <w:szCs w:val="22"/>
              </w:rPr>
              <w:t>交银荣和保本</w:t>
            </w:r>
          </w:p>
        </w:tc>
        <w:tc>
          <w:tcPr>
            <w:tcW w:w="2010" w:type="dxa"/>
            <w:vMerge w:val="restart"/>
            <w:tcBorders>
              <w:top w:val="single" w:sz="6" w:space="0" w:color="7F7F7F"/>
              <w:left w:val="single" w:sz="6" w:space="0" w:color="7F7F7F"/>
              <w:right w:val="single" w:sz="6" w:space="0" w:color="7F7F7F"/>
            </w:tcBorders>
            <w:vAlign w:val="center"/>
            <w:hideMark/>
          </w:tcPr>
          <w:p w:rsidR="00BA0346" w:rsidRPr="00A95203" w:rsidRDefault="00BA0346" w:rsidP="003A3FB5">
            <w:pPr>
              <w:widowControl/>
              <w:tabs>
                <w:tab w:val="left" w:pos="420"/>
              </w:tabs>
              <w:spacing w:line="360" w:lineRule="auto"/>
              <w:jc w:val="left"/>
              <w:rPr>
                <w:kern w:val="0"/>
                <w:sz w:val="22"/>
                <w:szCs w:val="22"/>
              </w:rPr>
            </w:pPr>
            <w:r w:rsidRPr="00A95203">
              <w:rPr>
                <w:kern w:val="0"/>
                <w:sz w:val="22"/>
                <w:szCs w:val="22"/>
              </w:rPr>
              <w:t>前端收费模式下</w:t>
            </w:r>
          </w:p>
          <w:p w:rsidR="00BA0346" w:rsidRPr="00A95203" w:rsidRDefault="00BA0346" w:rsidP="003A3FB5">
            <w:pPr>
              <w:widowControl/>
              <w:tabs>
                <w:tab w:val="left" w:pos="420"/>
              </w:tabs>
              <w:spacing w:line="360" w:lineRule="auto"/>
              <w:jc w:val="left"/>
              <w:rPr>
                <w:kern w:val="0"/>
                <w:sz w:val="22"/>
                <w:szCs w:val="22"/>
              </w:rPr>
            </w:pPr>
            <w:r w:rsidRPr="00A95203">
              <w:rPr>
                <w:kern w:val="0"/>
                <w:sz w:val="22"/>
                <w:szCs w:val="22"/>
              </w:rPr>
              <w:lastRenderedPageBreak/>
              <w:t>交银行业、交银趋势</w:t>
            </w:r>
            <w:r w:rsidR="001B543A">
              <w:rPr>
                <w:rFonts w:hint="eastAsia"/>
                <w:kern w:val="0"/>
                <w:sz w:val="22"/>
                <w:szCs w:val="22"/>
              </w:rPr>
              <w:t>、交银经济新动力</w:t>
            </w:r>
          </w:p>
        </w:tc>
        <w:tc>
          <w:tcPr>
            <w:tcW w:w="3029" w:type="dxa"/>
            <w:tcBorders>
              <w:top w:val="single" w:sz="6" w:space="0" w:color="7F7F7F"/>
              <w:left w:val="single" w:sz="6" w:space="0" w:color="7F7F7F"/>
              <w:bottom w:val="single" w:sz="6" w:space="0" w:color="7F7F7F"/>
              <w:right w:val="single" w:sz="6" w:space="0" w:color="7F7F7F"/>
            </w:tcBorders>
            <w:vAlign w:val="center"/>
            <w:hideMark/>
          </w:tcPr>
          <w:p w:rsidR="00BA0346" w:rsidRPr="001E6C4C" w:rsidRDefault="00BA0346" w:rsidP="00C75A65">
            <w:pPr>
              <w:widowControl/>
              <w:tabs>
                <w:tab w:val="left" w:pos="420"/>
              </w:tabs>
              <w:spacing w:before="100" w:beforeAutospacing="1" w:after="100" w:afterAutospacing="1"/>
              <w:jc w:val="center"/>
              <w:rPr>
                <w:kern w:val="0"/>
                <w:sz w:val="22"/>
                <w:szCs w:val="22"/>
              </w:rPr>
            </w:pPr>
            <w:r w:rsidRPr="001E6C4C">
              <w:rPr>
                <w:kern w:val="0"/>
                <w:sz w:val="22"/>
                <w:szCs w:val="22"/>
              </w:rPr>
              <w:lastRenderedPageBreak/>
              <w:t>100</w:t>
            </w:r>
            <w:r w:rsidRPr="001E6C4C">
              <w:rPr>
                <w:kern w:val="0"/>
                <w:sz w:val="22"/>
                <w:szCs w:val="22"/>
              </w:rPr>
              <w:t>万元以下</w:t>
            </w:r>
          </w:p>
        </w:tc>
        <w:tc>
          <w:tcPr>
            <w:tcW w:w="1514" w:type="dxa"/>
            <w:tcBorders>
              <w:top w:val="single" w:sz="6" w:space="0" w:color="7F7F7F"/>
              <w:left w:val="single" w:sz="6" w:space="0" w:color="7F7F7F"/>
              <w:right w:val="single" w:sz="6" w:space="0" w:color="7F7F7F"/>
            </w:tcBorders>
            <w:vAlign w:val="center"/>
            <w:hideMark/>
          </w:tcPr>
          <w:p w:rsidR="00BA0346" w:rsidRPr="00A95203" w:rsidRDefault="00BA0346" w:rsidP="00C75A65">
            <w:pPr>
              <w:widowControl/>
              <w:tabs>
                <w:tab w:val="left" w:pos="420"/>
              </w:tabs>
              <w:spacing w:before="100" w:beforeAutospacing="1" w:after="100" w:afterAutospacing="1"/>
              <w:jc w:val="center"/>
            </w:pPr>
            <w:r w:rsidRPr="00A95203">
              <w:t>0.5%</w:t>
            </w:r>
          </w:p>
        </w:tc>
      </w:tr>
      <w:tr w:rsidR="00BA0346" w:rsidRPr="00A95203" w:rsidTr="00C75A65">
        <w:trPr>
          <w:trHeight w:val="396"/>
          <w:tblCellSpacing w:w="0" w:type="dxa"/>
        </w:trPr>
        <w:tc>
          <w:tcPr>
            <w:tcW w:w="1922" w:type="dxa"/>
            <w:vMerge/>
            <w:tcBorders>
              <w:left w:val="single" w:sz="6" w:space="0" w:color="7F7F7F"/>
              <w:right w:val="single" w:sz="6" w:space="0" w:color="7F7F7F"/>
            </w:tcBorders>
            <w:vAlign w:val="center"/>
            <w:hideMark/>
          </w:tcPr>
          <w:p w:rsidR="00BA0346" w:rsidRPr="00A95203" w:rsidRDefault="00BA0346" w:rsidP="00C75A65">
            <w:pPr>
              <w:widowControl/>
              <w:jc w:val="left"/>
              <w:rPr>
                <w:kern w:val="0"/>
                <w:sz w:val="22"/>
                <w:szCs w:val="22"/>
              </w:rPr>
            </w:pPr>
          </w:p>
        </w:tc>
        <w:tc>
          <w:tcPr>
            <w:tcW w:w="2010" w:type="dxa"/>
            <w:vMerge/>
            <w:tcBorders>
              <w:left w:val="single" w:sz="6" w:space="0" w:color="7F7F7F"/>
              <w:right w:val="single" w:sz="6" w:space="0" w:color="7F7F7F"/>
            </w:tcBorders>
            <w:vAlign w:val="center"/>
            <w:hideMark/>
          </w:tcPr>
          <w:p w:rsidR="00BA0346" w:rsidRPr="00A95203" w:rsidRDefault="00BA0346" w:rsidP="00C75A65">
            <w:pPr>
              <w:widowControl/>
              <w:spacing w:line="360" w:lineRule="auto"/>
              <w:jc w:val="left"/>
              <w:rPr>
                <w:kern w:val="0"/>
                <w:sz w:val="22"/>
                <w:szCs w:val="22"/>
              </w:rPr>
            </w:pPr>
          </w:p>
        </w:tc>
        <w:tc>
          <w:tcPr>
            <w:tcW w:w="3029" w:type="dxa"/>
            <w:tcBorders>
              <w:top w:val="single" w:sz="6" w:space="0" w:color="7F7F7F"/>
              <w:left w:val="single" w:sz="6" w:space="0" w:color="7F7F7F"/>
              <w:bottom w:val="single" w:sz="6" w:space="0" w:color="7F7F7F"/>
              <w:right w:val="single" w:sz="6" w:space="0" w:color="7F7F7F"/>
            </w:tcBorders>
            <w:vAlign w:val="center"/>
            <w:hideMark/>
          </w:tcPr>
          <w:p w:rsidR="00BA0346" w:rsidRPr="001E6C4C" w:rsidRDefault="00BA0346" w:rsidP="00C75A65">
            <w:pPr>
              <w:widowControl/>
              <w:tabs>
                <w:tab w:val="left" w:pos="420"/>
              </w:tabs>
              <w:spacing w:before="100" w:beforeAutospacing="1" w:after="100" w:afterAutospacing="1"/>
              <w:jc w:val="center"/>
              <w:rPr>
                <w:kern w:val="0"/>
                <w:sz w:val="22"/>
                <w:szCs w:val="22"/>
              </w:rPr>
            </w:pPr>
            <w:r w:rsidRPr="001E6C4C">
              <w:rPr>
                <w:kern w:val="0"/>
                <w:sz w:val="22"/>
                <w:szCs w:val="22"/>
              </w:rPr>
              <w:t>100</w:t>
            </w:r>
            <w:r w:rsidRPr="001E6C4C">
              <w:rPr>
                <w:kern w:val="0"/>
                <w:sz w:val="22"/>
                <w:szCs w:val="22"/>
              </w:rPr>
              <w:t>万元（含）至</w:t>
            </w:r>
            <w:r w:rsidRPr="001E6C4C">
              <w:rPr>
                <w:kern w:val="0"/>
                <w:sz w:val="22"/>
                <w:szCs w:val="22"/>
              </w:rPr>
              <w:t>500</w:t>
            </w:r>
            <w:r w:rsidRPr="001E6C4C">
              <w:rPr>
                <w:kern w:val="0"/>
                <w:sz w:val="22"/>
                <w:szCs w:val="22"/>
              </w:rPr>
              <w:t>万元</w:t>
            </w:r>
          </w:p>
        </w:tc>
        <w:tc>
          <w:tcPr>
            <w:tcW w:w="1514" w:type="dxa"/>
            <w:tcBorders>
              <w:top w:val="single" w:sz="6" w:space="0" w:color="7F7F7F"/>
              <w:left w:val="single" w:sz="6" w:space="0" w:color="7F7F7F"/>
              <w:right w:val="single" w:sz="6" w:space="0" w:color="7F7F7F"/>
            </w:tcBorders>
            <w:vAlign w:val="center"/>
            <w:hideMark/>
          </w:tcPr>
          <w:p w:rsidR="00BA0346" w:rsidRPr="00A95203" w:rsidRDefault="00BA0346" w:rsidP="00C75A65">
            <w:pPr>
              <w:widowControl/>
              <w:tabs>
                <w:tab w:val="left" w:pos="420"/>
              </w:tabs>
              <w:spacing w:before="100" w:beforeAutospacing="1" w:after="100" w:afterAutospacing="1"/>
              <w:jc w:val="center"/>
            </w:pPr>
            <w:r w:rsidRPr="00A95203">
              <w:t>0.4%</w:t>
            </w:r>
          </w:p>
        </w:tc>
      </w:tr>
      <w:tr w:rsidR="00BA0346" w:rsidRPr="00A95203" w:rsidTr="00C40F3F">
        <w:trPr>
          <w:trHeight w:val="273"/>
          <w:tblCellSpacing w:w="0" w:type="dxa"/>
        </w:trPr>
        <w:tc>
          <w:tcPr>
            <w:tcW w:w="1922" w:type="dxa"/>
            <w:vMerge/>
            <w:tcBorders>
              <w:left w:val="single" w:sz="6" w:space="0" w:color="7F7F7F"/>
              <w:right w:val="single" w:sz="6" w:space="0" w:color="7F7F7F"/>
            </w:tcBorders>
            <w:vAlign w:val="center"/>
            <w:hideMark/>
          </w:tcPr>
          <w:p w:rsidR="00BA0346" w:rsidRPr="00A95203" w:rsidRDefault="00BA0346" w:rsidP="00C75A65">
            <w:pPr>
              <w:widowControl/>
              <w:jc w:val="left"/>
              <w:rPr>
                <w:kern w:val="0"/>
                <w:sz w:val="22"/>
                <w:szCs w:val="22"/>
              </w:rPr>
            </w:pPr>
          </w:p>
        </w:tc>
        <w:tc>
          <w:tcPr>
            <w:tcW w:w="2010" w:type="dxa"/>
            <w:vMerge/>
            <w:tcBorders>
              <w:left w:val="single" w:sz="6" w:space="0" w:color="7F7F7F"/>
              <w:right w:val="single" w:sz="6" w:space="0" w:color="7F7F7F"/>
            </w:tcBorders>
            <w:vAlign w:val="center"/>
            <w:hideMark/>
          </w:tcPr>
          <w:p w:rsidR="00BA0346" w:rsidRPr="00A95203" w:rsidRDefault="00BA0346" w:rsidP="00C75A65">
            <w:pPr>
              <w:widowControl/>
              <w:spacing w:line="360" w:lineRule="auto"/>
              <w:jc w:val="left"/>
              <w:rPr>
                <w:kern w:val="0"/>
                <w:sz w:val="22"/>
                <w:szCs w:val="22"/>
              </w:rPr>
            </w:pPr>
          </w:p>
        </w:tc>
        <w:tc>
          <w:tcPr>
            <w:tcW w:w="3029" w:type="dxa"/>
            <w:tcBorders>
              <w:top w:val="single" w:sz="6" w:space="0" w:color="7F7F7F"/>
              <w:left w:val="single" w:sz="6" w:space="0" w:color="7F7F7F"/>
              <w:bottom w:val="single" w:sz="6" w:space="0" w:color="7F7F7F"/>
              <w:right w:val="single" w:sz="6" w:space="0" w:color="7F7F7F"/>
            </w:tcBorders>
            <w:vAlign w:val="center"/>
            <w:hideMark/>
          </w:tcPr>
          <w:p w:rsidR="00BA0346" w:rsidRPr="001E6C4C" w:rsidRDefault="00BA0346" w:rsidP="00C75A65">
            <w:pPr>
              <w:widowControl/>
              <w:tabs>
                <w:tab w:val="left" w:pos="420"/>
              </w:tabs>
              <w:spacing w:before="100" w:beforeAutospacing="1" w:after="100" w:afterAutospacing="1"/>
              <w:jc w:val="center"/>
              <w:rPr>
                <w:kern w:val="0"/>
                <w:sz w:val="22"/>
                <w:szCs w:val="22"/>
              </w:rPr>
            </w:pPr>
            <w:r w:rsidRPr="001E6C4C">
              <w:rPr>
                <w:kern w:val="0"/>
                <w:sz w:val="22"/>
                <w:szCs w:val="22"/>
              </w:rPr>
              <w:t>500</w:t>
            </w:r>
            <w:r w:rsidRPr="001E6C4C">
              <w:rPr>
                <w:kern w:val="0"/>
                <w:sz w:val="22"/>
                <w:szCs w:val="22"/>
              </w:rPr>
              <w:t>万元以上（含</w:t>
            </w:r>
            <w:r w:rsidRPr="001E6C4C">
              <w:rPr>
                <w:kern w:val="0"/>
                <w:sz w:val="22"/>
                <w:szCs w:val="22"/>
              </w:rPr>
              <w:t>500</w:t>
            </w:r>
            <w:r w:rsidRPr="001E6C4C">
              <w:rPr>
                <w:kern w:val="0"/>
                <w:sz w:val="22"/>
                <w:szCs w:val="22"/>
              </w:rPr>
              <w:t>万）</w:t>
            </w:r>
          </w:p>
        </w:tc>
        <w:tc>
          <w:tcPr>
            <w:tcW w:w="1514" w:type="dxa"/>
            <w:tcBorders>
              <w:top w:val="single" w:sz="6" w:space="0" w:color="7F7F7F"/>
              <w:left w:val="single" w:sz="6" w:space="0" w:color="7F7F7F"/>
              <w:right w:val="single" w:sz="6" w:space="0" w:color="7F7F7F"/>
            </w:tcBorders>
            <w:vAlign w:val="center"/>
            <w:hideMark/>
          </w:tcPr>
          <w:p w:rsidR="00BA0346" w:rsidRPr="00A95203" w:rsidRDefault="00BA0346" w:rsidP="00C75A65">
            <w:pPr>
              <w:widowControl/>
              <w:tabs>
                <w:tab w:val="left" w:pos="420"/>
              </w:tabs>
              <w:spacing w:before="100" w:beforeAutospacing="1" w:after="100" w:afterAutospacing="1"/>
              <w:jc w:val="center"/>
            </w:pPr>
            <w:r w:rsidRPr="00A95203">
              <w:t>0</w:t>
            </w:r>
          </w:p>
        </w:tc>
      </w:tr>
      <w:tr w:rsidR="00BA0346" w:rsidRPr="00A95203" w:rsidTr="00C75A65">
        <w:trPr>
          <w:trHeight w:val="319"/>
          <w:tblCellSpacing w:w="0" w:type="dxa"/>
        </w:trPr>
        <w:tc>
          <w:tcPr>
            <w:tcW w:w="1922" w:type="dxa"/>
            <w:vMerge w:val="restart"/>
            <w:tcBorders>
              <w:top w:val="single" w:sz="6" w:space="0" w:color="7F7F7F"/>
              <w:left w:val="single" w:sz="6" w:space="0" w:color="7F7F7F"/>
              <w:right w:val="single" w:sz="6" w:space="0" w:color="7F7F7F"/>
            </w:tcBorders>
            <w:vAlign w:val="center"/>
            <w:hideMark/>
          </w:tcPr>
          <w:p w:rsidR="00BA0346" w:rsidRPr="00A95203" w:rsidRDefault="00BA0346" w:rsidP="00C75A65">
            <w:pPr>
              <w:widowControl/>
              <w:tabs>
                <w:tab w:val="left" w:pos="420"/>
              </w:tabs>
              <w:jc w:val="left"/>
              <w:rPr>
                <w:kern w:val="0"/>
                <w:sz w:val="22"/>
                <w:szCs w:val="22"/>
              </w:rPr>
            </w:pPr>
            <w:r w:rsidRPr="00A95203">
              <w:rPr>
                <w:kern w:val="0"/>
                <w:sz w:val="22"/>
                <w:szCs w:val="22"/>
              </w:rPr>
              <w:t>交银荣和保本</w:t>
            </w:r>
          </w:p>
        </w:tc>
        <w:tc>
          <w:tcPr>
            <w:tcW w:w="2010" w:type="dxa"/>
            <w:vMerge w:val="restart"/>
            <w:tcBorders>
              <w:top w:val="single" w:sz="6" w:space="0" w:color="7F7F7F"/>
              <w:left w:val="single" w:sz="6" w:space="0" w:color="7F7F7F"/>
              <w:right w:val="single" w:sz="6" w:space="0" w:color="7F7F7F"/>
            </w:tcBorders>
            <w:vAlign w:val="center"/>
            <w:hideMark/>
          </w:tcPr>
          <w:p w:rsidR="00BA0346" w:rsidRPr="00A95203" w:rsidRDefault="00BA0346" w:rsidP="00C75A65">
            <w:pPr>
              <w:widowControl/>
              <w:tabs>
                <w:tab w:val="left" w:pos="420"/>
              </w:tabs>
              <w:spacing w:line="360" w:lineRule="auto"/>
              <w:jc w:val="left"/>
              <w:rPr>
                <w:kern w:val="0"/>
                <w:sz w:val="22"/>
                <w:szCs w:val="22"/>
              </w:rPr>
            </w:pPr>
            <w:r>
              <w:rPr>
                <w:rFonts w:hint="eastAsia"/>
                <w:kern w:val="0"/>
                <w:sz w:val="22"/>
                <w:szCs w:val="22"/>
              </w:rPr>
              <w:t>交银科技创新</w:t>
            </w:r>
          </w:p>
        </w:tc>
        <w:tc>
          <w:tcPr>
            <w:tcW w:w="3029" w:type="dxa"/>
            <w:tcBorders>
              <w:top w:val="single" w:sz="6" w:space="0" w:color="7F7F7F"/>
              <w:left w:val="single" w:sz="6" w:space="0" w:color="7F7F7F"/>
              <w:bottom w:val="single" w:sz="6" w:space="0" w:color="7F7F7F"/>
              <w:right w:val="single" w:sz="6" w:space="0" w:color="7F7F7F"/>
            </w:tcBorders>
            <w:vAlign w:val="center"/>
            <w:hideMark/>
          </w:tcPr>
          <w:p w:rsidR="00BA0346" w:rsidRPr="001E6C4C" w:rsidRDefault="00BA0346" w:rsidP="00C75A65">
            <w:pPr>
              <w:widowControl/>
              <w:tabs>
                <w:tab w:val="left" w:pos="420"/>
              </w:tabs>
              <w:spacing w:before="100" w:beforeAutospacing="1" w:after="100" w:afterAutospacing="1"/>
              <w:jc w:val="center"/>
              <w:rPr>
                <w:kern w:val="0"/>
                <w:sz w:val="22"/>
                <w:szCs w:val="22"/>
              </w:rPr>
            </w:pPr>
            <w:r w:rsidRPr="001E6C4C">
              <w:rPr>
                <w:rFonts w:hint="eastAsia"/>
                <w:kern w:val="0"/>
                <w:sz w:val="22"/>
                <w:szCs w:val="22"/>
              </w:rPr>
              <w:t>2</w:t>
            </w:r>
            <w:r w:rsidRPr="001E6C4C">
              <w:rPr>
                <w:kern w:val="0"/>
                <w:sz w:val="22"/>
                <w:szCs w:val="22"/>
              </w:rPr>
              <w:t>00</w:t>
            </w:r>
            <w:r w:rsidRPr="001E6C4C">
              <w:rPr>
                <w:kern w:val="0"/>
                <w:sz w:val="22"/>
                <w:szCs w:val="22"/>
              </w:rPr>
              <w:t>万元以下</w:t>
            </w:r>
          </w:p>
        </w:tc>
        <w:tc>
          <w:tcPr>
            <w:tcW w:w="1514" w:type="dxa"/>
            <w:tcBorders>
              <w:top w:val="single" w:sz="6" w:space="0" w:color="7F7F7F"/>
              <w:left w:val="single" w:sz="6" w:space="0" w:color="7F7F7F"/>
              <w:right w:val="single" w:sz="6" w:space="0" w:color="7F7F7F"/>
            </w:tcBorders>
            <w:vAlign w:val="center"/>
            <w:hideMark/>
          </w:tcPr>
          <w:p w:rsidR="00BA0346" w:rsidRPr="00A95203" w:rsidRDefault="00BA0346" w:rsidP="00C75A65">
            <w:pPr>
              <w:widowControl/>
              <w:tabs>
                <w:tab w:val="left" w:pos="420"/>
              </w:tabs>
              <w:spacing w:before="100" w:beforeAutospacing="1" w:after="100" w:afterAutospacing="1"/>
              <w:jc w:val="center"/>
            </w:pPr>
            <w:r w:rsidRPr="00A95203">
              <w:t>0.5%</w:t>
            </w:r>
          </w:p>
        </w:tc>
      </w:tr>
      <w:tr w:rsidR="00BA0346" w:rsidRPr="00A95203" w:rsidTr="00C75A65">
        <w:trPr>
          <w:trHeight w:val="396"/>
          <w:tblCellSpacing w:w="0" w:type="dxa"/>
        </w:trPr>
        <w:tc>
          <w:tcPr>
            <w:tcW w:w="1922" w:type="dxa"/>
            <w:vMerge/>
            <w:tcBorders>
              <w:left w:val="single" w:sz="6" w:space="0" w:color="7F7F7F"/>
              <w:right w:val="single" w:sz="6" w:space="0" w:color="7F7F7F"/>
            </w:tcBorders>
            <w:vAlign w:val="center"/>
            <w:hideMark/>
          </w:tcPr>
          <w:p w:rsidR="00BA0346" w:rsidRPr="00A95203" w:rsidRDefault="00BA0346" w:rsidP="00C75A65">
            <w:pPr>
              <w:widowControl/>
              <w:jc w:val="left"/>
              <w:rPr>
                <w:kern w:val="0"/>
                <w:sz w:val="22"/>
                <w:szCs w:val="22"/>
              </w:rPr>
            </w:pPr>
          </w:p>
        </w:tc>
        <w:tc>
          <w:tcPr>
            <w:tcW w:w="2010" w:type="dxa"/>
            <w:vMerge/>
            <w:tcBorders>
              <w:left w:val="single" w:sz="6" w:space="0" w:color="7F7F7F"/>
              <w:right w:val="single" w:sz="6" w:space="0" w:color="7F7F7F"/>
            </w:tcBorders>
            <w:vAlign w:val="center"/>
            <w:hideMark/>
          </w:tcPr>
          <w:p w:rsidR="00BA0346" w:rsidRPr="00A95203" w:rsidRDefault="00BA0346" w:rsidP="00C75A65">
            <w:pPr>
              <w:widowControl/>
              <w:spacing w:line="360" w:lineRule="auto"/>
              <w:jc w:val="left"/>
              <w:rPr>
                <w:kern w:val="0"/>
                <w:sz w:val="22"/>
                <w:szCs w:val="22"/>
              </w:rPr>
            </w:pPr>
          </w:p>
        </w:tc>
        <w:tc>
          <w:tcPr>
            <w:tcW w:w="3029" w:type="dxa"/>
            <w:tcBorders>
              <w:top w:val="single" w:sz="6" w:space="0" w:color="7F7F7F"/>
              <w:left w:val="single" w:sz="6" w:space="0" w:color="7F7F7F"/>
              <w:bottom w:val="single" w:sz="6" w:space="0" w:color="7F7F7F"/>
              <w:right w:val="single" w:sz="6" w:space="0" w:color="7F7F7F"/>
            </w:tcBorders>
            <w:vAlign w:val="center"/>
            <w:hideMark/>
          </w:tcPr>
          <w:p w:rsidR="00BA0346" w:rsidRPr="001E6C4C" w:rsidRDefault="00BA0346" w:rsidP="00C75A65">
            <w:pPr>
              <w:widowControl/>
              <w:tabs>
                <w:tab w:val="left" w:pos="420"/>
              </w:tabs>
              <w:spacing w:before="100" w:beforeAutospacing="1" w:after="100" w:afterAutospacing="1"/>
              <w:jc w:val="center"/>
              <w:rPr>
                <w:kern w:val="0"/>
                <w:sz w:val="22"/>
                <w:szCs w:val="22"/>
              </w:rPr>
            </w:pPr>
            <w:r w:rsidRPr="001E6C4C">
              <w:rPr>
                <w:rFonts w:hint="eastAsia"/>
                <w:kern w:val="0"/>
                <w:sz w:val="22"/>
                <w:szCs w:val="22"/>
              </w:rPr>
              <w:t>2</w:t>
            </w:r>
            <w:r w:rsidRPr="001E6C4C">
              <w:rPr>
                <w:kern w:val="0"/>
                <w:sz w:val="22"/>
                <w:szCs w:val="22"/>
              </w:rPr>
              <w:t>00</w:t>
            </w:r>
            <w:r w:rsidRPr="001E6C4C">
              <w:rPr>
                <w:kern w:val="0"/>
                <w:sz w:val="22"/>
                <w:szCs w:val="22"/>
              </w:rPr>
              <w:t>万元（含）至</w:t>
            </w:r>
            <w:r w:rsidRPr="001E6C4C">
              <w:rPr>
                <w:kern w:val="0"/>
                <w:sz w:val="22"/>
                <w:szCs w:val="22"/>
              </w:rPr>
              <w:t>500</w:t>
            </w:r>
            <w:r w:rsidRPr="001E6C4C">
              <w:rPr>
                <w:kern w:val="0"/>
                <w:sz w:val="22"/>
                <w:szCs w:val="22"/>
              </w:rPr>
              <w:t>万元</w:t>
            </w:r>
          </w:p>
        </w:tc>
        <w:tc>
          <w:tcPr>
            <w:tcW w:w="1514" w:type="dxa"/>
            <w:tcBorders>
              <w:top w:val="single" w:sz="6" w:space="0" w:color="7F7F7F"/>
              <w:left w:val="single" w:sz="6" w:space="0" w:color="7F7F7F"/>
              <w:right w:val="single" w:sz="6" w:space="0" w:color="7F7F7F"/>
            </w:tcBorders>
            <w:vAlign w:val="center"/>
            <w:hideMark/>
          </w:tcPr>
          <w:p w:rsidR="00BA0346" w:rsidRPr="00A95203" w:rsidRDefault="00BA0346" w:rsidP="00C75A65">
            <w:pPr>
              <w:widowControl/>
              <w:tabs>
                <w:tab w:val="left" w:pos="420"/>
              </w:tabs>
              <w:spacing w:before="100" w:beforeAutospacing="1" w:after="100" w:afterAutospacing="1"/>
              <w:jc w:val="center"/>
            </w:pPr>
            <w:r w:rsidRPr="00A95203">
              <w:t>0.</w:t>
            </w:r>
            <w:r>
              <w:rPr>
                <w:rFonts w:hint="eastAsia"/>
              </w:rPr>
              <w:t>1</w:t>
            </w:r>
            <w:r w:rsidRPr="00A95203">
              <w:t>%</w:t>
            </w:r>
          </w:p>
        </w:tc>
      </w:tr>
      <w:tr w:rsidR="00BA0346" w:rsidRPr="00A95203" w:rsidTr="00C75A65">
        <w:trPr>
          <w:trHeight w:val="273"/>
          <w:tblCellSpacing w:w="0" w:type="dxa"/>
        </w:trPr>
        <w:tc>
          <w:tcPr>
            <w:tcW w:w="1922" w:type="dxa"/>
            <w:vMerge/>
            <w:tcBorders>
              <w:left w:val="single" w:sz="6" w:space="0" w:color="7F7F7F"/>
              <w:right w:val="single" w:sz="6" w:space="0" w:color="7F7F7F"/>
            </w:tcBorders>
            <w:vAlign w:val="center"/>
            <w:hideMark/>
          </w:tcPr>
          <w:p w:rsidR="00BA0346" w:rsidRPr="00A95203" w:rsidRDefault="00BA0346" w:rsidP="00C75A65">
            <w:pPr>
              <w:widowControl/>
              <w:jc w:val="left"/>
              <w:rPr>
                <w:kern w:val="0"/>
                <w:sz w:val="22"/>
                <w:szCs w:val="22"/>
              </w:rPr>
            </w:pPr>
          </w:p>
        </w:tc>
        <w:tc>
          <w:tcPr>
            <w:tcW w:w="2010" w:type="dxa"/>
            <w:vMerge/>
            <w:tcBorders>
              <w:left w:val="single" w:sz="6" w:space="0" w:color="7F7F7F"/>
              <w:right w:val="single" w:sz="6" w:space="0" w:color="7F7F7F"/>
            </w:tcBorders>
            <w:vAlign w:val="center"/>
            <w:hideMark/>
          </w:tcPr>
          <w:p w:rsidR="00BA0346" w:rsidRPr="00A95203" w:rsidRDefault="00BA0346" w:rsidP="00C75A65">
            <w:pPr>
              <w:widowControl/>
              <w:spacing w:line="360" w:lineRule="auto"/>
              <w:jc w:val="left"/>
              <w:rPr>
                <w:kern w:val="0"/>
                <w:sz w:val="22"/>
                <w:szCs w:val="22"/>
              </w:rPr>
            </w:pPr>
          </w:p>
        </w:tc>
        <w:tc>
          <w:tcPr>
            <w:tcW w:w="3029" w:type="dxa"/>
            <w:tcBorders>
              <w:top w:val="single" w:sz="6" w:space="0" w:color="7F7F7F"/>
              <w:left w:val="single" w:sz="6" w:space="0" w:color="7F7F7F"/>
              <w:bottom w:val="single" w:sz="6" w:space="0" w:color="7F7F7F"/>
              <w:right w:val="single" w:sz="6" w:space="0" w:color="7F7F7F"/>
            </w:tcBorders>
            <w:vAlign w:val="center"/>
            <w:hideMark/>
          </w:tcPr>
          <w:p w:rsidR="00BA0346" w:rsidRPr="001E6C4C" w:rsidRDefault="00BA0346" w:rsidP="00C75A65">
            <w:pPr>
              <w:widowControl/>
              <w:tabs>
                <w:tab w:val="left" w:pos="420"/>
              </w:tabs>
              <w:spacing w:before="100" w:beforeAutospacing="1" w:after="100" w:afterAutospacing="1"/>
              <w:jc w:val="center"/>
              <w:rPr>
                <w:kern w:val="0"/>
                <w:sz w:val="22"/>
                <w:szCs w:val="22"/>
              </w:rPr>
            </w:pPr>
            <w:r w:rsidRPr="001E6C4C">
              <w:rPr>
                <w:kern w:val="0"/>
                <w:sz w:val="22"/>
                <w:szCs w:val="22"/>
              </w:rPr>
              <w:t>500</w:t>
            </w:r>
            <w:r w:rsidRPr="001E6C4C">
              <w:rPr>
                <w:kern w:val="0"/>
                <w:sz w:val="22"/>
                <w:szCs w:val="22"/>
              </w:rPr>
              <w:t>万元以上（含</w:t>
            </w:r>
            <w:r w:rsidRPr="001E6C4C">
              <w:rPr>
                <w:kern w:val="0"/>
                <w:sz w:val="22"/>
                <w:szCs w:val="22"/>
              </w:rPr>
              <w:t>500</w:t>
            </w:r>
            <w:r w:rsidRPr="001E6C4C">
              <w:rPr>
                <w:kern w:val="0"/>
                <w:sz w:val="22"/>
                <w:szCs w:val="22"/>
              </w:rPr>
              <w:t>万）</w:t>
            </w:r>
          </w:p>
        </w:tc>
        <w:tc>
          <w:tcPr>
            <w:tcW w:w="1514" w:type="dxa"/>
            <w:tcBorders>
              <w:top w:val="single" w:sz="6" w:space="0" w:color="7F7F7F"/>
              <w:left w:val="single" w:sz="6" w:space="0" w:color="7F7F7F"/>
              <w:right w:val="single" w:sz="6" w:space="0" w:color="7F7F7F"/>
            </w:tcBorders>
            <w:vAlign w:val="center"/>
            <w:hideMark/>
          </w:tcPr>
          <w:p w:rsidR="00BA0346" w:rsidRPr="00A95203" w:rsidRDefault="00BA0346" w:rsidP="00C75A65">
            <w:pPr>
              <w:widowControl/>
              <w:tabs>
                <w:tab w:val="left" w:pos="420"/>
              </w:tabs>
              <w:spacing w:before="100" w:beforeAutospacing="1" w:after="100" w:afterAutospacing="1"/>
              <w:jc w:val="center"/>
            </w:pPr>
            <w:r w:rsidRPr="00A95203">
              <w:t>0</w:t>
            </w:r>
          </w:p>
        </w:tc>
      </w:tr>
      <w:tr w:rsidR="00BA0346" w:rsidRPr="00A95203" w:rsidTr="003B7662">
        <w:trPr>
          <w:trHeight w:val="340"/>
          <w:tblCellSpacing w:w="0" w:type="dxa"/>
        </w:trPr>
        <w:tc>
          <w:tcPr>
            <w:tcW w:w="1922" w:type="dxa"/>
            <w:vMerge w:val="restart"/>
            <w:tcBorders>
              <w:top w:val="single" w:sz="6" w:space="0" w:color="7F7F7F"/>
              <w:left w:val="single" w:sz="6" w:space="0" w:color="7F7F7F"/>
              <w:right w:val="single" w:sz="6" w:space="0" w:color="7F7F7F"/>
            </w:tcBorders>
            <w:vAlign w:val="center"/>
            <w:hideMark/>
          </w:tcPr>
          <w:p w:rsidR="00BA0346" w:rsidRPr="00A95203" w:rsidRDefault="00BA0346" w:rsidP="00380F1D">
            <w:pPr>
              <w:widowControl/>
              <w:tabs>
                <w:tab w:val="left" w:pos="420"/>
              </w:tabs>
              <w:jc w:val="left"/>
              <w:rPr>
                <w:kern w:val="0"/>
                <w:sz w:val="22"/>
                <w:szCs w:val="22"/>
              </w:rPr>
            </w:pPr>
            <w:r w:rsidRPr="00A95203">
              <w:rPr>
                <w:kern w:val="0"/>
                <w:sz w:val="22"/>
                <w:szCs w:val="22"/>
              </w:rPr>
              <w:t>交银增利</w:t>
            </w:r>
            <w:r w:rsidRPr="00A95203">
              <w:rPr>
                <w:kern w:val="0"/>
                <w:sz w:val="22"/>
                <w:szCs w:val="22"/>
              </w:rPr>
              <w:t>A</w:t>
            </w:r>
            <w:r w:rsidRPr="00A95203">
              <w:rPr>
                <w:kern w:val="0"/>
                <w:sz w:val="22"/>
                <w:szCs w:val="22"/>
              </w:rPr>
              <w:t>类基金份额</w:t>
            </w:r>
            <w:r w:rsidR="00380F1D">
              <w:rPr>
                <w:rFonts w:hint="eastAsia"/>
                <w:kern w:val="0"/>
                <w:sz w:val="22"/>
                <w:szCs w:val="22"/>
              </w:rPr>
              <w:t>、</w:t>
            </w:r>
            <w:r w:rsidRPr="00A95203">
              <w:rPr>
                <w:kern w:val="0"/>
                <w:sz w:val="22"/>
                <w:szCs w:val="22"/>
              </w:rPr>
              <w:t>交银双利</w:t>
            </w:r>
            <w:r w:rsidRPr="00A95203">
              <w:rPr>
                <w:kern w:val="0"/>
                <w:sz w:val="22"/>
                <w:szCs w:val="22"/>
              </w:rPr>
              <w:t>A</w:t>
            </w:r>
            <w:r w:rsidRPr="00A95203">
              <w:rPr>
                <w:kern w:val="0"/>
                <w:sz w:val="22"/>
                <w:szCs w:val="22"/>
              </w:rPr>
              <w:t>类基金份额</w:t>
            </w:r>
            <w:r w:rsidR="00380F1D">
              <w:rPr>
                <w:rFonts w:hint="eastAsia"/>
                <w:kern w:val="0"/>
                <w:sz w:val="22"/>
                <w:szCs w:val="22"/>
              </w:rPr>
              <w:t>、</w:t>
            </w:r>
            <w:r w:rsidRPr="00A95203">
              <w:rPr>
                <w:kern w:val="0"/>
                <w:sz w:val="22"/>
                <w:szCs w:val="22"/>
              </w:rPr>
              <w:t>交银纯债</w:t>
            </w:r>
            <w:r w:rsidRPr="00A95203">
              <w:rPr>
                <w:kern w:val="0"/>
                <w:sz w:val="22"/>
                <w:szCs w:val="22"/>
              </w:rPr>
              <w:t>A</w:t>
            </w:r>
            <w:r w:rsidRPr="00A95203">
              <w:rPr>
                <w:kern w:val="0"/>
                <w:sz w:val="22"/>
                <w:szCs w:val="22"/>
              </w:rPr>
              <w:t>类基金份额</w:t>
            </w:r>
            <w:r w:rsidR="00380F1D">
              <w:rPr>
                <w:rFonts w:hint="eastAsia"/>
                <w:kern w:val="0"/>
                <w:sz w:val="22"/>
                <w:szCs w:val="22"/>
              </w:rPr>
              <w:t>、</w:t>
            </w:r>
            <w:r w:rsidRPr="00A95203">
              <w:rPr>
                <w:kern w:val="0"/>
                <w:sz w:val="22"/>
                <w:szCs w:val="22"/>
              </w:rPr>
              <w:t>交银双轮动</w:t>
            </w:r>
            <w:r w:rsidRPr="00A95203">
              <w:rPr>
                <w:kern w:val="0"/>
                <w:sz w:val="22"/>
                <w:szCs w:val="22"/>
              </w:rPr>
              <w:t>A</w:t>
            </w:r>
            <w:r w:rsidRPr="00A95203">
              <w:rPr>
                <w:kern w:val="0"/>
                <w:sz w:val="22"/>
                <w:szCs w:val="22"/>
              </w:rPr>
              <w:t>类基金份额</w:t>
            </w:r>
            <w:r w:rsidR="00380F1D">
              <w:rPr>
                <w:rFonts w:hint="eastAsia"/>
                <w:kern w:val="0"/>
                <w:sz w:val="22"/>
                <w:szCs w:val="22"/>
              </w:rPr>
              <w:t>、</w:t>
            </w:r>
            <w:r w:rsidRPr="00A95203">
              <w:rPr>
                <w:kern w:val="0"/>
                <w:sz w:val="22"/>
                <w:szCs w:val="22"/>
              </w:rPr>
              <w:t>交银月月丰</w:t>
            </w:r>
            <w:r w:rsidRPr="00A95203">
              <w:rPr>
                <w:kern w:val="0"/>
                <w:sz w:val="22"/>
                <w:szCs w:val="22"/>
              </w:rPr>
              <w:t>A</w:t>
            </w:r>
            <w:r w:rsidRPr="00A95203">
              <w:rPr>
                <w:kern w:val="0"/>
                <w:sz w:val="22"/>
                <w:szCs w:val="22"/>
              </w:rPr>
              <w:t>类基金份额</w:t>
            </w:r>
            <w:r w:rsidR="00380F1D">
              <w:rPr>
                <w:rFonts w:hint="eastAsia"/>
                <w:kern w:val="0"/>
                <w:sz w:val="22"/>
                <w:szCs w:val="22"/>
              </w:rPr>
              <w:t>、</w:t>
            </w:r>
            <w:r w:rsidRPr="00A95203">
              <w:rPr>
                <w:kern w:val="0"/>
                <w:sz w:val="22"/>
                <w:szCs w:val="22"/>
              </w:rPr>
              <w:t>交银强化回报</w:t>
            </w:r>
            <w:r w:rsidRPr="00A95203">
              <w:rPr>
                <w:kern w:val="0"/>
                <w:sz w:val="22"/>
                <w:szCs w:val="22"/>
              </w:rPr>
              <w:t>A</w:t>
            </w:r>
            <w:r w:rsidRPr="00A95203">
              <w:rPr>
                <w:kern w:val="0"/>
                <w:sz w:val="22"/>
                <w:szCs w:val="22"/>
              </w:rPr>
              <w:t>类基金份额</w:t>
            </w:r>
          </w:p>
        </w:tc>
        <w:tc>
          <w:tcPr>
            <w:tcW w:w="2010" w:type="dxa"/>
            <w:vMerge w:val="restart"/>
            <w:tcBorders>
              <w:top w:val="single" w:sz="6" w:space="0" w:color="7F7F7F"/>
              <w:left w:val="single" w:sz="6" w:space="0" w:color="7F7F7F"/>
              <w:right w:val="single" w:sz="6" w:space="0" w:color="7F7F7F"/>
            </w:tcBorders>
            <w:vAlign w:val="center"/>
            <w:hideMark/>
          </w:tcPr>
          <w:p w:rsidR="00BA0346" w:rsidRPr="00A95203" w:rsidRDefault="00BA0346" w:rsidP="007456E7">
            <w:pPr>
              <w:widowControl/>
              <w:spacing w:line="360" w:lineRule="auto"/>
              <w:jc w:val="left"/>
              <w:rPr>
                <w:kern w:val="0"/>
                <w:sz w:val="22"/>
                <w:szCs w:val="22"/>
              </w:rPr>
            </w:pPr>
            <w:r w:rsidRPr="00A95203">
              <w:rPr>
                <w:kern w:val="0"/>
                <w:sz w:val="22"/>
                <w:szCs w:val="22"/>
              </w:rPr>
              <w:t>前端收费模式下</w:t>
            </w:r>
          </w:p>
          <w:p w:rsidR="00BA0346" w:rsidRPr="00A95203" w:rsidRDefault="00BA0346" w:rsidP="007456E7">
            <w:pPr>
              <w:widowControl/>
              <w:spacing w:line="360" w:lineRule="auto"/>
              <w:jc w:val="left"/>
              <w:rPr>
                <w:kern w:val="0"/>
                <w:sz w:val="22"/>
                <w:szCs w:val="22"/>
              </w:rPr>
            </w:pPr>
            <w:r w:rsidRPr="00A95203">
              <w:rPr>
                <w:kern w:val="0"/>
                <w:sz w:val="22"/>
                <w:szCs w:val="22"/>
              </w:rPr>
              <w:t>交银新成长</w:t>
            </w:r>
          </w:p>
        </w:tc>
        <w:tc>
          <w:tcPr>
            <w:tcW w:w="3029" w:type="dxa"/>
            <w:tcBorders>
              <w:top w:val="single" w:sz="6" w:space="0" w:color="7F7F7F"/>
              <w:left w:val="single" w:sz="6" w:space="0" w:color="7F7F7F"/>
              <w:right w:val="single" w:sz="6" w:space="0" w:color="7F7F7F"/>
            </w:tcBorders>
            <w:vAlign w:val="center"/>
            <w:hideMark/>
          </w:tcPr>
          <w:p w:rsidR="00BA0346" w:rsidRPr="001E6C4C" w:rsidRDefault="00BA0346" w:rsidP="00E21369">
            <w:pPr>
              <w:widowControl/>
              <w:tabs>
                <w:tab w:val="left" w:pos="420"/>
              </w:tabs>
              <w:spacing w:before="100" w:beforeAutospacing="1" w:after="100" w:afterAutospacing="1"/>
              <w:jc w:val="center"/>
              <w:rPr>
                <w:kern w:val="0"/>
                <w:sz w:val="22"/>
                <w:szCs w:val="22"/>
              </w:rPr>
            </w:pPr>
            <w:r w:rsidRPr="001E6C4C">
              <w:rPr>
                <w:kern w:val="0"/>
                <w:sz w:val="22"/>
                <w:szCs w:val="22"/>
              </w:rPr>
              <w:t>300</w:t>
            </w:r>
            <w:r w:rsidRPr="001E6C4C">
              <w:rPr>
                <w:kern w:val="0"/>
                <w:sz w:val="22"/>
                <w:szCs w:val="22"/>
              </w:rPr>
              <w:t>万元以下</w:t>
            </w:r>
          </w:p>
        </w:tc>
        <w:tc>
          <w:tcPr>
            <w:tcW w:w="1514" w:type="dxa"/>
            <w:tcBorders>
              <w:top w:val="single" w:sz="6" w:space="0" w:color="7F7F7F"/>
              <w:left w:val="single" w:sz="6" w:space="0" w:color="7F7F7F"/>
              <w:right w:val="single" w:sz="6" w:space="0" w:color="7F7F7F"/>
            </w:tcBorders>
            <w:vAlign w:val="center"/>
            <w:hideMark/>
          </w:tcPr>
          <w:p w:rsidR="00BA0346" w:rsidRPr="00A95203" w:rsidRDefault="00BA0346" w:rsidP="00E21369">
            <w:pPr>
              <w:widowControl/>
              <w:tabs>
                <w:tab w:val="left" w:pos="420"/>
              </w:tabs>
              <w:spacing w:before="100" w:beforeAutospacing="1" w:after="100" w:afterAutospacing="1"/>
              <w:jc w:val="center"/>
            </w:pPr>
            <w:r w:rsidRPr="00A95203">
              <w:t>0.7%</w:t>
            </w:r>
          </w:p>
        </w:tc>
      </w:tr>
      <w:tr w:rsidR="00BA0346" w:rsidRPr="00A95203" w:rsidTr="003B7662">
        <w:trPr>
          <w:trHeight w:val="340"/>
          <w:tblCellSpacing w:w="0" w:type="dxa"/>
        </w:trPr>
        <w:tc>
          <w:tcPr>
            <w:tcW w:w="1922" w:type="dxa"/>
            <w:vMerge/>
            <w:tcBorders>
              <w:left w:val="single" w:sz="6" w:space="0" w:color="7F7F7F"/>
              <w:right w:val="single" w:sz="6" w:space="0" w:color="7F7F7F"/>
            </w:tcBorders>
            <w:vAlign w:val="center"/>
            <w:hideMark/>
          </w:tcPr>
          <w:p w:rsidR="00BA0346" w:rsidRPr="00A95203" w:rsidRDefault="00BA0346" w:rsidP="00AA3168">
            <w:pPr>
              <w:widowControl/>
              <w:tabs>
                <w:tab w:val="left" w:pos="420"/>
              </w:tabs>
              <w:jc w:val="left"/>
              <w:rPr>
                <w:kern w:val="0"/>
                <w:sz w:val="22"/>
                <w:szCs w:val="22"/>
              </w:rPr>
            </w:pPr>
          </w:p>
        </w:tc>
        <w:tc>
          <w:tcPr>
            <w:tcW w:w="2010" w:type="dxa"/>
            <w:vMerge/>
            <w:tcBorders>
              <w:left w:val="single" w:sz="6" w:space="0" w:color="7F7F7F"/>
              <w:right w:val="single" w:sz="6" w:space="0" w:color="7F7F7F"/>
            </w:tcBorders>
            <w:vAlign w:val="center"/>
            <w:hideMark/>
          </w:tcPr>
          <w:p w:rsidR="00BA0346" w:rsidRPr="00A95203" w:rsidRDefault="00BA0346" w:rsidP="00AA3168">
            <w:pPr>
              <w:widowControl/>
              <w:spacing w:line="360" w:lineRule="auto"/>
              <w:jc w:val="left"/>
              <w:rPr>
                <w:kern w:val="0"/>
                <w:sz w:val="22"/>
                <w:szCs w:val="22"/>
              </w:rPr>
            </w:pPr>
          </w:p>
        </w:tc>
        <w:tc>
          <w:tcPr>
            <w:tcW w:w="3029" w:type="dxa"/>
            <w:tcBorders>
              <w:top w:val="single" w:sz="6" w:space="0" w:color="7F7F7F"/>
              <w:left w:val="single" w:sz="6" w:space="0" w:color="7F7F7F"/>
              <w:right w:val="single" w:sz="6" w:space="0" w:color="7F7F7F"/>
            </w:tcBorders>
            <w:vAlign w:val="center"/>
            <w:hideMark/>
          </w:tcPr>
          <w:p w:rsidR="00BA0346" w:rsidRPr="00A95203" w:rsidRDefault="00BA0346" w:rsidP="00E21369">
            <w:pPr>
              <w:widowControl/>
              <w:tabs>
                <w:tab w:val="left" w:pos="420"/>
              </w:tabs>
              <w:spacing w:before="100" w:beforeAutospacing="1" w:after="100" w:afterAutospacing="1"/>
              <w:jc w:val="center"/>
            </w:pPr>
            <w:r w:rsidRPr="00A95203">
              <w:rPr>
                <w:sz w:val="22"/>
                <w:szCs w:val="22"/>
              </w:rPr>
              <w:t>300</w:t>
            </w:r>
            <w:r w:rsidRPr="00A95203">
              <w:rPr>
                <w:sz w:val="22"/>
                <w:szCs w:val="22"/>
              </w:rPr>
              <w:t>万元（含）至</w:t>
            </w:r>
            <w:r w:rsidRPr="00A95203">
              <w:rPr>
                <w:sz w:val="22"/>
                <w:szCs w:val="22"/>
              </w:rPr>
              <w:t>500</w:t>
            </w:r>
            <w:r w:rsidRPr="00A95203">
              <w:rPr>
                <w:sz w:val="22"/>
                <w:szCs w:val="22"/>
              </w:rPr>
              <w:t>万元</w:t>
            </w:r>
          </w:p>
        </w:tc>
        <w:tc>
          <w:tcPr>
            <w:tcW w:w="1514" w:type="dxa"/>
            <w:tcBorders>
              <w:top w:val="single" w:sz="6" w:space="0" w:color="7F7F7F"/>
              <w:left w:val="single" w:sz="6" w:space="0" w:color="7F7F7F"/>
              <w:right w:val="single" w:sz="6" w:space="0" w:color="7F7F7F"/>
            </w:tcBorders>
            <w:vAlign w:val="center"/>
            <w:hideMark/>
          </w:tcPr>
          <w:p w:rsidR="00BA0346" w:rsidRPr="00A95203" w:rsidRDefault="00BA0346" w:rsidP="00E21369">
            <w:pPr>
              <w:widowControl/>
              <w:tabs>
                <w:tab w:val="left" w:pos="420"/>
              </w:tabs>
              <w:spacing w:before="100" w:beforeAutospacing="1" w:after="100" w:afterAutospacing="1"/>
              <w:jc w:val="center"/>
            </w:pPr>
            <w:r w:rsidRPr="00A95203">
              <w:t>0.5%</w:t>
            </w:r>
          </w:p>
        </w:tc>
      </w:tr>
      <w:tr w:rsidR="00BA0346" w:rsidRPr="00A95203" w:rsidTr="003B7662">
        <w:trPr>
          <w:trHeight w:val="340"/>
          <w:tblCellSpacing w:w="0" w:type="dxa"/>
        </w:trPr>
        <w:tc>
          <w:tcPr>
            <w:tcW w:w="1922" w:type="dxa"/>
            <w:vMerge/>
            <w:tcBorders>
              <w:left w:val="single" w:sz="6" w:space="0" w:color="7F7F7F"/>
              <w:right w:val="single" w:sz="6" w:space="0" w:color="7F7F7F"/>
            </w:tcBorders>
            <w:vAlign w:val="center"/>
            <w:hideMark/>
          </w:tcPr>
          <w:p w:rsidR="00BA0346" w:rsidRPr="00A95203" w:rsidRDefault="00BA0346" w:rsidP="00AA3168">
            <w:pPr>
              <w:widowControl/>
              <w:tabs>
                <w:tab w:val="left" w:pos="420"/>
              </w:tabs>
              <w:jc w:val="left"/>
              <w:rPr>
                <w:kern w:val="0"/>
                <w:sz w:val="22"/>
                <w:szCs w:val="22"/>
              </w:rPr>
            </w:pPr>
          </w:p>
        </w:tc>
        <w:tc>
          <w:tcPr>
            <w:tcW w:w="2010" w:type="dxa"/>
            <w:vMerge/>
            <w:tcBorders>
              <w:left w:val="single" w:sz="6" w:space="0" w:color="7F7F7F"/>
              <w:right w:val="single" w:sz="6" w:space="0" w:color="7F7F7F"/>
            </w:tcBorders>
            <w:vAlign w:val="center"/>
            <w:hideMark/>
          </w:tcPr>
          <w:p w:rsidR="00BA0346" w:rsidRPr="00A95203" w:rsidRDefault="00BA0346" w:rsidP="00AA3168">
            <w:pPr>
              <w:widowControl/>
              <w:spacing w:line="360" w:lineRule="auto"/>
              <w:jc w:val="left"/>
              <w:rPr>
                <w:kern w:val="0"/>
                <w:sz w:val="22"/>
                <w:szCs w:val="22"/>
              </w:rPr>
            </w:pPr>
          </w:p>
        </w:tc>
        <w:tc>
          <w:tcPr>
            <w:tcW w:w="3029" w:type="dxa"/>
            <w:tcBorders>
              <w:top w:val="single" w:sz="6" w:space="0" w:color="7F7F7F"/>
              <w:left w:val="single" w:sz="6" w:space="0" w:color="7F7F7F"/>
              <w:right w:val="single" w:sz="6" w:space="0" w:color="7F7F7F"/>
            </w:tcBorders>
            <w:vAlign w:val="center"/>
            <w:hideMark/>
          </w:tcPr>
          <w:p w:rsidR="00BA0346" w:rsidRPr="00A95203" w:rsidRDefault="00BA0346" w:rsidP="00E21369">
            <w:pPr>
              <w:widowControl/>
              <w:tabs>
                <w:tab w:val="left" w:pos="420"/>
              </w:tabs>
              <w:spacing w:before="100" w:beforeAutospacing="1" w:after="100" w:afterAutospacing="1"/>
              <w:jc w:val="center"/>
            </w:pPr>
            <w:r w:rsidRPr="00A95203">
              <w:rPr>
                <w:sz w:val="22"/>
                <w:szCs w:val="22"/>
              </w:rPr>
              <w:t>500</w:t>
            </w:r>
            <w:r w:rsidRPr="00A95203">
              <w:rPr>
                <w:sz w:val="22"/>
                <w:szCs w:val="22"/>
              </w:rPr>
              <w:t>万元（含）至</w:t>
            </w:r>
            <w:r w:rsidRPr="00A95203">
              <w:rPr>
                <w:sz w:val="22"/>
                <w:szCs w:val="22"/>
              </w:rPr>
              <w:t>1000</w:t>
            </w:r>
            <w:r w:rsidRPr="00A95203">
              <w:rPr>
                <w:sz w:val="22"/>
                <w:szCs w:val="22"/>
              </w:rPr>
              <w:t>万元</w:t>
            </w:r>
          </w:p>
        </w:tc>
        <w:tc>
          <w:tcPr>
            <w:tcW w:w="1514" w:type="dxa"/>
            <w:tcBorders>
              <w:top w:val="single" w:sz="6" w:space="0" w:color="7F7F7F"/>
              <w:left w:val="single" w:sz="6" w:space="0" w:color="7F7F7F"/>
              <w:right w:val="single" w:sz="6" w:space="0" w:color="7F7F7F"/>
            </w:tcBorders>
            <w:vAlign w:val="center"/>
            <w:hideMark/>
          </w:tcPr>
          <w:p w:rsidR="00BA0346" w:rsidRPr="00A95203" w:rsidRDefault="00BA0346" w:rsidP="00E21369">
            <w:pPr>
              <w:widowControl/>
              <w:tabs>
                <w:tab w:val="left" w:pos="420"/>
              </w:tabs>
              <w:spacing w:before="100" w:beforeAutospacing="1" w:after="100" w:afterAutospacing="1"/>
              <w:jc w:val="center"/>
            </w:pPr>
            <w:r w:rsidRPr="00A95203">
              <w:t>0.48%</w:t>
            </w:r>
          </w:p>
        </w:tc>
      </w:tr>
      <w:tr w:rsidR="00BA0346" w:rsidRPr="00A95203" w:rsidTr="003B7662">
        <w:trPr>
          <w:trHeight w:val="340"/>
          <w:tblCellSpacing w:w="0" w:type="dxa"/>
        </w:trPr>
        <w:tc>
          <w:tcPr>
            <w:tcW w:w="1922" w:type="dxa"/>
            <w:vMerge/>
            <w:tcBorders>
              <w:left w:val="single" w:sz="6" w:space="0" w:color="7F7F7F"/>
              <w:right w:val="single" w:sz="6" w:space="0" w:color="7F7F7F"/>
            </w:tcBorders>
            <w:vAlign w:val="center"/>
            <w:hideMark/>
          </w:tcPr>
          <w:p w:rsidR="00BA0346" w:rsidRPr="00A95203" w:rsidRDefault="00BA0346" w:rsidP="00AA3168">
            <w:pPr>
              <w:widowControl/>
              <w:tabs>
                <w:tab w:val="left" w:pos="420"/>
              </w:tabs>
              <w:jc w:val="left"/>
              <w:rPr>
                <w:kern w:val="0"/>
                <w:sz w:val="22"/>
                <w:szCs w:val="22"/>
              </w:rPr>
            </w:pPr>
          </w:p>
        </w:tc>
        <w:tc>
          <w:tcPr>
            <w:tcW w:w="2010" w:type="dxa"/>
            <w:vMerge/>
            <w:tcBorders>
              <w:left w:val="single" w:sz="6" w:space="0" w:color="7F7F7F"/>
              <w:right w:val="single" w:sz="6" w:space="0" w:color="7F7F7F"/>
            </w:tcBorders>
            <w:vAlign w:val="center"/>
            <w:hideMark/>
          </w:tcPr>
          <w:p w:rsidR="00BA0346" w:rsidRPr="00A95203" w:rsidRDefault="00BA0346" w:rsidP="00AA3168">
            <w:pPr>
              <w:widowControl/>
              <w:spacing w:line="360" w:lineRule="auto"/>
              <w:jc w:val="left"/>
              <w:rPr>
                <w:kern w:val="0"/>
                <w:sz w:val="22"/>
                <w:szCs w:val="22"/>
              </w:rPr>
            </w:pPr>
          </w:p>
        </w:tc>
        <w:tc>
          <w:tcPr>
            <w:tcW w:w="3029" w:type="dxa"/>
            <w:tcBorders>
              <w:top w:val="single" w:sz="6" w:space="0" w:color="7F7F7F"/>
              <w:left w:val="single" w:sz="6" w:space="0" w:color="7F7F7F"/>
              <w:right w:val="single" w:sz="6" w:space="0" w:color="7F7F7F"/>
            </w:tcBorders>
            <w:vAlign w:val="center"/>
            <w:hideMark/>
          </w:tcPr>
          <w:p w:rsidR="00BA0346" w:rsidRPr="00A95203" w:rsidRDefault="00BA0346" w:rsidP="00E21369">
            <w:pPr>
              <w:widowControl/>
              <w:tabs>
                <w:tab w:val="left" w:pos="420"/>
              </w:tabs>
              <w:spacing w:before="100" w:beforeAutospacing="1" w:after="100" w:afterAutospacing="1"/>
              <w:jc w:val="center"/>
            </w:pPr>
            <w:r w:rsidRPr="00A95203">
              <w:rPr>
                <w:sz w:val="22"/>
                <w:szCs w:val="22"/>
              </w:rPr>
              <w:t>1000</w:t>
            </w:r>
            <w:r w:rsidRPr="00A95203">
              <w:rPr>
                <w:sz w:val="22"/>
                <w:szCs w:val="22"/>
              </w:rPr>
              <w:t>万元以上（含</w:t>
            </w:r>
            <w:r w:rsidRPr="00A95203">
              <w:rPr>
                <w:sz w:val="22"/>
                <w:szCs w:val="22"/>
              </w:rPr>
              <w:t>1000</w:t>
            </w:r>
            <w:r w:rsidRPr="00A95203">
              <w:rPr>
                <w:sz w:val="22"/>
                <w:szCs w:val="22"/>
              </w:rPr>
              <w:t>万）</w:t>
            </w:r>
          </w:p>
        </w:tc>
        <w:tc>
          <w:tcPr>
            <w:tcW w:w="1514" w:type="dxa"/>
            <w:tcBorders>
              <w:top w:val="single" w:sz="6" w:space="0" w:color="7F7F7F"/>
              <w:left w:val="single" w:sz="6" w:space="0" w:color="7F7F7F"/>
              <w:right w:val="single" w:sz="6" w:space="0" w:color="7F7F7F"/>
            </w:tcBorders>
            <w:vAlign w:val="center"/>
            <w:hideMark/>
          </w:tcPr>
          <w:p w:rsidR="00BA0346" w:rsidRPr="00A95203" w:rsidRDefault="00BA0346" w:rsidP="00E21369">
            <w:pPr>
              <w:widowControl/>
              <w:tabs>
                <w:tab w:val="left" w:pos="420"/>
              </w:tabs>
              <w:spacing w:before="100" w:beforeAutospacing="1" w:after="100" w:afterAutospacing="1"/>
              <w:jc w:val="center"/>
            </w:pPr>
            <w:r w:rsidRPr="00A95203">
              <w:t>0</w:t>
            </w:r>
          </w:p>
        </w:tc>
      </w:tr>
      <w:tr w:rsidR="00BA0346" w:rsidRPr="00A95203" w:rsidTr="003B7662">
        <w:trPr>
          <w:trHeight w:val="340"/>
          <w:tblCellSpacing w:w="0" w:type="dxa"/>
        </w:trPr>
        <w:tc>
          <w:tcPr>
            <w:tcW w:w="1922" w:type="dxa"/>
            <w:vMerge w:val="restart"/>
            <w:tcBorders>
              <w:top w:val="single" w:sz="6" w:space="0" w:color="7F7F7F"/>
              <w:left w:val="single" w:sz="6" w:space="0" w:color="7F7F7F"/>
              <w:right w:val="single" w:sz="6" w:space="0" w:color="7F7F7F"/>
            </w:tcBorders>
            <w:vAlign w:val="center"/>
            <w:hideMark/>
          </w:tcPr>
          <w:p w:rsidR="00BA0346" w:rsidRPr="00A95203" w:rsidRDefault="00BA0346" w:rsidP="00380F1D">
            <w:pPr>
              <w:widowControl/>
              <w:tabs>
                <w:tab w:val="left" w:pos="420"/>
              </w:tabs>
              <w:jc w:val="left"/>
              <w:rPr>
                <w:kern w:val="0"/>
                <w:sz w:val="22"/>
                <w:szCs w:val="22"/>
              </w:rPr>
            </w:pPr>
            <w:r w:rsidRPr="00A95203">
              <w:rPr>
                <w:kern w:val="0"/>
                <w:sz w:val="22"/>
                <w:szCs w:val="22"/>
              </w:rPr>
              <w:t>交银增利</w:t>
            </w:r>
            <w:r w:rsidRPr="00A95203">
              <w:rPr>
                <w:kern w:val="0"/>
                <w:sz w:val="22"/>
                <w:szCs w:val="22"/>
              </w:rPr>
              <w:t>A</w:t>
            </w:r>
            <w:r w:rsidRPr="00A95203">
              <w:rPr>
                <w:kern w:val="0"/>
                <w:sz w:val="22"/>
                <w:szCs w:val="22"/>
              </w:rPr>
              <w:t>类基金份额</w:t>
            </w:r>
            <w:r w:rsidR="00380F1D">
              <w:rPr>
                <w:rFonts w:hint="eastAsia"/>
                <w:kern w:val="0"/>
                <w:sz w:val="22"/>
                <w:szCs w:val="22"/>
              </w:rPr>
              <w:t>、</w:t>
            </w:r>
            <w:r w:rsidRPr="00A95203">
              <w:rPr>
                <w:kern w:val="0"/>
                <w:sz w:val="22"/>
                <w:szCs w:val="22"/>
              </w:rPr>
              <w:t>交银双利</w:t>
            </w:r>
            <w:r w:rsidRPr="00A95203">
              <w:rPr>
                <w:kern w:val="0"/>
                <w:sz w:val="22"/>
                <w:szCs w:val="22"/>
              </w:rPr>
              <w:t>A</w:t>
            </w:r>
            <w:r w:rsidRPr="00A95203">
              <w:rPr>
                <w:kern w:val="0"/>
                <w:sz w:val="22"/>
                <w:szCs w:val="22"/>
              </w:rPr>
              <w:t>类基金份额</w:t>
            </w:r>
            <w:r w:rsidR="00380F1D">
              <w:rPr>
                <w:rFonts w:hint="eastAsia"/>
                <w:kern w:val="0"/>
                <w:sz w:val="22"/>
                <w:szCs w:val="22"/>
              </w:rPr>
              <w:t>、</w:t>
            </w:r>
            <w:r w:rsidRPr="00A95203">
              <w:rPr>
                <w:kern w:val="0"/>
                <w:sz w:val="22"/>
                <w:szCs w:val="22"/>
              </w:rPr>
              <w:t>交银纯债</w:t>
            </w:r>
            <w:r w:rsidRPr="00A95203">
              <w:rPr>
                <w:kern w:val="0"/>
                <w:sz w:val="22"/>
                <w:szCs w:val="22"/>
              </w:rPr>
              <w:t>A</w:t>
            </w:r>
            <w:r w:rsidRPr="00A95203">
              <w:rPr>
                <w:kern w:val="0"/>
                <w:sz w:val="22"/>
                <w:szCs w:val="22"/>
              </w:rPr>
              <w:t>类基金份额</w:t>
            </w:r>
            <w:r w:rsidR="00380F1D">
              <w:rPr>
                <w:rFonts w:hint="eastAsia"/>
                <w:kern w:val="0"/>
                <w:sz w:val="22"/>
                <w:szCs w:val="22"/>
              </w:rPr>
              <w:t>、</w:t>
            </w:r>
            <w:r w:rsidRPr="00A95203">
              <w:rPr>
                <w:kern w:val="0"/>
                <w:sz w:val="22"/>
                <w:szCs w:val="22"/>
              </w:rPr>
              <w:t>交银双轮动</w:t>
            </w:r>
            <w:r w:rsidRPr="00A95203">
              <w:rPr>
                <w:kern w:val="0"/>
                <w:sz w:val="22"/>
                <w:szCs w:val="22"/>
              </w:rPr>
              <w:t>A</w:t>
            </w:r>
            <w:r w:rsidRPr="00A95203">
              <w:rPr>
                <w:kern w:val="0"/>
                <w:sz w:val="22"/>
                <w:szCs w:val="22"/>
              </w:rPr>
              <w:t>类基金份额</w:t>
            </w:r>
            <w:r w:rsidR="00380F1D">
              <w:rPr>
                <w:rFonts w:hint="eastAsia"/>
                <w:kern w:val="0"/>
                <w:sz w:val="22"/>
                <w:szCs w:val="22"/>
              </w:rPr>
              <w:t>、</w:t>
            </w:r>
            <w:r w:rsidRPr="00A95203">
              <w:rPr>
                <w:kern w:val="0"/>
                <w:sz w:val="22"/>
                <w:szCs w:val="22"/>
              </w:rPr>
              <w:t>交银月月丰</w:t>
            </w:r>
            <w:r w:rsidRPr="00A95203">
              <w:rPr>
                <w:kern w:val="0"/>
                <w:sz w:val="22"/>
                <w:szCs w:val="22"/>
              </w:rPr>
              <w:t>A</w:t>
            </w:r>
            <w:r w:rsidRPr="00A95203">
              <w:rPr>
                <w:kern w:val="0"/>
                <w:sz w:val="22"/>
                <w:szCs w:val="22"/>
              </w:rPr>
              <w:t>类基金份额</w:t>
            </w:r>
            <w:r w:rsidR="00380F1D">
              <w:rPr>
                <w:rFonts w:hint="eastAsia"/>
                <w:kern w:val="0"/>
                <w:sz w:val="22"/>
                <w:szCs w:val="22"/>
              </w:rPr>
              <w:t>、</w:t>
            </w:r>
            <w:r w:rsidRPr="00A95203">
              <w:rPr>
                <w:kern w:val="0"/>
                <w:sz w:val="22"/>
                <w:szCs w:val="22"/>
              </w:rPr>
              <w:t>交银强化回报</w:t>
            </w:r>
            <w:r w:rsidRPr="00A95203">
              <w:rPr>
                <w:kern w:val="0"/>
                <w:sz w:val="22"/>
                <w:szCs w:val="22"/>
              </w:rPr>
              <w:t>A</w:t>
            </w:r>
            <w:r w:rsidRPr="00A95203">
              <w:rPr>
                <w:kern w:val="0"/>
                <w:sz w:val="22"/>
                <w:szCs w:val="22"/>
              </w:rPr>
              <w:t>类基金份额</w:t>
            </w:r>
          </w:p>
        </w:tc>
        <w:tc>
          <w:tcPr>
            <w:tcW w:w="2010" w:type="dxa"/>
            <w:vMerge w:val="restart"/>
            <w:tcBorders>
              <w:top w:val="single" w:sz="6" w:space="0" w:color="7F7F7F"/>
              <w:left w:val="single" w:sz="6" w:space="0" w:color="7F7F7F"/>
              <w:right w:val="single" w:sz="6" w:space="0" w:color="7F7F7F"/>
            </w:tcBorders>
            <w:vAlign w:val="center"/>
            <w:hideMark/>
          </w:tcPr>
          <w:p w:rsidR="00BA0346" w:rsidRPr="00A95203" w:rsidRDefault="00BA0346" w:rsidP="00AA3168">
            <w:pPr>
              <w:widowControl/>
              <w:spacing w:line="360" w:lineRule="auto"/>
              <w:jc w:val="left"/>
              <w:rPr>
                <w:kern w:val="0"/>
                <w:sz w:val="22"/>
                <w:szCs w:val="22"/>
              </w:rPr>
            </w:pPr>
            <w:r w:rsidRPr="00A95203">
              <w:rPr>
                <w:kern w:val="0"/>
                <w:sz w:val="22"/>
                <w:szCs w:val="22"/>
              </w:rPr>
              <w:t>前端收费模式下</w:t>
            </w:r>
          </w:p>
          <w:p w:rsidR="00BA0346" w:rsidRPr="00A95203" w:rsidRDefault="00BA0346" w:rsidP="00AA3168">
            <w:pPr>
              <w:widowControl/>
              <w:jc w:val="left"/>
              <w:rPr>
                <w:kern w:val="0"/>
                <w:sz w:val="22"/>
                <w:szCs w:val="22"/>
              </w:rPr>
            </w:pPr>
            <w:r w:rsidRPr="00A95203">
              <w:rPr>
                <w:kern w:val="0"/>
                <w:sz w:val="22"/>
                <w:szCs w:val="22"/>
              </w:rPr>
              <w:t>交银周期回报</w:t>
            </w:r>
            <w:r w:rsidR="00F1122A" w:rsidRPr="00A95203">
              <w:rPr>
                <w:kern w:val="0"/>
                <w:sz w:val="22"/>
                <w:szCs w:val="22"/>
              </w:rPr>
              <w:t>A</w:t>
            </w:r>
            <w:r w:rsidR="00F1122A" w:rsidRPr="00A95203">
              <w:rPr>
                <w:kern w:val="0"/>
                <w:sz w:val="22"/>
                <w:szCs w:val="22"/>
              </w:rPr>
              <w:t>类</w:t>
            </w:r>
            <w:r w:rsidR="00F1122A">
              <w:rPr>
                <w:rFonts w:hint="eastAsia"/>
                <w:kern w:val="0"/>
                <w:sz w:val="22"/>
                <w:szCs w:val="22"/>
              </w:rPr>
              <w:t>基金份额</w:t>
            </w:r>
          </w:p>
        </w:tc>
        <w:tc>
          <w:tcPr>
            <w:tcW w:w="3029" w:type="dxa"/>
            <w:tcBorders>
              <w:top w:val="single" w:sz="6" w:space="0" w:color="7F7F7F"/>
              <w:left w:val="single" w:sz="6" w:space="0" w:color="7F7F7F"/>
              <w:right w:val="single" w:sz="6" w:space="0" w:color="7F7F7F"/>
            </w:tcBorders>
            <w:vAlign w:val="center"/>
            <w:hideMark/>
          </w:tcPr>
          <w:p w:rsidR="00BA0346" w:rsidRPr="00A95203" w:rsidRDefault="00BA0346" w:rsidP="00E21369">
            <w:pPr>
              <w:widowControl/>
              <w:tabs>
                <w:tab w:val="left" w:pos="420"/>
              </w:tabs>
              <w:spacing w:before="100" w:beforeAutospacing="1" w:after="100" w:afterAutospacing="1"/>
              <w:jc w:val="center"/>
              <w:rPr>
                <w:kern w:val="0"/>
                <w:sz w:val="22"/>
                <w:szCs w:val="22"/>
              </w:rPr>
            </w:pPr>
            <w:r w:rsidRPr="001E6C4C">
              <w:rPr>
                <w:kern w:val="0"/>
                <w:sz w:val="22"/>
                <w:szCs w:val="22"/>
              </w:rPr>
              <w:t>200</w:t>
            </w:r>
            <w:r w:rsidRPr="001E6C4C">
              <w:rPr>
                <w:kern w:val="0"/>
                <w:sz w:val="22"/>
                <w:szCs w:val="22"/>
              </w:rPr>
              <w:t>万元以下</w:t>
            </w:r>
          </w:p>
        </w:tc>
        <w:tc>
          <w:tcPr>
            <w:tcW w:w="1514" w:type="dxa"/>
            <w:tcBorders>
              <w:top w:val="single" w:sz="6" w:space="0" w:color="7F7F7F"/>
              <w:left w:val="single" w:sz="6" w:space="0" w:color="7F7F7F"/>
              <w:right w:val="single" w:sz="6" w:space="0" w:color="7F7F7F"/>
            </w:tcBorders>
            <w:vAlign w:val="center"/>
            <w:hideMark/>
          </w:tcPr>
          <w:p w:rsidR="00BA0346" w:rsidRPr="00A95203" w:rsidRDefault="00BA0346" w:rsidP="00E21369">
            <w:pPr>
              <w:widowControl/>
              <w:tabs>
                <w:tab w:val="left" w:pos="420"/>
              </w:tabs>
              <w:spacing w:before="100" w:beforeAutospacing="1" w:after="100" w:afterAutospacing="1"/>
              <w:jc w:val="center"/>
              <w:rPr>
                <w:kern w:val="0"/>
                <w:szCs w:val="21"/>
              </w:rPr>
            </w:pPr>
            <w:r w:rsidRPr="00A95203">
              <w:t>0.70%</w:t>
            </w:r>
          </w:p>
        </w:tc>
      </w:tr>
      <w:tr w:rsidR="00BA0346" w:rsidRPr="00A95203" w:rsidTr="003B7662">
        <w:trPr>
          <w:trHeight w:val="340"/>
          <w:tblCellSpacing w:w="0" w:type="dxa"/>
        </w:trPr>
        <w:tc>
          <w:tcPr>
            <w:tcW w:w="1922" w:type="dxa"/>
            <w:vMerge/>
            <w:tcBorders>
              <w:left w:val="single" w:sz="6" w:space="0" w:color="7F7F7F"/>
              <w:right w:val="single" w:sz="6" w:space="0" w:color="7F7F7F"/>
            </w:tcBorders>
            <w:vAlign w:val="center"/>
            <w:hideMark/>
          </w:tcPr>
          <w:p w:rsidR="00BA0346" w:rsidRPr="00A95203" w:rsidRDefault="00BA0346" w:rsidP="00AA3168">
            <w:pPr>
              <w:widowControl/>
              <w:tabs>
                <w:tab w:val="left" w:pos="420"/>
              </w:tabs>
              <w:jc w:val="left"/>
              <w:rPr>
                <w:kern w:val="0"/>
                <w:sz w:val="22"/>
                <w:szCs w:val="22"/>
              </w:rPr>
            </w:pPr>
          </w:p>
        </w:tc>
        <w:tc>
          <w:tcPr>
            <w:tcW w:w="2010" w:type="dxa"/>
            <w:vMerge/>
            <w:tcBorders>
              <w:left w:val="single" w:sz="6" w:space="0" w:color="7F7F7F"/>
              <w:right w:val="single" w:sz="6" w:space="0" w:color="7F7F7F"/>
            </w:tcBorders>
            <w:vAlign w:val="center"/>
            <w:hideMark/>
          </w:tcPr>
          <w:p w:rsidR="00BA0346" w:rsidRPr="00A95203" w:rsidRDefault="00BA0346" w:rsidP="00AA3168">
            <w:pPr>
              <w:widowControl/>
              <w:spacing w:line="360" w:lineRule="auto"/>
              <w:jc w:val="left"/>
              <w:rPr>
                <w:kern w:val="0"/>
                <w:sz w:val="22"/>
                <w:szCs w:val="22"/>
              </w:rPr>
            </w:pPr>
          </w:p>
        </w:tc>
        <w:tc>
          <w:tcPr>
            <w:tcW w:w="3029" w:type="dxa"/>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E21369">
            <w:pPr>
              <w:widowControl/>
              <w:tabs>
                <w:tab w:val="left" w:pos="420"/>
              </w:tabs>
              <w:spacing w:before="100" w:beforeAutospacing="1" w:after="100" w:afterAutospacing="1"/>
              <w:jc w:val="center"/>
              <w:rPr>
                <w:kern w:val="0"/>
                <w:sz w:val="22"/>
                <w:szCs w:val="22"/>
              </w:rPr>
            </w:pPr>
            <w:r w:rsidRPr="001E6C4C">
              <w:rPr>
                <w:kern w:val="0"/>
                <w:sz w:val="22"/>
                <w:szCs w:val="22"/>
              </w:rPr>
              <w:t>200</w:t>
            </w:r>
            <w:r w:rsidRPr="001E6C4C">
              <w:rPr>
                <w:kern w:val="0"/>
                <w:sz w:val="22"/>
                <w:szCs w:val="22"/>
              </w:rPr>
              <w:t>万元（含）至</w:t>
            </w:r>
            <w:r w:rsidRPr="001E6C4C">
              <w:rPr>
                <w:kern w:val="0"/>
                <w:sz w:val="22"/>
                <w:szCs w:val="22"/>
              </w:rPr>
              <w:t>500</w:t>
            </w:r>
            <w:r w:rsidRPr="001E6C4C">
              <w:rPr>
                <w:kern w:val="0"/>
                <w:sz w:val="22"/>
                <w:szCs w:val="22"/>
              </w:rPr>
              <w:t>万元</w:t>
            </w:r>
          </w:p>
        </w:tc>
        <w:tc>
          <w:tcPr>
            <w:tcW w:w="1514" w:type="dxa"/>
            <w:tcBorders>
              <w:left w:val="single" w:sz="6" w:space="0" w:color="7F7F7F"/>
              <w:right w:val="single" w:sz="6" w:space="0" w:color="7F7F7F"/>
            </w:tcBorders>
            <w:vAlign w:val="center"/>
            <w:hideMark/>
          </w:tcPr>
          <w:p w:rsidR="00BA0346" w:rsidRPr="00A95203" w:rsidRDefault="00BA0346" w:rsidP="00E21369">
            <w:pPr>
              <w:widowControl/>
              <w:tabs>
                <w:tab w:val="left" w:pos="420"/>
              </w:tabs>
              <w:spacing w:before="100" w:beforeAutospacing="1" w:after="100" w:afterAutospacing="1"/>
              <w:jc w:val="center"/>
              <w:rPr>
                <w:kern w:val="0"/>
                <w:szCs w:val="21"/>
              </w:rPr>
            </w:pPr>
            <w:r w:rsidRPr="00A95203">
              <w:t>0.50%</w:t>
            </w:r>
          </w:p>
        </w:tc>
      </w:tr>
      <w:tr w:rsidR="00BA0346" w:rsidRPr="00A95203" w:rsidTr="003B7662">
        <w:trPr>
          <w:trHeight w:val="340"/>
          <w:tblCellSpacing w:w="0" w:type="dxa"/>
        </w:trPr>
        <w:tc>
          <w:tcPr>
            <w:tcW w:w="1922" w:type="dxa"/>
            <w:vMerge/>
            <w:tcBorders>
              <w:left w:val="single" w:sz="6" w:space="0" w:color="7F7F7F"/>
              <w:right w:val="single" w:sz="6" w:space="0" w:color="7F7F7F"/>
            </w:tcBorders>
            <w:vAlign w:val="center"/>
            <w:hideMark/>
          </w:tcPr>
          <w:p w:rsidR="00BA0346" w:rsidRPr="00A95203" w:rsidRDefault="00BA0346" w:rsidP="00AA3168">
            <w:pPr>
              <w:widowControl/>
              <w:tabs>
                <w:tab w:val="left" w:pos="420"/>
              </w:tabs>
              <w:jc w:val="left"/>
              <w:rPr>
                <w:kern w:val="0"/>
                <w:sz w:val="22"/>
                <w:szCs w:val="22"/>
              </w:rPr>
            </w:pPr>
          </w:p>
        </w:tc>
        <w:tc>
          <w:tcPr>
            <w:tcW w:w="2010" w:type="dxa"/>
            <w:vMerge/>
            <w:tcBorders>
              <w:left w:val="single" w:sz="6" w:space="0" w:color="7F7F7F"/>
              <w:right w:val="single" w:sz="6" w:space="0" w:color="7F7F7F"/>
            </w:tcBorders>
            <w:vAlign w:val="center"/>
            <w:hideMark/>
          </w:tcPr>
          <w:p w:rsidR="00BA0346" w:rsidRPr="00A95203" w:rsidRDefault="00BA0346" w:rsidP="00AA3168">
            <w:pPr>
              <w:widowControl/>
              <w:spacing w:line="360" w:lineRule="auto"/>
              <w:jc w:val="left"/>
              <w:rPr>
                <w:kern w:val="0"/>
                <w:sz w:val="22"/>
                <w:szCs w:val="22"/>
              </w:rPr>
            </w:pPr>
          </w:p>
        </w:tc>
        <w:tc>
          <w:tcPr>
            <w:tcW w:w="3029" w:type="dxa"/>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E21369">
            <w:pPr>
              <w:widowControl/>
              <w:tabs>
                <w:tab w:val="left" w:pos="420"/>
              </w:tabs>
              <w:spacing w:before="100" w:beforeAutospacing="1" w:after="100" w:afterAutospacing="1"/>
              <w:jc w:val="center"/>
              <w:rPr>
                <w:kern w:val="0"/>
                <w:sz w:val="22"/>
                <w:szCs w:val="22"/>
              </w:rPr>
            </w:pPr>
            <w:r w:rsidRPr="001E6C4C">
              <w:rPr>
                <w:kern w:val="0"/>
                <w:sz w:val="22"/>
                <w:szCs w:val="22"/>
              </w:rPr>
              <w:t>500</w:t>
            </w:r>
            <w:r w:rsidRPr="001E6C4C">
              <w:rPr>
                <w:kern w:val="0"/>
                <w:sz w:val="22"/>
                <w:szCs w:val="22"/>
              </w:rPr>
              <w:t>万元（含）至</w:t>
            </w:r>
            <w:r w:rsidRPr="001E6C4C">
              <w:rPr>
                <w:kern w:val="0"/>
                <w:sz w:val="22"/>
                <w:szCs w:val="22"/>
              </w:rPr>
              <w:t>1000</w:t>
            </w:r>
            <w:r w:rsidRPr="001E6C4C">
              <w:rPr>
                <w:kern w:val="0"/>
                <w:sz w:val="22"/>
                <w:szCs w:val="22"/>
              </w:rPr>
              <w:t>万元</w:t>
            </w:r>
          </w:p>
        </w:tc>
        <w:tc>
          <w:tcPr>
            <w:tcW w:w="1514" w:type="dxa"/>
            <w:tcBorders>
              <w:left w:val="single" w:sz="6" w:space="0" w:color="7F7F7F"/>
              <w:right w:val="single" w:sz="6" w:space="0" w:color="7F7F7F"/>
            </w:tcBorders>
            <w:vAlign w:val="center"/>
            <w:hideMark/>
          </w:tcPr>
          <w:p w:rsidR="00BA0346" w:rsidRPr="00A95203" w:rsidRDefault="00BA0346" w:rsidP="00E21369">
            <w:pPr>
              <w:widowControl/>
              <w:tabs>
                <w:tab w:val="left" w:pos="420"/>
              </w:tabs>
              <w:spacing w:before="100" w:beforeAutospacing="1" w:after="100" w:afterAutospacing="1"/>
              <w:jc w:val="center"/>
              <w:rPr>
                <w:kern w:val="0"/>
                <w:szCs w:val="21"/>
              </w:rPr>
            </w:pPr>
            <w:r w:rsidRPr="00A95203">
              <w:t>0.28%</w:t>
            </w:r>
          </w:p>
        </w:tc>
      </w:tr>
      <w:tr w:rsidR="00BA0346" w:rsidRPr="00A95203" w:rsidTr="003B7662">
        <w:trPr>
          <w:trHeight w:val="340"/>
          <w:tblCellSpacing w:w="0" w:type="dxa"/>
        </w:trPr>
        <w:tc>
          <w:tcPr>
            <w:tcW w:w="1922" w:type="dxa"/>
            <w:vMerge/>
            <w:tcBorders>
              <w:left w:val="single" w:sz="6" w:space="0" w:color="7F7F7F"/>
              <w:bottom w:val="single" w:sz="6" w:space="0" w:color="7F7F7F"/>
              <w:right w:val="single" w:sz="6" w:space="0" w:color="7F7F7F"/>
            </w:tcBorders>
            <w:vAlign w:val="center"/>
            <w:hideMark/>
          </w:tcPr>
          <w:p w:rsidR="00BA0346" w:rsidRPr="00A95203" w:rsidRDefault="00BA0346" w:rsidP="00AA3168">
            <w:pPr>
              <w:widowControl/>
              <w:tabs>
                <w:tab w:val="left" w:pos="420"/>
              </w:tabs>
              <w:jc w:val="left"/>
              <w:rPr>
                <w:kern w:val="0"/>
                <w:sz w:val="22"/>
                <w:szCs w:val="22"/>
              </w:rPr>
            </w:pPr>
          </w:p>
        </w:tc>
        <w:tc>
          <w:tcPr>
            <w:tcW w:w="2010" w:type="dxa"/>
            <w:vMerge/>
            <w:tcBorders>
              <w:left w:val="single" w:sz="6" w:space="0" w:color="7F7F7F"/>
              <w:bottom w:val="single" w:sz="6" w:space="0" w:color="7F7F7F"/>
              <w:right w:val="single" w:sz="6" w:space="0" w:color="7F7F7F"/>
            </w:tcBorders>
            <w:vAlign w:val="center"/>
            <w:hideMark/>
          </w:tcPr>
          <w:p w:rsidR="00BA0346" w:rsidRPr="00A95203" w:rsidRDefault="00BA0346" w:rsidP="00AA3168">
            <w:pPr>
              <w:widowControl/>
              <w:spacing w:line="360" w:lineRule="auto"/>
              <w:jc w:val="left"/>
              <w:rPr>
                <w:kern w:val="0"/>
                <w:sz w:val="22"/>
                <w:szCs w:val="22"/>
              </w:rPr>
            </w:pPr>
          </w:p>
        </w:tc>
        <w:tc>
          <w:tcPr>
            <w:tcW w:w="3029" w:type="dxa"/>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E21369">
            <w:pPr>
              <w:widowControl/>
              <w:tabs>
                <w:tab w:val="left" w:pos="420"/>
              </w:tabs>
              <w:spacing w:before="100" w:beforeAutospacing="1" w:after="100" w:afterAutospacing="1"/>
              <w:jc w:val="center"/>
              <w:rPr>
                <w:kern w:val="0"/>
                <w:sz w:val="22"/>
                <w:szCs w:val="22"/>
              </w:rPr>
            </w:pPr>
            <w:r w:rsidRPr="001E6C4C">
              <w:rPr>
                <w:kern w:val="0"/>
                <w:sz w:val="22"/>
                <w:szCs w:val="22"/>
              </w:rPr>
              <w:t>1000</w:t>
            </w:r>
            <w:r w:rsidRPr="001E6C4C">
              <w:rPr>
                <w:kern w:val="0"/>
                <w:sz w:val="22"/>
                <w:szCs w:val="22"/>
              </w:rPr>
              <w:t>万元以上（含</w:t>
            </w:r>
            <w:r w:rsidRPr="001E6C4C">
              <w:rPr>
                <w:kern w:val="0"/>
                <w:sz w:val="22"/>
                <w:szCs w:val="22"/>
              </w:rPr>
              <w:t>1000</w:t>
            </w:r>
            <w:r w:rsidRPr="001E6C4C">
              <w:rPr>
                <w:kern w:val="0"/>
                <w:sz w:val="22"/>
                <w:szCs w:val="22"/>
              </w:rPr>
              <w:t>万）</w:t>
            </w:r>
          </w:p>
        </w:tc>
        <w:tc>
          <w:tcPr>
            <w:tcW w:w="1514" w:type="dxa"/>
            <w:tcBorders>
              <w:left w:val="single" w:sz="6" w:space="0" w:color="7F7F7F"/>
              <w:bottom w:val="single" w:sz="6" w:space="0" w:color="7F7F7F"/>
              <w:right w:val="single" w:sz="6" w:space="0" w:color="7F7F7F"/>
            </w:tcBorders>
            <w:vAlign w:val="center"/>
            <w:hideMark/>
          </w:tcPr>
          <w:p w:rsidR="00BA0346" w:rsidRPr="00A95203" w:rsidRDefault="00BA0346" w:rsidP="00E21369">
            <w:pPr>
              <w:widowControl/>
              <w:tabs>
                <w:tab w:val="left" w:pos="420"/>
              </w:tabs>
              <w:spacing w:before="100" w:beforeAutospacing="1" w:after="100" w:afterAutospacing="1"/>
              <w:jc w:val="center"/>
              <w:rPr>
                <w:kern w:val="0"/>
                <w:szCs w:val="21"/>
              </w:rPr>
            </w:pPr>
            <w:r w:rsidRPr="00A95203">
              <w:t>0</w:t>
            </w:r>
          </w:p>
        </w:tc>
      </w:tr>
      <w:tr w:rsidR="00BA0346" w:rsidRPr="00A95203" w:rsidTr="003B7662">
        <w:trPr>
          <w:tblCellSpacing w:w="0" w:type="dxa"/>
        </w:trPr>
        <w:tc>
          <w:tcPr>
            <w:tcW w:w="1922" w:type="dxa"/>
            <w:vMerge w:val="restart"/>
            <w:tcBorders>
              <w:top w:val="single" w:sz="6" w:space="0" w:color="7F7F7F"/>
              <w:left w:val="single" w:sz="6" w:space="0" w:color="7F7F7F"/>
              <w:bottom w:val="single" w:sz="6" w:space="0" w:color="7F7F7F"/>
              <w:right w:val="single" w:sz="6" w:space="0" w:color="7F7F7F"/>
            </w:tcBorders>
            <w:vAlign w:val="center"/>
            <w:hideMark/>
          </w:tcPr>
          <w:p w:rsidR="00000000" w:rsidRDefault="00BA0346">
            <w:pPr>
              <w:widowControl/>
              <w:jc w:val="left"/>
              <w:rPr>
                <w:kern w:val="0"/>
                <w:sz w:val="22"/>
                <w:szCs w:val="22"/>
              </w:rPr>
            </w:pPr>
            <w:r w:rsidRPr="00A95203">
              <w:rPr>
                <w:kern w:val="0"/>
                <w:sz w:val="22"/>
                <w:szCs w:val="22"/>
              </w:rPr>
              <w:t>交银增利</w:t>
            </w:r>
            <w:r w:rsidRPr="00A95203">
              <w:rPr>
                <w:kern w:val="0"/>
                <w:sz w:val="22"/>
                <w:szCs w:val="22"/>
              </w:rPr>
              <w:t>A</w:t>
            </w:r>
            <w:r w:rsidRPr="00A95203">
              <w:rPr>
                <w:kern w:val="0"/>
                <w:sz w:val="22"/>
                <w:szCs w:val="22"/>
              </w:rPr>
              <w:t>类基金份额</w:t>
            </w:r>
            <w:r w:rsidR="00380F1D">
              <w:rPr>
                <w:rFonts w:hint="eastAsia"/>
                <w:kern w:val="0"/>
                <w:sz w:val="22"/>
                <w:szCs w:val="22"/>
              </w:rPr>
              <w:t>、</w:t>
            </w:r>
            <w:r w:rsidRPr="00A95203">
              <w:rPr>
                <w:kern w:val="0"/>
                <w:sz w:val="22"/>
                <w:szCs w:val="22"/>
              </w:rPr>
              <w:t>交银双利</w:t>
            </w:r>
            <w:r w:rsidRPr="00A95203">
              <w:rPr>
                <w:kern w:val="0"/>
                <w:sz w:val="22"/>
                <w:szCs w:val="22"/>
              </w:rPr>
              <w:t>A</w:t>
            </w:r>
            <w:r w:rsidRPr="00A95203">
              <w:rPr>
                <w:kern w:val="0"/>
                <w:sz w:val="22"/>
                <w:szCs w:val="22"/>
              </w:rPr>
              <w:t>类基金份额</w:t>
            </w:r>
            <w:r w:rsidR="00380F1D">
              <w:rPr>
                <w:rFonts w:hint="eastAsia"/>
                <w:kern w:val="0"/>
                <w:sz w:val="22"/>
                <w:szCs w:val="22"/>
              </w:rPr>
              <w:t>、</w:t>
            </w:r>
            <w:r w:rsidRPr="00A95203">
              <w:rPr>
                <w:kern w:val="0"/>
                <w:sz w:val="22"/>
                <w:szCs w:val="22"/>
              </w:rPr>
              <w:t>交银纯债</w:t>
            </w:r>
            <w:r w:rsidRPr="00A95203">
              <w:rPr>
                <w:kern w:val="0"/>
                <w:sz w:val="22"/>
                <w:szCs w:val="22"/>
              </w:rPr>
              <w:t>A</w:t>
            </w:r>
            <w:r w:rsidRPr="00A95203">
              <w:rPr>
                <w:kern w:val="0"/>
                <w:sz w:val="22"/>
                <w:szCs w:val="22"/>
              </w:rPr>
              <w:t>类基金份额</w:t>
            </w:r>
            <w:r w:rsidR="00380F1D">
              <w:rPr>
                <w:rFonts w:hint="eastAsia"/>
                <w:kern w:val="0"/>
                <w:sz w:val="22"/>
                <w:szCs w:val="22"/>
              </w:rPr>
              <w:t>、</w:t>
            </w:r>
            <w:r w:rsidRPr="00A95203">
              <w:rPr>
                <w:kern w:val="0"/>
                <w:sz w:val="22"/>
                <w:szCs w:val="22"/>
              </w:rPr>
              <w:t>交银双轮动</w:t>
            </w:r>
            <w:r w:rsidRPr="00A95203">
              <w:rPr>
                <w:kern w:val="0"/>
                <w:sz w:val="22"/>
                <w:szCs w:val="22"/>
              </w:rPr>
              <w:t>A</w:t>
            </w:r>
            <w:r w:rsidRPr="00A95203">
              <w:rPr>
                <w:kern w:val="0"/>
                <w:sz w:val="22"/>
                <w:szCs w:val="22"/>
              </w:rPr>
              <w:t>类基金份额</w:t>
            </w:r>
            <w:r w:rsidR="00380F1D">
              <w:rPr>
                <w:rFonts w:hint="eastAsia"/>
                <w:kern w:val="0"/>
                <w:sz w:val="22"/>
                <w:szCs w:val="22"/>
              </w:rPr>
              <w:t>、</w:t>
            </w:r>
            <w:r w:rsidRPr="00A95203">
              <w:rPr>
                <w:kern w:val="0"/>
                <w:sz w:val="22"/>
                <w:szCs w:val="22"/>
              </w:rPr>
              <w:t>交银月月丰</w:t>
            </w:r>
            <w:r w:rsidRPr="00A95203">
              <w:rPr>
                <w:kern w:val="0"/>
                <w:sz w:val="22"/>
                <w:szCs w:val="22"/>
              </w:rPr>
              <w:t>A</w:t>
            </w:r>
            <w:r w:rsidRPr="00A95203">
              <w:rPr>
                <w:kern w:val="0"/>
                <w:sz w:val="22"/>
                <w:szCs w:val="22"/>
              </w:rPr>
              <w:t>类基金份额</w:t>
            </w:r>
            <w:r w:rsidR="00380F1D">
              <w:rPr>
                <w:rFonts w:hint="eastAsia"/>
                <w:kern w:val="0"/>
                <w:sz w:val="22"/>
                <w:szCs w:val="22"/>
              </w:rPr>
              <w:t>、</w:t>
            </w:r>
            <w:r w:rsidRPr="00A95203">
              <w:rPr>
                <w:kern w:val="0"/>
                <w:sz w:val="22"/>
                <w:szCs w:val="22"/>
              </w:rPr>
              <w:t>交银强化回报</w:t>
            </w:r>
            <w:r w:rsidRPr="00A95203">
              <w:rPr>
                <w:kern w:val="0"/>
                <w:sz w:val="22"/>
                <w:szCs w:val="22"/>
              </w:rPr>
              <w:t>A</w:t>
            </w:r>
            <w:r w:rsidRPr="00A95203">
              <w:rPr>
                <w:kern w:val="0"/>
                <w:sz w:val="22"/>
                <w:szCs w:val="22"/>
              </w:rPr>
              <w:t>类基金份额</w:t>
            </w:r>
          </w:p>
        </w:tc>
        <w:tc>
          <w:tcPr>
            <w:tcW w:w="2010" w:type="dxa"/>
            <w:vMerge w:val="restart"/>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534F16">
            <w:pPr>
              <w:widowControl/>
              <w:jc w:val="left"/>
              <w:rPr>
                <w:kern w:val="0"/>
                <w:sz w:val="22"/>
                <w:szCs w:val="22"/>
              </w:rPr>
            </w:pPr>
            <w:r w:rsidRPr="00A95203">
              <w:rPr>
                <w:kern w:val="0"/>
                <w:sz w:val="22"/>
                <w:szCs w:val="22"/>
              </w:rPr>
              <w:t>前端收费模式下</w:t>
            </w:r>
          </w:p>
          <w:p w:rsidR="00BA0346" w:rsidRPr="00A95203" w:rsidRDefault="00BA0346" w:rsidP="000524A1">
            <w:pPr>
              <w:widowControl/>
              <w:tabs>
                <w:tab w:val="left" w:pos="420"/>
              </w:tabs>
              <w:jc w:val="left"/>
              <w:rPr>
                <w:kern w:val="0"/>
                <w:sz w:val="22"/>
                <w:szCs w:val="22"/>
              </w:rPr>
            </w:pPr>
            <w:r w:rsidRPr="00A95203">
              <w:rPr>
                <w:kern w:val="0"/>
                <w:sz w:val="22"/>
                <w:szCs w:val="22"/>
              </w:rPr>
              <w:t>交银精选、交银稳健、交银成长、交银蓝筹、交银先锋、交银治理、交银主题、交银制造、交银价值、交银策略回报、交银核心、交银消费新驱动、交银成长</w:t>
            </w:r>
            <w:r w:rsidRPr="00A95203">
              <w:rPr>
                <w:kern w:val="0"/>
                <w:sz w:val="22"/>
                <w:szCs w:val="22"/>
              </w:rPr>
              <w:t>30</w:t>
            </w:r>
            <w:r w:rsidRPr="00A95203">
              <w:rPr>
                <w:kern w:val="0"/>
                <w:sz w:val="22"/>
                <w:szCs w:val="22"/>
              </w:rPr>
              <w:t>、交银双息平衡、交银新回报</w:t>
            </w:r>
            <w:r w:rsidR="00F1122A" w:rsidRPr="00A95203">
              <w:rPr>
                <w:kern w:val="0"/>
                <w:sz w:val="22"/>
                <w:szCs w:val="22"/>
              </w:rPr>
              <w:t>A</w:t>
            </w:r>
            <w:r w:rsidR="00F1122A" w:rsidRPr="00A95203">
              <w:rPr>
                <w:kern w:val="0"/>
                <w:sz w:val="22"/>
                <w:szCs w:val="22"/>
              </w:rPr>
              <w:t>类</w:t>
            </w:r>
            <w:r w:rsidR="00F1122A">
              <w:rPr>
                <w:rFonts w:hint="eastAsia"/>
                <w:kern w:val="0"/>
                <w:sz w:val="22"/>
                <w:szCs w:val="22"/>
              </w:rPr>
              <w:t>基金份额</w:t>
            </w:r>
            <w:r w:rsidRPr="00A95203">
              <w:rPr>
                <w:kern w:val="0"/>
                <w:sz w:val="22"/>
                <w:szCs w:val="22"/>
              </w:rPr>
              <w:t>、交银多策略</w:t>
            </w:r>
            <w:r w:rsidR="00F1122A" w:rsidRPr="00A95203">
              <w:rPr>
                <w:kern w:val="0"/>
                <w:sz w:val="22"/>
                <w:szCs w:val="22"/>
              </w:rPr>
              <w:t>A</w:t>
            </w:r>
            <w:r w:rsidR="00F1122A" w:rsidRPr="00A95203">
              <w:rPr>
                <w:kern w:val="0"/>
                <w:sz w:val="22"/>
                <w:szCs w:val="22"/>
              </w:rPr>
              <w:t>类</w:t>
            </w:r>
            <w:r w:rsidR="00F1122A">
              <w:rPr>
                <w:rFonts w:hint="eastAsia"/>
                <w:kern w:val="0"/>
                <w:sz w:val="22"/>
                <w:szCs w:val="22"/>
              </w:rPr>
              <w:t>基金份额</w:t>
            </w:r>
            <w:r w:rsidRPr="00A95203">
              <w:rPr>
                <w:kern w:val="0"/>
                <w:sz w:val="22"/>
                <w:szCs w:val="22"/>
              </w:rPr>
              <w:t>、交银国企改革</w:t>
            </w:r>
            <w:r>
              <w:rPr>
                <w:rFonts w:hint="eastAsia"/>
                <w:kern w:val="0"/>
                <w:sz w:val="22"/>
                <w:szCs w:val="22"/>
              </w:rPr>
              <w:t>、交银数据产业</w:t>
            </w:r>
          </w:p>
        </w:tc>
        <w:tc>
          <w:tcPr>
            <w:tcW w:w="3029" w:type="dxa"/>
            <w:tcBorders>
              <w:top w:val="single" w:sz="6" w:space="0" w:color="7F7F7F"/>
              <w:left w:val="single" w:sz="6" w:space="0" w:color="7F7F7F"/>
              <w:bottom w:val="single" w:sz="6" w:space="0" w:color="7F7F7F"/>
              <w:right w:val="single" w:sz="6" w:space="0" w:color="7F7F7F"/>
            </w:tcBorders>
            <w:hideMark/>
          </w:tcPr>
          <w:p w:rsidR="00BA0346" w:rsidRPr="00A95203" w:rsidRDefault="00BA0346" w:rsidP="00534F16">
            <w:pPr>
              <w:widowControl/>
              <w:tabs>
                <w:tab w:val="left" w:pos="420"/>
              </w:tabs>
              <w:spacing w:before="100" w:beforeAutospacing="1" w:after="100" w:afterAutospacing="1"/>
              <w:jc w:val="center"/>
              <w:rPr>
                <w:kern w:val="0"/>
                <w:sz w:val="22"/>
                <w:szCs w:val="22"/>
              </w:rPr>
            </w:pPr>
            <w:r w:rsidRPr="00A95203">
              <w:rPr>
                <w:kern w:val="0"/>
                <w:sz w:val="22"/>
                <w:szCs w:val="22"/>
              </w:rPr>
              <w:t>50</w:t>
            </w:r>
            <w:r w:rsidRPr="00A95203">
              <w:rPr>
                <w:kern w:val="0"/>
                <w:sz w:val="22"/>
                <w:szCs w:val="22"/>
              </w:rPr>
              <w:t>万元以下</w:t>
            </w:r>
          </w:p>
        </w:tc>
        <w:tc>
          <w:tcPr>
            <w:tcW w:w="1514" w:type="dxa"/>
            <w:tcBorders>
              <w:top w:val="single" w:sz="6" w:space="0" w:color="7F7F7F"/>
              <w:left w:val="single" w:sz="6" w:space="0" w:color="7F7F7F"/>
              <w:bottom w:val="single" w:sz="6" w:space="0" w:color="7F7F7F"/>
              <w:right w:val="single" w:sz="6" w:space="0" w:color="7F7F7F"/>
            </w:tcBorders>
            <w:hideMark/>
          </w:tcPr>
          <w:p w:rsidR="00BA0346" w:rsidRPr="00A95203" w:rsidRDefault="00BA0346" w:rsidP="00534F16">
            <w:pPr>
              <w:widowControl/>
              <w:tabs>
                <w:tab w:val="left" w:pos="420"/>
              </w:tabs>
              <w:spacing w:before="100" w:beforeAutospacing="1" w:after="100" w:afterAutospacing="1"/>
              <w:jc w:val="center"/>
              <w:rPr>
                <w:kern w:val="0"/>
                <w:sz w:val="22"/>
                <w:szCs w:val="22"/>
              </w:rPr>
            </w:pPr>
            <w:r w:rsidRPr="00A95203">
              <w:rPr>
                <w:kern w:val="0"/>
                <w:sz w:val="22"/>
                <w:szCs w:val="22"/>
              </w:rPr>
              <w:t>0.7%</w:t>
            </w:r>
          </w:p>
        </w:tc>
      </w:tr>
      <w:tr w:rsidR="00BA0346" w:rsidRPr="00A95203" w:rsidTr="003B7662">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534F16">
            <w:pPr>
              <w:widowControl/>
              <w:jc w:val="left"/>
              <w:rPr>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534F16">
            <w:pPr>
              <w:widowControl/>
              <w:jc w:val="left"/>
              <w:rPr>
                <w:kern w:val="0"/>
                <w:sz w:val="22"/>
                <w:szCs w:val="22"/>
              </w:rPr>
            </w:pPr>
          </w:p>
        </w:tc>
        <w:tc>
          <w:tcPr>
            <w:tcW w:w="3029" w:type="dxa"/>
            <w:tcBorders>
              <w:top w:val="single" w:sz="6" w:space="0" w:color="7F7F7F"/>
              <w:left w:val="single" w:sz="6" w:space="0" w:color="7F7F7F"/>
              <w:bottom w:val="single" w:sz="6" w:space="0" w:color="7F7F7F"/>
              <w:right w:val="single" w:sz="6" w:space="0" w:color="7F7F7F"/>
            </w:tcBorders>
            <w:hideMark/>
          </w:tcPr>
          <w:p w:rsidR="00BA0346" w:rsidRPr="00A95203" w:rsidRDefault="00BA0346" w:rsidP="00534F16">
            <w:pPr>
              <w:widowControl/>
              <w:tabs>
                <w:tab w:val="left" w:pos="420"/>
              </w:tabs>
              <w:spacing w:before="100" w:beforeAutospacing="1" w:after="100" w:afterAutospacing="1"/>
              <w:jc w:val="center"/>
              <w:rPr>
                <w:kern w:val="0"/>
                <w:sz w:val="22"/>
                <w:szCs w:val="22"/>
              </w:rPr>
            </w:pPr>
            <w:r w:rsidRPr="00A95203">
              <w:rPr>
                <w:kern w:val="0"/>
                <w:sz w:val="22"/>
                <w:szCs w:val="22"/>
              </w:rPr>
              <w:t>50</w:t>
            </w:r>
            <w:r w:rsidRPr="00A95203">
              <w:rPr>
                <w:kern w:val="0"/>
                <w:sz w:val="22"/>
                <w:szCs w:val="22"/>
              </w:rPr>
              <w:t>万元（含）至</w:t>
            </w:r>
            <w:r w:rsidRPr="00A95203">
              <w:rPr>
                <w:kern w:val="0"/>
                <w:sz w:val="22"/>
                <w:szCs w:val="22"/>
              </w:rPr>
              <w:t>100</w:t>
            </w:r>
            <w:r w:rsidRPr="00A95203">
              <w:rPr>
                <w:kern w:val="0"/>
                <w:sz w:val="22"/>
                <w:szCs w:val="22"/>
              </w:rPr>
              <w:t>万元</w:t>
            </w:r>
          </w:p>
        </w:tc>
        <w:tc>
          <w:tcPr>
            <w:tcW w:w="1514" w:type="dxa"/>
            <w:tcBorders>
              <w:top w:val="single" w:sz="6" w:space="0" w:color="7F7F7F"/>
              <w:left w:val="single" w:sz="6" w:space="0" w:color="7F7F7F"/>
              <w:bottom w:val="single" w:sz="6" w:space="0" w:color="7F7F7F"/>
              <w:right w:val="single" w:sz="6" w:space="0" w:color="7F7F7F"/>
            </w:tcBorders>
            <w:hideMark/>
          </w:tcPr>
          <w:p w:rsidR="00BA0346" w:rsidRPr="00A95203" w:rsidRDefault="00BA0346" w:rsidP="00534F16">
            <w:pPr>
              <w:widowControl/>
              <w:tabs>
                <w:tab w:val="left" w:pos="420"/>
              </w:tabs>
              <w:spacing w:before="100" w:beforeAutospacing="1" w:after="100" w:afterAutospacing="1"/>
              <w:jc w:val="center"/>
              <w:rPr>
                <w:kern w:val="0"/>
                <w:sz w:val="22"/>
                <w:szCs w:val="22"/>
              </w:rPr>
            </w:pPr>
            <w:r w:rsidRPr="00A95203">
              <w:rPr>
                <w:kern w:val="0"/>
                <w:sz w:val="22"/>
                <w:szCs w:val="22"/>
              </w:rPr>
              <w:t>0.6%</w:t>
            </w:r>
          </w:p>
        </w:tc>
      </w:tr>
      <w:tr w:rsidR="00BA0346" w:rsidRPr="00A95203" w:rsidTr="003B7662">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534F16">
            <w:pPr>
              <w:widowControl/>
              <w:jc w:val="left"/>
              <w:rPr>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534F16">
            <w:pPr>
              <w:widowControl/>
              <w:jc w:val="left"/>
              <w:rPr>
                <w:kern w:val="0"/>
                <w:sz w:val="22"/>
                <w:szCs w:val="22"/>
              </w:rPr>
            </w:pPr>
          </w:p>
        </w:tc>
        <w:tc>
          <w:tcPr>
            <w:tcW w:w="3029" w:type="dxa"/>
            <w:tcBorders>
              <w:top w:val="single" w:sz="6" w:space="0" w:color="7F7F7F"/>
              <w:left w:val="single" w:sz="6" w:space="0" w:color="7F7F7F"/>
              <w:bottom w:val="single" w:sz="6" w:space="0" w:color="7F7F7F"/>
              <w:right w:val="single" w:sz="6" w:space="0" w:color="7F7F7F"/>
            </w:tcBorders>
            <w:hideMark/>
          </w:tcPr>
          <w:p w:rsidR="00BA0346" w:rsidRPr="00A95203" w:rsidRDefault="00BA0346" w:rsidP="00534F16">
            <w:pPr>
              <w:widowControl/>
              <w:tabs>
                <w:tab w:val="left" w:pos="420"/>
              </w:tabs>
              <w:spacing w:before="100" w:beforeAutospacing="1" w:after="100" w:afterAutospacing="1"/>
              <w:jc w:val="center"/>
              <w:rPr>
                <w:kern w:val="0"/>
                <w:sz w:val="22"/>
                <w:szCs w:val="22"/>
              </w:rPr>
            </w:pPr>
            <w:r w:rsidRPr="00A95203">
              <w:rPr>
                <w:kern w:val="0"/>
                <w:sz w:val="22"/>
                <w:szCs w:val="22"/>
              </w:rPr>
              <w:t>100</w:t>
            </w:r>
            <w:r w:rsidRPr="00A95203">
              <w:rPr>
                <w:kern w:val="0"/>
                <w:sz w:val="22"/>
                <w:szCs w:val="22"/>
              </w:rPr>
              <w:t>万元（含）至</w:t>
            </w:r>
            <w:r w:rsidRPr="00A95203">
              <w:rPr>
                <w:kern w:val="0"/>
                <w:sz w:val="22"/>
                <w:szCs w:val="22"/>
              </w:rPr>
              <w:t>200</w:t>
            </w:r>
            <w:r w:rsidRPr="00A95203">
              <w:rPr>
                <w:kern w:val="0"/>
                <w:sz w:val="22"/>
                <w:szCs w:val="22"/>
              </w:rPr>
              <w:t>万元</w:t>
            </w:r>
          </w:p>
        </w:tc>
        <w:tc>
          <w:tcPr>
            <w:tcW w:w="1514" w:type="dxa"/>
            <w:tcBorders>
              <w:top w:val="single" w:sz="6" w:space="0" w:color="7F7F7F"/>
              <w:left w:val="single" w:sz="6" w:space="0" w:color="7F7F7F"/>
              <w:bottom w:val="single" w:sz="6" w:space="0" w:color="7F7F7F"/>
              <w:right w:val="single" w:sz="6" w:space="0" w:color="7F7F7F"/>
            </w:tcBorders>
            <w:hideMark/>
          </w:tcPr>
          <w:p w:rsidR="00BA0346" w:rsidRPr="00A95203" w:rsidRDefault="00BA0346" w:rsidP="00534F16">
            <w:pPr>
              <w:widowControl/>
              <w:tabs>
                <w:tab w:val="left" w:pos="420"/>
              </w:tabs>
              <w:spacing w:before="100" w:beforeAutospacing="1" w:after="100" w:afterAutospacing="1"/>
              <w:jc w:val="center"/>
              <w:rPr>
                <w:kern w:val="0"/>
                <w:sz w:val="22"/>
                <w:szCs w:val="22"/>
              </w:rPr>
            </w:pPr>
            <w:r w:rsidRPr="00A95203">
              <w:rPr>
                <w:kern w:val="0"/>
                <w:sz w:val="22"/>
                <w:szCs w:val="22"/>
              </w:rPr>
              <w:t>0.3%</w:t>
            </w:r>
          </w:p>
        </w:tc>
      </w:tr>
      <w:tr w:rsidR="00BA0346" w:rsidRPr="00A95203" w:rsidTr="003B7662">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534F16">
            <w:pPr>
              <w:widowControl/>
              <w:jc w:val="left"/>
              <w:rPr>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534F16">
            <w:pPr>
              <w:widowControl/>
              <w:jc w:val="left"/>
              <w:rPr>
                <w:kern w:val="0"/>
                <w:sz w:val="22"/>
                <w:szCs w:val="22"/>
              </w:rPr>
            </w:pPr>
          </w:p>
        </w:tc>
        <w:tc>
          <w:tcPr>
            <w:tcW w:w="3029" w:type="dxa"/>
            <w:tcBorders>
              <w:top w:val="single" w:sz="6" w:space="0" w:color="7F7F7F"/>
              <w:left w:val="single" w:sz="6" w:space="0" w:color="7F7F7F"/>
              <w:bottom w:val="single" w:sz="6" w:space="0" w:color="7F7F7F"/>
              <w:right w:val="single" w:sz="6" w:space="0" w:color="7F7F7F"/>
            </w:tcBorders>
            <w:hideMark/>
          </w:tcPr>
          <w:p w:rsidR="00BA0346" w:rsidRPr="00A95203" w:rsidRDefault="00BA0346" w:rsidP="00534F16">
            <w:pPr>
              <w:widowControl/>
              <w:tabs>
                <w:tab w:val="left" w:pos="420"/>
              </w:tabs>
              <w:spacing w:before="100" w:beforeAutospacing="1" w:after="100" w:afterAutospacing="1"/>
              <w:jc w:val="center"/>
              <w:rPr>
                <w:kern w:val="0"/>
                <w:sz w:val="22"/>
                <w:szCs w:val="22"/>
              </w:rPr>
            </w:pPr>
            <w:r w:rsidRPr="00A95203">
              <w:rPr>
                <w:kern w:val="0"/>
                <w:sz w:val="22"/>
                <w:szCs w:val="22"/>
              </w:rPr>
              <w:t>200</w:t>
            </w:r>
            <w:r w:rsidRPr="00A95203">
              <w:rPr>
                <w:kern w:val="0"/>
                <w:sz w:val="22"/>
                <w:szCs w:val="22"/>
              </w:rPr>
              <w:t>万元（含）至</w:t>
            </w:r>
            <w:r w:rsidRPr="00A95203">
              <w:rPr>
                <w:kern w:val="0"/>
                <w:sz w:val="22"/>
                <w:szCs w:val="22"/>
              </w:rPr>
              <w:t>500</w:t>
            </w:r>
            <w:r w:rsidRPr="00A95203">
              <w:rPr>
                <w:kern w:val="0"/>
                <w:sz w:val="22"/>
                <w:szCs w:val="22"/>
              </w:rPr>
              <w:t>万元</w:t>
            </w:r>
          </w:p>
        </w:tc>
        <w:tc>
          <w:tcPr>
            <w:tcW w:w="1514" w:type="dxa"/>
            <w:tcBorders>
              <w:top w:val="single" w:sz="6" w:space="0" w:color="7F7F7F"/>
              <w:left w:val="single" w:sz="6" w:space="0" w:color="7F7F7F"/>
              <w:bottom w:val="single" w:sz="6" w:space="0" w:color="7F7F7F"/>
              <w:right w:val="single" w:sz="6" w:space="0" w:color="7F7F7F"/>
            </w:tcBorders>
            <w:hideMark/>
          </w:tcPr>
          <w:p w:rsidR="00BA0346" w:rsidRPr="00A95203" w:rsidRDefault="00BA0346" w:rsidP="00534F16">
            <w:pPr>
              <w:widowControl/>
              <w:tabs>
                <w:tab w:val="left" w:pos="420"/>
              </w:tabs>
              <w:spacing w:before="100" w:beforeAutospacing="1" w:after="100" w:afterAutospacing="1"/>
              <w:jc w:val="center"/>
              <w:rPr>
                <w:kern w:val="0"/>
                <w:sz w:val="22"/>
                <w:szCs w:val="22"/>
              </w:rPr>
            </w:pPr>
            <w:r w:rsidRPr="00A95203">
              <w:rPr>
                <w:kern w:val="0"/>
                <w:sz w:val="22"/>
                <w:szCs w:val="22"/>
              </w:rPr>
              <w:t>0.2%</w:t>
            </w:r>
          </w:p>
        </w:tc>
      </w:tr>
      <w:tr w:rsidR="00BA0346" w:rsidRPr="00A95203" w:rsidTr="003B7662">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534F16">
            <w:pPr>
              <w:widowControl/>
              <w:jc w:val="left"/>
              <w:rPr>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534F16">
            <w:pPr>
              <w:widowControl/>
              <w:jc w:val="left"/>
              <w:rPr>
                <w:kern w:val="0"/>
                <w:sz w:val="22"/>
                <w:szCs w:val="22"/>
              </w:rPr>
            </w:pPr>
          </w:p>
        </w:tc>
        <w:tc>
          <w:tcPr>
            <w:tcW w:w="3029" w:type="dxa"/>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534F16">
            <w:pPr>
              <w:widowControl/>
              <w:tabs>
                <w:tab w:val="left" w:pos="420"/>
              </w:tabs>
              <w:spacing w:before="100" w:beforeAutospacing="1" w:after="100" w:afterAutospacing="1"/>
              <w:jc w:val="center"/>
              <w:rPr>
                <w:kern w:val="0"/>
                <w:sz w:val="22"/>
                <w:szCs w:val="22"/>
              </w:rPr>
            </w:pPr>
            <w:r w:rsidRPr="00A95203">
              <w:rPr>
                <w:kern w:val="0"/>
                <w:sz w:val="22"/>
                <w:szCs w:val="22"/>
              </w:rPr>
              <w:t>500</w:t>
            </w:r>
            <w:r w:rsidRPr="00A95203">
              <w:rPr>
                <w:kern w:val="0"/>
                <w:sz w:val="22"/>
                <w:szCs w:val="22"/>
              </w:rPr>
              <w:t>万元以上（含</w:t>
            </w:r>
            <w:r w:rsidRPr="00A95203">
              <w:rPr>
                <w:kern w:val="0"/>
                <w:sz w:val="22"/>
                <w:szCs w:val="22"/>
              </w:rPr>
              <w:t>500</w:t>
            </w:r>
            <w:r w:rsidRPr="00A95203">
              <w:rPr>
                <w:kern w:val="0"/>
                <w:sz w:val="22"/>
                <w:szCs w:val="22"/>
              </w:rPr>
              <w:t>万）</w:t>
            </w:r>
          </w:p>
        </w:tc>
        <w:tc>
          <w:tcPr>
            <w:tcW w:w="1514" w:type="dxa"/>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534F16">
            <w:pPr>
              <w:widowControl/>
              <w:tabs>
                <w:tab w:val="left" w:pos="420"/>
              </w:tabs>
              <w:spacing w:before="100" w:beforeAutospacing="1" w:after="100" w:afterAutospacing="1"/>
              <w:jc w:val="center"/>
              <w:rPr>
                <w:kern w:val="0"/>
                <w:sz w:val="22"/>
                <w:szCs w:val="22"/>
              </w:rPr>
            </w:pPr>
            <w:r w:rsidRPr="00A95203">
              <w:rPr>
                <w:kern w:val="0"/>
                <w:sz w:val="22"/>
                <w:szCs w:val="22"/>
              </w:rPr>
              <w:t>0</w:t>
            </w:r>
          </w:p>
        </w:tc>
      </w:tr>
      <w:tr w:rsidR="00BA0346" w:rsidRPr="00A95203" w:rsidTr="003B7662">
        <w:trPr>
          <w:trHeight w:val="118"/>
          <w:tblCellSpacing w:w="0" w:type="dxa"/>
        </w:trPr>
        <w:tc>
          <w:tcPr>
            <w:tcW w:w="1922" w:type="dxa"/>
            <w:vMerge w:val="restart"/>
            <w:tcBorders>
              <w:top w:val="single" w:sz="6" w:space="0" w:color="7F7F7F"/>
              <w:left w:val="single" w:sz="6" w:space="0" w:color="7F7F7F"/>
              <w:right w:val="single" w:sz="6" w:space="0" w:color="7F7F7F"/>
            </w:tcBorders>
            <w:vAlign w:val="center"/>
            <w:hideMark/>
          </w:tcPr>
          <w:p w:rsidR="00BA0346" w:rsidRPr="00A95203" w:rsidRDefault="00BA0346" w:rsidP="00380F1D">
            <w:pPr>
              <w:widowControl/>
              <w:jc w:val="left"/>
              <w:rPr>
                <w:kern w:val="0"/>
                <w:sz w:val="22"/>
                <w:szCs w:val="22"/>
              </w:rPr>
            </w:pPr>
            <w:r w:rsidRPr="00A95203">
              <w:rPr>
                <w:kern w:val="0"/>
                <w:sz w:val="22"/>
                <w:szCs w:val="22"/>
              </w:rPr>
              <w:t>交银增利</w:t>
            </w:r>
            <w:r w:rsidRPr="00A95203">
              <w:rPr>
                <w:kern w:val="0"/>
                <w:sz w:val="22"/>
                <w:szCs w:val="22"/>
              </w:rPr>
              <w:t>A</w:t>
            </w:r>
            <w:r w:rsidRPr="00A95203">
              <w:rPr>
                <w:kern w:val="0"/>
                <w:sz w:val="22"/>
                <w:szCs w:val="22"/>
              </w:rPr>
              <w:t>类基金份额</w:t>
            </w:r>
            <w:r w:rsidR="00380F1D">
              <w:rPr>
                <w:rFonts w:hint="eastAsia"/>
                <w:kern w:val="0"/>
                <w:sz w:val="22"/>
                <w:szCs w:val="22"/>
              </w:rPr>
              <w:t>、</w:t>
            </w:r>
            <w:r w:rsidRPr="00A95203">
              <w:rPr>
                <w:kern w:val="0"/>
                <w:sz w:val="22"/>
                <w:szCs w:val="22"/>
              </w:rPr>
              <w:t>交银双利</w:t>
            </w:r>
            <w:r w:rsidRPr="00A95203">
              <w:rPr>
                <w:kern w:val="0"/>
                <w:sz w:val="22"/>
                <w:szCs w:val="22"/>
              </w:rPr>
              <w:t>A</w:t>
            </w:r>
            <w:r w:rsidRPr="00A95203">
              <w:rPr>
                <w:kern w:val="0"/>
                <w:sz w:val="22"/>
                <w:szCs w:val="22"/>
              </w:rPr>
              <w:t>类基金份额</w:t>
            </w:r>
            <w:r w:rsidR="00380F1D">
              <w:rPr>
                <w:rFonts w:hint="eastAsia"/>
                <w:kern w:val="0"/>
                <w:sz w:val="22"/>
                <w:szCs w:val="22"/>
              </w:rPr>
              <w:t>、</w:t>
            </w:r>
            <w:r w:rsidRPr="00A95203">
              <w:rPr>
                <w:kern w:val="0"/>
                <w:sz w:val="22"/>
                <w:szCs w:val="22"/>
              </w:rPr>
              <w:t>交银纯债</w:t>
            </w:r>
            <w:r w:rsidRPr="00A95203">
              <w:rPr>
                <w:kern w:val="0"/>
                <w:sz w:val="22"/>
                <w:szCs w:val="22"/>
              </w:rPr>
              <w:t>A</w:t>
            </w:r>
            <w:r w:rsidRPr="00A95203">
              <w:rPr>
                <w:kern w:val="0"/>
                <w:sz w:val="22"/>
                <w:szCs w:val="22"/>
              </w:rPr>
              <w:t>类基金份额</w:t>
            </w:r>
            <w:r w:rsidR="00380F1D">
              <w:rPr>
                <w:rFonts w:hint="eastAsia"/>
                <w:kern w:val="0"/>
                <w:sz w:val="22"/>
                <w:szCs w:val="22"/>
              </w:rPr>
              <w:t>、</w:t>
            </w:r>
            <w:r w:rsidRPr="00A95203">
              <w:rPr>
                <w:kern w:val="0"/>
                <w:sz w:val="22"/>
                <w:szCs w:val="22"/>
              </w:rPr>
              <w:t>交银双轮动</w:t>
            </w:r>
            <w:r w:rsidRPr="00A95203">
              <w:rPr>
                <w:kern w:val="0"/>
                <w:sz w:val="22"/>
                <w:szCs w:val="22"/>
              </w:rPr>
              <w:t>A</w:t>
            </w:r>
            <w:r w:rsidRPr="00A95203">
              <w:rPr>
                <w:kern w:val="0"/>
                <w:sz w:val="22"/>
                <w:szCs w:val="22"/>
              </w:rPr>
              <w:t>类基</w:t>
            </w:r>
            <w:r w:rsidRPr="00A95203">
              <w:rPr>
                <w:kern w:val="0"/>
                <w:sz w:val="22"/>
                <w:szCs w:val="22"/>
              </w:rPr>
              <w:lastRenderedPageBreak/>
              <w:t>金份额</w:t>
            </w:r>
            <w:r w:rsidR="00380F1D">
              <w:rPr>
                <w:rFonts w:hint="eastAsia"/>
                <w:kern w:val="0"/>
                <w:sz w:val="22"/>
                <w:szCs w:val="22"/>
              </w:rPr>
              <w:t>、</w:t>
            </w:r>
            <w:r w:rsidRPr="00A95203">
              <w:rPr>
                <w:kern w:val="0"/>
                <w:sz w:val="22"/>
                <w:szCs w:val="22"/>
              </w:rPr>
              <w:t>交银月月丰</w:t>
            </w:r>
            <w:r w:rsidRPr="00A95203">
              <w:rPr>
                <w:kern w:val="0"/>
                <w:sz w:val="22"/>
                <w:szCs w:val="22"/>
              </w:rPr>
              <w:t>A</w:t>
            </w:r>
            <w:r w:rsidRPr="00A95203">
              <w:rPr>
                <w:kern w:val="0"/>
                <w:sz w:val="22"/>
                <w:szCs w:val="22"/>
              </w:rPr>
              <w:t>类基金份额</w:t>
            </w:r>
            <w:r w:rsidR="00380F1D">
              <w:rPr>
                <w:rFonts w:hint="eastAsia"/>
                <w:kern w:val="0"/>
                <w:sz w:val="22"/>
                <w:szCs w:val="22"/>
              </w:rPr>
              <w:t>、</w:t>
            </w:r>
            <w:r w:rsidRPr="00A95203">
              <w:rPr>
                <w:kern w:val="0"/>
                <w:sz w:val="22"/>
                <w:szCs w:val="22"/>
              </w:rPr>
              <w:t>交银强化回报</w:t>
            </w:r>
            <w:r w:rsidRPr="00A95203">
              <w:rPr>
                <w:kern w:val="0"/>
                <w:sz w:val="22"/>
                <w:szCs w:val="22"/>
              </w:rPr>
              <w:t>A</w:t>
            </w:r>
            <w:r w:rsidRPr="00A95203">
              <w:rPr>
                <w:kern w:val="0"/>
                <w:sz w:val="22"/>
                <w:szCs w:val="22"/>
              </w:rPr>
              <w:t>类基金份额</w:t>
            </w:r>
          </w:p>
        </w:tc>
        <w:tc>
          <w:tcPr>
            <w:tcW w:w="2010" w:type="dxa"/>
            <w:vMerge w:val="restart"/>
            <w:tcBorders>
              <w:top w:val="single" w:sz="6" w:space="0" w:color="7F7F7F"/>
              <w:left w:val="single" w:sz="6" w:space="0" w:color="7F7F7F"/>
              <w:right w:val="single" w:sz="6" w:space="0" w:color="7F7F7F"/>
            </w:tcBorders>
            <w:vAlign w:val="center"/>
            <w:hideMark/>
          </w:tcPr>
          <w:p w:rsidR="00BA0346" w:rsidRPr="00A95203" w:rsidRDefault="00BA0346" w:rsidP="00D14546">
            <w:pPr>
              <w:widowControl/>
              <w:jc w:val="left"/>
              <w:rPr>
                <w:kern w:val="0"/>
                <w:sz w:val="22"/>
                <w:szCs w:val="22"/>
              </w:rPr>
            </w:pPr>
            <w:r w:rsidRPr="00A95203">
              <w:rPr>
                <w:kern w:val="0"/>
                <w:sz w:val="22"/>
                <w:szCs w:val="22"/>
              </w:rPr>
              <w:lastRenderedPageBreak/>
              <w:t>交银荣祥保本</w:t>
            </w:r>
          </w:p>
        </w:tc>
        <w:tc>
          <w:tcPr>
            <w:tcW w:w="3029" w:type="dxa"/>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534F16">
            <w:pPr>
              <w:widowControl/>
              <w:tabs>
                <w:tab w:val="left" w:pos="420"/>
              </w:tabs>
              <w:spacing w:before="100" w:beforeAutospacing="1" w:after="100" w:afterAutospacing="1"/>
              <w:jc w:val="center"/>
              <w:rPr>
                <w:kern w:val="0"/>
                <w:sz w:val="22"/>
                <w:szCs w:val="22"/>
              </w:rPr>
            </w:pPr>
            <w:r w:rsidRPr="00A95203">
              <w:rPr>
                <w:kern w:val="0"/>
                <w:sz w:val="22"/>
                <w:szCs w:val="22"/>
              </w:rPr>
              <w:t>100</w:t>
            </w:r>
            <w:r w:rsidRPr="00A95203">
              <w:rPr>
                <w:kern w:val="0"/>
                <w:sz w:val="22"/>
                <w:szCs w:val="22"/>
              </w:rPr>
              <w:t>万元以下</w:t>
            </w:r>
          </w:p>
        </w:tc>
        <w:tc>
          <w:tcPr>
            <w:tcW w:w="1514" w:type="dxa"/>
            <w:tcBorders>
              <w:top w:val="single" w:sz="6" w:space="0" w:color="7F7F7F"/>
              <w:left w:val="single" w:sz="6" w:space="0" w:color="7F7F7F"/>
              <w:right w:val="single" w:sz="6" w:space="0" w:color="7F7F7F"/>
            </w:tcBorders>
            <w:vAlign w:val="center"/>
            <w:hideMark/>
          </w:tcPr>
          <w:p w:rsidR="00BA0346" w:rsidRPr="00A95203" w:rsidRDefault="00BA0346" w:rsidP="00534F16">
            <w:pPr>
              <w:widowControl/>
              <w:tabs>
                <w:tab w:val="left" w:pos="420"/>
              </w:tabs>
              <w:spacing w:before="100" w:beforeAutospacing="1" w:after="100" w:afterAutospacing="1"/>
              <w:jc w:val="center"/>
              <w:rPr>
                <w:kern w:val="0"/>
                <w:sz w:val="22"/>
                <w:szCs w:val="22"/>
              </w:rPr>
            </w:pPr>
            <w:r w:rsidRPr="00A95203">
              <w:rPr>
                <w:kern w:val="0"/>
                <w:sz w:val="22"/>
                <w:szCs w:val="22"/>
              </w:rPr>
              <w:t>0.4%</w:t>
            </w:r>
          </w:p>
        </w:tc>
      </w:tr>
      <w:tr w:rsidR="00BA0346" w:rsidRPr="00A95203" w:rsidTr="003B7662">
        <w:trPr>
          <w:trHeight w:val="117"/>
          <w:tblCellSpacing w:w="0" w:type="dxa"/>
        </w:trPr>
        <w:tc>
          <w:tcPr>
            <w:tcW w:w="1922" w:type="dxa"/>
            <w:vMerge/>
            <w:tcBorders>
              <w:left w:val="single" w:sz="6" w:space="0" w:color="7F7F7F"/>
              <w:right w:val="single" w:sz="6" w:space="0" w:color="7F7F7F"/>
            </w:tcBorders>
            <w:vAlign w:val="center"/>
            <w:hideMark/>
          </w:tcPr>
          <w:p w:rsidR="00BA0346" w:rsidRPr="00A95203" w:rsidRDefault="00BA0346" w:rsidP="00534F16">
            <w:pPr>
              <w:widowControl/>
              <w:jc w:val="left"/>
              <w:rPr>
                <w:kern w:val="0"/>
                <w:sz w:val="22"/>
                <w:szCs w:val="22"/>
              </w:rPr>
            </w:pPr>
          </w:p>
        </w:tc>
        <w:tc>
          <w:tcPr>
            <w:tcW w:w="2010" w:type="dxa"/>
            <w:vMerge/>
            <w:tcBorders>
              <w:left w:val="single" w:sz="6" w:space="0" w:color="7F7F7F"/>
              <w:right w:val="single" w:sz="6" w:space="0" w:color="7F7F7F"/>
            </w:tcBorders>
            <w:vAlign w:val="center"/>
            <w:hideMark/>
          </w:tcPr>
          <w:p w:rsidR="00BA0346" w:rsidRPr="00A95203" w:rsidRDefault="00BA0346" w:rsidP="00534F16">
            <w:pPr>
              <w:widowControl/>
              <w:jc w:val="left"/>
              <w:rPr>
                <w:kern w:val="0"/>
                <w:sz w:val="22"/>
                <w:szCs w:val="22"/>
              </w:rPr>
            </w:pPr>
          </w:p>
        </w:tc>
        <w:tc>
          <w:tcPr>
            <w:tcW w:w="3029" w:type="dxa"/>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534F16">
            <w:pPr>
              <w:widowControl/>
              <w:tabs>
                <w:tab w:val="left" w:pos="420"/>
              </w:tabs>
              <w:spacing w:before="100" w:beforeAutospacing="1" w:after="100" w:afterAutospacing="1"/>
              <w:jc w:val="center"/>
              <w:rPr>
                <w:kern w:val="0"/>
                <w:sz w:val="22"/>
                <w:szCs w:val="22"/>
              </w:rPr>
            </w:pPr>
            <w:r w:rsidRPr="00A95203">
              <w:rPr>
                <w:kern w:val="0"/>
                <w:sz w:val="22"/>
                <w:szCs w:val="22"/>
              </w:rPr>
              <w:t>100</w:t>
            </w:r>
            <w:r w:rsidRPr="00A95203">
              <w:rPr>
                <w:kern w:val="0"/>
                <w:sz w:val="22"/>
                <w:szCs w:val="22"/>
              </w:rPr>
              <w:t>万元（含）至</w:t>
            </w:r>
            <w:r w:rsidRPr="00A95203">
              <w:rPr>
                <w:kern w:val="0"/>
                <w:sz w:val="22"/>
                <w:szCs w:val="22"/>
              </w:rPr>
              <w:t>500</w:t>
            </w:r>
            <w:r w:rsidRPr="00A95203">
              <w:rPr>
                <w:kern w:val="0"/>
                <w:sz w:val="22"/>
                <w:szCs w:val="22"/>
              </w:rPr>
              <w:t>万元</w:t>
            </w:r>
          </w:p>
        </w:tc>
        <w:tc>
          <w:tcPr>
            <w:tcW w:w="1514" w:type="dxa"/>
            <w:tcBorders>
              <w:left w:val="single" w:sz="6" w:space="0" w:color="7F7F7F"/>
              <w:right w:val="single" w:sz="6" w:space="0" w:color="7F7F7F"/>
            </w:tcBorders>
            <w:vAlign w:val="center"/>
            <w:hideMark/>
          </w:tcPr>
          <w:p w:rsidR="00BA0346" w:rsidRPr="00A95203" w:rsidRDefault="00BA0346" w:rsidP="00534F16">
            <w:pPr>
              <w:widowControl/>
              <w:tabs>
                <w:tab w:val="left" w:pos="420"/>
              </w:tabs>
              <w:spacing w:before="100" w:beforeAutospacing="1" w:after="100" w:afterAutospacing="1"/>
              <w:jc w:val="center"/>
              <w:rPr>
                <w:kern w:val="0"/>
                <w:sz w:val="22"/>
                <w:szCs w:val="22"/>
              </w:rPr>
            </w:pPr>
            <w:r w:rsidRPr="00A95203">
              <w:rPr>
                <w:kern w:val="0"/>
                <w:sz w:val="22"/>
                <w:szCs w:val="22"/>
              </w:rPr>
              <w:t>0.3%</w:t>
            </w:r>
          </w:p>
        </w:tc>
      </w:tr>
      <w:tr w:rsidR="00BA0346" w:rsidRPr="00A95203" w:rsidTr="003B7662">
        <w:trPr>
          <w:trHeight w:val="117"/>
          <w:tblCellSpacing w:w="0" w:type="dxa"/>
        </w:trPr>
        <w:tc>
          <w:tcPr>
            <w:tcW w:w="1922" w:type="dxa"/>
            <w:vMerge/>
            <w:tcBorders>
              <w:left w:val="single" w:sz="6" w:space="0" w:color="7F7F7F"/>
              <w:bottom w:val="single" w:sz="6" w:space="0" w:color="7F7F7F"/>
              <w:right w:val="single" w:sz="6" w:space="0" w:color="7F7F7F"/>
            </w:tcBorders>
            <w:vAlign w:val="center"/>
            <w:hideMark/>
          </w:tcPr>
          <w:p w:rsidR="00BA0346" w:rsidRPr="00A95203" w:rsidRDefault="00BA0346" w:rsidP="00534F16">
            <w:pPr>
              <w:widowControl/>
              <w:jc w:val="left"/>
              <w:rPr>
                <w:kern w:val="0"/>
                <w:sz w:val="22"/>
                <w:szCs w:val="22"/>
              </w:rPr>
            </w:pPr>
          </w:p>
        </w:tc>
        <w:tc>
          <w:tcPr>
            <w:tcW w:w="2010" w:type="dxa"/>
            <w:vMerge/>
            <w:tcBorders>
              <w:left w:val="single" w:sz="6" w:space="0" w:color="7F7F7F"/>
              <w:bottom w:val="single" w:sz="6" w:space="0" w:color="7F7F7F"/>
              <w:right w:val="single" w:sz="6" w:space="0" w:color="7F7F7F"/>
            </w:tcBorders>
            <w:vAlign w:val="center"/>
            <w:hideMark/>
          </w:tcPr>
          <w:p w:rsidR="00BA0346" w:rsidRPr="00A95203" w:rsidRDefault="00BA0346" w:rsidP="00534F16">
            <w:pPr>
              <w:widowControl/>
              <w:jc w:val="left"/>
              <w:rPr>
                <w:kern w:val="0"/>
                <w:sz w:val="22"/>
                <w:szCs w:val="22"/>
              </w:rPr>
            </w:pPr>
          </w:p>
        </w:tc>
        <w:tc>
          <w:tcPr>
            <w:tcW w:w="3029" w:type="dxa"/>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534F16">
            <w:pPr>
              <w:widowControl/>
              <w:tabs>
                <w:tab w:val="left" w:pos="420"/>
              </w:tabs>
              <w:spacing w:before="100" w:beforeAutospacing="1" w:after="100" w:afterAutospacing="1"/>
              <w:jc w:val="center"/>
              <w:rPr>
                <w:kern w:val="0"/>
                <w:sz w:val="22"/>
                <w:szCs w:val="22"/>
              </w:rPr>
            </w:pPr>
            <w:r w:rsidRPr="00A95203">
              <w:rPr>
                <w:kern w:val="0"/>
                <w:sz w:val="22"/>
                <w:szCs w:val="22"/>
              </w:rPr>
              <w:t>500</w:t>
            </w:r>
            <w:r w:rsidRPr="00A95203">
              <w:rPr>
                <w:kern w:val="0"/>
                <w:sz w:val="22"/>
                <w:szCs w:val="22"/>
              </w:rPr>
              <w:t>万元以上（含</w:t>
            </w:r>
            <w:r w:rsidRPr="00A95203">
              <w:rPr>
                <w:kern w:val="0"/>
                <w:sz w:val="22"/>
                <w:szCs w:val="22"/>
              </w:rPr>
              <w:t>500</w:t>
            </w:r>
            <w:r w:rsidRPr="00A95203">
              <w:rPr>
                <w:kern w:val="0"/>
                <w:sz w:val="22"/>
                <w:szCs w:val="22"/>
              </w:rPr>
              <w:t>万）</w:t>
            </w:r>
          </w:p>
        </w:tc>
        <w:tc>
          <w:tcPr>
            <w:tcW w:w="1514" w:type="dxa"/>
            <w:tcBorders>
              <w:left w:val="single" w:sz="6" w:space="0" w:color="7F7F7F"/>
              <w:bottom w:val="single" w:sz="6" w:space="0" w:color="7F7F7F"/>
              <w:right w:val="single" w:sz="6" w:space="0" w:color="7F7F7F"/>
            </w:tcBorders>
            <w:vAlign w:val="center"/>
            <w:hideMark/>
          </w:tcPr>
          <w:p w:rsidR="00BA0346" w:rsidRPr="00A95203" w:rsidRDefault="00BA0346" w:rsidP="00534F16">
            <w:pPr>
              <w:widowControl/>
              <w:tabs>
                <w:tab w:val="left" w:pos="420"/>
              </w:tabs>
              <w:spacing w:before="100" w:beforeAutospacing="1" w:after="100" w:afterAutospacing="1"/>
              <w:jc w:val="center"/>
              <w:rPr>
                <w:kern w:val="0"/>
                <w:sz w:val="22"/>
                <w:szCs w:val="22"/>
              </w:rPr>
            </w:pPr>
            <w:r w:rsidRPr="00A95203">
              <w:rPr>
                <w:kern w:val="0"/>
                <w:sz w:val="22"/>
                <w:szCs w:val="22"/>
              </w:rPr>
              <w:t>0</w:t>
            </w:r>
          </w:p>
        </w:tc>
      </w:tr>
      <w:tr w:rsidR="00BA0346" w:rsidRPr="00A95203" w:rsidTr="003B7662">
        <w:trPr>
          <w:tblCellSpacing w:w="0" w:type="dxa"/>
        </w:trPr>
        <w:tc>
          <w:tcPr>
            <w:tcW w:w="1922" w:type="dxa"/>
            <w:vMerge w:val="restart"/>
            <w:tcBorders>
              <w:top w:val="single" w:sz="6" w:space="0" w:color="7F7F7F"/>
              <w:left w:val="single" w:sz="6" w:space="0" w:color="7F7F7F"/>
              <w:bottom w:val="single" w:sz="6" w:space="0" w:color="7F7F7F"/>
              <w:right w:val="single" w:sz="6" w:space="0" w:color="7F7F7F"/>
            </w:tcBorders>
            <w:vAlign w:val="center"/>
            <w:hideMark/>
          </w:tcPr>
          <w:p w:rsidR="00000000" w:rsidRDefault="00BA0346">
            <w:pPr>
              <w:widowControl/>
              <w:jc w:val="left"/>
              <w:rPr>
                <w:kern w:val="0"/>
                <w:sz w:val="22"/>
                <w:szCs w:val="22"/>
              </w:rPr>
            </w:pPr>
            <w:r w:rsidRPr="00A95203">
              <w:rPr>
                <w:kern w:val="0"/>
                <w:sz w:val="22"/>
                <w:szCs w:val="22"/>
              </w:rPr>
              <w:lastRenderedPageBreak/>
              <w:t>交银增利</w:t>
            </w:r>
            <w:r w:rsidRPr="00A95203">
              <w:rPr>
                <w:kern w:val="0"/>
                <w:sz w:val="22"/>
                <w:szCs w:val="22"/>
              </w:rPr>
              <w:t>A</w:t>
            </w:r>
            <w:r w:rsidRPr="00A95203">
              <w:rPr>
                <w:kern w:val="0"/>
                <w:sz w:val="22"/>
                <w:szCs w:val="22"/>
              </w:rPr>
              <w:t>类基金份额</w:t>
            </w:r>
            <w:r w:rsidR="00380F1D">
              <w:rPr>
                <w:rFonts w:hint="eastAsia"/>
                <w:kern w:val="0"/>
                <w:sz w:val="22"/>
                <w:szCs w:val="22"/>
              </w:rPr>
              <w:t>、</w:t>
            </w:r>
            <w:r w:rsidRPr="00A95203">
              <w:rPr>
                <w:kern w:val="0"/>
                <w:sz w:val="22"/>
                <w:szCs w:val="22"/>
              </w:rPr>
              <w:t>交银双利</w:t>
            </w:r>
            <w:r w:rsidRPr="00A95203">
              <w:rPr>
                <w:kern w:val="0"/>
                <w:sz w:val="22"/>
                <w:szCs w:val="22"/>
              </w:rPr>
              <w:t>A</w:t>
            </w:r>
            <w:r w:rsidRPr="00A95203">
              <w:rPr>
                <w:kern w:val="0"/>
                <w:sz w:val="22"/>
                <w:szCs w:val="22"/>
              </w:rPr>
              <w:t>类基金份额</w:t>
            </w:r>
            <w:r w:rsidR="00380F1D">
              <w:rPr>
                <w:rFonts w:hint="eastAsia"/>
                <w:kern w:val="0"/>
                <w:sz w:val="22"/>
                <w:szCs w:val="22"/>
              </w:rPr>
              <w:t>、</w:t>
            </w:r>
            <w:r w:rsidRPr="00A95203">
              <w:rPr>
                <w:kern w:val="0"/>
                <w:sz w:val="22"/>
                <w:szCs w:val="22"/>
              </w:rPr>
              <w:t>交银纯债</w:t>
            </w:r>
            <w:r w:rsidRPr="00A95203">
              <w:rPr>
                <w:kern w:val="0"/>
                <w:sz w:val="22"/>
                <w:szCs w:val="22"/>
              </w:rPr>
              <w:t>A</w:t>
            </w:r>
            <w:r w:rsidRPr="00A95203">
              <w:rPr>
                <w:kern w:val="0"/>
                <w:sz w:val="22"/>
                <w:szCs w:val="22"/>
              </w:rPr>
              <w:t>类基金份额</w:t>
            </w:r>
            <w:r w:rsidR="00380F1D">
              <w:rPr>
                <w:rFonts w:hint="eastAsia"/>
                <w:kern w:val="0"/>
                <w:sz w:val="22"/>
                <w:szCs w:val="22"/>
              </w:rPr>
              <w:t>、</w:t>
            </w:r>
            <w:r w:rsidRPr="00A95203">
              <w:rPr>
                <w:kern w:val="0"/>
                <w:sz w:val="22"/>
                <w:szCs w:val="22"/>
              </w:rPr>
              <w:t>交银双轮动</w:t>
            </w:r>
            <w:r w:rsidRPr="00A95203">
              <w:rPr>
                <w:kern w:val="0"/>
                <w:sz w:val="22"/>
                <w:szCs w:val="22"/>
              </w:rPr>
              <w:t>A</w:t>
            </w:r>
            <w:r w:rsidRPr="00A95203">
              <w:rPr>
                <w:kern w:val="0"/>
                <w:sz w:val="22"/>
                <w:szCs w:val="22"/>
              </w:rPr>
              <w:t>类基金份额</w:t>
            </w:r>
            <w:r w:rsidR="00380F1D">
              <w:rPr>
                <w:rFonts w:hint="eastAsia"/>
                <w:kern w:val="0"/>
                <w:sz w:val="22"/>
                <w:szCs w:val="22"/>
              </w:rPr>
              <w:t>、</w:t>
            </w:r>
            <w:r w:rsidRPr="00A95203">
              <w:rPr>
                <w:kern w:val="0"/>
                <w:sz w:val="22"/>
                <w:szCs w:val="22"/>
              </w:rPr>
              <w:t>交银月月丰</w:t>
            </w:r>
            <w:r w:rsidRPr="00A95203">
              <w:rPr>
                <w:kern w:val="0"/>
                <w:sz w:val="22"/>
                <w:szCs w:val="22"/>
              </w:rPr>
              <w:t>A</w:t>
            </w:r>
            <w:r w:rsidRPr="00A95203">
              <w:rPr>
                <w:kern w:val="0"/>
                <w:sz w:val="22"/>
                <w:szCs w:val="22"/>
              </w:rPr>
              <w:t>类基金份额</w:t>
            </w:r>
            <w:r w:rsidR="00380F1D">
              <w:rPr>
                <w:rFonts w:hint="eastAsia"/>
                <w:kern w:val="0"/>
                <w:sz w:val="22"/>
                <w:szCs w:val="22"/>
              </w:rPr>
              <w:t>、</w:t>
            </w:r>
            <w:r w:rsidRPr="00A95203">
              <w:rPr>
                <w:kern w:val="0"/>
                <w:sz w:val="22"/>
                <w:szCs w:val="22"/>
              </w:rPr>
              <w:t>交银强化回报</w:t>
            </w:r>
            <w:r w:rsidRPr="00A95203">
              <w:rPr>
                <w:kern w:val="0"/>
                <w:sz w:val="22"/>
                <w:szCs w:val="22"/>
              </w:rPr>
              <w:t>A</w:t>
            </w:r>
            <w:r w:rsidRPr="00A95203">
              <w:rPr>
                <w:kern w:val="0"/>
                <w:sz w:val="22"/>
                <w:szCs w:val="22"/>
              </w:rPr>
              <w:t>类基金份额</w:t>
            </w:r>
          </w:p>
        </w:tc>
        <w:tc>
          <w:tcPr>
            <w:tcW w:w="2010" w:type="dxa"/>
            <w:vMerge w:val="restart"/>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534F16">
            <w:pPr>
              <w:widowControl/>
              <w:jc w:val="left"/>
              <w:rPr>
                <w:kern w:val="0"/>
                <w:sz w:val="22"/>
                <w:szCs w:val="22"/>
              </w:rPr>
            </w:pPr>
            <w:r w:rsidRPr="00A95203">
              <w:rPr>
                <w:kern w:val="0"/>
                <w:sz w:val="22"/>
                <w:szCs w:val="22"/>
              </w:rPr>
              <w:t>前端收费模式下</w:t>
            </w:r>
          </w:p>
          <w:p w:rsidR="00BA0346" w:rsidRPr="00A95203" w:rsidRDefault="00BA0346" w:rsidP="00534F16">
            <w:pPr>
              <w:widowControl/>
              <w:tabs>
                <w:tab w:val="left" w:pos="420"/>
              </w:tabs>
              <w:jc w:val="left"/>
              <w:rPr>
                <w:kern w:val="0"/>
                <w:sz w:val="22"/>
                <w:szCs w:val="22"/>
              </w:rPr>
            </w:pPr>
            <w:r w:rsidRPr="00A95203">
              <w:rPr>
                <w:kern w:val="0"/>
                <w:sz w:val="22"/>
                <w:szCs w:val="22"/>
              </w:rPr>
              <w:t>交银行业、交银趋势</w:t>
            </w:r>
            <w:r w:rsidR="001B543A">
              <w:rPr>
                <w:rFonts w:hint="eastAsia"/>
                <w:kern w:val="0"/>
                <w:sz w:val="22"/>
                <w:szCs w:val="22"/>
              </w:rPr>
              <w:t>、交银经济新动力</w:t>
            </w:r>
          </w:p>
        </w:tc>
        <w:tc>
          <w:tcPr>
            <w:tcW w:w="3029" w:type="dxa"/>
            <w:tcBorders>
              <w:top w:val="single" w:sz="6" w:space="0" w:color="7F7F7F"/>
              <w:left w:val="single" w:sz="6" w:space="0" w:color="7F7F7F"/>
              <w:bottom w:val="single" w:sz="6" w:space="0" w:color="7F7F7F"/>
              <w:right w:val="single" w:sz="6" w:space="0" w:color="7F7F7F"/>
            </w:tcBorders>
            <w:hideMark/>
          </w:tcPr>
          <w:p w:rsidR="00BA0346" w:rsidRPr="00A95203" w:rsidRDefault="00BA0346" w:rsidP="00534F16">
            <w:pPr>
              <w:widowControl/>
              <w:tabs>
                <w:tab w:val="left" w:pos="420"/>
              </w:tabs>
              <w:spacing w:before="100" w:beforeAutospacing="1" w:after="100" w:afterAutospacing="1"/>
              <w:jc w:val="center"/>
              <w:rPr>
                <w:kern w:val="0"/>
                <w:sz w:val="22"/>
                <w:szCs w:val="22"/>
              </w:rPr>
            </w:pPr>
            <w:r w:rsidRPr="00A95203">
              <w:rPr>
                <w:kern w:val="0"/>
                <w:sz w:val="22"/>
                <w:szCs w:val="22"/>
              </w:rPr>
              <w:t>100</w:t>
            </w:r>
            <w:r w:rsidRPr="00A95203">
              <w:rPr>
                <w:kern w:val="0"/>
                <w:sz w:val="22"/>
                <w:szCs w:val="22"/>
              </w:rPr>
              <w:t>万元以下</w:t>
            </w:r>
          </w:p>
        </w:tc>
        <w:tc>
          <w:tcPr>
            <w:tcW w:w="1514" w:type="dxa"/>
            <w:tcBorders>
              <w:top w:val="single" w:sz="6" w:space="0" w:color="7F7F7F"/>
              <w:left w:val="single" w:sz="6" w:space="0" w:color="7F7F7F"/>
              <w:bottom w:val="single" w:sz="6" w:space="0" w:color="7F7F7F"/>
              <w:right w:val="single" w:sz="6" w:space="0" w:color="7F7F7F"/>
            </w:tcBorders>
            <w:hideMark/>
          </w:tcPr>
          <w:p w:rsidR="00BA0346" w:rsidRPr="00A95203" w:rsidRDefault="00BA0346" w:rsidP="00534F16">
            <w:pPr>
              <w:widowControl/>
              <w:tabs>
                <w:tab w:val="left" w:pos="420"/>
              </w:tabs>
              <w:spacing w:before="100" w:beforeAutospacing="1" w:after="100" w:afterAutospacing="1"/>
              <w:jc w:val="center"/>
              <w:rPr>
                <w:kern w:val="0"/>
                <w:sz w:val="22"/>
                <w:szCs w:val="22"/>
              </w:rPr>
            </w:pPr>
            <w:r w:rsidRPr="00A95203">
              <w:rPr>
                <w:kern w:val="0"/>
                <w:sz w:val="22"/>
                <w:szCs w:val="22"/>
              </w:rPr>
              <w:t>0.7%</w:t>
            </w:r>
          </w:p>
        </w:tc>
      </w:tr>
      <w:tr w:rsidR="00BA0346" w:rsidRPr="00A95203" w:rsidTr="003B7662">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534F16">
            <w:pPr>
              <w:widowControl/>
              <w:jc w:val="left"/>
              <w:rPr>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534F16">
            <w:pPr>
              <w:widowControl/>
              <w:jc w:val="left"/>
              <w:rPr>
                <w:kern w:val="0"/>
                <w:sz w:val="22"/>
                <w:szCs w:val="22"/>
              </w:rPr>
            </w:pPr>
          </w:p>
        </w:tc>
        <w:tc>
          <w:tcPr>
            <w:tcW w:w="3029" w:type="dxa"/>
            <w:tcBorders>
              <w:top w:val="single" w:sz="6" w:space="0" w:color="7F7F7F"/>
              <w:left w:val="single" w:sz="6" w:space="0" w:color="7F7F7F"/>
              <w:bottom w:val="single" w:sz="6" w:space="0" w:color="7F7F7F"/>
              <w:right w:val="single" w:sz="6" w:space="0" w:color="7F7F7F"/>
            </w:tcBorders>
            <w:hideMark/>
          </w:tcPr>
          <w:p w:rsidR="00BA0346" w:rsidRPr="00A95203" w:rsidRDefault="00BA0346" w:rsidP="00534F16">
            <w:pPr>
              <w:widowControl/>
              <w:tabs>
                <w:tab w:val="left" w:pos="420"/>
              </w:tabs>
              <w:spacing w:before="100" w:beforeAutospacing="1" w:after="100" w:afterAutospacing="1"/>
              <w:jc w:val="center"/>
              <w:rPr>
                <w:kern w:val="0"/>
                <w:sz w:val="22"/>
                <w:szCs w:val="22"/>
              </w:rPr>
            </w:pPr>
            <w:r w:rsidRPr="00A95203">
              <w:rPr>
                <w:kern w:val="0"/>
                <w:sz w:val="22"/>
                <w:szCs w:val="22"/>
              </w:rPr>
              <w:t>100</w:t>
            </w:r>
            <w:r w:rsidRPr="00A95203">
              <w:rPr>
                <w:kern w:val="0"/>
                <w:sz w:val="22"/>
                <w:szCs w:val="22"/>
              </w:rPr>
              <w:t>万元（含）至</w:t>
            </w:r>
            <w:r w:rsidRPr="00A95203">
              <w:rPr>
                <w:kern w:val="0"/>
                <w:sz w:val="22"/>
                <w:szCs w:val="22"/>
              </w:rPr>
              <w:t>500</w:t>
            </w:r>
            <w:r w:rsidRPr="00A95203">
              <w:rPr>
                <w:kern w:val="0"/>
                <w:sz w:val="22"/>
                <w:szCs w:val="22"/>
              </w:rPr>
              <w:t>万元</w:t>
            </w:r>
          </w:p>
        </w:tc>
        <w:tc>
          <w:tcPr>
            <w:tcW w:w="1514" w:type="dxa"/>
            <w:tcBorders>
              <w:top w:val="single" w:sz="6" w:space="0" w:color="7F7F7F"/>
              <w:left w:val="single" w:sz="6" w:space="0" w:color="7F7F7F"/>
              <w:bottom w:val="single" w:sz="6" w:space="0" w:color="7F7F7F"/>
              <w:right w:val="single" w:sz="6" w:space="0" w:color="7F7F7F"/>
            </w:tcBorders>
            <w:hideMark/>
          </w:tcPr>
          <w:p w:rsidR="00BA0346" w:rsidRPr="00A95203" w:rsidRDefault="00BA0346" w:rsidP="00534F16">
            <w:pPr>
              <w:widowControl/>
              <w:tabs>
                <w:tab w:val="left" w:pos="420"/>
              </w:tabs>
              <w:spacing w:before="100" w:beforeAutospacing="1" w:after="100" w:afterAutospacing="1"/>
              <w:jc w:val="center"/>
              <w:rPr>
                <w:kern w:val="0"/>
                <w:sz w:val="22"/>
                <w:szCs w:val="22"/>
              </w:rPr>
            </w:pPr>
            <w:r w:rsidRPr="00A95203">
              <w:rPr>
                <w:kern w:val="0"/>
                <w:sz w:val="22"/>
                <w:szCs w:val="22"/>
              </w:rPr>
              <w:t>0.5%</w:t>
            </w:r>
          </w:p>
        </w:tc>
      </w:tr>
      <w:tr w:rsidR="00BA0346" w:rsidRPr="00A95203" w:rsidTr="003B7662">
        <w:trPr>
          <w:trHeight w:val="2171"/>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534F16">
            <w:pPr>
              <w:widowControl/>
              <w:jc w:val="left"/>
              <w:rPr>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534F16">
            <w:pPr>
              <w:widowControl/>
              <w:jc w:val="left"/>
              <w:rPr>
                <w:kern w:val="0"/>
                <w:sz w:val="22"/>
                <w:szCs w:val="22"/>
              </w:rPr>
            </w:pPr>
          </w:p>
        </w:tc>
        <w:tc>
          <w:tcPr>
            <w:tcW w:w="3029" w:type="dxa"/>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534F16">
            <w:pPr>
              <w:widowControl/>
              <w:tabs>
                <w:tab w:val="left" w:pos="420"/>
              </w:tabs>
              <w:spacing w:before="100" w:beforeAutospacing="1" w:after="100" w:afterAutospacing="1"/>
              <w:jc w:val="center"/>
              <w:rPr>
                <w:kern w:val="0"/>
                <w:sz w:val="22"/>
                <w:szCs w:val="22"/>
              </w:rPr>
            </w:pPr>
            <w:r w:rsidRPr="00A95203">
              <w:rPr>
                <w:kern w:val="0"/>
                <w:sz w:val="22"/>
                <w:szCs w:val="22"/>
              </w:rPr>
              <w:t>500</w:t>
            </w:r>
            <w:r w:rsidRPr="00A95203">
              <w:rPr>
                <w:kern w:val="0"/>
                <w:sz w:val="22"/>
                <w:szCs w:val="22"/>
              </w:rPr>
              <w:t>万元以上（含</w:t>
            </w:r>
            <w:r w:rsidRPr="00A95203">
              <w:rPr>
                <w:kern w:val="0"/>
                <w:sz w:val="22"/>
                <w:szCs w:val="22"/>
              </w:rPr>
              <w:t>500</w:t>
            </w:r>
            <w:r w:rsidRPr="00A95203">
              <w:rPr>
                <w:kern w:val="0"/>
                <w:sz w:val="22"/>
                <w:szCs w:val="22"/>
              </w:rPr>
              <w:t>万）</w:t>
            </w:r>
          </w:p>
        </w:tc>
        <w:tc>
          <w:tcPr>
            <w:tcW w:w="1514" w:type="dxa"/>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534F16">
            <w:pPr>
              <w:widowControl/>
              <w:tabs>
                <w:tab w:val="left" w:pos="420"/>
              </w:tabs>
              <w:spacing w:before="100" w:beforeAutospacing="1" w:after="100" w:afterAutospacing="1"/>
              <w:jc w:val="center"/>
              <w:rPr>
                <w:kern w:val="0"/>
                <w:sz w:val="22"/>
                <w:szCs w:val="22"/>
              </w:rPr>
            </w:pPr>
            <w:r w:rsidRPr="00A95203">
              <w:rPr>
                <w:kern w:val="0"/>
                <w:sz w:val="22"/>
                <w:szCs w:val="22"/>
              </w:rPr>
              <w:t>0</w:t>
            </w:r>
          </w:p>
        </w:tc>
      </w:tr>
      <w:tr w:rsidR="00BA0346" w:rsidRPr="00A95203" w:rsidTr="003B7662">
        <w:trPr>
          <w:tblCellSpacing w:w="0" w:type="dxa"/>
        </w:trPr>
        <w:tc>
          <w:tcPr>
            <w:tcW w:w="1922" w:type="dxa"/>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534F16">
            <w:pPr>
              <w:widowControl/>
              <w:tabs>
                <w:tab w:val="left" w:pos="420"/>
              </w:tabs>
              <w:jc w:val="left"/>
              <w:rPr>
                <w:kern w:val="0"/>
                <w:sz w:val="22"/>
                <w:szCs w:val="22"/>
              </w:rPr>
            </w:pPr>
          </w:p>
        </w:tc>
        <w:tc>
          <w:tcPr>
            <w:tcW w:w="2010" w:type="dxa"/>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534F16">
            <w:pPr>
              <w:widowControl/>
              <w:spacing w:line="360" w:lineRule="auto"/>
              <w:jc w:val="left"/>
              <w:rPr>
                <w:kern w:val="0"/>
                <w:sz w:val="22"/>
                <w:szCs w:val="22"/>
              </w:rPr>
            </w:pPr>
          </w:p>
        </w:tc>
        <w:tc>
          <w:tcPr>
            <w:tcW w:w="3029" w:type="dxa"/>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534F16">
            <w:pPr>
              <w:widowControl/>
              <w:tabs>
                <w:tab w:val="left" w:pos="420"/>
              </w:tabs>
              <w:spacing w:before="100" w:beforeAutospacing="1" w:after="100" w:afterAutospacing="1"/>
              <w:jc w:val="center"/>
              <w:rPr>
                <w:kern w:val="0"/>
                <w:sz w:val="22"/>
                <w:szCs w:val="22"/>
              </w:rPr>
            </w:pPr>
          </w:p>
        </w:tc>
        <w:tc>
          <w:tcPr>
            <w:tcW w:w="1514" w:type="dxa"/>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534F16">
            <w:pPr>
              <w:widowControl/>
              <w:tabs>
                <w:tab w:val="left" w:pos="420"/>
              </w:tabs>
              <w:spacing w:before="100" w:beforeAutospacing="1" w:after="100" w:afterAutospacing="1"/>
              <w:jc w:val="center"/>
              <w:rPr>
                <w:kern w:val="0"/>
                <w:szCs w:val="21"/>
              </w:rPr>
            </w:pPr>
          </w:p>
        </w:tc>
      </w:tr>
      <w:tr w:rsidR="00BA0346" w:rsidRPr="00A95203" w:rsidTr="00C75A65">
        <w:trPr>
          <w:tblCellSpacing w:w="0" w:type="dxa"/>
        </w:trPr>
        <w:tc>
          <w:tcPr>
            <w:tcW w:w="1922" w:type="dxa"/>
            <w:vMerge w:val="restart"/>
            <w:tcBorders>
              <w:top w:val="single" w:sz="6" w:space="0" w:color="7F7F7F"/>
              <w:left w:val="single" w:sz="6" w:space="0" w:color="7F7F7F"/>
              <w:bottom w:val="single" w:sz="6" w:space="0" w:color="7F7F7F"/>
              <w:right w:val="single" w:sz="6" w:space="0" w:color="7F7F7F"/>
            </w:tcBorders>
            <w:vAlign w:val="center"/>
            <w:hideMark/>
          </w:tcPr>
          <w:p w:rsidR="00000000" w:rsidRDefault="00BA0346">
            <w:pPr>
              <w:widowControl/>
              <w:jc w:val="left"/>
              <w:rPr>
                <w:kern w:val="0"/>
                <w:sz w:val="22"/>
                <w:szCs w:val="22"/>
              </w:rPr>
            </w:pPr>
            <w:r w:rsidRPr="00A95203">
              <w:rPr>
                <w:kern w:val="0"/>
                <w:sz w:val="22"/>
                <w:szCs w:val="22"/>
              </w:rPr>
              <w:t>交银增利</w:t>
            </w:r>
            <w:r w:rsidRPr="00A95203">
              <w:rPr>
                <w:kern w:val="0"/>
                <w:sz w:val="22"/>
                <w:szCs w:val="22"/>
              </w:rPr>
              <w:t>A</w:t>
            </w:r>
            <w:r w:rsidRPr="00A95203">
              <w:rPr>
                <w:kern w:val="0"/>
                <w:sz w:val="22"/>
                <w:szCs w:val="22"/>
              </w:rPr>
              <w:t>类基金份额</w:t>
            </w:r>
            <w:r w:rsidR="00380F1D">
              <w:rPr>
                <w:rFonts w:hint="eastAsia"/>
                <w:kern w:val="0"/>
                <w:sz w:val="22"/>
                <w:szCs w:val="22"/>
              </w:rPr>
              <w:t>、</w:t>
            </w:r>
            <w:r w:rsidRPr="00A95203">
              <w:rPr>
                <w:kern w:val="0"/>
                <w:sz w:val="22"/>
                <w:szCs w:val="22"/>
              </w:rPr>
              <w:t>交银双利</w:t>
            </w:r>
            <w:r w:rsidRPr="00A95203">
              <w:rPr>
                <w:kern w:val="0"/>
                <w:sz w:val="22"/>
                <w:szCs w:val="22"/>
              </w:rPr>
              <w:t>A</w:t>
            </w:r>
            <w:r w:rsidRPr="00A95203">
              <w:rPr>
                <w:kern w:val="0"/>
                <w:sz w:val="22"/>
                <w:szCs w:val="22"/>
              </w:rPr>
              <w:t>类基金份额</w:t>
            </w:r>
            <w:r w:rsidR="00380F1D">
              <w:rPr>
                <w:rFonts w:hint="eastAsia"/>
                <w:kern w:val="0"/>
                <w:sz w:val="22"/>
                <w:szCs w:val="22"/>
              </w:rPr>
              <w:t>、</w:t>
            </w:r>
            <w:r w:rsidRPr="00A95203">
              <w:rPr>
                <w:kern w:val="0"/>
                <w:sz w:val="22"/>
                <w:szCs w:val="22"/>
              </w:rPr>
              <w:t>交银纯债</w:t>
            </w:r>
            <w:r w:rsidRPr="00A95203">
              <w:rPr>
                <w:kern w:val="0"/>
                <w:sz w:val="22"/>
                <w:szCs w:val="22"/>
              </w:rPr>
              <w:t>A</w:t>
            </w:r>
            <w:r w:rsidRPr="00A95203">
              <w:rPr>
                <w:kern w:val="0"/>
                <w:sz w:val="22"/>
                <w:szCs w:val="22"/>
              </w:rPr>
              <w:t>类基金份额</w:t>
            </w:r>
            <w:r w:rsidR="00380F1D">
              <w:rPr>
                <w:rFonts w:hint="eastAsia"/>
                <w:kern w:val="0"/>
                <w:sz w:val="22"/>
                <w:szCs w:val="22"/>
              </w:rPr>
              <w:t>、</w:t>
            </w:r>
            <w:r w:rsidRPr="00A95203">
              <w:rPr>
                <w:kern w:val="0"/>
                <w:sz w:val="22"/>
                <w:szCs w:val="22"/>
              </w:rPr>
              <w:t>交银双轮动</w:t>
            </w:r>
            <w:r w:rsidRPr="00A95203">
              <w:rPr>
                <w:kern w:val="0"/>
                <w:sz w:val="22"/>
                <w:szCs w:val="22"/>
              </w:rPr>
              <w:t>A</w:t>
            </w:r>
            <w:r w:rsidRPr="00A95203">
              <w:rPr>
                <w:kern w:val="0"/>
                <w:sz w:val="22"/>
                <w:szCs w:val="22"/>
              </w:rPr>
              <w:t>类基金份额</w:t>
            </w:r>
            <w:r w:rsidR="00380F1D">
              <w:rPr>
                <w:rFonts w:hint="eastAsia"/>
                <w:kern w:val="0"/>
                <w:sz w:val="22"/>
                <w:szCs w:val="22"/>
              </w:rPr>
              <w:t>、</w:t>
            </w:r>
            <w:r w:rsidRPr="00A95203">
              <w:rPr>
                <w:kern w:val="0"/>
                <w:sz w:val="22"/>
                <w:szCs w:val="22"/>
              </w:rPr>
              <w:t>交银月月丰</w:t>
            </w:r>
            <w:r w:rsidRPr="00A95203">
              <w:rPr>
                <w:kern w:val="0"/>
                <w:sz w:val="22"/>
                <w:szCs w:val="22"/>
              </w:rPr>
              <w:t>A</w:t>
            </w:r>
            <w:r w:rsidRPr="00A95203">
              <w:rPr>
                <w:kern w:val="0"/>
                <w:sz w:val="22"/>
                <w:szCs w:val="22"/>
              </w:rPr>
              <w:t>类基金份额</w:t>
            </w:r>
            <w:r w:rsidR="00380F1D">
              <w:rPr>
                <w:rFonts w:hint="eastAsia"/>
                <w:kern w:val="0"/>
                <w:sz w:val="22"/>
                <w:szCs w:val="22"/>
              </w:rPr>
              <w:t>、</w:t>
            </w:r>
            <w:r w:rsidRPr="00A95203">
              <w:rPr>
                <w:kern w:val="0"/>
                <w:sz w:val="22"/>
                <w:szCs w:val="22"/>
              </w:rPr>
              <w:t>交银强化回报</w:t>
            </w:r>
            <w:r w:rsidRPr="00A95203">
              <w:rPr>
                <w:kern w:val="0"/>
                <w:sz w:val="22"/>
                <w:szCs w:val="22"/>
              </w:rPr>
              <w:t>A</w:t>
            </w:r>
            <w:r w:rsidRPr="00A95203">
              <w:rPr>
                <w:kern w:val="0"/>
                <w:sz w:val="22"/>
                <w:szCs w:val="22"/>
              </w:rPr>
              <w:t>类基金份额</w:t>
            </w:r>
          </w:p>
        </w:tc>
        <w:tc>
          <w:tcPr>
            <w:tcW w:w="2010" w:type="dxa"/>
            <w:vMerge w:val="restart"/>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C75A65">
            <w:pPr>
              <w:widowControl/>
              <w:tabs>
                <w:tab w:val="left" w:pos="420"/>
              </w:tabs>
              <w:jc w:val="left"/>
              <w:rPr>
                <w:kern w:val="0"/>
                <w:sz w:val="22"/>
                <w:szCs w:val="22"/>
              </w:rPr>
            </w:pPr>
            <w:r w:rsidRPr="00A95203">
              <w:rPr>
                <w:kern w:val="0"/>
                <w:sz w:val="22"/>
                <w:szCs w:val="22"/>
              </w:rPr>
              <w:t>交银荣和保本</w:t>
            </w:r>
          </w:p>
        </w:tc>
        <w:tc>
          <w:tcPr>
            <w:tcW w:w="3029" w:type="dxa"/>
            <w:tcBorders>
              <w:top w:val="single" w:sz="6" w:space="0" w:color="7F7F7F"/>
              <w:left w:val="single" w:sz="6" w:space="0" w:color="7F7F7F"/>
              <w:bottom w:val="single" w:sz="6" w:space="0" w:color="7F7F7F"/>
              <w:right w:val="single" w:sz="6" w:space="0" w:color="7F7F7F"/>
            </w:tcBorders>
            <w:hideMark/>
          </w:tcPr>
          <w:p w:rsidR="00BA0346" w:rsidRPr="00A95203" w:rsidRDefault="00BA0346" w:rsidP="00C75A65">
            <w:pPr>
              <w:widowControl/>
              <w:tabs>
                <w:tab w:val="left" w:pos="420"/>
              </w:tabs>
              <w:spacing w:before="100" w:beforeAutospacing="1" w:after="100" w:afterAutospacing="1"/>
              <w:jc w:val="center"/>
              <w:rPr>
                <w:kern w:val="0"/>
                <w:sz w:val="22"/>
                <w:szCs w:val="22"/>
              </w:rPr>
            </w:pPr>
            <w:r w:rsidRPr="00A95203">
              <w:rPr>
                <w:kern w:val="0"/>
                <w:sz w:val="22"/>
                <w:szCs w:val="22"/>
              </w:rPr>
              <w:t>100</w:t>
            </w:r>
            <w:r w:rsidRPr="00A95203">
              <w:rPr>
                <w:kern w:val="0"/>
                <w:sz w:val="22"/>
                <w:szCs w:val="22"/>
              </w:rPr>
              <w:t>万元以下</w:t>
            </w:r>
          </w:p>
        </w:tc>
        <w:tc>
          <w:tcPr>
            <w:tcW w:w="1514" w:type="dxa"/>
            <w:tcBorders>
              <w:top w:val="single" w:sz="6" w:space="0" w:color="7F7F7F"/>
              <w:left w:val="single" w:sz="6" w:space="0" w:color="7F7F7F"/>
              <w:bottom w:val="single" w:sz="6" w:space="0" w:color="7F7F7F"/>
              <w:right w:val="single" w:sz="6" w:space="0" w:color="7F7F7F"/>
            </w:tcBorders>
            <w:hideMark/>
          </w:tcPr>
          <w:p w:rsidR="00BA0346" w:rsidRPr="00A95203" w:rsidRDefault="00BA0346" w:rsidP="00C75A65">
            <w:pPr>
              <w:widowControl/>
              <w:tabs>
                <w:tab w:val="left" w:pos="420"/>
              </w:tabs>
              <w:spacing w:before="100" w:beforeAutospacing="1" w:after="100" w:afterAutospacing="1"/>
              <w:jc w:val="center"/>
              <w:rPr>
                <w:kern w:val="0"/>
                <w:sz w:val="22"/>
                <w:szCs w:val="22"/>
              </w:rPr>
            </w:pPr>
            <w:r w:rsidRPr="00A95203">
              <w:rPr>
                <w:kern w:val="0"/>
                <w:sz w:val="22"/>
                <w:szCs w:val="22"/>
              </w:rPr>
              <w:t>0.2%</w:t>
            </w:r>
          </w:p>
        </w:tc>
      </w:tr>
      <w:tr w:rsidR="00BA0346" w:rsidRPr="00A95203" w:rsidTr="00C75A65">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C75A65">
            <w:pPr>
              <w:widowControl/>
              <w:jc w:val="left"/>
              <w:rPr>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C75A65">
            <w:pPr>
              <w:widowControl/>
              <w:jc w:val="left"/>
              <w:rPr>
                <w:kern w:val="0"/>
                <w:sz w:val="22"/>
                <w:szCs w:val="22"/>
              </w:rPr>
            </w:pPr>
          </w:p>
        </w:tc>
        <w:tc>
          <w:tcPr>
            <w:tcW w:w="3029" w:type="dxa"/>
            <w:tcBorders>
              <w:top w:val="single" w:sz="6" w:space="0" w:color="7F7F7F"/>
              <w:left w:val="single" w:sz="6" w:space="0" w:color="7F7F7F"/>
              <w:bottom w:val="single" w:sz="6" w:space="0" w:color="7F7F7F"/>
              <w:right w:val="single" w:sz="6" w:space="0" w:color="7F7F7F"/>
            </w:tcBorders>
            <w:hideMark/>
          </w:tcPr>
          <w:p w:rsidR="00BA0346" w:rsidRPr="00A95203" w:rsidRDefault="00BA0346" w:rsidP="00C75A65">
            <w:pPr>
              <w:widowControl/>
              <w:tabs>
                <w:tab w:val="left" w:pos="420"/>
              </w:tabs>
              <w:spacing w:before="100" w:beforeAutospacing="1" w:after="100" w:afterAutospacing="1"/>
              <w:jc w:val="center"/>
              <w:rPr>
                <w:kern w:val="0"/>
                <w:sz w:val="22"/>
                <w:szCs w:val="22"/>
              </w:rPr>
            </w:pPr>
            <w:r w:rsidRPr="00A95203">
              <w:rPr>
                <w:kern w:val="0"/>
                <w:sz w:val="22"/>
                <w:szCs w:val="22"/>
              </w:rPr>
              <w:t>100</w:t>
            </w:r>
            <w:r w:rsidRPr="00A95203">
              <w:rPr>
                <w:kern w:val="0"/>
                <w:sz w:val="22"/>
                <w:szCs w:val="22"/>
              </w:rPr>
              <w:t>万元（含）至</w:t>
            </w:r>
            <w:r w:rsidRPr="00A95203">
              <w:rPr>
                <w:kern w:val="0"/>
                <w:sz w:val="22"/>
                <w:szCs w:val="22"/>
              </w:rPr>
              <w:t>500</w:t>
            </w:r>
            <w:r w:rsidRPr="00A95203">
              <w:rPr>
                <w:kern w:val="0"/>
                <w:sz w:val="22"/>
                <w:szCs w:val="22"/>
              </w:rPr>
              <w:t>万元</w:t>
            </w:r>
          </w:p>
        </w:tc>
        <w:tc>
          <w:tcPr>
            <w:tcW w:w="1514" w:type="dxa"/>
            <w:tcBorders>
              <w:top w:val="single" w:sz="6" w:space="0" w:color="7F7F7F"/>
              <w:left w:val="single" w:sz="6" w:space="0" w:color="7F7F7F"/>
              <w:bottom w:val="single" w:sz="6" w:space="0" w:color="7F7F7F"/>
              <w:right w:val="single" w:sz="6" w:space="0" w:color="7F7F7F"/>
            </w:tcBorders>
            <w:hideMark/>
          </w:tcPr>
          <w:p w:rsidR="00BA0346" w:rsidRPr="00A95203" w:rsidRDefault="00BA0346" w:rsidP="00C75A65">
            <w:pPr>
              <w:widowControl/>
              <w:tabs>
                <w:tab w:val="left" w:pos="420"/>
              </w:tabs>
              <w:spacing w:before="100" w:beforeAutospacing="1" w:after="100" w:afterAutospacing="1"/>
              <w:jc w:val="center"/>
              <w:rPr>
                <w:kern w:val="0"/>
                <w:sz w:val="22"/>
                <w:szCs w:val="22"/>
              </w:rPr>
            </w:pPr>
            <w:r w:rsidRPr="00A95203">
              <w:rPr>
                <w:kern w:val="0"/>
                <w:sz w:val="22"/>
                <w:szCs w:val="22"/>
              </w:rPr>
              <w:t>0.1%</w:t>
            </w:r>
          </w:p>
        </w:tc>
      </w:tr>
      <w:tr w:rsidR="00BA0346" w:rsidRPr="00A95203" w:rsidTr="00C75A65">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C75A65">
            <w:pPr>
              <w:widowControl/>
              <w:jc w:val="left"/>
              <w:rPr>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C75A65">
            <w:pPr>
              <w:widowControl/>
              <w:jc w:val="left"/>
              <w:rPr>
                <w:kern w:val="0"/>
                <w:sz w:val="22"/>
                <w:szCs w:val="22"/>
              </w:rPr>
            </w:pPr>
          </w:p>
        </w:tc>
        <w:tc>
          <w:tcPr>
            <w:tcW w:w="3029" w:type="dxa"/>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C75A65">
            <w:pPr>
              <w:widowControl/>
              <w:tabs>
                <w:tab w:val="left" w:pos="420"/>
              </w:tabs>
              <w:spacing w:before="100" w:beforeAutospacing="1" w:after="100" w:afterAutospacing="1"/>
              <w:jc w:val="center"/>
              <w:rPr>
                <w:kern w:val="0"/>
                <w:sz w:val="22"/>
                <w:szCs w:val="22"/>
              </w:rPr>
            </w:pPr>
            <w:r w:rsidRPr="00A95203">
              <w:rPr>
                <w:kern w:val="0"/>
                <w:sz w:val="22"/>
                <w:szCs w:val="22"/>
              </w:rPr>
              <w:t>500</w:t>
            </w:r>
            <w:r w:rsidRPr="00A95203">
              <w:rPr>
                <w:kern w:val="0"/>
                <w:sz w:val="22"/>
                <w:szCs w:val="22"/>
              </w:rPr>
              <w:t>万元以上（含</w:t>
            </w:r>
            <w:r w:rsidRPr="00A95203">
              <w:rPr>
                <w:kern w:val="0"/>
                <w:sz w:val="22"/>
                <w:szCs w:val="22"/>
              </w:rPr>
              <w:t>500</w:t>
            </w:r>
            <w:r w:rsidRPr="00A95203">
              <w:rPr>
                <w:kern w:val="0"/>
                <w:sz w:val="22"/>
                <w:szCs w:val="22"/>
              </w:rPr>
              <w:t>万）</w:t>
            </w:r>
          </w:p>
        </w:tc>
        <w:tc>
          <w:tcPr>
            <w:tcW w:w="1514" w:type="dxa"/>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C75A65">
            <w:pPr>
              <w:widowControl/>
              <w:tabs>
                <w:tab w:val="left" w:pos="420"/>
              </w:tabs>
              <w:spacing w:before="100" w:beforeAutospacing="1" w:after="100" w:afterAutospacing="1"/>
              <w:jc w:val="center"/>
              <w:rPr>
                <w:kern w:val="0"/>
                <w:sz w:val="22"/>
                <w:szCs w:val="22"/>
              </w:rPr>
            </w:pPr>
            <w:r w:rsidRPr="00A95203">
              <w:rPr>
                <w:kern w:val="0"/>
                <w:sz w:val="22"/>
                <w:szCs w:val="22"/>
              </w:rPr>
              <w:t>0</w:t>
            </w:r>
          </w:p>
        </w:tc>
      </w:tr>
      <w:tr w:rsidR="00BA0346" w:rsidRPr="00A95203" w:rsidTr="00C75A65">
        <w:trPr>
          <w:tblCellSpacing w:w="0" w:type="dxa"/>
        </w:trPr>
        <w:tc>
          <w:tcPr>
            <w:tcW w:w="1922" w:type="dxa"/>
            <w:vMerge w:val="restart"/>
            <w:tcBorders>
              <w:top w:val="single" w:sz="6" w:space="0" w:color="7F7F7F"/>
              <w:left w:val="single" w:sz="6" w:space="0" w:color="7F7F7F"/>
              <w:bottom w:val="single" w:sz="6" w:space="0" w:color="7F7F7F"/>
              <w:right w:val="single" w:sz="6" w:space="0" w:color="7F7F7F"/>
            </w:tcBorders>
            <w:vAlign w:val="center"/>
            <w:hideMark/>
          </w:tcPr>
          <w:p w:rsidR="00000000" w:rsidRDefault="00BA0346">
            <w:pPr>
              <w:widowControl/>
              <w:jc w:val="left"/>
              <w:rPr>
                <w:kern w:val="0"/>
                <w:sz w:val="22"/>
                <w:szCs w:val="22"/>
              </w:rPr>
            </w:pPr>
            <w:r w:rsidRPr="00A95203">
              <w:rPr>
                <w:kern w:val="0"/>
                <w:sz w:val="22"/>
                <w:szCs w:val="22"/>
              </w:rPr>
              <w:t>交银增利</w:t>
            </w:r>
            <w:r w:rsidRPr="00A95203">
              <w:rPr>
                <w:kern w:val="0"/>
                <w:sz w:val="22"/>
                <w:szCs w:val="22"/>
              </w:rPr>
              <w:t>A</w:t>
            </w:r>
            <w:r w:rsidRPr="00A95203">
              <w:rPr>
                <w:kern w:val="0"/>
                <w:sz w:val="22"/>
                <w:szCs w:val="22"/>
              </w:rPr>
              <w:t>类基金份额</w:t>
            </w:r>
            <w:r w:rsidR="00380F1D">
              <w:rPr>
                <w:rFonts w:hint="eastAsia"/>
                <w:kern w:val="0"/>
                <w:sz w:val="22"/>
                <w:szCs w:val="22"/>
              </w:rPr>
              <w:t>、</w:t>
            </w:r>
            <w:r w:rsidRPr="00A95203">
              <w:rPr>
                <w:kern w:val="0"/>
                <w:sz w:val="22"/>
                <w:szCs w:val="22"/>
              </w:rPr>
              <w:t>交银双利</w:t>
            </w:r>
            <w:r w:rsidRPr="00A95203">
              <w:rPr>
                <w:kern w:val="0"/>
                <w:sz w:val="22"/>
                <w:szCs w:val="22"/>
              </w:rPr>
              <w:t>A</w:t>
            </w:r>
            <w:r w:rsidRPr="00A95203">
              <w:rPr>
                <w:kern w:val="0"/>
                <w:sz w:val="22"/>
                <w:szCs w:val="22"/>
              </w:rPr>
              <w:t>类基金份额</w:t>
            </w:r>
            <w:r w:rsidR="00380F1D">
              <w:rPr>
                <w:rFonts w:hint="eastAsia"/>
                <w:kern w:val="0"/>
                <w:sz w:val="22"/>
                <w:szCs w:val="22"/>
              </w:rPr>
              <w:t>、</w:t>
            </w:r>
            <w:r w:rsidRPr="00A95203">
              <w:rPr>
                <w:kern w:val="0"/>
                <w:sz w:val="22"/>
                <w:szCs w:val="22"/>
              </w:rPr>
              <w:t>交银纯债</w:t>
            </w:r>
            <w:r w:rsidRPr="00A95203">
              <w:rPr>
                <w:kern w:val="0"/>
                <w:sz w:val="22"/>
                <w:szCs w:val="22"/>
              </w:rPr>
              <w:t>A</w:t>
            </w:r>
            <w:r w:rsidRPr="00A95203">
              <w:rPr>
                <w:kern w:val="0"/>
                <w:sz w:val="22"/>
                <w:szCs w:val="22"/>
              </w:rPr>
              <w:t>类基金份额</w:t>
            </w:r>
            <w:r w:rsidR="00380F1D">
              <w:rPr>
                <w:rFonts w:hint="eastAsia"/>
                <w:kern w:val="0"/>
                <w:sz w:val="22"/>
                <w:szCs w:val="22"/>
              </w:rPr>
              <w:t>、</w:t>
            </w:r>
            <w:r w:rsidRPr="00A95203">
              <w:rPr>
                <w:kern w:val="0"/>
                <w:sz w:val="22"/>
                <w:szCs w:val="22"/>
              </w:rPr>
              <w:t>交银双轮动</w:t>
            </w:r>
            <w:r w:rsidRPr="00A95203">
              <w:rPr>
                <w:kern w:val="0"/>
                <w:sz w:val="22"/>
                <w:szCs w:val="22"/>
              </w:rPr>
              <w:t>A</w:t>
            </w:r>
            <w:r w:rsidRPr="00A95203">
              <w:rPr>
                <w:kern w:val="0"/>
                <w:sz w:val="22"/>
                <w:szCs w:val="22"/>
              </w:rPr>
              <w:t>类基金份额</w:t>
            </w:r>
            <w:r w:rsidR="00380F1D">
              <w:rPr>
                <w:rFonts w:hint="eastAsia"/>
                <w:kern w:val="0"/>
                <w:sz w:val="22"/>
                <w:szCs w:val="22"/>
              </w:rPr>
              <w:t>、</w:t>
            </w:r>
            <w:r w:rsidRPr="00A95203">
              <w:rPr>
                <w:kern w:val="0"/>
                <w:sz w:val="22"/>
                <w:szCs w:val="22"/>
              </w:rPr>
              <w:t>交银月月丰</w:t>
            </w:r>
            <w:r w:rsidRPr="00A95203">
              <w:rPr>
                <w:kern w:val="0"/>
                <w:sz w:val="22"/>
                <w:szCs w:val="22"/>
              </w:rPr>
              <w:t>A</w:t>
            </w:r>
            <w:r w:rsidRPr="00A95203">
              <w:rPr>
                <w:kern w:val="0"/>
                <w:sz w:val="22"/>
                <w:szCs w:val="22"/>
              </w:rPr>
              <w:t>类基金份额</w:t>
            </w:r>
            <w:r w:rsidR="00380F1D">
              <w:rPr>
                <w:rFonts w:hint="eastAsia"/>
                <w:kern w:val="0"/>
                <w:sz w:val="22"/>
                <w:szCs w:val="22"/>
              </w:rPr>
              <w:t>、</w:t>
            </w:r>
            <w:r w:rsidRPr="00A95203">
              <w:rPr>
                <w:kern w:val="0"/>
                <w:sz w:val="22"/>
                <w:szCs w:val="22"/>
              </w:rPr>
              <w:t>交银强化回报</w:t>
            </w:r>
            <w:r w:rsidRPr="00A95203">
              <w:rPr>
                <w:kern w:val="0"/>
                <w:sz w:val="22"/>
                <w:szCs w:val="22"/>
              </w:rPr>
              <w:t>A</w:t>
            </w:r>
            <w:r w:rsidRPr="00A95203">
              <w:rPr>
                <w:kern w:val="0"/>
                <w:sz w:val="22"/>
                <w:szCs w:val="22"/>
              </w:rPr>
              <w:t>类基金份额</w:t>
            </w:r>
          </w:p>
        </w:tc>
        <w:tc>
          <w:tcPr>
            <w:tcW w:w="2010" w:type="dxa"/>
            <w:vMerge w:val="restart"/>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C75A65">
            <w:pPr>
              <w:widowControl/>
              <w:tabs>
                <w:tab w:val="left" w:pos="420"/>
              </w:tabs>
              <w:jc w:val="left"/>
              <w:rPr>
                <w:kern w:val="0"/>
                <w:sz w:val="22"/>
                <w:szCs w:val="22"/>
              </w:rPr>
            </w:pPr>
            <w:r w:rsidRPr="00A95203">
              <w:rPr>
                <w:kern w:val="0"/>
                <w:sz w:val="22"/>
                <w:szCs w:val="22"/>
              </w:rPr>
              <w:t>交银</w:t>
            </w:r>
            <w:r>
              <w:rPr>
                <w:rFonts w:hint="eastAsia"/>
                <w:kern w:val="0"/>
                <w:sz w:val="22"/>
                <w:szCs w:val="22"/>
              </w:rPr>
              <w:t>科技创新</w:t>
            </w:r>
          </w:p>
        </w:tc>
        <w:tc>
          <w:tcPr>
            <w:tcW w:w="3029" w:type="dxa"/>
            <w:tcBorders>
              <w:top w:val="single" w:sz="6" w:space="0" w:color="7F7F7F"/>
              <w:left w:val="single" w:sz="6" w:space="0" w:color="7F7F7F"/>
              <w:bottom w:val="single" w:sz="6" w:space="0" w:color="7F7F7F"/>
              <w:right w:val="single" w:sz="6" w:space="0" w:color="7F7F7F"/>
            </w:tcBorders>
            <w:hideMark/>
          </w:tcPr>
          <w:p w:rsidR="00BA0346" w:rsidRPr="00A95203" w:rsidRDefault="00BA0346" w:rsidP="00C75A65">
            <w:pPr>
              <w:widowControl/>
              <w:tabs>
                <w:tab w:val="left" w:pos="420"/>
              </w:tabs>
              <w:spacing w:before="100" w:beforeAutospacing="1" w:after="100" w:afterAutospacing="1"/>
              <w:jc w:val="center"/>
              <w:rPr>
                <w:kern w:val="0"/>
                <w:sz w:val="22"/>
                <w:szCs w:val="22"/>
              </w:rPr>
            </w:pPr>
            <w:r>
              <w:rPr>
                <w:rFonts w:hint="eastAsia"/>
                <w:kern w:val="0"/>
                <w:sz w:val="22"/>
                <w:szCs w:val="22"/>
              </w:rPr>
              <w:t>2</w:t>
            </w:r>
            <w:r w:rsidRPr="00A95203">
              <w:rPr>
                <w:kern w:val="0"/>
                <w:sz w:val="22"/>
                <w:szCs w:val="22"/>
              </w:rPr>
              <w:t>00</w:t>
            </w:r>
            <w:r w:rsidRPr="00A95203">
              <w:rPr>
                <w:kern w:val="0"/>
                <w:sz w:val="22"/>
                <w:szCs w:val="22"/>
              </w:rPr>
              <w:t>万元以下</w:t>
            </w:r>
          </w:p>
        </w:tc>
        <w:tc>
          <w:tcPr>
            <w:tcW w:w="1514" w:type="dxa"/>
            <w:tcBorders>
              <w:top w:val="single" w:sz="6" w:space="0" w:color="7F7F7F"/>
              <w:left w:val="single" w:sz="6" w:space="0" w:color="7F7F7F"/>
              <w:bottom w:val="single" w:sz="6" w:space="0" w:color="7F7F7F"/>
              <w:right w:val="single" w:sz="6" w:space="0" w:color="7F7F7F"/>
            </w:tcBorders>
            <w:hideMark/>
          </w:tcPr>
          <w:p w:rsidR="00BA0346" w:rsidRPr="00A95203" w:rsidRDefault="00BA0346" w:rsidP="0056105D">
            <w:pPr>
              <w:widowControl/>
              <w:tabs>
                <w:tab w:val="left" w:pos="420"/>
              </w:tabs>
              <w:spacing w:before="100" w:beforeAutospacing="1" w:after="100" w:afterAutospacing="1"/>
              <w:jc w:val="center"/>
              <w:rPr>
                <w:kern w:val="0"/>
                <w:sz w:val="22"/>
                <w:szCs w:val="22"/>
              </w:rPr>
            </w:pPr>
            <w:r w:rsidRPr="00A95203">
              <w:rPr>
                <w:kern w:val="0"/>
                <w:sz w:val="22"/>
                <w:szCs w:val="22"/>
              </w:rPr>
              <w:t>0.</w:t>
            </w:r>
            <w:r>
              <w:rPr>
                <w:rFonts w:hint="eastAsia"/>
                <w:kern w:val="0"/>
                <w:sz w:val="22"/>
                <w:szCs w:val="22"/>
              </w:rPr>
              <w:t>7</w:t>
            </w:r>
            <w:r w:rsidRPr="00A95203">
              <w:rPr>
                <w:kern w:val="0"/>
                <w:sz w:val="22"/>
                <w:szCs w:val="22"/>
              </w:rPr>
              <w:t>%</w:t>
            </w:r>
          </w:p>
        </w:tc>
      </w:tr>
      <w:tr w:rsidR="00BA0346" w:rsidRPr="00A95203" w:rsidTr="00C75A65">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C75A65">
            <w:pPr>
              <w:widowControl/>
              <w:jc w:val="left"/>
              <w:rPr>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C75A65">
            <w:pPr>
              <w:widowControl/>
              <w:jc w:val="left"/>
              <w:rPr>
                <w:kern w:val="0"/>
                <w:sz w:val="22"/>
                <w:szCs w:val="22"/>
              </w:rPr>
            </w:pPr>
          </w:p>
        </w:tc>
        <w:tc>
          <w:tcPr>
            <w:tcW w:w="3029" w:type="dxa"/>
            <w:tcBorders>
              <w:top w:val="single" w:sz="6" w:space="0" w:color="7F7F7F"/>
              <w:left w:val="single" w:sz="6" w:space="0" w:color="7F7F7F"/>
              <w:bottom w:val="single" w:sz="6" w:space="0" w:color="7F7F7F"/>
              <w:right w:val="single" w:sz="6" w:space="0" w:color="7F7F7F"/>
            </w:tcBorders>
            <w:hideMark/>
          </w:tcPr>
          <w:p w:rsidR="00BA0346" w:rsidRPr="00A95203" w:rsidRDefault="00BA0346" w:rsidP="00C75A65">
            <w:pPr>
              <w:widowControl/>
              <w:tabs>
                <w:tab w:val="left" w:pos="420"/>
              </w:tabs>
              <w:spacing w:before="100" w:beforeAutospacing="1" w:after="100" w:afterAutospacing="1"/>
              <w:jc w:val="center"/>
              <w:rPr>
                <w:kern w:val="0"/>
                <w:sz w:val="22"/>
                <w:szCs w:val="22"/>
              </w:rPr>
            </w:pPr>
            <w:r>
              <w:rPr>
                <w:rFonts w:hint="eastAsia"/>
                <w:kern w:val="0"/>
                <w:sz w:val="22"/>
                <w:szCs w:val="22"/>
              </w:rPr>
              <w:t>20</w:t>
            </w:r>
            <w:r w:rsidRPr="00A95203">
              <w:rPr>
                <w:kern w:val="0"/>
                <w:sz w:val="22"/>
                <w:szCs w:val="22"/>
              </w:rPr>
              <w:t>0</w:t>
            </w:r>
            <w:r w:rsidRPr="00A95203">
              <w:rPr>
                <w:kern w:val="0"/>
                <w:sz w:val="22"/>
                <w:szCs w:val="22"/>
              </w:rPr>
              <w:t>万元（含）至</w:t>
            </w:r>
            <w:r w:rsidRPr="00A95203">
              <w:rPr>
                <w:kern w:val="0"/>
                <w:sz w:val="22"/>
                <w:szCs w:val="22"/>
              </w:rPr>
              <w:t>500</w:t>
            </w:r>
            <w:r w:rsidRPr="00A95203">
              <w:rPr>
                <w:kern w:val="0"/>
                <w:sz w:val="22"/>
                <w:szCs w:val="22"/>
              </w:rPr>
              <w:t>万元</w:t>
            </w:r>
          </w:p>
        </w:tc>
        <w:tc>
          <w:tcPr>
            <w:tcW w:w="1514" w:type="dxa"/>
            <w:tcBorders>
              <w:top w:val="single" w:sz="6" w:space="0" w:color="7F7F7F"/>
              <w:left w:val="single" w:sz="6" w:space="0" w:color="7F7F7F"/>
              <w:bottom w:val="single" w:sz="6" w:space="0" w:color="7F7F7F"/>
              <w:right w:val="single" w:sz="6" w:space="0" w:color="7F7F7F"/>
            </w:tcBorders>
            <w:hideMark/>
          </w:tcPr>
          <w:p w:rsidR="00BA0346" w:rsidRPr="00A95203" w:rsidRDefault="00BA0346" w:rsidP="0056105D">
            <w:pPr>
              <w:widowControl/>
              <w:tabs>
                <w:tab w:val="left" w:pos="420"/>
              </w:tabs>
              <w:spacing w:before="100" w:beforeAutospacing="1" w:after="100" w:afterAutospacing="1"/>
              <w:jc w:val="center"/>
              <w:rPr>
                <w:kern w:val="0"/>
                <w:sz w:val="22"/>
                <w:szCs w:val="22"/>
              </w:rPr>
            </w:pPr>
            <w:r w:rsidRPr="00A95203">
              <w:rPr>
                <w:kern w:val="0"/>
                <w:sz w:val="22"/>
                <w:szCs w:val="22"/>
              </w:rPr>
              <w:t>0.</w:t>
            </w:r>
            <w:r>
              <w:rPr>
                <w:rFonts w:hint="eastAsia"/>
                <w:kern w:val="0"/>
                <w:sz w:val="22"/>
                <w:szCs w:val="22"/>
              </w:rPr>
              <w:t>2</w:t>
            </w:r>
            <w:r w:rsidRPr="00A95203">
              <w:rPr>
                <w:kern w:val="0"/>
                <w:sz w:val="22"/>
                <w:szCs w:val="22"/>
              </w:rPr>
              <w:t>%</w:t>
            </w:r>
          </w:p>
        </w:tc>
      </w:tr>
      <w:tr w:rsidR="00BA0346" w:rsidRPr="00A95203" w:rsidTr="00C75A65">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C75A65">
            <w:pPr>
              <w:widowControl/>
              <w:jc w:val="left"/>
              <w:rPr>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C75A65">
            <w:pPr>
              <w:widowControl/>
              <w:jc w:val="left"/>
              <w:rPr>
                <w:kern w:val="0"/>
                <w:sz w:val="22"/>
                <w:szCs w:val="22"/>
              </w:rPr>
            </w:pPr>
          </w:p>
        </w:tc>
        <w:tc>
          <w:tcPr>
            <w:tcW w:w="3029" w:type="dxa"/>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C75A65">
            <w:pPr>
              <w:widowControl/>
              <w:tabs>
                <w:tab w:val="left" w:pos="420"/>
              </w:tabs>
              <w:spacing w:before="100" w:beforeAutospacing="1" w:after="100" w:afterAutospacing="1"/>
              <w:jc w:val="center"/>
              <w:rPr>
                <w:kern w:val="0"/>
                <w:sz w:val="22"/>
                <w:szCs w:val="22"/>
              </w:rPr>
            </w:pPr>
            <w:r w:rsidRPr="00A95203">
              <w:rPr>
                <w:kern w:val="0"/>
                <w:sz w:val="22"/>
                <w:szCs w:val="22"/>
              </w:rPr>
              <w:t>500</w:t>
            </w:r>
            <w:r w:rsidRPr="00A95203">
              <w:rPr>
                <w:kern w:val="0"/>
                <w:sz w:val="22"/>
                <w:szCs w:val="22"/>
              </w:rPr>
              <w:t>万元以上（含</w:t>
            </w:r>
            <w:r w:rsidRPr="00A95203">
              <w:rPr>
                <w:kern w:val="0"/>
                <w:sz w:val="22"/>
                <w:szCs w:val="22"/>
              </w:rPr>
              <w:t>500</w:t>
            </w:r>
            <w:r w:rsidRPr="00A95203">
              <w:rPr>
                <w:kern w:val="0"/>
                <w:sz w:val="22"/>
                <w:szCs w:val="22"/>
              </w:rPr>
              <w:t>万）</w:t>
            </w:r>
          </w:p>
        </w:tc>
        <w:tc>
          <w:tcPr>
            <w:tcW w:w="1514" w:type="dxa"/>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C75A65">
            <w:pPr>
              <w:widowControl/>
              <w:tabs>
                <w:tab w:val="left" w:pos="420"/>
              </w:tabs>
              <w:spacing w:before="100" w:beforeAutospacing="1" w:after="100" w:afterAutospacing="1"/>
              <w:jc w:val="center"/>
              <w:rPr>
                <w:kern w:val="0"/>
                <w:sz w:val="22"/>
                <w:szCs w:val="22"/>
              </w:rPr>
            </w:pPr>
            <w:r w:rsidRPr="00A95203">
              <w:rPr>
                <w:kern w:val="0"/>
                <w:sz w:val="22"/>
                <w:szCs w:val="22"/>
              </w:rPr>
              <w:t>0</w:t>
            </w:r>
          </w:p>
        </w:tc>
      </w:tr>
      <w:tr w:rsidR="00BA0346" w:rsidRPr="00A95203" w:rsidTr="003B7662">
        <w:trPr>
          <w:trHeight w:val="319"/>
          <w:tblCellSpacing w:w="0" w:type="dxa"/>
        </w:trPr>
        <w:tc>
          <w:tcPr>
            <w:tcW w:w="1922" w:type="dxa"/>
            <w:vMerge w:val="restart"/>
            <w:tcBorders>
              <w:top w:val="single" w:sz="6" w:space="0" w:color="7F7F7F"/>
              <w:left w:val="single" w:sz="6" w:space="0" w:color="7F7F7F"/>
              <w:right w:val="single" w:sz="6" w:space="0" w:color="7F7F7F"/>
            </w:tcBorders>
            <w:vAlign w:val="center"/>
            <w:hideMark/>
          </w:tcPr>
          <w:p w:rsidR="00BA0346" w:rsidRPr="00A95203" w:rsidRDefault="00BA0346" w:rsidP="00D14546">
            <w:pPr>
              <w:widowControl/>
              <w:jc w:val="left"/>
              <w:rPr>
                <w:kern w:val="0"/>
                <w:sz w:val="22"/>
                <w:szCs w:val="22"/>
              </w:rPr>
            </w:pPr>
            <w:r w:rsidRPr="00A95203">
              <w:rPr>
                <w:kern w:val="0"/>
                <w:sz w:val="22"/>
                <w:szCs w:val="22"/>
              </w:rPr>
              <w:t>交银荣祥保本</w:t>
            </w:r>
          </w:p>
        </w:tc>
        <w:tc>
          <w:tcPr>
            <w:tcW w:w="2010" w:type="dxa"/>
            <w:vMerge w:val="restart"/>
            <w:tcBorders>
              <w:top w:val="single" w:sz="6" w:space="0" w:color="7F7F7F"/>
              <w:left w:val="single" w:sz="6" w:space="0" w:color="7F7F7F"/>
              <w:right w:val="single" w:sz="6" w:space="0" w:color="7F7F7F"/>
            </w:tcBorders>
            <w:vAlign w:val="center"/>
            <w:hideMark/>
          </w:tcPr>
          <w:p w:rsidR="00BA0346" w:rsidRPr="00A95203" w:rsidRDefault="00BA0346" w:rsidP="000F0537">
            <w:pPr>
              <w:widowControl/>
              <w:spacing w:line="360" w:lineRule="auto"/>
              <w:jc w:val="left"/>
              <w:rPr>
                <w:kern w:val="0"/>
                <w:sz w:val="22"/>
                <w:szCs w:val="22"/>
              </w:rPr>
            </w:pPr>
            <w:r w:rsidRPr="00A95203">
              <w:rPr>
                <w:kern w:val="0"/>
                <w:sz w:val="22"/>
                <w:szCs w:val="22"/>
              </w:rPr>
              <w:t>前端收费模式下</w:t>
            </w:r>
          </w:p>
          <w:p w:rsidR="00BA0346" w:rsidRPr="00A95203" w:rsidRDefault="00BA0346" w:rsidP="000F0537">
            <w:pPr>
              <w:widowControl/>
              <w:spacing w:line="360" w:lineRule="auto"/>
              <w:jc w:val="left"/>
              <w:rPr>
                <w:kern w:val="0"/>
                <w:sz w:val="22"/>
                <w:szCs w:val="22"/>
              </w:rPr>
            </w:pPr>
            <w:r w:rsidRPr="00A95203">
              <w:rPr>
                <w:kern w:val="0"/>
                <w:sz w:val="22"/>
                <w:szCs w:val="22"/>
              </w:rPr>
              <w:t>交银新成长</w:t>
            </w:r>
          </w:p>
        </w:tc>
        <w:tc>
          <w:tcPr>
            <w:tcW w:w="3029" w:type="dxa"/>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E21369">
            <w:pPr>
              <w:widowControl/>
              <w:tabs>
                <w:tab w:val="left" w:pos="420"/>
              </w:tabs>
              <w:spacing w:before="100" w:beforeAutospacing="1" w:after="100" w:afterAutospacing="1"/>
              <w:jc w:val="center"/>
              <w:rPr>
                <w:kern w:val="0"/>
                <w:szCs w:val="21"/>
              </w:rPr>
            </w:pPr>
            <w:r w:rsidRPr="00A95203">
              <w:rPr>
                <w:kern w:val="0"/>
                <w:szCs w:val="21"/>
              </w:rPr>
              <w:t>300</w:t>
            </w:r>
            <w:r w:rsidRPr="00A95203">
              <w:rPr>
                <w:kern w:val="0"/>
                <w:szCs w:val="21"/>
              </w:rPr>
              <w:t>万元以下</w:t>
            </w:r>
          </w:p>
        </w:tc>
        <w:tc>
          <w:tcPr>
            <w:tcW w:w="1514" w:type="dxa"/>
            <w:tcBorders>
              <w:top w:val="single" w:sz="6" w:space="0" w:color="7F7F7F"/>
              <w:left w:val="single" w:sz="6" w:space="0" w:color="7F7F7F"/>
              <w:right w:val="single" w:sz="6" w:space="0" w:color="7F7F7F"/>
            </w:tcBorders>
            <w:vAlign w:val="center"/>
            <w:hideMark/>
          </w:tcPr>
          <w:p w:rsidR="00BA0346" w:rsidRPr="00A95203" w:rsidRDefault="00BA0346" w:rsidP="00E21369">
            <w:pPr>
              <w:widowControl/>
              <w:tabs>
                <w:tab w:val="left" w:pos="420"/>
              </w:tabs>
              <w:spacing w:before="100" w:beforeAutospacing="1" w:after="100" w:afterAutospacing="1"/>
              <w:jc w:val="center"/>
            </w:pPr>
            <w:r w:rsidRPr="00A95203">
              <w:t>0.3%</w:t>
            </w:r>
          </w:p>
        </w:tc>
      </w:tr>
      <w:tr w:rsidR="00BA0346" w:rsidRPr="00A95203" w:rsidTr="003B7662">
        <w:trPr>
          <w:trHeight w:val="396"/>
          <w:tblCellSpacing w:w="0" w:type="dxa"/>
        </w:trPr>
        <w:tc>
          <w:tcPr>
            <w:tcW w:w="1922" w:type="dxa"/>
            <w:vMerge/>
            <w:tcBorders>
              <w:left w:val="single" w:sz="6" w:space="0" w:color="7F7F7F"/>
              <w:right w:val="single" w:sz="6" w:space="0" w:color="7F7F7F"/>
            </w:tcBorders>
            <w:vAlign w:val="center"/>
            <w:hideMark/>
          </w:tcPr>
          <w:p w:rsidR="00BA0346" w:rsidRPr="00A95203" w:rsidRDefault="00BA0346" w:rsidP="00AA3168">
            <w:pPr>
              <w:widowControl/>
              <w:jc w:val="left"/>
              <w:rPr>
                <w:kern w:val="0"/>
                <w:sz w:val="22"/>
                <w:szCs w:val="22"/>
              </w:rPr>
            </w:pPr>
          </w:p>
        </w:tc>
        <w:tc>
          <w:tcPr>
            <w:tcW w:w="2010" w:type="dxa"/>
            <w:vMerge/>
            <w:tcBorders>
              <w:left w:val="single" w:sz="6" w:space="0" w:color="7F7F7F"/>
              <w:right w:val="single" w:sz="6" w:space="0" w:color="7F7F7F"/>
            </w:tcBorders>
            <w:vAlign w:val="center"/>
            <w:hideMark/>
          </w:tcPr>
          <w:p w:rsidR="00BA0346" w:rsidRPr="00A95203" w:rsidRDefault="00BA0346" w:rsidP="00AA3168">
            <w:pPr>
              <w:widowControl/>
              <w:spacing w:line="360" w:lineRule="auto"/>
              <w:jc w:val="left"/>
              <w:rPr>
                <w:kern w:val="0"/>
                <w:sz w:val="22"/>
                <w:szCs w:val="22"/>
              </w:rPr>
            </w:pPr>
          </w:p>
        </w:tc>
        <w:tc>
          <w:tcPr>
            <w:tcW w:w="3029" w:type="dxa"/>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E21369">
            <w:pPr>
              <w:widowControl/>
              <w:tabs>
                <w:tab w:val="left" w:pos="420"/>
              </w:tabs>
              <w:spacing w:before="100" w:beforeAutospacing="1" w:after="100" w:afterAutospacing="1"/>
              <w:jc w:val="center"/>
              <w:rPr>
                <w:kern w:val="0"/>
                <w:szCs w:val="21"/>
              </w:rPr>
            </w:pPr>
            <w:r w:rsidRPr="00A95203">
              <w:t>300</w:t>
            </w:r>
            <w:r w:rsidRPr="00A95203">
              <w:t>万元（含）至</w:t>
            </w:r>
            <w:r w:rsidRPr="00A95203">
              <w:t>1000</w:t>
            </w:r>
            <w:r w:rsidRPr="00A95203">
              <w:t>万元</w:t>
            </w:r>
          </w:p>
        </w:tc>
        <w:tc>
          <w:tcPr>
            <w:tcW w:w="1514" w:type="dxa"/>
            <w:tcBorders>
              <w:top w:val="single" w:sz="6" w:space="0" w:color="7F7F7F"/>
              <w:left w:val="single" w:sz="6" w:space="0" w:color="7F7F7F"/>
              <w:right w:val="single" w:sz="6" w:space="0" w:color="7F7F7F"/>
            </w:tcBorders>
            <w:vAlign w:val="center"/>
            <w:hideMark/>
          </w:tcPr>
          <w:p w:rsidR="00BA0346" w:rsidRPr="00A95203" w:rsidRDefault="00BA0346" w:rsidP="00E21369">
            <w:pPr>
              <w:widowControl/>
              <w:tabs>
                <w:tab w:val="left" w:pos="420"/>
              </w:tabs>
              <w:spacing w:before="100" w:beforeAutospacing="1" w:after="100" w:afterAutospacing="1"/>
              <w:jc w:val="center"/>
            </w:pPr>
            <w:r w:rsidRPr="00A95203">
              <w:t>0.2%</w:t>
            </w:r>
          </w:p>
        </w:tc>
      </w:tr>
      <w:tr w:rsidR="00BA0346" w:rsidRPr="00A95203" w:rsidTr="003B7662">
        <w:trPr>
          <w:trHeight w:val="388"/>
          <w:tblCellSpacing w:w="0" w:type="dxa"/>
        </w:trPr>
        <w:tc>
          <w:tcPr>
            <w:tcW w:w="1922" w:type="dxa"/>
            <w:vMerge/>
            <w:tcBorders>
              <w:left w:val="single" w:sz="6" w:space="0" w:color="7F7F7F"/>
              <w:right w:val="single" w:sz="6" w:space="0" w:color="7F7F7F"/>
            </w:tcBorders>
            <w:vAlign w:val="center"/>
            <w:hideMark/>
          </w:tcPr>
          <w:p w:rsidR="00BA0346" w:rsidRPr="00A95203" w:rsidRDefault="00BA0346" w:rsidP="00AA3168">
            <w:pPr>
              <w:widowControl/>
              <w:jc w:val="left"/>
              <w:rPr>
                <w:kern w:val="0"/>
                <w:sz w:val="22"/>
                <w:szCs w:val="22"/>
              </w:rPr>
            </w:pPr>
          </w:p>
        </w:tc>
        <w:tc>
          <w:tcPr>
            <w:tcW w:w="2010" w:type="dxa"/>
            <w:vMerge/>
            <w:tcBorders>
              <w:left w:val="single" w:sz="6" w:space="0" w:color="7F7F7F"/>
              <w:right w:val="single" w:sz="6" w:space="0" w:color="7F7F7F"/>
            </w:tcBorders>
            <w:vAlign w:val="center"/>
            <w:hideMark/>
          </w:tcPr>
          <w:p w:rsidR="00BA0346" w:rsidRPr="00A95203" w:rsidRDefault="00BA0346" w:rsidP="00AA3168">
            <w:pPr>
              <w:widowControl/>
              <w:spacing w:line="360" w:lineRule="auto"/>
              <w:jc w:val="left"/>
              <w:rPr>
                <w:kern w:val="0"/>
                <w:sz w:val="22"/>
                <w:szCs w:val="22"/>
              </w:rPr>
            </w:pPr>
          </w:p>
        </w:tc>
        <w:tc>
          <w:tcPr>
            <w:tcW w:w="3029" w:type="dxa"/>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E21369">
            <w:pPr>
              <w:widowControl/>
              <w:tabs>
                <w:tab w:val="left" w:pos="420"/>
              </w:tabs>
              <w:spacing w:before="100" w:beforeAutospacing="1" w:after="100" w:afterAutospacing="1"/>
              <w:jc w:val="center"/>
              <w:rPr>
                <w:kern w:val="0"/>
                <w:szCs w:val="21"/>
              </w:rPr>
            </w:pPr>
            <w:r w:rsidRPr="00A95203">
              <w:t>1000</w:t>
            </w:r>
            <w:r w:rsidRPr="00A95203">
              <w:t>万元以上（含</w:t>
            </w:r>
            <w:r w:rsidRPr="00A95203">
              <w:t>1000</w:t>
            </w:r>
            <w:r w:rsidRPr="00A95203">
              <w:t>万）</w:t>
            </w:r>
          </w:p>
        </w:tc>
        <w:tc>
          <w:tcPr>
            <w:tcW w:w="1514" w:type="dxa"/>
            <w:tcBorders>
              <w:top w:val="single" w:sz="6" w:space="0" w:color="7F7F7F"/>
              <w:left w:val="single" w:sz="6" w:space="0" w:color="7F7F7F"/>
              <w:right w:val="single" w:sz="6" w:space="0" w:color="7F7F7F"/>
            </w:tcBorders>
            <w:vAlign w:val="center"/>
            <w:hideMark/>
          </w:tcPr>
          <w:p w:rsidR="00BA0346" w:rsidRPr="00A95203" w:rsidRDefault="00BA0346" w:rsidP="00E21369">
            <w:pPr>
              <w:widowControl/>
              <w:tabs>
                <w:tab w:val="left" w:pos="420"/>
              </w:tabs>
              <w:spacing w:before="100" w:beforeAutospacing="1" w:after="100" w:afterAutospacing="1"/>
              <w:jc w:val="center"/>
            </w:pPr>
            <w:r w:rsidRPr="00A95203">
              <w:t>0</w:t>
            </w:r>
          </w:p>
        </w:tc>
      </w:tr>
      <w:tr w:rsidR="00BA0346" w:rsidRPr="00A95203" w:rsidTr="003B7662">
        <w:trPr>
          <w:trHeight w:val="514"/>
          <w:tblCellSpacing w:w="0" w:type="dxa"/>
        </w:trPr>
        <w:tc>
          <w:tcPr>
            <w:tcW w:w="1922" w:type="dxa"/>
            <w:vMerge w:val="restart"/>
            <w:tcBorders>
              <w:top w:val="single" w:sz="6" w:space="0" w:color="7F7F7F"/>
              <w:left w:val="single" w:sz="6" w:space="0" w:color="7F7F7F"/>
              <w:right w:val="single" w:sz="6" w:space="0" w:color="7F7F7F"/>
            </w:tcBorders>
            <w:vAlign w:val="center"/>
            <w:hideMark/>
          </w:tcPr>
          <w:p w:rsidR="00BA0346" w:rsidRPr="00A95203" w:rsidRDefault="00BA0346" w:rsidP="00D14546">
            <w:pPr>
              <w:widowControl/>
              <w:jc w:val="left"/>
              <w:rPr>
                <w:kern w:val="0"/>
                <w:sz w:val="22"/>
                <w:szCs w:val="22"/>
              </w:rPr>
            </w:pPr>
            <w:r w:rsidRPr="00A95203">
              <w:rPr>
                <w:kern w:val="0"/>
                <w:sz w:val="22"/>
                <w:szCs w:val="22"/>
              </w:rPr>
              <w:t>交银荣祥保本</w:t>
            </w:r>
          </w:p>
        </w:tc>
        <w:tc>
          <w:tcPr>
            <w:tcW w:w="2010" w:type="dxa"/>
            <w:vMerge w:val="restart"/>
            <w:tcBorders>
              <w:top w:val="single" w:sz="6" w:space="0" w:color="7F7F7F"/>
              <w:left w:val="single" w:sz="6" w:space="0" w:color="7F7F7F"/>
              <w:right w:val="single" w:sz="6" w:space="0" w:color="7F7F7F"/>
            </w:tcBorders>
            <w:vAlign w:val="center"/>
            <w:hideMark/>
          </w:tcPr>
          <w:p w:rsidR="00BA0346" w:rsidRPr="00A95203" w:rsidRDefault="00BA0346" w:rsidP="00AA3168">
            <w:pPr>
              <w:widowControl/>
              <w:spacing w:line="360" w:lineRule="auto"/>
              <w:jc w:val="left"/>
              <w:rPr>
                <w:kern w:val="0"/>
                <w:sz w:val="22"/>
                <w:szCs w:val="22"/>
              </w:rPr>
            </w:pPr>
            <w:r w:rsidRPr="00A95203">
              <w:rPr>
                <w:kern w:val="0"/>
                <w:sz w:val="22"/>
                <w:szCs w:val="22"/>
              </w:rPr>
              <w:t>前端收费模式下</w:t>
            </w:r>
          </w:p>
          <w:p w:rsidR="00BA0346" w:rsidRPr="00A95203" w:rsidRDefault="00BA0346" w:rsidP="00AA3168">
            <w:pPr>
              <w:widowControl/>
              <w:spacing w:line="360" w:lineRule="auto"/>
              <w:jc w:val="left"/>
              <w:rPr>
                <w:kern w:val="0"/>
                <w:sz w:val="22"/>
                <w:szCs w:val="22"/>
              </w:rPr>
            </w:pPr>
            <w:r w:rsidRPr="00A95203">
              <w:rPr>
                <w:kern w:val="0"/>
                <w:sz w:val="22"/>
                <w:szCs w:val="22"/>
              </w:rPr>
              <w:t>交银周期回报</w:t>
            </w:r>
            <w:r w:rsidR="00F1122A" w:rsidRPr="00A95203">
              <w:rPr>
                <w:kern w:val="0"/>
                <w:sz w:val="22"/>
                <w:szCs w:val="22"/>
              </w:rPr>
              <w:t>A</w:t>
            </w:r>
            <w:r w:rsidR="00F1122A" w:rsidRPr="00A95203">
              <w:rPr>
                <w:kern w:val="0"/>
                <w:sz w:val="22"/>
                <w:szCs w:val="22"/>
              </w:rPr>
              <w:t>类</w:t>
            </w:r>
            <w:r w:rsidR="00F1122A">
              <w:rPr>
                <w:rFonts w:hint="eastAsia"/>
                <w:kern w:val="0"/>
                <w:sz w:val="22"/>
                <w:szCs w:val="22"/>
              </w:rPr>
              <w:t>基金份额</w:t>
            </w:r>
          </w:p>
        </w:tc>
        <w:tc>
          <w:tcPr>
            <w:tcW w:w="3029" w:type="dxa"/>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E21369">
            <w:pPr>
              <w:widowControl/>
              <w:tabs>
                <w:tab w:val="left" w:pos="420"/>
              </w:tabs>
              <w:spacing w:before="100" w:beforeAutospacing="1" w:after="100" w:afterAutospacing="1"/>
              <w:jc w:val="center"/>
              <w:rPr>
                <w:kern w:val="0"/>
                <w:szCs w:val="21"/>
              </w:rPr>
            </w:pPr>
            <w:r w:rsidRPr="00A95203">
              <w:rPr>
                <w:kern w:val="0"/>
                <w:szCs w:val="21"/>
              </w:rPr>
              <w:t>200</w:t>
            </w:r>
            <w:r w:rsidRPr="00A95203">
              <w:rPr>
                <w:kern w:val="0"/>
                <w:szCs w:val="21"/>
              </w:rPr>
              <w:t>万元以下</w:t>
            </w:r>
          </w:p>
        </w:tc>
        <w:tc>
          <w:tcPr>
            <w:tcW w:w="1514" w:type="dxa"/>
            <w:tcBorders>
              <w:top w:val="single" w:sz="6" w:space="0" w:color="7F7F7F"/>
              <w:left w:val="single" w:sz="6" w:space="0" w:color="7F7F7F"/>
              <w:right w:val="single" w:sz="6" w:space="0" w:color="7F7F7F"/>
            </w:tcBorders>
            <w:vAlign w:val="center"/>
            <w:hideMark/>
          </w:tcPr>
          <w:p w:rsidR="00BA0346" w:rsidRPr="00A95203" w:rsidRDefault="00BA0346" w:rsidP="00E21369">
            <w:pPr>
              <w:widowControl/>
              <w:tabs>
                <w:tab w:val="left" w:pos="420"/>
              </w:tabs>
              <w:spacing w:before="100" w:beforeAutospacing="1" w:after="100" w:afterAutospacing="1"/>
              <w:jc w:val="center"/>
              <w:rPr>
                <w:kern w:val="0"/>
                <w:szCs w:val="21"/>
              </w:rPr>
            </w:pPr>
            <w:r w:rsidRPr="00A95203">
              <w:t>0.30%</w:t>
            </w:r>
          </w:p>
        </w:tc>
      </w:tr>
      <w:tr w:rsidR="00BA0346" w:rsidRPr="00A95203" w:rsidTr="003B7662">
        <w:trPr>
          <w:trHeight w:val="513"/>
          <w:tblCellSpacing w:w="0" w:type="dxa"/>
        </w:trPr>
        <w:tc>
          <w:tcPr>
            <w:tcW w:w="1922" w:type="dxa"/>
            <w:vMerge/>
            <w:tcBorders>
              <w:left w:val="single" w:sz="6" w:space="0" w:color="7F7F7F"/>
              <w:right w:val="single" w:sz="6" w:space="0" w:color="7F7F7F"/>
            </w:tcBorders>
            <w:vAlign w:val="center"/>
            <w:hideMark/>
          </w:tcPr>
          <w:p w:rsidR="00BA0346" w:rsidRPr="00A95203" w:rsidRDefault="00BA0346" w:rsidP="00AA3168">
            <w:pPr>
              <w:widowControl/>
              <w:jc w:val="left"/>
              <w:rPr>
                <w:kern w:val="0"/>
                <w:sz w:val="22"/>
                <w:szCs w:val="22"/>
              </w:rPr>
            </w:pPr>
          </w:p>
        </w:tc>
        <w:tc>
          <w:tcPr>
            <w:tcW w:w="2010" w:type="dxa"/>
            <w:vMerge/>
            <w:tcBorders>
              <w:left w:val="single" w:sz="6" w:space="0" w:color="7F7F7F"/>
              <w:right w:val="single" w:sz="6" w:space="0" w:color="7F7F7F"/>
            </w:tcBorders>
            <w:vAlign w:val="center"/>
            <w:hideMark/>
          </w:tcPr>
          <w:p w:rsidR="00BA0346" w:rsidRPr="00A95203" w:rsidRDefault="00BA0346" w:rsidP="00AA3168">
            <w:pPr>
              <w:widowControl/>
              <w:spacing w:line="360" w:lineRule="auto"/>
              <w:jc w:val="left"/>
              <w:rPr>
                <w:kern w:val="0"/>
                <w:sz w:val="22"/>
                <w:szCs w:val="22"/>
              </w:rPr>
            </w:pPr>
          </w:p>
        </w:tc>
        <w:tc>
          <w:tcPr>
            <w:tcW w:w="3029" w:type="dxa"/>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E21369">
            <w:pPr>
              <w:widowControl/>
              <w:tabs>
                <w:tab w:val="left" w:pos="420"/>
              </w:tabs>
              <w:spacing w:before="100" w:beforeAutospacing="1" w:after="100" w:afterAutospacing="1"/>
              <w:jc w:val="center"/>
              <w:rPr>
                <w:kern w:val="0"/>
                <w:szCs w:val="21"/>
              </w:rPr>
            </w:pPr>
            <w:r w:rsidRPr="00A95203">
              <w:rPr>
                <w:kern w:val="0"/>
                <w:szCs w:val="21"/>
              </w:rPr>
              <w:t>200</w:t>
            </w:r>
            <w:r w:rsidRPr="00A95203">
              <w:rPr>
                <w:kern w:val="0"/>
                <w:szCs w:val="21"/>
              </w:rPr>
              <w:t>万元（含）至</w:t>
            </w:r>
            <w:r w:rsidRPr="00A95203">
              <w:rPr>
                <w:kern w:val="0"/>
                <w:szCs w:val="21"/>
              </w:rPr>
              <w:t>1000</w:t>
            </w:r>
            <w:r w:rsidRPr="00A95203">
              <w:rPr>
                <w:kern w:val="0"/>
                <w:szCs w:val="21"/>
              </w:rPr>
              <w:t>万元</w:t>
            </w:r>
          </w:p>
        </w:tc>
        <w:tc>
          <w:tcPr>
            <w:tcW w:w="1514" w:type="dxa"/>
            <w:tcBorders>
              <w:left w:val="single" w:sz="6" w:space="0" w:color="7F7F7F"/>
              <w:right w:val="single" w:sz="6" w:space="0" w:color="7F7F7F"/>
            </w:tcBorders>
            <w:vAlign w:val="center"/>
            <w:hideMark/>
          </w:tcPr>
          <w:p w:rsidR="00BA0346" w:rsidRPr="00A95203" w:rsidRDefault="00BA0346" w:rsidP="00E21369">
            <w:pPr>
              <w:widowControl/>
              <w:tabs>
                <w:tab w:val="left" w:pos="420"/>
              </w:tabs>
              <w:spacing w:before="100" w:beforeAutospacing="1" w:after="100" w:afterAutospacing="1"/>
              <w:jc w:val="center"/>
              <w:rPr>
                <w:kern w:val="0"/>
                <w:szCs w:val="21"/>
              </w:rPr>
            </w:pPr>
            <w:r w:rsidRPr="00A95203">
              <w:t>0.20%</w:t>
            </w:r>
          </w:p>
        </w:tc>
      </w:tr>
      <w:tr w:rsidR="00BA0346" w:rsidRPr="00A95203" w:rsidTr="003B7662">
        <w:trPr>
          <w:trHeight w:val="513"/>
          <w:tblCellSpacing w:w="0" w:type="dxa"/>
        </w:trPr>
        <w:tc>
          <w:tcPr>
            <w:tcW w:w="1922" w:type="dxa"/>
            <w:vMerge/>
            <w:tcBorders>
              <w:left w:val="single" w:sz="6" w:space="0" w:color="7F7F7F"/>
              <w:bottom w:val="single" w:sz="6" w:space="0" w:color="7F7F7F"/>
              <w:right w:val="single" w:sz="6" w:space="0" w:color="7F7F7F"/>
            </w:tcBorders>
            <w:vAlign w:val="center"/>
            <w:hideMark/>
          </w:tcPr>
          <w:p w:rsidR="00BA0346" w:rsidRPr="00A95203" w:rsidRDefault="00BA0346" w:rsidP="00AA3168">
            <w:pPr>
              <w:widowControl/>
              <w:jc w:val="left"/>
              <w:rPr>
                <w:kern w:val="0"/>
                <w:sz w:val="22"/>
                <w:szCs w:val="22"/>
              </w:rPr>
            </w:pPr>
          </w:p>
        </w:tc>
        <w:tc>
          <w:tcPr>
            <w:tcW w:w="2010" w:type="dxa"/>
            <w:vMerge/>
            <w:tcBorders>
              <w:left w:val="single" w:sz="6" w:space="0" w:color="7F7F7F"/>
              <w:bottom w:val="single" w:sz="6" w:space="0" w:color="7F7F7F"/>
              <w:right w:val="single" w:sz="6" w:space="0" w:color="7F7F7F"/>
            </w:tcBorders>
            <w:vAlign w:val="center"/>
            <w:hideMark/>
          </w:tcPr>
          <w:p w:rsidR="00BA0346" w:rsidRPr="00A95203" w:rsidRDefault="00BA0346" w:rsidP="00AA3168">
            <w:pPr>
              <w:widowControl/>
              <w:spacing w:line="360" w:lineRule="auto"/>
              <w:jc w:val="left"/>
              <w:rPr>
                <w:kern w:val="0"/>
                <w:sz w:val="22"/>
                <w:szCs w:val="22"/>
              </w:rPr>
            </w:pPr>
          </w:p>
        </w:tc>
        <w:tc>
          <w:tcPr>
            <w:tcW w:w="3029" w:type="dxa"/>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E21369">
            <w:pPr>
              <w:widowControl/>
              <w:tabs>
                <w:tab w:val="left" w:pos="420"/>
              </w:tabs>
              <w:spacing w:before="100" w:beforeAutospacing="1" w:after="100" w:afterAutospacing="1"/>
              <w:jc w:val="center"/>
              <w:rPr>
                <w:kern w:val="0"/>
                <w:szCs w:val="21"/>
              </w:rPr>
            </w:pPr>
            <w:r w:rsidRPr="00A95203">
              <w:rPr>
                <w:kern w:val="0"/>
                <w:szCs w:val="21"/>
              </w:rPr>
              <w:t>1000</w:t>
            </w:r>
            <w:r w:rsidRPr="00A95203">
              <w:rPr>
                <w:kern w:val="0"/>
                <w:szCs w:val="21"/>
              </w:rPr>
              <w:t>万元以上（含</w:t>
            </w:r>
            <w:r w:rsidRPr="00A95203">
              <w:rPr>
                <w:kern w:val="0"/>
                <w:szCs w:val="21"/>
              </w:rPr>
              <w:t>1000</w:t>
            </w:r>
            <w:r w:rsidRPr="00A95203">
              <w:rPr>
                <w:kern w:val="0"/>
                <w:szCs w:val="21"/>
              </w:rPr>
              <w:t>万）</w:t>
            </w:r>
          </w:p>
        </w:tc>
        <w:tc>
          <w:tcPr>
            <w:tcW w:w="1514" w:type="dxa"/>
            <w:tcBorders>
              <w:left w:val="single" w:sz="6" w:space="0" w:color="7F7F7F"/>
              <w:bottom w:val="single" w:sz="6" w:space="0" w:color="7F7F7F"/>
              <w:right w:val="single" w:sz="6" w:space="0" w:color="7F7F7F"/>
            </w:tcBorders>
            <w:vAlign w:val="center"/>
            <w:hideMark/>
          </w:tcPr>
          <w:p w:rsidR="00BA0346" w:rsidRPr="00A95203" w:rsidRDefault="00BA0346" w:rsidP="00E21369">
            <w:pPr>
              <w:widowControl/>
              <w:tabs>
                <w:tab w:val="left" w:pos="420"/>
              </w:tabs>
              <w:spacing w:before="100" w:beforeAutospacing="1" w:after="100" w:afterAutospacing="1"/>
              <w:jc w:val="center"/>
              <w:rPr>
                <w:kern w:val="0"/>
                <w:szCs w:val="21"/>
              </w:rPr>
            </w:pPr>
            <w:r w:rsidRPr="00A95203">
              <w:rPr>
                <w:kern w:val="0"/>
                <w:szCs w:val="21"/>
              </w:rPr>
              <w:t>0</w:t>
            </w:r>
          </w:p>
        </w:tc>
      </w:tr>
      <w:tr w:rsidR="00BA0346" w:rsidRPr="00A95203" w:rsidTr="003B7662">
        <w:trPr>
          <w:trHeight w:val="72"/>
          <w:tblCellSpacing w:w="0" w:type="dxa"/>
        </w:trPr>
        <w:tc>
          <w:tcPr>
            <w:tcW w:w="1922" w:type="dxa"/>
            <w:vMerge w:val="restart"/>
            <w:tcBorders>
              <w:top w:val="single" w:sz="6" w:space="0" w:color="7F7F7F"/>
              <w:left w:val="single" w:sz="6" w:space="0" w:color="7F7F7F"/>
              <w:right w:val="single" w:sz="6" w:space="0" w:color="7F7F7F"/>
            </w:tcBorders>
            <w:vAlign w:val="center"/>
            <w:hideMark/>
          </w:tcPr>
          <w:p w:rsidR="00BA0346" w:rsidRPr="00A95203" w:rsidRDefault="00BA0346" w:rsidP="00D14546">
            <w:pPr>
              <w:widowControl/>
              <w:jc w:val="left"/>
              <w:rPr>
                <w:kern w:val="0"/>
                <w:sz w:val="22"/>
                <w:szCs w:val="22"/>
              </w:rPr>
            </w:pPr>
            <w:r w:rsidRPr="00A95203">
              <w:rPr>
                <w:kern w:val="0"/>
                <w:sz w:val="22"/>
                <w:szCs w:val="22"/>
              </w:rPr>
              <w:t>交银荣祥保本</w:t>
            </w:r>
          </w:p>
        </w:tc>
        <w:tc>
          <w:tcPr>
            <w:tcW w:w="2010" w:type="dxa"/>
            <w:vMerge w:val="restart"/>
            <w:tcBorders>
              <w:top w:val="single" w:sz="6" w:space="0" w:color="7F7F7F"/>
              <w:left w:val="single" w:sz="6" w:space="0" w:color="7F7F7F"/>
              <w:right w:val="single" w:sz="6" w:space="0" w:color="7F7F7F"/>
            </w:tcBorders>
            <w:vAlign w:val="center"/>
            <w:hideMark/>
          </w:tcPr>
          <w:p w:rsidR="00BA0346" w:rsidRPr="00A95203" w:rsidRDefault="00BA0346" w:rsidP="00534F16">
            <w:pPr>
              <w:widowControl/>
              <w:spacing w:line="360" w:lineRule="auto"/>
              <w:jc w:val="left"/>
              <w:rPr>
                <w:kern w:val="0"/>
                <w:sz w:val="22"/>
                <w:szCs w:val="22"/>
              </w:rPr>
            </w:pPr>
            <w:r w:rsidRPr="00A95203">
              <w:rPr>
                <w:kern w:val="0"/>
                <w:sz w:val="22"/>
                <w:szCs w:val="22"/>
              </w:rPr>
              <w:t>前端收费模式下</w:t>
            </w:r>
          </w:p>
          <w:p w:rsidR="00BA0346" w:rsidRPr="00A95203" w:rsidRDefault="00BA0346" w:rsidP="003B3577">
            <w:pPr>
              <w:jc w:val="left"/>
              <w:rPr>
                <w:kern w:val="0"/>
                <w:sz w:val="22"/>
                <w:szCs w:val="22"/>
              </w:rPr>
            </w:pPr>
            <w:r w:rsidRPr="00A95203">
              <w:rPr>
                <w:kern w:val="0"/>
                <w:sz w:val="22"/>
                <w:szCs w:val="22"/>
              </w:rPr>
              <w:lastRenderedPageBreak/>
              <w:t>交银精选、交银稳健、交银成长、交银蓝筹、交银先锋、交银治理、交银主题、交银制造、交银价值、交银策略回报、交银核心、交银消费新驱动、交银成长</w:t>
            </w:r>
            <w:r w:rsidRPr="00A95203">
              <w:rPr>
                <w:kern w:val="0"/>
                <w:sz w:val="22"/>
                <w:szCs w:val="22"/>
              </w:rPr>
              <w:t>30</w:t>
            </w:r>
            <w:r w:rsidRPr="00A95203">
              <w:rPr>
                <w:kern w:val="0"/>
                <w:sz w:val="22"/>
                <w:szCs w:val="22"/>
              </w:rPr>
              <w:t>、交银双息平衡、交银新回报</w:t>
            </w:r>
            <w:r w:rsidR="00F1122A" w:rsidRPr="00A95203">
              <w:rPr>
                <w:kern w:val="0"/>
                <w:sz w:val="22"/>
                <w:szCs w:val="22"/>
              </w:rPr>
              <w:t>A</w:t>
            </w:r>
            <w:r w:rsidR="00F1122A" w:rsidRPr="00A95203">
              <w:rPr>
                <w:kern w:val="0"/>
                <w:sz w:val="22"/>
                <w:szCs w:val="22"/>
              </w:rPr>
              <w:t>类</w:t>
            </w:r>
            <w:r w:rsidR="00F1122A">
              <w:rPr>
                <w:rFonts w:hint="eastAsia"/>
                <w:kern w:val="0"/>
                <w:sz w:val="22"/>
                <w:szCs w:val="22"/>
              </w:rPr>
              <w:t>基金份额</w:t>
            </w:r>
            <w:r w:rsidRPr="00A95203">
              <w:rPr>
                <w:kern w:val="0"/>
                <w:sz w:val="22"/>
                <w:szCs w:val="22"/>
              </w:rPr>
              <w:t>、交银多策略</w:t>
            </w:r>
            <w:r w:rsidR="00F1122A" w:rsidRPr="00A95203">
              <w:rPr>
                <w:kern w:val="0"/>
                <w:sz w:val="22"/>
                <w:szCs w:val="22"/>
              </w:rPr>
              <w:t>A</w:t>
            </w:r>
            <w:r w:rsidR="00F1122A" w:rsidRPr="00A95203">
              <w:rPr>
                <w:kern w:val="0"/>
                <w:sz w:val="22"/>
                <w:szCs w:val="22"/>
              </w:rPr>
              <w:t>类</w:t>
            </w:r>
            <w:r w:rsidR="00F1122A">
              <w:rPr>
                <w:rFonts w:hint="eastAsia"/>
                <w:kern w:val="0"/>
                <w:sz w:val="22"/>
                <w:szCs w:val="22"/>
              </w:rPr>
              <w:t>基金份额</w:t>
            </w:r>
            <w:r w:rsidRPr="00A95203">
              <w:rPr>
                <w:kern w:val="0"/>
                <w:sz w:val="22"/>
                <w:szCs w:val="22"/>
              </w:rPr>
              <w:t>、交银国企改革</w:t>
            </w:r>
            <w:r>
              <w:rPr>
                <w:rFonts w:hint="eastAsia"/>
                <w:kern w:val="0"/>
                <w:sz w:val="22"/>
                <w:szCs w:val="22"/>
              </w:rPr>
              <w:t>、交银数据产业</w:t>
            </w:r>
          </w:p>
        </w:tc>
        <w:tc>
          <w:tcPr>
            <w:tcW w:w="3029" w:type="dxa"/>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534F16">
            <w:pPr>
              <w:widowControl/>
              <w:tabs>
                <w:tab w:val="left" w:pos="420"/>
              </w:tabs>
              <w:spacing w:before="100" w:beforeAutospacing="1" w:after="100" w:afterAutospacing="1"/>
              <w:jc w:val="center"/>
              <w:rPr>
                <w:kern w:val="0"/>
                <w:szCs w:val="21"/>
              </w:rPr>
            </w:pPr>
            <w:r w:rsidRPr="00A95203">
              <w:rPr>
                <w:kern w:val="0"/>
                <w:sz w:val="22"/>
                <w:szCs w:val="22"/>
              </w:rPr>
              <w:lastRenderedPageBreak/>
              <w:t>50</w:t>
            </w:r>
            <w:r w:rsidRPr="00A95203">
              <w:rPr>
                <w:kern w:val="0"/>
                <w:sz w:val="22"/>
                <w:szCs w:val="22"/>
              </w:rPr>
              <w:t>万元以下</w:t>
            </w:r>
          </w:p>
        </w:tc>
        <w:tc>
          <w:tcPr>
            <w:tcW w:w="1514" w:type="dxa"/>
            <w:tcBorders>
              <w:top w:val="single" w:sz="6" w:space="0" w:color="7F7F7F"/>
              <w:left w:val="single" w:sz="6" w:space="0" w:color="7F7F7F"/>
              <w:right w:val="single" w:sz="6" w:space="0" w:color="7F7F7F"/>
            </w:tcBorders>
            <w:vAlign w:val="center"/>
            <w:hideMark/>
          </w:tcPr>
          <w:p w:rsidR="00BA0346" w:rsidRPr="00A95203" w:rsidRDefault="00BA0346" w:rsidP="00534F16">
            <w:pPr>
              <w:widowControl/>
              <w:tabs>
                <w:tab w:val="left" w:pos="420"/>
              </w:tabs>
              <w:spacing w:before="100" w:beforeAutospacing="1" w:after="100" w:afterAutospacing="1"/>
              <w:jc w:val="center"/>
              <w:rPr>
                <w:szCs w:val="21"/>
              </w:rPr>
            </w:pPr>
            <w:r w:rsidRPr="00A95203">
              <w:rPr>
                <w:kern w:val="0"/>
                <w:szCs w:val="21"/>
              </w:rPr>
              <w:t>0.3%</w:t>
            </w:r>
          </w:p>
        </w:tc>
      </w:tr>
      <w:tr w:rsidR="00BA0346" w:rsidRPr="00A95203" w:rsidTr="003B7662">
        <w:trPr>
          <w:trHeight w:val="70"/>
          <w:tblCellSpacing w:w="0" w:type="dxa"/>
        </w:trPr>
        <w:tc>
          <w:tcPr>
            <w:tcW w:w="1922" w:type="dxa"/>
            <w:vMerge/>
            <w:tcBorders>
              <w:left w:val="single" w:sz="6" w:space="0" w:color="7F7F7F"/>
              <w:right w:val="single" w:sz="6" w:space="0" w:color="7F7F7F"/>
            </w:tcBorders>
            <w:vAlign w:val="center"/>
            <w:hideMark/>
          </w:tcPr>
          <w:p w:rsidR="00BA0346" w:rsidRPr="00A95203" w:rsidRDefault="00BA0346" w:rsidP="00534F16">
            <w:pPr>
              <w:widowControl/>
              <w:jc w:val="left"/>
              <w:rPr>
                <w:kern w:val="0"/>
                <w:sz w:val="22"/>
                <w:szCs w:val="22"/>
              </w:rPr>
            </w:pPr>
          </w:p>
        </w:tc>
        <w:tc>
          <w:tcPr>
            <w:tcW w:w="2010" w:type="dxa"/>
            <w:vMerge/>
            <w:tcBorders>
              <w:left w:val="single" w:sz="6" w:space="0" w:color="7F7F7F"/>
              <w:right w:val="single" w:sz="6" w:space="0" w:color="7F7F7F"/>
            </w:tcBorders>
            <w:vAlign w:val="center"/>
            <w:hideMark/>
          </w:tcPr>
          <w:p w:rsidR="00BA0346" w:rsidRPr="00A95203" w:rsidRDefault="00BA0346" w:rsidP="00534F16">
            <w:pPr>
              <w:jc w:val="left"/>
              <w:rPr>
                <w:kern w:val="0"/>
                <w:sz w:val="22"/>
                <w:szCs w:val="22"/>
              </w:rPr>
            </w:pPr>
          </w:p>
        </w:tc>
        <w:tc>
          <w:tcPr>
            <w:tcW w:w="3029" w:type="dxa"/>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534F16">
            <w:pPr>
              <w:widowControl/>
              <w:tabs>
                <w:tab w:val="left" w:pos="420"/>
              </w:tabs>
              <w:spacing w:before="100" w:beforeAutospacing="1" w:after="100" w:afterAutospacing="1"/>
              <w:jc w:val="center"/>
              <w:rPr>
                <w:kern w:val="0"/>
                <w:szCs w:val="21"/>
              </w:rPr>
            </w:pPr>
            <w:r w:rsidRPr="00A95203">
              <w:rPr>
                <w:kern w:val="0"/>
                <w:szCs w:val="21"/>
              </w:rPr>
              <w:t>50</w:t>
            </w:r>
            <w:r w:rsidRPr="00A95203">
              <w:rPr>
                <w:kern w:val="0"/>
                <w:szCs w:val="21"/>
              </w:rPr>
              <w:t>万元（含）至</w:t>
            </w:r>
            <w:r w:rsidRPr="00A95203">
              <w:rPr>
                <w:kern w:val="0"/>
                <w:szCs w:val="21"/>
              </w:rPr>
              <w:t>100</w:t>
            </w:r>
            <w:r w:rsidRPr="00A95203">
              <w:rPr>
                <w:kern w:val="0"/>
                <w:szCs w:val="21"/>
              </w:rPr>
              <w:t>万元</w:t>
            </w:r>
          </w:p>
        </w:tc>
        <w:tc>
          <w:tcPr>
            <w:tcW w:w="1514" w:type="dxa"/>
            <w:tcBorders>
              <w:left w:val="single" w:sz="6" w:space="0" w:color="7F7F7F"/>
              <w:right w:val="single" w:sz="6" w:space="0" w:color="7F7F7F"/>
            </w:tcBorders>
            <w:vAlign w:val="center"/>
            <w:hideMark/>
          </w:tcPr>
          <w:p w:rsidR="00BA0346" w:rsidRPr="00A95203" w:rsidRDefault="00BA0346" w:rsidP="00534F16">
            <w:pPr>
              <w:widowControl/>
              <w:tabs>
                <w:tab w:val="left" w:pos="420"/>
              </w:tabs>
              <w:spacing w:before="100" w:beforeAutospacing="1" w:after="100" w:afterAutospacing="1"/>
              <w:jc w:val="center"/>
              <w:rPr>
                <w:szCs w:val="21"/>
              </w:rPr>
            </w:pPr>
            <w:r w:rsidRPr="00A95203">
              <w:rPr>
                <w:kern w:val="0"/>
                <w:szCs w:val="21"/>
              </w:rPr>
              <w:t>0.2%</w:t>
            </w:r>
          </w:p>
        </w:tc>
      </w:tr>
      <w:tr w:rsidR="00BA0346" w:rsidRPr="00A95203" w:rsidTr="003B7662">
        <w:trPr>
          <w:trHeight w:val="1001"/>
          <w:tblCellSpacing w:w="0" w:type="dxa"/>
        </w:trPr>
        <w:tc>
          <w:tcPr>
            <w:tcW w:w="1922" w:type="dxa"/>
            <w:vMerge/>
            <w:tcBorders>
              <w:left w:val="single" w:sz="6" w:space="0" w:color="7F7F7F"/>
              <w:right w:val="single" w:sz="6" w:space="0" w:color="7F7F7F"/>
            </w:tcBorders>
            <w:vAlign w:val="center"/>
            <w:hideMark/>
          </w:tcPr>
          <w:p w:rsidR="00BA0346" w:rsidRPr="00A95203" w:rsidRDefault="00BA0346" w:rsidP="00534F16">
            <w:pPr>
              <w:widowControl/>
              <w:jc w:val="left"/>
              <w:rPr>
                <w:kern w:val="0"/>
                <w:sz w:val="22"/>
                <w:szCs w:val="22"/>
              </w:rPr>
            </w:pPr>
          </w:p>
        </w:tc>
        <w:tc>
          <w:tcPr>
            <w:tcW w:w="2010" w:type="dxa"/>
            <w:vMerge/>
            <w:tcBorders>
              <w:left w:val="single" w:sz="6" w:space="0" w:color="7F7F7F"/>
              <w:right w:val="single" w:sz="6" w:space="0" w:color="7F7F7F"/>
            </w:tcBorders>
            <w:vAlign w:val="center"/>
            <w:hideMark/>
          </w:tcPr>
          <w:p w:rsidR="00BA0346" w:rsidRPr="00A95203" w:rsidRDefault="00BA0346" w:rsidP="00534F16">
            <w:pPr>
              <w:jc w:val="left"/>
              <w:rPr>
                <w:kern w:val="0"/>
                <w:sz w:val="22"/>
                <w:szCs w:val="22"/>
              </w:rPr>
            </w:pPr>
          </w:p>
        </w:tc>
        <w:tc>
          <w:tcPr>
            <w:tcW w:w="3029" w:type="dxa"/>
            <w:tcBorders>
              <w:top w:val="single" w:sz="6" w:space="0" w:color="7F7F7F"/>
              <w:left w:val="single" w:sz="6" w:space="0" w:color="7F7F7F"/>
              <w:right w:val="single" w:sz="6" w:space="0" w:color="7F7F7F"/>
            </w:tcBorders>
            <w:vAlign w:val="center"/>
            <w:hideMark/>
          </w:tcPr>
          <w:p w:rsidR="00BA0346" w:rsidRPr="00A95203" w:rsidRDefault="00BA0346" w:rsidP="00534F16">
            <w:pPr>
              <w:tabs>
                <w:tab w:val="left" w:pos="420"/>
              </w:tabs>
              <w:spacing w:before="100" w:beforeAutospacing="1" w:after="100" w:afterAutospacing="1"/>
              <w:jc w:val="center"/>
              <w:rPr>
                <w:kern w:val="0"/>
                <w:szCs w:val="21"/>
              </w:rPr>
            </w:pPr>
            <w:r w:rsidRPr="00A95203">
              <w:rPr>
                <w:szCs w:val="21"/>
              </w:rPr>
              <w:t>100</w:t>
            </w:r>
            <w:r w:rsidRPr="00A95203">
              <w:rPr>
                <w:szCs w:val="21"/>
              </w:rPr>
              <w:t>万元以上（含</w:t>
            </w:r>
            <w:r w:rsidRPr="00A95203">
              <w:rPr>
                <w:szCs w:val="21"/>
              </w:rPr>
              <w:t>100</w:t>
            </w:r>
            <w:r w:rsidRPr="00A95203">
              <w:rPr>
                <w:szCs w:val="21"/>
              </w:rPr>
              <w:t>万）</w:t>
            </w:r>
          </w:p>
        </w:tc>
        <w:tc>
          <w:tcPr>
            <w:tcW w:w="1514" w:type="dxa"/>
            <w:tcBorders>
              <w:left w:val="single" w:sz="6" w:space="0" w:color="7F7F7F"/>
              <w:right w:val="single" w:sz="6" w:space="0" w:color="7F7F7F"/>
            </w:tcBorders>
            <w:vAlign w:val="center"/>
            <w:hideMark/>
          </w:tcPr>
          <w:p w:rsidR="00BA0346" w:rsidRPr="00A95203" w:rsidRDefault="00BA0346" w:rsidP="00534F16">
            <w:pPr>
              <w:tabs>
                <w:tab w:val="left" w:pos="420"/>
              </w:tabs>
              <w:spacing w:before="100" w:beforeAutospacing="1" w:after="100" w:afterAutospacing="1"/>
              <w:jc w:val="center"/>
              <w:rPr>
                <w:szCs w:val="21"/>
              </w:rPr>
            </w:pPr>
            <w:r w:rsidRPr="00A95203">
              <w:rPr>
                <w:szCs w:val="21"/>
              </w:rPr>
              <w:t>0</w:t>
            </w:r>
          </w:p>
        </w:tc>
      </w:tr>
      <w:tr w:rsidR="00BA0346" w:rsidRPr="00A95203" w:rsidTr="003B7662">
        <w:trPr>
          <w:trHeight w:val="72"/>
          <w:tblCellSpacing w:w="0" w:type="dxa"/>
        </w:trPr>
        <w:tc>
          <w:tcPr>
            <w:tcW w:w="1922" w:type="dxa"/>
            <w:vMerge w:val="restart"/>
            <w:tcBorders>
              <w:top w:val="single" w:sz="6" w:space="0" w:color="7F7F7F"/>
              <w:left w:val="single" w:sz="6" w:space="0" w:color="7F7F7F"/>
              <w:right w:val="single" w:sz="6" w:space="0" w:color="7F7F7F"/>
            </w:tcBorders>
            <w:vAlign w:val="center"/>
            <w:hideMark/>
          </w:tcPr>
          <w:p w:rsidR="00BA0346" w:rsidRPr="00A95203" w:rsidRDefault="00BA0346" w:rsidP="00D14546">
            <w:pPr>
              <w:widowControl/>
              <w:tabs>
                <w:tab w:val="left" w:pos="420"/>
              </w:tabs>
              <w:jc w:val="left"/>
              <w:rPr>
                <w:kern w:val="0"/>
                <w:sz w:val="22"/>
                <w:szCs w:val="22"/>
              </w:rPr>
            </w:pPr>
            <w:r w:rsidRPr="00A95203">
              <w:rPr>
                <w:kern w:val="0"/>
                <w:sz w:val="22"/>
                <w:szCs w:val="22"/>
              </w:rPr>
              <w:lastRenderedPageBreak/>
              <w:t>交银荣祥保本</w:t>
            </w:r>
          </w:p>
        </w:tc>
        <w:tc>
          <w:tcPr>
            <w:tcW w:w="2010" w:type="dxa"/>
            <w:vMerge w:val="restart"/>
            <w:tcBorders>
              <w:top w:val="single" w:sz="6" w:space="0" w:color="7F7F7F"/>
              <w:left w:val="single" w:sz="6" w:space="0" w:color="7F7F7F"/>
              <w:right w:val="single" w:sz="6" w:space="0" w:color="7F7F7F"/>
            </w:tcBorders>
            <w:vAlign w:val="center"/>
            <w:hideMark/>
          </w:tcPr>
          <w:p w:rsidR="00BA0346" w:rsidRPr="00A95203" w:rsidRDefault="00BA0346" w:rsidP="00534F16">
            <w:pPr>
              <w:widowControl/>
              <w:spacing w:line="360" w:lineRule="auto"/>
              <w:jc w:val="left"/>
              <w:rPr>
                <w:kern w:val="0"/>
                <w:sz w:val="22"/>
                <w:szCs w:val="22"/>
              </w:rPr>
            </w:pPr>
            <w:r w:rsidRPr="00A95203">
              <w:rPr>
                <w:kern w:val="0"/>
                <w:sz w:val="22"/>
                <w:szCs w:val="22"/>
              </w:rPr>
              <w:t>前端收费模式下</w:t>
            </w:r>
          </w:p>
          <w:p w:rsidR="00BA0346" w:rsidRPr="00A95203" w:rsidRDefault="00BA0346" w:rsidP="00534F16">
            <w:pPr>
              <w:widowControl/>
              <w:spacing w:line="360" w:lineRule="auto"/>
              <w:jc w:val="left"/>
              <w:rPr>
                <w:kern w:val="0"/>
                <w:sz w:val="22"/>
                <w:szCs w:val="22"/>
              </w:rPr>
            </w:pPr>
            <w:r w:rsidRPr="00A95203">
              <w:rPr>
                <w:kern w:val="0"/>
                <w:sz w:val="22"/>
                <w:szCs w:val="22"/>
              </w:rPr>
              <w:t>交银行业、交银趋势</w:t>
            </w:r>
            <w:r w:rsidR="001B543A">
              <w:rPr>
                <w:rFonts w:hint="eastAsia"/>
                <w:kern w:val="0"/>
                <w:sz w:val="22"/>
                <w:szCs w:val="22"/>
              </w:rPr>
              <w:t>、交银经济新动力</w:t>
            </w:r>
          </w:p>
        </w:tc>
        <w:tc>
          <w:tcPr>
            <w:tcW w:w="3029" w:type="dxa"/>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534F16">
            <w:pPr>
              <w:widowControl/>
              <w:tabs>
                <w:tab w:val="left" w:pos="420"/>
              </w:tabs>
              <w:spacing w:before="100" w:beforeAutospacing="1" w:after="100" w:afterAutospacing="1"/>
              <w:jc w:val="center"/>
              <w:rPr>
                <w:kern w:val="0"/>
                <w:sz w:val="22"/>
                <w:szCs w:val="22"/>
              </w:rPr>
            </w:pPr>
            <w:r w:rsidRPr="00A95203">
              <w:rPr>
                <w:kern w:val="0"/>
                <w:sz w:val="22"/>
                <w:szCs w:val="22"/>
              </w:rPr>
              <w:t>100</w:t>
            </w:r>
            <w:r w:rsidRPr="00A95203">
              <w:rPr>
                <w:kern w:val="0"/>
                <w:sz w:val="22"/>
                <w:szCs w:val="22"/>
              </w:rPr>
              <w:t>万元以下</w:t>
            </w:r>
          </w:p>
        </w:tc>
        <w:tc>
          <w:tcPr>
            <w:tcW w:w="1514" w:type="dxa"/>
            <w:tcBorders>
              <w:top w:val="single" w:sz="6" w:space="0" w:color="7F7F7F"/>
              <w:left w:val="single" w:sz="6" w:space="0" w:color="7F7F7F"/>
              <w:right w:val="single" w:sz="6" w:space="0" w:color="7F7F7F"/>
            </w:tcBorders>
            <w:vAlign w:val="center"/>
            <w:hideMark/>
          </w:tcPr>
          <w:p w:rsidR="00BA0346" w:rsidRPr="00A95203" w:rsidRDefault="00BA0346" w:rsidP="00534F16">
            <w:pPr>
              <w:widowControl/>
              <w:tabs>
                <w:tab w:val="left" w:pos="420"/>
              </w:tabs>
              <w:spacing w:before="100" w:beforeAutospacing="1" w:after="100" w:afterAutospacing="1"/>
              <w:jc w:val="center"/>
              <w:rPr>
                <w:kern w:val="0"/>
                <w:szCs w:val="21"/>
              </w:rPr>
            </w:pPr>
            <w:r w:rsidRPr="00A95203">
              <w:rPr>
                <w:kern w:val="0"/>
                <w:szCs w:val="21"/>
              </w:rPr>
              <w:t>0.3%</w:t>
            </w:r>
          </w:p>
        </w:tc>
      </w:tr>
      <w:tr w:rsidR="00BA0346" w:rsidRPr="00A95203" w:rsidTr="003B7662">
        <w:trPr>
          <w:trHeight w:val="70"/>
          <w:tblCellSpacing w:w="0" w:type="dxa"/>
        </w:trPr>
        <w:tc>
          <w:tcPr>
            <w:tcW w:w="1922" w:type="dxa"/>
            <w:vMerge/>
            <w:tcBorders>
              <w:left w:val="single" w:sz="6" w:space="0" w:color="7F7F7F"/>
              <w:right w:val="single" w:sz="6" w:space="0" w:color="7F7F7F"/>
            </w:tcBorders>
            <w:vAlign w:val="center"/>
            <w:hideMark/>
          </w:tcPr>
          <w:p w:rsidR="00BA0346" w:rsidRPr="00A95203" w:rsidRDefault="00BA0346" w:rsidP="00534F16">
            <w:pPr>
              <w:widowControl/>
              <w:tabs>
                <w:tab w:val="left" w:pos="420"/>
              </w:tabs>
              <w:jc w:val="left"/>
              <w:rPr>
                <w:kern w:val="0"/>
                <w:sz w:val="22"/>
                <w:szCs w:val="22"/>
              </w:rPr>
            </w:pPr>
          </w:p>
        </w:tc>
        <w:tc>
          <w:tcPr>
            <w:tcW w:w="2010" w:type="dxa"/>
            <w:vMerge/>
            <w:tcBorders>
              <w:left w:val="single" w:sz="6" w:space="0" w:color="7F7F7F"/>
              <w:right w:val="single" w:sz="6" w:space="0" w:color="7F7F7F"/>
            </w:tcBorders>
            <w:vAlign w:val="center"/>
            <w:hideMark/>
          </w:tcPr>
          <w:p w:rsidR="00BA0346" w:rsidRPr="00A95203" w:rsidRDefault="00BA0346" w:rsidP="00534F16">
            <w:pPr>
              <w:widowControl/>
              <w:spacing w:line="360" w:lineRule="auto"/>
              <w:jc w:val="left"/>
              <w:rPr>
                <w:kern w:val="0"/>
                <w:sz w:val="22"/>
                <w:szCs w:val="22"/>
              </w:rPr>
            </w:pPr>
          </w:p>
        </w:tc>
        <w:tc>
          <w:tcPr>
            <w:tcW w:w="3029" w:type="dxa"/>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534F16">
            <w:pPr>
              <w:widowControl/>
              <w:tabs>
                <w:tab w:val="left" w:pos="420"/>
              </w:tabs>
              <w:spacing w:before="100" w:beforeAutospacing="1" w:after="100" w:afterAutospacing="1"/>
              <w:jc w:val="center"/>
              <w:rPr>
                <w:kern w:val="0"/>
                <w:sz w:val="22"/>
                <w:szCs w:val="22"/>
              </w:rPr>
            </w:pPr>
            <w:r w:rsidRPr="00A95203">
              <w:rPr>
                <w:szCs w:val="21"/>
              </w:rPr>
              <w:t>100</w:t>
            </w:r>
            <w:r w:rsidRPr="00A95203">
              <w:rPr>
                <w:szCs w:val="21"/>
              </w:rPr>
              <w:t>万元（含）至</w:t>
            </w:r>
            <w:r w:rsidRPr="00A95203">
              <w:rPr>
                <w:szCs w:val="21"/>
              </w:rPr>
              <w:t>500</w:t>
            </w:r>
            <w:r w:rsidRPr="00A95203">
              <w:rPr>
                <w:szCs w:val="21"/>
              </w:rPr>
              <w:t>万元</w:t>
            </w:r>
          </w:p>
        </w:tc>
        <w:tc>
          <w:tcPr>
            <w:tcW w:w="1514" w:type="dxa"/>
            <w:tcBorders>
              <w:left w:val="single" w:sz="6" w:space="0" w:color="7F7F7F"/>
              <w:right w:val="single" w:sz="6" w:space="0" w:color="7F7F7F"/>
            </w:tcBorders>
            <w:vAlign w:val="center"/>
            <w:hideMark/>
          </w:tcPr>
          <w:p w:rsidR="00BA0346" w:rsidRPr="00A95203" w:rsidRDefault="00BA0346" w:rsidP="00534F16">
            <w:pPr>
              <w:widowControl/>
              <w:tabs>
                <w:tab w:val="left" w:pos="420"/>
              </w:tabs>
              <w:spacing w:before="100" w:beforeAutospacing="1" w:after="100" w:afterAutospacing="1"/>
              <w:jc w:val="center"/>
              <w:rPr>
                <w:kern w:val="0"/>
                <w:szCs w:val="21"/>
              </w:rPr>
            </w:pPr>
            <w:r w:rsidRPr="00A95203">
              <w:rPr>
                <w:kern w:val="0"/>
                <w:szCs w:val="21"/>
              </w:rPr>
              <w:t>0.2%</w:t>
            </w:r>
          </w:p>
        </w:tc>
      </w:tr>
      <w:tr w:rsidR="00BA0346" w:rsidRPr="00A95203" w:rsidTr="003B7662">
        <w:trPr>
          <w:trHeight w:val="70"/>
          <w:tblCellSpacing w:w="0" w:type="dxa"/>
        </w:trPr>
        <w:tc>
          <w:tcPr>
            <w:tcW w:w="1922" w:type="dxa"/>
            <w:vMerge/>
            <w:tcBorders>
              <w:left w:val="single" w:sz="6" w:space="0" w:color="7F7F7F"/>
              <w:bottom w:val="single" w:sz="6" w:space="0" w:color="7F7F7F"/>
              <w:right w:val="single" w:sz="6" w:space="0" w:color="7F7F7F"/>
            </w:tcBorders>
            <w:vAlign w:val="center"/>
            <w:hideMark/>
          </w:tcPr>
          <w:p w:rsidR="00BA0346" w:rsidRPr="00A95203" w:rsidRDefault="00BA0346" w:rsidP="00534F16">
            <w:pPr>
              <w:widowControl/>
              <w:tabs>
                <w:tab w:val="left" w:pos="420"/>
              </w:tabs>
              <w:jc w:val="left"/>
              <w:rPr>
                <w:kern w:val="0"/>
                <w:sz w:val="22"/>
                <w:szCs w:val="22"/>
              </w:rPr>
            </w:pPr>
          </w:p>
        </w:tc>
        <w:tc>
          <w:tcPr>
            <w:tcW w:w="2010" w:type="dxa"/>
            <w:vMerge/>
            <w:tcBorders>
              <w:left w:val="single" w:sz="6" w:space="0" w:color="7F7F7F"/>
              <w:bottom w:val="single" w:sz="6" w:space="0" w:color="7F7F7F"/>
              <w:right w:val="single" w:sz="6" w:space="0" w:color="7F7F7F"/>
            </w:tcBorders>
            <w:vAlign w:val="center"/>
            <w:hideMark/>
          </w:tcPr>
          <w:p w:rsidR="00BA0346" w:rsidRPr="00A95203" w:rsidRDefault="00BA0346" w:rsidP="00534F16">
            <w:pPr>
              <w:widowControl/>
              <w:spacing w:line="360" w:lineRule="auto"/>
              <w:jc w:val="left"/>
              <w:rPr>
                <w:kern w:val="0"/>
                <w:sz w:val="22"/>
                <w:szCs w:val="22"/>
              </w:rPr>
            </w:pPr>
          </w:p>
        </w:tc>
        <w:tc>
          <w:tcPr>
            <w:tcW w:w="3029" w:type="dxa"/>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534F16">
            <w:pPr>
              <w:widowControl/>
              <w:tabs>
                <w:tab w:val="left" w:pos="420"/>
              </w:tabs>
              <w:spacing w:before="100" w:beforeAutospacing="1" w:after="100" w:afterAutospacing="1"/>
              <w:jc w:val="center"/>
              <w:rPr>
                <w:kern w:val="0"/>
                <w:sz w:val="22"/>
                <w:szCs w:val="22"/>
              </w:rPr>
            </w:pPr>
            <w:r w:rsidRPr="00A95203">
              <w:rPr>
                <w:szCs w:val="21"/>
              </w:rPr>
              <w:t>500</w:t>
            </w:r>
            <w:r w:rsidRPr="00A95203">
              <w:rPr>
                <w:szCs w:val="21"/>
              </w:rPr>
              <w:t>万元以上（含</w:t>
            </w:r>
            <w:r w:rsidRPr="00A95203">
              <w:rPr>
                <w:szCs w:val="21"/>
              </w:rPr>
              <w:t>500</w:t>
            </w:r>
            <w:r w:rsidRPr="00A95203">
              <w:rPr>
                <w:szCs w:val="21"/>
              </w:rPr>
              <w:t>万）</w:t>
            </w:r>
          </w:p>
        </w:tc>
        <w:tc>
          <w:tcPr>
            <w:tcW w:w="1514" w:type="dxa"/>
            <w:tcBorders>
              <w:left w:val="single" w:sz="6" w:space="0" w:color="7F7F7F"/>
              <w:bottom w:val="single" w:sz="6" w:space="0" w:color="7F7F7F"/>
              <w:right w:val="single" w:sz="6" w:space="0" w:color="7F7F7F"/>
            </w:tcBorders>
            <w:vAlign w:val="center"/>
            <w:hideMark/>
          </w:tcPr>
          <w:p w:rsidR="00BA0346" w:rsidRPr="00A95203" w:rsidRDefault="00BA0346" w:rsidP="00534F16">
            <w:pPr>
              <w:widowControl/>
              <w:tabs>
                <w:tab w:val="left" w:pos="420"/>
              </w:tabs>
              <w:spacing w:before="100" w:beforeAutospacing="1" w:after="100" w:afterAutospacing="1"/>
              <w:jc w:val="center"/>
              <w:rPr>
                <w:kern w:val="0"/>
                <w:szCs w:val="21"/>
              </w:rPr>
            </w:pPr>
            <w:r w:rsidRPr="00A95203">
              <w:rPr>
                <w:kern w:val="0"/>
                <w:szCs w:val="21"/>
              </w:rPr>
              <w:t>0</w:t>
            </w:r>
          </w:p>
        </w:tc>
      </w:tr>
      <w:tr w:rsidR="00BA0346" w:rsidRPr="00A95203" w:rsidTr="00D14546">
        <w:trPr>
          <w:trHeight w:val="72"/>
          <w:tblCellSpacing w:w="0" w:type="dxa"/>
        </w:trPr>
        <w:tc>
          <w:tcPr>
            <w:tcW w:w="1922" w:type="dxa"/>
            <w:vMerge w:val="restart"/>
            <w:tcBorders>
              <w:top w:val="single" w:sz="6" w:space="0" w:color="7F7F7F"/>
              <w:left w:val="single" w:sz="6" w:space="0" w:color="7F7F7F"/>
              <w:right w:val="single" w:sz="6" w:space="0" w:color="7F7F7F"/>
            </w:tcBorders>
            <w:vAlign w:val="center"/>
            <w:hideMark/>
          </w:tcPr>
          <w:p w:rsidR="00BA0346" w:rsidRPr="00A95203" w:rsidRDefault="00BA0346" w:rsidP="00D14546">
            <w:pPr>
              <w:widowControl/>
              <w:tabs>
                <w:tab w:val="left" w:pos="420"/>
              </w:tabs>
              <w:jc w:val="left"/>
              <w:rPr>
                <w:kern w:val="0"/>
                <w:sz w:val="22"/>
                <w:szCs w:val="22"/>
              </w:rPr>
            </w:pPr>
            <w:r w:rsidRPr="00A95203">
              <w:rPr>
                <w:kern w:val="0"/>
                <w:sz w:val="22"/>
                <w:szCs w:val="22"/>
              </w:rPr>
              <w:t>交银荣祥保本</w:t>
            </w:r>
          </w:p>
        </w:tc>
        <w:tc>
          <w:tcPr>
            <w:tcW w:w="2010" w:type="dxa"/>
            <w:vMerge w:val="restart"/>
            <w:tcBorders>
              <w:top w:val="single" w:sz="6" w:space="0" w:color="7F7F7F"/>
              <w:left w:val="single" w:sz="6" w:space="0" w:color="7F7F7F"/>
              <w:right w:val="single" w:sz="6" w:space="0" w:color="7F7F7F"/>
            </w:tcBorders>
            <w:vAlign w:val="center"/>
            <w:hideMark/>
          </w:tcPr>
          <w:p w:rsidR="00BA0346" w:rsidRPr="00A95203" w:rsidRDefault="00BA0346" w:rsidP="00D14546">
            <w:pPr>
              <w:widowControl/>
              <w:spacing w:line="360" w:lineRule="auto"/>
              <w:jc w:val="left"/>
              <w:rPr>
                <w:kern w:val="0"/>
                <w:sz w:val="22"/>
                <w:szCs w:val="22"/>
              </w:rPr>
            </w:pPr>
            <w:r>
              <w:rPr>
                <w:rFonts w:hint="eastAsia"/>
                <w:kern w:val="0"/>
                <w:sz w:val="22"/>
                <w:szCs w:val="22"/>
              </w:rPr>
              <w:t>交银科技创新</w:t>
            </w:r>
          </w:p>
        </w:tc>
        <w:tc>
          <w:tcPr>
            <w:tcW w:w="3029" w:type="dxa"/>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D14546">
            <w:pPr>
              <w:widowControl/>
              <w:tabs>
                <w:tab w:val="left" w:pos="420"/>
              </w:tabs>
              <w:spacing w:before="100" w:beforeAutospacing="1" w:after="100" w:afterAutospacing="1"/>
              <w:jc w:val="center"/>
              <w:rPr>
                <w:kern w:val="0"/>
                <w:sz w:val="22"/>
                <w:szCs w:val="22"/>
              </w:rPr>
            </w:pPr>
            <w:r>
              <w:rPr>
                <w:rFonts w:hint="eastAsia"/>
                <w:kern w:val="0"/>
                <w:sz w:val="22"/>
                <w:szCs w:val="22"/>
              </w:rPr>
              <w:t>2</w:t>
            </w:r>
            <w:r w:rsidRPr="00A95203">
              <w:rPr>
                <w:kern w:val="0"/>
                <w:sz w:val="22"/>
                <w:szCs w:val="22"/>
              </w:rPr>
              <w:t>00</w:t>
            </w:r>
            <w:r w:rsidRPr="00A95203">
              <w:rPr>
                <w:kern w:val="0"/>
                <w:sz w:val="22"/>
                <w:szCs w:val="22"/>
              </w:rPr>
              <w:t>万元以下</w:t>
            </w:r>
          </w:p>
        </w:tc>
        <w:tc>
          <w:tcPr>
            <w:tcW w:w="1514" w:type="dxa"/>
            <w:tcBorders>
              <w:top w:val="single" w:sz="6" w:space="0" w:color="7F7F7F"/>
              <w:left w:val="single" w:sz="6" w:space="0" w:color="7F7F7F"/>
              <w:right w:val="single" w:sz="6" w:space="0" w:color="7F7F7F"/>
            </w:tcBorders>
            <w:vAlign w:val="center"/>
            <w:hideMark/>
          </w:tcPr>
          <w:p w:rsidR="00BA0346" w:rsidRPr="00A95203" w:rsidRDefault="00BA0346" w:rsidP="00D14546">
            <w:pPr>
              <w:widowControl/>
              <w:tabs>
                <w:tab w:val="left" w:pos="420"/>
              </w:tabs>
              <w:spacing w:before="100" w:beforeAutospacing="1" w:after="100" w:afterAutospacing="1"/>
              <w:jc w:val="center"/>
              <w:rPr>
                <w:kern w:val="0"/>
                <w:szCs w:val="21"/>
              </w:rPr>
            </w:pPr>
            <w:r w:rsidRPr="00A95203">
              <w:rPr>
                <w:kern w:val="0"/>
                <w:szCs w:val="21"/>
              </w:rPr>
              <w:t>0.3%</w:t>
            </w:r>
          </w:p>
        </w:tc>
      </w:tr>
      <w:tr w:rsidR="00BA0346" w:rsidRPr="00A95203" w:rsidTr="00D14546">
        <w:trPr>
          <w:trHeight w:val="70"/>
          <w:tblCellSpacing w:w="0" w:type="dxa"/>
        </w:trPr>
        <w:tc>
          <w:tcPr>
            <w:tcW w:w="1922" w:type="dxa"/>
            <w:vMerge/>
            <w:tcBorders>
              <w:left w:val="single" w:sz="6" w:space="0" w:color="7F7F7F"/>
              <w:bottom w:val="single" w:sz="6" w:space="0" w:color="7F7F7F"/>
              <w:right w:val="single" w:sz="6" w:space="0" w:color="7F7F7F"/>
            </w:tcBorders>
            <w:vAlign w:val="center"/>
            <w:hideMark/>
          </w:tcPr>
          <w:p w:rsidR="00BA0346" w:rsidRPr="00A95203" w:rsidRDefault="00BA0346" w:rsidP="00D14546">
            <w:pPr>
              <w:widowControl/>
              <w:tabs>
                <w:tab w:val="left" w:pos="420"/>
              </w:tabs>
              <w:jc w:val="left"/>
              <w:rPr>
                <w:kern w:val="0"/>
                <w:sz w:val="22"/>
                <w:szCs w:val="22"/>
              </w:rPr>
            </w:pPr>
          </w:p>
        </w:tc>
        <w:tc>
          <w:tcPr>
            <w:tcW w:w="2010" w:type="dxa"/>
            <w:vMerge/>
            <w:tcBorders>
              <w:left w:val="single" w:sz="6" w:space="0" w:color="7F7F7F"/>
              <w:bottom w:val="single" w:sz="6" w:space="0" w:color="7F7F7F"/>
              <w:right w:val="single" w:sz="6" w:space="0" w:color="7F7F7F"/>
            </w:tcBorders>
            <w:vAlign w:val="center"/>
            <w:hideMark/>
          </w:tcPr>
          <w:p w:rsidR="00BA0346" w:rsidRPr="00A95203" w:rsidRDefault="00BA0346" w:rsidP="00D14546">
            <w:pPr>
              <w:widowControl/>
              <w:spacing w:line="360" w:lineRule="auto"/>
              <w:jc w:val="left"/>
              <w:rPr>
                <w:kern w:val="0"/>
                <w:sz w:val="22"/>
                <w:szCs w:val="22"/>
              </w:rPr>
            </w:pPr>
          </w:p>
        </w:tc>
        <w:tc>
          <w:tcPr>
            <w:tcW w:w="3029" w:type="dxa"/>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56105D">
            <w:pPr>
              <w:widowControl/>
              <w:tabs>
                <w:tab w:val="left" w:pos="420"/>
              </w:tabs>
              <w:spacing w:before="100" w:beforeAutospacing="1" w:after="100" w:afterAutospacing="1"/>
              <w:jc w:val="center"/>
              <w:rPr>
                <w:kern w:val="0"/>
                <w:sz w:val="22"/>
                <w:szCs w:val="22"/>
              </w:rPr>
            </w:pPr>
            <w:r w:rsidRPr="00BA0346">
              <w:rPr>
                <w:rFonts w:hint="eastAsia"/>
                <w:kern w:val="0"/>
                <w:sz w:val="22"/>
                <w:szCs w:val="22"/>
              </w:rPr>
              <w:t>2</w:t>
            </w:r>
            <w:r w:rsidRPr="00BA0346">
              <w:rPr>
                <w:kern w:val="0"/>
                <w:sz w:val="22"/>
                <w:szCs w:val="22"/>
              </w:rPr>
              <w:t>00</w:t>
            </w:r>
            <w:r w:rsidRPr="00BA0346">
              <w:rPr>
                <w:kern w:val="0"/>
                <w:sz w:val="22"/>
                <w:szCs w:val="22"/>
              </w:rPr>
              <w:t>万元以上（含</w:t>
            </w:r>
            <w:r w:rsidRPr="00BA0346">
              <w:rPr>
                <w:rFonts w:hint="eastAsia"/>
                <w:kern w:val="0"/>
                <w:sz w:val="22"/>
                <w:szCs w:val="22"/>
              </w:rPr>
              <w:t>2</w:t>
            </w:r>
            <w:r w:rsidRPr="00BA0346">
              <w:rPr>
                <w:kern w:val="0"/>
                <w:sz w:val="22"/>
                <w:szCs w:val="22"/>
              </w:rPr>
              <w:t>00</w:t>
            </w:r>
            <w:r w:rsidRPr="00BA0346">
              <w:rPr>
                <w:kern w:val="0"/>
                <w:sz w:val="22"/>
                <w:szCs w:val="22"/>
              </w:rPr>
              <w:t>万）</w:t>
            </w:r>
          </w:p>
        </w:tc>
        <w:tc>
          <w:tcPr>
            <w:tcW w:w="1514" w:type="dxa"/>
            <w:tcBorders>
              <w:left w:val="single" w:sz="6" w:space="0" w:color="7F7F7F"/>
              <w:bottom w:val="single" w:sz="6" w:space="0" w:color="7F7F7F"/>
              <w:right w:val="single" w:sz="6" w:space="0" w:color="7F7F7F"/>
            </w:tcBorders>
            <w:vAlign w:val="center"/>
            <w:hideMark/>
          </w:tcPr>
          <w:p w:rsidR="00BA0346" w:rsidRPr="00A95203" w:rsidRDefault="00BA0346" w:rsidP="00D14546">
            <w:pPr>
              <w:widowControl/>
              <w:tabs>
                <w:tab w:val="left" w:pos="420"/>
              </w:tabs>
              <w:spacing w:before="100" w:beforeAutospacing="1" w:after="100" w:afterAutospacing="1"/>
              <w:jc w:val="center"/>
              <w:rPr>
                <w:kern w:val="0"/>
                <w:szCs w:val="21"/>
              </w:rPr>
            </w:pPr>
            <w:r w:rsidRPr="00A95203">
              <w:rPr>
                <w:kern w:val="0"/>
                <w:szCs w:val="21"/>
              </w:rPr>
              <w:t>0</w:t>
            </w:r>
          </w:p>
        </w:tc>
      </w:tr>
      <w:tr w:rsidR="00BA0346" w:rsidRPr="00A95203" w:rsidTr="003B7662">
        <w:trPr>
          <w:tblCellSpacing w:w="0" w:type="dxa"/>
        </w:trPr>
        <w:tc>
          <w:tcPr>
            <w:tcW w:w="1922" w:type="dxa"/>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534F16">
            <w:pPr>
              <w:widowControl/>
              <w:jc w:val="left"/>
              <w:rPr>
                <w:kern w:val="0"/>
                <w:sz w:val="22"/>
                <w:szCs w:val="22"/>
              </w:rPr>
            </w:pPr>
            <w:r w:rsidRPr="00A95203">
              <w:rPr>
                <w:kern w:val="0"/>
                <w:sz w:val="22"/>
                <w:szCs w:val="22"/>
              </w:rPr>
              <w:t>前端收费模式下</w:t>
            </w:r>
          </w:p>
          <w:p w:rsidR="00BA0346" w:rsidRPr="00A95203" w:rsidRDefault="00BA0346" w:rsidP="00D14546">
            <w:pPr>
              <w:widowControl/>
              <w:tabs>
                <w:tab w:val="left" w:pos="420"/>
              </w:tabs>
              <w:jc w:val="left"/>
              <w:rPr>
                <w:kern w:val="0"/>
                <w:sz w:val="22"/>
                <w:szCs w:val="22"/>
              </w:rPr>
            </w:pPr>
            <w:r w:rsidRPr="00A95203">
              <w:rPr>
                <w:kern w:val="0"/>
                <w:sz w:val="22"/>
                <w:szCs w:val="22"/>
              </w:rPr>
              <w:t>交银精选、交银稳健、交银成长、交银蓝筹、交银行业、交银先锋、交银治理、交银主题、交银趋势</w:t>
            </w:r>
            <w:r w:rsidR="001B543A">
              <w:rPr>
                <w:rFonts w:hint="eastAsia"/>
                <w:kern w:val="0"/>
                <w:sz w:val="22"/>
                <w:szCs w:val="22"/>
              </w:rPr>
              <w:t>、交银经济新动力</w:t>
            </w:r>
            <w:r w:rsidRPr="00A95203">
              <w:rPr>
                <w:kern w:val="0"/>
                <w:sz w:val="22"/>
                <w:szCs w:val="22"/>
              </w:rPr>
              <w:t>、交银制造、交银价值、交银策略回报、交银核心、交银消费新驱动、交银成长</w:t>
            </w:r>
            <w:r w:rsidRPr="00A95203">
              <w:rPr>
                <w:kern w:val="0"/>
                <w:sz w:val="22"/>
                <w:szCs w:val="22"/>
              </w:rPr>
              <w:t>30</w:t>
            </w:r>
            <w:r w:rsidRPr="00A95203">
              <w:rPr>
                <w:kern w:val="0"/>
                <w:sz w:val="22"/>
                <w:szCs w:val="22"/>
              </w:rPr>
              <w:t>、交银双息平衡、交银周期回报</w:t>
            </w:r>
            <w:r w:rsidR="00F1122A" w:rsidRPr="00A95203">
              <w:rPr>
                <w:kern w:val="0"/>
                <w:sz w:val="22"/>
                <w:szCs w:val="22"/>
              </w:rPr>
              <w:t>A</w:t>
            </w:r>
            <w:r w:rsidR="00F1122A" w:rsidRPr="00A95203">
              <w:rPr>
                <w:kern w:val="0"/>
                <w:sz w:val="22"/>
                <w:szCs w:val="22"/>
              </w:rPr>
              <w:t>类</w:t>
            </w:r>
            <w:r w:rsidR="00F1122A">
              <w:rPr>
                <w:rFonts w:hint="eastAsia"/>
                <w:kern w:val="0"/>
                <w:sz w:val="22"/>
                <w:szCs w:val="22"/>
              </w:rPr>
              <w:t>基金份额</w:t>
            </w:r>
            <w:r w:rsidRPr="00A95203">
              <w:rPr>
                <w:kern w:val="0"/>
                <w:sz w:val="22"/>
                <w:szCs w:val="22"/>
              </w:rPr>
              <w:t>、交银新成长、交银新回报</w:t>
            </w:r>
            <w:r w:rsidR="00F1122A" w:rsidRPr="00A95203">
              <w:rPr>
                <w:kern w:val="0"/>
                <w:sz w:val="22"/>
                <w:szCs w:val="22"/>
              </w:rPr>
              <w:t>A</w:t>
            </w:r>
            <w:r w:rsidR="00F1122A" w:rsidRPr="00A95203">
              <w:rPr>
                <w:kern w:val="0"/>
                <w:sz w:val="22"/>
                <w:szCs w:val="22"/>
              </w:rPr>
              <w:t>类</w:t>
            </w:r>
            <w:r w:rsidR="00F1122A">
              <w:rPr>
                <w:rFonts w:hint="eastAsia"/>
                <w:kern w:val="0"/>
                <w:sz w:val="22"/>
                <w:szCs w:val="22"/>
              </w:rPr>
              <w:t>基金份额</w:t>
            </w:r>
            <w:r w:rsidRPr="00A95203">
              <w:rPr>
                <w:kern w:val="0"/>
                <w:sz w:val="22"/>
                <w:szCs w:val="22"/>
              </w:rPr>
              <w:t>、交银多策略</w:t>
            </w:r>
            <w:r w:rsidR="00F1122A" w:rsidRPr="00A95203">
              <w:rPr>
                <w:kern w:val="0"/>
                <w:sz w:val="22"/>
                <w:szCs w:val="22"/>
              </w:rPr>
              <w:t>A</w:t>
            </w:r>
            <w:r w:rsidR="00F1122A" w:rsidRPr="00A95203">
              <w:rPr>
                <w:kern w:val="0"/>
                <w:sz w:val="22"/>
                <w:szCs w:val="22"/>
              </w:rPr>
              <w:t>类</w:t>
            </w:r>
            <w:r w:rsidR="00F1122A">
              <w:rPr>
                <w:rFonts w:hint="eastAsia"/>
                <w:kern w:val="0"/>
                <w:sz w:val="22"/>
                <w:szCs w:val="22"/>
              </w:rPr>
              <w:t>基金份额</w:t>
            </w:r>
            <w:r w:rsidRPr="00A95203">
              <w:rPr>
                <w:kern w:val="0"/>
                <w:sz w:val="22"/>
                <w:szCs w:val="22"/>
              </w:rPr>
              <w:t>、交银国企改革</w:t>
            </w:r>
            <w:r>
              <w:rPr>
                <w:rFonts w:hint="eastAsia"/>
                <w:kern w:val="0"/>
                <w:sz w:val="22"/>
                <w:szCs w:val="22"/>
              </w:rPr>
              <w:t>、交银科技创新、交银数据产业</w:t>
            </w:r>
          </w:p>
        </w:tc>
        <w:tc>
          <w:tcPr>
            <w:tcW w:w="2010" w:type="dxa"/>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534F16">
            <w:pPr>
              <w:widowControl/>
              <w:jc w:val="left"/>
              <w:rPr>
                <w:kern w:val="0"/>
                <w:sz w:val="22"/>
                <w:szCs w:val="22"/>
              </w:rPr>
            </w:pPr>
            <w:r w:rsidRPr="00A95203">
              <w:rPr>
                <w:kern w:val="0"/>
                <w:sz w:val="22"/>
                <w:szCs w:val="22"/>
              </w:rPr>
              <w:t>交银货币</w:t>
            </w:r>
            <w:r w:rsidR="00380F1D">
              <w:rPr>
                <w:rFonts w:hint="eastAsia"/>
                <w:kern w:val="0"/>
                <w:sz w:val="22"/>
                <w:szCs w:val="22"/>
              </w:rPr>
              <w:t>、</w:t>
            </w:r>
            <w:r w:rsidRPr="00A95203">
              <w:rPr>
                <w:kern w:val="0"/>
                <w:sz w:val="22"/>
                <w:szCs w:val="22"/>
              </w:rPr>
              <w:t>交银增利</w:t>
            </w:r>
            <w:r w:rsidRPr="00A95203">
              <w:rPr>
                <w:kern w:val="0"/>
                <w:sz w:val="22"/>
                <w:szCs w:val="22"/>
              </w:rPr>
              <w:t>A</w:t>
            </w:r>
            <w:r w:rsidRPr="00A95203">
              <w:rPr>
                <w:kern w:val="0"/>
                <w:sz w:val="22"/>
                <w:szCs w:val="22"/>
              </w:rPr>
              <w:t>类</w:t>
            </w:r>
            <w:r w:rsidR="00380F1D">
              <w:rPr>
                <w:rFonts w:hint="eastAsia"/>
                <w:kern w:val="0"/>
                <w:sz w:val="22"/>
                <w:szCs w:val="22"/>
              </w:rPr>
              <w:t>和</w:t>
            </w:r>
            <w:r w:rsidRPr="00A95203">
              <w:rPr>
                <w:kern w:val="0"/>
                <w:sz w:val="22"/>
                <w:szCs w:val="22"/>
              </w:rPr>
              <w:t>C</w:t>
            </w:r>
            <w:r w:rsidRPr="00A95203">
              <w:rPr>
                <w:kern w:val="0"/>
                <w:sz w:val="22"/>
                <w:szCs w:val="22"/>
              </w:rPr>
              <w:t>类基金份额</w:t>
            </w:r>
            <w:r w:rsidR="00380F1D">
              <w:rPr>
                <w:rFonts w:hint="eastAsia"/>
                <w:kern w:val="0"/>
                <w:sz w:val="22"/>
                <w:szCs w:val="22"/>
              </w:rPr>
              <w:t>、</w:t>
            </w:r>
            <w:r w:rsidRPr="00A95203">
              <w:rPr>
                <w:kern w:val="0"/>
                <w:sz w:val="22"/>
                <w:szCs w:val="22"/>
              </w:rPr>
              <w:t>交银双利</w:t>
            </w:r>
            <w:r w:rsidRPr="00A95203">
              <w:rPr>
                <w:kern w:val="0"/>
                <w:sz w:val="22"/>
                <w:szCs w:val="22"/>
              </w:rPr>
              <w:t>A</w:t>
            </w:r>
            <w:r w:rsidRPr="00A95203">
              <w:rPr>
                <w:kern w:val="0"/>
                <w:sz w:val="22"/>
                <w:szCs w:val="22"/>
              </w:rPr>
              <w:t>类</w:t>
            </w:r>
            <w:r w:rsidR="00380F1D">
              <w:rPr>
                <w:rFonts w:hint="eastAsia"/>
                <w:kern w:val="0"/>
                <w:sz w:val="22"/>
                <w:szCs w:val="22"/>
              </w:rPr>
              <w:t>和</w:t>
            </w:r>
            <w:r w:rsidRPr="00A95203">
              <w:rPr>
                <w:kern w:val="0"/>
                <w:sz w:val="22"/>
                <w:szCs w:val="22"/>
              </w:rPr>
              <w:t>C</w:t>
            </w:r>
            <w:r w:rsidRPr="00A95203">
              <w:rPr>
                <w:kern w:val="0"/>
                <w:sz w:val="22"/>
                <w:szCs w:val="22"/>
              </w:rPr>
              <w:t>类基金份额</w:t>
            </w:r>
            <w:r w:rsidR="00380F1D">
              <w:rPr>
                <w:rFonts w:hint="eastAsia"/>
                <w:kern w:val="0"/>
                <w:sz w:val="22"/>
                <w:szCs w:val="22"/>
              </w:rPr>
              <w:t>、</w:t>
            </w:r>
            <w:r w:rsidRPr="00A95203">
              <w:rPr>
                <w:kern w:val="0"/>
                <w:sz w:val="22"/>
                <w:szCs w:val="22"/>
              </w:rPr>
              <w:t>交银纯债</w:t>
            </w:r>
            <w:r w:rsidRPr="00A95203">
              <w:rPr>
                <w:kern w:val="0"/>
                <w:sz w:val="22"/>
                <w:szCs w:val="22"/>
              </w:rPr>
              <w:t>A</w:t>
            </w:r>
            <w:r w:rsidRPr="00A95203">
              <w:rPr>
                <w:kern w:val="0"/>
                <w:sz w:val="22"/>
                <w:szCs w:val="22"/>
              </w:rPr>
              <w:t>类</w:t>
            </w:r>
            <w:r w:rsidR="00380F1D">
              <w:rPr>
                <w:rFonts w:hint="eastAsia"/>
                <w:kern w:val="0"/>
                <w:sz w:val="22"/>
                <w:szCs w:val="22"/>
              </w:rPr>
              <w:t>和</w:t>
            </w:r>
            <w:r w:rsidRPr="00A95203">
              <w:rPr>
                <w:kern w:val="0"/>
                <w:sz w:val="22"/>
                <w:szCs w:val="22"/>
              </w:rPr>
              <w:t>C</w:t>
            </w:r>
            <w:r w:rsidRPr="00A95203">
              <w:rPr>
                <w:kern w:val="0"/>
                <w:sz w:val="22"/>
                <w:szCs w:val="22"/>
              </w:rPr>
              <w:t>类基金份额</w:t>
            </w:r>
            <w:r w:rsidR="00380F1D">
              <w:rPr>
                <w:rFonts w:hint="eastAsia"/>
                <w:kern w:val="0"/>
                <w:sz w:val="22"/>
                <w:szCs w:val="22"/>
              </w:rPr>
              <w:t>、</w:t>
            </w:r>
            <w:r w:rsidRPr="00A95203">
              <w:rPr>
                <w:kern w:val="0"/>
                <w:sz w:val="22"/>
                <w:szCs w:val="22"/>
              </w:rPr>
              <w:t>交银双轮动</w:t>
            </w:r>
            <w:r w:rsidRPr="00A95203">
              <w:rPr>
                <w:kern w:val="0"/>
                <w:sz w:val="22"/>
                <w:szCs w:val="22"/>
              </w:rPr>
              <w:t>A</w:t>
            </w:r>
            <w:r w:rsidRPr="00A95203">
              <w:rPr>
                <w:kern w:val="0"/>
                <w:sz w:val="22"/>
                <w:szCs w:val="22"/>
              </w:rPr>
              <w:t>类</w:t>
            </w:r>
            <w:r w:rsidR="00380F1D">
              <w:rPr>
                <w:rFonts w:hint="eastAsia"/>
                <w:kern w:val="0"/>
                <w:sz w:val="22"/>
                <w:szCs w:val="22"/>
              </w:rPr>
              <w:t>和</w:t>
            </w:r>
            <w:r w:rsidRPr="00A95203">
              <w:rPr>
                <w:kern w:val="0"/>
                <w:sz w:val="22"/>
                <w:szCs w:val="22"/>
              </w:rPr>
              <w:t>C</w:t>
            </w:r>
            <w:r w:rsidRPr="00A95203">
              <w:rPr>
                <w:kern w:val="0"/>
                <w:sz w:val="22"/>
                <w:szCs w:val="22"/>
              </w:rPr>
              <w:t>类基金份额</w:t>
            </w:r>
            <w:r w:rsidR="00380F1D">
              <w:rPr>
                <w:rFonts w:hint="eastAsia"/>
                <w:kern w:val="0"/>
                <w:sz w:val="22"/>
                <w:szCs w:val="22"/>
              </w:rPr>
              <w:t>、</w:t>
            </w:r>
            <w:r w:rsidRPr="00A95203">
              <w:rPr>
                <w:kern w:val="0"/>
                <w:sz w:val="22"/>
                <w:szCs w:val="22"/>
              </w:rPr>
              <w:t>交银月月丰</w:t>
            </w:r>
            <w:r w:rsidRPr="00A95203">
              <w:rPr>
                <w:kern w:val="0"/>
                <w:sz w:val="22"/>
                <w:szCs w:val="22"/>
              </w:rPr>
              <w:t>A</w:t>
            </w:r>
            <w:r w:rsidRPr="00A95203">
              <w:rPr>
                <w:kern w:val="0"/>
                <w:sz w:val="22"/>
                <w:szCs w:val="22"/>
              </w:rPr>
              <w:t>类</w:t>
            </w:r>
            <w:r w:rsidR="00380F1D">
              <w:rPr>
                <w:rFonts w:hint="eastAsia"/>
                <w:kern w:val="0"/>
                <w:sz w:val="22"/>
                <w:szCs w:val="22"/>
              </w:rPr>
              <w:t>和</w:t>
            </w:r>
            <w:r w:rsidRPr="00A95203">
              <w:rPr>
                <w:kern w:val="0"/>
                <w:sz w:val="22"/>
                <w:szCs w:val="22"/>
              </w:rPr>
              <w:t>C</w:t>
            </w:r>
            <w:r w:rsidRPr="00A95203">
              <w:rPr>
                <w:kern w:val="0"/>
                <w:sz w:val="22"/>
                <w:szCs w:val="22"/>
              </w:rPr>
              <w:t>类基金份额</w:t>
            </w:r>
            <w:r w:rsidR="00380F1D">
              <w:rPr>
                <w:rFonts w:hint="eastAsia"/>
                <w:kern w:val="0"/>
                <w:sz w:val="22"/>
                <w:szCs w:val="22"/>
              </w:rPr>
              <w:t>、</w:t>
            </w:r>
            <w:r w:rsidRPr="00A95203">
              <w:rPr>
                <w:kern w:val="0"/>
                <w:sz w:val="22"/>
                <w:szCs w:val="22"/>
              </w:rPr>
              <w:t>交银强化回报</w:t>
            </w:r>
            <w:r w:rsidRPr="00A95203">
              <w:rPr>
                <w:kern w:val="0"/>
                <w:sz w:val="22"/>
                <w:szCs w:val="22"/>
              </w:rPr>
              <w:t>A</w:t>
            </w:r>
            <w:r w:rsidRPr="00A95203">
              <w:rPr>
                <w:kern w:val="0"/>
                <w:sz w:val="22"/>
                <w:szCs w:val="22"/>
              </w:rPr>
              <w:t>类</w:t>
            </w:r>
            <w:r w:rsidR="00380F1D">
              <w:rPr>
                <w:rFonts w:hint="eastAsia"/>
                <w:kern w:val="0"/>
                <w:sz w:val="22"/>
                <w:szCs w:val="22"/>
              </w:rPr>
              <w:t>和</w:t>
            </w:r>
            <w:r w:rsidRPr="00A95203">
              <w:rPr>
                <w:kern w:val="0"/>
                <w:sz w:val="22"/>
                <w:szCs w:val="22"/>
              </w:rPr>
              <w:t>C</w:t>
            </w:r>
            <w:r w:rsidRPr="00A95203">
              <w:rPr>
                <w:kern w:val="0"/>
                <w:sz w:val="22"/>
                <w:szCs w:val="22"/>
              </w:rPr>
              <w:t>类基金份额</w:t>
            </w:r>
          </w:p>
          <w:p w:rsidR="00BA0346" w:rsidRPr="00A95203" w:rsidRDefault="00BA0346" w:rsidP="00534F16">
            <w:pPr>
              <w:widowControl/>
              <w:jc w:val="left"/>
              <w:rPr>
                <w:kern w:val="0"/>
                <w:sz w:val="22"/>
                <w:szCs w:val="22"/>
              </w:rPr>
            </w:pPr>
            <w:r w:rsidRPr="00A95203">
              <w:rPr>
                <w:kern w:val="0"/>
                <w:sz w:val="22"/>
                <w:szCs w:val="22"/>
              </w:rPr>
              <w:t>前端收费模式下</w:t>
            </w:r>
          </w:p>
          <w:p w:rsidR="00BA0346" w:rsidRDefault="00BA0346" w:rsidP="00534F16">
            <w:pPr>
              <w:widowControl/>
              <w:tabs>
                <w:tab w:val="left" w:pos="420"/>
              </w:tabs>
              <w:jc w:val="left"/>
              <w:rPr>
                <w:kern w:val="0"/>
                <w:sz w:val="22"/>
                <w:szCs w:val="22"/>
              </w:rPr>
            </w:pPr>
            <w:r w:rsidRPr="00A95203">
              <w:rPr>
                <w:kern w:val="0"/>
                <w:sz w:val="22"/>
                <w:szCs w:val="22"/>
              </w:rPr>
              <w:t>交银精选、交银稳健、交银成长、交银蓝筹、交银行业、交银先锋、交银治理、交银主题、交银趋势</w:t>
            </w:r>
            <w:r w:rsidR="001B543A">
              <w:rPr>
                <w:rFonts w:hint="eastAsia"/>
                <w:kern w:val="0"/>
                <w:sz w:val="22"/>
                <w:szCs w:val="22"/>
              </w:rPr>
              <w:t>、交银经济新动力</w:t>
            </w:r>
            <w:r w:rsidRPr="00A95203">
              <w:rPr>
                <w:kern w:val="0"/>
                <w:sz w:val="22"/>
                <w:szCs w:val="22"/>
              </w:rPr>
              <w:t>、交银制造、交银价值、交银策略回报、交银核心、交银消费新驱动、交银成长</w:t>
            </w:r>
            <w:r w:rsidRPr="00A95203">
              <w:rPr>
                <w:kern w:val="0"/>
                <w:sz w:val="22"/>
                <w:szCs w:val="22"/>
              </w:rPr>
              <w:t>30</w:t>
            </w:r>
            <w:r w:rsidRPr="00A95203">
              <w:rPr>
                <w:kern w:val="0"/>
                <w:sz w:val="22"/>
                <w:szCs w:val="22"/>
              </w:rPr>
              <w:t>、交银双息平衡、交银周期回报</w:t>
            </w:r>
            <w:r w:rsidR="00F1122A" w:rsidRPr="00A95203">
              <w:rPr>
                <w:kern w:val="0"/>
                <w:sz w:val="22"/>
                <w:szCs w:val="22"/>
              </w:rPr>
              <w:t>A</w:t>
            </w:r>
            <w:r w:rsidR="00F1122A" w:rsidRPr="00A95203">
              <w:rPr>
                <w:kern w:val="0"/>
                <w:sz w:val="22"/>
                <w:szCs w:val="22"/>
              </w:rPr>
              <w:t>类</w:t>
            </w:r>
            <w:r w:rsidR="00F1122A">
              <w:rPr>
                <w:rFonts w:hint="eastAsia"/>
                <w:kern w:val="0"/>
                <w:sz w:val="22"/>
                <w:szCs w:val="22"/>
              </w:rPr>
              <w:t>基金份额</w:t>
            </w:r>
            <w:r w:rsidRPr="00A95203">
              <w:rPr>
                <w:kern w:val="0"/>
                <w:sz w:val="22"/>
                <w:szCs w:val="22"/>
              </w:rPr>
              <w:t>、交银新</w:t>
            </w:r>
            <w:r w:rsidRPr="00A95203">
              <w:rPr>
                <w:kern w:val="0"/>
                <w:sz w:val="22"/>
                <w:szCs w:val="22"/>
              </w:rPr>
              <w:lastRenderedPageBreak/>
              <w:t>成长、交银新回报</w:t>
            </w:r>
            <w:r w:rsidR="00F1122A" w:rsidRPr="00A95203">
              <w:rPr>
                <w:kern w:val="0"/>
                <w:sz w:val="22"/>
                <w:szCs w:val="22"/>
              </w:rPr>
              <w:t>A</w:t>
            </w:r>
            <w:r w:rsidR="00F1122A" w:rsidRPr="00A95203">
              <w:rPr>
                <w:kern w:val="0"/>
                <w:sz w:val="22"/>
                <w:szCs w:val="22"/>
              </w:rPr>
              <w:t>类</w:t>
            </w:r>
            <w:r w:rsidR="00F1122A">
              <w:rPr>
                <w:rFonts w:hint="eastAsia"/>
                <w:kern w:val="0"/>
                <w:sz w:val="22"/>
                <w:szCs w:val="22"/>
              </w:rPr>
              <w:t>基金份额</w:t>
            </w:r>
            <w:r w:rsidRPr="00A95203">
              <w:rPr>
                <w:kern w:val="0"/>
                <w:sz w:val="22"/>
                <w:szCs w:val="22"/>
              </w:rPr>
              <w:t>、交银多策略</w:t>
            </w:r>
            <w:r w:rsidR="00F1122A" w:rsidRPr="00A95203">
              <w:rPr>
                <w:kern w:val="0"/>
                <w:sz w:val="22"/>
                <w:szCs w:val="22"/>
              </w:rPr>
              <w:t>A</w:t>
            </w:r>
            <w:r w:rsidR="00F1122A" w:rsidRPr="00A95203">
              <w:rPr>
                <w:kern w:val="0"/>
                <w:sz w:val="22"/>
                <w:szCs w:val="22"/>
              </w:rPr>
              <w:t>类</w:t>
            </w:r>
            <w:r w:rsidR="00F1122A">
              <w:rPr>
                <w:rFonts w:hint="eastAsia"/>
                <w:kern w:val="0"/>
                <w:sz w:val="22"/>
                <w:szCs w:val="22"/>
              </w:rPr>
              <w:t>基金份额</w:t>
            </w:r>
            <w:r w:rsidRPr="00A95203">
              <w:rPr>
                <w:kern w:val="0"/>
                <w:sz w:val="22"/>
                <w:szCs w:val="22"/>
              </w:rPr>
              <w:t>、交银国企改革</w:t>
            </w:r>
            <w:r w:rsidR="00380F1D">
              <w:rPr>
                <w:rFonts w:hint="eastAsia"/>
                <w:kern w:val="0"/>
                <w:sz w:val="22"/>
                <w:szCs w:val="22"/>
              </w:rPr>
              <w:t>、</w:t>
            </w:r>
            <w:r>
              <w:rPr>
                <w:rFonts w:hint="eastAsia"/>
                <w:kern w:val="0"/>
                <w:sz w:val="22"/>
                <w:szCs w:val="22"/>
              </w:rPr>
              <w:t>交银数据产业</w:t>
            </w:r>
            <w:r w:rsidR="00380F1D">
              <w:rPr>
                <w:rFonts w:hint="eastAsia"/>
                <w:kern w:val="0"/>
                <w:sz w:val="22"/>
                <w:szCs w:val="22"/>
              </w:rPr>
              <w:t>、</w:t>
            </w:r>
            <w:r w:rsidRPr="0056105D">
              <w:rPr>
                <w:kern w:val="0"/>
                <w:sz w:val="22"/>
                <w:szCs w:val="22"/>
              </w:rPr>
              <w:t>交银荣祥保本</w:t>
            </w:r>
            <w:r w:rsidR="00380F1D">
              <w:rPr>
                <w:rFonts w:hint="eastAsia"/>
                <w:kern w:val="0"/>
                <w:sz w:val="22"/>
                <w:szCs w:val="22"/>
              </w:rPr>
              <w:t>、</w:t>
            </w:r>
            <w:r w:rsidRPr="00A95203">
              <w:rPr>
                <w:kern w:val="0"/>
                <w:sz w:val="22"/>
                <w:szCs w:val="22"/>
              </w:rPr>
              <w:t>交银荣和保本</w:t>
            </w:r>
            <w:r w:rsidR="00380F1D">
              <w:rPr>
                <w:rFonts w:hint="eastAsia"/>
                <w:kern w:val="0"/>
                <w:sz w:val="22"/>
                <w:szCs w:val="22"/>
              </w:rPr>
              <w:t>、</w:t>
            </w:r>
          </w:p>
          <w:p w:rsidR="00BA0346" w:rsidRPr="00A95203" w:rsidRDefault="00BA0346" w:rsidP="00534F16">
            <w:pPr>
              <w:widowControl/>
              <w:tabs>
                <w:tab w:val="left" w:pos="420"/>
              </w:tabs>
              <w:jc w:val="left"/>
              <w:rPr>
                <w:kern w:val="0"/>
                <w:sz w:val="22"/>
                <w:szCs w:val="22"/>
              </w:rPr>
            </w:pPr>
            <w:r>
              <w:rPr>
                <w:rFonts w:hint="eastAsia"/>
                <w:kern w:val="0"/>
                <w:sz w:val="22"/>
                <w:szCs w:val="22"/>
              </w:rPr>
              <w:t>交银科技创新</w:t>
            </w:r>
          </w:p>
        </w:tc>
        <w:tc>
          <w:tcPr>
            <w:tcW w:w="3029" w:type="dxa"/>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534F16">
            <w:pPr>
              <w:widowControl/>
              <w:tabs>
                <w:tab w:val="left" w:pos="420"/>
              </w:tabs>
              <w:spacing w:before="100" w:beforeAutospacing="1" w:after="100" w:afterAutospacing="1"/>
              <w:jc w:val="center"/>
              <w:rPr>
                <w:kern w:val="0"/>
                <w:sz w:val="22"/>
                <w:szCs w:val="22"/>
              </w:rPr>
            </w:pPr>
            <w:r w:rsidRPr="00A95203">
              <w:rPr>
                <w:kern w:val="0"/>
                <w:sz w:val="22"/>
                <w:szCs w:val="22"/>
              </w:rPr>
              <w:lastRenderedPageBreak/>
              <w:t>-</w:t>
            </w:r>
          </w:p>
        </w:tc>
        <w:tc>
          <w:tcPr>
            <w:tcW w:w="1514" w:type="dxa"/>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534F16">
            <w:pPr>
              <w:widowControl/>
              <w:tabs>
                <w:tab w:val="left" w:pos="420"/>
              </w:tabs>
              <w:spacing w:before="100" w:beforeAutospacing="1" w:after="100" w:afterAutospacing="1"/>
              <w:jc w:val="center"/>
              <w:rPr>
                <w:kern w:val="0"/>
                <w:sz w:val="22"/>
                <w:szCs w:val="22"/>
              </w:rPr>
            </w:pPr>
            <w:r w:rsidRPr="00A95203">
              <w:rPr>
                <w:kern w:val="0"/>
                <w:sz w:val="22"/>
                <w:szCs w:val="22"/>
              </w:rPr>
              <w:t>0</w:t>
            </w:r>
          </w:p>
        </w:tc>
      </w:tr>
      <w:tr w:rsidR="00BA0346" w:rsidRPr="00A95203" w:rsidTr="003B7662">
        <w:trPr>
          <w:tblCellSpacing w:w="0" w:type="dxa"/>
        </w:trPr>
        <w:tc>
          <w:tcPr>
            <w:tcW w:w="1922" w:type="dxa"/>
            <w:tcBorders>
              <w:top w:val="single" w:sz="6" w:space="0" w:color="7F7F7F"/>
              <w:left w:val="single" w:sz="6" w:space="0" w:color="7F7F7F"/>
              <w:bottom w:val="single" w:sz="6" w:space="0" w:color="7F7F7F"/>
              <w:right w:val="single" w:sz="6" w:space="0" w:color="7F7F7F"/>
            </w:tcBorders>
            <w:vAlign w:val="center"/>
          </w:tcPr>
          <w:p w:rsidR="00BA0346" w:rsidRPr="00A95203" w:rsidRDefault="00BA0346" w:rsidP="00D14546">
            <w:pPr>
              <w:widowControl/>
              <w:jc w:val="left"/>
              <w:rPr>
                <w:kern w:val="0"/>
                <w:sz w:val="22"/>
                <w:szCs w:val="22"/>
              </w:rPr>
            </w:pPr>
            <w:r w:rsidRPr="00A95203">
              <w:rPr>
                <w:kern w:val="0"/>
                <w:sz w:val="22"/>
                <w:szCs w:val="22"/>
              </w:rPr>
              <w:lastRenderedPageBreak/>
              <w:t>交银荣祥保本</w:t>
            </w:r>
          </w:p>
        </w:tc>
        <w:tc>
          <w:tcPr>
            <w:tcW w:w="2010" w:type="dxa"/>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380F1D">
            <w:pPr>
              <w:widowControl/>
              <w:jc w:val="left"/>
              <w:rPr>
                <w:kern w:val="0"/>
                <w:sz w:val="22"/>
                <w:szCs w:val="22"/>
              </w:rPr>
            </w:pPr>
            <w:r w:rsidRPr="00A95203">
              <w:rPr>
                <w:kern w:val="0"/>
                <w:sz w:val="22"/>
                <w:szCs w:val="22"/>
              </w:rPr>
              <w:t>交银货币</w:t>
            </w:r>
            <w:r w:rsidR="00380F1D">
              <w:rPr>
                <w:rFonts w:hint="eastAsia"/>
                <w:kern w:val="0"/>
                <w:sz w:val="22"/>
                <w:szCs w:val="22"/>
              </w:rPr>
              <w:t>、</w:t>
            </w:r>
            <w:r w:rsidRPr="00A95203">
              <w:rPr>
                <w:kern w:val="0"/>
                <w:sz w:val="22"/>
                <w:szCs w:val="22"/>
              </w:rPr>
              <w:t>交银增利</w:t>
            </w:r>
            <w:r w:rsidRPr="00A95203">
              <w:rPr>
                <w:kern w:val="0"/>
                <w:sz w:val="22"/>
                <w:szCs w:val="22"/>
              </w:rPr>
              <w:t>A</w:t>
            </w:r>
            <w:r w:rsidRPr="00A95203">
              <w:rPr>
                <w:kern w:val="0"/>
                <w:sz w:val="22"/>
                <w:szCs w:val="22"/>
              </w:rPr>
              <w:t>类</w:t>
            </w:r>
            <w:r w:rsidR="00380F1D">
              <w:rPr>
                <w:rFonts w:hint="eastAsia"/>
                <w:kern w:val="0"/>
                <w:sz w:val="22"/>
                <w:szCs w:val="22"/>
              </w:rPr>
              <w:t>和</w:t>
            </w:r>
            <w:r w:rsidRPr="00A95203">
              <w:rPr>
                <w:kern w:val="0"/>
                <w:sz w:val="22"/>
                <w:szCs w:val="22"/>
              </w:rPr>
              <w:t>C</w:t>
            </w:r>
            <w:r w:rsidRPr="00A95203">
              <w:rPr>
                <w:kern w:val="0"/>
                <w:sz w:val="22"/>
                <w:szCs w:val="22"/>
              </w:rPr>
              <w:t>类基金份额</w:t>
            </w:r>
            <w:r w:rsidR="00380F1D">
              <w:rPr>
                <w:rFonts w:hint="eastAsia"/>
                <w:kern w:val="0"/>
                <w:sz w:val="22"/>
                <w:szCs w:val="22"/>
              </w:rPr>
              <w:t>、</w:t>
            </w:r>
            <w:r w:rsidRPr="00A95203">
              <w:rPr>
                <w:kern w:val="0"/>
                <w:sz w:val="22"/>
                <w:szCs w:val="22"/>
              </w:rPr>
              <w:t>交银双利</w:t>
            </w:r>
            <w:r w:rsidRPr="00A95203">
              <w:rPr>
                <w:kern w:val="0"/>
                <w:sz w:val="22"/>
                <w:szCs w:val="22"/>
              </w:rPr>
              <w:t>A</w:t>
            </w:r>
            <w:r w:rsidRPr="00A95203">
              <w:rPr>
                <w:kern w:val="0"/>
                <w:sz w:val="22"/>
                <w:szCs w:val="22"/>
              </w:rPr>
              <w:t>类</w:t>
            </w:r>
            <w:r w:rsidR="00380F1D">
              <w:rPr>
                <w:rFonts w:hint="eastAsia"/>
                <w:kern w:val="0"/>
                <w:sz w:val="22"/>
                <w:szCs w:val="22"/>
              </w:rPr>
              <w:t>和</w:t>
            </w:r>
            <w:r w:rsidRPr="00A95203">
              <w:rPr>
                <w:kern w:val="0"/>
                <w:sz w:val="22"/>
                <w:szCs w:val="22"/>
              </w:rPr>
              <w:t>C</w:t>
            </w:r>
            <w:r w:rsidRPr="00A95203">
              <w:rPr>
                <w:kern w:val="0"/>
                <w:sz w:val="22"/>
                <w:szCs w:val="22"/>
              </w:rPr>
              <w:t>类基金份额</w:t>
            </w:r>
            <w:r w:rsidR="00380F1D">
              <w:rPr>
                <w:rFonts w:hint="eastAsia"/>
                <w:kern w:val="0"/>
                <w:sz w:val="22"/>
                <w:szCs w:val="22"/>
              </w:rPr>
              <w:t>、</w:t>
            </w:r>
            <w:r w:rsidRPr="00A95203">
              <w:rPr>
                <w:kern w:val="0"/>
                <w:sz w:val="22"/>
                <w:szCs w:val="22"/>
              </w:rPr>
              <w:t>交银纯债</w:t>
            </w:r>
            <w:r w:rsidRPr="00A95203">
              <w:rPr>
                <w:kern w:val="0"/>
                <w:sz w:val="22"/>
                <w:szCs w:val="22"/>
              </w:rPr>
              <w:t>A</w:t>
            </w:r>
            <w:r w:rsidRPr="00A95203">
              <w:rPr>
                <w:kern w:val="0"/>
                <w:sz w:val="22"/>
                <w:szCs w:val="22"/>
              </w:rPr>
              <w:t>类</w:t>
            </w:r>
            <w:r w:rsidR="00380F1D">
              <w:rPr>
                <w:rFonts w:hint="eastAsia"/>
                <w:kern w:val="0"/>
                <w:sz w:val="22"/>
                <w:szCs w:val="22"/>
              </w:rPr>
              <w:t>和</w:t>
            </w:r>
            <w:r w:rsidRPr="00A95203">
              <w:rPr>
                <w:kern w:val="0"/>
                <w:sz w:val="22"/>
                <w:szCs w:val="22"/>
              </w:rPr>
              <w:t>C</w:t>
            </w:r>
            <w:r w:rsidRPr="00A95203">
              <w:rPr>
                <w:kern w:val="0"/>
                <w:sz w:val="22"/>
                <w:szCs w:val="22"/>
              </w:rPr>
              <w:t>类基金份额</w:t>
            </w:r>
            <w:r w:rsidR="00380F1D">
              <w:rPr>
                <w:rFonts w:hint="eastAsia"/>
                <w:kern w:val="0"/>
                <w:sz w:val="22"/>
                <w:szCs w:val="22"/>
              </w:rPr>
              <w:t>、</w:t>
            </w:r>
            <w:r w:rsidRPr="00A95203">
              <w:rPr>
                <w:kern w:val="0"/>
                <w:sz w:val="22"/>
                <w:szCs w:val="22"/>
              </w:rPr>
              <w:t>交银双轮动</w:t>
            </w:r>
            <w:r w:rsidRPr="00A95203">
              <w:rPr>
                <w:kern w:val="0"/>
                <w:sz w:val="22"/>
                <w:szCs w:val="22"/>
              </w:rPr>
              <w:t>A</w:t>
            </w:r>
            <w:r w:rsidRPr="00A95203">
              <w:rPr>
                <w:kern w:val="0"/>
                <w:sz w:val="22"/>
                <w:szCs w:val="22"/>
              </w:rPr>
              <w:t>类</w:t>
            </w:r>
            <w:r w:rsidR="00380F1D">
              <w:rPr>
                <w:rFonts w:hint="eastAsia"/>
                <w:kern w:val="0"/>
                <w:sz w:val="22"/>
                <w:szCs w:val="22"/>
              </w:rPr>
              <w:t>和</w:t>
            </w:r>
            <w:r w:rsidRPr="00A95203">
              <w:rPr>
                <w:kern w:val="0"/>
                <w:sz w:val="22"/>
                <w:szCs w:val="22"/>
              </w:rPr>
              <w:t>C</w:t>
            </w:r>
            <w:r w:rsidRPr="00A95203">
              <w:rPr>
                <w:kern w:val="0"/>
                <w:sz w:val="22"/>
                <w:szCs w:val="22"/>
              </w:rPr>
              <w:t>类基金份额</w:t>
            </w:r>
            <w:r w:rsidR="00380F1D">
              <w:rPr>
                <w:rFonts w:hint="eastAsia"/>
                <w:kern w:val="0"/>
                <w:sz w:val="22"/>
                <w:szCs w:val="22"/>
              </w:rPr>
              <w:t>、</w:t>
            </w:r>
            <w:r w:rsidRPr="00A95203">
              <w:rPr>
                <w:kern w:val="0"/>
                <w:sz w:val="22"/>
                <w:szCs w:val="22"/>
              </w:rPr>
              <w:t>交银月月丰</w:t>
            </w:r>
            <w:r w:rsidRPr="00A95203">
              <w:rPr>
                <w:kern w:val="0"/>
                <w:sz w:val="22"/>
                <w:szCs w:val="22"/>
              </w:rPr>
              <w:t>A</w:t>
            </w:r>
            <w:r w:rsidRPr="00A95203">
              <w:rPr>
                <w:kern w:val="0"/>
                <w:sz w:val="22"/>
                <w:szCs w:val="22"/>
              </w:rPr>
              <w:t>类</w:t>
            </w:r>
            <w:r w:rsidR="00380F1D">
              <w:rPr>
                <w:rFonts w:hint="eastAsia"/>
                <w:kern w:val="0"/>
                <w:sz w:val="22"/>
                <w:szCs w:val="22"/>
              </w:rPr>
              <w:t>和</w:t>
            </w:r>
            <w:r w:rsidRPr="00A95203">
              <w:rPr>
                <w:kern w:val="0"/>
                <w:sz w:val="22"/>
                <w:szCs w:val="22"/>
              </w:rPr>
              <w:t>C</w:t>
            </w:r>
            <w:r w:rsidRPr="00A95203">
              <w:rPr>
                <w:kern w:val="0"/>
                <w:sz w:val="22"/>
                <w:szCs w:val="22"/>
              </w:rPr>
              <w:t>类基金份额</w:t>
            </w:r>
            <w:r w:rsidR="00380F1D">
              <w:rPr>
                <w:rFonts w:hint="eastAsia"/>
                <w:kern w:val="0"/>
                <w:sz w:val="22"/>
                <w:szCs w:val="22"/>
              </w:rPr>
              <w:t>、</w:t>
            </w:r>
            <w:r w:rsidRPr="00A95203">
              <w:rPr>
                <w:kern w:val="0"/>
                <w:sz w:val="22"/>
                <w:szCs w:val="22"/>
              </w:rPr>
              <w:t>交银强化回报</w:t>
            </w:r>
            <w:r w:rsidRPr="00A95203">
              <w:rPr>
                <w:kern w:val="0"/>
                <w:sz w:val="22"/>
                <w:szCs w:val="22"/>
              </w:rPr>
              <w:t>A</w:t>
            </w:r>
            <w:r w:rsidRPr="00A95203">
              <w:rPr>
                <w:kern w:val="0"/>
                <w:sz w:val="22"/>
                <w:szCs w:val="22"/>
              </w:rPr>
              <w:t>类</w:t>
            </w:r>
            <w:r w:rsidR="00380F1D">
              <w:rPr>
                <w:rFonts w:hint="eastAsia"/>
                <w:kern w:val="0"/>
                <w:sz w:val="22"/>
                <w:szCs w:val="22"/>
              </w:rPr>
              <w:t>和</w:t>
            </w:r>
            <w:r w:rsidRPr="00A95203">
              <w:rPr>
                <w:kern w:val="0"/>
                <w:sz w:val="22"/>
                <w:szCs w:val="22"/>
              </w:rPr>
              <w:t>C</w:t>
            </w:r>
            <w:r w:rsidRPr="00A95203">
              <w:rPr>
                <w:kern w:val="0"/>
                <w:sz w:val="22"/>
                <w:szCs w:val="22"/>
              </w:rPr>
              <w:t>类基金份额</w:t>
            </w:r>
            <w:r w:rsidR="00380F1D">
              <w:rPr>
                <w:rFonts w:hint="eastAsia"/>
                <w:kern w:val="0"/>
                <w:sz w:val="22"/>
                <w:szCs w:val="22"/>
              </w:rPr>
              <w:t>、</w:t>
            </w:r>
            <w:r w:rsidRPr="00A95203">
              <w:rPr>
                <w:kern w:val="0"/>
                <w:sz w:val="22"/>
                <w:szCs w:val="22"/>
              </w:rPr>
              <w:t>交银荣和保本</w:t>
            </w:r>
          </w:p>
        </w:tc>
        <w:tc>
          <w:tcPr>
            <w:tcW w:w="3029" w:type="dxa"/>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534F16">
            <w:pPr>
              <w:widowControl/>
              <w:tabs>
                <w:tab w:val="left" w:pos="420"/>
              </w:tabs>
              <w:spacing w:before="100" w:beforeAutospacing="1" w:after="100" w:afterAutospacing="1"/>
              <w:jc w:val="center"/>
              <w:rPr>
                <w:kern w:val="0"/>
                <w:sz w:val="22"/>
                <w:szCs w:val="22"/>
              </w:rPr>
            </w:pPr>
            <w:r w:rsidRPr="00A95203">
              <w:rPr>
                <w:kern w:val="0"/>
                <w:sz w:val="22"/>
                <w:szCs w:val="22"/>
              </w:rPr>
              <w:t>-</w:t>
            </w:r>
          </w:p>
        </w:tc>
        <w:tc>
          <w:tcPr>
            <w:tcW w:w="1514" w:type="dxa"/>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534F16">
            <w:pPr>
              <w:widowControl/>
              <w:tabs>
                <w:tab w:val="left" w:pos="420"/>
              </w:tabs>
              <w:spacing w:before="100" w:beforeAutospacing="1" w:after="100" w:afterAutospacing="1"/>
              <w:jc w:val="center"/>
              <w:rPr>
                <w:kern w:val="0"/>
                <w:sz w:val="22"/>
                <w:szCs w:val="22"/>
              </w:rPr>
            </w:pPr>
            <w:r w:rsidRPr="00A95203">
              <w:rPr>
                <w:kern w:val="0"/>
                <w:sz w:val="22"/>
                <w:szCs w:val="22"/>
              </w:rPr>
              <w:t>0</w:t>
            </w:r>
          </w:p>
        </w:tc>
      </w:tr>
      <w:tr w:rsidR="00BA0346" w:rsidRPr="00A95203" w:rsidTr="003B7662">
        <w:trPr>
          <w:tblCellSpacing w:w="0" w:type="dxa"/>
        </w:trPr>
        <w:tc>
          <w:tcPr>
            <w:tcW w:w="1922" w:type="dxa"/>
            <w:tcBorders>
              <w:top w:val="single" w:sz="6" w:space="0" w:color="7F7F7F"/>
              <w:left w:val="single" w:sz="6" w:space="0" w:color="7F7F7F"/>
              <w:bottom w:val="single" w:sz="6" w:space="0" w:color="7F7F7F"/>
              <w:right w:val="single" w:sz="6" w:space="0" w:color="7F7F7F"/>
            </w:tcBorders>
            <w:vAlign w:val="center"/>
            <w:hideMark/>
          </w:tcPr>
          <w:p w:rsidR="00000000" w:rsidRDefault="00BA0346">
            <w:pPr>
              <w:widowControl/>
              <w:jc w:val="left"/>
              <w:rPr>
                <w:kern w:val="0"/>
                <w:sz w:val="22"/>
                <w:szCs w:val="22"/>
              </w:rPr>
            </w:pPr>
            <w:r w:rsidRPr="00A95203">
              <w:rPr>
                <w:kern w:val="0"/>
                <w:sz w:val="22"/>
                <w:szCs w:val="22"/>
              </w:rPr>
              <w:t>交银增利</w:t>
            </w:r>
            <w:r w:rsidRPr="00A95203">
              <w:rPr>
                <w:kern w:val="0"/>
                <w:sz w:val="22"/>
                <w:szCs w:val="22"/>
              </w:rPr>
              <w:t>A</w:t>
            </w:r>
            <w:r w:rsidRPr="00A95203">
              <w:rPr>
                <w:kern w:val="0"/>
                <w:sz w:val="22"/>
                <w:szCs w:val="22"/>
              </w:rPr>
              <w:t>类基金份额</w:t>
            </w:r>
            <w:r w:rsidR="00380F1D">
              <w:rPr>
                <w:rFonts w:hint="eastAsia"/>
                <w:kern w:val="0"/>
                <w:sz w:val="22"/>
                <w:szCs w:val="22"/>
              </w:rPr>
              <w:t>、</w:t>
            </w:r>
            <w:r w:rsidRPr="00A95203">
              <w:rPr>
                <w:kern w:val="0"/>
                <w:sz w:val="22"/>
                <w:szCs w:val="22"/>
              </w:rPr>
              <w:t>交银双利</w:t>
            </w:r>
            <w:r w:rsidRPr="00A95203">
              <w:rPr>
                <w:kern w:val="0"/>
                <w:sz w:val="22"/>
                <w:szCs w:val="22"/>
              </w:rPr>
              <w:t>A</w:t>
            </w:r>
            <w:r w:rsidRPr="00A95203">
              <w:rPr>
                <w:kern w:val="0"/>
                <w:sz w:val="22"/>
                <w:szCs w:val="22"/>
              </w:rPr>
              <w:t>类基金份额</w:t>
            </w:r>
            <w:r w:rsidR="00380F1D">
              <w:rPr>
                <w:rFonts w:hint="eastAsia"/>
                <w:kern w:val="0"/>
                <w:sz w:val="22"/>
                <w:szCs w:val="22"/>
              </w:rPr>
              <w:t>、</w:t>
            </w:r>
            <w:r w:rsidRPr="00A95203">
              <w:rPr>
                <w:kern w:val="0"/>
                <w:sz w:val="22"/>
                <w:szCs w:val="22"/>
              </w:rPr>
              <w:t>交银纯债</w:t>
            </w:r>
            <w:r w:rsidRPr="00A95203">
              <w:rPr>
                <w:kern w:val="0"/>
                <w:sz w:val="22"/>
                <w:szCs w:val="22"/>
              </w:rPr>
              <w:t>A</w:t>
            </w:r>
            <w:r w:rsidRPr="00A95203">
              <w:rPr>
                <w:kern w:val="0"/>
                <w:sz w:val="22"/>
                <w:szCs w:val="22"/>
              </w:rPr>
              <w:t>类基金份额</w:t>
            </w:r>
            <w:r w:rsidR="00380F1D">
              <w:rPr>
                <w:rFonts w:hint="eastAsia"/>
                <w:kern w:val="0"/>
                <w:sz w:val="22"/>
                <w:szCs w:val="22"/>
              </w:rPr>
              <w:t>、</w:t>
            </w:r>
            <w:r w:rsidRPr="00A95203">
              <w:rPr>
                <w:kern w:val="0"/>
                <w:sz w:val="22"/>
                <w:szCs w:val="22"/>
              </w:rPr>
              <w:t>交银双轮动</w:t>
            </w:r>
            <w:r w:rsidRPr="00A95203">
              <w:rPr>
                <w:kern w:val="0"/>
                <w:sz w:val="22"/>
                <w:szCs w:val="22"/>
              </w:rPr>
              <w:t>A</w:t>
            </w:r>
            <w:r w:rsidRPr="00A95203">
              <w:rPr>
                <w:kern w:val="0"/>
                <w:sz w:val="22"/>
                <w:szCs w:val="22"/>
              </w:rPr>
              <w:t>类基金份额</w:t>
            </w:r>
            <w:r w:rsidR="00380F1D">
              <w:rPr>
                <w:rFonts w:hint="eastAsia"/>
                <w:kern w:val="0"/>
                <w:sz w:val="22"/>
                <w:szCs w:val="22"/>
              </w:rPr>
              <w:t>、</w:t>
            </w:r>
            <w:r w:rsidRPr="00A95203">
              <w:rPr>
                <w:kern w:val="0"/>
                <w:sz w:val="22"/>
                <w:szCs w:val="22"/>
              </w:rPr>
              <w:t>交银月月丰</w:t>
            </w:r>
            <w:r w:rsidRPr="00A95203">
              <w:rPr>
                <w:kern w:val="0"/>
                <w:sz w:val="22"/>
                <w:szCs w:val="22"/>
              </w:rPr>
              <w:t>A</w:t>
            </w:r>
            <w:r w:rsidRPr="00A95203">
              <w:rPr>
                <w:kern w:val="0"/>
                <w:sz w:val="22"/>
                <w:szCs w:val="22"/>
              </w:rPr>
              <w:t>类基金份额</w:t>
            </w:r>
            <w:r w:rsidR="00380F1D">
              <w:rPr>
                <w:rFonts w:hint="eastAsia"/>
                <w:kern w:val="0"/>
                <w:sz w:val="22"/>
                <w:szCs w:val="22"/>
              </w:rPr>
              <w:t>、</w:t>
            </w:r>
            <w:r w:rsidRPr="00A95203">
              <w:rPr>
                <w:kern w:val="0"/>
                <w:sz w:val="22"/>
                <w:szCs w:val="22"/>
              </w:rPr>
              <w:t>交银强化回报</w:t>
            </w:r>
            <w:r w:rsidRPr="00A95203">
              <w:rPr>
                <w:kern w:val="0"/>
                <w:sz w:val="22"/>
                <w:szCs w:val="22"/>
              </w:rPr>
              <w:t>A</w:t>
            </w:r>
            <w:r w:rsidRPr="00A95203">
              <w:rPr>
                <w:kern w:val="0"/>
                <w:sz w:val="22"/>
                <w:szCs w:val="22"/>
              </w:rPr>
              <w:t>类基金份额</w:t>
            </w:r>
          </w:p>
        </w:tc>
        <w:tc>
          <w:tcPr>
            <w:tcW w:w="2010" w:type="dxa"/>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380F1D">
            <w:pPr>
              <w:widowControl/>
              <w:jc w:val="left"/>
              <w:rPr>
                <w:kern w:val="0"/>
                <w:sz w:val="22"/>
                <w:szCs w:val="22"/>
              </w:rPr>
            </w:pPr>
            <w:r w:rsidRPr="00A95203">
              <w:rPr>
                <w:kern w:val="0"/>
                <w:sz w:val="22"/>
                <w:szCs w:val="22"/>
              </w:rPr>
              <w:t>交银货币</w:t>
            </w:r>
            <w:r w:rsidR="00380F1D">
              <w:rPr>
                <w:rFonts w:hint="eastAsia"/>
                <w:kern w:val="0"/>
                <w:sz w:val="22"/>
                <w:szCs w:val="22"/>
              </w:rPr>
              <w:t>、</w:t>
            </w:r>
            <w:r w:rsidRPr="00A95203">
              <w:rPr>
                <w:kern w:val="0"/>
                <w:sz w:val="22"/>
                <w:szCs w:val="22"/>
              </w:rPr>
              <w:t>交银强化回报</w:t>
            </w:r>
            <w:r w:rsidRPr="00A95203">
              <w:rPr>
                <w:kern w:val="0"/>
                <w:sz w:val="22"/>
                <w:szCs w:val="22"/>
              </w:rPr>
              <w:t>A</w:t>
            </w:r>
            <w:r w:rsidRPr="00A95203">
              <w:rPr>
                <w:kern w:val="0"/>
                <w:sz w:val="22"/>
                <w:szCs w:val="22"/>
              </w:rPr>
              <w:t>类</w:t>
            </w:r>
            <w:r w:rsidR="00380F1D">
              <w:rPr>
                <w:rFonts w:hint="eastAsia"/>
                <w:kern w:val="0"/>
                <w:sz w:val="22"/>
                <w:szCs w:val="22"/>
              </w:rPr>
              <w:t>和</w:t>
            </w:r>
            <w:r w:rsidRPr="00A95203">
              <w:rPr>
                <w:kern w:val="0"/>
                <w:sz w:val="22"/>
                <w:szCs w:val="22"/>
              </w:rPr>
              <w:t>C</w:t>
            </w:r>
            <w:r w:rsidRPr="00A95203">
              <w:rPr>
                <w:kern w:val="0"/>
                <w:sz w:val="22"/>
                <w:szCs w:val="22"/>
              </w:rPr>
              <w:t>类基金份额</w:t>
            </w:r>
            <w:r w:rsidR="00380F1D">
              <w:rPr>
                <w:rFonts w:hint="eastAsia"/>
                <w:kern w:val="0"/>
                <w:sz w:val="22"/>
                <w:szCs w:val="22"/>
              </w:rPr>
              <w:t>、</w:t>
            </w:r>
            <w:r w:rsidRPr="00A95203">
              <w:rPr>
                <w:kern w:val="0"/>
                <w:sz w:val="22"/>
                <w:szCs w:val="22"/>
              </w:rPr>
              <w:t>交银月月丰</w:t>
            </w:r>
            <w:r w:rsidRPr="00A95203">
              <w:rPr>
                <w:kern w:val="0"/>
                <w:sz w:val="22"/>
                <w:szCs w:val="22"/>
              </w:rPr>
              <w:t>A</w:t>
            </w:r>
            <w:r w:rsidRPr="00A95203">
              <w:rPr>
                <w:kern w:val="0"/>
                <w:sz w:val="22"/>
                <w:szCs w:val="22"/>
              </w:rPr>
              <w:t>类</w:t>
            </w:r>
            <w:r w:rsidR="00380F1D">
              <w:rPr>
                <w:rFonts w:hint="eastAsia"/>
                <w:kern w:val="0"/>
                <w:sz w:val="22"/>
                <w:szCs w:val="22"/>
              </w:rPr>
              <w:t>和</w:t>
            </w:r>
            <w:r w:rsidRPr="00A95203">
              <w:rPr>
                <w:kern w:val="0"/>
                <w:sz w:val="22"/>
                <w:szCs w:val="22"/>
              </w:rPr>
              <w:t>C</w:t>
            </w:r>
            <w:r w:rsidRPr="00A95203">
              <w:rPr>
                <w:kern w:val="0"/>
                <w:sz w:val="22"/>
                <w:szCs w:val="22"/>
              </w:rPr>
              <w:t>类基金份额</w:t>
            </w:r>
            <w:r w:rsidR="00380F1D">
              <w:rPr>
                <w:rFonts w:hint="eastAsia"/>
                <w:kern w:val="0"/>
                <w:sz w:val="22"/>
                <w:szCs w:val="22"/>
              </w:rPr>
              <w:t>、</w:t>
            </w:r>
            <w:r w:rsidRPr="00A95203">
              <w:rPr>
                <w:kern w:val="0"/>
                <w:sz w:val="22"/>
                <w:szCs w:val="22"/>
              </w:rPr>
              <w:t>交银双轮动</w:t>
            </w:r>
            <w:r w:rsidRPr="00A95203">
              <w:rPr>
                <w:kern w:val="0"/>
                <w:sz w:val="22"/>
                <w:szCs w:val="22"/>
              </w:rPr>
              <w:t>A</w:t>
            </w:r>
            <w:r w:rsidRPr="00A95203">
              <w:rPr>
                <w:kern w:val="0"/>
                <w:sz w:val="22"/>
                <w:szCs w:val="22"/>
              </w:rPr>
              <w:t>类</w:t>
            </w:r>
            <w:r w:rsidR="00380F1D">
              <w:rPr>
                <w:rFonts w:hint="eastAsia"/>
                <w:kern w:val="0"/>
                <w:sz w:val="22"/>
                <w:szCs w:val="22"/>
              </w:rPr>
              <w:t>和</w:t>
            </w:r>
            <w:r w:rsidRPr="00A95203">
              <w:rPr>
                <w:kern w:val="0"/>
                <w:sz w:val="22"/>
                <w:szCs w:val="22"/>
              </w:rPr>
              <w:t>C</w:t>
            </w:r>
            <w:r w:rsidRPr="00A95203">
              <w:rPr>
                <w:kern w:val="0"/>
                <w:sz w:val="22"/>
                <w:szCs w:val="22"/>
              </w:rPr>
              <w:t>类基金份额</w:t>
            </w:r>
            <w:r w:rsidR="00380F1D">
              <w:rPr>
                <w:rFonts w:hint="eastAsia"/>
                <w:kern w:val="0"/>
                <w:sz w:val="22"/>
                <w:szCs w:val="22"/>
              </w:rPr>
              <w:t>、</w:t>
            </w:r>
            <w:r w:rsidRPr="00A95203">
              <w:rPr>
                <w:kern w:val="0"/>
                <w:sz w:val="22"/>
                <w:szCs w:val="22"/>
              </w:rPr>
              <w:t>交银纯债</w:t>
            </w:r>
            <w:r w:rsidRPr="00A95203">
              <w:rPr>
                <w:kern w:val="0"/>
                <w:sz w:val="22"/>
                <w:szCs w:val="22"/>
              </w:rPr>
              <w:t>A</w:t>
            </w:r>
            <w:r w:rsidRPr="00A95203">
              <w:rPr>
                <w:kern w:val="0"/>
                <w:sz w:val="22"/>
                <w:szCs w:val="22"/>
              </w:rPr>
              <w:t>类</w:t>
            </w:r>
            <w:r w:rsidR="00380F1D">
              <w:rPr>
                <w:rFonts w:hint="eastAsia"/>
                <w:kern w:val="0"/>
                <w:sz w:val="22"/>
                <w:szCs w:val="22"/>
              </w:rPr>
              <w:t>和</w:t>
            </w:r>
            <w:r w:rsidRPr="00A95203">
              <w:rPr>
                <w:kern w:val="0"/>
                <w:sz w:val="22"/>
                <w:szCs w:val="22"/>
              </w:rPr>
              <w:t>C</w:t>
            </w:r>
            <w:r w:rsidRPr="00A95203">
              <w:rPr>
                <w:kern w:val="0"/>
                <w:sz w:val="22"/>
                <w:szCs w:val="22"/>
              </w:rPr>
              <w:t>类基金份额</w:t>
            </w:r>
            <w:r w:rsidR="00380F1D">
              <w:rPr>
                <w:rFonts w:hint="eastAsia"/>
                <w:kern w:val="0"/>
                <w:sz w:val="22"/>
                <w:szCs w:val="22"/>
              </w:rPr>
              <w:t>、</w:t>
            </w:r>
            <w:r w:rsidRPr="00A95203">
              <w:rPr>
                <w:kern w:val="0"/>
                <w:sz w:val="22"/>
                <w:szCs w:val="22"/>
              </w:rPr>
              <w:t>交银双利</w:t>
            </w:r>
            <w:r w:rsidRPr="00A95203">
              <w:rPr>
                <w:kern w:val="0"/>
                <w:sz w:val="22"/>
                <w:szCs w:val="22"/>
              </w:rPr>
              <w:t>A</w:t>
            </w:r>
            <w:r w:rsidRPr="00A95203">
              <w:rPr>
                <w:kern w:val="0"/>
                <w:sz w:val="22"/>
                <w:szCs w:val="22"/>
              </w:rPr>
              <w:t>类</w:t>
            </w:r>
            <w:r w:rsidR="00380F1D">
              <w:rPr>
                <w:rFonts w:hint="eastAsia"/>
                <w:kern w:val="0"/>
                <w:sz w:val="22"/>
                <w:szCs w:val="22"/>
              </w:rPr>
              <w:t>和</w:t>
            </w:r>
            <w:r w:rsidRPr="00A95203">
              <w:rPr>
                <w:kern w:val="0"/>
                <w:sz w:val="22"/>
                <w:szCs w:val="22"/>
              </w:rPr>
              <w:t>C</w:t>
            </w:r>
            <w:r w:rsidRPr="00A95203">
              <w:rPr>
                <w:kern w:val="0"/>
                <w:sz w:val="22"/>
                <w:szCs w:val="22"/>
              </w:rPr>
              <w:t>类基金份额</w:t>
            </w:r>
            <w:r w:rsidR="00380F1D">
              <w:rPr>
                <w:rFonts w:hint="eastAsia"/>
                <w:kern w:val="0"/>
                <w:sz w:val="22"/>
                <w:szCs w:val="22"/>
              </w:rPr>
              <w:t>、</w:t>
            </w:r>
            <w:r w:rsidRPr="00A95203">
              <w:rPr>
                <w:kern w:val="0"/>
                <w:sz w:val="22"/>
                <w:szCs w:val="22"/>
              </w:rPr>
              <w:t>交银增利</w:t>
            </w:r>
            <w:r w:rsidRPr="00A95203">
              <w:rPr>
                <w:kern w:val="0"/>
                <w:sz w:val="22"/>
                <w:szCs w:val="22"/>
              </w:rPr>
              <w:t>A</w:t>
            </w:r>
            <w:r w:rsidRPr="00A95203">
              <w:rPr>
                <w:kern w:val="0"/>
                <w:sz w:val="22"/>
                <w:szCs w:val="22"/>
              </w:rPr>
              <w:t>类</w:t>
            </w:r>
            <w:r w:rsidR="00380F1D">
              <w:rPr>
                <w:rFonts w:hint="eastAsia"/>
                <w:kern w:val="0"/>
                <w:sz w:val="22"/>
                <w:szCs w:val="22"/>
              </w:rPr>
              <w:t>和</w:t>
            </w:r>
            <w:r w:rsidRPr="00A95203">
              <w:rPr>
                <w:kern w:val="0"/>
                <w:sz w:val="22"/>
                <w:szCs w:val="22"/>
              </w:rPr>
              <w:t>C</w:t>
            </w:r>
            <w:r w:rsidRPr="00A95203">
              <w:rPr>
                <w:kern w:val="0"/>
                <w:sz w:val="22"/>
                <w:szCs w:val="22"/>
              </w:rPr>
              <w:t>类基金份额</w:t>
            </w:r>
          </w:p>
        </w:tc>
        <w:tc>
          <w:tcPr>
            <w:tcW w:w="3029" w:type="dxa"/>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534F16">
            <w:pPr>
              <w:widowControl/>
              <w:tabs>
                <w:tab w:val="left" w:pos="420"/>
              </w:tabs>
              <w:spacing w:before="100" w:beforeAutospacing="1" w:after="100" w:afterAutospacing="1"/>
              <w:jc w:val="center"/>
              <w:rPr>
                <w:kern w:val="0"/>
                <w:sz w:val="22"/>
                <w:szCs w:val="22"/>
              </w:rPr>
            </w:pPr>
            <w:r w:rsidRPr="00A95203">
              <w:rPr>
                <w:kern w:val="0"/>
                <w:sz w:val="22"/>
                <w:szCs w:val="22"/>
              </w:rPr>
              <w:t>-</w:t>
            </w:r>
          </w:p>
        </w:tc>
        <w:tc>
          <w:tcPr>
            <w:tcW w:w="1514" w:type="dxa"/>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534F16">
            <w:pPr>
              <w:widowControl/>
              <w:tabs>
                <w:tab w:val="left" w:pos="420"/>
              </w:tabs>
              <w:spacing w:before="100" w:beforeAutospacing="1" w:after="100" w:afterAutospacing="1"/>
              <w:jc w:val="center"/>
              <w:rPr>
                <w:kern w:val="0"/>
                <w:sz w:val="22"/>
                <w:szCs w:val="22"/>
              </w:rPr>
            </w:pPr>
            <w:r w:rsidRPr="00A95203">
              <w:rPr>
                <w:kern w:val="0"/>
                <w:sz w:val="22"/>
                <w:szCs w:val="22"/>
              </w:rPr>
              <w:t>0</w:t>
            </w:r>
          </w:p>
        </w:tc>
      </w:tr>
      <w:tr w:rsidR="00BA0346" w:rsidRPr="00A95203" w:rsidTr="00C75A65">
        <w:trPr>
          <w:tblCellSpacing w:w="0" w:type="dxa"/>
        </w:trPr>
        <w:tc>
          <w:tcPr>
            <w:tcW w:w="1922" w:type="dxa"/>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C75A65">
            <w:pPr>
              <w:widowControl/>
              <w:jc w:val="left"/>
              <w:rPr>
                <w:kern w:val="0"/>
                <w:sz w:val="22"/>
                <w:szCs w:val="22"/>
              </w:rPr>
            </w:pPr>
            <w:r w:rsidRPr="00A95203">
              <w:rPr>
                <w:kern w:val="0"/>
                <w:sz w:val="22"/>
                <w:szCs w:val="22"/>
              </w:rPr>
              <w:t>交银荣和保本</w:t>
            </w:r>
          </w:p>
        </w:tc>
        <w:tc>
          <w:tcPr>
            <w:tcW w:w="2010" w:type="dxa"/>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380F1D">
            <w:pPr>
              <w:widowControl/>
              <w:jc w:val="left"/>
              <w:rPr>
                <w:kern w:val="0"/>
                <w:sz w:val="22"/>
                <w:szCs w:val="22"/>
              </w:rPr>
            </w:pPr>
            <w:r w:rsidRPr="00A95203">
              <w:rPr>
                <w:kern w:val="0"/>
                <w:sz w:val="22"/>
                <w:szCs w:val="22"/>
              </w:rPr>
              <w:t>交银货币</w:t>
            </w:r>
            <w:r w:rsidR="00380F1D">
              <w:rPr>
                <w:rFonts w:hint="eastAsia"/>
                <w:kern w:val="0"/>
                <w:sz w:val="22"/>
                <w:szCs w:val="22"/>
              </w:rPr>
              <w:t>、</w:t>
            </w:r>
            <w:r w:rsidRPr="00A95203">
              <w:rPr>
                <w:kern w:val="0"/>
                <w:sz w:val="22"/>
                <w:szCs w:val="22"/>
              </w:rPr>
              <w:t>交银强化回报</w:t>
            </w:r>
            <w:r w:rsidRPr="00A95203">
              <w:rPr>
                <w:kern w:val="0"/>
                <w:sz w:val="22"/>
                <w:szCs w:val="22"/>
              </w:rPr>
              <w:t>A</w:t>
            </w:r>
            <w:r w:rsidRPr="00A95203">
              <w:rPr>
                <w:kern w:val="0"/>
                <w:sz w:val="22"/>
                <w:szCs w:val="22"/>
              </w:rPr>
              <w:t>类</w:t>
            </w:r>
            <w:r w:rsidR="00380F1D">
              <w:rPr>
                <w:rFonts w:hint="eastAsia"/>
                <w:kern w:val="0"/>
                <w:sz w:val="22"/>
                <w:szCs w:val="22"/>
              </w:rPr>
              <w:t>和</w:t>
            </w:r>
            <w:r w:rsidRPr="00A95203">
              <w:rPr>
                <w:kern w:val="0"/>
                <w:sz w:val="22"/>
                <w:szCs w:val="22"/>
              </w:rPr>
              <w:t>C</w:t>
            </w:r>
            <w:r w:rsidRPr="00A95203">
              <w:rPr>
                <w:kern w:val="0"/>
                <w:sz w:val="22"/>
                <w:szCs w:val="22"/>
              </w:rPr>
              <w:t>类基金份额</w:t>
            </w:r>
            <w:r w:rsidR="00380F1D">
              <w:rPr>
                <w:rFonts w:hint="eastAsia"/>
                <w:kern w:val="0"/>
                <w:sz w:val="22"/>
                <w:szCs w:val="22"/>
              </w:rPr>
              <w:t>、</w:t>
            </w:r>
            <w:r w:rsidRPr="00A95203">
              <w:rPr>
                <w:kern w:val="0"/>
                <w:sz w:val="22"/>
                <w:szCs w:val="22"/>
              </w:rPr>
              <w:t>交银月月丰</w:t>
            </w:r>
            <w:r w:rsidRPr="00A95203">
              <w:rPr>
                <w:kern w:val="0"/>
                <w:sz w:val="22"/>
                <w:szCs w:val="22"/>
              </w:rPr>
              <w:t>A</w:t>
            </w:r>
            <w:r w:rsidRPr="00A95203">
              <w:rPr>
                <w:kern w:val="0"/>
                <w:sz w:val="22"/>
                <w:szCs w:val="22"/>
              </w:rPr>
              <w:t>类</w:t>
            </w:r>
            <w:r w:rsidR="00380F1D">
              <w:rPr>
                <w:rFonts w:hint="eastAsia"/>
                <w:kern w:val="0"/>
                <w:sz w:val="22"/>
                <w:szCs w:val="22"/>
              </w:rPr>
              <w:t>和</w:t>
            </w:r>
            <w:r w:rsidRPr="00A95203">
              <w:rPr>
                <w:kern w:val="0"/>
                <w:sz w:val="22"/>
                <w:szCs w:val="22"/>
              </w:rPr>
              <w:t>C</w:t>
            </w:r>
            <w:r w:rsidRPr="00A95203">
              <w:rPr>
                <w:kern w:val="0"/>
                <w:sz w:val="22"/>
                <w:szCs w:val="22"/>
              </w:rPr>
              <w:t>类基金份额</w:t>
            </w:r>
            <w:r w:rsidR="00380F1D">
              <w:rPr>
                <w:rFonts w:hint="eastAsia"/>
                <w:kern w:val="0"/>
                <w:sz w:val="22"/>
                <w:szCs w:val="22"/>
              </w:rPr>
              <w:t>、</w:t>
            </w:r>
            <w:r w:rsidRPr="00A95203">
              <w:rPr>
                <w:kern w:val="0"/>
                <w:sz w:val="22"/>
                <w:szCs w:val="22"/>
              </w:rPr>
              <w:t>交银双轮动</w:t>
            </w:r>
            <w:r w:rsidRPr="00A95203">
              <w:rPr>
                <w:kern w:val="0"/>
                <w:sz w:val="22"/>
                <w:szCs w:val="22"/>
              </w:rPr>
              <w:t>A</w:t>
            </w:r>
            <w:r w:rsidRPr="00A95203">
              <w:rPr>
                <w:kern w:val="0"/>
                <w:sz w:val="22"/>
                <w:szCs w:val="22"/>
              </w:rPr>
              <w:t>类</w:t>
            </w:r>
            <w:r w:rsidR="00380F1D">
              <w:rPr>
                <w:rFonts w:hint="eastAsia"/>
                <w:kern w:val="0"/>
                <w:sz w:val="22"/>
                <w:szCs w:val="22"/>
              </w:rPr>
              <w:t>和</w:t>
            </w:r>
            <w:r w:rsidRPr="00A95203">
              <w:rPr>
                <w:kern w:val="0"/>
                <w:sz w:val="22"/>
                <w:szCs w:val="22"/>
              </w:rPr>
              <w:t>C</w:t>
            </w:r>
            <w:r w:rsidRPr="00A95203">
              <w:rPr>
                <w:kern w:val="0"/>
                <w:sz w:val="22"/>
                <w:szCs w:val="22"/>
              </w:rPr>
              <w:t>类基金份额</w:t>
            </w:r>
            <w:r w:rsidR="00380F1D">
              <w:rPr>
                <w:rFonts w:hint="eastAsia"/>
                <w:kern w:val="0"/>
                <w:sz w:val="22"/>
                <w:szCs w:val="22"/>
              </w:rPr>
              <w:t>、</w:t>
            </w:r>
            <w:r w:rsidRPr="00A95203">
              <w:rPr>
                <w:kern w:val="0"/>
                <w:sz w:val="22"/>
                <w:szCs w:val="22"/>
              </w:rPr>
              <w:t>交银纯债</w:t>
            </w:r>
            <w:r w:rsidRPr="00A95203">
              <w:rPr>
                <w:kern w:val="0"/>
                <w:sz w:val="22"/>
                <w:szCs w:val="22"/>
              </w:rPr>
              <w:t>A</w:t>
            </w:r>
            <w:r w:rsidRPr="00A95203">
              <w:rPr>
                <w:kern w:val="0"/>
                <w:sz w:val="22"/>
                <w:szCs w:val="22"/>
              </w:rPr>
              <w:t>类</w:t>
            </w:r>
            <w:r w:rsidR="00380F1D">
              <w:rPr>
                <w:rFonts w:hint="eastAsia"/>
                <w:kern w:val="0"/>
                <w:sz w:val="22"/>
                <w:szCs w:val="22"/>
              </w:rPr>
              <w:t>和</w:t>
            </w:r>
            <w:r w:rsidRPr="00A95203">
              <w:rPr>
                <w:kern w:val="0"/>
                <w:sz w:val="22"/>
                <w:szCs w:val="22"/>
              </w:rPr>
              <w:t>C</w:t>
            </w:r>
            <w:r w:rsidRPr="00A95203">
              <w:rPr>
                <w:kern w:val="0"/>
                <w:sz w:val="22"/>
                <w:szCs w:val="22"/>
              </w:rPr>
              <w:t>类基金份额</w:t>
            </w:r>
            <w:r w:rsidR="00380F1D">
              <w:rPr>
                <w:rFonts w:hint="eastAsia"/>
                <w:kern w:val="0"/>
                <w:sz w:val="22"/>
                <w:szCs w:val="22"/>
              </w:rPr>
              <w:t>、</w:t>
            </w:r>
            <w:r w:rsidRPr="00A95203">
              <w:rPr>
                <w:kern w:val="0"/>
                <w:sz w:val="22"/>
                <w:szCs w:val="22"/>
              </w:rPr>
              <w:t>交银双利</w:t>
            </w:r>
            <w:r w:rsidRPr="00A95203">
              <w:rPr>
                <w:kern w:val="0"/>
                <w:sz w:val="22"/>
                <w:szCs w:val="22"/>
              </w:rPr>
              <w:t>A</w:t>
            </w:r>
            <w:r w:rsidRPr="00A95203">
              <w:rPr>
                <w:kern w:val="0"/>
                <w:sz w:val="22"/>
                <w:szCs w:val="22"/>
              </w:rPr>
              <w:t>类</w:t>
            </w:r>
            <w:r w:rsidR="00380F1D">
              <w:rPr>
                <w:rFonts w:hint="eastAsia"/>
                <w:kern w:val="0"/>
                <w:sz w:val="22"/>
                <w:szCs w:val="22"/>
              </w:rPr>
              <w:t>和</w:t>
            </w:r>
            <w:r w:rsidRPr="00A95203">
              <w:rPr>
                <w:kern w:val="0"/>
                <w:sz w:val="22"/>
                <w:szCs w:val="22"/>
              </w:rPr>
              <w:t>C</w:t>
            </w:r>
            <w:r w:rsidRPr="00A95203">
              <w:rPr>
                <w:kern w:val="0"/>
                <w:sz w:val="22"/>
                <w:szCs w:val="22"/>
              </w:rPr>
              <w:t>类基金份额</w:t>
            </w:r>
            <w:r w:rsidR="00380F1D">
              <w:rPr>
                <w:rFonts w:hint="eastAsia"/>
                <w:kern w:val="0"/>
                <w:sz w:val="22"/>
                <w:szCs w:val="22"/>
              </w:rPr>
              <w:t>、</w:t>
            </w:r>
            <w:r w:rsidRPr="00A95203">
              <w:rPr>
                <w:kern w:val="0"/>
                <w:sz w:val="22"/>
                <w:szCs w:val="22"/>
              </w:rPr>
              <w:t>交银增利</w:t>
            </w:r>
            <w:r w:rsidRPr="00A95203">
              <w:rPr>
                <w:kern w:val="0"/>
                <w:sz w:val="22"/>
                <w:szCs w:val="22"/>
              </w:rPr>
              <w:t>A</w:t>
            </w:r>
            <w:r w:rsidRPr="00A95203">
              <w:rPr>
                <w:kern w:val="0"/>
                <w:sz w:val="22"/>
                <w:szCs w:val="22"/>
              </w:rPr>
              <w:t>类</w:t>
            </w:r>
            <w:r w:rsidR="00380F1D">
              <w:rPr>
                <w:rFonts w:hint="eastAsia"/>
                <w:kern w:val="0"/>
                <w:sz w:val="22"/>
                <w:szCs w:val="22"/>
              </w:rPr>
              <w:t>和</w:t>
            </w:r>
            <w:r w:rsidRPr="00A95203">
              <w:rPr>
                <w:kern w:val="0"/>
                <w:sz w:val="22"/>
                <w:szCs w:val="22"/>
              </w:rPr>
              <w:t>C</w:t>
            </w:r>
            <w:r w:rsidRPr="00A95203">
              <w:rPr>
                <w:kern w:val="0"/>
                <w:sz w:val="22"/>
                <w:szCs w:val="22"/>
              </w:rPr>
              <w:t>类基金份额</w:t>
            </w:r>
          </w:p>
        </w:tc>
        <w:tc>
          <w:tcPr>
            <w:tcW w:w="3029" w:type="dxa"/>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C75A65">
            <w:pPr>
              <w:widowControl/>
              <w:tabs>
                <w:tab w:val="left" w:pos="420"/>
              </w:tabs>
              <w:spacing w:before="100" w:beforeAutospacing="1" w:after="100" w:afterAutospacing="1"/>
              <w:jc w:val="center"/>
              <w:rPr>
                <w:color w:val="404040"/>
                <w:sz w:val="22"/>
                <w:szCs w:val="22"/>
              </w:rPr>
            </w:pPr>
            <w:r w:rsidRPr="00A95203">
              <w:rPr>
                <w:color w:val="404040"/>
                <w:sz w:val="22"/>
                <w:szCs w:val="22"/>
              </w:rPr>
              <w:t>-</w:t>
            </w:r>
          </w:p>
        </w:tc>
        <w:tc>
          <w:tcPr>
            <w:tcW w:w="1514" w:type="dxa"/>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C75A65">
            <w:pPr>
              <w:widowControl/>
              <w:tabs>
                <w:tab w:val="left" w:pos="420"/>
              </w:tabs>
              <w:spacing w:before="100" w:beforeAutospacing="1" w:after="100" w:afterAutospacing="1"/>
              <w:jc w:val="center"/>
              <w:rPr>
                <w:color w:val="404040"/>
                <w:sz w:val="22"/>
                <w:szCs w:val="22"/>
              </w:rPr>
            </w:pPr>
            <w:r w:rsidRPr="00A95203">
              <w:rPr>
                <w:color w:val="404040"/>
                <w:sz w:val="22"/>
                <w:szCs w:val="22"/>
              </w:rPr>
              <w:t>0</w:t>
            </w:r>
          </w:p>
        </w:tc>
      </w:tr>
      <w:tr w:rsidR="00BA0346" w:rsidRPr="00A95203" w:rsidTr="003B7662">
        <w:trPr>
          <w:tblCellSpacing w:w="0" w:type="dxa"/>
        </w:trPr>
        <w:tc>
          <w:tcPr>
            <w:tcW w:w="1922" w:type="dxa"/>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380F1D">
            <w:pPr>
              <w:widowControl/>
              <w:jc w:val="left"/>
              <w:rPr>
                <w:kern w:val="0"/>
                <w:sz w:val="22"/>
                <w:szCs w:val="22"/>
              </w:rPr>
            </w:pPr>
            <w:r w:rsidRPr="00A95203">
              <w:rPr>
                <w:kern w:val="0"/>
                <w:sz w:val="22"/>
                <w:szCs w:val="22"/>
              </w:rPr>
              <w:t>交银货币</w:t>
            </w:r>
            <w:r w:rsidR="00380F1D">
              <w:rPr>
                <w:rFonts w:hint="eastAsia"/>
                <w:kern w:val="0"/>
                <w:sz w:val="22"/>
                <w:szCs w:val="22"/>
              </w:rPr>
              <w:t>、</w:t>
            </w:r>
            <w:r w:rsidRPr="00A95203">
              <w:rPr>
                <w:kern w:val="0"/>
                <w:sz w:val="22"/>
                <w:szCs w:val="22"/>
              </w:rPr>
              <w:t>交银增利</w:t>
            </w:r>
            <w:r w:rsidRPr="00A95203">
              <w:rPr>
                <w:kern w:val="0"/>
                <w:sz w:val="22"/>
                <w:szCs w:val="22"/>
              </w:rPr>
              <w:t>C</w:t>
            </w:r>
            <w:r w:rsidRPr="00A95203">
              <w:rPr>
                <w:kern w:val="0"/>
                <w:sz w:val="22"/>
                <w:szCs w:val="22"/>
              </w:rPr>
              <w:t>类基金份额</w:t>
            </w:r>
            <w:r w:rsidR="00380F1D">
              <w:rPr>
                <w:rFonts w:hint="eastAsia"/>
                <w:kern w:val="0"/>
                <w:sz w:val="22"/>
                <w:szCs w:val="22"/>
              </w:rPr>
              <w:t>、</w:t>
            </w:r>
            <w:r w:rsidRPr="00A95203">
              <w:rPr>
                <w:kern w:val="0"/>
                <w:sz w:val="22"/>
                <w:szCs w:val="22"/>
              </w:rPr>
              <w:t>交银双利</w:t>
            </w:r>
            <w:r w:rsidRPr="00A95203">
              <w:rPr>
                <w:kern w:val="0"/>
                <w:sz w:val="22"/>
                <w:szCs w:val="22"/>
              </w:rPr>
              <w:t>C</w:t>
            </w:r>
            <w:r w:rsidRPr="00A95203">
              <w:rPr>
                <w:kern w:val="0"/>
                <w:sz w:val="22"/>
                <w:szCs w:val="22"/>
              </w:rPr>
              <w:t>类基金份额</w:t>
            </w:r>
            <w:r w:rsidR="00380F1D">
              <w:rPr>
                <w:rFonts w:hint="eastAsia"/>
                <w:kern w:val="0"/>
                <w:sz w:val="22"/>
                <w:szCs w:val="22"/>
              </w:rPr>
              <w:t>、</w:t>
            </w:r>
            <w:r w:rsidRPr="00A95203">
              <w:rPr>
                <w:kern w:val="0"/>
                <w:sz w:val="22"/>
                <w:szCs w:val="22"/>
              </w:rPr>
              <w:lastRenderedPageBreak/>
              <w:t>交银纯债</w:t>
            </w:r>
            <w:r w:rsidRPr="00A95203">
              <w:rPr>
                <w:kern w:val="0"/>
                <w:sz w:val="22"/>
                <w:szCs w:val="22"/>
              </w:rPr>
              <w:t>C</w:t>
            </w:r>
            <w:r w:rsidRPr="00A95203">
              <w:rPr>
                <w:kern w:val="0"/>
                <w:sz w:val="22"/>
                <w:szCs w:val="22"/>
              </w:rPr>
              <w:t>类基金份额</w:t>
            </w:r>
            <w:r w:rsidR="00380F1D">
              <w:rPr>
                <w:rFonts w:hint="eastAsia"/>
                <w:kern w:val="0"/>
                <w:sz w:val="22"/>
                <w:szCs w:val="22"/>
              </w:rPr>
              <w:t>、</w:t>
            </w:r>
            <w:r w:rsidRPr="00A95203">
              <w:rPr>
                <w:kern w:val="0"/>
                <w:sz w:val="22"/>
                <w:szCs w:val="22"/>
              </w:rPr>
              <w:t>交银双轮动</w:t>
            </w:r>
            <w:r w:rsidRPr="00A95203">
              <w:rPr>
                <w:kern w:val="0"/>
                <w:sz w:val="22"/>
                <w:szCs w:val="22"/>
              </w:rPr>
              <w:t>C</w:t>
            </w:r>
            <w:r w:rsidRPr="00A95203">
              <w:rPr>
                <w:kern w:val="0"/>
                <w:sz w:val="22"/>
                <w:szCs w:val="22"/>
              </w:rPr>
              <w:t>类基金份额</w:t>
            </w:r>
            <w:r w:rsidR="00380F1D">
              <w:rPr>
                <w:rFonts w:hint="eastAsia"/>
                <w:kern w:val="0"/>
                <w:sz w:val="22"/>
                <w:szCs w:val="22"/>
              </w:rPr>
              <w:t>、</w:t>
            </w:r>
            <w:r w:rsidRPr="00A95203">
              <w:rPr>
                <w:kern w:val="0"/>
                <w:sz w:val="22"/>
                <w:szCs w:val="22"/>
              </w:rPr>
              <w:t>交银月月丰</w:t>
            </w:r>
            <w:r w:rsidRPr="00A95203">
              <w:rPr>
                <w:kern w:val="0"/>
                <w:sz w:val="22"/>
                <w:szCs w:val="22"/>
              </w:rPr>
              <w:t>C</w:t>
            </w:r>
            <w:r w:rsidRPr="00A95203">
              <w:rPr>
                <w:kern w:val="0"/>
                <w:sz w:val="22"/>
                <w:szCs w:val="22"/>
              </w:rPr>
              <w:t>类基金份额</w:t>
            </w:r>
            <w:r w:rsidR="00380F1D">
              <w:rPr>
                <w:rFonts w:hint="eastAsia"/>
                <w:kern w:val="0"/>
                <w:sz w:val="22"/>
                <w:szCs w:val="22"/>
              </w:rPr>
              <w:t>、</w:t>
            </w:r>
            <w:r w:rsidRPr="00A95203">
              <w:rPr>
                <w:kern w:val="0"/>
                <w:sz w:val="22"/>
                <w:szCs w:val="22"/>
              </w:rPr>
              <w:t>交银强化回报</w:t>
            </w:r>
            <w:r w:rsidRPr="00A95203">
              <w:rPr>
                <w:kern w:val="0"/>
                <w:sz w:val="22"/>
                <w:szCs w:val="22"/>
              </w:rPr>
              <w:t>C</w:t>
            </w:r>
            <w:r w:rsidRPr="00A95203">
              <w:rPr>
                <w:kern w:val="0"/>
                <w:sz w:val="22"/>
                <w:szCs w:val="22"/>
              </w:rPr>
              <w:t>类基金份额</w:t>
            </w:r>
          </w:p>
        </w:tc>
        <w:tc>
          <w:tcPr>
            <w:tcW w:w="2010" w:type="dxa"/>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380F1D">
            <w:pPr>
              <w:widowControl/>
              <w:jc w:val="left"/>
              <w:rPr>
                <w:kern w:val="0"/>
                <w:sz w:val="22"/>
                <w:szCs w:val="22"/>
              </w:rPr>
            </w:pPr>
            <w:r w:rsidRPr="00A95203">
              <w:rPr>
                <w:kern w:val="0"/>
                <w:sz w:val="22"/>
                <w:szCs w:val="22"/>
              </w:rPr>
              <w:lastRenderedPageBreak/>
              <w:t>交银强化回报</w:t>
            </w:r>
            <w:r w:rsidRPr="00A95203">
              <w:rPr>
                <w:kern w:val="0"/>
                <w:sz w:val="22"/>
                <w:szCs w:val="22"/>
              </w:rPr>
              <w:t>C</w:t>
            </w:r>
            <w:r w:rsidRPr="00A95203">
              <w:rPr>
                <w:kern w:val="0"/>
                <w:sz w:val="22"/>
                <w:szCs w:val="22"/>
              </w:rPr>
              <w:t>类基金份额</w:t>
            </w:r>
            <w:r w:rsidR="00380F1D">
              <w:rPr>
                <w:rFonts w:hint="eastAsia"/>
                <w:kern w:val="0"/>
                <w:sz w:val="22"/>
                <w:szCs w:val="22"/>
              </w:rPr>
              <w:t>、</w:t>
            </w:r>
            <w:r w:rsidRPr="00A95203">
              <w:rPr>
                <w:kern w:val="0"/>
                <w:sz w:val="22"/>
                <w:szCs w:val="22"/>
              </w:rPr>
              <w:t>交银月月丰</w:t>
            </w:r>
            <w:r w:rsidRPr="00A95203">
              <w:rPr>
                <w:kern w:val="0"/>
                <w:sz w:val="22"/>
                <w:szCs w:val="22"/>
              </w:rPr>
              <w:t>C</w:t>
            </w:r>
            <w:r w:rsidRPr="00A95203">
              <w:rPr>
                <w:kern w:val="0"/>
                <w:sz w:val="22"/>
                <w:szCs w:val="22"/>
              </w:rPr>
              <w:t>类基金份额</w:t>
            </w:r>
            <w:r w:rsidR="00380F1D">
              <w:rPr>
                <w:rFonts w:hint="eastAsia"/>
                <w:kern w:val="0"/>
                <w:sz w:val="22"/>
                <w:szCs w:val="22"/>
              </w:rPr>
              <w:t>、</w:t>
            </w:r>
            <w:r w:rsidRPr="00A95203">
              <w:rPr>
                <w:kern w:val="0"/>
                <w:sz w:val="22"/>
                <w:szCs w:val="22"/>
              </w:rPr>
              <w:t>交银</w:t>
            </w:r>
            <w:r w:rsidRPr="00A95203">
              <w:rPr>
                <w:kern w:val="0"/>
                <w:sz w:val="22"/>
                <w:szCs w:val="22"/>
              </w:rPr>
              <w:lastRenderedPageBreak/>
              <w:t>双轮动</w:t>
            </w:r>
            <w:r w:rsidRPr="00A95203">
              <w:rPr>
                <w:kern w:val="0"/>
                <w:sz w:val="22"/>
                <w:szCs w:val="22"/>
              </w:rPr>
              <w:t>C</w:t>
            </w:r>
            <w:r w:rsidRPr="00A95203">
              <w:rPr>
                <w:kern w:val="0"/>
                <w:sz w:val="22"/>
                <w:szCs w:val="22"/>
              </w:rPr>
              <w:t>类基金份额</w:t>
            </w:r>
            <w:r w:rsidR="00380F1D">
              <w:rPr>
                <w:rFonts w:hint="eastAsia"/>
                <w:kern w:val="0"/>
                <w:sz w:val="22"/>
                <w:szCs w:val="22"/>
              </w:rPr>
              <w:t>、</w:t>
            </w:r>
            <w:r w:rsidRPr="00A95203">
              <w:rPr>
                <w:kern w:val="0"/>
                <w:sz w:val="22"/>
                <w:szCs w:val="22"/>
              </w:rPr>
              <w:t>交银纯债</w:t>
            </w:r>
            <w:r w:rsidRPr="00A95203">
              <w:rPr>
                <w:kern w:val="0"/>
                <w:sz w:val="22"/>
                <w:szCs w:val="22"/>
              </w:rPr>
              <w:t>C</w:t>
            </w:r>
            <w:r w:rsidRPr="00A95203">
              <w:rPr>
                <w:kern w:val="0"/>
                <w:sz w:val="22"/>
                <w:szCs w:val="22"/>
              </w:rPr>
              <w:t>类基金份额</w:t>
            </w:r>
            <w:r w:rsidR="00380F1D">
              <w:rPr>
                <w:rFonts w:hint="eastAsia"/>
                <w:kern w:val="0"/>
                <w:sz w:val="22"/>
                <w:szCs w:val="22"/>
              </w:rPr>
              <w:t>、</w:t>
            </w:r>
            <w:r w:rsidRPr="00A95203">
              <w:rPr>
                <w:kern w:val="0"/>
                <w:sz w:val="22"/>
                <w:szCs w:val="22"/>
              </w:rPr>
              <w:t>交银双利</w:t>
            </w:r>
            <w:r w:rsidRPr="00A95203">
              <w:rPr>
                <w:kern w:val="0"/>
                <w:sz w:val="22"/>
                <w:szCs w:val="22"/>
              </w:rPr>
              <w:t>C</w:t>
            </w:r>
            <w:r w:rsidRPr="00A95203">
              <w:rPr>
                <w:kern w:val="0"/>
                <w:sz w:val="22"/>
                <w:szCs w:val="22"/>
              </w:rPr>
              <w:t>类基金份额</w:t>
            </w:r>
            <w:r w:rsidR="00380F1D">
              <w:rPr>
                <w:rFonts w:hint="eastAsia"/>
                <w:kern w:val="0"/>
                <w:sz w:val="22"/>
                <w:szCs w:val="22"/>
              </w:rPr>
              <w:t>、</w:t>
            </w:r>
            <w:r w:rsidRPr="00A95203">
              <w:rPr>
                <w:kern w:val="0"/>
                <w:sz w:val="22"/>
                <w:szCs w:val="22"/>
              </w:rPr>
              <w:t>交银增利</w:t>
            </w:r>
            <w:r w:rsidRPr="00A95203">
              <w:rPr>
                <w:kern w:val="0"/>
                <w:sz w:val="22"/>
                <w:szCs w:val="22"/>
              </w:rPr>
              <w:t>C</w:t>
            </w:r>
            <w:r w:rsidRPr="00A95203">
              <w:rPr>
                <w:kern w:val="0"/>
                <w:sz w:val="22"/>
                <w:szCs w:val="22"/>
              </w:rPr>
              <w:t>类基金份额</w:t>
            </w:r>
            <w:r w:rsidR="00380F1D">
              <w:rPr>
                <w:rFonts w:hint="eastAsia"/>
                <w:kern w:val="0"/>
                <w:sz w:val="22"/>
                <w:szCs w:val="22"/>
              </w:rPr>
              <w:t>、</w:t>
            </w:r>
            <w:r w:rsidRPr="00A95203">
              <w:rPr>
                <w:kern w:val="0"/>
                <w:sz w:val="22"/>
                <w:szCs w:val="22"/>
              </w:rPr>
              <w:t>交银货币</w:t>
            </w:r>
          </w:p>
        </w:tc>
        <w:tc>
          <w:tcPr>
            <w:tcW w:w="3029" w:type="dxa"/>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534F16">
            <w:pPr>
              <w:widowControl/>
              <w:tabs>
                <w:tab w:val="left" w:pos="420"/>
              </w:tabs>
              <w:spacing w:before="100" w:beforeAutospacing="1" w:after="100" w:afterAutospacing="1"/>
              <w:jc w:val="center"/>
              <w:rPr>
                <w:color w:val="404040"/>
                <w:sz w:val="22"/>
                <w:szCs w:val="22"/>
              </w:rPr>
            </w:pPr>
            <w:r w:rsidRPr="00A95203">
              <w:rPr>
                <w:color w:val="404040"/>
                <w:sz w:val="22"/>
                <w:szCs w:val="22"/>
              </w:rPr>
              <w:lastRenderedPageBreak/>
              <w:t>-</w:t>
            </w:r>
          </w:p>
        </w:tc>
        <w:tc>
          <w:tcPr>
            <w:tcW w:w="1514" w:type="dxa"/>
            <w:tcBorders>
              <w:top w:val="single" w:sz="6" w:space="0" w:color="7F7F7F"/>
              <w:left w:val="single" w:sz="6" w:space="0" w:color="7F7F7F"/>
              <w:bottom w:val="single" w:sz="6" w:space="0" w:color="7F7F7F"/>
              <w:right w:val="single" w:sz="6" w:space="0" w:color="7F7F7F"/>
            </w:tcBorders>
            <w:vAlign w:val="center"/>
            <w:hideMark/>
          </w:tcPr>
          <w:p w:rsidR="00BA0346" w:rsidRPr="00A95203" w:rsidRDefault="00BA0346" w:rsidP="00534F16">
            <w:pPr>
              <w:widowControl/>
              <w:tabs>
                <w:tab w:val="left" w:pos="420"/>
              </w:tabs>
              <w:spacing w:before="100" w:beforeAutospacing="1" w:after="100" w:afterAutospacing="1"/>
              <w:jc w:val="center"/>
              <w:rPr>
                <w:color w:val="404040"/>
                <w:sz w:val="22"/>
                <w:szCs w:val="22"/>
              </w:rPr>
            </w:pPr>
            <w:r w:rsidRPr="00A95203">
              <w:rPr>
                <w:color w:val="404040"/>
                <w:sz w:val="22"/>
                <w:szCs w:val="22"/>
              </w:rPr>
              <w:t>0</w:t>
            </w:r>
          </w:p>
        </w:tc>
      </w:tr>
    </w:tbl>
    <w:p w:rsidR="00536704" w:rsidRPr="00A95203" w:rsidRDefault="00536704" w:rsidP="00536704">
      <w:pPr>
        <w:pStyle w:val="af2"/>
        <w:spacing w:line="360" w:lineRule="auto"/>
        <w:ind w:rightChars="-85" w:right="-178" w:firstLineChars="200" w:firstLine="480"/>
        <w:rPr>
          <w:sz w:val="24"/>
          <w:szCs w:val="24"/>
        </w:rPr>
      </w:pPr>
      <w:r w:rsidRPr="00A95203">
        <w:rPr>
          <w:sz w:val="24"/>
          <w:szCs w:val="24"/>
        </w:rPr>
        <w:lastRenderedPageBreak/>
        <w:t>备注：同一基金的</w:t>
      </w:r>
      <w:r w:rsidRPr="00A95203">
        <w:rPr>
          <w:sz w:val="24"/>
          <w:szCs w:val="24"/>
        </w:rPr>
        <w:t>A</w:t>
      </w:r>
      <w:r w:rsidRPr="00A95203">
        <w:rPr>
          <w:sz w:val="24"/>
          <w:szCs w:val="24"/>
        </w:rPr>
        <w:t>类、</w:t>
      </w:r>
      <w:r w:rsidRPr="00A95203">
        <w:rPr>
          <w:sz w:val="24"/>
          <w:szCs w:val="24"/>
        </w:rPr>
        <w:t>C</w:t>
      </w:r>
      <w:r w:rsidRPr="00A95203">
        <w:rPr>
          <w:sz w:val="24"/>
          <w:szCs w:val="24"/>
        </w:rPr>
        <w:t>类基金份额之间不可转换。</w:t>
      </w:r>
    </w:p>
    <w:p w:rsidR="00536704" w:rsidRPr="00A95203" w:rsidRDefault="00536704" w:rsidP="00536704">
      <w:pPr>
        <w:pStyle w:val="af2"/>
        <w:spacing w:line="360" w:lineRule="auto"/>
        <w:ind w:rightChars="-85" w:right="-178" w:firstLineChars="200" w:firstLine="480"/>
        <w:rPr>
          <w:sz w:val="24"/>
          <w:szCs w:val="24"/>
        </w:rPr>
      </w:pPr>
      <w:r w:rsidRPr="00A95203">
        <w:rPr>
          <w:sz w:val="24"/>
          <w:szCs w:val="24"/>
        </w:rPr>
        <w:t>4</w:t>
      </w:r>
      <w:r w:rsidRPr="00A95203">
        <w:rPr>
          <w:sz w:val="24"/>
          <w:szCs w:val="24"/>
        </w:rPr>
        <w:t>、后端收费模式下转出与转入基金的申购补差费用</w:t>
      </w:r>
    </w:p>
    <w:p w:rsidR="00536704" w:rsidRPr="00A95203" w:rsidRDefault="0044505C" w:rsidP="00536704">
      <w:pPr>
        <w:pStyle w:val="af2"/>
        <w:spacing w:line="360" w:lineRule="auto"/>
        <w:ind w:rightChars="-85" w:right="-178" w:firstLineChars="200" w:firstLine="480"/>
        <w:rPr>
          <w:sz w:val="24"/>
          <w:szCs w:val="24"/>
        </w:rPr>
      </w:pPr>
      <w:r w:rsidRPr="00A95203">
        <w:rPr>
          <w:sz w:val="24"/>
        </w:rPr>
        <w:t>从不收取申购费用的基金或后端申购费用低的基金向后端申购费用高的基金转换，不收取后端申购补差费用，但转入的基金份额赎回的时候需全额收取转入基金的后端申购费；从后端申购费用高的基金向后端申购费用低的基金或不收取申购费用的基金转换</w:t>
      </w:r>
      <w:r w:rsidR="00536704" w:rsidRPr="00A95203">
        <w:rPr>
          <w:sz w:val="24"/>
          <w:szCs w:val="24"/>
        </w:rPr>
        <w:t>，收取后端申购补差费用，且转入的基金份额赎回的时候需全额收取转入基金的后端申购费。后端申购补差费用按照转出份额持有时间对应分档的转出基金后端申购费率减去转入基金后端申购费率差额进行补差。后端收费模式下转出与转入基金的申购补差费率具体如下：</w:t>
      </w:r>
    </w:p>
    <w:tbl>
      <w:tblPr>
        <w:tblW w:w="8475" w:type="dxa"/>
        <w:tblCellSpacing w:w="0" w:type="dxa"/>
        <w:tblBorders>
          <w:top w:val="single" w:sz="2" w:space="0" w:color="7F7F7F"/>
          <w:left w:val="single" w:sz="2" w:space="0" w:color="7F7F7F"/>
          <w:bottom w:val="single" w:sz="2" w:space="0" w:color="7F7F7F"/>
          <w:right w:val="single" w:sz="2" w:space="0" w:color="7F7F7F"/>
          <w:insideH w:val="single" w:sz="6" w:space="0" w:color="7F7F7F"/>
          <w:insideV w:val="single" w:sz="6" w:space="0" w:color="7F7F7F"/>
        </w:tblBorders>
        <w:tblLayout w:type="fixed"/>
        <w:tblCellMar>
          <w:left w:w="0" w:type="dxa"/>
          <w:right w:w="0" w:type="dxa"/>
        </w:tblCellMar>
        <w:tblLook w:val="04A0"/>
      </w:tblPr>
      <w:tblGrid>
        <w:gridCol w:w="1922"/>
        <w:gridCol w:w="2010"/>
        <w:gridCol w:w="3146"/>
        <w:gridCol w:w="1397"/>
      </w:tblGrid>
      <w:tr w:rsidR="00C254DD" w:rsidRPr="00A95203" w:rsidTr="00534F16">
        <w:trPr>
          <w:tblCellSpacing w:w="0" w:type="dxa"/>
        </w:trPr>
        <w:tc>
          <w:tcPr>
            <w:tcW w:w="1922" w:type="dxa"/>
            <w:tcBorders>
              <w:top w:val="single" w:sz="6" w:space="0" w:color="7F7F7F"/>
              <w:left w:val="single" w:sz="6" w:space="0" w:color="7F7F7F"/>
              <w:bottom w:val="single" w:sz="6" w:space="0" w:color="7F7F7F"/>
              <w:right w:val="single" w:sz="6" w:space="0" w:color="7F7F7F"/>
            </w:tcBorders>
            <w:vAlign w:val="center"/>
            <w:hideMark/>
          </w:tcPr>
          <w:p w:rsidR="00C254DD" w:rsidRPr="00A95203" w:rsidRDefault="00C254DD" w:rsidP="00534F16">
            <w:pPr>
              <w:widowControl/>
              <w:tabs>
                <w:tab w:val="left" w:pos="420"/>
              </w:tabs>
              <w:spacing w:before="100" w:beforeAutospacing="1" w:after="100" w:afterAutospacing="1"/>
              <w:jc w:val="center"/>
              <w:rPr>
                <w:kern w:val="0"/>
                <w:sz w:val="22"/>
                <w:szCs w:val="22"/>
              </w:rPr>
            </w:pPr>
            <w:r w:rsidRPr="00A95203">
              <w:rPr>
                <w:b/>
                <w:bCs/>
                <w:kern w:val="0"/>
                <w:sz w:val="22"/>
                <w:szCs w:val="22"/>
              </w:rPr>
              <w:t>转出基金</w:t>
            </w:r>
          </w:p>
        </w:tc>
        <w:tc>
          <w:tcPr>
            <w:tcW w:w="2010" w:type="dxa"/>
            <w:tcBorders>
              <w:top w:val="single" w:sz="6" w:space="0" w:color="7F7F7F"/>
              <w:left w:val="single" w:sz="6" w:space="0" w:color="7F7F7F"/>
              <w:bottom w:val="single" w:sz="6" w:space="0" w:color="7F7F7F"/>
              <w:right w:val="single" w:sz="6" w:space="0" w:color="7F7F7F"/>
            </w:tcBorders>
            <w:vAlign w:val="center"/>
            <w:hideMark/>
          </w:tcPr>
          <w:p w:rsidR="00C254DD" w:rsidRPr="00A95203" w:rsidRDefault="00C254DD" w:rsidP="00534F16">
            <w:pPr>
              <w:widowControl/>
              <w:tabs>
                <w:tab w:val="left" w:pos="420"/>
              </w:tabs>
              <w:spacing w:before="100" w:beforeAutospacing="1" w:after="100" w:afterAutospacing="1"/>
              <w:jc w:val="center"/>
              <w:rPr>
                <w:kern w:val="0"/>
                <w:sz w:val="22"/>
                <w:szCs w:val="22"/>
              </w:rPr>
            </w:pPr>
            <w:r w:rsidRPr="00A95203">
              <w:rPr>
                <w:b/>
                <w:bCs/>
                <w:kern w:val="0"/>
                <w:sz w:val="22"/>
                <w:szCs w:val="22"/>
              </w:rPr>
              <w:t>转入基金</w:t>
            </w: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C254DD" w:rsidRPr="00A95203" w:rsidRDefault="00C254DD" w:rsidP="00534F16">
            <w:pPr>
              <w:widowControl/>
              <w:tabs>
                <w:tab w:val="left" w:pos="420"/>
              </w:tabs>
              <w:spacing w:before="100" w:beforeAutospacing="1" w:after="100" w:afterAutospacing="1"/>
              <w:jc w:val="center"/>
              <w:rPr>
                <w:kern w:val="0"/>
                <w:sz w:val="22"/>
                <w:szCs w:val="22"/>
              </w:rPr>
            </w:pPr>
            <w:r w:rsidRPr="00A95203">
              <w:rPr>
                <w:b/>
                <w:bCs/>
                <w:kern w:val="0"/>
                <w:sz w:val="22"/>
                <w:szCs w:val="22"/>
              </w:rPr>
              <w:t>转出份额持有时间</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C254DD" w:rsidRPr="00A95203" w:rsidRDefault="00C254DD" w:rsidP="00534F16">
            <w:pPr>
              <w:widowControl/>
              <w:tabs>
                <w:tab w:val="left" w:pos="420"/>
              </w:tabs>
              <w:spacing w:before="100" w:beforeAutospacing="1" w:after="100" w:afterAutospacing="1"/>
              <w:jc w:val="center"/>
              <w:rPr>
                <w:kern w:val="0"/>
                <w:sz w:val="22"/>
                <w:szCs w:val="22"/>
              </w:rPr>
            </w:pPr>
            <w:r w:rsidRPr="00A95203">
              <w:rPr>
                <w:b/>
                <w:bCs/>
                <w:kern w:val="0"/>
                <w:sz w:val="22"/>
                <w:szCs w:val="22"/>
              </w:rPr>
              <w:t>转出与转入基金的申购补差费率</w:t>
            </w:r>
          </w:p>
        </w:tc>
      </w:tr>
      <w:tr w:rsidR="00C254DD" w:rsidRPr="00A95203" w:rsidTr="00534F16">
        <w:trPr>
          <w:tblCellSpacing w:w="0" w:type="dxa"/>
        </w:trPr>
        <w:tc>
          <w:tcPr>
            <w:tcW w:w="1922" w:type="dxa"/>
            <w:vMerge w:val="restart"/>
            <w:tcBorders>
              <w:top w:val="single" w:sz="6" w:space="0" w:color="7F7F7F"/>
              <w:left w:val="single" w:sz="6" w:space="0" w:color="7F7F7F"/>
              <w:bottom w:val="single" w:sz="6" w:space="0" w:color="7F7F7F"/>
              <w:right w:val="single" w:sz="6" w:space="0" w:color="7F7F7F"/>
            </w:tcBorders>
            <w:vAlign w:val="center"/>
            <w:hideMark/>
          </w:tcPr>
          <w:p w:rsidR="00C254DD" w:rsidRPr="00A95203" w:rsidRDefault="00C254DD" w:rsidP="00534F16">
            <w:pPr>
              <w:widowControl/>
              <w:jc w:val="left"/>
              <w:rPr>
                <w:kern w:val="0"/>
                <w:sz w:val="22"/>
                <w:szCs w:val="22"/>
              </w:rPr>
            </w:pPr>
            <w:r w:rsidRPr="00A95203">
              <w:rPr>
                <w:kern w:val="0"/>
                <w:sz w:val="22"/>
                <w:szCs w:val="22"/>
              </w:rPr>
              <w:t>后端收费模式下</w:t>
            </w:r>
          </w:p>
          <w:p w:rsidR="00C254DD" w:rsidRPr="00A95203" w:rsidRDefault="00C254DD" w:rsidP="00F75B56">
            <w:pPr>
              <w:widowControl/>
              <w:tabs>
                <w:tab w:val="left" w:pos="420"/>
              </w:tabs>
              <w:jc w:val="left"/>
              <w:rPr>
                <w:kern w:val="0"/>
                <w:sz w:val="22"/>
                <w:szCs w:val="22"/>
              </w:rPr>
            </w:pPr>
            <w:r w:rsidRPr="00A95203">
              <w:rPr>
                <w:kern w:val="0"/>
                <w:sz w:val="22"/>
                <w:szCs w:val="22"/>
              </w:rPr>
              <w:t>交银精选、交银稳健、交银成长、交银蓝筹、交银先锋、交银治理、交银主题、交银趋势、交银制造、交银价值、交银核心</w:t>
            </w:r>
            <w:r w:rsidR="0018114C" w:rsidRPr="00A95203">
              <w:rPr>
                <w:kern w:val="0"/>
                <w:sz w:val="22"/>
                <w:szCs w:val="22"/>
              </w:rPr>
              <w:t>、</w:t>
            </w:r>
            <w:r w:rsidR="0063431C" w:rsidRPr="00A95203">
              <w:rPr>
                <w:kern w:val="0"/>
                <w:sz w:val="22"/>
                <w:szCs w:val="22"/>
              </w:rPr>
              <w:t>交银消费新驱动、</w:t>
            </w:r>
            <w:r w:rsidR="0018114C" w:rsidRPr="00A95203">
              <w:rPr>
                <w:kern w:val="0"/>
                <w:sz w:val="22"/>
                <w:szCs w:val="22"/>
              </w:rPr>
              <w:t>交银成长</w:t>
            </w:r>
            <w:r w:rsidR="0018114C" w:rsidRPr="00A95203">
              <w:rPr>
                <w:kern w:val="0"/>
                <w:sz w:val="22"/>
                <w:szCs w:val="22"/>
              </w:rPr>
              <w:t>30</w:t>
            </w:r>
            <w:r w:rsidR="0010366C" w:rsidRPr="00A95203">
              <w:rPr>
                <w:kern w:val="0"/>
                <w:sz w:val="22"/>
                <w:szCs w:val="22"/>
              </w:rPr>
              <w:t>、交银周期回报</w:t>
            </w:r>
            <w:r w:rsidR="00F1122A" w:rsidRPr="00A95203">
              <w:rPr>
                <w:kern w:val="0"/>
                <w:sz w:val="22"/>
                <w:szCs w:val="22"/>
              </w:rPr>
              <w:t>A</w:t>
            </w:r>
            <w:r w:rsidR="00F1122A" w:rsidRPr="00A95203">
              <w:rPr>
                <w:kern w:val="0"/>
                <w:sz w:val="22"/>
                <w:szCs w:val="22"/>
              </w:rPr>
              <w:t>类</w:t>
            </w:r>
            <w:r w:rsidR="00F1122A">
              <w:rPr>
                <w:rFonts w:hint="eastAsia"/>
                <w:kern w:val="0"/>
                <w:sz w:val="22"/>
                <w:szCs w:val="22"/>
              </w:rPr>
              <w:t>基金份额</w:t>
            </w:r>
            <w:r w:rsidR="00F6756B" w:rsidRPr="00A95203">
              <w:rPr>
                <w:kern w:val="0"/>
                <w:sz w:val="22"/>
                <w:szCs w:val="22"/>
              </w:rPr>
              <w:t>、交银新成长</w:t>
            </w:r>
          </w:p>
        </w:tc>
        <w:tc>
          <w:tcPr>
            <w:tcW w:w="2010" w:type="dxa"/>
            <w:vMerge w:val="restart"/>
            <w:tcBorders>
              <w:top w:val="single" w:sz="6" w:space="0" w:color="7F7F7F"/>
              <w:left w:val="single" w:sz="6" w:space="0" w:color="7F7F7F"/>
              <w:bottom w:val="single" w:sz="6" w:space="0" w:color="7F7F7F"/>
              <w:right w:val="single" w:sz="6" w:space="0" w:color="7F7F7F"/>
            </w:tcBorders>
            <w:vAlign w:val="center"/>
            <w:hideMark/>
          </w:tcPr>
          <w:p w:rsidR="00000000" w:rsidRDefault="00C254DD">
            <w:pPr>
              <w:widowControl/>
              <w:jc w:val="left"/>
              <w:rPr>
                <w:kern w:val="0"/>
                <w:sz w:val="22"/>
                <w:szCs w:val="22"/>
              </w:rPr>
            </w:pPr>
            <w:r w:rsidRPr="00A95203">
              <w:rPr>
                <w:kern w:val="0"/>
                <w:sz w:val="22"/>
                <w:szCs w:val="22"/>
              </w:rPr>
              <w:t>交银货币</w:t>
            </w:r>
            <w:r w:rsidR="00B46B47">
              <w:rPr>
                <w:rFonts w:hint="eastAsia"/>
                <w:kern w:val="0"/>
                <w:sz w:val="22"/>
                <w:szCs w:val="22"/>
              </w:rPr>
              <w:t>、</w:t>
            </w:r>
            <w:r w:rsidRPr="00A95203">
              <w:rPr>
                <w:kern w:val="0"/>
                <w:sz w:val="22"/>
                <w:szCs w:val="22"/>
              </w:rPr>
              <w:t>交银增利</w:t>
            </w:r>
            <w:r w:rsidRPr="00A95203">
              <w:rPr>
                <w:kern w:val="0"/>
                <w:sz w:val="22"/>
                <w:szCs w:val="22"/>
              </w:rPr>
              <w:t>C</w:t>
            </w:r>
            <w:r w:rsidRPr="00A95203">
              <w:rPr>
                <w:kern w:val="0"/>
                <w:sz w:val="22"/>
                <w:szCs w:val="22"/>
              </w:rPr>
              <w:t>类基金份额</w:t>
            </w:r>
            <w:r w:rsidR="00B46B47">
              <w:rPr>
                <w:rFonts w:hint="eastAsia"/>
                <w:kern w:val="0"/>
                <w:sz w:val="22"/>
                <w:szCs w:val="22"/>
              </w:rPr>
              <w:t>、</w:t>
            </w:r>
            <w:r w:rsidRPr="00A95203">
              <w:rPr>
                <w:kern w:val="0"/>
                <w:sz w:val="22"/>
                <w:szCs w:val="22"/>
              </w:rPr>
              <w:t>交银双利</w:t>
            </w:r>
            <w:r w:rsidRPr="00A95203">
              <w:rPr>
                <w:kern w:val="0"/>
                <w:sz w:val="22"/>
                <w:szCs w:val="22"/>
              </w:rPr>
              <w:t>C</w:t>
            </w:r>
            <w:r w:rsidRPr="00A95203">
              <w:rPr>
                <w:kern w:val="0"/>
                <w:sz w:val="22"/>
                <w:szCs w:val="22"/>
              </w:rPr>
              <w:t>类基金份额</w:t>
            </w:r>
            <w:r w:rsidR="00B46B47">
              <w:rPr>
                <w:rFonts w:hint="eastAsia"/>
                <w:kern w:val="0"/>
                <w:sz w:val="22"/>
                <w:szCs w:val="22"/>
              </w:rPr>
              <w:t>、</w:t>
            </w:r>
            <w:r w:rsidRPr="00A95203">
              <w:rPr>
                <w:kern w:val="0"/>
                <w:sz w:val="22"/>
                <w:szCs w:val="22"/>
              </w:rPr>
              <w:t>交银纯债</w:t>
            </w:r>
            <w:r w:rsidRPr="00A95203">
              <w:rPr>
                <w:kern w:val="0"/>
                <w:sz w:val="22"/>
                <w:szCs w:val="22"/>
              </w:rPr>
              <w:t>C</w:t>
            </w:r>
            <w:r w:rsidRPr="00A95203">
              <w:rPr>
                <w:kern w:val="0"/>
                <w:sz w:val="22"/>
                <w:szCs w:val="22"/>
              </w:rPr>
              <w:t>类基金份额</w:t>
            </w:r>
            <w:r w:rsidR="00B46B47">
              <w:rPr>
                <w:rFonts w:hint="eastAsia"/>
                <w:kern w:val="0"/>
                <w:sz w:val="22"/>
                <w:szCs w:val="22"/>
              </w:rPr>
              <w:t>、</w:t>
            </w:r>
            <w:r w:rsidRPr="00A95203">
              <w:rPr>
                <w:kern w:val="0"/>
                <w:sz w:val="22"/>
                <w:szCs w:val="22"/>
              </w:rPr>
              <w:t>交银双轮动</w:t>
            </w:r>
            <w:r w:rsidRPr="00A95203">
              <w:rPr>
                <w:kern w:val="0"/>
                <w:sz w:val="22"/>
                <w:szCs w:val="22"/>
              </w:rPr>
              <w:t>C</w:t>
            </w:r>
            <w:r w:rsidRPr="00A95203">
              <w:rPr>
                <w:kern w:val="0"/>
                <w:sz w:val="22"/>
                <w:szCs w:val="22"/>
              </w:rPr>
              <w:t>类基金份额</w:t>
            </w:r>
            <w:r w:rsidR="00B46B47">
              <w:rPr>
                <w:rFonts w:hint="eastAsia"/>
                <w:kern w:val="0"/>
                <w:sz w:val="22"/>
                <w:szCs w:val="22"/>
              </w:rPr>
              <w:t>、</w:t>
            </w:r>
            <w:r w:rsidR="007735F9" w:rsidRPr="00A95203">
              <w:rPr>
                <w:kern w:val="0"/>
                <w:sz w:val="22"/>
                <w:szCs w:val="22"/>
              </w:rPr>
              <w:t>交银月月丰</w:t>
            </w:r>
            <w:r w:rsidR="007735F9" w:rsidRPr="00A95203">
              <w:rPr>
                <w:kern w:val="0"/>
                <w:sz w:val="22"/>
                <w:szCs w:val="22"/>
              </w:rPr>
              <w:t>C</w:t>
            </w:r>
            <w:r w:rsidR="007735F9" w:rsidRPr="00A95203">
              <w:rPr>
                <w:kern w:val="0"/>
                <w:sz w:val="22"/>
                <w:szCs w:val="22"/>
              </w:rPr>
              <w:t>类基金份额</w:t>
            </w:r>
            <w:r w:rsidR="00B46B47">
              <w:rPr>
                <w:rFonts w:hint="eastAsia"/>
                <w:kern w:val="0"/>
                <w:sz w:val="22"/>
                <w:szCs w:val="22"/>
              </w:rPr>
              <w:t>、</w:t>
            </w:r>
            <w:r w:rsidR="007E7A59" w:rsidRPr="00A95203">
              <w:rPr>
                <w:kern w:val="0"/>
                <w:sz w:val="22"/>
                <w:szCs w:val="22"/>
              </w:rPr>
              <w:t>交银强化回报</w:t>
            </w:r>
            <w:r w:rsidR="007E7A59" w:rsidRPr="00A95203">
              <w:rPr>
                <w:kern w:val="0"/>
                <w:sz w:val="22"/>
                <w:szCs w:val="22"/>
              </w:rPr>
              <w:t>C</w:t>
            </w:r>
            <w:r w:rsidR="007E7A59" w:rsidRPr="00A95203">
              <w:rPr>
                <w:kern w:val="0"/>
                <w:sz w:val="22"/>
                <w:szCs w:val="22"/>
              </w:rPr>
              <w:t>类基金份额</w:t>
            </w: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C254DD" w:rsidRPr="00A95203" w:rsidRDefault="00C254DD" w:rsidP="00534F16">
            <w:pPr>
              <w:widowControl/>
              <w:tabs>
                <w:tab w:val="left" w:pos="420"/>
              </w:tabs>
              <w:spacing w:before="100" w:beforeAutospacing="1" w:after="100" w:afterAutospacing="1"/>
              <w:jc w:val="center"/>
              <w:rPr>
                <w:kern w:val="0"/>
                <w:sz w:val="22"/>
                <w:szCs w:val="22"/>
              </w:rPr>
            </w:pPr>
            <w:r w:rsidRPr="00A95203">
              <w:rPr>
                <w:kern w:val="0"/>
                <w:sz w:val="22"/>
                <w:szCs w:val="22"/>
              </w:rPr>
              <w:t>1</w:t>
            </w:r>
            <w:r w:rsidRPr="00A95203">
              <w:rPr>
                <w:kern w:val="0"/>
                <w:sz w:val="22"/>
                <w:szCs w:val="22"/>
              </w:rPr>
              <w:t>年（含）以内</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C254DD" w:rsidRPr="00A95203" w:rsidRDefault="00C254DD" w:rsidP="00534F16">
            <w:pPr>
              <w:widowControl/>
              <w:tabs>
                <w:tab w:val="left" w:pos="420"/>
              </w:tabs>
              <w:spacing w:before="100" w:beforeAutospacing="1" w:after="100" w:afterAutospacing="1"/>
              <w:jc w:val="center"/>
              <w:rPr>
                <w:kern w:val="0"/>
                <w:sz w:val="22"/>
                <w:szCs w:val="22"/>
              </w:rPr>
            </w:pPr>
            <w:r w:rsidRPr="00A95203">
              <w:rPr>
                <w:kern w:val="0"/>
                <w:sz w:val="22"/>
                <w:szCs w:val="22"/>
              </w:rPr>
              <w:t>1.8%</w:t>
            </w:r>
          </w:p>
        </w:tc>
      </w:tr>
      <w:tr w:rsidR="00C254DD" w:rsidRPr="00A95203" w:rsidTr="00534F16">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C254DD" w:rsidRPr="00A95203" w:rsidRDefault="00C254DD" w:rsidP="00534F16">
            <w:pPr>
              <w:widowControl/>
              <w:jc w:val="left"/>
              <w:rPr>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C254DD" w:rsidRPr="00A95203" w:rsidRDefault="00C254DD" w:rsidP="00534F16">
            <w:pPr>
              <w:widowControl/>
              <w:jc w:val="left"/>
              <w:rPr>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C254DD" w:rsidRPr="00A95203" w:rsidRDefault="00C254DD" w:rsidP="00534F16">
            <w:pPr>
              <w:widowControl/>
              <w:tabs>
                <w:tab w:val="left" w:pos="420"/>
              </w:tabs>
              <w:spacing w:before="100" w:beforeAutospacing="1" w:after="100" w:afterAutospacing="1"/>
              <w:jc w:val="center"/>
              <w:rPr>
                <w:kern w:val="0"/>
                <w:sz w:val="22"/>
                <w:szCs w:val="22"/>
              </w:rPr>
            </w:pPr>
            <w:r w:rsidRPr="00A95203">
              <w:rPr>
                <w:kern w:val="0"/>
                <w:sz w:val="22"/>
                <w:szCs w:val="22"/>
              </w:rPr>
              <w:t>1</w:t>
            </w:r>
            <w:r w:rsidRPr="00A95203">
              <w:rPr>
                <w:kern w:val="0"/>
                <w:sz w:val="22"/>
                <w:szCs w:val="22"/>
              </w:rPr>
              <w:t>年</w:t>
            </w:r>
            <w:r w:rsidRPr="00A95203">
              <w:rPr>
                <w:kern w:val="0"/>
                <w:sz w:val="22"/>
                <w:szCs w:val="22"/>
              </w:rPr>
              <w:t>-3</w:t>
            </w:r>
            <w:r w:rsidRPr="00A95203">
              <w:rPr>
                <w:kern w:val="0"/>
                <w:sz w:val="22"/>
                <w:szCs w:val="22"/>
              </w:rPr>
              <w:t>年（含）</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C254DD" w:rsidRPr="00A95203" w:rsidRDefault="00C254DD" w:rsidP="00534F16">
            <w:pPr>
              <w:widowControl/>
              <w:tabs>
                <w:tab w:val="left" w:pos="420"/>
              </w:tabs>
              <w:spacing w:before="100" w:beforeAutospacing="1" w:after="100" w:afterAutospacing="1"/>
              <w:jc w:val="center"/>
              <w:rPr>
                <w:kern w:val="0"/>
                <w:sz w:val="22"/>
                <w:szCs w:val="22"/>
              </w:rPr>
            </w:pPr>
            <w:r w:rsidRPr="00A95203">
              <w:rPr>
                <w:kern w:val="0"/>
                <w:sz w:val="22"/>
                <w:szCs w:val="22"/>
              </w:rPr>
              <w:t>1.2%</w:t>
            </w:r>
          </w:p>
        </w:tc>
      </w:tr>
      <w:tr w:rsidR="00C254DD" w:rsidRPr="00A95203" w:rsidTr="00534F16">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C254DD" w:rsidRPr="00A95203" w:rsidRDefault="00C254DD" w:rsidP="00534F16">
            <w:pPr>
              <w:widowControl/>
              <w:jc w:val="left"/>
              <w:rPr>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C254DD" w:rsidRPr="00A95203" w:rsidRDefault="00C254DD" w:rsidP="00534F16">
            <w:pPr>
              <w:widowControl/>
              <w:jc w:val="left"/>
              <w:rPr>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C254DD" w:rsidRPr="00A95203" w:rsidRDefault="00C254DD" w:rsidP="00534F16">
            <w:pPr>
              <w:widowControl/>
              <w:tabs>
                <w:tab w:val="left" w:pos="420"/>
              </w:tabs>
              <w:spacing w:before="100" w:beforeAutospacing="1" w:after="100" w:afterAutospacing="1"/>
              <w:jc w:val="center"/>
              <w:rPr>
                <w:kern w:val="0"/>
                <w:sz w:val="22"/>
                <w:szCs w:val="22"/>
              </w:rPr>
            </w:pPr>
            <w:r w:rsidRPr="00A95203">
              <w:rPr>
                <w:kern w:val="0"/>
                <w:sz w:val="22"/>
                <w:szCs w:val="22"/>
              </w:rPr>
              <w:t>3</w:t>
            </w:r>
            <w:r w:rsidRPr="00A95203">
              <w:rPr>
                <w:kern w:val="0"/>
                <w:sz w:val="22"/>
                <w:szCs w:val="22"/>
              </w:rPr>
              <w:t>年</w:t>
            </w:r>
            <w:r w:rsidRPr="00A95203">
              <w:rPr>
                <w:kern w:val="0"/>
                <w:sz w:val="22"/>
                <w:szCs w:val="22"/>
              </w:rPr>
              <w:t>-5</w:t>
            </w:r>
            <w:r w:rsidRPr="00A95203">
              <w:rPr>
                <w:kern w:val="0"/>
                <w:sz w:val="22"/>
                <w:szCs w:val="22"/>
              </w:rPr>
              <w:t>年（含）</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C254DD" w:rsidRPr="00A95203" w:rsidRDefault="00C254DD" w:rsidP="00534F16">
            <w:pPr>
              <w:widowControl/>
              <w:tabs>
                <w:tab w:val="left" w:pos="420"/>
              </w:tabs>
              <w:spacing w:before="100" w:beforeAutospacing="1" w:after="100" w:afterAutospacing="1"/>
              <w:jc w:val="center"/>
              <w:rPr>
                <w:kern w:val="0"/>
                <w:sz w:val="22"/>
                <w:szCs w:val="22"/>
              </w:rPr>
            </w:pPr>
            <w:r w:rsidRPr="00A95203">
              <w:rPr>
                <w:kern w:val="0"/>
                <w:sz w:val="22"/>
                <w:szCs w:val="22"/>
              </w:rPr>
              <w:t>0.6%</w:t>
            </w:r>
          </w:p>
        </w:tc>
      </w:tr>
      <w:tr w:rsidR="00C254DD" w:rsidRPr="00A95203" w:rsidTr="00534F16">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C254DD" w:rsidRPr="00A95203" w:rsidRDefault="00C254DD" w:rsidP="00534F16">
            <w:pPr>
              <w:widowControl/>
              <w:jc w:val="left"/>
              <w:rPr>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C254DD" w:rsidRPr="00A95203" w:rsidRDefault="00C254DD" w:rsidP="00534F16">
            <w:pPr>
              <w:widowControl/>
              <w:jc w:val="left"/>
              <w:rPr>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C254DD" w:rsidRPr="00A95203" w:rsidRDefault="00C254DD" w:rsidP="00534F16">
            <w:pPr>
              <w:widowControl/>
              <w:tabs>
                <w:tab w:val="left" w:pos="420"/>
              </w:tabs>
              <w:spacing w:before="100" w:beforeAutospacing="1" w:after="100" w:afterAutospacing="1"/>
              <w:jc w:val="center"/>
              <w:rPr>
                <w:kern w:val="0"/>
                <w:sz w:val="22"/>
                <w:szCs w:val="22"/>
              </w:rPr>
            </w:pPr>
            <w:r w:rsidRPr="00A95203">
              <w:rPr>
                <w:kern w:val="0"/>
                <w:sz w:val="22"/>
                <w:szCs w:val="22"/>
              </w:rPr>
              <w:t>5</w:t>
            </w:r>
            <w:r w:rsidRPr="00A95203">
              <w:rPr>
                <w:kern w:val="0"/>
                <w:sz w:val="22"/>
                <w:szCs w:val="22"/>
              </w:rPr>
              <w:t>年以上</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C254DD" w:rsidRPr="00A95203" w:rsidRDefault="00C254DD" w:rsidP="00534F16">
            <w:pPr>
              <w:widowControl/>
              <w:tabs>
                <w:tab w:val="left" w:pos="420"/>
              </w:tabs>
              <w:spacing w:before="100" w:beforeAutospacing="1" w:after="100" w:afterAutospacing="1"/>
              <w:jc w:val="center"/>
              <w:rPr>
                <w:kern w:val="0"/>
                <w:sz w:val="22"/>
                <w:szCs w:val="22"/>
              </w:rPr>
            </w:pPr>
            <w:r w:rsidRPr="00A95203">
              <w:rPr>
                <w:kern w:val="0"/>
                <w:sz w:val="22"/>
                <w:szCs w:val="22"/>
              </w:rPr>
              <w:t>0</w:t>
            </w:r>
          </w:p>
        </w:tc>
      </w:tr>
      <w:tr w:rsidR="00C254DD" w:rsidRPr="00A95203" w:rsidTr="00534F16">
        <w:trPr>
          <w:tblCellSpacing w:w="0" w:type="dxa"/>
        </w:trPr>
        <w:tc>
          <w:tcPr>
            <w:tcW w:w="1922" w:type="dxa"/>
            <w:vMerge w:val="restart"/>
            <w:tcBorders>
              <w:top w:val="single" w:sz="6" w:space="0" w:color="7F7F7F"/>
              <w:left w:val="single" w:sz="6" w:space="0" w:color="7F7F7F"/>
              <w:bottom w:val="single" w:sz="6" w:space="0" w:color="7F7F7F"/>
              <w:right w:val="single" w:sz="6" w:space="0" w:color="7F7F7F"/>
            </w:tcBorders>
            <w:vAlign w:val="center"/>
            <w:hideMark/>
          </w:tcPr>
          <w:p w:rsidR="00000000" w:rsidRDefault="00C254DD">
            <w:pPr>
              <w:widowControl/>
              <w:jc w:val="left"/>
              <w:rPr>
                <w:kern w:val="0"/>
                <w:sz w:val="22"/>
                <w:szCs w:val="22"/>
              </w:rPr>
            </w:pPr>
            <w:r w:rsidRPr="00A95203">
              <w:rPr>
                <w:kern w:val="0"/>
                <w:sz w:val="22"/>
                <w:szCs w:val="22"/>
              </w:rPr>
              <w:t>交银增利</w:t>
            </w:r>
            <w:r w:rsidRPr="00A95203">
              <w:rPr>
                <w:kern w:val="0"/>
                <w:sz w:val="22"/>
                <w:szCs w:val="22"/>
              </w:rPr>
              <w:t>B</w:t>
            </w:r>
            <w:r w:rsidRPr="00A95203">
              <w:rPr>
                <w:kern w:val="0"/>
                <w:sz w:val="22"/>
                <w:szCs w:val="22"/>
              </w:rPr>
              <w:t>类基金份额</w:t>
            </w:r>
            <w:r w:rsidR="00B46B47">
              <w:rPr>
                <w:rFonts w:hint="eastAsia"/>
                <w:kern w:val="0"/>
                <w:sz w:val="22"/>
                <w:szCs w:val="22"/>
              </w:rPr>
              <w:t>、</w:t>
            </w:r>
            <w:r w:rsidRPr="00A95203">
              <w:rPr>
                <w:kern w:val="0"/>
                <w:sz w:val="22"/>
                <w:szCs w:val="22"/>
              </w:rPr>
              <w:t>交银双利</w:t>
            </w:r>
            <w:r w:rsidRPr="00A95203">
              <w:rPr>
                <w:kern w:val="0"/>
                <w:sz w:val="22"/>
                <w:szCs w:val="22"/>
              </w:rPr>
              <w:t>B</w:t>
            </w:r>
            <w:r w:rsidRPr="00A95203">
              <w:rPr>
                <w:kern w:val="0"/>
                <w:sz w:val="22"/>
                <w:szCs w:val="22"/>
              </w:rPr>
              <w:t>类基金份额</w:t>
            </w:r>
            <w:r w:rsidR="00B46B47">
              <w:rPr>
                <w:rFonts w:hint="eastAsia"/>
                <w:kern w:val="0"/>
                <w:sz w:val="22"/>
                <w:szCs w:val="22"/>
              </w:rPr>
              <w:t>、</w:t>
            </w:r>
            <w:r w:rsidRPr="00A95203">
              <w:rPr>
                <w:kern w:val="0"/>
                <w:sz w:val="22"/>
                <w:szCs w:val="22"/>
              </w:rPr>
              <w:t>交银纯债</w:t>
            </w:r>
            <w:r w:rsidRPr="00A95203">
              <w:rPr>
                <w:kern w:val="0"/>
                <w:sz w:val="22"/>
                <w:szCs w:val="22"/>
              </w:rPr>
              <w:t>B</w:t>
            </w:r>
            <w:r w:rsidRPr="00A95203">
              <w:rPr>
                <w:kern w:val="0"/>
                <w:sz w:val="22"/>
                <w:szCs w:val="22"/>
              </w:rPr>
              <w:t>类基金份额</w:t>
            </w:r>
            <w:r w:rsidR="00B46B47">
              <w:rPr>
                <w:rFonts w:hint="eastAsia"/>
                <w:kern w:val="0"/>
                <w:sz w:val="22"/>
                <w:szCs w:val="22"/>
              </w:rPr>
              <w:t>、</w:t>
            </w:r>
            <w:r w:rsidRPr="00A95203">
              <w:rPr>
                <w:kern w:val="0"/>
                <w:sz w:val="22"/>
                <w:szCs w:val="22"/>
              </w:rPr>
              <w:t>交银双轮动</w:t>
            </w:r>
            <w:r w:rsidRPr="00A95203">
              <w:rPr>
                <w:kern w:val="0"/>
                <w:sz w:val="22"/>
                <w:szCs w:val="22"/>
              </w:rPr>
              <w:t>B</w:t>
            </w:r>
            <w:r w:rsidRPr="00A95203">
              <w:rPr>
                <w:kern w:val="0"/>
                <w:sz w:val="22"/>
                <w:szCs w:val="22"/>
              </w:rPr>
              <w:t>类基金份额</w:t>
            </w:r>
            <w:r w:rsidR="00B46B47">
              <w:rPr>
                <w:rFonts w:hint="eastAsia"/>
                <w:kern w:val="0"/>
                <w:sz w:val="22"/>
                <w:szCs w:val="22"/>
              </w:rPr>
              <w:t>、</w:t>
            </w:r>
            <w:r w:rsidR="007E7A59" w:rsidRPr="00A95203">
              <w:rPr>
                <w:kern w:val="0"/>
                <w:sz w:val="22"/>
                <w:szCs w:val="22"/>
              </w:rPr>
              <w:t>交银强化回报</w:t>
            </w:r>
            <w:r w:rsidR="007E7A59" w:rsidRPr="00A95203">
              <w:rPr>
                <w:kern w:val="0"/>
                <w:sz w:val="22"/>
                <w:szCs w:val="22"/>
              </w:rPr>
              <w:t>B</w:t>
            </w:r>
            <w:r w:rsidR="007E7A59" w:rsidRPr="00A95203">
              <w:rPr>
                <w:kern w:val="0"/>
                <w:sz w:val="22"/>
                <w:szCs w:val="22"/>
              </w:rPr>
              <w:t>类基金份额</w:t>
            </w:r>
          </w:p>
        </w:tc>
        <w:tc>
          <w:tcPr>
            <w:tcW w:w="2010" w:type="dxa"/>
            <w:vMerge w:val="restart"/>
            <w:tcBorders>
              <w:top w:val="single" w:sz="6" w:space="0" w:color="7F7F7F"/>
              <w:left w:val="single" w:sz="6" w:space="0" w:color="7F7F7F"/>
              <w:bottom w:val="single" w:sz="6" w:space="0" w:color="7F7F7F"/>
              <w:right w:val="single" w:sz="6" w:space="0" w:color="7F7F7F"/>
            </w:tcBorders>
            <w:vAlign w:val="center"/>
            <w:hideMark/>
          </w:tcPr>
          <w:p w:rsidR="00000000" w:rsidRDefault="00C254DD">
            <w:pPr>
              <w:widowControl/>
              <w:jc w:val="left"/>
              <w:rPr>
                <w:kern w:val="0"/>
                <w:sz w:val="22"/>
                <w:szCs w:val="22"/>
              </w:rPr>
            </w:pPr>
            <w:r w:rsidRPr="00A95203">
              <w:rPr>
                <w:kern w:val="0"/>
                <w:sz w:val="22"/>
                <w:szCs w:val="22"/>
              </w:rPr>
              <w:t>交银货币</w:t>
            </w:r>
            <w:r w:rsidR="00B46B47">
              <w:rPr>
                <w:rFonts w:hint="eastAsia"/>
                <w:kern w:val="0"/>
                <w:sz w:val="22"/>
                <w:szCs w:val="22"/>
              </w:rPr>
              <w:t>、</w:t>
            </w:r>
            <w:r w:rsidR="007E7A59" w:rsidRPr="00A95203">
              <w:rPr>
                <w:kern w:val="0"/>
                <w:sz w:val="22"/>
                <w:szCs w:val="22"/>
              </w:rPr>
              <w:t>交银强化回报</w:t>
            </w:r>
            <w:r w:rsidR="007E7A59" w:rsidRPr="00A95203">
              <w:rPr>
                <w:kern w:val="0"/>
                <w:sz w:val="22"/>
                <w:szCs w:val="22"/>
              </w:rPr>
              <w:t>C</w:t>
            </w:r>
            <w:r w:rsidR="007E7A59" w:rsidRPr="00A95203">
              <w:rPr>
                <w:kern w:val="0"/>
                <w:sz w:val="22"/>
                <w:szCs w:val="22"/>
              </w:rPr>
              <w:t>类基金份额</w:t>
            </w:r>
            <w:r w:rsidR="00B46B47">
              <w:rPr>
                <w:rFonts w:hint="eastAsia"/>
                <w:kern w:val="0"/>
                <w:sz w:val="22"/>
                <w:szCs w:val="22"/>
              </w:rPr>
              <w:t>、</w:t>
            </w:r>
            <w:r w:rsidR="007735F9" w:rsidRPr="00A95203">
              <w:rPr>
                <w:kern w:val="0"/>
                <w:sz w:val="22"/>
                <w:szCs w:val="22"/>
              </w:rPr>
              <w:t>交银月月丰</w:t>
            </w:r>
            <w:r w:rsidR="007735F9" w:rsidRPr="00A95203">
              <w:rPr>
                <w:kern w:val="0"/>
                <w:sz w:val="22"/>
                <w:szCs w:val="22"/>
              </w:rPr>
              <w:t>C</w:t>
            </w:r>
            <w:r w:rsidR="007735F9" w:rsidRPr="00A95203">
              <w:rPr>
                <w:kern w:val="0"/>
                <w:sz w:val="22"/>
                <w:szCs w:val="22"/>
              </w:rPr>
              <w:t>类基金份额</w:t>
            </w:r>
            <w:r w:rsidR="00B46B47">
              <w:rPr>
                <w:rFonts w:hint="eastAsia"/>
                <w:kern w:val="0"/>
                <w:sz w:val="22"/>
                <w:szCs w:val="22"/>
              </w:rPr>
              <w:t>、</w:t>
            </w:r>
            <w:r w:rsidRPr="00A95203">
              <w:rPr>
                <w:kern w:val="0"/>
                <w:sz w:val="22"/>
                <w:szCs w:val="22"/>
              </w:rPr>
              <w:t>交银双轮动</w:t>
            </w:r>
            <w:r w:rsidRPr="00A95203">
              <w:rPr>
                <w:kern w:val="0"/>
                <w:sz w:val="22"/>
                <w:szCs w:val="22"/>
              </w:rPr>
              <w:t>C</w:t>
            </w:r>
            <w:r w:rsidRPr="00A95203">
              <w:rPr>
                <w:kern w:val="0"/>
                <w:sz w:val="22"/>
                <w:szCs w:val="22"/>
              </w:rPr>
              <w:t>类基金份额</w:t>
            </w:r>
            <w:r w:rsidR="00B46B47">
              <w:rPr>
                <w:rFonts w:hint="eastAsia"/>
                <w:kern w:val="0"/>
                <w:sz w:val="22"/>
                <w:szCs w:val="22"/>
              </w:rPr>
              <w:t>、</w:t>
            </w:r>
            <w:r w:rsidRPr="00A95203">
              <w:rPr>
                <w:kern w:val="0"/>
                <w:sz w:val="22"/>
                <w:szCs w:val="22"/>
              </w:rPr>
              <w:t>交银纯债</w:t>
            </w:r>
            <w:r w:rsidRPr="00A95203">
              <w:rPr>
                <w:kern w:val="0"/>
                <w:sz w:val="22"/>
                <w:szCs w:val="22"/>
              </w:rPr>
              <w:t>C</w:t>
            </w:r>
            <w:r w:rsidRPr="00A95203">
              <w:rPr>
                <w:kern w:val="0"/>
                <w:sz w:val="22"/>
                <w:szCs w:val="22"/>
              </w:rPr>
              <w:t>类基金份额</w:t>
            </w:r>
            <w:r w:rsidR="00B46B47">
              <w:rPr>
                <w:rFonts w:hint="eastAsia"/>
                <w:kern w:val="0"/>
                <w:sz w:val="22"/>
                <w:szCs w:val="22"/>
              </w:rPr>
              <w:t>、</w:t>
            </w:r>
            <w:r w:rsidRPr="00A95203">
              <w:rPr>
                <w:kern w:val="0"/>
                <w:sz w:val="22"/>
                <w:szCs w:val="22"/>
              </w:rPr>
              <w:t>交银双利</w:t>
            </w:r>
            <w:r w:rsidRPr="00A95203">
              <w:rPr>
                <w:kern w:val="0"/>
                <w:sz w:val="22"/>
                <w:szCs w:val="22"/>
              </w:rPr>
              <w:t>C</w:t>
            </w:r>
            <w:r w:rsidRPr="00A95203">
              <w:rPr>
                <w:kern w:val="0"/>
                <w:sz w:val="22"/>
                <w:szCs w:val="22"/>
              </w:rPr>
              <w:t>类基金份额</w:t>
            </w:r>
            <w:r w:rsidR="00B46B47">
              <w:rPr>
                <w:rFonts w:hint="eastAsia"/>
                <w:kern w:val="0"/>
                <w:sz w:val="22"/>
                <w:szCs w:val="22"/>
              </w:rPr>
              <w:t>、</w:t>
            </w:r>
            <w:r w:rsidRPr="00A95203">
              <w:rPr>
                <w:kern w:val="0"/>
                <w:sz w:val="22"/>
                <w:szCs w:val="22"/>
              </w:rPr>
              <w:t>交银增利</w:t>
            </w:r>
            <w:r w:rsidRPr="00A95203">
              <w:rPr>
                <w:kern w:val="0"/>
                <w:sz w:val="22"/>
                <w:szCs w:val="22"/>
              </w:rPr>
              <w:t>C</w:t>
            </w:r>
            <w:r w:rsidRPr="00A95203">
              <w:rPr>
                <w:kern w:val="0"/>
                <w:sz w:val="22"/>
                <w:szCs w:val="22"/>
              </w:rPr>
              <w:t>类基</w:t>
            </w:r>
            <w:r w:rsidRPr="00A95203">
              <w:rPr>
                <w:kern w:val="0"/>
                <w:sz w:val="22"/>
                <w:szCs w:val="22"/>
              </w:rPr>
              <w:lastRenderedPageBreak/>
              <w:t>金份额</w:t>
            </w: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C254DD" w:rsidRPr="00A95203" w:rsidRDefault="00C254DD" w:rsidP="00534F16">
            <w:pPr>
              <w:widowControl/>
              <w:tabs>
                <w:tab w:val="left" w:pos="420"/>
              </w:tabs>
              <w:spacing w:before="100" w:beforeAutospacing="1" w:after="100" w:afterAutospacing="1"/>
              <w:jc w:val="center"/>
              <w:rPr>
                <w:kern w:val="0"/>
                <w:sz w:val="22"/>
                <w:szCs w:val="22"/>
              </w:rPr>
            </w:pPr>
            <w:r w:rsidRPr="00A95203">
              <w:rPr>
                <w:kern w:val="0"/>
                <w:sz w:val="22"/>
                <w:szCs w:val="22"/>
              </w:rPr>
              <w:lastRenderedPageBreak/>
              <w:t>1</w:t>
            </w:r>
            <w:r w:rsidRPr="00A95203">
              <w:rPr>
                <w:kern w:val="0"/>
                <w:sz w:val="22"/>
                <w:szCs w:val="22"/>
              </w:rPr>
              <w:t>年（含）以内</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C254DD" w:rsidRPr="00A95203" w:rsidRDefault="00C254DD" w:rsidP="00534F16">
            <w:pPr>
              <w:widowControl/>
              <w:tabs>
                <w:tab w:val="left" w:pos="420"/>
              </w:tabs>
              <w:spacing w:before="100" w:beforeAutospacing="1" w:after="100" w:afterAutospacing="1"/>
              <w:jc w:val="center"/>
              <w:rPr>
                <w:kern w:val="0"/>
                <w:sz w:val="22"/>
                <w:szCs w:val="22"/>
              </w:rPr>
            </w:pPr>
            <w:r w:rsidRPr="00A95203">
              <w:rPr>
                <w:kern w:val="0"/>
                <w:sz w:val="22"/>
                <w:szCs w:val="22"/>
              </w:rPr>
              <w:t>1.0%</w:t>
            </w:r>
          </w:p>
        </w:tc>
      </w:tr>
      <w:tr w:rsidR="00C254DD" w:rsidRPr="00A95203" w:rsidTr="00534F16">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C254DD" w:rsidRPr="00A95203" w:rsidRDefault="00C254DD" w:rsidP="00534F16">
            <w:pPr>
              <w:widowControl/>
              <w:jc w:val="left"/>
              <w:rPr>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C254DD" w:rsidRPr="00A95203" w:rsidRDefault="00C254DD" w:rsidP="00534F16">
            <w:pPr>
              <w:widowControl/>
              <w:jc w:val="left"/>
              <w:rPr>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C254DD" w:rsidRPr="00A95203" w:rsidRDefault="00C254DD" w:rsidP="00534F16">
            <w:pPr>
              <w:widowControl/>
              <w:tabs>
                <w:tab w:val="left" w:pos="420"/>
              </w:tabs>
              <w:spacing w:before="100" w:beforeAutospacing="1" w:after="100" w:afterAutospacing="1"/>
              <w:jc w:val="center"/>
              <w:rPr>
                <w:kern w:val="0"/>
                <w:sz w:val="22"/>
                <w:szCs w:val="22"/>
              </w:rPr>
            </w:pPr>
            <w:r w:rsidRPr="00A95203">
              <w:rPr>
                <w:kern w:val="0"/>
                <w:sz w:val="22"/>
                <w:szCs w:val="22"/>
              </w:rPr>
              <w:t>1</w:t>
            </w:r>
            <w:r w:rsidRPr="00A95203">
              <w:rPr>
                <w:kern w:val="0"/>
                <w:sz w:val="22"/>
                <w:szCs w:val="22"/>
              </w:rPr>
              <w:t>年</w:t>
            </w:r>
            <w:r w:rsidRPr="00A95203">
              <w:rPr>
                <w:kern w:val="0"/>
                <w:sz w:val="22"/>
                <w:szCs w:val="22"/>
              </w:rPr>
              <w:t>-3</w:t>
            </w:r>
            <w:r w:rsidRPr="00A95203">
              <w:rPr>
                <w:kern w:val="0"/>
                <w:sz w:val="22"/>
                <w:szCs w:val="22"/>
              </w:rPr>
              <w:t>年（含）</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C254DD" w:rsidRPr="00A95203" w:rsidRDefault="00C254DD" w:rsidP="00534F16">
            <w:pPr>
              <w:widowControl/>
              <w:tabs>
                <w:tab w:val="left" w:pos="420"/>
              </w:tabs>
              <w:spacing w:before="100" w:beforeAutospacing="1" w:after="100" w:afterAutospacing="1"/>
              <w:jc w:val="center"/>
              <w:rPr>
                <w:kern w:val="0"/>
                <w:sz w:val="22"/>
                <w:szCs w:val="22"/>
              </w:rPr>
            </w:pPr>
            <w:r w:rsidRPr="00A95203">
              <w:rPr>
                <w:kern w:val="0"/>
                <w:sz w:val="22"/>
                <w:szCs w:val="22"/>
              </w:rPr>
              <w:t>0.6%</w:t>
            </w:r>
          </w:p>
        </w:tc>
      </w:tr>
      <w:tr w:rsidR="00C254DD" w:rsidRPr="00A95203" w:rsidTr="00534F16">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C254DD" w:rsidRPr="00A95203" w:rsidRDefault="00C254DD" w:rsidP="00534F16">
            <w:pPr>
              <w:widowControl/>
              <w:jc w:val="left"/>
              <w:rPr>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C254DD" w:rsidRPr="00A95203" w:rsidRDefault="00C254DD" w:rsidP="00534F16">
            <w:pPr>
              <w:widowControl/>
              <w:jc w:val="left"/>
              <w:rPr>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C254DD" w:rsidRPr="00A95203" w:rsidRDefault="00C254DD" w:rsidP="00534F16">
            <w:pPr>
              <w:widowControl/>
              <w:tabs>
                <w:tab w:val="left" w:pos="420"/>
              </w:tabs>
              <w:spacing w:before="100" w:beforeAutospacing="1" w:after="100" w:afterAutospacing="1"/>
              <w:jc w:val="center"/>
              <w:rPr>
                <w:kern w:val="0"/>
                <w:sz w:val="22"/>
                <w:szCs w:val="22"/>
              </w:rPr>
            </w:pPr>
            <w:r w:rsidRPr="00A95203">
              <w:rPr>
                <w:kern w:val="0"/>
                <w:sz w:val="22"/>
                <w:szCs w:val="22"/>
              </w:rPr>
              <w:t>3</w:t>
            </w:r>
            <w:r w:rsidRPr="00A95203">
              <w:rPr>
                <w:kern w:val="0"/>
                <w:sz w:val="22"/>
                <w:szCs w:val="22"/>
              </w:rPr>
              <w:t>年</w:t>
            </w:r>
            <w:r w:rsidRPr="00A95203">
              <w:rPr>
                <w:kern w:val="0"/>
                <w:sz w:val="22"/>
                <w:szCs w:val="22"/>
              </w:rPr>
              <w:t>-5</w:t>
            </w:r>
            <w:r w:rsidRPr="00A95203">
              <w:rPr>
                <w:kern w:val="0"/>
                <w:sz w:val="22"/>
                <w:szCs w:val="22"/>
              </w:rPr>
              <w:t>年（含）</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C254DD" w:rsidRPr="00A95203" w:rsidRDefault="00C254DD" w:rsidP="00534F16">
            <w:pPr>
              <w:widowControl/>
              <w:tabs>
                <w:tab w:val="left" w:pos="420"/>
              </w:tabs>
              <w:spacing w:before="100" w:beforeAutospacing="1" w:after="100" w:afterAutospacing="1"/>
              <w:jc w:val="center"/>
              <w:rPr>
                <w:kern w:val="0"/>
                <w:sz w:val="22"/>
                <w:szCs w:val="22"/>
              </w:rPr>
            </w:pPr>
            <w:r w:rsidRPr="00A95203">
              <w:rPr>
                <w:kern w:val="0"/>
                <w:sz w:val="22"/>
                <w:szCs w:val="22"/>
              </w:rPr>
              <w:t>0.4%</w:t>
            </w:r>
          </w:p>
        </w:tc>
      </w:tr>
      <w:tr w:rsidR="00C254DD" w:rsidRPr="00A95203" w:rsidTr="00534F16">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C254DD" w:rsidRPr="00A95203" w:rsidRDefault="00C254DD" w:rsidP="00534F16">
            <w:pPr>
              <w:widowControl/>
              <w:jc w:val="left"/>
              <w:rPr>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C254DD" w:rsidRPr="00A95203" w:rsidRDefault="00C254DD" w:rsidP="00534F16">
            <w:pPr>
              <w:widowControl/>
              <w:jc w:val="left"/>
              <w:rPr>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C254DD" w:rsidRPr="00A95203" w:rsidRDefault="00C254DD" w:rsidP="00534F16">
            <w:pPr>
              <w:widowControl/>
              <w:tabs>
                <w:tab w:val="left" w:pos="420"/>
              </w:tabs>
              <w:spacing w:before="100" w:beforeAutospacing="1" w:after="100" w:afterAutospacing="1"/>
              <w:jc w:val="center"/>
              <w:rPr>
                <w:kern w:val="0"/>
                <w:sz w:val="22"/>
                <w:szCs w:val="22"/>
              </w:rPr>
            </w:pPr>
            <w:r w:rsidRPr="00A95203">
              <w:rPr>
                <w:kern w:val="0"/>
                <w:sz w:val="22"/>
                <w:szCs w:val="22"/>
              </w:rPr>
              <w:t>5</w:t>
            </w:r>
            <w:r w:rsidRPr="00A95203">
              <w:rPr>
                <w:kern w:val="0"/>
                <w:sz w:val="22"/>
                <w:szCs w:val="22"/>
              </w:rPr>
              <w:t>年以上</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C254DD" w:rsidRPr="00A95203" w:rsidRDefault="00C254DD" w:rsidP="00534F16">
            <w:pPr>
              <w:widowControl/>
              <w:tabs>
                <w:tab w:val="left" w:pos="420"/>
              </w:tabs>
              <w:spacing w:before="100" w:beforeAutospacing="1" w:after="100" w:afterAutospacing="1"/>
              <w:jc w:val="center"/>
              <w:rPr>
                <w:kern w:val="0"/>
                <w:sz w:val="22"/>
                <w:szCs w:val="22"/>
              </w:rPr>
            </w:pPr>
            <w:r w:rsidRPr="00A95203">
              <w:rPr>
                <w:kern w:val="0"/>
                <w:sz w:val="22"/>
                <w:szCs w:val="22"/>
              </w:rPr>
              <w:t>0</w:t>
            </w:r>
          </w:p>
        </w:tc>
      </w:tr>
      <w:tr w:rsidR="00C254DD" w:rsidRPr="00A95203" w:rsidTr="00534F16">
        <w:trPr>
          <w:tblCellSpacing w:w="0" w:type="dxa"/>
        </w:trPr>
        <w:tc>
          <w:tcPr>
            <w:tcW w:w="1922" w:type="dxa"/>
            <w:vMerge w:val="restart"/>
            <w:tcBorders>
              <w:top w:val="single" w:sz="6" w:space="0" w:color="7F7F7F"/>
              <w:left w:val="single" w:sz="6" w:space="0" w:color="7F7F7F"/>
              <w:bottom w:val="single" w:sz="6" w:space="0" w:color="7F7F7F"/>
              <w:right w:val="single" w:sz="6" w:space="0" w:color="7F7F7F"/>
            </w:tcBorders>
            <w:vAlign w:val="center"/>
            <w:hideMark/>
          </w:tcPr>
          <w:p w:rsidR="00C254DD" w:rsidRPr="00A95203" w:rsidRDefault="00C254DD" w:rsidP="00534F16">
            <w:pPr>
              <w:widowControl/>
              <w:jc w:val="left"/>
              <w:rPr>
                <w:kern w:val="0"/>
                <w:sz w:val="22"/>
                <w:szCs w:val="22"/>
              </w:rPr>
            </w:pPr>
            <w:r w:rsidRPr="00A95203">
              <w:rPr>
                <w:kern w:val="0"/>
                <w:sz w:val="22"/>
                <w:szCs w:val="22"/>
              </w:rPr>
              <w:lastRenderedPageBreak/>
              <w:t>后端收费模式下</w:t>
            </w:r>
          </w:p>
          <w:p w:rsidR="00C254DD" w:rsidRPr="00A95203" w:rsidRDefault="00C254DD" w:rsidP="00F75B56">
            <w:pPr>
              <w:widowControl/>
              <w:tabs>
                <w:tab w:val="left" w:pos="420"/>
              </w:tabs>
              <w:jc w:val="left"/>
              <w:rPr>
                <w:kern w:val="0"/>
                <w:sz w:val="22"/>
                <w:szCs w:val="22"/>
              </w:rPr>
            </w:pPr>
            <w:r w:rsidRPr="00A95203">
              <w:rPr>
                <w:kern w:val="0"/>
                <w:sz w:val="22"/>
                <w:szCs w:val="22"/>
              </w:rPr>
              <w:t>交银精选、交银稳健、交银成长、交银蓝筹、交银先锋、交银治理、交银主题、交银趋势、交银制造、交银价值、交银核心</w:t>
            </w:r>
            <w:r w:rsidR="0018114C" w:rsidRPr="00A95203">
              <w:rPr>
                <w:kern w:val="0"/>
                <w:sz w:val="22"/>
                <w:szCs w:val="22"/>
              </w:rPr>
              <w:t>、</w:t>
            </w:r>
            <w:r w:rsidR="0021446E" w:rsidRPr="00A95203">
              <w:rPr>
                <w:kern w:val="0"/>
                <w:sz w:val="22"/>
                <w:szCs w:val="22"/>
              </w:rPr>
              <w:t>交银消费新驱动、</w:t>
            </w:r>
            <w:r w:rsidR="0018114C" w:rsidRPr="00A95203">
              <w:rPr>
                <w:kern w:val="0"/>
                <w:sz w:val="22"/>
                <w:szCs w:val="22"/>
              </w:rPr>
              <w:t>交银成长</w:t>
            </w:r>
            <w:r w:rsidR="0018114C" w:rsidRPr="00A95203">
              <w:rPr>
                <w:kern w:val="0"/>
                <w:sz w:val="22"/>
                <w:szCs w:val="22"/>
              </w:rPr>
              <w:t>30</w:t>
            </w:r>
            <w:r w:rsidR="0010366C" w:rsidRPr="00A95203">
              <w:rPr>
                <w:kern w:val="0"/>
                <w:sz w:val="22"/>
                <w:szCs w:val="22"/>
              </w:rPr>
              <w:t>、交银周期回报</w:t>
            </w:r>
            <w:r w:rsidR="00F1122A" w:rsidRPr="00A95203">
              <w:rPr>
                <w:kern w:val="0"/>
                <w:sz w:val="22"/>
                <w:szCs w:val="22"/>
              </w:rPr>
              <w:t>A</w:t>
            </w:r>
            <w:r w:rsidR="00F1122A" w:rsidRPr="00A95203">
              <w:rPr>
                <w:kern w:val="0"/>
                <w:sz w:val="22"/>
                <w:szCs w:val="22"/>
              </w:rPr>
              <w:t>类</w:t>
            </w:r>
            <w:r w:rsidR="00F1122A">
              <w:rPr>
                <w:rFonts w:hint="eastAsia"/>
                <w:kern w:val="0"/>
                <w:sz w:val="22"/>
                <w:szCs w:val="22"/>
              </w:rPr>
              <w:t>基金份额</w:t>
            </w:r>
            <w:r w:rsidR="00F6756B" w:rsidRPr="00A95203">
              <w:rPr>
                <w:kern w:val="0"/>
                <w:sz w:val="22"/>
                <w:szCs w:val="22"/>
              </w:rPr>
              <w:t>、交银新成长</w:t>
            </w:r>
          </w:p>
        </w:tc>
        <w:tc>
          <w:tcPr>
            <w:tcW w:w="2010" w:type="dxa"/>
            <w:vMerge w:val="restart"/>
            <w:tcBorders>
              <w:top w:val="single" w:sz="6" w:space="0" w:color="7F7F7F"/>
              <w:left w:val="single" w:sz="6" w:space="0" w:color="7F7F7F"/>
              <w:bottom w:val="single" w:sz="6" w:space="0" w:color="7F7F7F"/>
              <w:right w:val="single" w:sz="6" w:space="0" w:color="7F7F7F"/>
            </w:tcBorders>
            <w:vAlign w:val="center"/>
            <w:hideMark/>
          </w:tcPr>
          <w:p w:rsidR="00000000" w:rsidRDefault="00C254DD">
            <w:pPr>
              <w:widowControl/>
              <w:jc w:val="left"/>
              <w:rPr>
                <w:kern w:val="0"/>
                <w:sz w:val="22"/>
                <w:szCs w:val="22"/>
              </w:rPr>
            </w:pPr>
            <w:r w:rsidRPr="00A95203">
              <w:rPr>
                <w:kern w:val="0"/>
                <w:sz w:val="22"/>
                <w:szCs w:val="22"/>
              </w:rPr>
              <w:t>交银增利</w:t>
            </w:r>
            <w:r w:rsidRPr="00A95203">
              <w:rPr>
                <w:kern w:val="0"/>
                <w:sz w:val="22"/>
                <w:szCs w:val="22"/>
              </w:rPr>
              <w:t>B</w:t>
            </w:r>
            <w:r w:rsidRPr="00A95203">
              <w:rPr>
                <w:kern w:val="0"/>
                <w:sz w:val="22"/>
                <w:szCs w:val="22"/>
              </w:rPr>
              <w:t>类基金份额</w:t>
            </w:r>
            <w:r w:rsidR="00B46B47">
              <w:rPr>
                <w:rFonts w:hint="eastAsia"/>
                <w:kern w:val="0"/>
                <w:sz w:val="22"/>
                <w:szCs w:val="22"/>
              </w:rPr>
              <w:t>、</w:t>
            </w:r>
            <w:r w:rsidRPr="00A95203">
              <w:rPr>
                <w:kern w:val="0"/>
                <w:sz w:val="22"/>
                <w:szCs w:val="22"/>
              </w:rPr>
              <w:t>交银双利</w:t>
            </w:r>
            <w:r w:rsidRPr="00A95203">
              <w:rPr>
                <w:kern w:val="0"/>
                <w:sz w:val="22"/>
                <w:szCs w:val="22"/>
              </w:rPr>
              <w:t>B</w:t>
            </w:r>
            <w:r w:rsidRPr="00A95203">
              <w:rPr>
                <w:kern w:val="0"/>
                <w:sz w:val="22"/>
                <w:szCs w:val="22"/>
              </w:rPr>
              <w:t>类基金份额</w:t>
            </w:r>
            <w:r w:rsidR="00B46B47">
              <w:rPr>
                <w:rFonts w:hint="eastAsia"/>
                <w:kern w:val="0"/>
                <w:sz w:val="22"/>
                <w:szCs w:val="22"/>
              </w:rPr>
              <w:t>、</w:t>
            </w:r>
            <w:r w:rsidRPr="00A95203">
              <w:rPr>
                <w:kern w:val="0"/>
                <w:sz w:val="22"/>
                <w:szCs w:val="22"/>
              </w:rPr>
              <w:t>交银纯债</w:t>
            </w:r>
            <w:r w:rsidRPr="00A95203">
              <w:rPr>
                <w:kern w:val="0"/>
                <w:sz w:val="22"/>
                <w:szCs w:val="22"/>
              </w:rPr>
              <w:t>B</w:t>
            </w:r>
            <w:r w:rsidRPr="00A95203">
              <w:rPr>
                <w:kern w:val="0"/>
                <w:sz w:val="22"/>
                <w:szCs w:val="22"/>
              </w:rPr>
              <w:t>类基金份额</w:t>
            </w:r>
            <w:r w:rsidR="00B46B47">
              <w:rPr>
                <w:rFonts w:hint="eastAsia"/>
                <w:kern w:val="0"/>
                <w:sz w:val="22"/>
                <w:szCs w:val="22"/>
              </w:rPr>
              <w:t>、</w:t>
            </w:r>
            <w:r w:rsidRPr="00A95203">
              <w:rPr>
                <w:kern w:val="0"/>
                <w:sz w:val="22"/>
                <w:szCs w:val="22"/>
              </w:rPr>
              <w:t>交银双轮动</w:t>
            </w:r>
            <w:r w:rsidRPr="00A95203">
              <w:rPr>
                <w:kern w:val="0"/>
                <w:sz w:val="22"/>
                <w:szCs w:val="22"/>
              </w:rPr>
              <w:t>B</w:t>
            </w:r>
            <w:r w:rsidRPr="00A95203">
              <w:rPr>
                <w:kern w:val="0"/>
                <w:sz w:val="22"/>
                <w:szCs w:val="22"/>
              </w:rPr>
              <w:t>类基金份额</w:t>
            </w:r>
            <w:r w:rsidR="00B46B47">
              <w:rPr>
                <w:rFonts w:hint="eastAsia"/>
                <w:kern w:val="0"/>
                <w:sz w:val="22"/>
                <w:szCs w:val="22"/>
              </w:rPr>
              <w:t>、</w:t>
            </w:r>
            <w:r w:rsidR="007E7A59" w:rsidRPr="00A95203">
              <w:rPr>
                <w:kern w:val="0"/>
                <w:sz w:val="22"/>
                <w:szCs w:val="22"/>
              </w:rPr>
              <w:t>交银强化回报</w:t>
            </w:r>
            <w:r w:rsidR="007E7A59" w:rsidRPr="00A95203">
              <w:rPr>
                <w:kern w:val="0"/>
                <w:sz w:val="22"/>
                <w:szCs w:val="22"/>
              </w:rPr>
              <w:t>B</w:t>
            </w:r>
            <w:r w:rsidR="007E7A59" w:rsidRPr="00A95203">
              <w:rPr>
                <w:kern w:val="0"/>
                <w:sz w:val="22"/>
                <w:szCs w:val="22"/>
              </w:rPr>
              <w:t>类基金份额</w:t>
            </w: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C254DD" w:rsidRPr="00A95203" w:rsidRDefault="00C254DD" w:rsidP="00534F16">
            <w:pPr>
              <w:widowControl/>
              <w:tabs>
                <w:tab w:val="left" w:pos="420"/>
              </w:tabs>
              <w:spacing w:before="100" w:beforeAutospacing="1" w:after="100" w:afterAutospacing="1"/>
              <w:jc w:val="center"/>
              <w:rPr>
                <w:kern w:val="0"/>
                <w:sz w:val="22"/>
                <w:szCs w:val="22"/>
              </w:rPr>
            </w:pPr>
            <w:r w:rsidRPr="00A95203">
              <w:rPr>
                <w:kern w:val="0"/>
                <w:sz w:val="22"/>
                <w:szCs w:val="22"/>
              </w:rPr>
              <w:t>1</w:t>
            </w:r>
            <w:r w:rsidRPr="00A95203">
              <w:rPr>
                <w:kern w:val="0"/>
                <w:sz w:val="22"/>
                <w:szCs w:val="22"/>
              </w:rPr>
              <w:t>年（含）以内</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C254DD" w:rsidRPr="00A95203" w:rsidRDefault="00C254DD" w:rsidP="00534F16">
            <w:pPr>
              <w:widowControl/>
              <w:tabs>
                <w:tab w:val="left" w:pos="420"/>
              </w:tabs>
              <w:spacing w:before="100" w:beforeAutospacing="1" w:after="100" w:afterAutospacing="1"/>
              <w:jc w:val="center"/>
              <w:rPr>
                <w:kern w:val="0"/>
                <w:sz w:val="22"/>
                <w:szCs w:val="22"/>
              </w:rPr>
            </w:pPr>
            <w:r w:rsidRPr="00A95203">
              <w:rPr>
                <w:kern w:val="0"/>
                <w:sz w:val="22"/>
                <w:szCs w:val="22"/>
              </w:rPr>
              <w:t>0.8%</w:t>
            </w:r>
          </w:p>
        </w:tc>
      </w:tr>
      <w:tr w:rsidR="00C254DD" w:rsidRPr="00A95203" w:rsidTr="00534F16">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C254DD" w:rsidRPr="00A95203" w:rsidRDefault="00C254DD" w:rsidP="00534F16">
            <w:pPr>
              <w:widowControl/>
              <w:jc w:val="left"/>
              <w:rPr>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C254DD" w:rsidRPr="00A95203" w:rsidRDefault="00C254DD" w:rsidP="00534F16">
            <w:pPr>
              <w:widowControl/>
              <w:jc w:val="left"/>
              <w:rPr>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C254DD" w:rsidRPr="00A95203" w:rsidRDefault="00C254DD" w:rsidP="00534F16">
            <w:pPr>
              <w:widowControl/>
              <w:tabs>
                <w:tab w:val="left" w:pos="420"/>
              </w:tabs>
              <w:spacing w:before="100" w:beforeAutospacing="1" w:after="100" w:afterAutospacing="1"/>
              <w:jc w:val="center"/>
              <w:rPr>
                <w:kern w:val="0"/>
                <w:sz w:val="22"/>
                <w:szCs w:val="22"/>
              </w:rPr>
            </w:pPr>
            <w:r w:rsidRPr="00A95203">
              <w:rPr>
                <w:kern w:val="0"/>
                <w:sz w:val="22"/>
                <w:szCs w:val="22"/>
              </w:rPr>
              <w:t>1</w:t>
            </w:r>
            <w:r w:rsidRPr="00A95203">
              <w:rPr>
                <w:kern w:val="0"/>
                <w:sz w:val="22"/>
                <w:szCs w:val="22"/>
              </w:rPr>
              <w:t>年</w:t>
            </w:r>
            <w:r w:rsidRPr="00A95203">
              <w:rPr>
                <w:kern w:val="0"/>
                <w:sz w:val="22"/>
                <w:szCs w:val="22"/>
              </w:rPr>
              <w:t>-3</w:t>
            </w:r>
            <w:r w:rsidRPr="00A95203">
              <w:rPr>
                <w:kern w:val="0"/>
                <w:sz w:val="22"/>
                <w:szCs w:val="22"/>
              </w:rPr>
              <w:t>年（含）</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C254DD" w:rsidRPr="00A95203" w:rsidRDefault="00C254DD" w:rsidP="00534F16">
            <w:pPr>
              <w:widowControl/>
              <w:tabs>
                <w:tab w:val="left" w:pos="420"/>
              </w:tabs>
              <w:spacing w:before="100" w:beforeAutospacing="1" w:after="100" w:afterAutospacing="1"/>
              <w:jc w:val="center"/>
              <w:rPr>
                <w:kern w:val="0"/>
                <w:sz w:val="22"/>
                <w:szCs w:val="22"/>
              </w:rPr>
            </w:pPr>
            <w:r w:rsidRPr="00A95203">
              <w:rPr>
                <w:kern w:val="0"/>
                <w:sz w:val="22"/>
                <w:szCs w:val="22"/>
              </w:rPr>
              <w:t>0.6%</w:t>
            </w:r>
          </w:p>
        </w:tc>
      </w:tr>
      <w:tr w:rsidR="00C254DD" w:rsidRPr="00A95203" w:rsidTr="00534F16">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C254DD" w:rsidRPr="00A95203" w:rsidRDefault="00C254DD" w:rsidP="00534F16">
            <w:pPr>
              <w:widowControl/>
              <w:jc w:val="left"/>
              <w:rPr>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C254DD" w:rsidRPr="00A95203" w:rsidRDefault="00C254DD" w:rsidP="00534F16">
            <w:pPr>
              <w:widowControl/>
              <w:jc w:val="left"/>
              <w:rPr>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C254DD" w:rsidRPr="00A95203" w:rsidRDefault="00C254DD" w:rsidP="00534F16">
            <w:pPr>
              <w:widowControl/>
              <w:tabs>
                <w:tab w:val="left" w:pos="420"/>
              </w:tabs>
              <w:spacing w:before="100" w:beforeAutospacing="1" w:after="100" w:afterAutospacing="1"/>
              <w:jc w:val="center"/>
              <w:rPr>
                <w:kern w:val="0"/>
                <w:sz w:val="22"/>
                <w:szCs w:val="22"/>
              </w:rPr>
            </w:pPr>
            <w:r w:rsidRPr="00A95203">
              <w:rPr>
                <w:kern w:val="0"/>
                <w:sz w:val="22"/>
                <w:szCs w:val="22"/>
              </w:rPr>
              <w:t>3</w:t>
            </w:r>
            <w:r w:rsidRPr="00A95203">
              <w:rPr>
                <w:kern w:val="0"/>
                <w:sz w:val="22"/>
                <w:szCs w:val="22"/>
              </w:rPr>
              <w:t>年</w:t>
            </w:r>
            <w:r w:rsidRPr="00A95203">
              <w:rPr>
                <w:kern w:val="0"/>
                <w:sz w:val="22"/>
                <w:szCs w:val="22"/>
              </w:rPr>
              <w:t>-5</w:t>
            </w:r>
            <w:r w:rsidRPr="00A95203">
              <w:rPr>
                <w:kern w:val="0"/>
                <w:sz w:val="22"/>
                <w:szCs w:val="22"/>
              </w:rPr>
              <w:t>年（含）</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C254DD" w:rsidRPr="00A95203" w:rsidRDefault="00C254DD" w:rsidP="00534F16">
            <w:pPr>
              <w:widowControl/>
              <w:tabs>
                <w:tab w:val="left" w:pos="420"/>
              </w:tabs>
              <w:spacing w:before="100" w:beforeAutospacing="1" w:after="100" w:afterAutospacing="1"/>
              <w:jc w:val="center"/>
              <w:rPr>
                <w:kern w:val="0"/>
                <w:sz w:val="22"/>
                <w:szCs w:val="22"/>
              </w:rPr>
            </w:pPr>
            <w:r w:rsidRPr="00A95203">
              <w:rPr>
                <w:kern w:val="0"/>
                <w:sz w:val="22"/>
                <w:szCs w:val="22"/>
              </w:rPr>
              <w:t>0.2%</w:t>
            </w:r>
          </w:p>
        </w:tc>
      </w:tr>
      <w:tr w:rsidR="00C254DD" w:rsidRPr="00A95203" w:rsidTr="00534F16">
        <w:trPr>
          <w:tblCellSpacing w:w="0" w:type="dxa"/>
        </w:trPr>
        <w:tc>
          <w:tcPr>
            <w:tcW w:w="1922" w:type="dxa"/>
            <w:vMerge/>
            <w:tcBorders>
              <w:top w:val="single" w:sz="6" w:space="0" w:color="7F7F7F"/>
              <w:left w:val="single" w:sz="6" w:space="0" w:color="7F7F7F"/>
              <w:bottom w:val="single" w:sz="6" w:space="0" w:color="7F7F7F"/>
              <w:right w:val="single" w:sz="6" w:space="0" w:color="7F7F7F"/>
            </w:tcBorders>
            <w:vAlign w:val="center"/>
            <w:hideMark/>
          </w:tcPr>
          <w:p w:rsidR="00C254DD" w:rsidRPr="00A95203" w:rsidRDefault="00C254DD" w:rsidP="00534F16">
            <w:pPr>
              <w:widowControl/>
              <w:jc w:val="left"/>
              <w:rPr>
                <w:kern w:val="0"/>
                <w:sz w:val="22"/>
                <w:szCs w:val="22"/>
              </w:rPr>
            </w:pPr>
          </w:p>
        </w:tc>
        <w:tc>
          <w:tcPr>
            <w:tcW w:w="2010" w:type="dxa"/>
            <w:vMerge/>
            <w:tcBorders>
              <w:top w:val="single" w:sz="6" w:space="0" w:color="7F7F7F"/>
              <w:left w:val="single" w:sz="6" w:space="0" w:color="7F7F7F"/>
              <w:bottom w:val="single" w:sz="6" w:space="0" w:color="7F7F7F"/>
              <w:right w:val="single" w:sz="6" w:space="0" w:color="7F7F7F"/>
            </w:tcBorders>
            <w:vAlign w:val="center"/>
            <w:hideMark/>
          </w:tcPr>
          <w:p w:rsidR="00C254DD" w:rsidRPr="00A95203" w:rsidRDefault="00C254DD" w:rsidP="00534F16">
            <w:pPr>
              <w:widowControl/>
              <w:jc w:val="left"/>
              <w:rPr>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C254DD" w:rsidRPr="00A95203" w:rsidRDefault="00C254DD" w:rsidP="00534F16">
            <w:pPr>
              <w:widowControl/>
              <w:tabs>
                <w:tab w:val="left" w:pos="420"/>
              </w:tabs>
              <w:spacing w:before="100" w:beforeAutospacing="1" w:after="100" w:afterAutospacing="1"/>
              <w:jc w:val="center"/>
              <w:rPr>
                <w:kern w:val="0"/>
                <w:sz w:val="22"/>
                <w:szCs w:val="22"/>
              </w:rPr>
            </w:pPr>
            <w:r w:rsidRPr="00A95203">
              <w:rPr>
                <w:kern w:val="0"/>
                <w:sz w:val="22"/>
                <w:szCs w:val="22"/>
              </w:rPr>
              <w:t>5</w:t>
            </w:r>
            <w:r w:rsidRPr="00A95203">
              <w:rPr>
                <w:kern w:val="0"/>
                <w:sz w:val="22"/>
                <w:szCs w:val="22"/>
              </w:rPr>
              <w:t>年以上</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C254DD" w:rsidRPr="00A95203" w:rsidRDefault="00C254DD" w:rsidP="00534F16">
            <w:pPr>
              <w:widowControl/>
              <w:tabs>
                <w:tab w:val="left" w:pos="420"/>
              </w:tabs>
              <w:spacing w:before="100" w:beforeAutospacing="1" w:after="100" w:afterAutospacing="1"/>
              <w:jc w:val="center"/>
              <w:rPr>
                <w:kern w:val="0"/>
                <w:sz w:val="22"/>
                <w:szCs w:val="22"/>
              </w:rPr>
            </w:pPr>
            <w:r w:rsidRPr="00A95203">
              <w:rPr>
                <w:kern w:val="0"/>
                <w:sz w:val="22"/>
                <w:szCs w:val="22"/>
              </w:rPr>
              <w:t>0</w:t>
            </w:r>
          </w:p>
        </w:tc>
      </w:tr>
      <w:tr w:rsidR="00C254DD" w:rsidRPr="00A95203" w:rsidTr="00534F16">
        <w:trPr>
          <w:tblCellSpacing w:w="0" w:type="dxa"/>
        </w:trPr>
        <w:tc>
          <w:tcPr>
            <w:tcW w:w="1922" w:type="dxa"/>
            <w:tcBorders>
              <w:top w:val="single" w:sz="6" w:space="0" w:color="7F7F7F"/>
              <w:left w:val="single" w:sz="6" w:space="0" w:color="7F7F7F"/>
              <w:bottom w:val="single" w:sz="6" w:space="0" w:color="7F7F7F"/>
              <w:right w:val="single" w:sz="6" w:space="0" w:color="7F7F7F"/>
            </w:tcBorders>
            <w:vAlign w:val="center"/>
            <w:hideMark/>
          </w:tcPr>
          <w:p w:rsidR="007E7A59" w:rsidRPr="00A95203" w:rsidRDefault="00C254DD" w:rsidP="00534F16">
            <w:pPr>
              <w:widowControl/>
              <w:jc w:val="left"/>
              <w:rPr>
                <w:kern w:val="0"/>
                <w:sz w:val="22"/>
                <w:szCs w:val="22"/>
              </w:rPr>
            </w:pPr>
            <w:r w:rsidRPr="00A95203">
              <w:rPr>
                <w:kern w:val="0"/>
                <w:sz w:val="22"/>
                <w:szCs w:val="22"/>
              </w:rPr>
              <w:t>交银货币</w:t>
            </w:r>
            <w:r w:rsidR="00B46B47">
              <w:rPr>
                <w:rFonts w:hint="eastAsia"/>
                <w:kern w:val="0"/>
                <w:sz w:val="22"/>
                <w:szCs w:val="22"/>
              </w:rPr>
              <w:t>、</w:t>
            </w:r>
            <w:r w:rsidRPr="00A95203">
              <w:rPr>
                <w:kern w:val="0"/>
                <w:sz w:val="22"/>
                <w:szCs w:val="22"/>
              </w:rPr>
              <w:t>交银增利</w:t>
            </w:r>
            <w:r w:rsidRPr="00A95203">
              <w:rPr>
                <w:kern w:val="0"/>
                <w:sz w:val="22"/>
                <w:szCs w:val="22"/>
              </w:rPr>
              <w:t>B</w:t>
            </w:r>
            <w:r w:rsidRPr="00A95203">
              <w:rPr>
                <w:kern w:val="0"/>
                <w:sz w:val="22"/>
                <w:szCs w:val="22"/>
              </w:rPr>
              <w:t>类</w:t>
            </w:r>
            <w:r w:rsidR="00B46B47">
              <w:rPr>
                <w:rFonts w:hint="eastAsia"/>
                <w:kern w:val="0"/>
                <w:sz w:val="22"/>
                <w:szCs w:val="22"/>
              </w:rPr>
              <w:t>和</w:t>
            </w:r>
            <w:r w:rsidRPr="00A95203">
              <w:rPr>
                <w:kern w:val="0"/>
                <w:sz w:val="22"/>
                <w:szCs w:val="22"/>
              </w:rPr>
              <w:t>C</w:t>
            </w:r>
            <w:r w:rsidRPr="00A95203">
              <w:rPr>
                <w:kern w:val="0"/>
                <w:sz w:val="22"/>
                <w:szCs w:val="22"/>
              </w:rPr>
              <w:t>类基金份额</w:t>
            </w:r>
            <w:r w:rsidR="00B46B47">
              <w:rPr>
                <w:rFonts w:hint="eastAsia"/>
                <w:kern w:val="0"/>
                <w:sz w:val="22"/>
                <w:szCs w:val="22"/>
              </w:rPr>
              <w:t>、</w:t>
            </w:r>
            <w:r w:rsidRPr="00A95203">
              <w:rPr>
                <w:kern w:val="0"/>
                <w:sz w:val="22"/>
                <w:szCs w:val="22"/>
              </w:rPr>
              <w:t>交银双利</w:t>
            </w:r>
            <w:r w:rsidRPr="00A95203">
              <w:rPr>
                <w:kern w:val="0"/>
                <w:sz w:val="22"/>
                <w:szCs w:val="22"/>
              </w:rPr>
              <w:t>B</w:t>
            </w:r>
            <w:r w:rsidRPr="00A95203">
              <w:rPr>
                <w:kern w:val="0"/>
                <w:sz w:val="22"/>
                <w:szCs w:val="22"/>
              </w:rPr>
              <w:t>类</w:t>
            </w:r>
            <w:r w:rsidR="00B46B47">
              <w:rPr>
                <w:rFonts w:hint="eastAsia"/>
                <w:kern w:val="0"/>
                <w:sz w:val="22"/>
                <w:szCs w:val="22"/>
              </w:rPr>
              <w:t>和</w:t>
            </w:r>
            <w:r w:rsidRPr="00A95203">
              <w:rPr>
                <w:kern w:val="0"/>
                <w:sz w:val="22"/>
                <w:szCs w:val="22"/>
              </w:rPr>
              <w:t>C</w:t>
            </w:r>
            <w:r w:rsidRPr="00A95203">
              <w:rPr>
                <w:kern w:val="0"/>
                <w:sz w:val="22"/>
                <w:szCs w:val="22"/>
              </w:rPr>
              <w:t>类基金份额</w:t>
            </w:r>
            <w:r w:rsidR="00B46B47">
              <w:rPr>
                <w:rFonts w:hint="eastAsia"/>
                <w:kern w:val="0"/>
                <w:sz w:val="22"/>
                <w:szCs w:val="22"/>
              </w:rPr>
              <w:t>、</w:t>
            </w:r>
            <w:r w:rsidRPr="00A95203">
              <w:rPr>
                <w:kern w:val="0"/>
                <w:sz w:val="22"/>
                <w:szCs w:val="22"/>
              </w:rPr>
              <w:t>交银纯债</w:t>
            </w:r>
            <w:r w:rsidRPr="00A95203">
              <w:rPr>
                <w:kern w:val="0"/>
                <w:sz w:val="22"/>
                <w:szCs w:val="22"/>
              </w:rPr>
              <w:t>B</w:t>
            </w:r>
            <w:r w:rsidRPr="00A95203">
              <w:rPr>
                <w:kern w:val="0"/>
                <w:sz w:val="22"/>
                <w:szCs w:val="22"/>
              </w:rPr>
              <w:t>类</w:t>
            </w:r>
            <w:r w:rsidR="00B46B47">
              <w:rPr>
                <w:rFonts w:hint="eastAsia"/>
                <w:kern w:val="0"/>
                <w:sz w:val="22"/>
                <w:szCs w:val="22"/>
              </w:rPr>
              <w:t>和</w:t>
            </w:r>
            <w:r w:rsidRPr="00A95203">
              <w:rPr>
                <w:kern w:val="0"/>
                <w:sz w:val="22"/>
                <w:szCs w:val="22"/>
              </w:rPr>
              <w:t>C</w:t>
            </w:r>
            <w:r w:rsidRPr="00A95203">
              <w:rPr>
                <w:kern w:val="0"/>
                <w:sz w:val="22"/>
                <w:szCs w:val="22"/>
              </w:rPr>
              <w:t>基金份额</w:t>
            </w:r>
            <w:r w:rsidR="00B46B47">
              <w:rPr>
                <w:rFonts w:hint="eastAsia"/>
                <w:kern w:val="0"/>
                <w:sz w:val="22"/>
                <w:szCs w:val="22"/>
              </w:rPr>
              <w:t>、</w:t>
            </w:r>
            <w:r w:rsidRPr="00A95203">
              <w:rPr>
                <w:kern w:val="0"/>
                <w:sz w:val="22"/>
                <w:szCs w:val="22"/>
              </w:rPr>
              <w:t>交银双轮动</w:t>
            </w:r>
            <w:r w:rsidRPr="00A95203">
              <w:rPr>
                <w:kern w:val="0"/>
                <w:sz w:val="22"/>
                <w:szCs w:val="22"/>
              </w:rPr>
              <w:t>B</w:t>
            </w:r>
            <w:r w:rsidRPr="00A95203">
              <w:rPr>
                <w:kern w:val="0"/>
                <w:sz w:val="22"/>
                <w:szCs w:val="22"/>
              </w:rPr>
              <w:t>类</w:t>
            </w:r>
            <w:r w:rsidR="00B46B47">
              <w:rPr>
                <w:rFonts w:hint="eastAsia"/>
                <w:kern w:val="0"/>
                <w:sz w:val="22"/>
                <w:szCs w:val="22"/>
              </w:rPr>
              <w:t>和</w:t>
            </w:r>
            <w:r w:rsidRPr="00A95203">
              <w:rPr>
                <w:kern w:val="0"/>
                <w:sz w:val="22"/>
                <w:szCs w:val="22"/>
              </w:rPr>
              <w:t>C</w:t>
            </w:r>
            <w:r w:rsidRPr="00A95203">
              <w:rPr>
                <w:kern w:val="0"/>
                <w:sz w:val="22"/>
                <w:szCs w:val="22"/>
              </w:rPr>
              <w:t>类基金份额</w:t>
            </w:r>
            <w:r w:rsidR="00B46B47">
              <w:rPr>
                <w:rFonts w:hint="eastAsia"/>
                <w:kern w:val="0"/>
                <w:sz w:val="22"/>
                <w:szCs w:val="22"/>
              </w:rPr>
              <w:t>、</w:t>
            </w:r>
            <w:r w:rsidR="007735F9" w:rsidRPr="00A95203">
              <w:rPr>
                <w:kern w:val="0"/>
                <w:sz w:val="22"/>
                <w:szCs w:val="22"/>
              </w:rPr>
              <w:t>交银月月丰</w:t>
            </w:r>
            <w:r w:rsidR="007735F9" w:rsidRPr="00A95203">
              <w:rPr>
                <w:kern w:val="0"/>
                <w:sz w:val="22"/>
                <w:szCs w:val="22"/>
              </w:rPr>
              <w:t>C</w:t>
            </w:r>
            <w:r w:rsidR="007735F9" w:rsidRPr="00A95203">
              <w:rPr>
                <w:kern w:val="0"/>
                <w:sz w:val="22"/>
                <w:szCs w:val="22"/>
              </w:rPr>
              <w:t>类基金份额</w:t>
            </w:r>
            <w:r w:rsidR="00B46B47">
              <w:rPr>
                <w:rFonts w:hint="eastAsia"/>
                <w:kern w:val="0"/>
                <w:sz w:val="22"/>
                <w:szCs w:val="22"/>
              </w:rPr>
              <w:t>、</w:t>
            </w:r>
            <w:r w:rsidR="007E7A59" w:rsidRPr="00A95203">
              <w:rPr>
                <w:kern w:val="0"/>
                <w:sz w:val="22"/>
                <w:szCs w:val="22"/>
              </w:rPr>
              <w:t>交银强化回报</w:t>
            </w:r>
            <w:r w:rsidR="007E7A59" w:rsidRPr="00A95203">
              <w:rPr>
                <w:kern w:val="0"/>
                <w:sz w:val="22"/>
                <w:szCs w:val="22"/>
              </w:rPr>
              <w:t>B</w:t>
            </w:r>
            <w:r w:rsidR="007E7A59" w:rsidRPr="00A95203">
              <w:rPr>
                <w:kern w:val="0"/>
                <w:sz w:val="22"/>
                <w:szCs w:val="22"/>
              </w:rPr>
              <w:t>类</w:t>
            </w:r>
            <w:r w:rsidR="00B46B47">
              <w:rPr>
                <w:rFonts w:hint="eastAsia"/>
                <w:kern w:val="0"/>
                <w:sz w:val="22"/>
                <w:szCs w:val="22"/>
              </w:rPr>
              <w:t>和</w:t>
            </w:r>
            <w:r w:rsidR="007E7A59" w:rsidRPr="00A95203">
              <w:rPr>
                <w:kern w:val="0"/>
                <w:sz w:val="22"/>
                <w:szCs w:val="22"/>
              </w:rPr>
              <w:t>C</w:t>
            </w:r>
            <w:r w:rsidR="007E7A59" w:rsidRPr="00A95203">
              <w:rPr>
                <w:kern w:val="0"/>
                <w:sz w:val="22"/>
                <w:szCs w:val="22"/>
              </w:rPr>
              <w:t>类基金份额</w:t>
            </w:r>
          </w:p>
          <w:p w:rsidR="00C254DD" w:rsidRPr="00A95203" w:rsidRDefault="00C254DD" w:rsidP="00534F16">
            <w:pPr>
              <w:widowControl/>
              <w:jc w:val="left"/>
              <w:rPr>
                <w:kern w:val="0"/>
                <w:sz w:val="22"/>
                <w:szCs w:val="22"/>
              </w:rPr>
            </w:pPr>
            <w:r w:rsidRPr="00A95203">
              <w:rPr>
                <w:kern w:val="0"/>
                <w:sz w:val="22"/>
                <w:szCs w:val="22"/>
              </w:rPr>
              <w:t>后端收费模式下</w:t>
            </w:r>
          </w:p>
          <w:p w:rsidR="00C254DD" w:rsidRPr="00A95203" w:rsidRDefault="00C254DD" w:rsidP="00F75B56">
            <w:pPr>
              <w:widowControl/>
              <w:tabs>
                <w:tab w:val="left" w:pos="420"/>
              </w:tabs>
              <w:jc w:val="left"/>
              <w:rPr>
                <w:kern w:val="0"/>
                <w:sz w:val="22"/>
                <w:szCs w:val="22"/>
              </w:rPr>
            </w:pPr>
            <w:r w:rsidRPr="00A95203">
              <w:rPr>
                <w:kern w:val="0"/>
                <w:sz w:val="22"/>
                <w:szCs w:val="22"/>
              </w:rPr>
              <w:t>交银精选、交银稳健、交银成长、交银蓝筹、交银先锋、交银治理、交银主题、交银趋势、交银制造、交银价值、交银核心、</w:t>
            </w:r>
            <w:r w:rsidR="009A39C5" w:rsidRPr="00A95203">
              <w:rPr>
                <w:kern w:val="0"/>
                <w:sz w:val="22"/>
                <w:szCs w:val="22"/>
              </w:rPr>
              <w:t>交银消费新驱动、</w:t>
            </w:r>
            <w:r w:rsidR="0018114C" w:rsidRPr="00A95203">
              <w:rPr>
                <w:kern w:val="0"/>
                <w:sz w:val="22"/>
                <w:szCs w:val="22"/>
              </w:rPr>
              <w:t>交银成长</w:t>
            </w:r>
            <w:r w:rsidR="0018114C" w:rsidRPr="00A95203">
              <w:rPr>
                <w:kern w:val="0"/>
                <w:sz w:val="22"/>
                <w:szCs w:val="22"/>
              </w:rPr>
              <w:t>30</w:t>
            </w:r>
            <w:r w:rsidR="0010366C" w:rsidRPr="00A95203">
              <w:rPr>
                <w:kern w:val="0"/>
                <w:sz w:val="22"/>
                <w:szCs w:val="22"/>
              </w:rPr>
              <w:t>、交银周期回报</w:t>
            </w:r>
            <w:r w:rsidR="00F1122A" w:rsidRPr="00A95203">
              <w:rPr>
                <w:kern w:val="0"/>
                <w:sz w:val="22"/>
                <w:szCs w:val="22"/>
              </w:rPr>
              <w:t>A</w:t>
            </w:r>
            <w:r w:rsidR="00F1122A" w:rsidRPr="00A95203">
              <w:rPr>
                <w:kern w:val="0"/>
                <w:sz w:val="22"/>
                <w:szCs w:val="22"/>
              </w:rPr>
              <w:t>类</w:t>
            </w:r>
            <w:r w:rsidR="00F1122A">
              <w:rPr>
                <w:rFonts w:hint="eastAsia"/>
                <w:kern w:val="0"/>
                <w:sz w:val="22"/>
                <w:szCs w:val="22"/>
              </w:rPr>
              <w:t>基金份额</w:t>
            </w:r>
            <w:r w:rsidR="00F6756B" w:rsidRPr="00A95203">
              <w:rPr>
                <w:kern w:val="0"/>
                <w:sz w:val="22"/>
                <w:szCs w:val="22"/>
              </w:rPr>
              <w:t>、交银新成长</w:t>
            </w:r>
          </w:p>
        </w:tc>
        <w:tc>
          <w:tcPr>
            <w:tcW w:w="2010" w:type="dxa"/>
            <w:tcBorders>
              <w:top w:val="single" w:sz="6" w:space="0" w:color="7F7F7F"/>
              <w:left w:val="single" w:sz="6" w:space="0" w:color="7F7F7F"/>
              <w:bottom w:val="single" w:sz="6" w:space="0" w:color="7F7F7F"/>
              <w:right w:val="single" w:sz="6" w:space="0" w:color="7F7F7F"/>
            </w:tcBorders>
            <w:vAlign w:val="center"/>
            <w:hideMark/>
          </w:tcPr>
          <w:p w:rsidR="00C254DD" w:rsidRPr="00A95203" w:rsidRDefault="00C254DD" w:rsidP="00534F16">
            <w:pPr>
              <w:widowControl/>
              <w:jc w:val="left"/>
              <w:rPr>
                <w:kern w:val="0"/>
                <w:sz w:val="22"/>
                <w:szCs w:val="22"/>
              </w:rPr>
            </w:pPr>
            <w:r w:rsidRPr="00A95203">
              <w:rPr>
                <w:kern w:val="0"/>
                <w:sz w:val="22"/>
                <w:szCs w:val="22"/>
              </w:rPr>
              <w:t>后端收费模式下</w:t>
            </w:r>
          </w:p>
          <w:p w:rsidR="00C254DD" w:rsidRPr="00A95203" w:rsidRDefault="00C254DD" w:rsidP="00F75B56">
            <w:pPr>
              <w:widowControl/>
              <w:tabs>
                <w:tab w:val="left" w:pos="420"/>
              </w:tabs>
              <w:jc w:val="left"/>
              <w:rPr>
                <w:kern w:val="0"/>
                <w:sz w:val="22"/>
                <w:szCs w:val="22"/>
              </w:rPr>
            </w:pPr>
            <w:r w:rsidRPr="00A95203">
              <w:rPr>
                <w:kern w:val="0"/>
                <w:sz w:val="22"/>
                <w:szCs w:val="22"/>
              </w:rPr>
              <w:t>交银精选、交银稳健、交银成长、交银蓝筹、交银先锋、交银治理、交银主题、交银趋势、交银制造、交银价值、交银核心</w:t>
            </w:r>
            <w:r w:rsidR="0018114C" w:rsidRPr="00A95203">
              <w:rPr>
                <w:kern w:val="0"/>
                <w:sz w:val="22"/>
                <w:szCs w:val="22"/>
              </w:rPr>
              <w:t>、</w:t>
            </w:r>
            <w:r w:rsidR="00356D1A" w:rsidRPr="00A95203">
              <w:rPr>
                <w:kern w:val="0"/>
                <w:sz w:val="22"/>
                <w:szCs w:val="22"/>
              </w:rPr>
              <w:t>交银消费新驱动、</w:t>
            </w:r>
            <w:r w:rsidR="0018114C" w:rsidRPr="00A95203">
              <w:rPr>
                <w:kern w:val="0"/>
                <w:sz w:val="22"/>
                <w:szCs w:val="22"/>
              </w:rPr>
              <w:t>交银成长</w:t>
            </w:r>
            <w:r w:rsidR="0018114C" w:rsidRPr="00A95203">
              <w:rPr>
                <w:kern w:val="0"/>
                <w:sz w:val="22"/>
                <w:szCs w:val="22"/>
              </w:rPr>
              <w:t>30</w:t>
            </w:r>
            <w:r w:rsidR="0010366C" w:rsidRPr="00A95203">
              <w:rPr>
                <w:kern w:val="0"/>
                <w:sz w:val="22"/>
                <w:szCs w:val="22"/>
              </w:rPr>
              <w:t>、交银周期回报</w:t>
            </w:r>
            <w:r w:rsidR="00F1122A" w:rsidRPr="00A95203">
              <w:rPr>
                <w:kern w:val="0"/>
                <w:sz w:val="22"/>
                <w:szCs w:val="22"/>
              </w:rPr>
              <w:t>A</w:t>
            </w:r>
            <w:r w:rsidR="00F1122A" w:rsidRPr="00A95203">
              <w:rPr>
                <w:kern w:val="0"/>
                <w:sz w:val="22"/>
                <w:szCs w:val="22"/>
              </w:rPr>
              <w:t>类</w:t>
            </w:r>
            <w:r w:rsidR="00F1122A">
              <w:rPr>
                <w:rFonts w:hint="eastAsia"/>
                <w:kern w:val="0"/>
                <w:sz w:val="22"/>
                <w:szCs w:val="22"/>
              </w:rPr>
              <w:t>基金份额</w:t>
            </w:r>
            <w:r w:rsidR="00F6756B" w:rsidRPr="00A95203">
              <w:rPr>
                <w:kern w:val="0"/>
                <w:sz w:val="22"/>
                <w:szCs w:val="22"/>
              </w:rPr>
              <w:t>、交银新成长</w:t>
            </w: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C254DD" w:rsidRPr="00A95203" w:rsidRDefault="00C254DD" w:rsidP="00534F16">
            <w:pPr>
              <w:widowControl/>
              <w:tabs>
                <w:tab w:val="left" w:pos="420"/>
              </w:tabs>
              <w:spacing w:before="100" w:beforeAutospacing="1" w:after="100" w:afterAutospacing="1"/>
              <w:jc w:val="center"/>
              <w:rPr>
                <w:kern w:val="0"/>
                <w:sz w:val="22"/>
                <w:szCs w:val="22"/>
              </w:rPr>
            </w:pPr>
            <w:r w:rsidRPr="00A95203">
              <w:rPr>
                <w:kern w:val="0"/>
                <w:sz w:val="22"/>
                <w:szCs w:val="22"/>
              </w:rPr>
              <w:t>－</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C254DD" w:rsidRPr="00A95203" w:rsidRDefault="00C254DD" w:rsidP="00534F16">
            <w:pPr>
              <w:widowControl/>
              <w:tabs>
                <w:tab w:val="left" w:pos="420"/>
              </w:tabs>
              <w:jc w:val="center"/>
              <w:rPr>
                <w:kern w:val="0"/>
                <w:sz w:val="22"/>
                <w:szCs w:val="22"/>
              </w:rPr>
            </w:pPr>
            <w:r w:rsidRPr="00A95203">
              <w:rPr>
                <w:kern w:val="0"/>
                <w:sz w:val="22"/>
                <w:szCs w:val="22"/>
              </w:rPr>
              <w:t>0</w:t>
            </w:r>
          </w:p>
        </w:tc>
      </w:tr>
      <w:tr w:rsidR="00C254DD" w:rsidRPr="00A95203" w:rsidTr="00534F16">
        <w:trPr>
          <w:tblCellSpacing w:w="0" w:type="dxa"/>
        </w:trPr>
        <w:tc>
          <w:tcPr>
            <w:tcW w:w="1922" w:type="dxa"/>
            <w:tcBorders>
              <w:top w:val="single" w:sz="6" w:space="0" w:color="7F7F7F"/>
              <w:left w:val="single" w:sz="6" w:space="0" w:color="7F7F7F"/>
              <w:bottom w:val="single" w:sz="6" w:space="0" w:color="7F7F7F"/>
              <w:right w:val="single" w:sz="6" w:space="0" w:color="7F7F7F"/>
            </w:tcBorders>
            <w:vAlign w:val="center"/>
          </w:tcPr>
          <w:p w:rsidR="007E7A59" w:rsidRPr="00A95203" w:rsidRDefault="00C254DD" w:rsidP="00B46B47">
            <w:pPr>
              <w:widowControl/>
              <w:jc w:val="left"/>
              <w:rPr>
                <w:kern w:val="0"/>
                <w:sz w:val="22"/>
                <w:szCs w:val="22"/>
              </w:rPr>
            </w:pPr>
            <w:r w:rsidRPr="00A95203">
              <w:rPr>
                <w:kern w:val="0"/>
                <w:sz w:val="22"/>
                <w:szCs w:val="22"/>
              </w:rPr>
              <w:t>交银货币</w:t>
            </w:r>
            <w:r w:rsidR="00B46B47">
              <w:rPr>
                <w:rFonts w:hint="eastAsia"/>
                <w:kern w:val="0"/>
                <w:sz w:val="22"/>
                <w:szCs w:val="22"/>
              </w:rPr>
              <w:t>、</w:t>
            </w:r>
            <w:r w:rsidRPr="00A95203">
              <w:rPr>
                <w:kern w:val="0"/>
                <w:sz w:val="22"/>
                <w:szCs w:val="22"/>
              </w:rPr>
              <w:t>交银增利</w:t>
            </w:r>
            <w:r w:rsidRPr="00A95203">
              <w:rPr>
                <w:kern w:val="0"/>
                <w:sz w:val="22"/>
                <w:szCs w:val="22"/>
              </w:rPr>
              <w:t>B</w:t>
            </w:r>
            <w:r w:rsidRPr="00A95203">
              <w:rPr>
                <w:kern w:val="0"/>
                <w:sz w:val="22"/>
                <w:szCs w:val="22"/>
              </w:rPr>
              <w:t>类</w:t>
            </w:r>
            <w:r w:rsidR="00B46B47">
              <w:rPr>
                <w:rFonts w:hint="eastAsia"/>
                <w:kern w:val="0"/>
                <w:sz w:val="22"/>
                <w:szCs w:val="22"/>
              </w:rPr>
              <w:t>和</w:t>
            </w:r>
            <w:r w:rsidRPr="00A95203">
              <w:rPr>
                <w:kern w:val="0"/>
                <w:sz w:val="22"/>
                <w:szCs w:val="22"/>
              </w:rPr>
              <w:t>C</w:t>
            </w:r>
            <w:r w:rsidRPr="00A95203">
              <w:rPr>
                <w:kern w:val="0"/>
                <w:sz w:val="22"/>
                <w:szCs w:val="22"/>
              </w:rPr>
              <w:t>类基金份额</w:t>
            </w:r>
            <w:r w:rsidR="00B46B47">
              <w:rPr>
                <w:rFonts w:hint="eastAsia"/>
                <w:kern w:val="0"/>
                <w:sz w:val="22"/>
                <w:szCs w:val="22"/>
              </w:rPr>
              <w:t>、</w:t>
            </w:r>
            <w:r w:rsidRPr="00A95203">
              <w:rPr>
                <w:kern w:val="0"/>
                <w:sz w:val="22"/>
                <w:szCs w:val="22"/>
              </w:rPr>
              <w:t>交银双利</w:t>
            </w:r>
            <w:r w:rsidRPr="00A95203">
              <w:rPr>
                <w:kern w:val="0"/>
                <w:sz w:val="22"/>
                <w:szCs w:val="22"/>
              </w:rPr>
              <w:t>B</w:t>
            </w:r>
            <w:r w:rsidRPr="00A95203">
              <w:rPr>
                <w:kern w:val="0"/>
                <w:sz w:val="22"/>
                <w:szCs w:val="22"/>
              </w:rPr>
              <w:t>类</w:t>
            </w:r>
            <w:r w:rsidR="00B46B47">
              <w:rPr>
                <w:rFonts w:hint="eastAsia"/>
                <w:kern w:val="0"/>
                <w:sz w:val="22"/>
                <w:szCs w:val="22"/>
              </w:rPr>
              <w:t>和</w:t>
            </w:r>
            <w:r w:rsidRPr="00A95203">
              <w:rPr>
                <w:kern w:val="0"/>
                <w:sz w:val="22"/>
                <w:szCs w:val="22"/>
              </w:rPr>
              <w:t>C</w:t>
            </w:r>
            <w:r w:rsidRPr="00A95203">
              <w:rPr>
                <w:kern w:val="0"/>
                <w:sz w:val="22"/>
                <w:szCs w:val="22"/>
              </w:rPr>
              <w:t>类基金份额</w:t>
            </w:r>
            <w:r w:rsidR="00B46B47">
              <w:rPr>
                <w:rFonts w:hint="eastAsia"/>
                <w:kern w:val="0"/>
                <w:sz w:val="22"/>
                <w:szCs w:val="22"/>
              </w:rPr>
              <w:t>、</w:t>
            </w:r>
            <w:r w:rsidRPr="00A95203">
              <w:rPr>
                <w:kern w:val="0"/>
                <w:sz w:val="22"/>
                <w:szCs w:val="22"/>
              </w:rPr>
              <w:t>交银纯债</w:t>
            </w:r>
            <w:r w:rsidRPr="00A95203">
              <w:rPr>
                <w:kern w:val="0"/>
                <w:sz w:val="22"/>
                <w:szCs w:val="22"/>
              </w:rPr>
              <w:t>B</w:t>
            </w:r>
            <w:r w:rsidRPr="00A95203">
              <w:rPr>
                <w:kern w:val="0"/>
                <w:sz w:val="22"/>
                <w:szCs w:val="22"/>
              </w:rPr>
              <w:t>类</w:t>
            </w:r>
            <w:r w:rsidR="00B46B47">
              <w:rPr>
                <w:rFonts w:hint="eastAsia"/>
                <w:kern w:val="0"/>
                <w:sz w:val="22"/>
                <w:szCs w:val="22"/>
              </w:rPr>
              <w:t>和</w:t>
            </w:r>
            <w:r w:rsidRPr="00A95203">
              <w:rPr>
                <w:kern w:val="0"/>
                <w:sz w:val="22"/>
                <w:szCs w:val="22"/>
              </w:rPr>
              <w:t>C</w:t>
            </w:r>
            <w:r w:rsidRPr="00A95203">
              <w:rPr>
                <w:kern w:val="0"/>
                <w:sz w:val="22"/>
                <w:szCs w:val="22"/>
              </w:rPr>
              <w:t>类基金份额</w:t>
            </w:r>
            <w:r w:rsidR="00B46B47">
              <w:rPr>
                <w:rFonts w:hint="eastAsia"/>
                <w:kern w:val="0"/>
                <w:sz w:val="22"/>
                <w:szCs w:val="22"/>
              </w:rPr>
              <w:t>、</w:t>
            </w:r>
            <w:r w:rsidRPr="00A95203">
              <w:rPr>
                <w:kern w:val="0"/>
                <w:sz w:val="22"/>
                <w:szCs w:val="22"/>
              </w:rPr>
              <w:t>交银双轮动</w:t>
            </w:r>
            <w:r w:rsidRPr="00A95203">
              <w:rPr>
                <w:kern w:val="0"/>
                <w:sz w:val="22"/>
                <w:szCs w:val="22"/>
              </w:rPr>
              <w:t>B</w:t>
            </w:r>
            <w:r w:rsidRPr="00A95203">
              <w:rPr>
                <w:kern w:val="0"/>
                <w:sz w:val="22"/>
                <w:szCs w:val="22"/>
              </w:rPr>
              <w:t>类</w:t>
            </w:r>
            <w:r w:rsidR="00B46B47">
              <w:rPr>
                <w:rFonts w:hint="eastAsia"/>
                <w:kern w:val="0"/>
                <w:sz w:val="22"/>
                <w:szCs w:val="22"/>
              </w:rPr>
              <w:t>和</w:t>
            </w:r>
            <w:r w:rsidRPr="00A95203">
              <w:rPr>
                <w:kern w:val="0"/>
                <w:sz w:val="22"/>
                <w:szCs w:val="22"/>
              </w:rPr>
              <w:t>C</w:t>
            </w:r>
            <w:r w:rsidRPr="00A95203">
              <w:rPr>
                <w:kern w:val="0"/>
                <w:sz w:val="22"/>
                <w:szCs w:val="22"/>
              </w:rPr>
              <w:t>类基金份额</w:t>
            </w:r>
            <w:r w:rsidR="00B46B47">
              <w:rPr>
                <w:rFonts w:hint="eastAsia"/>
                <w:kern w:val="0"/>
                <w:sz w:val="22"/>
                <w:szCs w:val="22"/>
              </w:rPr>
              <w:t>、</w:t>
            </w:r>
            <w:r w:rsidR="007735F9" w:rsidRPr="00A95203">
              <w:rPr>
                <w:kern w:val="0"/>
                <w:sz w:val="22"/>
                <w:szCs w:val="22"/>
              </w:rPr>
              <w:t>交银月月丰</w:t>
            </w:r>
            <w:r w:rsidR="007735F9" w:rsidRPr="00A95203">
              <w:rPr>
                <w:kern w:val="0"/>
                <w:sz w:val="22"/>
                <w:szCs w:val="22"/>
              </w:rPr>
              <w:lastRenderedPageBreak/>
              <w:t>C</w:t>
            </w:r>
            <w:r w:rsidR="007735F9" w:rsidRPr="00A95203">
              <w:rPr>
                <w:kern w:val="0"/>
                <w:sz w:val="22"/>
                <w:szCs w:val="22"/>
              </w:rPr>
              <w:t>类基金份额</w:t>
            </w:r>
            <w:r w:rsidR="00B46B47">
              <w:rPr>
                <w:rFonts w:hint="eastAsia"/>
                <w:kern w:val="0"/>
                <w:sz w:val="22"/>
                <w:szCs w:val="22"/>
              </w:rPr>
              <w:t>、</w:t>
            </w:r>
            <w:r w:rsidR="007E7A59" w:rsidRPr="00A95203">
              <w:rPr>
                <w:kern w:val="0"/>
                <w:sz w:val="22"/>
                <w:szCs w:val="22"/>
              </w:rPr>
              <w:t>交银强化回报</w:t>
            </w:r>
            <w:r w:rsidR="007E7A59" w:rsidRPr="00A95203">
              <w:rPr>
                <w:kern w:val="0"/>
                <w:sz w:val="22"/>
                <w:szCs w:val="22"/>
              </w:rPr>
              <w:t>B</w:t>
            </w:r>
            <w:r w:rsidR="007E7A59" w:rsidRPr="00A95203">
              <w:rPr>
                <w:kern w:val="0"/>
                <w:sz w:val="22"/>
                <w:szCs w:val="22"/>
              </w:rPr>
              <w:t>类</w:t>
            </w:r>
            <w:r w:rsidR="00B46B47">
              <w:rPr>
                <w:rFonts w:hint="eastAsia"/>
                <w:kern w:val="0"/>
                <w:sz w:val="22"/>
                <w:szCs w:val="22"/>
              </w:rPr>
              <w:t>和</w:t>
            </w:r>
            <w:r w:rsidR="007E7A59" w:rsidRPr="00A95203">
              <w:rPr>
                <w:kern w:val="0"/>
                <w:sz w:val="22"/>
                <w:szCs w:val="22"/>
              </w:rPr>
              <w:t>C</w:t>
            </w:r>
            <w:r w:rsidR="007E7A59" w:rsidRPr="00A95203">
              <w:rPr>
                <w:kern w:val="0"/>
                <w:sz w:val="22"/>
                <w:szCs w:val="22"/>
              </w:rPr>
              <w:t>类基金份额</w:t>
            </w:r>
          </w:p>
        </w:tc>
        <w:tc>
          <w:tcPr>
            <w:tcW w:w="2010" w:type="dxa"/>
            <w:tcBorders>
              <w:top w:val="single" w:sz="6" w:space="0" w:color="7F7F7F"/>
              <w:left w:val="single" w:sz="6" w:space="0" w:color="7F7F7F"/>
              <w:bottom w:val="single" w:sz="6" w:space="0" w:color="7F7F7F"/>
              <w:right w:val="single" w:sz="6" w:space="0" w:color="7F7F7F"/>
            </w:tcBorders>
            <w:vAlign w:val="center"/>
            <w:hideMark/>
          </w:tcPr>
          <w:p w:rsidR="008C0237" w:rsidRPr="00A95203" w:rsidRDefault="007E7A59" w:rsidP="008C0237">
            <w:pPr>
              <w:widowControl/>
              <w:jc w:val="left"/>
              <w:rPr>
                <w:kern w:val="0"/>
                <w:sz w:val="22"/>
                <w:szCs w:val="22"/>
              </w:rPr>
            </w:pPr>
            <w:r w:rsidRPr="00A95203">
              <w:rPr>
                <w:kern w:val="0"/>
                <w:sz w:val="22"/>
                <w:szCs w:val="22"/>
              </w:rPr>
              <w:lastRenderedPageBreak/>
              <w:t>交银强化回报</w:t>
            </w:r>
            <w:r w:rsidRPr="00A95203">
              <w:rPr>
                <w:kern w:val="0"/>
                <w:sz w:val="22"/>
                <w:szCs w:val="22"/>
              </w:rPr>
              <w:t>B</w:t>
            </w:r>
            <w:r w:rsidRPr="00A95203">
              <w:rPr>
                <w:kern w:val="0"/>
                <w:sz w:val="22"/>
                <w:szCs w:val="22"/>
              </w:rPr>
              <w:t>类基金份额</w:t>
            </w:r>
            <w:r w:rsidR="00B46B47">
              <w:rPr>
                <w:rFonts w:hint="eastAsia"/>
                <w:kern w:val="0"/>
                <w:sz w:val="22"/>
                <w:szCs w:val="22"/>
              </w:rPr>
              <w:t>、</w:t>
            </w:r>
            <w:r w:rsidR="008C0237" w:rsidRPr="00A95203">
              <w:rPr>
                <w:kern w:val="0"/>
                <w:sz w:val="22"/>
                <w:szCs w:val="22"/>
              </w:rPr>
              <w:t>交银双轮动</w:t>
            </w:r>
            <w:r w:rsidR="008C0237" w:rsidRPr="00A95203">
              <w:rPr>
                <w:kern w:val="0"/>
                <w:sz w:val="22"/>
                <w:szCs w:val="22"/>
              </w:rPr>
              <w:t>B</w:t>
            </w:r>
            <w:r w:rsidR="008C0237" w:rsidRPr="00A95203">
              <w:rPr>
                <w:kern w:val="0"/>
                <w:sz w:val="22"/>
                <w:szCs w:val="22"/>
              </w:rPr>
              <w:t>类基金份额</w:t>
            </w:r>
            <w:r w:rsidR="00B46B47">
              <w:rPr>
                <w:rFonts w:hint="eastAsia"/>
                <w:kern w:val="0"/>
                <w:sz w:val="22"/>
                <w:szCs w:val="22"/>
              </w:rPr>
              <w:t>、</w:t>
            </w:r>
            <w:r w:rsidR="008C0237" w:rsidRPr="00A95203">
              <w:rPr>
                <w:kern w:val="0"/>
                <w:sz w:val="22"/>
                <w:szCs w:val="22"/>
              </w:rPr>
              <w:t>交银纯债</w:t>
            </w:r>
            <w:r w:rsidR="008C0237" w:rsidRPr="00A95203">
              <w:rPr>
                <w:kern w:val="0"/>
                <w:sz w:val="22"/>
                <w:szCs w:val="22"/>
              </w:rPr>
              <w:t>B</w:t>
            </w:r>
            <w:r w:rsidR="008C0237" w:rsidRPr="00A95203">
              <w:rPr>
                <w:kern w:val="0"/>
                <w:sz w:val="22"/>
                <w:szCs w:val="22"/>
              </w:rPr>
              <w:t>类基金份额</w:t>
            </w:r>
            <w:r w:rsidR="00B46B47">
              <w:rPr>
                <w:rFonts w:hint="eastAsia"/>
                <w:kern w:val="0"/>
                <w:sz w:val="22"/>
                <w:szCs w:val="22"/>
              </w:rPr>
              <w:t>、</w:t>
            </w:r>
            <w:r w:rsidR="008C0237" w:rsidRPr="00A95203">
              <w:rPr>
                <w:kern w:val="0"/>
                <w:sz w:val="22"/>
                <w:szCs w:val="22"/>
              </w:rPr>
              <w:t>交银双利</w:t>
            </w:r>
            <w:r w:rsidR="008C0237" w:rsidRPr="00A95203">
              <w:rPr>
                <w:kern w:val="0"/>
                <w:sz w:val="22"/>
                <w:szCs w:val="22"/>
              </w:rPr>
              <w:t>B</w:t>
            </w:r>
            <w:r w:rsidR="008C0237" w:rsidRPr="00A95203">
              <w:rPr>
                <w:kern w:val="0"/>
                <w:sz w:val="22"/>
                <w:szCs w:val="22"/>
              </w:rPr>
              <w:t>类基金份额</w:t>
            </w:r>
            <w:r w:rsidR="00B46B47">
              <w:rPr>
                <w:rFonts w:hint="eastAsia"/>
                <w:kern w:val="0"/>
                <w:sz w:val="22"/>
                <w:szCs w:val="22"/>
              </w:rPr>
              <w:t>、</w:t>
            </w:r>
            <w:r w:rsidR="008C0237" w:rsidRPr="00A95203">
              <w:rPr>
                <w:kern w:val="0"/>
                <w:sz w:val="22"/>
                <w:szCs w:val="22"/>
              </w:rPr>
              <w:t>交银增利</w:t>
            </w:r>
            <w:r w:rsidR="008C0237" w:rsidRPr="00A95203">
              <w:rPr>
                <w:kern w:val="0"/>
                <w:sz w:val="22"/>
                <w:szCs w:val="22"/>
              </w:rPr>
              <w:t>B</w:t>
            </w:r>
            <w:r w:rsidR="008C0237" w:rsidRPr="00A95203">
              <w:rPr>
                <w:kern w:val="0"/>
                <w:sz w:val="22"/>
                <w:szCs w:val="22"/>
              </w:rPr>
              <w:t>类基金份额</w:t>
            </w:r>
          </w:p>
          <w:p w:rsidR="00C254DD" w:rsidRPr="00A95203" w:rsidRDefault="00C254DD" w:rsidP="00534F16">
            <w:pPr>
              <w:widowControl/>
              <w:tabs>
                <w:tab w:val="left" w:pos="420"/>
              </w:tabs>
              <w:jc w:val="left"/>
              <w:rPr>
                <w:kern w:val="0"/>
                <w:sz w:val="22"/>
                <w:szCs w:val="22"/>
              </w:rPr>
            </w:pPr>
          </w:p>
        </w:tc>
        <w:tc>
          <w:tcPr>
            <w:tcW w:w="3146" w:type="dxa"/>
            <w:tcBorders>
              <w:top w:val="single" w:sz="6" w:space="0" w:color="7F7F7F"/>
              <w:left w:val="single" w:sz="6" w:space="0" w:color="7F7F7F"/>
              <w:bottom w:val="single" w:sz="6" w:space="0" w:color="7F7F7F"/>
              <w:right w:val="single" w:sz="6" w:space="0" w:color="7F7F7F"/>
            </w:tcBorders>
            <w:vAlign w:val="center"/>
            <w:hideMark/>
          </w:tcPr>
          <w:p w:rsidR="00C254DD" w:rsidRPr="00A95203" w:rsidRDefault="00C254DD" w:rsidP="00534F16">
            <w:pPr>
              <w:widowControl/>
              <w:tabs>
                <w:tab w:val="left" w:pos="420"/>
              </w:tabs>
              <w:spacing w:before="100" w:beforeAutospacing="1" w:after="100" w:afterAutospacing="1"/>
              <w:jc w:val="center"/>
              <w:rPr>
                <w:kern w:val="0"/>
                <w:sz w:val="22"/>
                <w:szCs w:val="22"/>
              </w:rPr>
            </w:pPr>
            <w:r w:rsidRPr="00A95203">
              <w:rPr>
                <w:kern w:val="0"/>
                <w:sz w:val="22"/>
                <w:szCs w:val="22"/>
              </w:rPr>
              <w:t>-</w:t>
            </w:r>
          </w:p>
        </w:tc>
        <w:tc>
          <w:tcPr>
            <w:tcW w:w="1397" w:type="dxa"/>
            <w:tcBorders>
              <w:top w:val="single" w:sz="6" w:space="0" w:color="7F7F7F"/>
              <w:left w:val="single" w:sz="6" w:space="0" w:color="7F7F7F"/>
              <w:bottom w:val="single" w:sz="6" w:space="0" w:color="7F7F7F"/>
              <w:right w:val="single" w:sz="6" w:space="0" w:color="7F7F7F"/>
            </w:tcBorders>
            <w:vAlign w:val="center"/>
            <w:hideMark/>
          </w:tcPr>
          <w:p w:rsidR="00C254DD" w:rsidRPr="00A95203" w:rsidRDefault="00C254DD" w:rsidP="00534F16">
            <w:pPr>
              <w:widowControl/>
              <w:tabs>
                <w:tab w:val="left" w:pos="420"/>
              </w:tabs>
              <w:spacing w:before="100" w:beforeAutospacing="1" w:after="100" w:afterAutospacing="1"/>
              <w:jc w:val="center"/>
              <w:rPr>
                <w:kern w:val="0"/>
                <w:sz w:val="22"/>
                <w:szCs w:val="22"/>
              </w:rPr>
            </w:pPr>
            <w:r w:rsidRPr="00A95203">
              <w:rPr>
                <w:kern w:val="0"/>
                <w:sz w:val="22"/>
                <w:szCs w:val="22"/>
              </w:rPr>
              <w:t>0</w:t>
            </w:r>
          </w:p>
        </w:tc>
      </w:tr>
    </w:tbl>
    <w:p w:rsidR="00536704" w:rsidRPr="00A95203" w:rsidRDefault="00536704" w:rsidP="00536704">
      <w:pPr>
        <w:pStyle w:val="af2"/>
        <w:spacing w:line="360" w:lineRule="auto"/>
        <w:ind w:rightChars="-85" w:right="-178" w:firstLineChars="200" w:firstLine="480"/>
        <w:rPr>
          <w:sz w:val="24"/>
          <w:szCs w:val="24"/>
        </w:rPr>
      </w:pPr>
      <w:r w:rsidRPr="00A95203">
        <w:rPr>
          <w:sz w:val="24"/>
          <w:szCs w:val="24"/>
        </w:rPr>
        <w:lastRenderedPageBreak/>
        <w:t>备注：同一基金的</w:t>
      </w:r>
      <w:r w:rsidRPr="00A95203">
        <w:rPr>
          <w:sz w:val="24"/>
          <w:szCs w:val="24"/>
        </w:rPr>
        <w:t>B</w:t>
      </w:r>
      <w:r w:rsidRPr="00A95203">
        <w:rPr>
          <w:sz w:val="24"/>
          <w:szCs w:val="24"/>
        </w:rPr>
        <w:t>类、</w:t>
      </w:r>
      <w:r w:rsidRPr="00A95203">
        <w:rPr>
          <w:sz w:val="24"/>
          <w:szCs w:val="24"/>
        </w:rPr>
        <w:t>C</w:t>
      </w:r>
      <w:r w:rsidRPr="00A95203">
        <w:rPr>
          <w:sz w:val="24"/>
          <w:szCs w:val="24"/>
        </w:rPr>
        <w:t>类基金份额之间不可转换。</w:t>
      </w:r>
    </w:p>
    <w:p w:rsidR="00536704" w:rsidRPr="00A95203" w:rsidRDefault="00536704" w:rsidP="00536704">
      <w:pPr>
        <w:pStyle w:val="af2"/>
        <w:spacing w:line="360" w:lineRule="auto"/>
        <w:ind w:rightChars="-85" w:right="-178" w:firstLineChars="200" w:firstLine="480"/>
        <w:rPr>
          <w:sz w:val="24"/>
          <w:szCs w:val="24"/>
        </w:rPr>
      </w:pPr>
      <w:r w:rsidRPr="00A95203">
        <w:rPr>
          <w:sz w:val="24"/>
          <w:szCs w:val="24"/>
        </w:rPr>
        <w:t>5</w:t>
      </w:r>
      <w:r w:rsidRPr="00A95203">
        <w:rPr>
          <w:sz w:val="24"/>
          <w:szCs w:val="24"/>
        </w:rPr>
        <w:t>、网上直销的申购补差费率优惠</w:t>
      </w:r>
    </w:p>
    <w:p w:rsidR="007735F9" w:rsidRPr="00A95203" w:rsidRDefault="007735F9" w:rsidP="007735F9">
      <w:pPr>
        <w:pStyle w:val="af2"/>
        <w:spacing w:line="360" w:lineRule="auto"/>
        <w:ind w:firstLine="480"/>
        <w:rPr>
          <w:sz w:val="24"/>
        </w:rPr>
      </w:pPr>
      <w:r w:rsidRPr="00A95203">
        <w:rPr>
          <w:sz w:val="24"/>
          <w:szCs w:val="24"/>
        </w:rPr>
        <w:t>为更好服务投资者，本基金管理人已开通基金网上直销业务，已开通的银行卡及各银行卡交易金额限额请参阅本公司网站。目前，投资者通过本公司网上直销交易平台进行基金转换，从各基金招募说明书所载的零申购费率的基金转换入非零申购费率的基金，转出与转入基金的前端申购补差费率享受</w:t>
      </w:r>
      <w:r w:rsidRPr="00A95203">
        <w:rPr>
          <w:sz w:val="24"/>
          <w:szCs w:val="24"/>
        </w:rPr>
        <w:t>1</w:t>
      </w:r>
      <w:r w:rsidRPr="00A95203">
        <w:rPr>
          <w:sz w:val="24"/>
          <w:szCs w:val="24"/>
        </w:rPr>
        <w:t>折优惠（原前端申购补差费为固定费用的除外）。</w:t>
      </w:r>
    </w:p>
    <w:p w:rsidR="007735F9" w:rsidRPr="00A95203" w:rsidRDefault="007735F9" w:rsidP="007735F9">
      <w:pPr>
        <w:pStyle w:val="af2"/>
        <w:spacing w:after="0" w:line="360" w:lineRule="auto"/>
        <w:ind w:firstLineChars="200" w:firstLine="480"/>
        <w:rPr>
          <w:sz w:val="24"/>
          <w:szCs w:val="24"/>
        </w:rPr>
      </w:pPr>
      <w:r w:rsidRPr="00A95203">
        <w:rPr>
          <w:sz w:val="24"/>
          <w:szCs w:val="24"/>
        </w:rPr>
        <w:t>具体而言，交银货币、交银增利</w:t>
      </w:r>
      <w:r w:rsidRPr="00A95203">
        <w:rPr>
          <w:sz w:val="24"/>
          <w:szCs w:val="24"/>
        </w:rPr>
        <w:t>C</w:t>
      </w:r>
      <w:r w:rsidRPr="00A95203">
        <w:rPr>
          <w:sz w:val="24"/>
          <w:szCs w:val="24"/>
        </w:rPr>
        <w:t>类基金份额、交银双利</w:t>
      </w:r>
      <w:r w:rsidRPr="00A95203">
        <w:rPr>
          <w:sz w:val="24"/>
          <w:szCs w:val="24"/>
        </w:rPr>
        <w:t>C</w:t>
      </w:r>
      <w:r w:rsidRPr="00A95203">
        <w:rPr>
          <w:sz w:val="24"/>
          <w:szCs w:val="24"/>
        </w:rPr>
        <w:t>类基金份额、交银纯债</w:t>
      </w:r>
      <w:r w:rsidRPr="00A95203">
        <w:rPr>
          <w:sz w:val="24"/>
          <w:szCs w:val="24"/>
        </w:rPr>
        <w:t>C</w:t>
      </w:r>
      <w:r w:rsidRPr="00A95203">
        <w:rPr>
          <w:sz w:val="24"/>
          <w:szCs w:val="24"/>
        </w:rPr>
        <w:t>类基金份额、交银双轮动</w:t>
      </w:r>
      <w:r w:rsidRPr="00A95203">
        <w:rPr>
          <w:sz w:val="24"/>
          <w:szCs w:val="24"/>
        </w:rPr>
        <w:t>C</w:t>
      </w:r>
      <w:r w:rsidRPr="00A95203">
        <w:rPr>
          <w:sz w:val="24"/>
          <w:szCs w:val="24"/>
        </w:rPr>
        <w:t>类基金份额、交银月月丰</w:t>
      </w:r>
      <w:r w:rsidRPr="00A95203">
        <w:rPr>
          <w:sz w:val="24"/>
          <w:szCs w:val="24"/>
        </w:rPr>
        <w:t>C</w:t>
      </w:r>
      <w:r w:rsidRPr="00A95203">
        <w:rPr>
          <w:sz w:val="24"/>
          <w:szCs w:val="24"/>
        </w:rPr>
        <w:t>类基金份额</w:t>
      </w:r>
      <w:r w:rsidR="007E7A59" w:rsidRPr="00A95203">
        <w:rPr>
          <w:sz w:val="24"/>
          <w:szCs w:val="24"/>
        </w:rPr>
        <w:t>、交银强化回报</w:t>
      </w:r>
      <w:r w:rsidR="007E7A59" w:rsidRPr="00A95203">
        <w:rPr>
          <w:sz w:val="24"/>
          <w:szCs w:val="24"/>
        </w:rPr>
        <w:t>C</w:t>
      </w:r>
      <w:r w:rsidR="007E7A59" w:rsidRPr="00A95203">
        <w:rPr>
          <w:sz w:val="24"/>
          <w:szCs w:val="24"/>
        </w:rPr>
        <w:t>类基金份额</w:t>
      </w:r>
      <w:r w:rsidRPr="00A95203">
        <w:rPr>
          <w:sz w:val="24"/>
          <w:szCs w:val="24"/>
        </w:rPr>
        <w:t>转入前端收费模式下的交银精选、交银稳健、交银成长、交银蓝筹、交银先锋、交银治理、交银主题、交银制造、交银价值、</w:t>
      </w:r>
      <w:r w:rsidR="00B647A9" w:rsidRPr="00A95203">
        <w:rPr>
          <w:sz w:val="24"/>
          <w:szCs w:val="24"/>
        </w:rPr>
        <w:t>交银策略回报、</w:t>
      </w:r>
      <w:r w:rsidRPr="00A95203">
        <w:rPr>
          <w:sz w:val="24"/>
          <w:szCs w:val="24"/>
        </w:rPr>
        <w:t>交银核心、</w:t>
      </w:r>
      <w:r w:rsidR="00B647A9" w:rsidRPr="00A95203">
        <w:rPr>
          <w:sz w:val="24"/>
          <w:szCs w:val="24"/>
        </w:rPr>
        <w:t>交银消费新驱动、</w:t>
      </w:r>
      <w:r w:rsidRPr="00A95203">
        <w:rPr>
          <w:sz w:val="24"/>
          <w:szCs w:val="24"/>
        </w:rPr>
        <w:t>交银成长</w:t>
      </w:r>
      <w:r w:rsidRPr="00A95203">
        <w:rPr>
          <w:sz w:val="24"/>
          <w:szCs w:val="24"/>
        </w:rPr>
        <w:t>30</w:t>
      </w:r>
      <w:r w:rsidRPr="00A95203">
        <w:rPr>
          <w:sz w:val="24"/>
          <w:szCs w:val="24"/>
        </w:rPr>
        <w:t>、</w:t>
      </w:r>
      <w:r w:rsidR="00357A98" w:rsidRPr="00A95203">
        <w:rPr>
          <w:sz w:val="24"/>
          <w:szCs w:val="24"/>
        </w:rPr>
        <w:t>交银双息平衡</w:t>
      </w:r>
      <w:r w:rsidR="00F64C74" w:rsidRPr="00A95203">
        <w:rPr>
          <w:sz w:val="24"/>
          <w:szCs w:val="24"/>
        </w:rPr>
        <w:t>、交银新回报</w:t>
      </w:r>
      <w:r w:rsidR="00F1122A" w:rsidRPr="00A95203">
        <w:rPr>
          <w:kern w:val="0"/>
          <w:sz w:val="22"/>
          <w:szCs w:val="22"/>
        </w:rPr>
        <w:t>A</w:t>
      </w:r>
      <w:r w:rsidR="00F1122A" w:rsidRPr="00A95203">
        <w:rPr>
          <w:kern w:val="0"/>
          <w:sz w:val="22"/>
          <w:szCs w:val="22"/>
        </w:rPr>
        <w:t>类</w:t>
      </w:r>
      <w:r w:rsidR="00F1122A">
        <w:rPr>
          <w:rFonts w:hint="eastAsia"/>
          <w:kern w:val="0"/>
          <w:sz w:val="22"/>
          <w:szCs w:val="22"/>
        </w:rPr>
        <w:t>基金份额</w:t>
      </w:r>
      <w:r w:rsidR="00F64C74" w:rsidRPr="00A95203">
        <w:rPr>
          <w:sz w:val="24"/>
          <w:szCs w:val="24"/>
        </w:rPr>
        <w:t>、交银多策略回报</w:t>
      </w:r>
      <w:r w:rsidR="00F1122A" w:rsidRPr="00A95203">
        <w:rPr>
          <w:kern w:val="0"/>
          <w:sz w:val="22"/>
          <w:szCs w:val="22"/>
        </w:rPr>
        <w:t>A</w:t>
      </w:r>
      <w:r w:rsidR="00F1122A" w:rsidRPr="00A95203">
        <w:rPr>
          <w:kern w:val="0"/>
          <w:sz w:val="22"/>
          <w:szCs w:val="22"/>
        </w:rPr>
        <w:t>类</w:t>
      </w:r>
      <w:r w:rsidR="00F1122A">
        <w:rPr>
          <w:rFonts w:hint="eastAsia"/>
          <w:kern w:val="0"/>
          <w:sz w:val="22"/>
          <w:szCs w:val="22"/>
        </w:rPr>
        <w:t>基金份额</w:t>
      </w:r>
      <w:r w:rsidR="007F780E" w:rsidRPr="00A95203">
        <w:rPr>
          <w:sz w:val="24"/>
          <w:szCs w:val="24"/>
        </w:rPr>
        <w:t>、交银国企改革、</w:t>
      </w:r>
      <w:r w:rsidR="00BA0346">
        <w:rPr>
          <w:rFonts w:hint="eastAsia"/>
          <w:sz w:val="24"/>
          <w:szCs w:val="24"/>
        </w:rPr>
        <w:t>交银数据产业、</w:t>
      </w:r>
      <w:r w:rsidR="007F780E" w:rsidRPr="00A95203">
        <w:rPr>
          <w:sz w:val="24"/>
          <w:szCs w:val="24"/>
        </w:rPr>
        <w:t>交</w:t>
      </w:r>
      <w:r w:rsidR="00807569" w:rsidRPr="00A95203">
        <w:rPr>
          <w:sz w:val="24"/>
          <w:szCs w:val="24"/>
        </w:rPr>
        <w:t>银周期回报</w:t>
      </w:r>
      <w:r w:rsidR="00F1122A" w:rsidRPr="00A95203">
        <w:rPr>
          <w:kern w:val="0"/>
          <w:sz w:val="22"/>
          <w:szCs w:val="22"/>
        </w:rPr>
        <w:t>A</w:t>
      </w:r>
      <w:r w:rsidR="00F1122A" w:rsidRPr="00A95203">
        <w:rPr>
          <w:kern w:val="0"/>
          <w:sz w:val="22"/>
          <w:szCs w:val="22"/>
        </w:rPr>
        <w:t>类</w:t>
      </w:r>
      <w:r w:rsidR="00F1122A">
        <w:rPr>
          <w:rFonts w:hint="eastAsia"/>
          <w:kern w:val="0"/>
          <w:sz w:val="22"/>
          <w:szCs w:val="22"/>
        </w:rPr>
        <w:t>基金份额</w:t>
      </w:r>
      <w:r w:rsidR="00807569" w:rsidRPr="00A95203">
        <w:rPr>
          <w:sz w:val="24"/>
          <w:szCs w:val="24"/>
        </w:rPr>
        <w:t>、</w:t>
      </w:r>
      <w:r w:rsidR="00571D35" w:rsidRPr="00A95203">
        <w:rPr>
          <w:sz w:val="24"/>
          <w:szCs w:val="24"/>
        </w:rPr>
        <w:t>交银新成长、</w:t>
      </w:r>
      <w:r w:rsidRPr="00A95203">
        <w:rPr>
          <w:sz w:val="24"/>
          <w:szCs w:val="24"/>
        </w:rPr>
        <w:t>交银荣祥保本、交银行业、交银趋势</w:t>
      </w:r>
      <w:r w:rsidR="001B543A">
        <w:rPr>
          <w:rFonts w:hint="eastAsia"/>
          <w:kern w:val="0"/>
          <w:sz w:val="22"/>
          <w:szCs w:val="22"/>
        </w:rPr>
        <w:t>、交银经济新动力</w:t>
      </w:r>
      <w:r w:rsidRPr="00A95203">
        <w:rPr>
          <w:sz w:val="24"/>
          <w:szCs w:val="24"/>
        </w:rPr>
        <w:t>、</w:t>
      </w:r>
      <w:r w:rsidR="00DB3E68">
        <w:rPr>
          <w:rFonts w:hint="eastAsia"/>
          <w:sz w:val="24"/>
          <w:szCs w:val="24"/>
        </w:rPr>
        <w:t>交银荣和保本、</w:t>
      </w:r>
      <w:r w:rsidR="0056105D">
        <w:rPr>
          <w:rFonts w:hint="eastAsia"/>
          <w:sz w:val="24"/>
          <w:szCs w:val="24"/>
        </w:rPr>
        <w:t>交银科技创新、</w:t>
      </w:r>
      <w:r w:rsidRPr="00A95203">
        <w:rPr>
          <w:sz w:val="24"/>
          <w:szCs w:val="24"/>
        </w:rPr>
        <w:t>交银增利</w:t>
      </w:r>
      <w:r w:rsidRPr="00A95203">
        <w:rPr>
          <w:sz w:val="24"/>
          <w:szCs w:val="24"/>
        </w:rPr>
        <w:t>A</w:t>
      </w:r>
      <w:r w:rsidRPr="00A95203">
        <w:rPr>
          <w:sz w:val="24"/>
          <w:szCs w:val="24"/>
        </w:rPr>
        <w:t>类基金份额、交银双利</w:t>
      </w:r>
      <w:r w:rsidRPr="00A95203">
        <w:rPr>
          <w:sz w:val="24"/>
          <w:szCs w:val="24"/>
        </w:rPr>
        <w:t>A</w:t>
      </w:r>
      <w:r w:rsidRPr="00A95203">
        <w:rPr>
          <w:sz w:val="24"/>
          <w:szCs w:val="24"/>
        </w:rPr>
        <w:t>类基金份额、交银纯债</w:t>
      </w:r>
      <w:r w:rsidRPr="00A95203">
        <w:rPr>
          <w:sz w:val="24"/>
          <w:szCs w:val="24"/>
        </w:rPr>
        <w:t>A</w:t>
      </w:r>
      <w:r w:rsidRPr="00A95203">
        <w:rPr>
          <w:sz w:val="24"/>
          <w:szCs w:val="24"/>
        </w:rPr>
        <w:t>类基金份额、交银双轮动</w:t>
      </w:r>
      <w:r w:rsidRPr="00A95203">
        <w:rPr>
          <w:sz w:val="24"/>
          <w:szCs w:val="24"/>
        </w:rPr>
        <w:t>A</w:t>
      </w:r>
      <w:r w:rsidRPr="00A95203">
        <w:rPr>
          <w:sz w:val="24"/>
          <w:szCs w:val="24"/>
        </w:rPr>
        <w:t>类基金份额、交银月月丰</w:t>
      </w:r>
      <w:r w:rsidRPr="00A95203">
        <w:rPr>
          <w:sz w:val="24"/>
          <w:szCs w:val="24"/>
        </w:rPr>
        <w:t>A</w:t>
      </w:r>
      <w:r w:rsidRPr="00A95203">
        <w:rPr>
          <w:sz w:val="24"/>
          <w:szCs w:val="24"/>
        </w:rPr>
        <w:t>类基金份额</w:t>
      </w:r>
      <w:r w:rsidR="007E7A59" w:rsidRPr="00A95203">
        <w:rPr>
          <w:sz w:val="24"/>
          <w:szCs w:val="24"/>
        </w:rPr>
        <w:t>、交银强化回报</w:t>
      </w:r>
      <w:r w:rsidR="007E7A59" w:rsidRPr="00A95203">
        <w:rPr>
          <w:sz w:val="24"/>
          <w:szCs w:val="24"/>
        </w:rPr>
        <w:t>A</w:t>
      </w:r>
      <w:r w:rsidR="007E7A59" w:rsidRPr="00A95203">
        <w:rPr>
          <w:sz w:val="24"/>
          <w:szCs w:val="24"/>
        </w:rPr>
        <w:t>类基金份额</w:t>
      </w:r>
      <w:r w:rsidRPr="00A95203">
        <w:rPr>
          <w:sz w:val="24"/>
          <w:szCs w:val="24"/>
        </w:rPr>
        <w:t>，享受转出与转入基金的前端申购补差费率优惠如下：</w:t>
      </w:r>
    </w:p>
    <w:tbl>
      <w:tblPr>
        <w:tblW w:w="8480" w:type="dxa"/>
        <w:tblCellSpacing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650"/>
        <w:gridCol w:w="1726"/>
        <w:gridCol w:w="2738"/>
        <w:gridCol w:w="1166"/>
        <w:gridCol w:w="1200"/>
      </w:tblGrid>
      <w:tr w:rsidR="007735F9" w:rsidRPr="00A95203" w:rsidTr="00807569">
        <w:trPr>
          <w:tblCellSpacing w:w="0" w:type="dxa"/>
        </w:trPr>
        <w:tc>
          <w:tcPr>
            <w:tcW w:w="1650" w:type="dxa"/>
            <w:vAlign w:val="center"/>
            <w:hideMark/>
          </w:tcPr>
          <w:p w:rsidR="007735F9" w:rsidRPr="00A95203" w:rsidRDefault="007735F9" w:rsidP="003525EE">
            <w:pPr>
              <w:tabs>
                <w:tab w:val="left" w:pos="420"/>
              </w:tabs>
              <w:jc w:val="center"/>
              <w:rPr>
                <w:sz w:val="24"/>
              </w:rPr>
            </w:pPr>
            <w:r w:rsidRPr="00A95203">
              <w:rPr>
                <w:b/>
                <w:bCs/>
                <w:sz w:val="24"/>
              </w:rPr>
              <w:t>转出基金</w:t>
            </w:r>
          </w:p>
        </w:tc>
        <w:tc>
          <w:tcPr>
            <w:tcW w:w="1726" w:type="dxa"/>
            <w:vAlign w:val="center"/>
            <w:hideMark/>
          </w:tcPr>
          <w:p w:rsidR="007735F9" w:rsidRPr="00A95203" w:rsidRDefault="007735F9" w:rsidP="003525EE">
            <w:pPr>
              <w:tabs>
                <w:tab w:val="left" w:pos="420"/>
              </w:tabs>
              <w:jc w:val="center"/>
              <w:rPr>
                <w:sz w:val="24"/>
              </w:rPr>
            </w:pPr>
            <w:r w:rsidRPr="00A95203">
              <w:rPr>
                <w:b/>
                <w:bCs/>
                <w:sz w:val="24"/>
              </w:rPr>
              <w:t>转入基金</w:t>
            </w:r>
          </w:p>
        </w:tc>
        <w:tc>
          <w:tcPr>
            <w:tcW w:w="2738" w:type="dxa"/>
            <w:vAlign w:val="center"/>
            <w:hideMark/>
          </w:tcPr>
          <w:p w:rsidR="007735F9" w:rsidRPr="00A95203" w:rsidRDefault="007735F9" w:rsidP="003525EE">
            <w:pPr>
              <w:tabs>
                <w:tab w:val="left" w:pos="420"/>
              </w:tabs>
              <w:jc w:val="center"/>
              <w:rPr>
                <w:sz w:val="24"/>
              </w:rPr>
            </w:pPr>
            <w:r w:rsidRPr="00A95203">
              <w:rPr>
                <w:b/>
                <w:bCs/>
                <w:sz w:val="24"/>
              </w:rPr>
              <w:t>转出确认金额</w:t>
            </w:r>
          </w:p>
        </w:tc>
        <w:tc>
          <w:tcPr>
            <w:tcW w:w="1166" w:type="dxa"/>
            <w:vAlign w:val="center"/>
            <w:hideMark/>
          </w:tcPr>
          <w:p w:rsidR="007735F9" w:rsidRPr="00A95203" w:rsidRDefault="007735F9" w:rsidP="003525EE">
            <w:pPr>
              <w:tabs>
                <w:tab w:val="left" w:pos="420"/>
              </w:tabs>
              <w:jc w:val="center"/>
              <w:rPr>
                <w:sz w:val="24"/>
              </w:rPr>
            </w:pPr>
            <w:r w:rsidRPr="00A95203">
              <w:rPr>
                <w:b/>
                <w:bCs/>
                <w:sz w:val="24"/>
              </w:rPr>
              <w:t>转出与转入基金的日常申购补差费率</w:t>
            </w:r>
          </w:p>
        </w:tc>
        <w:tc>
          <w:tcPr>
            <w:tcW w:w="1200" w:type="dxa"/>
            <w:vAlign w:val="center"/>
            <w:hideMark/>
          </w:tcPr>
          <w:p w:rsidR="007735F9" w:rsidRPr="00A95203" w:rsidRDefault="007735F9" w:rsidP="003525EE">
            <w:pPr>
              <w:tabs>
                <w:tab w:val="left" w:pos="420"/>
              </w:tabs>
              <w:jc w:val="center"/>
              <w:rPr>
                <w:sz w:val="24"/>
              </w:rPr>
            </w:pPr>
            <w:r w:rsidRPr="00A95203">
              <w:rPr>
                <w:b/>
                <w:bCs/>
                <w:sz w:val="24"/>
              </w:rPr>
              <w:t>转出与转入基金的前端申购补差优惠费率</w:t>
            </w:r>
          </w:p>
        </w:tc>
      </w:tr>
      <w:tr w:rsidR="007A70A0" w:rsidRPr="00A95203" w:rsidTr="00EE7EBC">
        <w:trPr>
          <w:trHeight w:val="345"/>
          <w:tblCellSpacing w:w="0" w:type="dxa"/>
        </w:trPr>
        <w:tc>
          <w:tcPr>
            <w:tcW w:w="1650" w:type="dxa"/>
            <w:vMerge w:val="restart"/>
            <w:vAlign w:val="center"/>
            <w:hideMark/>
          </w:tcPr>
          <w:p w:rsidR="007A70A0" w:rsidRPr="00A95203" w:rsidRDefault="007A70A0" w:rsidP="00B46B47">
            <w:pPr>
              <w:jc w:val="left"/>
              <w:rPr>
                <w:sz w:val="24"/>
              </w:rPr>
            </w:pPr>
            <w:r w:rsidRPr="00A95203">
              <w:rPr>
                <w:sz w:val="24"/>
              </w:rPr>
              <w:t>交银货币</w:t>
            </w:r>
            <w:r w:rsidR="00B46B47">
              <w:rPr>
                <w:rFonts w:hint="eastAsia"/>
                <w:sz w:val="24"/>
              </w:rPr>
              <w:t>、</w:t>
            </w:r>
            <w:r w:rsidRPr="00A95203">
              <w:rPr>
                <w:sz w:val="24"/>
              </w:rPr>
              <w:t>交银增利</w:t>
            </w:r>
            <w:r w:rsidRPr="00A95203">
              <w:rPr>
                <w:sz w:val="24"/>
              </w:rPr>
              <w:t>C</w:t>
            </w:r>
            <w:r w:rsidRPr="00A95203">
              <w:rPr>
                <w:sz w:val="24"/>
              </w:rPr>
              <w:t>类基金份额</w:t>
            </w:r>
            <w:r w:rsidR="00B46B47">
              <w:rPr>
                <w:rFonts w:hint="eastAsia"/>
                <w:sz w:val="24"/>
              </w:rPr>
              <w:t>、</w:t>
            </w:r>
            <w:r w:rsidRPr="00A95203">
              <w:rPr>
                <w:sz w:val="24"/>
              </w:rPr>
              <w:t>交银双利</w:t>
            </w:r>
            <w:r w:rsidRPr="00A95203">
              <w:rPr>
                <w:sz w:val="24"/>
              </w:rPr>
              <w:t>C</w:t>
            </w:r>
            <w:r w:rsidRPr="00A95203">
              <w:rPr>
                <w:sz w:val="24"/>
              </w:rPr>
              <w:t>类基金份额</w:t>
            </w:r>
            <w:r w:rsidR="00B46B47">
              <w:rPr>
                <w:rFonts w:hint="eastAsia"/>
                <w:sz w:val="24"/>
              </w:rPr>
              <w:t>、</w:t>
            </w:r>
            <w:r w:rsidRPr="00A95203">
              <w:rPr>
                <w:sz w:val="24"/>
              </w:rPr>
              <w:t>交银纯债</w:t>
            </w:r>
            <w:r w:rsidRPr="00A95203">
              <w:rPr>
                <w:sz w:val="24"/>
              </w:rPr>
              <w:t>C</w:t>
            </w:r>
            <w:r w:rsidRPr="00A95203">
              <w:rPr>
                <w:sz w:val="24"/>
              </w:rPr>
              <w:t>类基金份额</w:t>
            </w:r>
            <w:r w:rsidR="00B46B47">
              <w:rPr>
                <w:rFonts w:hint="eastAsia"/>
                <w:sz w:val="24"/>
              </w:rPr>
              <w:t>、</w:t>
            </w:r>
            <w:r w:rsidRPr="00A95203">
              <w:rPr>
                <w:sz w:val="24"/>
              </w:rPr>
              <w:t>交银双轮动</w:t>
            </w:r>
            <w:r w:rsidRPr="00A95203">
              <w:rPr>
                <w:sz w:val="24"/>
              </w:rPr>
              <w:t>C</w:t>
            </w:r>
            <w:r w:rsidRPr="00A95203">
              <w:rPr>
                <w:sz w:val="24"/>
              </w:rPr>
              <w:t>类基金份额</w:t>
            </w:r>
            <w:r w:rsidR="00B46B47">
              <w:rPr>
                <w:rFonts w:hint="eastAsia"/>
                <w:sz w:val="24"/>
              </w:rPr>
              <w:t>、</w:t>
            </w:r>
            <w:r w:rsidRPr="00A95203">
              <w:rPr>
                <w:sz w:val="24"/>
              </w:rPr>
              <w:t>交银月</w:t>
            </w:r>
            <w:r w:rsidRPr="00A95203">
              <w:rPr>
                <w:sz w:val="24"/>
              </w:rPr>
              <w:lastRenderedPageBreak/>
              <w:t>月丰</w:t>
            </w:r>
            <w:r w:rsidRPr="00A95203">
              <w:rPr>
                <w:sz w:val="24"/>
              </w:rPr>
              <w:t>C</w:t>
            </w:r>
            <w:r w:rsidRPr="00A95203">
              <w:rPr>
                <w:sz w:val="24"/>
              </w:rPr>
              <w:t>类基金份额</w:t>
            </w:r>
            <w:r w:rsidR="00B46B47">
              <w:rPr>
                <w:rFonts w:hint="eastAsia"/>
                <w:sz w:val="24"/>
              </w:rPr>
              <w:t>、</w:t>
            </w:r>
            <w:r w:rsidRPr="00A95203">
              <w:rPr>
                <w:sz w:val="24"/>
              </w:rPr>
              <w:t>交银强化回报</w:t>
            </w:r>
            <w:r w:rsidRPr="00A95203">
              <w:rPr>
                <w:sz w:val="24"/>
              </w:rPr>
              <w:t>C</w:t>
            </w:r>
            <w:r w:rsidRPr="00A95203">
              <w:rPr>
                <w:sz w:val="24"/>
              </w:rPr>
              <w:t>类基金份额</w:t>
            </w:r>
          </w:p>
        </w:tc>
        <w:tc>
          <w:tcPr>
            <w:tcW w:w="1726" w:type="dxa"/>
            <w:vMerge w:val="restart"/>
            <w:vAlign w:val="center"/>
            <w:hideMark/>
          </w:tcPr>
          <w:p w:rsidR="007A70A0" w:rsidRPr="00A95203" w:rsidRDefault="007A70A0" w:rsidP="00571D35">
            <w:pPr>
              <w:jc w:val="left"/>
              <w:rPr>
                <w:sz w:val="24"/>
              </w:rPr>
            </w:pPr>
            <w:r w:rsidRPr="00A95203">
              <w:rPr>
                <w:sz w:val="24"/>
              </w:rPr>
              <w:lastRenderedPageBreak/>
              <w:t>前端收费模式下</w:t>
            </w:r>
          </w:p>
          <w:p w:rsidR="007A70A0" w:rsidRPr="00A95203" w:rsidRDefault="007A70A0" w:rsidP="00571D35">
            <w:pPr>
              <w:jc w:val="left"/>
              <w:rPr>
                <w:sz w:val="24"/>
              </w:rPr>
            </w:pPr>
            <w:r w:rsidRPr="00A95203">
              <w:rPr>
                <w:sz w:val="24"/>
              </w:rPr>
              <w:t>交银新成长</w:t>
            </w:r>
          </w:p>
        </w:tc>
        <w:tc>
          <w:tcPr>
            <w:tcW w:w="2738" w:type="dxa"/>
            <w:vAlign w:val="center"/>
            <w:hideMark/>
          </w:tcPr>
          <w:p w:rsidR="007A70A0" w:rsidRPr="00A95203" w:rsidRDefault="007A70A0" w:rsidP="00EE7EBC">
            <w:pPr>
              <w:tabs>
                <w:tab w:val="left" w:pos="420"/>
              </w:tabs>
              <w:jc w:val="center"/>
            </w:pPr>
            <w:r w:rsidRPr="00A95203">
              <w:rPr>
                <w:sz w:val="22"/>
                <w:szCs w:val="22"/>
              </w:rPr>
              <w:t>100</w:t>
            </w:r>
            <w:r w:rsidRPr="00A95203">
              <w:rPr>
                <w:sz w:val="22"/>
                <w:szCs w:val="22"/>
              </w:rPr>
              <w:t>万元以下</w:t>
            </w:r>
          </w:p>
        </w:tc>
        <w:tc>
          <w:tcPr>
            <w:tcW w:w="1166" w:type="dxa"/>
            <w:vAlign w:val="center"/>
            <w:hideMark/>
          </w:tcPr>
          <w:p w:rsidR="007A70A0" w:rsidRPr="00A95203" w:rsidRDefault="007A70A0" w:rsidP="00EE7EBC">
            <w:pPr>
              <w:tabs>
                <w:tab w:val="left" w:pos="420"/>
              </w:tabs>
              <w:jc w:val="center"/>
            </w:pPr>
            <w:r w:rsidRPr="00A95203">
              <w:rPr>
                <w:sz w:val="22"/>
                <w:szCs w:val="22"/>
              </w:rPr>
              <w:t>1.5%</w:t>
            </w:r>
          </w:p>
        </w:tc>
        <w:tc>
          <w:tcPr>
            <w:tcW w:w="1200" w:type="dxa"/>
            <w:vAlign w:val="center"/>
            <w:hideMark/>
          </w:tcPr>
          <w:p w:rsidR="007A70A0" w:rsidRPr="00A95203" w:rsidRDefault="007A70A0" w:rsidP="00EE7EBC">
            <w:pPr>
              <w:tabs>
                <w:tab w:val="left" w:pos="420"/>
              </w:tabs>
              <w:jc w:val="center"/>
              <w:rPr>
                <w:sz w:val="24"/>
              </w:rPr>
            </w:pPr>
            <w:r w:rsidRPr="00A95203">
              <w:rPr>
                <w:sz w:val="24"/>
              </w:rPr>
              <w:t>0.15%</w:t>
            </w:r>
          </w:p>
        </w:tc>
      </w:tr>
      <w:tr w:rsidR="007A70A0" w:rsidRPr="00A95203" w:rsidTr="00EE7EBC">
        <w:trPr>
          <w:trHeight w:val="345"/>
          <w:tblCellSpacing w:w="0" w:type="dxa"/>
        </w:trPr>
        <w:tc>
          <w:tcPr>
            <w:tcW w:w="1650" w:type="dxa"/>
            <w:vMerge/>
            <w:vAlign w:val="center"/>
            <w:hideMark/>
          </w:tcPr>
          <w:p w:rsidR="007A70A0" w:rsidRPr="00A95203" w:rsidRDefault="007A70A0" w:rsidP="00AA3168">
            <w:pPr>
              <w:jc w:val="left"/>
              <w:rPr>
                <w:sz w:val="24"/>
              </w:rPr>
            </w:pPr>
          </w:p>
        </w:tc>
        <w:tc>
          <w:tcPr>
            <w:tcW w:w="1726" w:type="dxa"/>
            <w:vMerge/>
            <w:vAlign w:val="center"/>
            <w:hideMark/>
          </w:tcPr>
          <w:p w:rsidR="007A70A0" w:rsidRPr="00A95203" w:rsidRDefault="007A70A0" w:rsidP="00AA3168">
            <w:pPr>
              <w:jc w:val="left"/>
              <w:rPr>
                <w:sz w:val="24"/>
              </w:rPr>
            </w:pPr>
          </w:p>
        </w:tc>
        <w:tc>
          <w:tcPr>
            <w:tcW w:w="2738" w:type="dxa"/>
            <w:vAlign w:val="center"/>
            <w:hideMark/>
          </w:tcPr>
          <w:p w:rsidR="007A70A0" w:rsidRPr="00A95203" w:rsidRDefault="007A70A0" w:rsidP="00EE7EBC">
            <w:pPr>
              <w:tabs>
                <w:tab w:val="left" w:pos="420"/>
              </w:tabs>
              <w:jc w:val="center"/>
            </w:pPr>
            <w:r w:rsidRPr="00A95203">
              <w:rPr>
                <w:sz w:val="22"/>
                <w:szCs w:val="22"/>
              </w:rPr>
              <w:t>100</w:t>
            </w:r>
            <w:r w:rsidRPr="00A95203">
              <w:rPr>
                <w:sz w:val="22"/>
                <w:szCs w:val="22"/>
              </w:rPr>
              <w:t>万元（含）至</w:t>
            </w:r>
            <w:r w:rsidRPr="00A95203">
              <w:rPr>
                <w:sz w:val="22"/>
                <w:szCs w:val="22"/>
              </w:rPr>
              <w:t>300</w:t>
            </w:r>
            <w:r w:rsidRPr="00A95203">
              <w:rPr>
                <w:sz w:val="22"/>
                <w:szCs w:val="22"/>
              </w:rPr>
              <w:t>万元</w:t>
            </w:r>
          </w:p>
        </w:tc>
        <w:tc>
          <w:tcPr>
            <w:tcW w:w="1166" w:type="dxa"/>
            <w:vAlign w:val="center"/>
            <w:hideMark/>
          </w:tcPr>
          <w:p w:rsidR="007A70A0" w:rsidRPr="00A95203" w:rsidRDefault="007A70A0" w:rsidP="00EE7EBC">
            <w:pPr>
              <w:tabs>
                <w:tab w:val="left" w:pos="420"/>
              </w:tabs>
              <w:jc w:val="center"/>
            </w:pPr>
            <w:r w:rsidRPr="00A95203">
              <w:rPr>
                <w:sz w:val="22"/>
                <w:szCs w:val="22"/>
              </w:rPr>
              <w:t>1.2%</w:t>
            </w:r>
          </w:p>
        </w:tc>
        <w:tc>
          <w:tcPr>
            <w:tcW w:w="1200" w:type="dxa"/>
            <w:vAlign w:val="center"/>
            <w:hideMark/>
          </w:tcPr>
          <w:p w:rsidR="007A70A0" w:rsidRPr="00A95203" w:rsidRDefault="007A70A0" w:rsidP="00EE7EBC">
            <w:pPr>
              <w:tabs>
                <w:tab w:val="left" w:pos="420"/>
              </w:tabs>
              <w:jc w:val="center"/>
              <w:rPr>
                <w:sz w:val="24"/>
              </w:rPr>
            </w:pPr>
            <w:r w:rsidRPr="00A95203">
              <w:rPr>
                <w:sz w:val="24"/>
              </w:rPr>
              <w:t>0.12%</w:t>
            </w:r>
          </w:p>
        </w:tc>
      </w:tr>
      <w:tr w:rsidR="007A70A0" w:rsidRPr="00A95203" w:rsidTr="00EE7EBC">
        <w:trPr>
          <w:trHeight w:val="345"/>
          <w:tblCellSpacing w:w="0" w:type="dxa"/>
        </w:trPr>
        <w:tc>
          <w:tcPr>
            <w:tcW w:w="1650" w:type="dxa"/>
            <w:vMerge/>
            <w:vAlign w:val="center"/>
            <w:hideMark/>
          </w:tcPr>
          <w:p w:rsidR="007A70A0" w:rsidRPr="00A95203" w:rsidRDefault="007A70A0" w:rsidP="00AA3168">
            <w:pPr>
              <w:jc w:val="left"/>
              <w:rPr>
                <w:sz w:val="24"/>
              </w:rPr>
            </w:pPr>
          </w:p>
        </w:tc>
        <w:tc>
          <w:tcPr>
            <w:tcW w:w="1726" w:type="dxa"/>
            <w:vMerge/>
            <w:vAlign w:val="center"/>
            <w:hideMark/>
          </w:tcPr>
          <w:p w:rsidR="007A70A0" w:rsidRPr="00A95203" w:rsidRDefault="007A70A0" w:rsidP="00AA3168">
            <w:pPr>
              <w:jc w:val="left"/>
              <w:rPr>
                <w:sz w:val="24"/>
              </w:rPr>
            </w:pPr>
          </w:p>
        </w:tc>
        <w:tc>
          <w:tcPr>
            <w:tcW w:w="2738" w:type="dxa"/>
            <w:vAlign w:val="center"/>
            <w:hideMark/>
          </w:tcPr>
          <w:p w:rsidR="007A70A0" w:rsidRPr="00A95203" w:rsidRDefault="007A70A0" w:rsidP="00EE7EBC">
            <w:pPr>
              <w:tabs>
                <w:tab w:val="left" w:pos="420"/>
              </w:tabs>
              <w:jc w:val="center"/>
            </w:pPr>
            <w:r w:rsidRPr="00A95203">
              <w:rPr>
                <w:sz w:val="22"/>
                <w:szCs w:val="22"/>
              </w:rPr>
              <w:t>300</w:t>
            </w:r>
            <w:r w:rsidRPr="00A95203">
              <w:rPr>
                <w:sz w:val="22"/>
                <w:szCs w:val="22"/>
              </w:rPr>
              <w:t>万元（含）至</w:t>
            </w:r>
            <w:r w:rsidRPr="00A95203">
              <w:rPr>
                <w:sz w:val="22"/>
                <w:szCs w:val="22"/>
              </w:rPr>
              <w:t>500</w:t>
            </w:r>
            <w:r w:rsidRPr="00A95203">
              <w:rPr>
                <w:sz w:val="22"/>
                <w:szCs w:val="22"/>
              </w:rPr>
              <w:t>万元</w:t>
            </w:r>
          </w:p>
        </w:tc>
        <w:tc>
          <w:tcPr>
            <w:tcW w:w="1166" w:type="dxa"/>
            <w:vAlign w:val="center"/>
            <w:hideMark/>
          </w:tcPr>
          <w:p w:rsidR="007A70A0" w:rsidRPr="00A95203" w:rsidRDefault="007A70A0" w:rsidP="00EE7EBC">
            <w:pPr>
              <w:tabs>
                <w:tab w:val="left" w:pos="420"/>
              </w:tabs>
              <w:jc w:val="center"/>
            </w:pPr>
            <w:r w:rsidRPr="00A95203">
              <w:rPr>
                <w:sz w:val="22"/>
                <w:szCs w:val="22"/>
              </w:rPr>
              <w:t>0.8%</w:t>
            </w:r>
          </w:p>
        </w:tc>
        <w:tc>
          <w:tcPr>
            <w:tcW w:w="1200" w:type="dxa"/>
            <w:vAlign w:val="center"/>
            <w:hideMark/>
          </w:tcPr>
          <w:p w:rsidR="007A70A0" w:rsidRPr="00A95203" w:rsidRDefault="007A70A0" w:rsidP="00EE7EBC">
            <w:pPr>
              <w:tabs>
                <w:tab w:val="left" w:pos="420"/>
              </w:tabs>
              <w:jc w:val="center"/>
              <w:rPr>
                <w:sz w:val="24"/>
              </w:rPr>
            </w:pPr>
            <w:r w:rsidRPr="00A95203">
              <w:rPr>
                <w:sz w:val="24"/>
              </w:rPr>
              <w:t>0.08%</w:t>
            </w:r>
          </w:p>
        </w:tc>
      </w:tr>
      <w:tr w:rsidR="007A70A0" w:rsidRPr="00A95203" w:rsidTr="00EE7EBC">
        <w:trPr>
          <w:trHeight w:val="345"/>
          <w:tblCellSpacing w:w="0" w:type="dxa"/>
        </w:trPr>
        <w:tc>
          <w:tcPr>
            <w:tcW w:w="1650" w:type="dxa"/>
            <w:vMerge/>
            <w:vAlign w:val="center"/>
            <w:hideMark/>
          </w:tcPr>
          <w:p w:rsidR="007A70A0" w:rsidRPr="00A95203" w:rsidRDefault="007A70A0" w:rsidP="00AA3168">
            <w:pPr>
              <w:jc w:val="left"/>
              <w:rPr>
                <w:sz w:val="24"/>
              </w:rPr>
            </w:pPr>
          </w:p>
        </w:tc>
        <w:tc>
          <w:tcPr>
            <w:tcW w:w="1726" w:type="dxa"/>
            <w:vMerge/>
            <w:vAlign w:val="center"/>
            <w:hideMark/>
          </w:tcPr>
          <w:p w:rsidR="007A70A0" w:rsidRPr="00A95203" w:rsidRDefault="007A70A0" w:rsidP="00AA3168">
            <w:pPr>
              <w:jc w:val="left"/>
              <w:rPr>
                <w:sz w:val="24"/>
              </w:rPr>
            </w:pPr>
          </w:p>
        </w:tc>
        <w:tc>
          <w:tcPr>
            <w:tcW w:w="2738" w:type="dxa"/>
            <w:vAlign w:val="center"/>
            <w:hideMark/>
          </w:tcPr>
          <w:p w:rsidR="007A70A0" w:rsidRPr="00A95203" w:rsidRDefault="007A70A0" w:rsidP="00EE7EBC">
            <w:pPr>
              <w:tabs>
                <w:tab w:val="left" w:pos="420"/>
              </w:tabs>
              <w:jc w:val="center"/>
            </w:pPr>
            <w:r w:rsidRPr="00A95203">
              <w:rPr>
                <w:sz w:val="22"/>
                <w:szCs w:val="22"/>
              </w:rPr>
              <w:t>500</w:t>
            </w:r>
            <w:r w:rsidRPr="00A95203">
              <w:rPr>
                <w:sz w:val="22"/>
                <w:szCs w:val="22"/>
              </w:rPr>
              <w:t>万元（含）至</w:t>
            </w:r>
            <w:r w:rsidRPr="00A95203">
              <w:rPr>
                <w:sz w:val="22"/>
                <w:szCs w:val="22"/>
              </w:rPr>
              <w:t>1000</w:t>
            </w:r>
            <w:r w:rsidRPr="00A95203">
              <w:rPr>
                <w:sz w:val="22"/>
                <w:szCs w:val="22"/>
              </w:rPr>
              <w:t>万元</w:t>
            </w:r>
          </w:p>
        </w:tc>
        <w:tc>
          <w:tcPr>
            <w:tcW w:w="1166" w:type="dxa"/>
            <w:vAlign w:val="center"/>
            <w:hideMark/>
          </w:tcPr>
          <w:p w:rsidR="007A70A0" w:rsidRPr="00A95203" w:rsidRDefault="007A70A0" w:rsidP="00EE7EBC">
            <w:pPr>
              <w:tabs>
                <w:tab w:val="left" w:pos="420"/>
              </w:tabs>
              <w:jc w:val="center"/>
            </w:pPr>
            <w:r w:rsidRPr="00A95203">
              <w:rPr>
                <w:sz w:val="22"/>
                <w:szCs w:val="22"/>
              </w:rPr>
              <w:t>0.5%</w:t>
            </w:r>
          </w:p>
        </w:tc>
        <w:tc>
          <w:tcPr>
            <w:tcW w:w="1200" w:type="dxa"/>
            <w:vAlign w:val="center"/>
            <w:hideMark/>
          </w:tcPr>
          <w:p w:rsidR="007A70A0" w:rsidRPr="00A95203" w:rsidRDefault="007A70A0" w:rsidP="00EE7EBC">
            <w:pPr>
              <w:tabs>
                <w:tab w:val="left" w:pos="420"/>
              </w:tabs>
              <w:jc w:val="center"/>
              <w:rPr>
                <w:sz w:val="24"/>
              </w:rPr>
            </w:pPr>
            <w:r w:rsidRPr="00A95203">
              <w:rPr>
                <w:sz w:val="24"/>
              </w:rPr>
              <w:t>0.05%</w:t>
            </w:r>
          </w:p>
        </w:tc>
      </w:tr>
      <w:tr w:rsidR="007A70A0" w:rsidRPr="00A95203" w:rsidTr="00EE7EBC">
        <w:trPr>
          <w:trHeight w:val="345"/>
          <w:tblCellSpacing w:w="0" w:type="dxa"/>
        </w:trPr>
        <w:tc>
          <w:tcPr>
            <w:tcW w:w="1650" w:type="dxa"/>
            <w:vMerge/>
            <w:vAlign w:val="center"/>
            <w:hideMark/>
          </w:tcPr>
          <w:p w:rsidR="007A70A0" w:rsidRPr="00A95203" w:rsidRDefault="007A70A0" w:rsidP="00AA3168">
            <w:pPr>
              <w:jc w:val="left"/>
              <w:rPr>
                <w:sz w:val="24"/>
              </w:rPr>
            </w:pPr>
          </w:p>
        </w:tc>
        <w:tc>
          <w:tcPr>
            <w:tcW w:w="1726" w:type="dxa"/>
            <w:vMerge/>
            <w:vAlign w:val="center"/>
            <w:hideMark/>
          </w:tcPr>
          <w:p w:rsidR="007A70A0" w:rsidRPr="00A95203" w:rsidRDefault="007A70A0" w:rsidP="00AA3168">
            <w:pPr>
              <w:jc w:val="left"/>
              <w:rPr>
                <w:sz w:val="24"/>
              </w:rPr>
            </w:pPr>
          </w:p>
        </w:tc>
        <w:tc>
          <w:tcPr>
            <w:tcW w:w="2738" w:type="dxa"/>
            <w:vAlign w:val="center"/>
            <w:hideMark/>
          </w:tcPr>
          <w:p w:rsidR="007A70A0" w:rsidRPr="00A95203" w:rsidRDefault="007A70A0" w:rsidP="00EE7EBC">
            <w:pPr>
              <w:tabs>
                <w:tab w:val="left" w:pos="420"/>
              </w:tabs>
              <w:jc w:val="center"/>
            </w:pPr>
            <w:r w:rsidRPr="00A95203">
              <w:rPr>
                <w:sz w:val="22"/>
                <w:szCs w:val="22"/>
              </w:rPr>
              <w:t>1000</w:t>
            </w:r>
            <w:r w:rsidRPr="00A95203">
              <w:rPr>
                <w:sz w:val="22"/>
                <w:szCs w:val="22"/>
              </w:rPr>
              <w:t>万元以上（含</w:t>
            </w:r>
            <w:r w:rsidRPr="00A95203">
              <w:rPr>
                <w:sz w:val="22"/>
                <w:szCs w:val="22"/>
              </w:rPr>
              <w:t>1000</w:t>
            </w:r>
            <w:r w:rsidRPr="00A95203">
              <w:rPr>
                <w:sz w:val="22"/>
                <w:szCs w:val="22"/>
              </w:rPr>
              <w:t>万）</w:t>
            </w:r>
          </w:p>
        </w:tc>
        <w:tc>
          <w:tcPr>
            <w:tcW w:w="1166" w:type="dxa"/>
            <w:vAlign w:val="center"/>
            <w:hideMark/>
          </w:tcPr>
          <w:p w:rsidR="007A70A0" w:rsidRPr="00A95203" w:rsidRDefault="007A70A0" w:rsidP="00EE7EBC">
            <w:pPr>
              <w:tabs>
                <w:tab w:val="left" w:pos="420"/>
              </w:tabs>
              <w:jc w:val="center"/>
            </w:pPr>
            <w:r w:rsidRPr="00A95203">
              <w:rPr>
                <w:sz w:val="24"/>
              </w:rPr>
              <w:t>1000</w:t>
            </w:r>
            <w:r w:rsidRPr="00A95203">
              <w:rPr>
                <w:sz w:val="24"/>
              </w:rPr>
              <w:t>元</w:t>
            </w:r>
            <w:r w:rsidRPr="00A95203">
              <w:rPr>
                <w:sz w:val="24"/>
              </w:rPr>
              <w:t>/</w:t>
            </w:r>
            <w:r w:rsidRPr="00A95203">
              <w:rPr>
                <w:sz w:val="24"/>
              </w:rPr>
              <w:t>笔</w:t>
            </w:r>
          </w:p>
        </w:tc>
        <w:tc>
          <w:tcPr>
            <w:tcW w:w="1200" w:type="dxa"/>
            <w:vAlign w:val="center"/>
            <w:hideMark/>
          </w:tcPr>
          <w:p w:rsidR="007A70A0" w:rsidRPr="00A95203" w:rsidRDefault="007A70A0" w:rsidP="00EE7EBC">
            <w:pPr>
              <w:tabs>
                <w:tab w:val="left" w:pos="420"/>
              </w:tabs>
              <w:jc w:val="center"/>
              <w:rPr>
                <w:sz w:val="24"/>
              </w:rPr>
            </w:pPr>
            <w:r w:rsidRPr="00A95203">
              <w:rPr>
                <w:sz w:val="24"/>
              </w:rPr>
              <w:t>1000</w:t>
            </w:r>
            <w:r w:rsidRPr="00A95203">
              <w:rPr>
                <w:sz w:val="24"/>
              </w:rPr>
              <w:t>元</w:t>
            </w:r>
            <w:r w:rsidRPr="00A95203">
              <w:rPr>
                <w:sz w:val="24"/>
              </w:rPr>
              <w:t>/</w:t>
            </w:r>
            <w:r w:rsidRPr="00A95203">
              <w:rPr>
                <w:sz w:val="24"/>
              </w:rPr>
              <w:t>笔</w:t>
            </w:r>
          </w:p>
        </w:tc>
      </w:tr>
      <w:tr w:rsidR="007A70A0" w:rsidRPr="00A95203" w:rsidTr="00EE7EBC">
        <w:trPr>
          <w:trHeight w:val="345"/>
          <w:tblCellSpacing w:w="0" w:type="dxa"/>
        </w:trPr>
        <w:tc>
          <w:tcPr>
            <w:tcW w:w="1650" w:type="dxa"/>
            <w:vMerge w:val="restart"/>
            <w:vAlign w:val="center"/>
            <w:hideMark/>
          </w:tcPr>
          <w:p w:rsidR="007A70A0" w:rsidRPr="00A95203" w:rsidRDefault="007A70A0" w:rsidP="00B46B47">
            <w:pPr>
              <w:jc w:val="left"/>
              <w:rPr>
                <w:sz w:val="24"/>
              </w:rPr>
            </w:pPr>
            <w:r w:rsidRPr="00A95203">
              <w:rPr>
                <w:sz w:val="24"/>
              </w:rPr>
              <w:lastRenderedPageBreak/>
              <w:t>交银货币</w:t>
            </w:r>
            <w:r w:rsidR="00B46B47">
              <w:rPr>
                <w:rFonts w:hint="eastAsia"/>
                <w:sz w:val="24"/>
              </w:rPr>
              <w:t>、</w:t>
            </w:r>
            <w:r w:rsidRPr="00A95203">
              <w:rPr>
                <w:sz w:val="24"/>
              </w:rPr>
              <w:t>交银增利</w:t>
            </w:r>
            <w:r w:rsidRPr="00A95203">
              <w:rPr>
                <w:sz w:val="24"/>
              </w:rPr>
              <w:t>C</w:t>
            </w:r>
            <w:r w:rsidRPr="00A95203">
              <w:rPr>
                <w:sz w:val="24"/>
              </w:rPr>
              <w:t>类基金份额</w:t>
            </w:r>
            <w:r w:rsidR="00B46B47">
              <w:rPr>
                <w:rFonts w:hint="eastAsia"/>
                <w:sz w:val="24"/>
              </w:rPr>
              <w:t>、</w:t>
            </w:r>
            <w:r w:rsidRPr="00A95203">
              <w:rPr>
                <w:sz w:val="24"/>
              </w:rPr>
              <w:t>交银双利</w:t>
            </w:r>
            <w:r w:rsidRPr="00A95203">
              <w:rPr>
                <w:sz w:val="24"/>
              </w:rPr>
              <w:t>C</w:t>
            </w:r>
            <w:r w:rsidRPr="00A95203">
              <w:rPr>
                <w:sz w:val="24"/>
              </w:rPr>
              <w:t>类基金份额</w:t>
            </w:r>
            <w:r w:rsidR="00B46B47">
              <w:rPr>
                <w:rFonts w:hint="eastAsia"/>
                <w:sz w:val="24"/>
              </w:rPr>
              <w:t>、</w:t>
            </w:r>
            <w:r w:rsidRPr="00A95203">
              <w:rPr>
                <w:sz w:val="24"/>
              </w:rPr>
              <w:t>交银纯债</w:t>
            </w:r>
            <w:r w:rsidRPr="00A95203">
              <w:rPr>
                <w:sz w:val="24"/>
              </w:rPr>
              <w:t>C</w:t>
            </w:r>
            <w:r w:rsidRPr="00A95203">
              <w:rPr>
                <w:sz w:val="24"/>
              </w:rPr>
              <w:t>类基金份额</w:t>
            </w:r>
            <w:r w:rsidR="00B46B47">
              <w:rPr>
                <w:rFonts w:hint="eastAsia"/>
                <w:sz w:val="24"/>
              </w:rPr>
              <w:t>、</w:t>
            </w:r>
            <w:r w:rsidRPr="00A95203">
              <w:rPr>
                <w:sz w:val="24"/>
              </w:rPr>
              <w:t>交银双轮动</w:t>
            </w:r>
            <w:r w:rsidRPr="00A95203">
              <w:rPr>
                <w:sz w:val="24"/>
              </w:rPr>
              <w:t>C</w:t>
            </w:r>
            <w:r w:rsidRPr="00A95203">
              <w:rPr>
                <w:sz w:val="24"/>
              </w:rPr>
              <w:t>类基金份额</w:t>
            </w:r>
            <w:r w:rsidR="00B46B47">
              <w:rPr>
                <w:rFonts w:hint="eastAsia"/>
                <w:sz w:val="24"/>
              </w:rPr>
              <w:t>、</w:t>
            </w:r>
            <w:r w:rsidRPr="00A95203">
              <w:rPr>
                <w:sz w:val="24"/>
              </w:rPr>
              <w:t>交银月月丰</w:t>
            </w:r>
            <w:r w:rsidRPr="00A95203">
              <w:rPr>
                <w:sz w:val="24"/>
              </w:rPr>
              <w:t>C</w:t>
            </w:r>
            <w:r w:rsidRPr="00A95203">
              <w:rPr>
                <w:sz w:val="24"/>
              </w:rPr>
              <w:t>类基金份额</w:t>
            </w:r>
            <w:r w:rsidR="00B46B47">
              <w:rPr>
                <w:rFonts w:hint="eastAsia"/>
                <w:sz w:val="24"/>
              </w:rPr>
              <w:t>、</w:t>
            </w:r>
            <w:r w:rsidRPr="00A95203">
              <w:rPr>
                <w:sz w:val="24"/>
              </w:rPr>
              <w:t>交银强化回报</w:t>
            </w:r>
            <w:r w:rsidRPr="00A95203">
              <w:rPr>
                <w:sz w:val="24"/>
              </w:rPr>
              <w:t>C</w:t>
            </w:r>
            <w:r w:rsidRPr="00A95203">
              <w:rPr>
                <w:sz w:val="24"/>
              </w:rPr>
              <w:t>类基金份额</w:t>
            </w:r>
          </w:p>
        </w:tc>
        <w:tc>
          <w:tcPr>
            <w:tcW w:w="1726" w:type="dxa"/>
            <w:vMerge w:val="restart"/>
            <w:vAlign w:val="center"/>
            <w:hideMark/>
          </w:tcPr>
          <w:p w:rsidR="007A70A0" w:rsidRPr="00A95203" w:rsidRDefault="007A70A0" w:rsidP="00AA3168">
            <w:pPr>
              <w:jc w:val="left"/>
              <w:rPr>
                <w:sz w:val="24"/>
              </w:rPr>
            </w:pPr>
            <w:r w:rsidRPr="00A95203">
              <w:rPr>
                <w:sz w:val="24"/>
              </w:rPr>
              <w:t>前端收费模式下</w:t>
            </w:r>
          </w:p>
          <w:p w:rsidR="007A70A0" w:rsidRPr="00A95203" w:rsidRDefault="007A70A0" w:rsidP="00AA3168">
            <w:pPr>
              <w:tabs>
                <w:tab w:val="left" w:pos="420"/>
              </w:tabs>
              <w:jc w:val="left"/>
              <w:rPr>
                <w:sz w:val="24"/>
              </w:rPr>
            </w:pPr>
            <w:r w:rsidRPr="00A95203">
              <w:rPr>
                <w:sz w:val="24"/>
              </w:rPr>
              <w:t>交银周期回报</w:t>
            </w:r>
            <w:r w:rsidR="00F1122A" w:rsidRPr="00A95203">
              <w:rPr>
                <w:kern w:val="0"/>
                <w:sz w:val="22"/>
                <w:szCs w:val="22"/>
              </w:rPr>
              <w:t>A</w:t>
            </w:r>
            <w:r w:rsidR="00F1122A" w:rsidRPr="00A95203">
              <w:rPr>
                <w:kern w:val="0"/>
                <w:sz w:val="22"/>
                <w:szCs w:val="22"/>
              </w:rPr>
              <w:t>类</w:t>
            </w:r>
            <w:r w:rsidR="00F1122A">
              <w:rPr>
                <w:rFonts w:hint="eastAsia"/>
                <w:kern w:val="0"/>
                <w:sz w:val="22"/>
                <w:szCs w:val="22"/>
              </w:rPr>
              <w:t>基金份额</w:t>
            </w:r>
          </w:p>
        </w:tc>
        <w:tc>
          <w:tcPr>
            <w:tcW w:w="2738" w:type="dxa"/>
            <w:vAlign w:val="center"/>
            <w:hideMark/>
          </w:tcPr>
          <w:p w:rsidR="007A70A0" w:rsidRPr="00A95203" w:rsidRDefault="007A70A0" w:rsidP="00EE7EBC">
            <w:pPr>
              <w:tabs>
                <w:tab w:val="left" w:pos="420"/>
              </w:tabs>
              <w:jc w:val="center"/>
              <w:rPr>
                <w:sz w:val="24"/>
              </w:rPr>
            </w:pPr>
            <w:r w:rsidRPr="00A95203">
              <w:t>100</w:t>
            </w:r>
            <w:r w:rsidRPr="00A95203">
              <w:t>万元以下</w:t>
            </w:r>
          </w:p>
        </w:tc>
        <w:tc>
          <w:tcPr>
            <w:tcW w:w="1166" w:type="dxa"/>
            <w:vAlign w:val="center"/>
            <w:hideMark/>
          </w:tcPr>
          <w:p w:rsidR="007A70A0" w:rsidRPr="00A95203" w:rsidRDefault="007A70A0" w:rsidP="00EE7EBC">
            <w:pPr>
              <w:tabs>
                <w:tab w:val="left" w:pos="420"/>
              </w:tabs>
              <w:jc w:val="center"/>
              <w:rPr>
                <w:sz w:val="24"/>
              </w:rPr>
            </w:pPr>
            <w:r w:rsidRPr="00A95203">
              <w:t>1.5%</w:t>
            </w:r>
          </w:p>
        </w:tc>
        <w:tc>
          <w:tcPr>
            <w:tcW w:w="1200" w:type="dxa"/>
            <w:vAlign w:val="center"/>
            <w:hideMark/>
          </w:tcPr>
          <w:p w:rsidR="007A70A0" w:rsidRPr="00A95203" w:rsidRDefault="007A70A0" w:rsidP="00EE7EBC">
            <w:pPr>
              <w:tabs>
                <w:tab w:val="left" w:pos="420"/>
              </w:tabs>
              <w:jc w:val="center"/>
              <w:rPr>
                <w:sz w:val="24"/>
              </w:rPr>
            </w:pPr>
            <w:r w:rsidRPr="00A95203">
              <w:rPr>
                <w:sz w:val="24"/>
              </w:rPr>
              <w:t>0.15%</w:t>
            </w:r>
          </w:p>
        </w:tc>
      </w:tr>
      <w:tr w:rsidR="007A70A0" w:rsidRPr="00A95203" w:rsidTr="00EE7EBC">
        <w:trPr>
          <w:trHeight w:val="450"/>
          <w:tblCellSpacing w:w="0" w:type="dxa"/>
        </w:trPr>
        <w:tc>
          <w:tcPr>
            <w:tcW w:w="1650" w:type="dxa"/>
            <w:vMerge/>
            <w:vAlign w:val="center"/>
            <w:hideMark/>
          </w:tcPr>
          <w:p w:rsidR="007A70A0" w:rsidRPr="00A95203" w:rsidRDefault="007A70A0" w:rsidP="00AA3168">
            <w:pPr>
              <w:jc w:val="left"/>
              <w:rPr>
                <w:sz w:val="24"/>
              </w:rPr>
            </w:pPr>
          </w:p>
        </w:tc>
        <w:tc>
          <w:tcPr>
            <w:tcW w:w="1726" w:type="dxa"/>
            <w:vMerge/>
            <w:vAlign w:val="center"/>
            <w:hideMark/>
          </w:tcPr>
          <w:p w:rsidR="007A70A0" w:rsidRPr="00A95203" w:rsidRDefault="007A70A0" w:rsidP="00AA3168">
            <w:pPr>
              <w:jc w:val="left"/>
              <w:rPr>
                <w:sz w:val="24"/>
              </w:rPr>
            </w:pPr>
          </w:p>
        </w:tc>
        <w:tc>
          <w:tcPr>
            <w:tcW w:w="2738" w:type="dxa"/>
            <w:vAlign w:val="center"/>
            <w:hideMark/>
          </w:tcPr>
          <w:p w:rsidR="007A70A0" w:rsidRPr="00A95203" w:rsidRDefault="007A70A0" w:rsidP="00EE7EBC">
            <w:pPr>
              <w:tabs>
                <w:tab w:val="left" w:pos="420"/>
              </w:tabs>
              <w:jc w:val="center"/>
              <w:rPr>
                <w:sz w:val="24"/>
              </w:rPr>
            </w:pPr>
            <w:r w:rsidRPr="00A95203">
              <w:t>100</w:t>
            </w:r>
            <w:r w:rsidRPr="00A95203">
              <w:t>万元（含）至</w:t>
            </w:r>
            <w:r w:rsidRPr="00A95203">
              <w:t>200</w:t>
            </w:r>
            <w:r w:rsidRPr="00A95203">
              <w:t>万元</w:t>
            </w:r>
          </w:p>
        </w:tc>
        <w:tc>
          <w:tcPr>
            <w:tcW w:w="1166" w:type="dxa"/>
            <w:vAlign w:val="center"/>
            <w:hideMark/>
          </w:tcPr>
          <w:p w:rsidR="007A70A0" w:rsidRPr="00A95203" w:rsidRDefault="007A70A0" w:rsidP="00EE7EBC">
            <w:pPr>
              <w:tabs>
                <w:tab w:val="left" w:pos="420"/>
              </w:tabs>
              <w:jc w:val="center"/>
              <w:rPr>
                <w:sz w:val="24"/>
              </w:rPr>
            </w:pPr>
            <w:r w:rsidRPr="00A95203">
              <w:t>1.2%</w:t>
            </w:r>
          </w:p>
        </w:tc>
        <w:tc>
          <w:tcPr>
            <w:tcW w:w="1200" w:type="dxa"/>
            <w:vAlign w:val="center"/>
            <w:hideMark/>
          </w:tcPr>
          <w:p w:rsidR="007A70A0" w:rsidRPr="00A95203" w:rsidRDefault="007A70A0" w:rsidP="00EE7EBC">
            <w:pPr>
              <w:tabs>
                <w:tab w:val="left" w:pos="420"/>
              </w:tabs>
              <w:jc w:val="center"/>
              <w:rPr>
                <w:sz w:val="24"/>
              </w:rPr>
            </w:pPr>
            <w:r w:rsidRPr="00A95203">
              <w:rPr>
                <w:sz w:val="24"/>
              </w:rPr>
              <w:t>0.12%</w:t>
            </w:r>
          </w:p>
        </w:tc>
      </w:tr>
      <w:tr w:rsidR="007A70A0" w:rsidRPr="00A95203" w:rsidTr="00EE7EBC">
        <w:trPr>
          <w:trHeight w:val="635"/>
          <w:tblCellSpacing w:w="0" w:type="dxa"/>
        </w:trPr>
        <w:tc>
          <w:tcPr>
            <w:tcW w:w="1650" w:type="dxa"/>
            <w:vMerge/>
            <w:vAlign w:val="center"/>
            <w:hideMark/>
          </w:tcPr>
          <w:p w:rsidR="007A70A0" w:rsidRPr="00A95203" w:rsidRDefault="007A70A0" w:rsidP="00AA3168">
            <w:pPr>
              <w:jc w:val="left"/>
              <w:rPr>
                <w:sz w:val="24"/>
              </w:rPr>
            </w:pPr>
          </w:p>
        </w:tc>
        <w:tc>
          <w:tcPr>
            <w:tcW w:w="1726" w:type="dxa"/>
            <w:vMerge/>
            <w:vAlign w:val="center"/>
            <w:hideMark/>
          </w:tcPr>
          <w:p w:rsidR="007A70A0" w:rsidRPr="00A95203" w:rsidRDefault="007A70A0" w:rsidP="00AA3168">
            <w:pPr>
              <w:jc w:val="left"/>
              <w:rPr>
                <w:sz w:val="24"/>
              </w:rPr>
            </w:pPr>
          </w:p>
        </w:tc>
        <w:tc>
          <w:tcPr>
            <w:tcW w:w="2738" w:type="dxa"/>
            <w:vAlign w:val="center"/>
            <w:hideMark/>
          </w:tcPr>
          <w:p w:rsidR="007A70A0" w:rsidRPr="00A95203" w:rsidRDefault="007A70A0" w:rsidP="00EE7EBC">
            <w:pPr>
              <w:tabs>
                <w:tab w:val="left" w:pos="420"/>
              </w:tabs>
              <w:jc w:val="center"/>
              <w:rPr>
                <w:sz w:val="24"/>
              </w:rPr>
            </w:pPr>
            <w:r w:rsidRPr="00A95203">
              <w:t>200</w:t>
            </w:r>
            <w:r w:rsidRPr="00A95203">
              <w:t>万元（含）至</w:t>
            </w:r>
            <w:r w:rsidRPr="00A95203">
              <w:t>500</w:t>
            </w:r>
            <w:r w:rsidRPr="00A95203">
              <w:t>万元</w:t>
            </w:r>
          </w:p>
        </w:tc>
        <w:tc>
          <w:tcPr>
            <w:tcW w:w="1166" w:type="dxa"/>
            <w:vAlign w:val="center"/>
            <w:hideMark/>
          </w:tcPr>
          <w:p w:rsidR="007A70A0" w:rsidRPr="00A95203" w:rsidRDefault="007A70A0" w:rsidP="00EE7EBC">
            <w:pPr>
              <w:tabs>
                <w:tab w:val="left" w:pos="420"/>
              </w:tabs>
              <w:jc w:val="center"/>
              <w:rPr>
                <w:sz w:val="24"/>
              </w:rPr>
            </w:pPr>
            <w:r w:rsidRPr="00A95203">
              <w:t>0.8%</w:t>
            </w:r>
          </w:p>
        </w:tc>
        <w:tc>
          <w:tcPr>
            <w:tcW w:w="1200" w:type="dxa"/>
            <w:vAlign w:val="center"/>
            <w:hideMark/>
          </w:tcPr>
          <w:p w:rsidR="007A70A0" w:rsidRPr="00A95203" w:rsidRDefault="007A70A0" w:rsidP="00EE7EBC">
            <w:pPr>
              <w:tabs>
                <w:tab w:val="left" w:pos="420"/>
              </w:tabs>
              <w:jc w:val="center"/>
              <w:rPr>
                <w:sz w:val="24"/>
              </w:rPr>
            </w:pPr>
            <w:r w:rsidRPr="00A95203">
              <w:rPr>
                <w:sz w:val="24"/>
              </w:rPr>
              <w:t>0.08%</w:t>
            </w:r>
          </w:p>
        </w:tc>
      </w:tr>
      <w:tr w:rsidR="007A70A0" w:rsidRPr="00A95203" w:rsidTr="00EE7EBC">
        <w:trPr>
          <w:trHeight w:val="450"/>
          <w:tblCellSpacing w:w="0" w:type="dxa"/>
        </w:trPr>
        <w:tc>
          <w:tcPr>
            <w:tcW w:w="1650" w:type="dxa"/>
            <w:vMerge/>
            <w:vAlign w:val="center"/>
            <w:hideMark/>
          </w:tcPr>
          <w:p w:rsidR="007A70A0" w:rsidRPr="00A95203" w:rsidRDefault="007A70A0" w:rsidP="00AA3168">
            <w:pPr>
              <w:jc w:val="left"/>
              <w:rPr>
                <w:sz w:val="24"/>
              </w:rPr>
            </w:pPr>
          </w:p>
        </w:tc>
        <w:tc>
          <w:tcPr>
            <w:tcW w:w="1726" w:type="dxa"/>
            <w:vMerge/>
            <w:vAlign w:val="center"/>
            <w:hideMark/>
          </w:tcPr>
          <w:p w:rsidR="007A70A0" w:rsidRPr="00A95203" w:rsidRDefault="007A70A0" w:rsidP="00AA3168">
            <w:pPr>
              <w:jc w:val="left"/>
              <w:rPr>
                <w:sz w:val="24"/>
              </w:rPr>
            </w:pPr>
          </w:p>
        </w:tc>
        <w:tc>
          <w:tcPr>
            <w:tcW w:w="2738" w:type="dxa"/>
            <w:vAlign w:val="center"/>
            <w:hideMark/>
          </w:tcPr>
          <w:p w:rsidR="007A70A0" w:rsidRPr="00A95203" w:rsidRDefault="007A70A0" w:rsidP="00EE7EBC">
            <w:pPr>
              <w:tabs>
                <w:tab w:val="left" w:pos="420"/>
              </w:tabs>
              <w:jc w:val="center"/>
              <w:rPr>
                <w:sz w:val="24"/>
              </w:rPr>
            </w:pPr>
            <w:r w:rsidRPr="00A95203">
              <w:t>500</w:t>
            </w:r>
            <w:r w:rsidRPr="00A95203">
              <w:t>万元（含）至</w:t>
            </w:r>
            <w:r w:rsidRPr="00A95203">
              <w:t>1000</w:t>
            </w:r>
            <w:r w:rsidRPr="00A95203">
              <w:t>万元</w:t>
            </w:r>
          </w:p>
        </w:tc>
        <w:tc>
          <w:tcPr>
            <w:tcW w:w="1166" w:type="dxa"/>
            <w:vAlign w:val="center"/>
            <w:hideMark/>
          </w:tcPr>
          <w:p w:rsidR="007A70A0" w:rsidRPr="00A95203" w:rsidRDefault="007A70A0" w:rsidP="00EE7EBC">
            <w:pPr>
              <w:tabs>
                <w:tab w:val="left" w:pos="420"/>
              </w:tabs>
              <w:jc w:val="center"/>
              <w:rPr>
                <w:sz w:val="24"/>
              </w:rPr>
            </w:pPr>
            <w:r w:rsidRPr="00A95203">
              <w:t>0.3%</w:t>
            </w:r>
          </w:p>
        </w:tc>
        <w:tc>
          <w:tcPr>
            <w:tcW w:w="1200" w:type="dxa"/>
            <w:vAlign w:val="center"/>
            <w:hideMark/>
          </w:tcPr>
          <w:p w:rsidR="007A70A0" w:rsidRPr="00A95203" w:rsidRDefault="007A70A0" w:rsidP="00EE7EBC">
            <w:pPr>
              <w:tabs>
                <w:tab w:val="left" w:pos="420"/>
              </w:tabs>
              <w:jc w:val="center"/>
              <w:rPr>
                <w:sz w:val="24"/>
              </w:rPr>
            </w:pPr>
            <w:r w:rsidRPr="00A95203">
              <w:rPr>
                <w:sz w:val="24"/>
              </w:rPr>
              <w:t>0.03%</w:t>
            </w:r>
          </w:p>
        </w:tc>
      </w:tr>
      <w:tr w:rsidR="007A70A0" w:rsidRPr="00A95203" w:rsidTr="00EE7EBC">
        <w:trPr>
          <w:trHeight w:val="675"/>
          <w:tblCellSpacing w:w="0" w:type="dxa"/>
        </w:trPr>
        <w:tc>
          <w:tcPr>
            <w:tcW w:w="1650" w:type="dxa"/>
            <w:vMerge/>
            <w:vAlign w:val="center"/>
            <w:hideMark/>
          </w:tcPr>
          <w:p w:rsidR="007A70A0" w:rsidRPr="00A95203" w:rsidRDefault="007A70A0" w:rsidP="00AA3168">
            <w:pPr>
              <w:jc w:val="left"/>
              <w:rPr>
                <w:sz w:val="24"/>
              </w:rPr>
            </w:pPr>
          </w:p>
        </w:tc>
        <w:tc>
          <w:tcPr>
            <w:tcW w:w="1726" w:type="dxa"/>
            <w:vMerge/>
            <w:vAlign w:val="center"/>
            <w:hideMark/>
          </w:tcPr>
          <w:p w:rsidR="007A70A0" w:rsidRPr="00A95203" w:rsidRDefault="007A70A0" w:rsidP="00AA3168">
            <w:pPr>
              <w:jc w:val="left"/>
              <w:rPr>
                <w:sz w:val="24"/>
              </w:rPr>
            </w:pPr>
          </w:p>
        </w:tc>
        <w:tc>
          <w:tcPr>
            <w:tcW w:w="2738" w:type="dxa"/>
            <w:vAlign w:val="center"/>
            <w:hideMark/>
          </w:tcPr>
          <w:p w:rsidR="007A70A0" w:rsidRPr="00A95203" w:rsidRDefault="007A70A0" w:rsidP="00EE7EBC">
            <w:pPr>
              <w:tabs>
                <w:tab w:val="left" w:pos="420"/>
              </w:tabs>
              <w:jc w:val="center"/>
              <w:rPr>
                <w:sz w:val="24"/>
              </w:rPr>
            </w:pPr>
            <w:r w:rsidRPr="00A95203">
              <w:t>1000</w:t>
            </w:r>
            <w:r w:rsidRPr="00A95203">
              <w:t>万元以上（含</w:t>
            </w:r>
            <w:r w:rsidRPr="00A95203">
              <w:t>1000</w:t>
            </w:r>
            <w:r w:rsidRPr="00A95203">
              <w:t>万）</w:t>
            </w:r>
          </w:p>
        </w:tc>
        <w:tc>
          <w:tcPr>
            <w:tcW w:w="1166" w:type="dxa"/>
            <w:vAlign w:val="center"/>
            <w:hideMark/>
          </w:tcPr>
          <w:p w:rsidR="007A70A0" w:rsidRPr="00A95203" w:rsidRDefault="007A70A0" w:rsidP="00EE7EBC">
            <w:pPr>
              <w:jc w:val="center"/>
              <w:rPr>
                <w:sz w:val="24"/>
              </w:rPr>
            </w:pPr>
            <w:r w:rsidRPr="00A95203">
              <w:rPr>
                <w:sz w:val="24"/>
              </w:rPr>
              <w:t>1000</w:t>
            </w:r>
            <w:r w:rsidRPr="00A95203">
              <w:rPr>
                <w:sz w:val="24"/>
              </w:rPr>
              <w:t>元</w:t>
            </w:r>
            <w:r w:rsidRPr="00A95203">
              <w:rPr>
                <w:sz w:val="24"/>
              </w:rPr>
              <w:t>/</w:t>
            </w:r>
            <w:r w:rsidRPr="00A95203">
              <w:rPr>
                <w:sz w:val="24"/>
              </w:rPr>
              <w:t>笔</w:t>
            </w:r>
          </w:p>
        </w:tc>
        <w:tc>
          <w:tcPr>
            <w:tcW w:w="1200" w:type="dxa"/>
            <w:vAlign w:val="center"/>
            <w:hideMark/>
          </w:tcPr>
          <w:p w:rsidR="007A70A0" w:rsidRPr="00A95203" w:rsidRDefault="007A70A0" w:rsidP="00EE7EBC">
            <w:pPr>
              <w:tabs>
                <w:tab w:val="left" w:pos="420"/>
              </w:tabs>
              <w:jc w:val="center"/>
              <w:rPr>
                <w:sz w:val="24"/>
              </w:rPr>
            </w:pPr>
            <w:r w:rsidRPr="00A95203">
              <w:rPr>
                <w:sz w:val="24"/>
              </w:rPr>
              <w:t>1000</w:t>
            </w:r>
            <w:r w:rsidRPr="00A95203">
              <w:rPr>
                <w:sz w:val="24"/>
              </w:rPr>
              <w:t>元</w:t>
            </w:r>
            <w:r w:rsidRPr="00A95203">
              <w:rPr>
                <w:sz w:val="24"/>
              </w:rPr>
              <w:t>/</w:t>
            </w:r>
            <w:r w:rsidRPr="00A95203">
              <w:rPr>
                <w:sz w:val="24"/>
              </w:rPr>
              <w:t>笔</w:t>
            </w:r>
          </w:p>
        </w:tc>
      </w:tr>
      <w:tr w:rsidR="007A70A0" w:rsidRPr="00A95203" w:rsidTr="00807569">
        <w:trPr>
          <w:trHeight w:val="345"/>
          <w:tblCellSpacing w:w="0" w:type="dxa"/>
        </w:trPr>
        <w:tc>
          <w:tcPr>
            <w:tcW w:w="1650" w:type="dxa"/>
            <w:vMerge w:val="restart"/>
            <w:vAlign w:val="center"/>
            <w:hideMark/>
          </w:tcPr>
          <w:p w:rsidR="007A70A0" w:rsidRPr="00A95203" w:rsidRDefault="007A70A0" w:rsidP="00B46B47">
            <w:pPr>
              <w:jc w:val="left"/>
              <w:rPr>
                <w:sz w:val="24"/>
              </w:rPr>
            </w:pPr>
            <w:r w:rsidRPr="00A95203">
              <w:rPr>
                <w:sz w:val="24"/>
              </w:rPr>
              <w:t>交银货币</w:t>
            </w:r>
            <w:r w:rsidR="00B46B47">
              <w:rPr>
                <w:rFonts w:hint="eastAsia"/>
                <w:sz w:val="24"/>
              </w:rPr>
              <w:t>、</w:t>
            </w:r>
            <w:r w:rsidRPr="00A95203">
              <w:rPr>
                <w:sz w:val="24"/>
              </w:rPr>
              <w:t>交银增利</w:t>
            </w:r>
            <w:r w:rsidRPr="00A95203">
              <w:rPr>
                <w:sz w:val="24"/>
              </w:rPr>
              <w:t>C</w:t>
            </w:r>
            <w:r w:rsidRPr="00A95203">
              <w:rPr>
                <w:sz w:val="24"/>
              </w:rPr>
              <w:t>类基金份额</w:t>
            </w:r>
            <w:r w:rsidR="00B46B47">
              <w:rPr>
                <w:rFonts w:hint="eastAsia"/>
                <w:sz w:val="24"/>
              </w:rPr>
              <w:t>、</w:t>
            </w:r>
            <w:r w:rsidRPr="00A95203">
              <w:rPr>
                <w:sz w:val="24"/>
              </w:rPr>
              <w:t>交银双利</w:t>
            </w:r>
            <w:r w:rsidRPr="00A95203">
              <w:rPr>
                <w:sz w:val="24"/>
              </w:rPr>
              <w:t>C</w:t>
            </w:r>
            <w:r w:rsidRPr="00A95203">
              <w:rPr>
                <w:sz w:val="24"/>
              </w:rPr>
              <w:t>类基金份额</w:t>
            </w:r>
            <w:r w:rsidR="00B46B47">
              <w:rPr>
                <w:rFonts w:hint="eastAsia"/>
                <w:sz w:val="24"/>
              </w:rPr>
              <w:t>、</w:t>
            </w:r>
            <w:r w:rsidRPr="00A95203">
              <w:rPr>
                <w:sz w:val="24"/>
              </w:rPr>
              <w:t>交银纯债</w:t>
            </w:r>
            <w:r w:rsidRPr="00A95203">
              <w:rPr>
                <w:sz w:val="24"/>
              </w:rPr>
              <w:t>C</w:t>
            </w:r>
            <w:r w:rsidRPr="00A95203">
              <w:rPr>
                <w:sz w:val="24"/>
              </w:rPr>
              <w:t>类基金份额</w:t>
            </w:r>
            <w:r w:rsidR="00B46B47">
              <w:rPr>
                <w:rFonts w:hint="eastAsia"/>
                <w:sz w:val="24"/>
              </w:rPr>
              <w:t>、</w:t>
            </w:r>
            <w:r w:rsidRPr="00A95203">
              <w:rPr>
                <w:sz w:val="24"/>
              </w:rPr>
              <w:t>交银双轮动</w:t>
            </w:r>
            <w:r w:rsidRPr="00A95203">
              <w:rPr>
                <w:sz w:val="24"/>
              </w:rPr>
              <w:t>C</w:t>
            </w:r>
            <w:r w:rsidRPr="00A95203">
              <w:rPr>
                <w:sz w:val="24"/>
              </w:rPr>
              <w:t>类基金份额</w:t>
            </w:r>
            <w:r w:rsidR="00B46B47">
              <w:rPr>
                <w:rFonts w:hint="eastAsia"/>
                <w:sz w:val="24"/>
              </w:rPr>
              <w:t>、</w:t>
            </w:r>
            <w:r w:rsidRPr="00A95203">
              <w:rPr>
                <w:sz w:val="24"/>
              </w:rPr>
              <w:t>交银月月丰</w:t>
            </w:r>
            <w:r w:rsidRPr="00A95203">
              <w:rPr>
                <w:sz w:val="24"/>
              </w:rPr>
              <w:t>C</w:t>
            </w:r>
            <w:r w:rsidRPr="00A95203">
              <w:rPr>
                <w:sz w:val="24"/>
              </w:rPr>
              <w:t>类基金份额</w:t>
            </w:r>
            <w:r w:rsidR="00B46B47">
              <w:rPr>
                <w:rFonts w:hint="eastAsia"/>
                <w:sz w:val="24"/>
              </w:rPr>
              <w:t>、</w:t>
            </w:r>
            <w:r w:rsidRPr="00A95203">
              <w:rPr>
                <w:sz w:val="24"/>
              </w:rPr>
              <w:t>交银强化回报</w:t>
            </w:r>
            <w:r w:rsidRPr="00A95203">
              <w:rPr>
                <w:sz w:val="24"/>
              </w:rPr>
              <w:t>C</w:t>
            </w:r>
            <w:r w:rsidRPr="00A95203">
              <w:rPr>
                <w:sz w:val="24"/>
              </w:rPr>
              <w:t>类基金份额</w:t>
            </w:r>
          </w:p>
        </w:tc>
        <w:tc>
          <w:tcPr>
            <w:tcW w:w="1726" w:type="dxa"/>
            <w:vMerge w:val="restart"/>
            <w:vAlign w:val="center"/>
            <w:hideMark/>
          </w:tcPr>
          <w:p w:rsidR="007A70A0" w:rsidRPr="00A95203" w:rsidRDefault="007A70A0" w:rsidP="003525EE">
            <w:pPr>
              <w:jc w:val="left"/>
              <w:rPr>
                <w:sz w:val="24"/>
              </w:rPr>
            </w:pPr>
            <w:r w:rsidRPr="00A95203">
              <w:rPr>
                <w:sz w:val="24"/>
              </w:rPr>
              <w:t>前端收费模式下</w:t>
            </w:r>
          </w:p>
          <w:p w:rsidR="007A70A0" w:rsidRPr="00A95203" w:rsidRDefault="007A70A0" w:rsidP="003525EE">
            <w:pPr>
              <w:tabs>
                <w:tab w:val="left" w:pos="420"/>
              </w:tabs>
              <w:jc w:val="left"/>
              <w:rPr>
                <w:sz w:val="24"/>
              </w:rPr>
            </w:pPr>
            <w:r w:rsidRPr="00A95203">
              <w:rPr>
                <w:sz w:val="24"/>
              </w:rPr>
              <w:t>交银精选</w:t>
            </w:r>
            <w:r w:rsidR="00B46B47">
              <w:rPr>
                <w:rFonts w:hint="eastAsia"/>
                <w:sz w:val="24"/>
              </w:rPr>
              <w:t>、</w:t>
            </w:r>
            <w:r w:rsidRPr="00A95203">
              <w:rPr>
                <w:sz w:val="24"/>
              </w:rPr>
              <w:t>交银稳健</w:t>
            </w:r>
            <w:r w:rsidR="00B46B47">
              <w:rPr>
                <w:rFonts w:hint="eastAsia"/>
                <w:sz w:val="24"/>
              </w:rPr>
              <w:t>、</w:t>
            </w:r>
            <w:r w:rsidRPr="00A95203">
              <w:rPr>
                <w:sz w:val="24"/>
              </w:rPr>
              <w:t>交银成长</w:t>
            </w:r>
          </w:p>
          <w:p w:rsidR="007A70A0" w:rsidRPr="00A95203" w:rsidRDefault="007A70A0" w:rsidP="003525EE">
            <w:pPr>
              <w:tabs>
                <w:tab w:val="left" w:pos="420"/>
              </w:tabs>
              <w:jc w:val="left"/>
              <w:rPr>
                <w:sz w:val="24"/>
              </w:rPr>
            </w:pPr>
            <w:r w:rsidRPr="00A95203">
              <w:rPr>
                <w:sz w:val="24"/>
              </w:rPr>
              <w:t>交银蓝筹</w:t>
            </w:r>
            <w:r w:rsidR="00B46B47">
              <w:rPr>
                <w:rFonts w:hint="eastAsia"/>
                <w:sz w:val="24"/>
              </w:rPr>
              <w:t>、</w:t>
            </w:r>
            <w:r w:rsidRPr="00A95203">
              <w:rPr>
                <w:sz w:val="24"/>
              </w:rPr>
              <w:t>交银先锋</w:t>
            </w:r>
            <w:r w:rsidR="00B46B47">
              <w:rPr>
                <w:rFonts w:hint="eastAsia"/>
                <w:sz w:val="24"/>
              </w:rPr>
              <w:t>、</w:t>
            </w:r>
            <w:r w:rsidRPr="00A95203">
              <w:rPr>
                <w:sz w:val="24"/>
              </w:rPr>
              <w:t>交银治理</w:t>
            </w:r>
          </w:p>
          <w:p w:rsidR="00E42827" w:rsidRPr="00A95203" w:rsidRDefault="007A70A0" w:rsidP="00B46B47">
            <w:pPr>
              <w:tabs>
                <w:tab w:val="left" w:pos="420"/>
              </w:tabs>
              <w:jc w:val="left"/>
              <w:rPr>
                <w:sz w:val="24"/>
              </w:rPr>
            </w:pPr>
            <w:r w:rsidRPr="00A95203">
              <w:rPr>
                <w:sz w:val="24"/>
              </w:rPr>
              <w:t>交银主题</w:t>
            </w:r>
            <w:r w:rsidR="00B46B47">
              <w:rPr>
                <w:rFonts w:hint="eastAsia"/>
                <w:sz w:val="24"/>
              </w:rPr>
              <w:t>、</w:t>
            </w:r>
            <w:r w:rsidRPr="00A95203">
              <w:rPr>
                <w:sz w:val="24"/>
              </w:rPr>
              <w:t>交银制造</w:t>
            </w:r>
            <w:r w:rsidR="00B46B47">
              <w:rPr>
                <w:rFonts w:hint="eastAsia"/>
                <w:sz w:val="24"/>
              </w:rPr>
              <w:t>、</w:t>
            </w:r>
            <w:r w:rsidRPr="00A95203">
              <w:rPr>
                <w:sz w:val="24"/>
              </w:rPr>
              <w:t>交银价值</w:t>
            </w:r>
            <w:r w:rsidR="00B46B47">
              <w:rPr>
                <w:rFonts w:hint="eastAsia"/>
                <w:sz w:val="24"/>
              </w:rPr>
              <w:t>、</w:t>
            </w:r>
            <w:r w:rsidR="00B647A9" w:rsidRPr="00A95203">
              <w:rPr>
                <w:sz w:val="24"/>
              </w:rPr>
              <w:t>交银策略回报</w:t>
            </w:r>
            <w:r w:rsidR="00B46B47">
              <w:rPr>
                <w:rFonts w:hint="eastAsia"/>
                <w:sz w:val="24"/>
              </w:rPr>
              <w:t>、</w:t>
            </w:r>
            <w:r w:rsidRPr="00A95203">
              <w:rPr>
                <w:sz w:val="24"/>
              </w:rPr>
              <w:t>交银核心</w:t>
            </w:r>
            <w:r w:rsidR="00B46B47">
              <w:rPr>
                <w:rFonts w:hint="eastAsia"/>
                <w:sz w:val="24"/>
              </w:rPr>
              <w:t>、</w:t>
            </w:r>
            <w:r w:rsidR="00B647A9" w:rsidRPr="00A95203">
              <w:rPr>
                <w:sz w:val="24"/>
              </w:rPr>
              <w:t>交银消费新驱动</w:t>
            </w:r>
            <w:r w:rsidR="00B46B47">
              <w:rPr>
                <w:rFonts w:hint="eastAsia"/>
                <w:sz w:val="24"/>
              </w:rPr>
              <w:t>、</w:t>
            </w:r>
            <w:r w:rsidRPr="00A95203">
              <w:rPr>
                <w:sz w:val="24"/>
              </w:rPr>
              <w:t>交银成长</w:t>
            </w:r>
            <w:r w:rsidRPr="00A95203">
              <w:rPr>
                <w:sz w:val="24"/>
              </w:rPr>
              <w:t>30</w:t>
            </w:r>
            <w:r w:rsidR="00B46B47">
              <w:rPr>
                <w:rFonts w:hint="eastAsia"/>
                <w:sz w:val="24"/>
              </w:rPr>
              <w:t>、</w:t>
            </w:r>
            <w:r w:rsidRPr="00A95203">
              <w:rPr>
                <w:sz w:val="24"/>
              </w:rPr>
              <w:t>交银双息平衡</w:t>
            </w:r>
            <w:r w:rsidR="00B46B47">
              <w:rPr>
                <w:rFonts w:hint="eastAsia"/>
                <w:sz w:val="24"/>
              </w:rPr>
              <w:t>、</w:t>
            </w:r>
            <w:r w:rsidR="00F64C74" w:rsidRPr="00A95203">
              <w:rPr>
                <w:sz w:val="24"/>
              </w:rPr>
              <w:t>交银新回报</w:t>
            </w:r>
            <w:r w:rsidR="00F1122A" w:rsidRPr="00A95203">
              <w:rPr>
                <w:kern w:val="0"/>
                <w:sz w:val="22"/>
                <w:szCs w:val="22"/>
              </w:rPr>
              <w:t>A</w:t>
            </w:r>
            <w:r w:rsidR="00F1122A" w:rsidRPr="00A95203">
              <w:rPr>
                <w:kern w:val="0"/>
                <w:sz w:val="22"/>
                <w:szCs w:val="22"/>
              </w:rPr>
              <w:t>类</w:t>
            </w:r>
            <w:r w:rsidR="00F1122A">
              <w:rPr>
                <w:rFonts w:hint="eastAsia"/>
                <w:kern w:val="0"/>
                <w:sz w:val="22"/>
                <w:szCs w:val="22"/>
              </w:rPr>
              <w:t>基金份额</w:t>
            </w:r>
            <w:r w:rsidR="00B46B47">
              <w:rPr>
                <w:rFonts w:hint="eastAsia"/>
                <w:kern w:val="0"/>
                <w:sz w:val="22"/>
                <w:szCs w:val="22"/>
              </w:rPr>
              <w:t>、</w:t>
            </w:r>
            <w:r w:rsidR="00F64C74" w:rsidRPr="00A95203">
              <w:rPr>
                <w:sz w:val="24"/>
              </w:rPr>
              <w:t>交银多策略回报</w:t>
            </w:r>
            <w:r w:rsidR="00F1122A" w:rsidRPr="00A95203">
              <w:rPr>
                <w:kern w:val="0"/>
                <w:sz w:val="22"/>
                <w:szCs w:val="22"/>
              </w:rPr>
              <w:t>A</w:t>
            </w:r>
            <w:r w:rsidR="00F1122A" w:rsidRPr="00A95203">
              <w:rPr>
                <w:kern w:val="0"/>
                <w:sz w:val="22"/>
                <w:szCs w:val="22"/>
              </w:rPr>
              <w:t>类</w:t>
            </w:r>
            <w:r w:rsidR="00F1122A">
              <w:rPr>
                <w:rFonts w:hint="eastAsia"/>
                <w:kern w:val="0"/>
                <w:sz w:val="22"/>
                <w:szCs w:val="22"/>
              </w:rPr>
              <w:t>基金份额、</w:t>
            </w:r>
            <w:r w:rsidR="00187131" w:rsidRPr="00A95203">
              <w:rPr>
                <w:kern w:val="0"/>
                <w:sz w:val="22"/>
                <w:szCs w:val="22"/>
              </w:rPr>
              <w:t>交银国企改革</w:t>
            </w:r>
            <w:r w:rsidR="00BA0346">
              <w:rPr>
                <w:rFonts w:hint="eastAsia"/>
                <w:kern w:val="0"/>
                <w:sz w:val="22"/>
                <w:szCs w:val="22"/>
              </w:rPr>
              <w:t>、交银数据产业</w:t>
            </w:r>
          </w:p>
        </w:tc>
        <w:tc>
          <w:tcPr>
            <w:tcW w:w="2738" w:type="dxa"/>
            <w:vAlign w:val="center"/>
            <w:hideMark/>
          </w:tcPr>
          <w:p w:rsidR="007A70A0" w:rsidRPr="00A95203" w:rsidRDefault="007A70A0" w:rsidP="003525EE">
            <w:pPr>
              <w:tabs>
                <w:tab w:val="left" w:pos="420"/>
              </w:tabs>
              <w:jc w:val="center"/>
              <w:rPr>
                <w:sz w:val="24"/>
              </w:rPr>
            </w:pPr>
            <w:r w:rsidRPr="00A95203">
              <w:rPr>
                <w:sz w:val="24"/>
              </w:rPr>
              <w:t>50</w:t>
            </w:r>
            <w:r w:rsidRPr="00A95203">
              <w:rPr>
                <w:sz w:val="24"/>
              </w:rPr>
              <w:t>万元以下</w:t>
            </w:r>
          </w:p>
        </w:tc>
        <w:tc>
          <w:tcPr>
            <w:tcW w:w="1166" w:type="dxa"/>
            <w:vAlign w:val="center"/>
            <w:hideMark/>
          </w:tcPr>
          <w:p w:rsidR="007A70A0" w:rsidRPr="00A95203" w:rsidRDefault="007A70A0" w:rsidP="003525EE">
            <w:pPr>
              <w:tabs>
                <w:tab w:val="left" w:pos="420"/>
              </w:tabs>
              <w:jc w:val="center"/>
              <w:rPr>
                <w:sz w:val="24"/>
              </w:rPr>
            </w:pPr>
            <w:r w:rsidRPr="00A95203">
              <w:rPr>
                <w:sz w:val="24"/>
              </w:rPr>
              <w:t>1.5%</w:t>
            </w:r>
          </w:p>
        </w:tc>
        <w:tc>
          <w:tcPr>
            <w:tcW w:w="1200" w:type="dxa"/>
            <w:vAlign w:val="center"/>
            <w:hideMark/>
          </w:tcPr>
          <w:p w:rsidR="007A70A0" w:rsidRPr="00A95203" w:rsidRDefault="007A70A0" w:rsidP="003525EE">
            <w:pPr>
              <w:tabs>
                <w:tab w:val="left" w:pos="420"/>
              </w:tabs>
              <w:jc w:val="center"/>
              <w:rPr>
                <w:sz w:val="24"/>
              </w:rPr>
            </w:pPr>
            <w:r w:rsidRPr="00A95203">
              <w:rPr>
                <w:sz w:val="24"/>
              </w:rPr>
              <w:t>0.15%</w:t>
            </w:r>
          </w:p>
        </w:tc>
      </w:tr>
      <w:tr w:rsidR="007A70A0" w:rsidRPr="00A95203" w:rsidTr="00807569">
        <w:trPr>
          <w:trHeight w:val="450"/>
          <w:tblCellSpacing w:w="0" w:type="dxa"/>
        </w:trPr>
        <w:tc>
          <w:tcPr>
            <w:tcW w:w="1650" w:type="dxa"/>
            <w:vMerge/>
            <w:vAlign w:val="center"/>
            <w:hideMark/>
          </w:tcPr>
          <w:p w:rsidR="007A70A0" w:rsidRPr="00A95203" w:rsidRDefault="007A70A0" w:rsidP="003525EE">
            <w:pPr>
              <w:jc w:val="left"/>
              <w:rPr>
                <w:sz w:val="24"/>
              </w:rPr>
            </w:pPr>
          </w:p>
        </w:tc>
        <w:tc>
          <w:tcPr>
            <w:tcW w:w="1726" w:type="dxa"/>
            <w:vMerge/>
            <w:vAlign w:val="center"/>
            <w:hideMark/>
          </w:tcPr>
          <w:p w:rsidR="007A70A0" w:rsidRPr="00A95203" w:rsidRDefault="007A70A0" w:rsidP="003525EE">
            <w:pPr>
              <w:jc w:val="left"/>
              <w:rPr>
                <w:sz w:val="24"/>
              </w:rPr>
            </w:pPr>
          </w:p>
        </w:tc>
        <w:tc>
          <w:tcPr>
            <w:tcW w:w="2738" w:type="dxa"/>
            <w:vAlign w:val="center"/>
            <w:hideMark/>
          </w:tcPr>
          <w:p w:rsidR="007A70A0" w:rsidRPr="00A95203" w:rsidRDefault="007A70A0" w:rsidP="003525EE">
            <w:pPr>
              <w:tabs>
                <w:tab w:val="left" w:pos="420"/>
              </w:tabs>
              <w:jc w:val="center"/>
              <w:rPr>
                <w:sz w:val="24"/>
              </w:rPr>
            </w:pPr>
            <w:r w:rsidRPr="00A95203">
              <w:rPr>
                <w:sz w:val="24"/>
              </w:rPr>
              <w:t>50</w:t>
            </w:r>
            <w:r w:rsidRPr="00A95203">
              <w:rPr>
                <w:sz w:val="24"/>
              </w:rPr>
              <w:t>万元（含）至</w:t>
            </w:r>
            <w:r w:rsidRPr="00A95203">
              <w:rPr>
                <w:sz w:val="24"/>
              </w:rPr>
              <w:t>100</w:t>
            </w:r>
            <w:r w:rsidRPr="00A95203">
              <w:rPr>
                <w:sz w:val="24"/>
              </w:rPr>
              <w:t>万元</w:t>
            </w:r>
          </w:p>
        </w:tc>
        <w:tc>
          <w:tcPr>
            <w:tcW w:w="1166" w:type="dxa"/>
            <w:vAlign w:val="center"/>
            <w:hideMark/>
          </w:tcPr>
          <w:p w:rsidR="007A70A0" w:rsidRPr="00A95203" w:rsidRDefault="007A70A0" w:rsidP="003525EE">
            <w:pPr>
              <w:tabs>
                <w:tab w:val="left" w:pos="420"/>
              </w:tabs>
              <w:jc w:val="center"/>
              <w:rPr>
                <w:sz w:val="24"/>
              </w:rPr>
            </w:pPr>
            <w:r w:rsidRPr="00A95203">
              <w:rPr>
                <w:sz w:val="24"/>
              </w:rPr>
              <w:t>1.2%</w:t>
            </w:r>
          </w:p>
        </w:tc>
        <w:tc>
          <w:tcPr>
            <w:tcW w:w="1200" w:type="dxa"/>
            <w:vAlign w:val="center"/>
            <w:hideMark/>
          </w:tcPr>
          <w:p w:rsidR="007A70A0" w:rsidRPr="00A95203" w:rsidRDefault="007A70A0" w:rsidP="003525EE">
            <w:pPr>
              <w:tabs>
                <w:tab w:val="left" w:pos="420"/>
              </w:tabs>
              <w:jc w:val="center"/>
              <w:rPr>
                <w:sz w:val="24"/>
              </w:rPr>
            </w:pPr>
            <w:r w:rsidRPr="00A95203">
              <w:rPr>
                <w:sz w:val="24"/>
              </w:rPr>
              <w:t>0.12%</w:t>
            </w:r>
          </w:p>
        </w:tc>
      </w:tr>
      <w:tr w:rsidR="007A70A0" w:rsidRPr="00A95203" w:rsidTr="00807569">
        <w:trPr>
          <w:trHeight w:val="635"/>
          <w:tblCellSpacing w:w="0" w:type="dxa"/>
        </w:trPr>
        <w:tc>
          <w:tcPr>
            <w:tcW w:w="1650" w:type="dxa"/>
            <w:vMerge/>
            <w:vAlign w:val="center"/>
            <w:hideMark/>
          </w:tcPr>
          <w:p w:rsidR="007A70A0" w:rsidRPr="00A95203" w:rsidRDefault="007A70A0" w:rsidP="003525EE">
            <w:pPr>
              <w:jc w:val="left"/>
              <w:rPr>
                <w:sz w:val="24"/>
              </w:rPr>
            </w:pPr>
          </w:p>
        </w:tc>
        <w:tc>
          <w:tcPr>
            <w:tcW w:w="1726" w:type="dxa"/>
            <w:vMerge/>
            <w:vAlign w:val="center"/>
            <w:hideMark/>
          </w:tcPr>
          <w:p w:rsidR="007A70A0" w:rsidRPr="00A95203" w:rsidRDefault="007A70A0" w:rsidP="003525EE">
            <w:pPr>
              <w:jc w:val="left"/>
              <w:rPr>
                <w:sz w:val="24"/>
              </w:rPr>
            </w:pPr>
          </w:p>
        </w:tc>
        <w:tc>
          <w:tcPr>
            <w:tcW w:w="2738" w:type="dxa"/>
            <w:vAlign w:val="center"/>
            <w:hideMark/>
          </w:tcPr>
          <w:p w:rsidR="007A70A0" w:rsidRPr="00A95203" w:rsidRDefault="007A70A0" w:rsidP="003525EE">
            <w:pPr>
              <w:tabs>
                <w:tab w:val="left" w:pos="420"/>
              </w:tabs>
              <w:jc w:val="center"/>
              <w:rPr>
                <w:sz w:val="24"/>
              </w:rPr>
            </w:pPr>
            <w:r w:rsidRPr="00A95203">
              <w:rPr>
                <w:sz w:val="24"/>
              </w:rPr>
              <w:t>100</w:t>
            </w:r>
            <w:r w:rsidRPr="00A95203">
              <w:rPr>
                <w:sz w:val="24"/>
              </w:rPr>
              <w:t>万元（含）至</w:t>
            </w:r>
            <w:r w:rsidRPr="00A95203">
              <w:rPr>
                <w:sz w:val="24"/>
              </w:rPr>
              <w:t>200</w:t>
            </w:r>
            <w:r w:rsidRPr="00A95203">
              <w:rPr>
                <w:sz w:val="24"/>
              </w:rPr>
              <w:t>万元</w:t>
            </w:r>
          </w:p>
        </w:tc>
        <w:tc>
          <w:tcPr>
            <w:tcW w:w="1166" w:type="dxa"/>
            <w:vAlign w:val="center"/>
            <w:hideMark/>
          </w:tcPr>
          <w:p w:rsidR="007A70A0" w:rsidRPr="00A95203" w:rsidRDefault="007A70A0" w:rsidP="003525EE">
            <w:pPr>
              <w:tabs>
                <w:tab w:val="left" w:pos="420"/>
              </w:tabs>
              <w:jc w:val="center"/>
              <w:rPr>
                <w:sz w:val="24"/>
              </w:rPr>
            </w:pPr>
            <w:r w:rsidRPr="00A95203">
              <w:rPr>
                <w:sz w:val="24"/>
              </w:rPr>
              <w:t>0.8%</w:t>
            </w:r>
          </w:p>
        </w:tc>
        <w:tc>
          <w:tcPr>
            <w:tcW w:w="1200" w:type="dxa"/>
            <w:vAlign w:val="center"/>
            <w:hideMark/>
          </w:tcPr>
          <w:p w:rsidR="007A70A0" w:rsidRPr="00A95203" w:rsidRDefault="007A70A0" w:rsidP="003525EE">
            <w:pPr>
              <w:tabs>
                <w:tab w:val="left" w:pos="420"/>
              </w:tabs>
              <w:jc w:val="center"/>
              <w:rPr>
                <w:sz w:val="24"/>
              </w:rPr>
            </w:pPr>
            <w:r w:rsidRPr="00A95203">
              <w:rPr>
                <w:sz w:val="24"/>
              </w:rPr>
              <w:t>0.08%</w:t>
            </w:r>
          </w:p>
        </w:tc>
      </w:tr>
      <w:tr w:rsidR="007A70A0" w:rsidRPr="00A95203" w:rsidTr="00807569">
        <w:trPr>
          <w:trHeight w:val="450"/>
          <w:tblCellSpacing w:w="0" w:type="dxa"/>
        </w:trPr>
        <w:tc>
          <w:tcPr>
            <w:tcW w:w="1650" w:type="dxa"/>
            <w:vMerge/>
            <w:vAlign w:val="center"/>
            <w:hideMark/>
          </w:tcPr>
          <w:p w:rsidR="007A70A0" w:rsidRPr="00A95203" w:rsidRDefault="007A70A0" w:rsidP="003525EE">
            <w:pPr>
              <w:jc w:val="left"/>
              <w:rPr>
                <w:sz w:val="24"/>
              </w:rPr>
            </w:pPr>
          </w:p>
        </w:tc>
        <w:tc>
          <w:tcPr>
            <w:tcW w:w="1726" w:type="dxa"/>
            <w:vMerge/>
            <w:vAlign w:val="center"/>
            <w:hideMark/>
          </w:tcPr>
          <w:p w:rsidR="007A70A0" w:rsidRPr="00A95203" w:rsidRDefault="007A70A0" w:rsidP="003525EE">
            <w:pPr>
              <w:jc w:val="left"/>
              <w:rPr>
                <w:sz w:val="24"/>
              </w:rPr>
            </w:pPr>
          </w:p>
        </w:tc>
        <w:tc>
          <w:tcPr>
            <w:tcW w:w="2738" w:type="dxa"/>
            <w:vAlign w:val="center"/>
            <w:hideMark/>
          </w:tcPr>
          <w:p w:rsidR="007A70A0" w:rsidRPr="00A95203" w:rsidRDefault="007A70A0" w:rsidP="003525EE">
            <w:pPr>
              <w:tabs>
                <w:tab w:val="left" w:pos="420"/>
              </w:tabs>
              <w:jc w:val="center"/>
              <w:rPr>
                <w:sz w:val="24"/>
              </w:rPr>
            </w:pPr>
            <w:r w:rsidRPr="00A95203">
              <w:rPr>
                <w:sz w:val="24"/>
              </w:rPr>
              <w:t>200</w:t>
            </w:r>
            <w:r w:rsidRPr="00A95203">
              <w:rPr>
                <w:sz w:val="24"/>
              </w:rPr>
              <w:t>万元（含）至</w:t>
            </w:r>
            <w:r w:rsidRPr="00A95203">
              <w:rPr>
                <w:sz w:val="24"/>
              </w:rPr>
              <w:t>500</w:t>
            </w:r>
            <w:r w:rsidRPr="00A95203">
              <w:rPr>
                <w:sz w:val="24"/>
              </w:rPr>
              <w:t>万元</w:t>
            </w:r>
          </w:p>
        </w:tc>
        <w:tc>
          <w:tcPr>
            <w:tcW w:w="1166" w:type="dxa"/>
            <w:vAlign w:val="center"/>
            <w:hideMark/>
          </w:tcPr>
          <w:p w:rsidR="007A70A0" w:rsidRPr="00A95203" w:rsidRDefault="007A70A0" w:rsidP="003525EE">
            <w:pPr>
              <w:tabs>
                <w:tab w:val="left" w:pos="420"/>
              </w:tabs>
              <w:jc w:val="center"/>
              <w:rPr>
                <w:sz w:val="24"/>
              </w:rPr>
            </w:pPr>
            <w:r w:rsidRPr="00A95203">
              <w:rPr>
                <w:sz w:val="24"/>
              </w:rPr>
              <w:t>0.5%</w:t>
            </w:r>
          </w:p>
        </w:tc>
        <w:tc>
          <w:tcPr>
            <w:tcW w:w="1200" w:type="dxa"/>
            <w:vAlign w:val="center"/>
            <w:hideMark/>
          </w:tcPr>
          <w:p w:rsidR="007A70A0" w:rsidRPr="00A95203" w:rsidRDefault="007A70A0" w:rsidP="003525EE">
            <w:pPr>
              <w:tabs>
                <w:tab w:val="left" w:pos="420"/>
              </w:tabs>
              <w:jc w:val="center"/>
              <w:rPr>
                <w:sz w:val="24"/>
              </w:rPr>
            </w:pPr>
            <w:r w:rsidRPr="00A95203">
              <w:rPr>
                <w:sz w:val="24"/>
              </w:rPr>
              <w:t>0.05%</w:t>
            </w:r>
          </w:p>
        </w:tc>
      </w:tr>
      <w:tr w:rsidR="007A70A0" w:rsidRPr="00A95203" w:rsidTr="00807569">
        <w:trPr>
          <w:trHeight w:val="675"/>
          <w:tblCellSpacing w:w="0" w:type="dxa"/>
        </w:trPr>
        <w:tc>
          <w:tcPr>
            <w:tcW w:w="1650" w:type="dxa"/>
            <w:vMerge/>
            <w:vAlign w:val="center"/>
            <w:hideMark/>
          </w:tcPr>
          <w:p w:rsidR="007A70A0" w:rsidRPr="00A95203" w:rsidRDefault="007A70A0" w:rsidP="003525EE">
            <w:pPr>
              <w:jc w:val="left"/>
              <w:rPr>
                <w:sz w:val="24"/>
              </w:rPr>
            </w:pPr>
          </w:p>
        </w:tc>
        <w:tc>
          <w:tcPr>
            <w:tcW w:w="1726" w:type="dxa"/>
            <w:vMerge/>
            <w:vAlign w:val="center"/>
            <w:hideMark/>
          </w:tcPr>
          <w:p w:rsidR="007A70A0" w:rsidRPr="00A95203" w:rsidRDefault="007A70A0" w:rsidP="003525EE">
            <w:pPr>
              <w:jc w:val="left"/>
              <w:rPr>
                <w:sz w:val="24"/>
              </w:rPr>
            </w:pPr>
          </w:p>
        </w:tc>
        <w:tc>
          <w:tcPr>
            <w:tcW w:w="2738" w:type="dxa"/>
            <w:vAlign w:val="center"/>
            <w:hideMark/>
          </w:tcPr>
          <w:p w:rsidR="007A70A0" w:rsidRPr="00A95203" w:rsidRDefault="007A70A0" w:rsidP="003525EE">
            <w:pPr>
              <w:tabs>
                <w:tab w:val="left" w:pos="420"/>
              </w:tabs>
              <w:jc w:val="center"/>
              <w:rPr>
                <w:sz w:val="24"/>
              </w:rPr>
            </w:pPr>
            <w:r w:rsidRPr="00A95203">
              <w:rPr>
                <w:sz w:val="24"/>
              </w:rPr>
              <w:t>500</w:t>
            </w:r>
            <w:r w:rsidRPr="00A95203">
              <w:rPr>
                <w:sz w:val="24"/>
              </w:rPr>
              <w:t>万元（含）以上</w:t>
            </w:r>
          </w:p>
        </w:tc>
        <w:tc>
          <w:tcPr>
            <w:tcW w:w="1166" w:type="dxa"/>
            <w:vAlign w:val="center"/>
            <w:hideMark/>
          </w:tcPr>
          <w:p w:rsidR="007A70A0" w:rsidRPr="00A95203" w:rsidRDefault="007A70A0" w:rsidP="003525EE">
            <w:pPr>
              <w:jc w:val="center"/>
              <w:rPr>
                <w:sz w:val="24"/>
              </w:rPr>
            </w:pPr>
            <w:r w:rsidRPr="00A95203">
              <w:rPr>
                <w:sz w:val="24"/>
              </w:rPr>
              <w:t>1000</w:t>
            </w:r>
            <w:r w:rsidRPr="00A95203">
              <w:rPr>
                <w:sz w:val="24"/>
              </w:rPr>
              <w:t>元</w:t>
            </w:r>
            <w:r w:rsidRPr="00A95203">
              <w:rPr>
                <w:sz w:val="24"/>
              </w:rPr>
              <w:t>/</w:t>
            </w:r>
            <w:r w:rsidRPr="00A95203">
              <w:rPr>
                <w:sz w:val="24"/>
              </w:rPr>
              <w:t>笔</w:t>
            </w:r>
          </w:p>
        </w:tc>
        <w:tc>
          <w:tcPr>
            <w:tcW w:w="1200" w:type="dxa"/>
            <w:vAlign w:val="center"/>
            <w:hideMark/>
          </w:tcPr>
          <w:p w:rsidR="007A70A0" w:rsidRPr="00A95203" w:rsidRDefault="007A70A0" w:rsidP="003525EE">
            <w:pPr>
              <w:tabs>
                <w:tab w:val="left" w:pos="420"/>
              </w:tabs>
              <w:jc w:val="center"/>
              <w:rPr>
                <w:sz w:val="24"/>
              </w:rPr>
            </w:pPr>
            <w:r w:rsidRPr="00A95203">
              <w:rPr>
                <w:sz w:val="24"/>
              </w:rPr>
              <w:t>1000</w:t>
            </w:r>
            <w:r w:rsidRPr="00A95203">
              <w:rPr>
                <w:sz w:val="24"/>
              </w:rPr>
              <w:t>元</w:t>
            </w:r>
            <w:r w:rsidRPr="00A95203">
              <w:rPr>
                <w:sz w:val="24"/>
              </w:rPr>
              <w:t>/</w:t>
            </w:r>
            <w:r w:rsidRPr="00A95203">
              <w:rPr>
                <w:sz w:val="24"/>
              </w:rPr>
              <w:t>笔</w:t>
            </w:r>
          </w:p>
        </w:tc>
      </w:tr>
      <w:tr w:rsidR="007A70A0" w:rsidRPr="00A95203" w:rsidTr="00807569">
        <w:trPr>
          <w:trHeight w:val="510"/>
          <w:tblCellSpacing w:w="0" w:type="dxa"/>
        </w:trPr>
        <w:tc>
          <w:tcPr>
            <w:tcW w:w="1650" w:type="dxa"/>
            <w:vMerge w:val="restart"/>
            <w:vAlign w:val="center"/>
            <w:hideMark/>
          </w:tcPr>
          <w:p w:rsidR="007A70A0" w:rsidRPr="00A95203" w:rsidRDefault="007A70A0" w:rsidP="00B46B47">
            <w:pPr>
              <w:jc w:val="left"/>
              <w:rPr>
                <w:sz w:val="24"/>
              </w:rPr>
            </w:pPr>
            <w:r w:rsidRPr="00A95203">
              <w:rPr>
                <w:sz w:val="24"/>
              </w:rPr>
              <w:t>交银货币</w:t>
            </w:r>
            <w:r w:rsidR="00B46B47">
              <w:rPr>
                <w:rFonts w:hint="eastAsia"/>
                <w:sz w:val="24"/>
              </w:rPr>
              <w:t>、</w:t>
            </w:r>
            <w:r w:rsidRPr="00A95203">
              <w:rPr>
                <w:sz w:val="24"/>
              </w:rPr>
              <w:t>交银增利</w:t>
            </w:r>
            <w:r w:rsidRPr="00A95203">
              <w:rPr>
                <w:sz w:val="24"/>
              </w:rPr>
              <w:t>C</w:t>
            </w:r>
            <w:r w:rsidRPr="00A95203">
              <w:rPr>
                <w:sz w:val="24"/>
              </w:rPr>
              <w:t>类基金份额</w:t>
            </w:r>
            <w:r w:rsidR="00B46B47">
              <w:rPr>
                <w:rFonts w:hint="eastAsia"/>
                <w:sz w:val="24"/>
              </w:rPr>
              <w:t>、</w:t>
            </w:r>
            <w:r w:rsidRPr="00A95203">
              <w:rPr>
                <w:sz w:val="24"/>
              </w:rPr>
              <w:t>交银双利</w:t>
            </w:r>
            <w:r w:rsidRPr="00A95203">
              <w:rPr>
                <w:sz w:val="24"/>
              </w:rPr>
              <w:t>C</w:t>
            </w:r>
            <w:r w:rsidRPr="00A95203">
              <w:rPr>
                <w:sz w:val="24"/>
              </w:rPr>
              <w:t>类基金份额</w:t>
            </w:r>
            <w:r w:rsidR="00B46B47">
              <w:rPr>
                <w:rFonts w:hint="eastAsia"/>
                <w:sz w:val="24"/>
              </w:rPr>
              <w:t>、</w:t>
            </w:r>
            <w:r w:rsidRPr="00A95203">
              <w:rPr>
                <w:sz w:val="24"/>
              </w:rPr>
              <w:t>交银纯债</w:t>
            </w:r>
            <w:r w:rsidRPr="00A95203">
              <w:rPr>
                <w:sz w:val="24"/>
              </w:rPr>
              <w:t>C</w:t>
            </w:r>
            <w:r w:rsidRPr="00A95203">
              <w:rPr>
                <w:sz w:val="24"/>
              </w:rPr>
              <w:t>类基金份额</w:t>
            </w:r>
            <w:r w:rsidR="00B46B47">
              <w:rPr>
                <w:rFonts w:hint="eastAsia"/>
                <w:sz w:val="24"/>
              </w:rPr>
              <w:t>、</w:t>
            </w:r>
            <w:r w:rsidRPr="00A95203">
              <w:rPr>
                <w:sz w:val="24"/>
              </w:rPr>
              <w:t>交银双轮动</w:t>
            </w:r>
            <w:r w:rsidRPr="00A95203">
              <w:rPr>
                <w:sz w:val="24"/>
              </w:rPr>
              <w:t>C</w:t>
            </w:r>
            <w:r w:rsidRPr="00A95203">
              <w:rPr>
                <w:sz w:val="24"/>
              </w:rPr>
              <w:t>类基金份额</w:t>
            </w:r>
            <w:r w:rsidR="00B46B47">
              <w:rPr>
                <w:rFonts w:hint="eastAsia"/>
                <w:sz w:val="24"/>
              </w:rPr>
              <w:t>、</w:t>
            </w:r>
            <w:r w:rsidRPr="00A95203">
              <w:rPr>
                <w:sz w:val="24"/>
              </w:rPr>
              <w:t>交银月月丰</w:t>
            </w:r>
            <w:r w:rsidRPr="00A95203">
              <w:rPr>
                <w:sz w:val="24"/>
              </w:rPr>
              <w:t>C</w:t>
            </w:r>
            <w:r w:rsidRPr="00A95203">
              <w:rPr>
                <w:sz w:val="24"/>
              </w:rPr>
              <w:t>类基金份额</w:t>
            </w:r>
            <w:r w:rsidR="00B46B47">
              <w:rPr>
                <w:rFonts w:hint="eastAsia"/>
                <w:sz w:val="24"/>
              </w:rPr>
              <w:t>、</w:t>
            </w:r>
            <w:r w:rsidRPr="00A95203">
              <w:rPr>
                <w:sz w:val="24"/>
              </w:rPr>
              <w:t>交银强化回报</w:t>
            </w:r>
            <w:r w:rsidRPr="00A95203">
              <w:rPr>
                <w:sz w:val="24"/>
              </w:rPr>
              <w:t>C</w:t>
            </w:r>
            <w:r w:rsidRPr="00A95203">
              <w:rPr>
                <w:sz w:val="24"/>
              </w:rPr>
              <w:t>类基金</w:t>
            </w:r>
            <w:r w:rsidRPr="00A95203">
              <w:rPr>
                <w:sz w:val="24"/>
              </w:rPr>
              <w:lastRenderedPageBreak/>
              <w:t>份额</w:t>
            </w:r>
          </w:p>
        </w:tc>
        <w:tc>
          <w:tcPr>
            <w:tcW w:w="1726" w:type="dxa"/>
            <w:vMerge w:val="restart"/>
            <w:vAlign w:val="center"/>
            <w:hideMark/>
          </w:tcPr>
          <w:p w:rsidR="007A70A0" w:rsidRPr="00A95203" w:rsidRDefault="007A70A0" w:rsidP="00BA0346">
            <w:pPr>
              <w:jc w:val="left"/>
              <w:rPr>
                <w:sz w:val="24"/>
              </w:rPr>
            </w:pPr>
            <w:r w:rsidRPr="00A95203">
              <w:rPr>
                <w:sz w:val="24"/>
              </w:rPr>
              <w:lastRenderedPageBreak/>
              <w:t>交银荣祥保本</w:t>
            </w:r>
          </w:p>
        </w:tc>
        <w:tc>
          <w:tcPr>
            <w:tcW w:w="2738" w:type="dxa"/>
            <w:vAlign w:val="center"/>
            <w:hideMark/>
          </w:tcPr>
          <w:p w:rsidR="007A70A0" w:rsidRPr="00A95203" w:rsidRDefault="007A70A0" w:rsidP="003525EE">
            <w:pPr>
              <w:tabs>
                <w:tab w:val="left" w:pos="420"/>
              </w:tabs>
              <w:jc w:val="center"/>
              <w:rPr>
                <w:sz w:val="24"/>
              </w:rPr>
            </w:pPr>
            <w:r w:rsidRPr="00A95203">
              <w:rPr>
                <w:color w:val="333333"/>
                <w:sz w:val="24"/>
              </w:rPr>
              <w:t>50</w:t>
            </w:r>
            <w:r w:rsidRPr="00A95203">
              <w:rPr>
                <w:color w:val="333333"/>
                <w:sz w:val="24"/>
              </w:rPr>
              <w:t>万元以下</w:t>
            </w:r>
          </w:p>
        </w:tc>
        <w:tc>
          <w:tcPr>
            <w:tcW w:w="1166" w:type="dxa"/>
            <w:vAlign w:val="center"/>
            <w:hideMark/>
          </w:tcPr>
          <w:p w:rsidR="007A70A0" w:rsidRPr="00A95203" w:rsidRDefault="007A70A0" w:rsidP="003525EE">
            <w:pPr>
              <w:tabs>
                <w:tab w:val="left" w:pos="420"/>
              </w:tabs>
              <w:jc w:val="center"/>
              <w:rPr>
                <w:sz w:val="24"/>
              </w:rPr>
            </w:pPr>
            <w:r w:rsidRPr="00A95203">
              <w:rPr>
                <w:color w:val="333333"/>
                <w:sz w:val="24"/>
              </w:rPr>
              <w:t>1.2%</w:t>
            </w:r>
          </w:p>
        </w:tc>
        <w:tc>
          <w:tcPr>
            <w:tcW w:w="1200" w:type="dxa"/>
            <w:vAlign w:val="center"/>
            <w:hideMark/>
          </w:tcPr>
          <w:p w:rsidR="007A70A0" w:rsidRPr="00A95203" w:rsidRDefault="007A70A0" w:rsidP="003525EE">
            <w:pPr>
              <w:tabs>
                <w:tab w:val="left" w:pos="420"/>
              </w:tabs>
              <w:jc w:val="center"/>
              <w:rPr>
                <w:sz w:val="24"/>
              </w:rPr>
            </w:pPr>
            <w:r w:rsidRPr="00A95203">
              <w:rPr>
                <w:color w:val="333333"/>
                <w:sz w:val="24"/>
              </w:rPr>
              <w:t>0.12%</w:t>
            </w:r>
          </w:p>
        </w:tc>
      </w:tr>
      <w:tr w:rsidR="007A70A0" w:rsidRPr="00A95203" w:rsidTr="00807569">
        <w:trPr>
          <w:trHeight w:val="410"/>
          <w:tblCellSpacing w:w="0" w:type="dxa"/>
        </w:trPr>
        <w:tc>
          <w:tcPr>
            <w:tcW w:w="1650" w:type="dxa"/>
            <w:vMerge/>
            <w:vAlign w:val="center"/>
            <w:hideMark/>
          </w:tcPr>
          <w:p w:rsidR="007A70A0" w:rsidRPr="00A95203" w:rsidRDefault="007A70A0" w:rsidP="003525EE">
            <w:pPr>
              <w:jc w:val="left"/>
              <w:rPr>
                <w:sz w:val="24"/>
              </w:rPr>
            </w:pPr>
          </w:p>
        </w:tc>
        <w:tc>
          <w:tcPr>
            <w:tcW w:w="1726" w:type="dxa"/>
            <w:vMerge/>
            <w:vAlign w:val="center"/>
            <w:hideMark/>
          </w:tcPr>
          <w:p w:rsidR="007A70A0" w:rsidRPr="00A95203" w:rsidRDefault="007A70A0" w:rsidP="003525EE">
            <w:pPr>
              <w:jc w:val="left"/>
              <w:rPr>
                <w:sz w:val="24"/>
              </w:rPr>
            </w:pPr>
          </w:p>
        </w:tc>
        <w:tc>
          <w:tcPr>
            <w:tcW w:w="2738" w:type="dxa"/>
            <w:vAlign w:val="center"/>
            <w:hideMark/>
          </w:tcPr>
          <w:p w:rsidR="007A70A0" w:rsidRPr="00A95203" w:rsidRDefault="007A70A0" w:rsidP="003525EE">
            <w:pPr>
              <w:tabs>
                <w:tab w:val="left" w:pos="420"/>
              </w:tabs>
              <w:jc w:val="center"/>
              <w:rPr>
                <w:color w:val="333333"/>
                <w:sz w:val="24"/>
              </w:rPr>
            </w:pPr>
            <w:r w:rsidRPr="00A95203">
              <w:rPr>
                <w:color w:val="333333"/>
                <w:sz w:val="24"/>
              </w:rPr>
              <w:t>50</w:t>
            </w:r>
            <w:r w:rsidRPr="00A95203">
              <w:rPr>
                <w:color w:val="333333"/>
                <w:sz w:val="24"/>
              </w:rPr>
              <w:t>万元（含）至</w:t>
            </w:r>
            <w:r w:rsidRPr="00A95203">
              <w:rPr>
                <w:color w:val="333333"/>
                <w:sz w:val="24"/>
              </w:rPr>
              <w:t>100</w:t>
            </w:r>
            <w:r w:rsidRPr="00A95203">
              <w:rPr>
                <w:color w:val="333333"/>
                <w:sz w:val="24"/>
              </w:rPr>
              <w:t>万元</w:t>
            </w:r>
          </w:p>
        </w:tc>
        <w:tc>
          <w:tcPr>
            <w:tcW w:w="1166" w:type="dxa"/>
            <w:vAlign w:val="center"/>
            <w:hideMark/>
          </w:tcPr>
          <w:p w:rsidR="007A70A0" w:rsidRPr="00A95203" w:rsidRDefault="007A70A0" w:rsidP="003525EE">
            <w:pPr>
              <w:tabs>
                <w:tab w:val="left" w:pos="420"/>
              </w:tabs>
              <w:jc w:val="center"/>
              <w:rPr>
                <w:sz w:val="24"/>
              </w:rPr>
            </w:pPr>
            <w:r w:rsidRPr="00A95203">
              <w:rPr>
                <w:color w:val="333333"/>
                <w:sz w:val="24"/>
              </w:rPr>
              <w:t>1.0%</w:t>
            </w:r>
          </w:p>
        </w:tc>
        <w:tc>
          <w:tcPr>
            <w:tcW w:w="1200" w:type="dxa"/>
            <w:vAlign w:val="center"/>
            <w:hideMark/>
          </w:tcPr>
          <w:p w:rsidR="007A70A0" w:rsidRPr="00A95203" w:rsidRDefault="007A70A0" w:rsidP="003525EE">
            <w:pPr>
              <w:tabs>
                <w:tab w:val="left" w:pos="420"/>
              </w:tabs>
              <w:jc w:val="center"/>
              <w:rPr>
                <w:sz w:val="24"/>
              </w:rPr>
            </w:pPr>
            <w:r w:rsidRPr="00A95203">
              <w:rPr>
                <w:color w:val="333333"/>
                <w:sz w:val="24"/>
              </w:rPr>
              <w:t>0.10%</w:t>
            </w:r>
          </w:p>
        </w:tc>
      </w:tr>
      <w:tr w:rsidR="007A70A0" w:rsidRPr="00A95203" w:rsidTr="00807569">
        <w:trPr>
          <w:trHeight w:val="622"/>
          <w:tblCellSpacing w:w="0" w:type="dxa"/>
        </w:trPr>
        <w:tc>
          <w:tcPr>
            <w:tcW w:w="1650" w:type="dxa"/>
            <w:vMerge/>
            <w:vAlign w:val="center"/>
            <w:hideMark/>
          </w:tcPr>
          <w:p w:rsidR="007A70A0" w:rsidRPr="00A95203" w:rsidRDefault="007A70A0" w:rsidP="003525EE">
            <w:pPr>
              <w:jc w:val="left"/>
              <w:rPr>
                <w:sz w:val="24"/>
              </w:rPr>
            </w:pPr>
          </w:p>
        </w:tc>
        <w:tc>
          <w:tcPr>
            <w:tcW w:w="1726" w:type="dxa"/>
            <w:vMerge/>
            <w:vAlign w:val="center"/>
            <w:hideMark/>
          </w:tcPr>
          <w:p w:rsidR="007A70A0" w:rsidRPr="00A95203" w:rsidRDefault="007A70A0" w:rsidP="003525EE">
            <w:pPr>
              <w:jc w:val="left"/>
              <w:rPr>
                <w:sz w:val="24"/>
              </w:rPr>
            </w:pPr>
          </w:p>
        </w:tc>
        <w:tc>
          <w:tcPr>
            <w:tcW w:w="2738" w:type="dxa"/>
            <w:vAlign w:val="center"/>
            <w:hideMark/>
          </w:tcPr>
          <w:p w:rsidR="007A70A0" w:rsidRPr="00A95203" w:rsidRDefault="007A70A0" w:rsidP="003525EE">
            <w:pPr>
              <w:tabs>
                <w:tab w:val="left" w:pos="420"/>
              </w:tabs>
              <w:jc w:val="center"/>
              <w:rPr>
                <w:sz w:val="24"/>
              </w:rPr>
            </w:pPr>
            <w:r w:rsidRPr="00A95203">
              <w:rPr>
                <w:sz w:val="24"/>
              </w:rPr>
              <w:t>100</w:t>
            </w:r>
            <w:r w:rsidRPr="00A95203">
              <w:rPr>
                <w:sz w:val="24"/>
              </w:rPr>
              <w:t>万元（含）至</w:t>
            </w:r>
            <w:r w:rsidRPr="00A95203">
              <w:rPr>
                <w:sz w:val="24"/>
              </w:rPr>
              <w:t>200</w:t>
            </w:r>
            <w:r w:rsidRPr="00A95203">
              <w:rPr>
                <w:sz w:val="24"/>
              </w:rPr>
              <w:t>万元</w:t>
            </w:r>
          </w:p>
        </w:tc>
        <w:tc>
          <w:tcPr>
            <w:tcW w:w="1166" w:type="dxa"/>
            <w:vAlign w:val="center"/>
            <w:hideMark/>
          </w:tcPr>
          <w:p w:rsidR="007A70A0" w:rsidRPr="00A95203" w:rsidRDefault="007A70A0" w:rsidP="003525EE">
            <w:pPr>
              <w:tabs>
                <w:tab w:val="left" w:pos="420"/>
              </w:tabs>
              <w:jc w:val="center"/>
              <w:rPr>
                <w:sz w:val="24"/>
              </w:rPr>
            </w:pPr>
            <w:r w:rsidRPr="00A95203">
              <w:rPr>
                <w:color w:val="333333"/>
                <w:sz w:val="24"/>
              </w:rPr>
              <w:t>0.8%</w:t>
            </w:r>
          </w:p>
        </w:tc>
        <w:tc>
          <w:tcPr>
            <w:tcW w:w="1200" w:type="dxa"/>
            <w:vAlign w:val="center"/>
            <w:hideMark/>
          </w:tcPr>
          <w:p w:rsidR="007A70A0" w:rsidRPr="00A95203" w:rsidRDefault="007A70A0" w:rsidP="003525EE">
            <w:pPr>
              <w:tabs>
                <w:tab w:val="left" w:pos="420"/>
              </w:tabs>
              <w:jc w:val="center"/>
              <w:rPr>
                <w:sz w:val="24"/>
              </w:rPr>
            </w:pPr>
            <w:r w:rsidRPr="00A95203">
              <w:rPr>
                <w:color w:val="333333"/>
                <w:sz w:val="24"/>
              </w:rPr>
              <w:t>0.08%</w:t>
            </w:r>
          </w:p>
        </w:tc>
      </w:tr>
      <w:tr w:rsidR="007A70A0" w:rsidRPr="00A95203" w:rsidTr="00807569">
        <w:trPr>
          <w:trHeight w:val="615"/>
          <w:tblCellSpacing w:w="0" w:type="dxa"/>
        </w:trPr>
        <w:tc>
          <w:tcPr>
            <w:tcW w:w="1650" w:type="dxa"/>
            <w:vMerge/>
            <w:vAlign w:val="center"/>
            <w:hideMark/>
          </w:tcPr>
          <w:p w:rsidR="007A70A0" w:rsidRPr="00A95203" w:rsidRDefault="007A70A0" w:rsidP="003525EE">
            <w:pPr>
              <w:jc w:val="left"/>
              <w:rPr>
                <w:sz w:val="24"/>
              </w:rPr>
            </w:pPr>
          </w:p>
        </w:tc>
        <w:tc>
          <w:tcPr>
            <w:tcW w:w="1726" w:type="dxa"/>
            <w:vMerge/>
            <w:vAlign w:val="center"/>
            <w:hideMark/>
          </w:tcPr>
          <w:p w:rsidR="007A70A0" w:rsidRPr="00A95203" w:rsidRDefault="007A70A0" w:rsidP="003525EE">
            <w:pPr>
              <w:jc w:val="left"/>
              <w:rPr>
                <w:sz w:val="24"/>
              </w:rPr>
            </w:pPr>
          </w:p>
        </w:tc>
        <w:tc>
          <w:tcPr>
            <w:tcW w:w="2738" w:type="dxa"/>
            <w:vAlign w:val="center"/>
            <w:hideMark/>
          </w:tcPr>
          <w:p w:rsidR="007A70A0" w:rsidRPr="00A95203" w:rsidRDefault="007A70A0" w:rsidP="003525EE">
            <w:pPr>
              <w:tabs>
                <w:tab w:val="left" w:pos="420"/>
              </w:tabs>
              <w:jc w:val="center"/>
              <w:rPr>
                <w:sz w:val="24"/>
              </w:rPr>
            </w:pPr>
            <w:r w:rsidRPr="00A95203">
              <w:rPr>
                <w:color w:val="333333"/>
                <w:sz w:val="24"/>
              </w:rPr>
              <w:t>200</w:t>
            </w:r>
            <w:r w:rsidRPr="00A95203">
              <w:rPr>
                <w:color w:val="333333"/>
                <w:sz w:val="24"/>
              </w:rPr>
              <w:t>万元（含）至</w:t>
            </w:r>
            <w:r w:rsidRPr="00A95203">
              <w:rPr>
                <w:color w:val="333333"/>
                <w:sz w:val="24"/>
              </w:rPr>
              <w:t>500</w:t>
            </w:r>
            <w:r w:rsidRPr="00A95203">
              <w:rPr>
                <w:color w:val="333333"/>
                <w:sz w:val="24"/>
              </w:rPr>
              <w:t>万元</w:t>
            </w:r>
          </w:p>
        </w:tc>
        <w:tc>
          <w:tcPr>
            <w:tcW w:w="1166" w:type="dxa"/>
            <w:vAlign w:val="center"/>
            <w:hideMark/>
          </w:tcPr>
          <w:p w:rsidR="007A70A0" w:rsidRPr="00A95203" w:rsidRDefault="007A70A0" w:rsidP="003525EE">
            <w:pPr>
              <w:tabs>
                <w:tab w:val="left" w:pos="420"/>
              </w:tabs>
              <w:jc w:val="center"/>
              <w:rPr>
                <w:sz w:val="24"/>
              </w:rPr>
            </w:pPr>
            <w:r w:rsidRPr="00A95203">
              <w:rPr>
                <w:sz w:val="24"/>
              </w:rPr>
              <w:t>0.6%</w:t>
            </w:r>
          </w:p>
        </w:tc>
        <w:tc>
          <w:tcPr>
            <w:tcW w:w="1200" w:type="dxa"/>
            <w:vAlign w:val="center"/>
            <w:hideMark/>
          </w:tcPr>
          <w:p w:rsidR="007A70A0" w:rsidRPr="00A95203" w:rsidRDefault="007A70A0" w:rsidP="003525EE">
            <w:pPr>
              <w:tabs>
                <w:tab w:val="left" w:pos="420"/>
              </w:tabs>
              <w:jc w:val="center"/>
              <w:rPr>
                <w:sz w:val="24"/>
              </w:rPr>
            </w:pPr>
            <w:r w:rsidRPr="00A95203">
              <w:rPr>
                <w:sz w:val="24"/>
              </w:rPr>
              <w:t>0.06%</w:t>
            </w:r>
          </w:p>
        </w:tc>
      </w:tr>
      <w:tr w:rsidR="007A70A0" w:rsidRPr="00A95203" w:rsidTr="00807569">
        <w:trPr>
          <w:trHeight w:val="255"/>
          <w:tblCellSpacing w:w="0" w:type="dxa"/>
        </w:trPr>
        <w:tc>
          <w:tcPr>
            <w:tcW w:w="1650" w:type="dxa"/>
            <w:vMerge/>
            <w:vAlign w:val="center"/>
            <w:hideMark/>
          </w:tcPr>
          <w:p w:rsidR="007A70A0" w:rsidRPr="00A95203" w:rsidRDefault="007A70A0" w:rsidP="003525EE">
            <w:pPr>
              <w:jc w:val="left"/>
              <w:rPr>
                <w:sz w:val="24"/>
              </w:rPr>
            </w:pPr>
          </w:p>
        </w:tc>
        <w:tc>
          <w:tcPr>
            <w:tcW w:w="1726" w:type="dxa"/>
            <w:vMerge/>
            <w:vAlign w:val="center"/>
            <w:hideMark/>
          </w:tcPr>
          <w:p w:rsidR="007A70A0" w:rsidRPr="00A95203" w:rsidRDefault="007A70A0" w:rsidP="003525EE">
            <w:pPr>
              <w:jc w:val="left"/>
              <w:rPr>
                <w:sz w:val="24"/>
              </w:rPr>
            </w:pPr>
          </w:p>
        </w:tc>
        <w:tc>
          <w:tcPr>
            <w:tcW w:w="2738" w:type="dxa"/>
            <w:vAlign w:val="center"/>
            <w:hideMark/>
          </w:tcPr>
          <w:p w:rsidR="007A70A0" w:rsidRPr="00A95203" w:rsidRDefault="007A70A0" w:rsidP="003525EE">
            <w:pPr>
              <w:tabs>
                <w:tab w:val="left" w:pos="420"/>
              </w:tabs>
              <w:jc w:val="center"/>
              <w:rPr>
                <w:color w:val="333333"/>
                <w:sz w:val="24"/>
              </w:rPr>
            </w:pPr>
            <w:r w:rsidRPr="00A95203">
              <w:rPr>
                <w:sz w:val="24"/>
              </w:rPr>
              <w:t>500</w:t>
            </w:r>
            <w:r w:rsidRPr="00A95203">
              <w:rPr>
                <w:sz w:val="24"/>
              </w:rPr>
              <w:t>万元（含）以上</w:t>
            </w:r>
          </w:p>
        </w:tc>
        <w:tc>
          <w:tcPr>
            <w:tcW w:w="1166" w:type="dxa"/>
            <w:vAlign w:val="center"/>
            <w:hideMark/>
          </w:tcPr>
          <w:p w:rsidR="007A70A0" w:rsidRPr="00A95203" w:rsidRDefault="007A70A0" w:rsidP="003525EE">
            <w:pPr>
              <w:jc w:val="center"/>
              <w:rPr>
                <w:sz w:val="24"/>
              </w:rPr>
            </w:pPr>
            <w:r w:rsidRPr="00A95203">
              <w:rPr>
                <w:sz w:val="24"/>
              </w:rPr>
              <w:t>1000</w:t>
            </w:r>
            <w:r w:rsidRPr="00A95203">
              <w:rPr>
                <w:sz w:val="24"/>
              </w:rPr>
              <w:t>元</w:t>
            </w:r>
            <w:r w:rsidRPr="00A95203">
              <w:rPr>
                <w:sz w:val="24"/>
              </w:rPr>
              <w:t>/</w:t>
            </w:r>
            <w:r w:rsidRPr="00A95203">
              <w:rPr>
                <w:sz w:val="24"/>
              </w:rPr>
              <w:t>笔</w:t>
            </w:r>
          </w:p>
        </w:tc>
        <w:tc>
          <w:tcPr>
            <w:tcW w:w="1200" w:type="dxa"/>
            <w:vAlign w:val="center"/>
            <w:hideMark/>
          </w:tcPr>
          <w:p w:rsidR="007A70A0" w:rsidRPr="00A95203" w:rsidRDefault="007A70A0" w:rsidP="003525EE">
            <w:pPr>
              <w:tabs>
                <w:tab w:val="left" w:pos="420"/>
              </w:tabs>
              <w:jc w:val="center"/>
              <w:rPr>
                <w:sz w:val="24"/>
              </w:rPr>
            </w:pPr>
            <w:r w:rsidRPr="00A95203">
              <w:rPr>
                <w:sz w:val="24"/>
              </w:rPr>
              <w:t>1000</w:t>
            </w:r>
            <w:r w:rsidRPr="00A95203">
              <w:rPr>
                <w:sz w:val="24"/>
              </w:rPr>
              <w:t>元</w:t>
            </w:r>
            <w:r w:rsidRPr="00A95203">
              <w:rPr>
                <w:sz w:val="24"/>
              </w:rPr>
              <w:t>/</w:t>
            </w:r>
            <w:r w:rsidRPr="00A95203">
              <w:rPr>
                <w:sz w:val="24"/>
              </w:rPr>
              <w:t>笔</w:t>
            </w:r>
          </w:p>
        </w:tc>
      </w:tr>
      <w:tr w:rsidR="007A70A0" w:rsidRPr="00A95203" w:rsidTr="00807569">
        <w:trPr>
          <w:trHeight w:val="255"/>
          <w:tblCellSpacing w:w="0" w:type="dxa"/>
        </w:trPr>
        <w:tc>
          <w:tcPr>
            <w:tcW w:w="1650" w:type="dxa"/>
            <w:vMerge w:val="restart"/>
            <w:vAlign w:val="center"/>
            <w:hideMark/>
          </w:tcPr>
          <w:p w:rsidR="007A70A0" w:rsidRPr="00A95203" w:rsidRDefault="007A70A0" w:rsidP="00B46B47">
            <w:pPr>
              <w:jc w:val="left"/>
              <w:rPr>
                <w:sz w:val="24"/>
              </w:rPr>
            </w:pPr>
            <w:r w:rsidRPr="00A95203">
              <w:rPr>
                <w:sz w:val="24"/>
              </w:rPr>
              <w:lastRenderedPageBreak/>
              <w:t>交银货币</w:t>
            </w:r>
            <w:r w:rsidR="00B46B47">
              <w:rPr>
                <w:rFonts w:hint="eastAsia"/>
                <w:sz w:val="24"/>
              </w:rPr>
              <w:t>、</w:t>
            </w:r>
            <w:r w:rsidRPr="00A95203">
              <w:rPr>
                <w:sz w:val="24"/>
              </w:rPr>
              <w:t>交银增利</w:t>
            </w:r>
            <w:r w:rsidRPr="00A95203">
              <w:rPr>
                <w:sz w:val="24"/>
              </w:rPr>
              <w:t>C</w:t>
            </w:r>
            <w:r w:rsidRPr="00A95203">
              <w:rPr>
                <w:sz w:val="24"/>
              </w:rPr>
              <w:t>类基金份额</w:t>
            </w:r>
            <w:r w:rsidR="00B46B47">
              <w:rPr>
                <w:rFonts w:hint="eastAsia"/>
                <w:sz w:val="24"/>
              </w:rPr>
              <w:t>、</w:t>
            </w:r>
            <w:r w:rsidRPr="00A95203">
              <w:rPr>
                <w:sz w:val="24"/>
              </w:rPr>
              <w:t>交银双利</w:t>
            </w:r>
            <w:r w:rsidRPr="00A95203">
              <w:rPr>
                <w:sz w:val="24"/>
              </w:rPr>
              <w:t>C</w:t>
            </w:r>
            <w:r w:rsidRPr="00A95203">
              <w:rPr>
                <w:sz w:val="24"/>
              </w:rPr>
              <w:t>类基金份额</w:t>
            </w:r>
            <w:r w:rsidR="00B46B47">
              <w:rPr>
                <w:rFonts w:hint="eastAsia"/>
                <w:sz w:val="24"/>
              </w:rPr>
              <w:t>、</w:t>
            </w:r>
            <w:r w:rsidRPr="00A95203">
              <w:rPr>
                <w:sz w:val="24"/>
              </w:rPr>
              <w:t>交银纯债</w:t>
            </w:r>
            <w:r w:rsidRPr="00A95203">
              <w:rPr>
                <w:sz w:val="24"/>
              </w:rPr>
              <w:t>C</w:t>
            </w:r>
            <w:r w:rsidRPr="00A95203">
              <w:rPr>
                <w:sz w:val="24"/>
              </w:rPr>
              <w:t>类基金份额</w:t>
            </w:r>
            <w:r w:rsidR="00B46B47">
              <w:rPr>
                <w:rFonts w:hint="eastAsia"/>
                <w:sz w:val="24"/>
              </w:rPr>
              <w:t>、</w:t>
            </w:r>
            <w:r w:rsidRPr="00A95203">
              <w:rPr>
                <w:sz w:val="24"/>
              </w:rPr>
              <w:t>交银双轮动</w:t>
            </w:r>
            <w:r w:rsidRPr="00A95203">
              <w:rPr>
                <w:sz w:val="24"/>
              </w:rPr>
              <w:t>C</w:t>
            </w:r>
            <w:r w:rsidRPr="00A95203">
              <w:rPr>
                <w:sz w:val="24"/>
              </w:rPr>
              <w:t>类基金份额</w:t>
            </w:r>
            <w:r w:rsidR="00B46B47">
              <w:rPr>
                <w:rFonts w:hint="eastAsia"/>
                <w:sz w:val="24"/>
              </w:rPr>
              <w:t>、</w:t>
            </w:r>
            <w:r w:rsidRPr="00A95203">
              <w:rPr>
                <w:sz w:val="24"/>
              </w:rPr>
              <w:t>交银月月丰</w:t>
            </w:r>
            <w:r w:rsidRPr="00A95203">
              <w:rPr>
                <w:sz w:val="24"/>
              </w:rPr>
              <w:t>C</w:t>
            </w:r>
            <w:r w:rsidRPr="00A95203">
              <w:rPr>
                <w:sz w:val="24"/>
              </w:rPr>
              <w:t>类基金份额</w:t>
            </w:r>
            <w:r w:rsidR="00B46B47">
              <w:rPr>
                <w:rFonts w:hint="eastAsia"/>
                <w:sz w:val="24"/>
              </w:rPr>
              <w:t>、</w:t>
            </w:r>
            <w:r w:rsidRPr="00A95203">
              <w:rPr>
                <w:sz w:val="24"/>
              </w:rPr>
              <w:t>交银强化回报</w:t>
            </w:r>
            <w:r w:rsidRPr="00A95203">
              <w:rPr>
                <w:sz w:val="24"/>
              </w:rPr>
              <w:t>C</w:t>
            </w:r>
            <w:r w:rsidRPr="00A95203">
              <w:rPr>
                <w:sz w:val="24"/>
              </w:rPr>
              <w:t>类基金份额</w:t>
            </w:r>
          </w:p>
        </w:tc>
        <w:tc>
          <w:tcPr>
            <w:tcW w:w="1726" w:type="dxa"/>
            <w:vMerge w:val="restart"/>
            <w:vAlign w:val="center"/>
            <w:hideMark/>
          </w:tcPr>
          <w:p w:rsidR="007A70A0" w:rsidRPr="00A95203" w:rsidRDefault="007A70A0" w:rsidP="003525EE">
            <w:pPr>
              <w:jc w:val="left"/>
              <w:rPr>
                <w:sz w:val="24"/>
              </w:rPr>
            </w:pPr>
            <w:r w:rsidRPr="00A95203">
              <w:rPr>
                <w:sz w:val="24"/>
              </w:rPr>
              <w:t>前端收费模式下</w:t>
            </w:r>
          </w:p>
          <w:p w:rsidR="007A70A0" w:rsidRPr="00A95203" w:rsidRDefault="007A70A0" w:rsidP="00B46B47">
            <w:pPr>
              <w:tabs>
                <w:tab w:val="left" w:pos="420"/>
              </w:tabs>
              <w:jc w:val="left"/>
              <w:rPr>
                <w:sz w:val="24"/>
              </w:rPr>
            </w:pPr>
            <w:r w:rsidRPr="00A95203">
              <w:rPr>
                <w:sz w:val="24"/>
              </w:rPr>
              <w:t>交银行业</w:t>
            </w:r>
            <w:r w:rsidR="00B46B47">
              <w:rPr>
                <w:rFonts w:hint="eastAsia"/>
                <w:sz w:val="24"/>
              </w:rPr>
              <w:t>、</w:t>
            </w:r>
            <w:r w:rsidRPr="00A95203">
              <w:rPr>
                <w:sz w:val="24"/>
              </w:rPr>
              <w:t>交银趋势</w:t>
            </w:r>
            <w:r w:rsidR="001B543A">
              <w:rPr>
                <w:rFonts w:hint="eastAsia"/>
                <w:kern w:val="0"/>
                <w:sz w:val="22"/>
                <w:szCs w:val="22"/>
              </w:rPr>
              <w:t>、交银经济新动力</w:t>
            </w:r>
          </w:p>
        </w:tc>
        <w:tc>
          <w:tcPr>
            <w:tcW w:w="2738" w:type="dxa"/>
            <w:vAlign w:val="center"/>
            <w:hideMark/>
          </w:tcPr>
          <w:p w:rsidR="007A70A0" w:rsidRPr="00A95203" w:rsidRDefault="007A70A0" w:rsidP="003525EE">
            <w:pPr>
              <w:tabs>
                <w:tab w:val="left" w:pos="420"/>
              </w:tabs>
              <w:jc w:val="center"/>
              <w:rPr>
                <w:sz w:val="24"/>
              </w:rPr>
            </w:pPr>
            <w:r w:rsidRPr="00A95203">
              <w:rPr>
                <w:sz w:val="24"/>
              </w:rPr>
              <w:t>100</w:t>
            </w:r>
            <w:r w:rsidRPr="00A95203">
              <w:rPr>
                <w:sz w:val="24"/>
              </w:rPr>
              <w:t>万元以下</w:t>
            </w:r>
          </w:p>
        </w:tc>
        <w:tc>
          <w:tcPr>
            <w:tcW w:w="1166" w:type="dxa"/>
            <w:vAlign w:val="center"/>
            <w:hideMark/>
          </w:tcPr>
          <w:p w:rsidR="007A70A0" w:rsidRPr="00A95203" w:rsidRDefault="007A70A0" w:rsidP="003525EE">
            <w:pPr>
              <w:jc w:val="center"/>
              <w:rPr>
                <w:sz w:val="24"/>
              </w:rPr>
            </w:pPr>
            <w:r w:rsidRPr="00A95203">
              <w:rPr>
                <w:sz w:val="24"/>
              </w:rPr>
              <w:t>1.5%</w:t>
            </w:r>
          </w:p>
        </w:tc>
        <w:tc>
          <w:tcPr>
            <w:tcW w:w="1200" w:type="dxa"/>
            <w:vAlign w:val="center"/>
            <w:hideMark/>
          </w:tcPr>
          <w:p w:rsidR="007A70A0" w:rsidRPr="00A95203" w:rsidRDefault="007A70A0" w:rsidP="003525EE">
            <w:pPr>
              <w:tabs>
                <w:tab w:val="left" w:pos="420"/>
              </w:tabs>
              <w:jc w:val="center"/>
              <w:rPr>
                <w:sz w:val="24"/>
              </w:rPr>
            </w:pPr>
            <w:r w:rsidRPr="00A95203">
              <w:rPr>
                <w:sz w:val="24"/>
              </w:rPr>
              <w:t>0.15%</w:t>
            </w:r>
          </w:p>
        </w:tc>
      </w:tr>
      <w:tr w:rsidR="007A70A0" w:rsidRPr="00A95203" w:rsidTr="00807569">
        <w:trPr>
          <w:trHeight w:val="255"/>
          <w:tblCellSpacing w:w="0" w:type="dxa"/>
        </w:trPr>
        <w:tc>
          <w:tcPr>
            <w:tcW w:w="1650" w:type="dxa"/>
            <w:vMerge/>
            <w:vAlign w:val="center"/>
            <w:hideMark/>
          </w:tcPr>
          <w:p w:rsidR="007A70A0" w:rsidRPr="00A95203" w:rsidRDefault="007A70A0" w:rsidP="003525EE">
            <w:pPr>
              <w:jc w:val="left"/>
              <w:rPr>
                <w:sz w:val="24"/>
              </w:rPr>
            </w:pPr>
          </w:p>
        </w:tc>
        <w:tc>
          <w:tcPr>
            <w:tcW w:w="1726" w:type="dxa"/>
            <w:vMerge/>
            <w:vAlign w:val="center"/>
            <w:hideMark/>
          </w:tcPr>
          <w:p w:rsidR="007A70A0" w:rsidRPr="00A95203" w:rsidRDefault="007A70A0" w:rsidP="003525EE">
            <w:pPr>
              <w:jc w:val="left"/>
              <w:rPr>
                <w:sz w:val="24"/>
              </w:rPr>
            </w:pPr>
          </w:p>
        </w:tc>
        <w:tc>
          <w:tcPr>
            <w:tcW w:w="2738" w:type="dxa"/>
            <w:vAlign w:val="center"/>
            <w:hideMark/>
          </w:tcPr>
          <w:p w:rsidR="007A70A0" w:rsidRPr="00A95203" w:rsidRDefault="007A70A0" w:rsidP="003525EE">
            <w:pPr>
              <w:tabs>
                <w:tab w:val="left" w:pos="420"/>
              </w:tabs>
              <w:jc w:val="center"/>
              <w:rPr>
                <w:sz w:val="24"/>
              </w:rPr>
            </w:pPr>
            <w:r w:rsidRPr="00A95203">
              <w:rPr>
                <w:sz w:val="24"/>
              </w:rPr>
              <w:t>100</w:t>
            </w:r>
            <w:r w:rsidRPr="00A95203">
              <w:rPr>
                <w:sz w:val="24"/>
              </w:rPr>
              <w:t>万元（含）至</w:t>
            </w:r>
            <w:r w:rsidRPr="00A95203">
              <w:rPr>
                <w:sz w:val="24"/>
              </w:rPr>
              <w:t>500</w:t>
            </w:r>
            <w:r w:rsidRPr="00A95203">
              <w:rPr>
                <w:sz w:val="24"/>
              </w:rPr>
              <w:t>万元</w:t>
            </w:r>
          </w:p>
        </w:tc>
        <w:tc>
          <w:tcPr>
            <w:tcW w:w="1166" w:type="dxa"/>
            <w:vAlign w:val="center"/>
            <w:hideMark/>
          </w:tcPr>
          <w:p w:rsidR="007A70A0" w:rsidRPr="00A95203" w:rsidRDefault="007A70A0" w:rsidP="003525EE">
            <w:pPr>
              <w:jc w:val="center"/>
              <w:rPr>
                <w:sz w:val="24"/>
              </w:rPr>
            </w:pPr>
            <w:r w:rsidRPr="00A95203">
              <w:rPr>
                <w:sz w:val="24"/>
              </w:rPr>
              <w:t>1.0%</w:t>
            </w:r>
          </w:p>
        </w:tc>
        <w:tc>
          <w:tcPr>
            <w:tcW w:w="1200" w:type="dxa"/>
            <w:vAlign w:val="center"/>
            <w:hideMark/>
          </w:tcPr>
          <w:p w:rsidR="007A70A0" w:rsidRPr="00A95203" w:rsidRDefault="007A70A0" w:rsidP="003525EE">
            <w:pPr>
              <w:tabs>
                <w:tab w:val="left" w:pos="420"/>
              </w:tabs>
              <w:jc w:val="center"/>
              <w:rPr>
                <w:sz w:val="24"/>
              </w:rPr>
            </w:pPr>
            <w:r w:rsidRPr="00A95203">
              <w:rPr>
                <w:sz w:val="24"/>
              </w:rPr>
              <w:t>0.10%</w:t>
            </w:r>
          </w:p>
        </w:tc>
      </w:tr>
      <w:tr w:rsidR="007A70A0" w:rsidRPr="00A95203" w:rsidTr="00807569">
        <w:trPr>
          <w:trHeight w:val="255"/>
          <w:tblCellSpacing w:w="0" w:type="dxa"/>
        </w:trPr>
        <w:tc>
          <w:tcPr>
            <w:tcW w:w="1650" w:type="dxa"/>
            <w:vMerge/>
            <w:vAlign w:val="center"/>
            <w:hideMark/>
          </w:tcPr>
          <w:p w:rsidR="007A70A0" w:rsidRPr="00A95203" w:rsidRDefault="007A70A0" w:rsidP="003525EE">
            <w:pPr>
              <w:jc w:val="left"/>
              <w:rPr>
                <w:sz w:val="24"/>
              </w:rPr>
            </w:pPr>
          </w:p>
        </w:tc>
        <w:tc>
          <w:tcPr>
            <w:tcW w:w="1726" w:type="dxa"/>
            <w:vMerge/>
            <w:vAlign w:val="center"/>
            <w:hideMark/>
          </w:tcPr>
          <w:p w:rsidR="007A70A0" w:rsidRPr="00A95203" w:rsidRDefault="007A70A0" w:rsidP="003525EE">
            <w:pPr>
              <w:jc w:val="left"/>
              <w:rPr>
                <w:sz w:val="24"/>
              </w:rPr>
            </w:pPr>
          </w:p>
        </w:tc>
        <w:tc>
          <w:tcPr>
            <w:tcW w:w="2738" w:type="dxa"/>
            <w:vAlign w:val="center"/>
            <w:hideMark/>
          </w:tcPr>
          <w:p w:rsidR="007A70A0" w:rsidRPr="00A95203" w:rsidRDefault="007A70A0" w:rsidP="003525EE">
            <w:pPr>
              <w:tabs>
                <w:tab w:val="left" w:pos="420"/>
              </w:tabs>
              <w:jc w:val="center"/>
              <w:rPr>
                <w:sz w:val="24"/>
              </w:rPr>
            </w:pPr>
            <w:r w:rsidRPr="00A95203">
              <w:rPr>
                <w:sz w:val="24"/>
              </w:rPr>
              <w:t>500</w:t>
            </w:r>
            <w:r w:rsidRPr="00A95203">
              <w:rPr>
                <w:sz w:val="24"/>
              </w:rPr>
              <w:t>万元（含）以上</w:t>
            </w:r>
          </w:p>
        </w:tc>
        <w:tc>
          <w:tcPr>
            <w:tcW w:w="1166" w:type="dxa"/>
            <w:vAlign w:val="center"/>
            <w:hideMark/>
          </w:tcPr>
          <w:p w:rsidR="007A70A0" w:rsidRPr="00A95203" w:rsidRDefault="007A70A0" w:rsidP="003525EE">
            <w:pPr>
              <w:jc w:val="center"/>
              <w:rPr>
                <w:sz w:val="24"/>
              </w:rPr>
            </w:pPr>
            <w:r w:rsidRPr="00A95203">
              <w:rPr>
                <w:sz w:val="24"/>
              </w:rPr>
              <w:t>1000</w:t>
            </w:r>
            <w:r w:rsidRPr="00A95203">
              <w:rPr>
                <w:sz w:val="24"/>
              </w:rPr>
              <w:t>元</w:t>
            </w:r>
            <w:r w:rsidRPr="00A95203">
              <w:rPr>
                <w:sz w:val="24"/>
              </w:rPr>
              <w:t>/</w:t>
            </w:r>
            <w:r w:rsidRPr="00A95203">
              <w:rPr>
                <w:sz w:val="24"/>
              </w:rPr>
              <w:t>笔</w:t>
            </w:r>
          </w:p>
        </w:tc>
        <w:tc>
          <w:tcPr>
            <w:tcW w:w="1200" w:type="dxa"/>
            <w:vAlign w:val="center"/>
            <w:hideMark/>
          </w:tcPr>
          <w:p w:rsidR="007A70A0" w:rsidRPr="00A95203" w:rsidRDefault="007A70A0" w:rsidP="003525EE">
            <w:pPr>
              <w:tabs>
                <w:tab w:val="left" w:pos="420"/>
              </w:tabs>
              <w:jc w:val="center"/>
              <w:rPr>
                <w:sz w:val="24"/>
              </w:rPr>
            </w:pPr>
            <w:r w:rsidRPr="00A95203">
              <w:rPr>
                <w:sz w:val="24"/>
              </w:rPr>
              <w:t>1000</w:t>
            </w:r>
            <w:r w:rsidRPr="00A95203">
              <w:rPr>
                <w:sz w:val="24"/>
              </w:rPr>
              <w:t>元</w:t>
            </w:r>
            <w:r w:rsidRPr="00A95203">
              <w:rPr>
                <w:sz w:val="24"/>
              </w:rPr>
              <w:t>/</w:t>
            </w:r>
            <w:r w:rsidRPr="00A95203">
              <w:rPr>
                <w:sz w:val="24"/>
              </w:rPr>
              <w:t>笔</w:t>
            </w:r>
          </w:p>
        </w:tc>
      </w:tr>
      <w:tr w:rsidR="00C06670" w:rsidRPr="00A95203" w:rsidTr="00C75A65">
        <w:trPr>
          <w:trHeight w:val="255"/>
          <w:tblCellSpacing w:w="0" w:type="dxa"/>
        </w:trPr>
        <w:tc>
          <w:tcPr>
            <w:tcW w:w="1650" w:type="dxa"/>
            <w:vMerge w:val="restart"/>
            <w:vAlign w:val="center"/>
            <w:hideMark/>
          </w:tcPr>
          <w:p w:rsidR="00C06670" w:rsidRPr="00A95203" w:rsidRDefault="00C06670" w:rsidP="00C75A65">
            <w:pPr>
              <w:tabs>
                <w:tab w:val="left" w:pos="420"/>
              </w:tabs>
              <w:jc w:val="left"/>
              <w:rPr>
                <w:sz w:val="24"/>
              </w:rPr>
            </w:pPr>
            <w:r w:rsidRPr="00A95203">
              <w:rPr>
                <w:sz w:val="24"/>
              </w:rPr>
              <w:t>交银货币</w:t>
            </w:r>
            <w:r w:rsidR="00B46B47">
              <w:rPr>
                <w:rFonts w:hint="eastAsia"/>
                <w:sz w:val="24"/>
              </w:rPr>
              <w:t>、</w:t>
            </w:r>
            <w:r w:rsidRPr="00A95203">
              <w:rPr>
                <w:sz w:val="24"/>
              </w:rPr>
              <w:t>交银增利</w:t>
            </w:r>
            <w:r w:rsidRPr="00A95203">
              <w:rPr>
                <w:sz w:val="24"/>
              </w:rPr>
              <w:t>C</w:t>
            </w:r>
            <w:r w:rsidRPr="00A95203">
              <w:rPr>
                <w:sz w:val="24"/>
              </w:rPr>
              <w:t>类基金份额</w:t>
            </w:r>
            <w:r w:rsidR="00B46B47">
              <w:rPr>
                <w:rFonts w:hint="eastAsia"/>
                <w:sz w:val="24"/>
              </w:rPr>
              <w:t>、</w:t>
            </w:r>
            <w:r w:rsidRPr="00A95203">
              <w:rPr>
                <w:sz w:val="24"/>
              </w:rPr>
              <w:t>交银双利</w:t>
            </w:r>
            <w:r w:rsidRPr="00A95203">
              <w:rPr>
                <w:sz w:val="24"/>
              </w:rPr>
              <w:t>C</w:t>
            </w:r>
            <w:r w:rsidRPr="00A95203">
              <w:rPr>
                <w:sz w:val="24"/>
              </w:rPr>
              <w:t>类基金份额</w:t>
            </w:r>
            <w:r w:rsidR="00B46B47">
              <w:rPr>
                <w:rFonts w:hint="eastAsia"/>
                <w:sz w:val="24"/>
              </w:rPr>
              <w:t>、</w:t>
            </w:r>
          </w:p>
          <w:p w:rsidR="00C06670" w:rsidRPr="00A95203" w:rsidRDefault="00C06670" w:rsidP="00B46B47">
            <w:pPr>
              <w:tabs>
                <w:tab w:val="left" w:pos="420"/>
              </w:tabs>
              <w:jc w:val="left"/>
              <w:rPr>
                <w:sz w:val="24"/>
              </w:rPr>
            </w:pPr>
            <w:r w:rsidRPr="00A95203">
              <w:rPr>
                <w:sz w:val="24"/>
              </w:rPr>
              <w:t>交银纯债</w:t>
            </w:r>
            <w:r w:rsidRPr="00A95203">
              <w:rPr>
                <w:sz w:val="24"/>
              </w:rPr>
              <w:t>C</w:t>
            </w:r>
            <w:r w:rsidRPr="00A95203">
              <w:rPr>
                <w:sz w:val="24"/>
              </w:rPr>
              <w:t>类基金份额</w:t>
            </w:r>
            <w:r w:rsidR="00B46B47">
              <w:rPr>
                <w:rFonts w:hint="eastAsia"/>
                <w:sz w:val="24"/>
              </w:rPr>
              <w:t>、</w:t>
            </w:r>
            <w:r w:rsidRPr="00A95203">
              <w:rPr>
                <w:sz w:val="24"/>
              </w:rPr>
              <w:t>交银双轮动</w:t>
            </w:r>
            <w:r w:rsidRPr="00A95203">
              <w:rPr>
                <w:sz w:val="24"/>
              </w:rPr>
              <w:t>C</w:t>
            </w:r>
            <w:r w:rsidRPr="00A95203">
              <w:rPr>
                <w:sz w:val="24"/>
              </w:rPr>
              <w:t>类基金份额</w:t>
            </w:r>
            <w:r w:rsidR="00B46B47">
              <w:rPr>
                <w:rFonts w:hint="eastAsia"/>
                <w:sz w:val="24"/>
              </w:rPr>
              <w:t>、</w:t>
            </w:r>
            <w:r w:rsidRPr="00A95203">
              <w:rPr>
                <w:sz w:val="24"/>
              </w:rPr>
              <w:t>交银月月丰</w:t>
            </w:r>
            <w:r w:rsidRPr="00A95203">
              <w:rPr>
                <w:sz w:val="24"/>
              </w:rPr>
              <w:t>C</w:t>
            </w:r>
            <w:r w:rsidRPr="00A95203">
              <w:rPr>
                <w:sz w:val="24"/>
              </w:rPr>
              <w:t>类基金份额</w:t>
            </w:r>
            <w:r w:rsidR="00B46B47">
              <w:rPr>
                <w:rFonts w:hint="eastAsia"/>
                <w:sz w:val="24"/>
              </w:rPr>
              <w:t>、</w:t>
            </w:r>
            <w:r w:rsidRPr="00A95203">
              <w:rPr>
                <w:sz w:val="24"/>
              </w:rPr>
              <w:t>交银强化回报</w:t>
            </w:r>
            <w:r w:rsidRPr="00A95203">
              <w:rPr>
                <w:sz w:val="24"/>
              </w:rPr>
              <w:t>C</w:t>
            </w:r>
            <w:r w:rsidRPr="00A95203">
              <w:rPr>
                <w:sz w:val="24"/>
              </w:rPr>
              <w:t>类基金份额</w:t>
            </w:r>
          </w:p>
        </w:tc>
        <w:tc>
          <w:tcPr>
            <w:tcW w:w="1726" w:type="dxa"/>
            <w:vMerge w:val="restart"/>
            <w:vAlign w:val="center"/>
            <w:hideMark/>
          </w:tcPr>
          <w:p w:rsidR="00C06670" w:rsidRPr="00A95203" w:rsidRDefault="00C06670" w:rsidP="00C06670">
            <w:pPr>
              <w:jc w:val="left"/>
              <w:rPr>
                <w:sz w:val="24"/>
              </w:rPr>
            </w:pPr>
            <w:r w:rsidRPr="00A95203">
              <w:rPr>
                <w:sz w:val="24"/>
              </w:rPr>
              <w:t>交银荣和保本</w:t>
            </w:r>
          </w:p>
        </w:tc>
        <w:tc>
          <w:tcPr>
            <w:tcW w:w="2738" w:type="dxa"/>
            <w:vAlign w:val="center"/>
            <w:hideMark/>
          </w:tcPr>
          <w:p w:rsidR="00C06670" w:rsidRPr="00A95203" w:rsidRDefault="00C06670" w:rsidP="00C75A65">
            <w:pPr>
              <w:tabs>
                <w:tab w:val="left" w:pos="420"/>
              </w:tabs>
              <w:jc w:val="center"/>
              <w:rPr>
                <w:sz w:val="24"/>
              </w:rPr>
            </w:pPr>
            <w:r w:rsidRPr="00A95203">
              <w:rPr>
                <w:sz w:val="24"/>
              </w:rPr>
              <w:t>50</w:t>
            </w:r>
            <w:r w:rsidRPr="00A95203">
              <w:rPr>
                <w:sz w:val="24"/>
              </w:rPr>
              <w:t>万元以下</w:t>
            </w:r>
          </w:p>
        </w:tc>
        <w:tc>
          <w:tcPr>
            <w:tcW w:w="1166" w:type="dxa"/>
            <w:vAlign w:val="center"/>
            <w:hideMark/>
          </w:tcPr>
          <w:p w:rsidR="00C06670" w:rsidRPr="00A95203" w:rsidRDefault="001356DC" w:rsidP="00C75A65">
            <w:pPr>
              <w:jc w:val="center"/>
              <w:rPr>
                <w:sz w:val="24"/>
              </w:rPr>
            </w:pPr>
            <w:r w:rsidRPr="00A95203">
              <w:rPr>
                <w:sz w:val="24"/>
              </w:rPr>
              <w:t>1.</w:t>
            </w:r>
            <w:r w:rsidR="00C06670" w:rsidRPr="00A95203">
              <w:rPr>
                <w:sz w:val="24"/>
              </w:rPr>
              <w:t>0%</w:t>
            </w:r>
          </w:p>
        </w:tc>
        <w:tc>
          <w:tcPr>
            <w:tcW w:w="1200" w:type="dxa"/>
            <w:vAlign w:val="center"/>
            <w:hideMark/>
          </w:tcPr>
          <w:p w:rsidR="00C06670" w:rsidRPr="00A95203" w:rsidRDefault="00C06670" w:rsidP="00E541BD">
            <w:pPr>
              <w:tabs>
                <w:tab w:val="left" w:pos="420"/>
              </w:tabs>
              <w:jc w:val="center"/>
              <w:rPr>
                <w:sz w:val="24"/>
              </w:rPr>
            </w:pPr>
            <w:r w:rsidRPr="00A95203">
              <w:rPr>
                <w:sz w:val="24"/>
              </w:rPr>
              <w:t>0.</w:t>
            </w:r>
            <w:r w:rsidR="00E541BD" w:rsidRPr="00A95203">
              <w:rPr>
                <w:sz w:val="24"/>
              </w:rPr>
              <w:t>10</w:t>
            </w:r>
            <w:r w:rsidRPr="00A95203">
              <w:rPr>
                <w:sz w:val="24"/>
              </w:rPr>
              <w:t>%</w:t>
            </w:r>
          </w:p>
        </w:tc>
      </w:tr>
      <w:tr w:rsidR="00C06670" w:rsidRPr="00A95203" w:rsidTr="00C75A65">
        <w:trPr>
          <w:trHeight w:val="255"/>
          <w:tblCellSpacing w:w="0" w:type="dxa"/>
        </w:trPr>
        <w:tc>
          <w:tcPr>
            <w:tcW w:w="1650" w:type="dxa"/>
            <w:vMerge/>
            <w:vAlign w:val="center"/>
            <w:hideMark/>
          </w:tcPr>
          <w:p w:rsidR="00C06670" w:rsidRPr="00A95203" w:rsidRDefault="00C06670" w:rsidP="00C75A65">
            <w:pPr>
              <w:jc w:val="left"/>
              <w:rPr>
                <w:sz w:val="24"/>
              </w:rPr>
            </w:pPr>
          </w:p>
        </w:tc>
        <w:tc>
          <w:tcPr>
            <w:tcW w:w="1726" w:type="dxa"/>
            <w:vMerge/>
            <w:vAlign w:val="center"/>
            <w:hideMark/>
          </w:tcPr>
          <w:p w:rsidR="00C06670" w:rsidRPr="00A95203" w:rsidRDefault="00C06670" w:rsidP="00C75A65">
            <w:pPr>
              <w:jc w:val="left"/>
              <w:rPr>
                <w:sz w:val="24"/>
              </w:rPr>
            </w:pPr>
          </w:p>
        </w:tc>
        <w:tc>
          <w:tcPr>
            <w:tcW w:w="2738" w:type="dxa"/>
            <w:vAlign w:val="center"/>
            <w:hideMark/>
          </w:tcPr>
          <w:p w:rsidR="00C06670" w:rsidRPr="00A95203" w:rsidRDefault="00C06670" w:rsidP="00C75A65">
            <w:pPr>
              <w:tabs>
                <w:tab w:val="left" w:pos="420"/>
              </w:tabs>
              <w:jc w:val="center"/>
              <w:rPr>
                <w:sz w:val="24"/>
              </w:rPr>
            </w:pPr>
            <w:r w:rsidRPr="00A95203">
              <w:rPr>
                <w:sz w:val="24"/>
              </w:rPr>
              <w:t>50</w:t>
            </w:r>
            <w:r w:rsidRPr="00A95203">
              <w:rPr>
                <w:sz w:val="24"/>
              </w:rPr>
              <w:t>万元（含）</w:t>
            </w:r>
            <w:r w:rsidRPr="00A95203">
              <w:rPr>
                <w:sz w:val="24"/>
              </w:rPr>
              <w:t>-100</w:t>
            </w:r>
            <w:r w:rsidRPr="00A95203">
              <w:rPr>
                <w:sz w:val="24"/>
              </w:rPr>
              <w:t>万元</w:t>
            </w:r>
          </w:p>
        </w:tc>
        <w:tc>
          <w:tcPr>
            <w:tcW w:w="1166" w:type="dxa"/>
            <w:vAlign w:val="center"/>
            <w:hideMark/>
          </w:tcPr>
          <w:p w:rsidR="00C06670" w:rsidRPr="00A95203" w:rsidRDefault="00C06670" w:rsidP="00E541BD">
            <w:pPr>
              <w:jc w:val="center"/>
              <w:rPr>
                <w:sz w:val="24"/>
              </w:rPr>
            </w:pPr>
            <w:r w:rsidRPr="00A95203">
              <w:rPr>
                <w:sz w:val="24"/>
              </w:rPr>
              <w:t>0.</w:t>
            </w:r>
            <w:r w:rsidR="00E541BD" w:rsidRPr="00A95203">
              <w:rPr>
                <w:sz w:val="24"/>
              </w:rPr>
              <w:t>80</w:t>
            </w:r>
            <w:r w:rsidRPr="00A95203">
              <w:rPr>
                <w:sz w:val="24"/>
              </w:rPr>
              <w:t>%</w:t>
            </w:r>
          </w:p>
        </w:tc>
        <w:tc>
          <w:tcPr>
            <w:tcW w:w="1200" w:type="dxa"/>
            <w:vAlign w:val="center"/>
            <w:hideMark/>
          </w:tcPr>
          <w:p w:rsidR="00C06670" w:rsidRPr="00A95203" w:rsidRDefault="00C06670" w:rsidP="00E541BD">
            <w:pPr>
              <w:tabs>
                <w:tab w:val="left" w:pos="420"/>
              </w:tabs>
              <w:jc w:val="center"/>
              <w:rPr>
                <w:sz w:val="24"/>
              </w:rPr>
            </w:pPr>
            <w:r w:rsidRPr="00A95203">
              <w:rPr>
                <w:sz w:val="24"/>
              </w:rPr>
              <w:t>0.0</w:t>
            </w:r>
            <w:r w:rsidR="00E541BD" w:rsidRPr="00A95203">
              <w:rPr>
                <w:sz w:val="24"/>
              </w:rPr>
              <w:t>8</w:t>
            </w:r>
            <w:r w:rsidRPr="00A95203">
              <w:rPr>
                <w:sz w:val="24"/>
              </w:rPr>
              <w:t>%</w:t>
            </w:r>
          </w:p>
        </w:tc>
      </w:tr>
      <w:tr w:rsidR="00C06670" w:rsidRPr="00A95203" w:rsidTr="00C75A65">
        <w:trPr>
          <w:trHeight w:val="255"/>
          <w:tblCellSpacing w:w="0" w:type="dxa"/>
        </w:trPr>
        <w:tc>
          <w:tcPr>
            <w:tcW w:w="1650" w:type="dxa"/>
            <w:vMerge/>
            <w:vAlign w:val="center"/>
            <w:hideMark/>
          </w:tcPr>
          <w:p w:rsidR="00C06670" w:rsidRPr="00A95203" w:rsidRDefault="00C06670" w:rsidP="00C75A65">
            <w:pPr>
              <w:jc w:val="left"/>
              <w:rPr>
                <w:sz w:val="24"/>
              </w:rPr>
            </w:pPr>
          </w:p>
        </w:tc>
        <w:tc>
          <w:tcPr>
            <w:tcW w:w="1726" w:type="dxa"/>
            <w:vMerge/>
            <w:vAlign w:val="center"/>
            <w:hideMark/>
          </w:tcPr>
          <w:p w:rsidR="00C06670" w:rsidRPr="00A95203" w:rsidRDefault="00C06670" w:rsidP="00C75A65">
            <w:pPr>
              <w:jc w:val="left"/>
              <w:rPr>
                <w:sz w:val="24"/>
              </w:rPr>
            </w:pPr>
          </w:p>
        </w:tc>
        <w:tc>
          <w:tcPr>
            <w:tcW w:w="2738" w:type="dxa"/>
            <w:vAlign w:val="center"/>
            <w:hideMark/>
          </w:tcPr>
          <w:p w:rsidR="00C06670" w:rsidRPr="00A95203" w:rsidRDefault="00C06670" w:rsidP="00C75A65">
            <w:pPr>
              <w:tabs>
                <w:tab w:val="left" w:pos="420"/>
              </w:tabs>
              <w:jc w:val="center"/>
              <w:rPr>
                <w:sz w:val="24"/>
              </w:rPr>
            </w:pPr>
            <w:r w:rsidRPr="00A95203">
              <w:rPr>
                <w:sz w:val="24"/>
              </w:rPr>
              <w:t>100</w:t>
            </w:r>
            <w:r w:rsidRPr="00A95203">
              <w:rPr>
                <w:sz w:val="24"/>
              </w:rPr>
              <w:t>万元（含）</w:t>
            </w:r>
            <w:r w:rsidRPr="00A95203">
              <w:rPr>
                <w:sz w:val="24"/>
              </w:rPr>
              <w:t>-200</w:t>
            </w:r>
            <w:r w:rsidRPr="00A95203">
              <w:rPr>
                <w:sz w:val="24"/>
              </w:rPr>
              <w:t>万元</w:t>
            </w:r>
          </w:p>
        </w:tc>
        <w:tc>
          <w:tcPr>
            <w:tcW w:w="1166" w:type="dxa"/>
            <w:vAlign w:val="center"/>
            <w:hideMark/>
          </w:tcPr>
          <w:p w:rsidR="00C06670" w:rsidRPr="00A95203" w:rsidRDefault="00C06670" w:rsidP="00E541BD">
            <w:pPr>
              <w:jc w:val="center"/>
              <w:rPr>
                <w:sz w:val="24"/>
              </w:rPr>
            </w:pPr>
            <w:r w:rsidRPr="00A95203">
              <w:rPr>
                <w:sz w:val="24"/>
              </w:rPr>
              <w:t>0.</w:t>
            </w:r>
            <w:r w:rsidR="00E541BD" w:rsidRPr="00A95203">
              <w:rPr>
                <w:sz w:val="24"/>
              </w:rPr>
              <w:t>6</w:t>
            </w:r>
            <w:r w:rsidRPr="00A95203">
              <w:rPr>
                <w:sz w:val="24"/>
              </w:rPr>
              <w:t>0%</w:t>
            </w:r>
          </w:p>
        </w:tc>
        <w:tc>
          <w:tcPr>
            <w:tcW w:w="1200" w:type="dxa"/>
            <w:vAlign w:val="center"/>
            <w:hideMark/>
          </w:tcPr>
          <w:p w:rsidR="00C06670" w:rsidRPr="00A95203" w:rsidRDefault="00C06670" w:rsidP="00E541BD">
            <w:pPr>
              <w:tabs>
                <w:tab w:val="left" w:pos="420"/>
              </w:tabs>
              <w:jc w:val="center"/>
              <w:rPr>
                <w:sz w:val="24"/>
              </w:rPr>
            </w:pPr>
            <w:r w:rsidRPr="00A95203">
              <w:rPr>
                <w:sz w:val="24"/>
              </w:rPr>
              <w:t>0.0</w:t>
            </w:r>
            <w:r w:rsidR="00E541BD" w:rsidRPr="00A95203">
              <w:rPr>
                <w:sz w:val="24"/>
              </w:rPr>
              <w:t>6</w:t>
            </w:r>
            <w:r w:rsidRPr="00A95203">
              <w:rPr>
                <w:sz w:val="24"/>
              </w:rPr>
              <w:t>%</w:t>
            </w:r>
          </w:p>
        </w:tc>
      </w:tr>
      <w:tr w:rsidR="00C06670" w:rsidRPr="00A95203" w:rsidTr="00C75A65">
        <w:trPr>
          <w:trHeight w:val="255"/>
          <w:tblCellSpacing w:w="0" w:type="dxa"/>
        </w:trPr>
        <w:tc>
          <w:tcPr>
            <w:tcW w:w="1650" w:type="dxa"/>
            <w:vMerge/>
            <w:vAlign w:val="center"/>
            <w:hideMark/>
          </w:tcPr>
          <w:p w:rsidR="00C06670" w:rsidRPr="00A95203" w:rsidRDefault="00C06670" w:rsidP="00C75A65">
            <w:pPr>
              <w:jc w:val="left"/>
              <w:rPr>
                <w:sz w:val="24"/>
              </w:rPr>
            </w:pPr>
          </w:p>
        </w:tc>
        <w:tc>
          <w:tcPr>
            <w:tcW w:w="1726" w:type="dxa"/>
            <w:vMerge/>
            <w:vAlign w:val="center"/>
            <w:hideMark/>
          </w:tcPr>
          <w:p w:rsidR="00C06670" w:rsidRPr="00A95203" w:rsidRDefault="00C06670" w:rsidP="00C75A65">
            <w:pPr>
              <w:jc w:val="left"/>
              <w:rPr>
                <w:sz w:val="24"/>
              </w:rPr>
            </w:pPr>
          </w:p>
        </w:tc>
        <w:tc>
          <w:tcPr>
            <w:tcW w:w="2738" w:type="dxa"/>
            <w:vAlign w:val="center"/>
            <w:hideMark/>
          </w:tcPr>
          <w:p w:rsidR="00C06670" w:rsidRPr="00A95203" w:rsidRDefault="00C06670" w:rsidP="00C75A65">
            <w:pPr>
              <w:tabs>
                <w:tab w:val="left" w:pos="420"/>
              </w:tabs>
              <w:jc w:val="center"/>
              <w:rPr>
                <w:sz w:val="24"/>
              </w:rPr>
            </w:pPr>
            <w:r w:rsidRPr="00A95203">
              <w:rPr>
                <w:sz w:val="24"/>
              </w:rPr>
              <w:t>200</w:t>
            </w:r>
            <w:r w:rsidRPr="00A95203">
              <w:rPr>
                <w:sz w:val="24"/>
              </w:rPr>
              <w:t>万元（含）</w:t>
            </w:r>
            <w:r w:rsidRPr="00A95203">
              <w:rPr>
                <w:sz w:val="24"/>
              </w:rPr>
              <w:t>-500</w:t>
            </w:r>
            <w:r w:rsidRPr="00A95203">
              <w:rPr>
                <w:sz w:val="24"/>
              </w:rPr>
              <w:t>万元</w:t>
            </w:r>
          </w:p>
        </w:tc>
        <w:tc>
          <w:tcPr>
            <w:tcW w:w="1166" w:type="dxa"/>
            <w:vAlign w:val="center"/>
            <w:hideMark/>
          </w:tcPr>
          <w:p w:rsidR="00C06670" w:rsidRPr="00A95203" w:rsidRDefault="00C06670" w:rsidP="00E541BD">
            <w:pPr>
              <w:jc w:val="center"/>
              <w:rPr>
                <w:sz w:val="24"/>
              </w:rPr>
            </w:pPr>
            <w:r w:rsidRPr="00A95203">
              <w:rPr>
                <w:sz w:val="24"/>
              </w:rPr>
              <w:t>0.</w:t>
            </w:r>
            <w:r w:rsidR="00E541BD" w:rsidRPr="00A95203">
              <w:rPr>
                <w:sz w:val="24"/>
              </w:rPr>
              <w:t>4</w:t>
            </w:r>
            <w:r w:rsidRPr="00A95203">
              <w:rPr>
                <w:sz w:val="24"/>
              </w:rPr>
              <w:t>0%</w:t>
            </w:r>
          </w:p>
        </w:tc>
        <w:tc>
          <w:tcPr>
            <w:tcW w:w="1200" w:type="dxa"/>
            <w:vAlign w:val="center"/>
            <w:hideMark/>
          </w:tcPr>
          <w:p w:rsidR="00C06670" w:rsidRPr="00A95203" w:rsidRDefault="00C06670" w:rsidP="00E541BD">
            <w:pPr>
              <w:tabs>
                <w:tab w:val="left" w:pos="420"/>
              </w:tabs>
              <w:jc w:val="center"/>
              <w:rPr>
                <w:sz w:val="24"/>
              </w:rPr>
            </w:pPr>
            <w:r w:rsidRPr="00A95203">
              <w:rPr>
                <w:sz w:val="24"/>
              </w:rPr>
              <w:t>0.0</w:t>
            </w:r>
            <w:r w:rsidR="00E541BD" w:rsidRPr="00A95203">
              <w:rPr>
                <w:sz w:val="24"/>
              </w:rPr>
              <w:t>4</w:t>
            </w:r>
            <w:r w:rsidRPr="00A95203">
              <w:rPr>
                <w:sz w:val="24"/>
              </w:rPr>
              <w:t>%</w:t>
            </w:r>
          </w:p>
        </w:tc>
      </w:tr>
      <w:tr w:rsidR="00C06670" w:rsidRPr="00A95203" w:rsidTr="00C75A65">
        <w:trPr>
          <w:trHeight w:val="255"/>
          <w:tblCellSpacing w:w="0" w:type="dxa"/>
        </w:trPr>
        <w:tc>
          <w:tcPr>
            <w:tcW w:w="1650" w:type="dxa"/>
            <w:vMerge/>
            <w:vAlign w:val="center"/>
            <w:hideMark/>
          </w:tcPr>
          <w:p w:rsidR="00C06670" w:rsidRPr="00A95203" w:rsidRDefault="00C06670" w:rsidP="00C75A65">
            <w:pPr>
              <w:jc w:val="left"/>
              <w:rPr>
                <w:sz w:val="24"/>
              </w:rPr>
            </w:pPr>
          </w:p>
        </w:tc>
        <w:tc>
          <w:tcPr>
            <w:tcW w:w="1726" w:type="dxa"/>
            <w:vMerge/>
            <w:vAlign w:val="center"/>
            <w:hideMark/>
          </w:tcPr>
          <w:p w:rsidR="00C06670" w:rsidRPr="00A95203" w:rsidRDefault="00C06670" w:rsidP="00C75A65">
            <w:pPr>
              <w:jc w:val="left"/>
              <w:rPr>
                <w:sz w:val="24"/>
              </w:rPr>
            </w:pPr>
          </w:p>
        </w:tc>
        <w:tc>
          <w:tcPr>
            <w:tcW w:w="2738" w:type="dxa"/>
            <w:vAlign w:val="center"/>
            <w:hideMark/>
          </w:tcPr>
          <w:p w:rsidR="00C06670" w:rsidRPr="00A95203" w:rsidRDefault="00C06670" w:rsidP="00C75A65">
            <w:pPr>
              <w:tabs>
                <w:tab w:val="left" w:pos="420"/>
              </w:tabs>
              <w:jc w:val="center"/>
              <w:rPr>
                <w:sz w:val="24"/>
              </w:rPr>
            </w:pPr>
            <w:r w:rsidRPr="00A95203">
              <w:rPr>
                <w:sz w:val="24"/>
              </w:rPr>
              <w:t>500</w:t>
            </w:r>
            <w:r w:rsidRPr="00A95203">
              <w:rPr>
                <w:sz w:val="24"/>
              </w:rPr>
              <w:t>万元（含）以上</w:t>
            </w:r>
          </w:p>
        </w:tc>
        <w:tc>
          <w:tcPr>
            <w:tcW w:w="1166" w:type="dxa"/>
            <w:vAlign w:val="center"/>
            <w:hideMark/>
          </w:tcPr>
          <w:p w:rsidR="00C06670" w:rsidRPr="00A95203" w:rsidRDefault="00C06670" w:rsidP="00C75A65">
            <w:pPr>
              <w:jc w:val="center"/>
              <w:rPr>
                <w:sz w:val="24"/>
              </w:rPr>
            </w:pPr>
            <w:r w:rsidRPr="00A95203">
              <w:rPr>
                <w:sz w:val="24"/>
              </w:rPr>
              <w:t>1000</w:t>
            </w:r>
            <w:r w:rsidRPr="00A95203">
              <w:rPr>
                <w:sz w:val="24"/>
              </w:rPr>
              <w:t>元</w:t>
            </w:r>
            <w:r w:rsidRPr="00A95203">
              <w:rPr>
                <w:sz w:val="24"/>
              </w:rPr>
              <w:t>/</w:t>
            </w:r>
            <w:r w:rsidRPr="00A95203">
              <w:rPr>
                <w:sz w:val="24"/>
              </w:rPr>
              <w:t>笔</w:t>
            </w:r>
          </w:p>
        </w:tc>
        <w:tc>
          <w:tcPr>
            <w:tcW w:w="1200" w:type="dxa"/>
            <w:vAlign w:val="center"/>
            <w:hideMark/>
          </w:tcPr>
          <w:p w:rsidR="00C06670" w:rsidRPr="00A95203" w:rsidRDefault="00C06670" w:rsidP="00C75A65">
            <w:pPr>
              <w:tabs>
                <w:tab w:val="left" w:pos="420"/>
              </w:tabs>
              <w:jc w:val="center"/>
              <w:rPr>
                <w:sz w:val="24"/>
              </w:rPr>
            </w:pPr>
            <w:r w:rsidRPr="00A95203">
              <w:rPr>
                <w:sz w:val="24"/>
              </w:rPr>
              <w:t>1000</w:t>
            </w:r>
            <w:r w:rsidRPr="00A95203">
              <w:rPr>
                <w:sz w:val="24"/>
              </w:rPr>
              <w:t>元</w:t>
            </w:r>
            <w:r w:rsidRPr="00A95203">
              <w:rPr>
                <w:sz w:val="24"/>
              </w:rPr>
              <w:t>/</w:t>
            </w:r>
            <w:r w:rsidRPr="00A95203">
              <w:rPr>
                <w:sz w:val="24"/>
              </w:rPr>
              <w:t>笔</w:t>
            </w:r>
          </w:p>
        </w:tc>
      </w:tr>
      <w:tr w:rsidR="00A662F5" w:rsidRPr="00A95203" w:rsidTr="00D14546">
        <w:trPr>
          <w:trHeight w:val="255"/>
          <w:tblCellSpacing w:w="0" w:type="dxa"/>
        </w:trPr>
        <w:tc>
          <w:tcPr>
            <w:tcW w:w="1650" w:type="dxa"/>
            <w:vMerge w:val="restart"/>
            <w:vAlign w:val="center"/>
            <w:hideMark/>
          </w:tcPr>
          <w:p w:rsidR="00A662F5" w:rsidRPr="00A95203" w:rsidRDefault="00A662F5" w:rsidP="00B46B47">
            <w:pPr>
              <w:tabs>
                <w:tab w:val="left" w:pos="420"/>
              </w:tabs>
              <w:jc w:val="left"/>
              <w:rPr>
                <w:sz w:val="24"/>
              </w:rPr>
            </w:pPr>
            <w:r w:rsidRPr="00A95203">
              <w:rPr>
                <w:sz w:val="24"/>
              </w:rPr>
              <w:t>交银货币</w:t>
            </w:r>
            <w:r w:rsidR="00B46B47">
              <w:rPr>
                <w:rFonts w:hint="eastAsia"/>
                <w:sz w:val="24"/>
              </w:rPr>
              <w:t>、</w:t>
            </w:r>
            <w:r w:rsidRPr="00A95203">
              <w:rPr>
                <w:sz w:val="24"/>
              </w:rPr>
              <w:t>交银增利</w:t>
            </w:r>
            <w:r w:rsidRPr="00A95203">
              <w:rPr>
                <w:sz w:val="24"/>
              </w:rPr>
              <w:t>C</w:t>
            </w:r>
            <w:r w:rsidRPr="00A95203">
              <w:rPr>
                <w:sz w:val="24"/>
              </w:rPr>
              <w:t>类基金份额</w:t>
            </w:r>
            <w:r w:rsidR="00B46B47">
              <w:rPr>
                <w:rFonts w:hint="eastAsia"/>
                <w:sz w:val="24"/>
              </w:rPr>
              <w:t>、</w:t>
            </w:r>
            <w:r w:rsidRPr="00A95203">
              <w:rPr>
                <w:sz w:val="24"/>
              </w:rPr>
              <w:t>交银双利</w:t>
            </w:r>
            <w:r w:rsidRPr="00A95203">
              <w:rPr>
                <w:sz w:val="24"/>
              </w:rPr>
              <w:t>C</w:t>
            </w:r>
            <w:r w:rsidRPr="00A95203">
              <w:rPr>
                <w:sz w:val="24"/>
              </w:rPr>
              <w:t>类基金份额</w:t>
            </w:r>
            <w:r w:rsidR="00B46B47">
              <w:rPr>
                <w:rFonts w:hint="eastAsia"/>
                <w:sz w:val="24"/>
              </w:rPr>
              <w:t>、</w:t>
            </w:r>
            <w:r w:rsidRPr="00A95203">
              <w:rPr>
                <w:sz w:val="24"/>
              </w:rPr>
              <w:t>交银纯债</w:t>
            </w:r>
            <w:r w:rsidRPr="00A95203">
              <w:rPr>
                <w:sz w:val="24"/>
              </w:rPr>
              <w:t>C</w:t>
            </w:r>
            <w:r w:rsidRPr="00A95203">
              <w:rPr>
                <w:sz w:val="24"/>
              </w:rPr>
              <w:t>类基金份额</w:t>
            </w:r>
            <w:r w:rsidR="00B46B47">
              <w:rPr>
                <w:rFonts w:hint="eastAsia"/>
                <w:sz w:val="24"/>
              </w:rPr>
              <w:t>、</w:t>
            </w:r>
            <w:r w:rsidRPr="00A95203">
              <w:rPr>
                <w:sz w:val="24"/>
              </w:rPr>
              <w:t>交银双轮动</w:t>
            </w:r>
            <w:r w:rsidRPr="00A95203">
              <w:rPr>
                <w:sz w:val="24"/>
              </w:rPr>
              <w:t>C</w:t>
            </w:r>
            <w:r w:rsidRPr="00A95203">
              <w:rPr>
                <w:sz w:val="24"/>
              </w:rPr>
              <w:t>类基金份额</w:t>
            </w:r>
            <w:r w:rsidR="00B46B47">
              <w:rPr>
                <w:rFonts w:hint="eastAsia"/>
                <w:sz w:val="24"/>
              </w:rPr>
              <w:t>、</w:t>
            </w:r>
            <w:r w:rsidRPr="00A95203">
              <w:rPr>
                <w:sz w:val="24"/>
              </w:rPr>
              <w:t>交银月月丰</w:t>
            </w:r>
            <w:r w:rsidRPr="00A95203">
              <w:rPr>
                <w:sz w:val="24"/>
              </w:rPr>
              <w:t>C</w:t>
            </w:r>
            <w:r w:rsidRPr="00A95203">
              <w:rPr>
                <w:sz w:val="24"/>
              </w:rPr>
              <w:t>类基金份额</w:t>
            </w:r>
            <w:r w:rsidR="00B46B47">
              <w:rPr>
                <w:rFonts w:hint="eastAsia"/>
                <w:sz w:val="24"/>
              </w:rPr>
              <w:t>、</w:t>
            </w:r>
            <w:r w:rsidRPr="00A95203">
              <w:rPr>
                <w:sz w:val="24"/>
              </w:rPr>
              <w:t>交银强化回报</w:t>
            </w:r>
            <w:r w:rsidRPr="00A95203">
              <w:rPr>
                <w:sz w:val="24"/>
              </w:rPr>
              <w:t>C</w:t>
            </w:r>
            <w:r w:rsidRPr="00A95203">
              <w:rPr>
                <w:sz w:val="24"/>
              </w:rPr>
              <w:t>类基金份额</w:t>
            </w:r>
          </w:p>
        </w:tc>
        <w:tc>
          <w:tcPr>
            <w:tcW w:w="1726" w:type="dxa"/>
            <w:vMerge w:val="restart"/>
            <w:vAlign w:val="center"/>
            <w:hideMark/>
          </w:tcPr>
          <w:p w:rsidR="00A662F5" w:rsidRPr="00A95203" w:rsidRDefault="00A662F5" w:rsidP="0056105D">
            <w:pPr>
              <w:jc w:val="left"/>
              <w:rPr>
                <w:sz w:val="24"/>
              </w:rPr>
            </w:pPr>
            <w:r w:rsidRPr="00A95203">
              <w:rPr>
                <w:sz w:val="24"/>
              </w:rPr>
              <w:t>交银</w:t>
            </w:r>
            <w:r>
              <w:rPr>
                <w:rFonts w:hint="eastAsia"/>
                <w:sz w:val="24"/>
              </w:rPr>
              <w:t>科技创新</w:t>
            </w:r>
          </w:p>
        </w:tc>
        <w:tc>
          <w:tcPr>
            <w:tcW w:w="2738" w:type="dxa"/>
            <w:hideMark/>
          </w:tcPr>
          <w:p w:rsidR="00A662F5" w:rsidRPr="00A95203" w:rsidRDefault="00A662F5" w:rsidP="00D14546">
            <w:pPr>
              <w:tabs>
                <w:tab w:val="left" w:pos="420"/>
              </w:tabs>
              <w:jc w:val="center"/>
              <w:rPr>
                <w:sz w:val="24"/>
              </w:rPr>
            </w:pPr>
            <w:r w:rsidRPr="00910B71">
              <w:rPr>
                <w:rFonts w:hint="eastAsia"/>
                <w:sz w:val="24"/>
              </w:rPr>
              <w:t>100</w:t>
            </w:r>
            <w:r w:rsidRPr="00910B71">
              <w:rPr>
                <w:rFonts w:hAnsi="宋体"/>
                <w:sz w:val="24"/>
              </w:rPr>
              <w:t>万元以下</w:t>
            </w:r>
          </w:p>
        </w:tc>
        <w:tc>
          <w:tcPr>
            <w:tcW w:w="1166" w:type="dxa"/>
            <w:hideMark/>
          </w:tcPr>
          <w:p w:rsidR="00A662F5" w:rsidRPr="00A95203" w:rsidRDefault="00A662F5" w:rsidP="00D14546">
            <w:pPr>
              <w:jc w:val="center"/>
              <w:rPr>
                <w:sz w:val="24"/>
              </w:rPr>
            </w:pPr>
            <w:r w:rsidRPr="00910B71">
              <w:rPr>
                <w:sz w:val="24"/>
              </w:rPr>
              <w:t>1.5%</w:t>
            </w:r>
          </w:p>
        </w:tc>
        <w:tc>
          <w:tcPr>
            <w:tcW w:w="1200" w:type="dxa"/>
            <w:vAlign w:val="center"/>
            <w:hideMark/>
          </w:tcPr>
          <w:p w:rsidR="00A662F5" w:rsidRPr="00A95203" w:rsidRDefault="00A662F5" w:rsidP="00A662F5">
            <w:pPr>
              <w:tabs>
                <w:tab w:val="left" w:pos="420"/>
              </w:tabs>
              <w:jc w:val="center"/>
              <w:rPr>
                <w:sz w:val="24"/>
              </w:rPr>
            </w:pPr>
            <w:r w:rsidRPr="00A95203">
              <w:rPr>
                <w:sz w:val="24"/>
              </w:rPr>
              <w:t>0.1</w:t>
            </w:r>
            <w:r>
              <w:rPr>
                <w:rFonts w:hint="eastAsia"/>
                <w:sz w:val="24"/>
              </w:rPr>
              <w:t>5</w:t>
            </w:r>
            <w:r w:rsidRPr="00A95203">
              <w:rPr>
                <w:sz w:val="24"/>
              </w:rPr>
              <w:t>%</w:t>
            </w:r>
          </w:p>
        </w:tc>
      </w:tr>
      <w:tr w:rsidR="00A662F5" w:rsidRPr="00A95203" w:rsidTr="00D14546">
        <w:trPr>
          <w:trHeight w:val="255"/>
          <w:tblCellSpacing w:w="0" w:type="dxa"/>
        </w:trPr>
        <w:tc>
          <w:tcPr>
            <w:tcW w:w="1650" w:type="dxa"/>
            <w:vMerge/>
            <w:vAlign w:val="center"/>
            <w:hideMark/>
          </w:tcPr>
          <w:p w:rsidR="00A662F5" w:rsidRPr="00A95203" w:rsidRDefault="00A662F5" w:rsidP="00D14546">
            <w:pPr>
              <w:jc w:val="left"/>
              <w:rPr>
                <w:sz w:val="24"/>
              </w:rPr>
            </w:pPr>
          </w:p>
        </w:tc>
        <w:tc>
          <w:tcPr>
            <w:tcW w:w="1726" w:type="dxa"/>
            <w:vMerge/>
            <w:vAlign w:val="center"/>
            <w:hideMark/>
          </w:tcPr>
          <w:p w:rsidR="00A662F5" w:rsidRPr="00A95203" w:rsidRDefault="00A662F5" w:rsidP="00D14546">
            <w:pPr>
              <w:jc w:val="left"/>
              <w:rPr>
                <w:sz w:val="24"/>
              </w:rPr>
            </w:pPr>
          </w:p>
        </w:tc>
        <w:tc>
          <w:tcPr>
            <w:tcW w:w="2738" w:type="dxa"/>
            <w:hideMark/>
          </w:tcPr>
          <w:p w:rsidR="00A662F5" w:rsidRPr="00A95203" w:rsidRDefault="00A662F5" w:rsidP="00D14546">
            <w:pPr>
              <w:tabs>
                <w:tab w:val="left" w:pos="420"/>
              </w:tabs>
              <w:jc w:val="center"/>
              <w:rPr>
                <w:sz w:val="24"/>
              </w:rPr>
            </w:pPr>
            <w:r w:rsidRPr="00910B71">
              <w:rPr>
                <w:sz w:val="24"/>
              </w:rPr>
              <w:t>100</w:t>
            </w:r>
            <w:r w:rsidRPr="00910B71">
              <w:rPr>
                <w:rFonts w:hAnsi="宋体"/>
                <w:sz w:val="24"/>
              </w:rPr>
              <w:t>万元（含）至</w:t>
            </w:r>
            <w:r w:rsidRPr="00910B71">
              <w:rPr>
                <w:sz w:val="24"/>
              </w:rPr>
              <w:t>200</w:t>
            </w:r>
            <w:r w:rsidRPr="00910B71">
              <w:rPr>
                <w:rFonts w:hAnsi="宋体"/>
                <w:sz w:val="24"/>
              </w:rPr>
              <w:t>万元</w:t>
            </w:r>
          </w:p>
        </w:tc>
        <w:tc>
          <w:tcPr>
            <w:tcW w:w="1166" w:type="dxa"/>
            <w:hideMark/>
          </w:tcPr>
          <w:p w:rsidR="00A662F5" w:rsidRPr="00A95203" w:rsidRDefault="00A662F5" w:rsidP="00D14546">
            <w:pPr>
              <w:jc w:val="center"/>
              <w:rPr>
                <w:sz w:val="24"/>
              </w:rPr>
            </w:pPr>
            <w:r w:rsidRPr="00910B71">
              <w:rPr>
                <w:rFonts w:hint="eastAsia"/>
                <w:sz w:val="24"/>
              </w:rPr>
              <w:t>1.2</w:t>
            </w:r>
            <w:r w:rsidRPr="00910B71">
              <w:rPr>
                <w:sz w:val="24"/>
              </w:rPr>
              <w:t>%</w:t>
            </w:r>
          </w:p>
        </w:tc>
        <w:tc>
          <w:tcPr>
            <w:tcW w:w="1200" w:type="dxa"/>
            <w:vAlign w:val="center"/>
            <w:hideMark/>
          </w:tcPr>
          <w:p w:rsidR="00A662F5" w:rsidRPr="00A95203" w:rsidRDefault="00A662F5" w:rsidP="00A662F5">
            <w:pPr>
              <w:tabs>
                <w:tab w:val="left" w:pos="420"/>
              </w:tabs>
              <w:jc w:val="center"/>
              <w:rPr>
                <w:sz w:val="24"/>
              </w:rPr>
            </w:pPr>
            <w:r w:rsidRPr="00A95203">
              <w:rPr>
                <w:sz w:val="24"/>
              </w:rPr>
              <w:t>0.</w:t>
            </w:r>
            <w:r>
              <w:rPr>
                <w:rFonts w:hint="eastAsia"/>
                <w:sz w:val="24"/>
              </w:rPr>
              <w:t>12</w:t>
            </w:r>
            <w:r w:rsidRPr="00A95203">
              <w:rPr>
                <w:sz w:val="24"/>
              </w:rPr>
              <w:t>%</w:t>
            </w:r>
          </w:p>
        </w:tc>
      </w:tr>
      <w:tr w:rsidR="00A662F5" w:rsidRPr="00A95203" w:rsidTr="00D14546">
        <w:trPr>
          <w:trHeight w:val="255"/>
          <w:tblCellSpacing w:w="0" w:type="dxa"/>
        </w:trPr>
        <w:tc>
          <w:tcPr>
            <w:tcW w:w="1650" w:type="dxa"/>
            <w:vMerge/>
            <w:vAlign w:val="center"/>
            <w:hideMark/>
          </w:tcPr>
          <w:p w:rsidR="00A662F5" w:rsidRPr="00A95203" w:rsidRDefault="00A662F5" w:rsidP="00D14546">
            <w:pPr>
              <w:jc w:val="left"/>
              <w:rPr>
                <w:sz w:val="24"/>
              </w:rPr>
            </w:pPr>
          </w:p>
        </w:tc>
        <w:tc>
          <w:tcPr>
            <w:tcW w:w="1726" w:type="dxa"/>
            <w:vMerge/>
            <w:vAlign w:val="center"/>
            <w:hideMark/>
          </w:tcPr>
          <w:p w:rsidR="00A662F5" w:rsidRPr="00A95203" w:rsidRDefault="00A662F5" w:rsidP="00D14546">
            <w:pPr>
              <w:jc w:val="left"/>
              <w:rPr>
                <w:sz w:val="24"/>
              </w:rPr>
            </w:pPr>
          </w:p>
        </w:tc>
        <w:tc>
          <w:tcPr>
            <w:tcW w:w="2738" w:type="dxa"/>
            <w:hideMark/>
          </w:tcPr>
          <w:p w:rsidR="00A662F5" w:rsidRPr="00A95203" w:rsidRDefault="00A662F5" w:rsidP="00D14546">
            <w:pPr>
              <w:tabs>
                <w:tab w:val="left" w:pos="420"/>
              </w:tabs>
              <w:jc w:val="center"/>
              <w:rPr>
                <w:sz w:val="24"/>
              </w:rPr>
            </w:pPr>
            <w:r w:rsidRPr="00910B71">
              <w:rPr>
                <w:sz w:val="24"/>
              </w:rPr>
              <w:t>200</w:t>
            </w:r>
            <w:r w:rsidRPr="00910B71">
              <w:rPr>
                <w:rFonts w:hAnsi="宋体"/>
                <w:sz w:val="24"/>
              </w:rPr>
              <w:t>万元（含）至</w:t>
            </w:r>
            <w:r w:rsidRPr="00910B71">
              <w:rPr>
                <w:sz w:val="24"/>
              </w:rPr>
              <w:t>500</w:t>
            </w:r>
            <w:r w:rsidRPr="00910B71">
              <w:rPr>
                <w:rFonts w:hAnsi="宋体"/>
                <w:sz w:val="24"/>
              </w:rPr>
              <w:t>万元</w:t>
            </w:r>
          </w:p>
        </w:tc>
        <w:tc>
          <w:tcPr>
            <w:tcW w:w="1166" w:type="dxa"/>
            <w:hideMark/>
          </w:tcPr>
          <w:p w:rsidR="00A662F5" w:rsidRPr="00A95203" w:rsidRDefault="00A662F5" w:rsidP="00D14546">
            <w:pPr>
              <w:jc w:val="center"/>
              <w:rPr>
                <w:sz w:val="24"/>
              </w:rPr>
            </w:pPr>
            <w:r w:rsidRPr="00910B71">
              <w:rPr>
                <w:sz w:val="24"/>
              </w:rPr>
              <w:t>0.5%</w:t>
            </w:r>
          </w:p>
        </w:tc>
        <w:tc>
          <w:tcPr>
            <w:tcW w:w="1200" w:type="dxa"/>
            <w:vAlign w:val="center"/>
            <w:hideMark/>
          </w:tcPr>
          <w:p w:rsidR="00A662F5" w:rsidRPr="00A95203" w:rsidRDefault="00A662F5" w:rsidP="00A662F5">
            <w:pPr>
              <w:tabs>
                <w:tab w:val="left" w:pos="420"/>
              </w:tabs>
              <w:jc w:val="center"/>
              <w:rPr>
                <w:sz w:val="24"/>
              </w:rPr>
            </w:pPr>
            <w:r w:rsidRPr="00A95203">
              <w:rPr>
                <w:sz w:val="24"/>
              </w:rPr>
              <w:t>0.0</w:t>
            </w:r>
            <w:r>
              <w:rPr>
                <w:rFonts w:hint="eastAsia"/>
                <w:sz w:val="24"/>
              </w:rPr>
              <w:t>5</w:t>
            </w:r>
            <w:r w:rsidRPr="00A95203">
              <w:rPr>
                <w:sz w:val="24"/>
              </w:rPr>
              <w:t>%</w:t>
            </w:r>
          </w:p>
        </w:tc>
      </w:tr>
      <w:tr w:rsidR="0056105D" w:rsidRPr="00A95203" w:rsidTr="00D14546">
        <w:trPr>
          <w:trHeight w:val="255"/>
          <w:tblCellSpacing w:w="0" w:type="dxa"/>
        </w:trPr>
        <w:tc>
          <w:tcPr>
            <w:tcW w:w="1650" w:type="dxa"/>
            <w:vMerge/>
            <w:vAlign w:val="center"/>
            <w:hideMark/>
          </w:tcPr>
          <w:p w:rsidR="0056105D" w:rsidRPr="00A95203" w:rsidRDefault="0056105D" w:rsidP="00D14546">
            <w:pPr>
              <w:jc w:val="left"/>
              <w:rPr>
                <w:sz w:val="24"/>
              </w:rPr>
            </w:pPr>
          </w:p>
        </w:tc>
        <w:tc>
          <w:tcPr>
            <w:tcW w:w="1726" w:type="dxa"/>
            <w:vMerge/>
            <w:vAlign w:val="center"/>
            <w:hideMark/>
          </w:tcPr>
          <w:p w:rsidR="0056105D" w:rsidRPr="00A95203" w:rsidRDefault="0056105D" w:rsidP="00D14546">
            <w:pPr>
              <w:jc w:val="left"/>
              <w:rPr>
                <w:sz w:val="24"/>
              </w:rPr>
            </w:pPr>
          </w:p>
        </w:tc>
        <w:tc>
          <w:tcPr>
            <w:tcW w:w="2738" w:type="dxa"/>
            <w:vAlign w:val="center"/>
            <w:hideMark/>
          </w:tcPr>
          <w:p w:rsidR="0056105D" w:rsidRPr="00A95203" w:rsidRDefault="0056105D" w:rsidP="00D14546">
            <w:pPr>
              <w:tabs>
                <w:tab w:val="left" w:pos="420"/>
              </w:tabs>
              <w:jc w:val="center"/>
              <w:rPr>
                <w:sz w:val="24"/>
              </w:rPr>
            </w:pPr>
            <w:r w:rsidRPr="00A95203">
              <w:rPr>
                <w:sz w:val="24"/>
              </w:rPr>
              <w:t>500</w:t>
            </w:r>
            <w:r w:rsidRPr="00A95203">
              <w:rPr>
                <w:sz w:val="24"/>
              </w:rPr>
              <w:t>万元（含）以上</w:t>
            </w:r>
          </w:p>
        </w:tc>
        <w:tc>
          <w:tcPr>
            <w:tcW w:w="1166" w:type="dxa"/>
            <w:vAlign w:val="center"/>
            <w:hideMark/>
          </w:tcPr>
          <w:p w:rsidR="0056105D" w:rsidRPr="00A95203" w:rsidRDefault="0056105D" w:rsidP="00D14546">
            <w:pPr>
              <w:jc w:val="center"/>
              <w:rPr>
                <w:sz w:val="24"/>
              </w:rPr>
            </w:pPr>
            <w:r w:rsidRPr="00A95203">
              <w:rPr>
                <w:sz w:val="24"/>
              </w:rPr>
              <w:t>1000</w:t>
            </w:r>
            <w:r w:rsidRPr="00A95203">
              <w:rPr>
                <w:sz w:val="24"/>
              </w:rPr>
              <w:t>元</w:t>
            </w:r>
            <w:r w:rsidRPr="00A95203">
              <w:rPr>
                <w:sz w:val="24"/>
              </w:rPr>
              <w:t>/</w:t>
            </w:r>
            <w:r w:rsidRPr="00A95203">
              <w:rPr>
                <w:sz w:val="24"/>
              </w:rPr>
              <w:t>笔</w:t>
            </w:r>
          </w:p>
        </w:tc>
        <w:tc>
          <w:tcPr>
            <w:tcW w:w="1200" w:type="dxa"/>
            <w:vAlign w:val="center"/>
            <w:hideMark/>
          </w:tcPr>
          <w:p w:rsidR="0056105D" w:rsidRPr="00A95203" w:rsidRDefault="0056105D" w:rsidP="00D14546">
            <w:pPr>
              <w:tabs>
                <w:tab w:val="left" w:pos="420"/>
              </w:tabs>
              <w:jc w:val="center"/>
              <w:rPr>
                <w:sz w:val="24"/>
              </w:rPr>
            </w:pPr>
            <w:r w:rsidRPr="00A95203">
              <w:rPr>
                <w:sz w:val="24"/>
              </w:rPr>
              <w:t>1000</w:t>
            </w:r>
            <w:r w:rsidRPr="00A95203">
              <w:rPr>
                <w:sz w:val="24"/>
              </w:rPr>
              <w:t>元</w:t>
            </w:r>
            <w:r w:rsidRPr="00A95203">
              <w:rPr>
                <w:sz w:val="24"/>
              </w:rPr>
              <w:t>/</w:t>
            </w:r>
            <w:r w:rsidRPr="00A95203">
              <w:rPr>
                <w:sz w:val="24"/>
              </w:rPr>
              <w:t>笔</w:t>
            </w:r>
          </w:p>
        </w:tc>
      </w:tr>
      <w:tr w:rsidR="007A70A0" w:rsidRPr="00A95203" w:rsidTr="00807569">
        <w:trPr>
          <w:trHeight w:val="255"/>
          <w:tblCellSpacing w:w="0" w:type="dxa"/>
        </w:trPr>
        <w:tc>
          <w:tcPr>
            <w:tcW w:w="1650" w:type="dxa"/>
            <w:vMerge w:val="restart"/>
            <w:vAlign w:val="center"/>
            <w:hideMark/>
          </w:tcPr>
          <w:p w:rsidR="007A70A0" w:rsidRPr="00A95203" w:rsidRDefault="007A70A0" w:rsidP="00B46B47">
            <w:pPr>
              <w:jc w:val="left"/>
              <w:rPr>
                <w:sz w:val="24"/>
              </w:rPr>
            </w:pPr>
            <w:r w:rsidRPr="00A95203">
              <w:rPr>
                <w:sz w:val="24"/>
              </w:rPr>
              <w:t>交银货币</w:t>
            </w:r>
            <w:r w:rsidR="00B46B47">
              <w:rPr>
                <w:rFonts w:hint="eastAsia"/>
                <w:sz w:val="24"/>
              </w:rPr>
              <w:t>、</w:t>
            </w:r>
            <w:r w:rsidRPr="00A95203">
              <w:rPr>
                <w:sz w:val="24"/>
              </w:rPr>
              <w:t>交银增利</w:t>
            </w:r>
            <w:r w:rsidRPr="00A95203">
              <w:rPr>
                <w:sz w:val="24"/>
              </w:rPr>
              <w:t>C</w:t>
            </w:r>
            <w:r w:rsidRPr="00A95203">
              <w:rPr>
                <w:sz w:val="24"/>
              </w:rPr>
              <w:t>类基金份额</w:t>
            </w:r>
            <w:r w:rsidR="00B46B47">
              <w:rPr>
                <w:rFonts w:hint="eastAsia"/>
                <w:sz w:val="24"/>
              </w:rPr>
              <w:t>、</w:t>
            </w:r>
            <w:r w:rsidRPr="00A95203">
              <w:rPr>
                <w:sz w:val="24"/>
              </w:rPr>
              <w:t>交银双利</w:t>
            </w:r>
            <w:r w:rsidRPr="00A95203">
              <w:rPr>
                <w:sz w:val="24"/>
              </w:rPr>
              <w:t>C</w:t>
            </w:r>
            <w:r w:rsidRPr="00A95203">
              <w:rPr>
                <w:sz w:val="24"/>
              </w:rPr>
              <w:t>类基金份额</w:t>
            </w:r>
            <w:r w:rsidR="00B46B47">
              <w:rPr>
                <w:rFonts w:hint="eastAsia"/>
                <w:sz w:val="24"/>
              </w:rPr>
              <w:t>、</w:t>
            </w:r>
            <w:r w:rsidRPr="00A95203">
              <w:rPr>
                <w:sz w:val="24"/>
              </w:rPr>
              <w:t>交银纯债</w:t>
            </w:r>
            <w:r w:rsidRPr="00A95203">
              <w:rPr>
                <w:sz w:val="24"/>
              </w:rPr>
              <w:t>C</w:t>
            </w:r>
            <w:r w:rsidRPr="00A95203">
              <w:rPr>
                <w:sz w:val="24"/>
              </w:rPr>
              <w:t>类基金份额</w:t>
            </w:r>
            <w:r w:rsidR="00B46B47">
              <w:rPr>
                <w:rFonts w:hint="eastAsia"/>
                <w:sz w:val="24"/>
              </w:rPr>
              <w:t>、</w:t>
            </w:r>
            <w:r w:rsidRPr="00A95203">
              <w:rPr>
                <w:sz w:val="24"/>
              </w:rPr>
              <w:t>交银双轮动</w:t>
            </w:r>
            <w:r w:rsidRPr="00A95203">
              <w:rPr>
                <w:sz w:val="24"/>
              </w:rPr>
              <w:t>C</w:t>
            </w:r>
            <w:r w:rsidRPr="00A95203">
              <w:rPr>
                <w:sz w:val="24"/>
              </w:rPr>
              <w:t>类基</w:t>
            </w:r>
            <w:r w:rsidRPr="00A95203">
              <w:rPr>
                <w:sz w:val="24"/>
              </w:rPr>
              <w:lastRenderedPageBreak/>
              <w:t>金份额</w:t>
            </w:r>
            <w:r w:rsidR="00B46B47">
              <w:rPr>
                <w:rFonts w:hint="eastAsia"/>
                <w:sz w:val="24"/>
              </w:rPr>
              <w:t>、</w:t>
            </w:r>
            <w:r w:rsidRPr="00A95203">
              <w:rPr>
                <w:sz w:val="24"/>
              </w:rPr>
              <w:t>交银月月丰</w:t>
            </w:r>
            <w:r w:rsidRPr="00A95203">
              <w:rPr>
                <w:sz w:val="24"/>
              </w:rPr>
              <w:t>C</w:t>
            </w:r>
            <w:r w:rsidRPr="00A95203">
              <w:rPr>
                <w:sz w:val="24"/>
              </w:rPr>
              <w:t>类基金份额</w:t>
            </w:r>
            <w:r w:rsidR="00B46B47">
              <w:rPr>
                <w:rFonts w:hint="eastAsia"/>
                <w:sz w:val="24"/>
              </w:rPr>
              <w:t>、</w:t>
            </w:r>
            <w:r w:rsidRPr="00A95203">
              <w:rPr>
                <w:sz w:val="24"/>
              </w:rPr>
              <w:t>交银强化回报</w:t>
            </w:r>
            <w:r w:rsidRPr="00A95203">
              <w:rPr>
                <w:sz w:val="24"/>
              </w:rPr>
              <w:t>C</w:t>
            </w:r>
            <w:r w:rsidRPr="00A95203">
              <w:rPr>
                <w:sz w:val="24"/>
              </w:rPr>
              <w:t>类基金份额</w:t>
            </w:r>
          </w:p>
        </w:tc>
        <w:tc>
          <w:tcPr>
            <w:tcW w:w="1726" w:type="dxa"/>
            <w:vMerge w:val="restart"/>
            <w:vAlign w:val="center"/>
            <w:hideMark/>
          </w:tcPr>
          <w:p w:rsidR="007A70A0" w:rsidRPr="00A95203" w:rsidRDefault="007A70A0" w:rsidP="003525EE">
            <w:pPr>
              <w:jc w:val="left"/>
              <w:rPr>
                <w:sz w:val="24"/>
              </w:rPr>
            </w:pPr>
            <w:r w:rsidRPr="00A95203">
              <w:rPr>
                <w:sz w:val="24"/>
              </w:rPr>
              <w:lastRenderedPageBreak/>
              <w:t>交银强化回报</w:t>
            </w:r>
            <w:r w:rsidRPr="00A95203">
              <w:rPr>
                <w:sz w:val="24"/>
              </w:rPr>
              <w:t>A</w:t>
            </w:r>
            <w:r w:rsidRPr="00A95203">
              <w:rPr>
                <w:sz w:val="24"/>
              </w:rPr>
              <w:t>类基金份额</w:t>
            </w:r>
            <w:r w:rsidR="00B46B47">
              <w:rPr>
                <w:rFonts w:hint="eastAsia"/>
                <w:sz w:val="24"/>
              </w:rPr>
              <w:t>、</w:t>
            </w:r>
            <w:r w:rsidRPr="00A95203">
              <w:rPr>
                <w:sz w:val="24"/>
              </w:rPr>
              <w:t>交银月月丰</w:t>
            </w:r>
            <w:r w:rsidRPr="00A95203">
              <w:rPr>
                <w:sz w:val="24"/>
              </w:rPr>
              <w:t>A</w:t>
            </w:r>
            <w:r w:rsidRPr="00A95203">
              <w:rPr>
                <w:sz w:val="24"/>
              </w:rPr>
              <w:t>类基金份额</w:t>
            </w:r>
            <w:r w:rsidR="00B46B47">
              <w:rPr>
                <w:rFonts w:hint="eastAsia"/>
                <w:sz w:val="24"/>
              </w:rPr>
              <w:t>、</w:t>
            </w:r>
            <w:r w:rsidRPr="00A95203">
              <w:rPr>
                <w:sz w:val="24"/>
              </w:rPr>
              <w:t>交银双轮动</w:t>
            </w:r>
            <w:r w:rsidRPr="00A95203">
              <w:rPr>
                <w:sz w:val="24"/>
              </w:rPr>
              <w:t>A</w:t>
            </w:r>
            <w:r w:rsidRPr="00A95203">
              <w:rPr>
                <w:sz w:val="24"/>
              </w:rPr>
              <w:t>类基金份额</w:t>
            </w:r>
            <w:r w:rsidR="00B46B47">
              <w:rPr>
                <w:rFonts w:hint="eastAsia"/>
                <w:sz w:val="24"/>
              </w:rPr>
              <w:t>、</w:t>
            </w:r>
            <w:r w:rsidRPr="00A95203">
              <w:rPr>
                <w:sz w:val="24"/>
              </w:rPr>
              <w:t>交银纯债</w:t>
            </w:r>
            <w:r w:rsidRPr="00A95203">
              <w:rPr>
                <w:sz w:val="24"/>
              </w:rPr>
              <w:t>A</w:t>
            </w:r>
            <w:r w:rsidRPr="00A95203">
              <w:rPr>
                <w:sz w:val="24"/>
              </w:rPr>
              <w:t>类基金份额</w:t>
            </w:r>
            <w:r w:rsidR="00B46B47">
              <w:rPr>
                <w:rFonts w:hint="eastAsia"/>
                <w:sz w:val="24"/>
              </w:rPr>
              <w:t>、</w:t>
            </w:r>
            <w:r w:rsidRPr="00A95203">
              <w:rPr>
                <w:sz w:val="24"/>
              </w:rPr>
              <w:t>交</w:t>
            </w:r>
            <w:r w:rsidRPr="00A95203">
              <w:rPr>
                <w:sz w:val="24"/>
              </w:rPr>
              <w:lastRenderedPageBreak/>
              <w:t>银双利</w:t>
            </w:r>
            <w:r w:rsidRPr="00A95203">
              <w:rPr>
                <w:sz w:val="24"/>
              </w:rPr>
              <w:t>A</w:t>
            </w:r>
            <w:r w:rsidRPr="00A95203">
              <w:rPr>
                <w:sz w:val="24"/>
              </w:rPr>
              <w:t>类基金份额</w:t>
            </w:r>
            <w:r w:rsidR="00B46B47">
              <w:rPr>
                <w:rFonts w:hint="eastAsia"/>
                <w:sz w:val="24"/>
              </w:rPr>
              <w:t>、</w:t>
            </w:r>
            <w:r w:rsidRPr="00A95203">
              <w:rPr>
                <w:sz w:val="24"/>
              </w:rPr>
              <w:t>交银增利</w:t>
            </w:r>
            <w:r w:rsidRPr="00A95203">
              <w:rPr>
                <w:sz w:val="24"/>
              </w:rPr>
              <w:t>A</w:t>
            </w:r>
            <w:r w:rsidRPr="00A95203">
              <w:rPr>
                <w:sz w:val="24"/>
              </w:rPr>
              <w:t>类基金份额</w:t>
            </w:r>
          </w:p>
          <w:p w:rsidR="007A70A0" w:rsidRPr="00A95203" w:rsidRDefault="007A70A0" w:rsidP="003525EE">
            <w:pPr>
              <w:jc w:val="left"/>
              <w:rPr>
                <w:sz w:val="24"/>
              </w:rPr>
            </w:pPr>
          </w:p>
        </w:tc>
        <w:tc>
          <w:tcPr>
            <w:tcW w:w="2738" w:type="dxa"/>
            <w:vAlign w:val="center"/>
            <w:hideMark/>
          </w:tcPr>
          <w:p w:rsidR="007A70A0" w:rsidRPr="00A95203" w:rsidRDefault="007A70A0" w:rsidP="003525EE">
            <w:pPr>
              <w:tabs>
                <w:tab w:val="left" w:pos="420"/>
              </w:tabs>
              <w:jc w:val="center"/>
              <w:rPr>
                <w:sz w:val="24"/>
              </w:rPr>
            </w:pPr>
            <w:r w:rsidRPr="00A95203">
              <w:rPr>
                <w:sz w:val="24"/>
              </w:rPr>
              <w:lastRenderedPageBreak/>
              <w:t>50</w:t>
            </w:r>
            <w:r w:rsidRPr="00A95203">
              <w:rPr>
                <w:sz w:val="24"/>
              </w:rPr>
              <w:t>万元以下</w:t>
            </w:r>
          </w:p>
        </w:tc>
        <w:tc>
          <w:tcPr>
            <w:tcW w:w="1166" w:type="dxa"/>
            <w:vAlign w:val="center"/>
            <w:hideMark/>
          </w:tcPr>
          <w:p w:rsidR="007A70A0" w:rsidRPr="00A95203" w:rsidRDefault="007A70A0" w:rsidP="003525EE">
            <w:pPr>
              <w:jc w:val="center"/>
              <w:rPr>
                <w:sz w:val="24"/>
              </w:rPr>
            </w:pPr>
            <w:r w:rsidRPr="00A95203">
              <w:rPr>
                <w:sz w:val="24"/>
              </w:rPr>
              <w:t>0.80%</w:t>
            </w:r>
          </w:p>
        </w:tc>
        <w:tc>
          <w:tcPr>
            <w:tcW w:w="1200" w:type="dxa"/>
            <w:vAlign w:val="center"/>
            <w:hideMark/>
          </w:tcPr>
          <w:p w:rsidR="007A70A0" w:rsidRPr="00A95203" w:rsidRDefault="007A70A0" w:rsidP="003525EE">
            <w:pPr>
              <w:tabs>
                <w:tab w:val="left" w:pos="420"/>
              </w:tabs>
              <w:jc w:val="center"/>
              <w:rPr>
                <w:sz w:val="24"/>
              </w:rPr>
            </w:pPr>
            <w:r w:rsidRPr="00A95203">
              <w:rPr>
                <w:sz w:val="24"/>
              </w:rPr>
              <w:t>0.08%</w:t>
            </w:r>
          </w:p>
        </w:tc>
      </w:tr>
      <w:tr w:rsidR="007A70A0" w:rsidRPr="00A95203" w:rsidTr="00807569">
        <w:trPr>
          <w:trHeight w:val="255"/>
          <w:tblCellSpacing w:w="0" w:type="dxa"/>
        </w:trPr>
        <w:tc>
          <w:tcPr>
            <w:tcW w:w="1650" w:type="dxa"/>
            <w:vMerge/>
            <w:vAlign w:val="center"/>
            <w:hideMark/>
          </w:tcPr>
          <w:p w:rsidR="007A70A0" w:rsidRPr="00A95203" w:rsidRDefault="007A70A0" w:rsidP="003525EE">
            <w:pPr>
              <w:jc w:val="left"/>
              <w:rPr>
                <w:sz w:val="24"/>
              </w:rPr>
            </w:pPr>
          </w:p>
        </w:tc>
        <w:tc>
          <w:tcPr>
            <w:tcW w:w="1726" w:type="dxa"/>
            <w:vMerge/>
            <w:vAlign w:val="center"/>
            <w:hideMark/>
          </w:tcPr>
          <w:p w:rsidR="007A70A0" w:rsidRPr="00A95203" w:rsidRDefault="007A70A0" w:rsidP="003525EE">
            <w:pPr>
              <w:jc w:val="left"/>
              <w:rPr>
                <w:sz w:val="24"/>
              </w:rPr>
            </w:pPr>
          </w:p>
        </w:tc>
        <w:tc>
          <w:tcPr>
            <w:tcW w:w="2738" w:type="dxa"/>
            <w:vAlign w:val="center"/>
            <w:hideMark/>
          </w:tcPr>
          <w:p w:rsidR="007A70A0" w:rsidRPr="00A95203" w:rsidRDefault="007A70A0" w:rsidP="003525EE">
            <w:pPr>
              <w:tabs>
                <w:tab w:val="left" w:pos="420"/>
              </w:tabs>
              <w:jc w:val="center"/>
              <w:rPr>
                <w:sz w:val="24"/>
              </w:rPr>
            </w:pPr>
            <w:r w:rsidRPr="00A95203">
              <w:rPr>
                <w:sz w:val="24"/>
              </w:rPr>
              <w:t>50</w:t>
            </w:r>
            <w:r w:rsidRPr="00A95203">
              <w:rPr>
                <w:sz w:val="24"/>
              </w:rPr>
              <w:t>万元（含）</w:t>
            </w:r>
            <w:r w:rsidRPr="00A95203">
              <w:rPr>
                <w:sz w:val="24"/>
              </w:rPr>
              <w:t>-100</w:t>
            </w:r>
            <w:r w:rsidRPr="00A95203">
              <w:rPr>
                <w:sz w:val="24"/>
              </w:rPr>
              <w:t>万元</w:t>
            </w:r>
          </w:p>
        </w:tc>
        <w:tc>
          <w:tcPr>
            <w:tcW w:w="1166" w:type="dxa"/>
            <w:vAlign w:val="center"/>
            <w:hideMark/>
          </w:tcPr>
          <w:p w:rsidR="007A70A0" w:rsidRPr="00A95203" w:rsidRDefault="007A70A0" w:rsidP="003525EE">
            <w:pPr>
              <w:jc w:val="center"/>
              <w:rPr>
                <w:sz w:val="24"/>
              </w:rPr>
            </w:pPr>
            <w:r w:rsidRPr="00A95203">
              <w:rPr>
                <w:sz w:val="24"/>
              </w:rPr>
              <w:t>0.60%</w:t>
            </w:r>
          </w:p>
        </w:tc>
        <w:tc>
          <w:tcPr>
            <w:tcW w:w="1200" w:type="dxa"/>
            <w:vAlign w:val="center"/>
            <w:hideMark/>
          </w:tcPr>
          <w:p w:rsidR="007A70A0" w:rsidRPr="00A95203" w:rsidRDefault="007A70A0" w:rsidP="003525EE">
            <w:pPr>
              <w:tabs>
                <w:tab w:val="left" w:pos="420"/>
              </w:tabs>
              <w:jc w:val="center"/>
              <w:rPr>
                <w:sz w:val="24"/>
              </w:rPr>
            </w:pPr>
            <w:r w:rsidRPr="00A95203">
              <w:rPr>
                <w:sz w:val="24"/>
              </w:rPr>
              <w:t>0.06%</w:t>
            </w:r>
          </w:p>
        </w:tc>
      </w:tr>
      <w:tr w:rsidR="007A70A0" w:rsidRPr="00A95203" w:rsidTr="00807569">
        <w:trPr>
          <w:trHeight w:val="255"/>
          <w:tblCellSpacing w:w="0" w:type="dxa"/>
        </w:trPr>
        <w:tc>
          <w:tcPr>
            <w:tcW w:w="1650" w:type="dxa"/>
            <w:vMerge/>
            <w:vAlign w:val="center"/>
            <w:hideMark/>
          </w:tcPr>
          <w:p w:rsidR="007A70A0" w:rsidRPr="00A95203" w:rsidRDefault="007A70A0" w:rsidP="003525EE">
            <w:pPr>
              <w:jc w:val="left"/>
              <w:rPr>
                <w:sz w:val="24"/>
              </w:rPr>
            </w:pPr>
          </w:p>
        </w:tc>
        <w:tc>
          <w:tcPr>
            <w:tcW w:w="1726" w:type="dxa"/>
            <w:vMerge/>
            <w:vAlign w:val="center"/>
            <w:hideMark/>
          </w:tcPr>
          <w:p w:rsidR="007A70A0" w:rsidRPr="00A95203" w:rsidRDefault="007A70A0" w:rsidP="003525EE">
            <w:pPr>
              <w:jc w:val="left"/>
              <w:rPr>
                <w:sz w:val="24"/>
              </w:rPr>
            </w:pPr>
          </w:p>
        </w:tc>
        <w:tc>
          <w:tcPr>
            <w:tcW w:w="2738" w:type="dxa"/>
            <w:vAlign w:val="center"/>
            <w:hideMark/>
          </w:tcPr>
          <w:p w:rsidR="007A70A0" w:rsidRPr="00A95203" w:rsidRDefault="007A70A0" w:rsidP="003525EE">
            <w:pPr>
              <w:tabs>
                <w:tab w:val="left" w:pos="420"/>
              </w:tabs>
              <w:jc w:val="center"/>
              <w:rPr>
                <w:sz w:val="24"/>
              </w:rPr>
            </w:pPr>
            <w:r w:rsidRPr="00A95203">
              <w:rPr>
                <w:sz w:val="24"/>
              </w:rPr>
              <w:t>100</w:t>
            </w:r>
            <w:r w:rsidRPr="00A95203">
              <w:rPr>
                <w:sz w:val="24"/>
              </w:rPr>
              <w:t>万元（含）</w:t>
            </w:r>
            <w:r w:rsidRPr="00A95203">
              <w:rPr>
                <w:sz w:val="24"/>
              </w:rPr>
              <w:t>-200</w:t>
            </w:r>
            <w:r w:rsidRPr="00A95203">
              <w:rPr>
                <w:sz w:val="24"/>
              </w:rPr>
              <w:t>万元</w:t>
            </w:r>
          </w:p>
        </w:tc>
        <w:tc>
          <w:tcPr>
            <w:tcW w:w="1166" w:type="dxa"/>
            <w:vAlign w:val="center"/>
            <w:hideMark/>
          </w:tcPr>
          <w:p w:rsidR="007A70A0" w:rsidRPr="00A95203" w:rsidRDefault="007A70A0" w:rsidP="003525EE">
            <w:pPr>
              <w:jc w:val="center"/>
              <w:rPr>
                <w:sz w:val="24"/>
              </w:rPr>
            </w:pPr>
            <w:r w:rsidRPr="00A95203">
              <w:rPr>
                <w:sz w:val="24"/>
              </w:rPr>
              <w:t>0.50%</w:t>
            </w:r>
          </w:p>
        </w:tc>
        <w:tc>
          <w:tcPr>
            <w:tcW w:w="1200" w:type="dxa"/>
            <w:vAlign w:val="center"/>
            <w:hideMark/>
          </w:tcPr>
          <w:p w:rsidR="007A70A0" w:rsidRPr="00A95203" w:rsidRDefault="007A70A0" w:rsidP="003525EE">
            <w:pPr>
              <w:tabs>
                <w:tab w:val="left" w:pos="420"/>
              </w:tabs>
              <w:jc w:val="center"/>
              <w:rPr>
                <w:sz w:val="24"/>
              </w:rPr>
            </w:pPr>
            <w:r w:rsidRPr="00A95203">
              <w:rPr>
                <w:sz w:val="24"/>
              </w:rPr>
              <w:t>0.05%</w:t>
            </w:r>
          </w:p>
        </w:tc>
      </w:tr>
      <w:tr w:rsidR="007A70A0" w:rsidRPr="00A95203" w:rsidTr="00807569">
        <w:trPr>
          <w:trHeight w:val="255"/>
          <w:tblCellSpacing w:w="0" w:type="dxa"/>
        </w:trPr>
        <w:tc>
          <w:tcPr>
            <w:tcW w:w="1650" w:type="dxa"/>
            <w:vMerge/>
            <w:vAlign w:val="center"/>
            <w:hideMark/>
          </w:tcPr>
          <w:p w:rsidR="007A70A0" w:rsidRPr="00A95203" w:rsidRDefault="007A70A0" w:rsidP="003525EE">
            <w:pPr>
              <w:jc w:val="left"/>
              <w:rPr>
                <w:sz w:val="24"/>
              </w:rPr>
            </w:pPr>
          </w:p>
        </w:tc>
        <w:tc>
          <w:tcPr>
            <w:tcW w:w="1726" w:type="dxa"/>
            <w:vMerge/>
            <w:vAlign w:val="center"/>
            <w:hideMark/>
          </w:tcPr>
          <w:p w:rsidR="007A70A0" w:rsidRPr="00A95203" w:rsidRDefault="007A70A0" w:rsidP="003525EE">
            <w:pPr>
              <w:jc w:val="left"/>
              <w:rPr>
                <w:sz w:val="24"/>
              </w:rPr>
            </w:pPr>
          </w:p>
        </w:tc>
        <w:tc>
          <w:tcPr>
            <w:tcW w:w="2738" w:type="dxa"/>
            <w:vAlign w:val="center"/>
            <w:hideMark/>
          </w:tcPr>
          <w:p w:rsidR="007A70A0" w:rsidRPr="00A95203" w:rsidRDefault="007A70A0" w:rsidP="003525EE">
            <w:pPr>
              <w:tabs>
                <w:tab w:val="left" w:pos="420"/>
              </w:tabs>
              <w:jc w:val="center"/>
              <w:rPr>
                <w:sz w:val="24"/>
              </w:rPr>
            </w:pPr>
            <w:r w:rsidRPr="00A95203">
              <w:rPr>
                <w:sz w:val="24"/>
              </w:rPr>
              <w:t>200</w:t>
            </w:r>
            <w:r w:rsidRPr="00A95203">
              <w:rPr>
                <w:sz w:val="24"/>
              </w:rPr>
              <w:t>万元（含）</w:t>
            </w:r>
            <w:r w:rsidRPr="00A95203">
              <w:rPr>
                <w:sz w:val="24"/>
              </w:rPr>
              <w:t>-500</w:t>
            </w:r>
            <w:r w:rsidRPr="00A95203">
              <w:rPr>
                <w:sz w:val="24"/>
              </w:rPr>
              <w:t>万元</w:t>
            </w:r>
          </w:p>
        </w:tc>
        <w:tc>
          <w:tcPr>
            <w:tcW w:w="1166" w:type="dxa"/>
            <w:vAlign w:val="center"/>
            <w:hideMark/>
          </w:tcPr>
          <w:p w:rsidR="007A70A0" w:rsidRPr="00A95203" w:rsidRDefault="007A70A0" w:rsidP="003525EE">
            <w:pPr>
              <w:jc w:val="center"/>
              <w:rPr>
                <w:sz w:val="24"/>
              </w:rPr>
            </w:pPr>
            <w:r w:rsidRPr="00A95203">
              <w:rPr>
                <w:sz w:val="24"/>
              </w:rPr>
              <w:t>0.30%</w:t>
            </w:r>
          </w:p>
        </w:tc>
        <w:tc>
          <w:tcPr>
            <w:tcW w:w="1200" w:type="dxa"/>
            <w:vAlign w:val="center"/>
            <w:hideMark/>
          </w:tcPr>
          <w:p w:rsidR="007A70A0" w:rsidRPr="00A95203" w:rsidRDefault="007A70A0" w:rsidP="003525EE">
            <w:pPr>
              <w:tabs>
                <w:tab w:val="left" w:pos="420"/>
              </w:tabs>
              <w:jc w:val="center"/>
              <w:rPr>
                <w:sz w:val="24"/>
              </w:rPr>
            </w:pPr>
            <w:r w:rsidRPr="00A95203">
              <w:rPr>
                <w:sz w:val="24"/>
              </w:rPr>
              <w:t>0.03%</w:t>
            </w:r>
          </w:p>
        </w:tc>
      </w:tr>
      <w:tr w:rsidR="007A70A0" w:rsidRPr="00A95203" w:rsidTr="00807569">
        <w:trPr>
          <w:trHeight w:val="255"/>
          <w:tblCellSpacing w:w="0" w:type="dxa"/>
        </w:trPr>
        <w:tc>
          <w:tcPr>
            <w:tcW w:w="1650" w:type="dxa"/>
            <w:vMerge/>
            <w:vAlign w:val="center"/>
            <w:hideMark/>
          </w:tcPr>
          <w:p w:rsidR="007A70A0" w:rsidRPr="00A95203" w:rsidRDefault="007A70A0" w:rsidP="003525EE">
            <w:pPr>
              <w:jc w:val="left"/>
              <w:rPr>
                <w:sz w:val="24"/>
              </w:rPr>
            </w:pPr>
          </w:p>
        </w:tc>
        <w:tc>
          <w:tcPr>
            <w:tcW w:w="1726" w:type="dxa"/>
            <w:vMerge/>
            <w:vAlign w:val="center"/>
            <w:hideMark/>
          </w:tcPr>
          <w:p w:rsidR="007A70A0" w:rsidRPr="00A95203" w:rsidRDefault="007A70A0" w:rsidP="003525EE">
            <w:pPr>
              <w:jc w:val="left"/>
              <w:rPr>
                <w:sz w:val="24"/>
              </w:rPr>
            </w:pPr>
          </w:p>
        </w:tc>
        <w:tc>
          <w:tcPr>
            <w:tcW w:w="2738" w:type="dxa"/>
            <w:vAlign w:val="center"/>
            <w:hideMark/>
          </w:tcPr>
          <w:p w:rsidR="007A70A0" w:rsidRPr="00A95203" w:rsidRDefault="007A70A0" w:rsidP="003525EE">
            <w:pPr>
              <w:tabs>
                <w:tab w:val="left" w:pos="420"/>
              </w:tabs>
              <w:jc w:val="center"/>
              <w:rPr>
                <w:sz w:val="24"/>
              </w:rPr>
            </w:pPr>
            <w:r w:rsidRPr="00A95203">
              <w:rPr>
                <w:sz w:val="24"/>
              </w:rPr>
              <w:t>500</w:t>
            </w:r>
            <w:r w:rsidRPr="00A95203">
              <w:rPr>
                <w:sz w:val="24"/>
              </w:rPr>
              <w:t>万元（含）以上</w:t>
            </w:r>
          </w:p>
        </w:tc>
        <w:tc>
          <w:tcPr>
            <w:tcW w:w="1166" w:type="dxa"/>
            <w:vAlign w:val="center"/>
            <w:hideMark/>
          </w:tcPr>
          <w:p w:rsidR="007A70A0" w:rsidRPr="00A95203" w:rsidRDefault="007A70A0" w:rsidP="003525EE">
            <w:pPr>
              <w:jc w:val="center"/>
              <w:rPr>
                <w:sz w:val="24"/>
              </w:rPr>
            </w:pPr>
            <w:r w:rsidRPr="00A95203">
              <w:rPr>
                <w:sz w:val="24"/>
              </w:rPr>
              <w:t>1000</w:t>
            </w:r>
            <w:r w:rsidRPr="00A95203">
              <w:rPr>
                <w:sz w:val="24"/>
              </w:rPr>
              <w:t>元</w:t>
            </w:r>
            <w:r w:rsidRPr="00A95203">
              <w:rPr>
                <w:sz w:val="24"/>
              </w:rPr>
              <w:t>/</w:t>
            </w:r>
            <w:r w:rsidRPr="00A95203">
              <w:rPr>
                <w:sz w:val="24"/>
              </w:rPr>
              <w:t>笔</w:t>
            </w:r>
          </w:p>
        </w:tc>
        <w:tc>
          <w:tcPr>
            <w:tcW w:w="1200" w:type="dxa"/>
            <w:vAlign w:val="center"/>
            <w:hideMark/>
          </w:tcPr>
          <w:p w:rsidR="007A70A0" w:rsidRPr="00A95203" w:rsidRDefault="007A70A0" w:rsidP="003525EE">
            <w:pPr>
              <w:tabs>
                <w:tab w:val="left" w:pos="420"/>
              </w:tabs>
              <w:jc w:val="center"/>
              <w:rPr>
                <w:sz w:val="24"/>
              </w:rPr>
            </w:pPr>
            <w:r w:rsidRPr="00A95203">
              <w:rPr>
                <w:sz w:val="24"/>
              </w:rPr>
              <w:t>1000</w:t>
            </w:r>
            <w:r w:rsidRPr="00A95203">
              <w:rPr>
                <w:sz w:val="24"/>
              </w:rPr>
              <w:t>元</w:t>
            </w:r>
            <w:r w:rsidRPr="00A95203">
              <w:rPr>
                <w:sz w:val="24"/>
              </w:rPr>
              <w:t>/</w:t>
            </w:r>
            <w:r w:rsidRPr="00A95203">
              <w:rPr>
                <w:sz w:val="24"/>
              </w:rPr>
              <w:t>笔</w:t>
            </w:r>
          </w:p>
        </w:tc>
      </w:tr>
    </w:tbl>
    <w:p w:rsidR="007735F9" w:rsidRPr="00A95203" w:rsidRDefault="007735F9" w:rsidP="007735F9">
      <w:pPr>
        <w:pStyle w:val="af2"/>
        <w:spacing w:line="360" w:lineRule="auto"/>
        <w:ind w:firstLineChars="200" w:firstLine="480"/>
        <w:rPr>
          <w:sz w:val="24"/>
          <w:szCs w:val="24"/>
        </w:rPr>
      </w:pPr>
      <w:r w:rsidRPr="00A95203">
        <w:rPr>
          <w:sz w:val="24"/>
          <w:szCs w:val="24"/>
        </w:rPr>
        <w:lastRenderedPageBreak/>
        <w:t>备注：</w:t>
      </w:r>
      <w:r w:rsidRPr="00A95203">
        <w:rPr>
          <w:sz w:val="24"/>
        </w:rPr>
        <w:t>通过网上直销交易平台进行基金转换，</w:t>
      </w:r>
      <w:r w:rsidRPr="00A95203">
        <w:rPr>
          <w:color w:val="000000"/>
          <w:sz w:val="24"/>
        </w:rPr>
        <w:t>适用固定金额</w:t>
      </w:r>
      <w:r w:rsidRPr="00A95203">
        <w:rPr>
          <w:sz w:val="24"/>
        </w:rPr>
        <w:t>申购补差费</w:t>
      </w:r>
      <w:r w:rsidRPr="00A95203">
        <w:rPr>
          <w:color w:val="000000"/>
          <w:sz w:val="24"/>
        </w:rPr>
        <w:t>的</w:t>
      </w:r>
      <w:r w:rsidRPr="00A95203">
        <w:rPr>
          <w:sz w:val="24"/>
        </w:rPr>
        <w:t>，不享受优惠。</w:t>
      </w:r>
    </w:p>
    <w:bookmarkEnd w:id="0"/>
    <w:bookmarkEnd w:id="1"/>
    <w:p w:rsidR="00536704" w:rsidRPr="00A95203" w:rsidRDefault="00536704" w:rsidP="00536704">
      <w:pPr>
        <w:pStyle w:val="af2"/>
        <w:spacing w:line="360" w:lineRule="auto"/>
        <w:ind w:rightChars="-85" w:right="-178" w:firstLineChars="200" w:firstLine="480"/>
        <w:rPr>
          <w:sz w:val="24"/>
          <w:szCs w:val="24"/>
        </w:rPr>
      </w:pPr>
      <w:r w:rsidRPr="00A95203">
        <w:rPr>
          <w:sz w:val="24"/>
          <w:szCs w:val="24"/>
        </w:rPr>
        <w:t>6</w:t>
      </w:r>
      <w:r w:rsidRPr="00A95203">
        <w:rPr>
          <w:sz w:val="24"/>
          <w:szCs w:val="24"/>
        </w:rPr>
        <w:t>、转出基金的赎回费用和已开通的其它基金转换业务的转出与转入基金的申购补差费率与网下（柜台模式）日常费率相同，不享受优惠。</w:t>
      </w:r>
    </w:p>
    <w:p w:rsidR="00536704" w:rsidRPr="00A95203" w:rsidRDefault="00536704" w:rsidP="00536704">
      <w:pPr>
        <w:pStyle w:val="af2"/>
        <w:spacing w:line="360" w:lineRule="auto"/>
        <w:ind w:rightChars="-85" w:right="-178" w:firstLineChars="200" w:firstLine="480"/>
        <w:rPr>
          <w:sz w:val="24"/>
          <w:szCs w:val="24"/>
        </w:rPr>
      </w:pPr>
      <w:r w:rsidRPr="00A95203">
        <w:rPr>
          <w:sz w:val="24"/>
          <w:szCs w:val="24"/>
        </w:rPr>
        <w:t>7</w:t>
      </w:r>
      <w:r w:rsidRPr="00A95203">
        <w:rPr>
          <w:sz w:val="24"/>
          <w:szCs w:val="24"/>
        </w:rPr>
        <w:t>、基金管理人可以根据法律法规及基金合同的规定对上述收费方式和费率进行调整，并应于调整后的收费方式和费率在实施前依照《信息披露办法》的有关规定在中国证监会指定</w:t>
      </w:r>
      <w:r w:rsidR="0067402B">
        <w:rPr>
          <w:rFonts w:hint="eastAsia"/>
          <w:sz w:val="24"/>
          <w:szCs w:val="24"/>
        </w:rPr>
        <w:t>媒介</w:t>
      </w:r>
      <w:r w:rsidRPr="00A95203">
        <w:rPr>
          <w:sz w:val="24"/>
          <w:szCs w:val="24"/>
        </w:rPr>
        <w:t>上公告。</w:t>
      </w:r>
    </w:p>
    <w:p w:rsidR="008D68DD" w:rsidRPr="00A95203" w:rsidRDefault="008D68DD"/>
    <w:sectPr w:rsidR="008D68DD" w:rsidRPr="00A95203" w:rsidSect="008D68DD">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44D5C8"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3C4C" w:rsidRDefault="00C53C4C" w:rsidP="00E20455">
      <w:r>
        <w:separator/>
      </w:r>
    </w:p>
  </w:endnote>
  <w:endnote w:type="continuationSeparator" w:id="0">
    <w:p w:rsidR="00C53C4C" w:rsidRDefault="00C53C4C" w:rsidP="00E20455">
      <w:r>
        <w:continuationSeparator/>
      </w:r>
    </w:p>
  </w:endnote>
</w:endnotes>
</file>

<file path=word/fontTable.xml><?xml version="1.0" encoding="utf-8"?>
<w:fonts xmlns:r="http://schemas.openxmlformats.org/officeDocument/2006/relationships" xmlns:w="http://schemas.openxmlformats.org/wordprocessingml/2006/main">
  <w:font w:name="楷体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五">
    <w:altName w:val="黑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3C4C" w:rsidRDefault="00C53C4C" w:rsidP="00E20455">
      <w:r>
        <w:separator/>
      </w:r>
    </w:p>
  </w:footnote>
  <w:footnote w:type="continuationSeparator" w:id="0">
    <w:p w:rsidR="00C53C4C" w:rsidRDefault="00C53C4C" w:rsidP="00E204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ind w:left="0" w:firstLine="0"/>
      </w:pPr>
      <w:rPr>
        <w:rFonts w:ascii="楷体_GB2312" w:eastAsia="@楷体_GB2312" w:hint="eastAsia"/>
        <w:b/>
        <w:i w:val="0"/>
        <w:sz w:val="30"/>
      </w:rPr>
    </w:lvl>
    <w:lvl w:ilvl="1">
      <w:start w:val="1"/>
      <w:numFmt w:val="chineseCountingThousand"/>
      <w:suff w:val="nothing"/>
      <w:lvlText w:val="第%2章"/>
      <w:lvlJc w:val="left"/>
      <w:pPr>
        <w:ind w:left="0" w:firstLine="0"/>
      </w:pPr>
      <w:rPr>
        <w:rFonts w:ascii="楷体_GB2312" w:eastAsia="@楷体_GB2312" w:hint="eastAsia"/>
        <w:b/>
        <w:i w:val="0"/>
        <w:sz w:val="30"/>
      </w:rPr>
    </w:lvl>
    <w:lvl w:ilvl="2">
      <w:start w:val="1"/>
      <w:numFmt w:val="chineseCountingThousand"/>
      <w:suff w:val="nothing"/>
      <w:lvlText w:val="%3、"/>
      <w:lvlJc w:val="left"/>
      <w:pPr>
        <w:ind w:left="0" w:firstLine="0"/>
      </w:pPr>
      <w:rPr>
        <w:rFonts w:ascii="楷体_GB2312" w:eastAsia="@楷体_GB2312" w:hint="eastAsia"/>
        <w:b w:val="0"/>
        <w:i w:val="0"/>
        <w:sz w:val="28"/>
      </w:rPr>
    </w:lvl>
    <w:lvl w:ilvl="3">
      <w:start w:val="1"/>
      <w:numFmt w:val="chineseCountingThousand"/>
      <w:suff w:val="nothing"/>
      <w:lvlText w:val="（%4）"/>
      <w:lvlJc w:val="left"/>
      <w:pPr>
        <w:ind w:left="0" w:firstLine="0"/>
      </w:pPr>
      <w:rPr>
        <w:rFonts w:ascii="楷体_GB2312" w:eastAsia="@楷体_GB2312" w:hint="eastAsia"/>
        <w:b w:val="0"/>
        <w:i w:val="0"/>
        <w:sz w:val="24"/>
      </w:rPr>
    </w:lvl>
    <w:lvl w:ilvl="4">
      <w:start w:val="1"/>
      <w:numFmt w:val="decimal"/>
      <w:suff w:val="nothing"/>
      <w:lvlText w:val="%5、"/>
      <w:lvlJc w:val="left"/>
      <w:pPr>
        <w:ind w:left="0" w:firstLine="0"/>
      </w:pPr>
      <w:rPr>
        <w:rFonts w:ascii="Times New Roman" w:hAnsi="Times New Roman" w:hint="default"/>
        <w:b w:val="0"/>
        <w:i w:val="0"/>
        <w:sz w:val="24"/>
      </w:rPr>
    </w:lvl>
    <w:lvl w:ilvl="5">
      <w:start w:val="1"/>
      <w:numFmt w:val="decimal"/>
      <w:suff w:val="nothing"/>
      <w:lvlText w:val="（%6）"/>
      <w:lvlJc w:val="left"/>
      <w:pPr>
        <w:ind w:left="0" w:firstLine="0"/>
      </w:pPr>
      <w:rPr>
        <w:rFonts w:ascii="Times New Roman" w:hAnsi="Times New Roman" w:hint="default"/>
        <w:b w:val="0"/>
        <w:i w:val="0"/>
        <w:sz w:val="24"/>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
    <w:nsid w:val="00000002"/>
    <w:multiLevelType w:val="multilevel"/>
    <w:tmpl w:val="00000002"/>
    <w:lvl w:ilvl="0">
      <w:start w:val="1"/>
      <w:numFmt w:val="decimal"/>
      <w:lvlText w:val="（%1）"/>
      <w:lvlJc w:val="left"/>
      <w:pPr>
        <w:tabs>
          <w:tab w:val="num" w:pos="420"/>
        </w:tabs>
        <w:ind w:left="420" w:hanging="420"/>
      </w:pPr>
      <w:rPr>
        <w:rFonts w:ascii="宋体" w:eastAsia="宋体" w:hAnsi="宋体"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03"/>
    <w:multiLevelType w:val="multilevel"/>
    <w:tmpl w:val="00000003"/>
    <w:lvl w:ilvl="0">
      <w:start w:val="1"/>
      <w:numFmt w:val="decimal"/>
      <w:lvlText w:val="%1)"/>
      <w:lvlJc w:val="left"/>
      <w:pPr>
        <w:tabs>
          <w:tab w:val="num" w:pos="900"/>
        </w:tabs>
        <w:ind w:left="900" w:hanging="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04"/>
    <w:multiLevelType w:val="multilevel"/>
    <w:tmpl w:val="00000004"/>
    <w:lvl w:ilvl="0">
      <w:start w:val="1"/>
      <w:numFmt w:val="decimal"/>
      <w:lvlText w:val="（%1）"/>
      <w:lvlJc w:val="left"/>
      <w:pPr>
        <w:tabs>
          <w:tab w:val="num" w:pos="1080"/>
        </w:tabs>
        <w:ind w:left="1080" w:hanging="720"/>
      </w:pPr>
      <w:rPr>
        <w:rFonts w:hint="default"/>
      </w:rPr>
    </w:lvl>
    <w:lvl w:ilvl="1">
      <w:start w:val="1"/>
      <w:numFmt w:val="decimal"/>
      <w:lvlText w:val="（%2）"/>
      <w:lvlJc w:val="left"/>
      <w:pPr>
        <w:tabs>
          <w:tab w:val="num" w:pos="1500"/>
        </w:tabs>
        <w:ind w:left="1500" w:hanging="720"/>
      </w:pPr>
      <w:rPr>
        <w:rFonts w:hint="default"/>
      </w:r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4">
    <w:nsid w:val="00000006"/>
    <w:multiLevelType w:val="multilevel"/>
    <w:tmpl w:val="00000006"/>
    <w:lvl w:ilvl="0">
      <w:start w:val="1"/>
      <w:numFmt w:val="none"/>
      <w:suff w:val="nothing"/>
      <w:lvlText w:val=""/>
      <w:lvlJc w:val="left"/>
      <w:pPr>
        <w:ind w:left="0" w:firstLine="0"/>
      </w:pPr>
      <w:rPr>
        <w:rFonts w:ascii="楷体_GB2312" w:eastAsia="@楷体_GB2312" w:hint="eastAsia"/>
        <w:b/>
        <w:i w:val="0"/>
        <w:sz w:val="30"/>
      </w:rPr>
    </w:lvl>
    <w:lvl w:ilvl="1">
      <w:start w:val="1"/>
      <w:numFmt w:val="chineseCountingThousand"/>
      <w:suff w:val="nothing"/>
      <w:lvlText w:val="第%2章"/>
      <w:lvlJc w:val="left"/>
      <w:pPr>
        <w:ind w:left="0" w:firstLine="0"/>
      </w:pPr>
      <w:rPr>
        <w:rFonts w:ascii="楷体_GB2312" w:eastAsia="@楷体_GB2312" w:hint="eastAsia"/>
        <w:b/>
        <w:i w:val="0"/>
        <w:sz w:val="30"/>
      </w:rPr>
    </w:lvl>
    <w:lvl w:ilvl="2">
      <w:start w:val="1"/>
      <w:numFmt w:val="chineseCountingThousand"/>
      <w:suff w:val="nothing"/>
      <w:lvlText w:val="%3、"/>
      <w:lvlJc w:val="left"/>
      <w:pPr>
        <w:ind w:left="0" w:firstLine="0"/>
      </w:pPr>
      <w:rPr>
        <w:rFonts w:ascii="楷体_GB2312" w:eastAsia="@楷体_GB2312" w:hint="eastAsia"/>
        <w:b w:val="0"/>
        <w:i w:val="0"/>
        <w:sz w:val="28"/>
      </w:rPr>
    </w:lvl>
    <w:lvl w:ilvl="3">
      <w:start w:val="1"/>
      <w:numFmt w:val="chineseCountingThousand"/>
      <w:suff w:val="nothing"/>
      <w:lvlText w:val="（%4）"/>
      <w:lvlJc w:val="left"/>
      <w:pPr>
        <w:ind w:left="0" w:firstLine="0"/>
      </w:pPr>
      <w:rPr>
        <w:rFonts w:ascii="楷体_GB2312" w:eastAsia="@楷体_GB2312" w:hint="eastAsia"/>
        <w:b w:val="0"/>
        <w:i w:val="0"/>
        <w:sz w:val="24"/>
      </w:rPr>
    </w:lvl>
    <w:lvl w:ilvl="4">
      <w:start w:val="1"/>
      <w:numFmt w:val="decimal"/>
      <w:suff w:val="nothing"/>
      <w:lvlText w:val="%5、"/>
      <w:lvlJc w:val="left"/>
      <w:pPr>
        <w:ind w:left="0" w:firstLine="0"/>
      </w:pPr>
      <w:rPr>
        <w:rFonts w:ascii="Times New Roman" w:hAnsi="Times New Roman" w:cs="Times New Roman" w:hint="default"/>
        <w:b w:val="0"/>
        <w:i w:val="0"/>
        <w:sz w:val="24"/>
      </w:rPr>
    </w:lvl>
    <w:lvl w:ilvl="5">
      <w:start w:val="1"/>
      <w:numFmt w:val="decimal"/>
      <w:suff w:val="nothing"/>
      <w:lvlText w:val="（%6）"/>
      <w:lvlJc w:val="left"/>
      <w:pPr>
        <w:ind w:left="0" w:firstLine="0"/>
      </w:pPr>
      <w:rPr>
        <w:rFonts w:ascii="Times New Roman" w:hAnsi="Times New Roman" w:cs="Times New Roman" w:hint="default"/>
        <w:b w:val="0"/>
        <w:i w:val="0"/>
        <w:sz w:val="24"/>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00000007"/>
    <w:multiLevelType w:val="multilevel"/>
    <w:tmpl w:val="00000007"/>
    <w:lvl w:ilvl="0">
      <w:start w:val="1"/>
      <w:numFmt w:val="decimal"/>
      <w:lvlText w:val="（%1）"/>
      <w:lvlJc w:val="center"/>
      <w:pPr>
        <w:tabs>
          <w:tab w:val="num" w:pos="648"/>
        </w:tabs>
        <w:ind w:left="0" w:firstLine="288"/>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0000000B"/>
    <w:multiLevelType w:val="singleLevel"/>
    <w:tmpl w:val="0000000B"/>
    <w:lvl w:ilvl="0">
      <w:start w:val="1"/>
      <w:numFmt w:val="decimal"/>
      <w:lvlText w:val="(%1)"/>
      <w:lvlJc w:val="left"/>
      <w:pPr>
        <w:tabs>
          <w:tab w:val="num" w:pos="360"/>
        </w:tabs>
        <w:ind w:left="0" w:firstLine="0"/>
      </w:pPr>
      <w:rPr>
        <w:rFonts w:hint="eastAsia"/>
      </w:rPr>
    </w:lvl>
  </w:abstractNum>
  <w:abstractNum w:abstractNumId="7">
    <w:nsid w:val="2D3203F1"/>
    <w:multiLevelType w:val="multilevel"/>
    <w:tmpl w:val="00000000"/>
    <w:lvl w:ilvl="0">
      <w:start w:val="1"/>
      <w:numFmt w:val="chineseCountingThousand"/>
      <w:lvlText w:val="第%1章"/>
      <w:lvlJc w:val="left"/>
      <w:pPr>
        <w:tabs>
          <w:tab w:val="num" w:pos="1182"/>
        </w:tabs>
        <w:ind w:left="527" w:hanging="425"/>
      </w:pPr>
      <w:rPr>
        <w:rFonts w:hint="eastAsia"/>
        <w:b/>
        <w:i w:val="0"/>
        <w:sz w:val="30"/>
      </w:rPr>
    </w:lvl>
    <w:lvl w:ilvl="1">
      <w:start w:val="1"/>
      <w:numFmt w:val="chineseCountingThousand"/>
      <w:lvlText w:val="%2、"/>
      <w:lvlJc w:val="left"/>
      <w:pPr>
        <w:tabs>
          <w:tab w:val="num" w:pos="2434"/>
        </w:tabs>
        <w:ind w:left="2434" w:hanging="454"/>
      </w:pPr>
      <w:rPr>
        <w:rFonts w:hint="eastAsia"/>
        <w:b/>
        <w:i w:val="0"/>
        <w:sz w:val="24"/>
      </w:rPr>
    </w:lvl>
    <w:lvl w:ilvl="2">
      <w:start w:val="1"/>
      <w:numFmt w:val="decimal"/>
      <w:lvlText w:val="%3. "/>
      <w:lvlJc w:val="left"/>
      <w:pPr>
        <w:tabs>
          <w:tab w:val="num" w:pos="475"/>
        </w:tabs>
        <w:ind w:left="102" w:firstLine="13"/>
      </w:pPr>
      <w:rPr>
        <w:rFonts w:hint="eastAsia"/>
        <w:sz w:val="24"/>
      </w:rPr>
    </w:lvl>
    <w:lvl w:ilvl="3">
      <w:start w:val="1"/>
      <w:numFmt w:val="decimal"/>
      <w:lvlText w:val="（%4）"/>
      <w:lvlJc w:val="left"/>
      <w:pPr>
        <w:tabs>
          <w:tab w:val="num" w:pos="720"/>
        </w:tabs>
        <w:ind w:left="57" w:hanging="57"/>
      </w:pPr>
      <w:rPr>
        <w:rFonts w:hint="eastAsia"/>
        <w:sz w:val="24"/>
      </w:rPr>
    </w:lvl>
    <w:lvl w:ilvl="4">
      <w:start w:val="1"/>
      <w:numFmt w:val="upperLetter"/>
      <w:lvlText w:val="%5."/>
      <w:lvlJc w:val="left"/>
      <w:pPr>
        <w:tabs>
          <w:tab w:val="num" w:pos="462"/>
        </w:tabs>
        <w:ind w:left="102" w:firstLine="0"/>
      </w:pPr>
      <w:rPr>
        <w:rFonts w:hint="eastAsia"/>
        <w:sz w:val="24"/>
      </w:rPr>
    </w:lvl>
    <w:lvl w:ilvl="5">
      <w:start w:val="1"/>
      <w:numFmt w:val="lowerLetter"/>
      <w:lvlText w:val="%6."/>
      <w:lvlJc w:val="left"/>
      <w:pPr>
        <w:tabs>
          <w:tab w:val="num" w:pos="462"/>
        </w:tabs>
        <w:ind w:left="102" w:firstLine="0"/>
      </w:pPr>
      <w:rPr>
        <w:rFonts w:hint="eastAsia"/>
        <w:sz w:val="24"/>
      </w:rPr>
    </w:lvl>
    <w:lvl w:ilvl="6">
      <w:start w:val="1"/>
      <w:numFmt w:val="none"/>
      <w:lvlText w:val=""/>
      <w:lvlJc w:val="left"/>
      <w:pPr>
        <w:tabs>
          <w:tab w:val="num" w:pos="3929"/>
        </w:tabs>
        <w:ind w:left="3929" w:hanging="1276"/>
      </w:pPr>
      <w:rPr>
        <w:rFonts w:hint="eastAsia"/>
      </w:rPr>
    </w:lvl>
    <w:lvl w:ilvl="7">
      <w:start w:val="1"/>
      <w:numFmt w:val="none"/>
      <w:lvlText w:val=""/>
      <w:lvlJc w:val="left"/>
      <w:pPr>
        <w:tabs>
          <w:tab w:val="num" w:pos="4496"/>
        </w:tabs>
        <w:ind w:left="4496" w:hanging="1418"/>
      </w:pPr>
      <w:rPr>
        <w:rFonts w:hint="eastAsia"/>
      </w:rPr>
    </w:lvl>
    <w:lvl w:ilvl="8">
      <w:start w:val="1"/>
      <w:numFmt w:val="none"/>
      <w:lvlText w:val=""/>
      <w:lvlJc w:val="left"/>
      <w:pPr>
        <w:tabs>
          <w:tab w:val="num" w:pos="5204"/>
        </w:tabs>
        <w:ind w:left="5204" w:hanging="1700"/>
      </w:pPr>
      <w:rPr>
        <w:rFonts w:hint="eastAsia"/>
      </w:rPr>
    </w:lvl>
  </w:abstractNum>
  <w:num w:numId="1">
    <w:abstractNumId w:val="7"/>
  </w:num>
  <w:num w:numId="2">
    <w:abstractNumId w:val="5"/>
  </w:num>
  <w:num w:numId="3">
    <w:abstractNumId w:val="0"/>
  </w:num>
  <w:num w:numId="4">
    <w:abstractNumId w:val="6"/>
  </w:num>
  <w:num w:numId="5">
    <w:abstractNumId w:val="3"/>
  </w:num>
  <w:num w:numId="6">
    <w:abstractNumId w:val="1"/>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王晚婷">
    <w15:presenceInfo w15:providerId="AD" w15:userId="S-1-5-21-3611496191-2553899486-1547728003-369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36704"/>
    <w:rsid w:val="00014E1E"/>
    <w:rsid w:val="00021ADA"/>
    <w:rsid w:val="000224FB"/>
    <w:rsid w:val="00025CB7"/>
    <w:rsid w:val="00025F40"/>
    <w:rsid w:val="000302EB"/>
    <w:rsid w:val="00035258"/>
    <w:rsid w:val="00035D9F"/>
    <w:rsid w:val="000420D6"/>
    <w:rsid w:val="00047A35"/>
    <w:rsid w:val="000524A1"/>
    <w:rsid w:val="0005618F"/>
    <w:rsid w:val="000637D8"/>
    <w:rsid w:val="000812E8"/>
    <w:rsid w:val="000813D0"/>
    <w:rsid w:val="000A04F6"/>
    <w:rsid w:val="000B2A81"/>
    <w:rsid w:val="000B4F8F"/>
    <w:rsid w:val="000B504C"/>
    <w:rsid w:val="000C76EC"/>
    <w:rsid w:val="000C7705"/>
    <w:rsid w:val="000E53D6"/>
    <w:rsid w:val="000F0537"/>
    <w:rsid w:val="000F05DF"/>
    <w:rsid w:val="0010366C"/>
    <w:rsid w:val="00122C7C"/>
    <w:rsid w:val="00124A71"/>
    <w:rsid w:val="0013202B"/>
    <w:rsid w:val="001343EC"/>
    <w:rsid w:val="001356DC"/>
    <w:rsid w:val="00141A4E"/>
    <w:rsid w:val="001469B4"/>
    <w:rsid w:val="001512A4"/>
    <w:rsid w:val="00152719"/>
    <w:rsid w:val="00172162"/>
    <w:rsid w:val="00173A7B"/>
    <w:rsid w:val="00177D95"/>
    <w:rsid w:val="0018114C"/>
    <w:rsid w:val="0018117A"/>
    <w:rsid w:val="00183232"/>
    <w:rsid w:val="00187131"/>
    <w:rsid w:val="00193B58"/>
    <w:rsid w:val="00194B5E"/>
    <w:rsid w:val="001B543A"/>
    <w:rsid w:val="001D09D9"/>
    <w:rsid w:val="001D12D1"/>
    <w:rsid w:val="001E3377"/>
    <w:rsid w:val="001E6C4C"/>
    <w:rsid w:val="0020146B"/>
    <w:rsid w:val="00212132"/>
    <w:rsid w:val="0021446E"/>
    <w:rsid w:val="0021533E"/>
    <w:rsid w:val="002157FA"/>
    <w:rsid w:val="002175B4"/>
    <w:rsid w:val="0022147F"/>
    <w:rsid w:val="0022157A"/>
    <w:rsid w:val="00247144"/>
    <w:rsid w:val="00247BBE"/>
    <w:rsid w:val="00250B03"/>
    <w:rsid w:val="0025358B"/>
    <w:rsid w:val="00270C67"/>
    <w:rsid w:val="00272FC1"/>
    <w:rsid w:val="0027360D"/>
    <w:rsid w:val="00281216"/>
    <w:rsid w:val="00285C7D"/>
    <w:rsid w:val="00291584"/>
    <w:rsid w:val="002B2CA5"/>
    <w:rsid w:val="002B7E9A"/>
    <w:rsid w:val="002C2A86"/>
    <w:rsid w:val="002D6127"/>
    <w:rsid w:val="002D7760"/>
    <w:rsid w:val="002E50F7"/>
    <w:rsid w:val="002F13ED"/>
    <w:rsid w:val="002F5889"/>
    <w:rsid w:val="002F5E40"/>
    <w:rsid w:val="002F7E0C"/>
    <w:rsid w:val="00301895"/>
    <w:rsid w:val="00311F95"/>
    <w:rsid w:val="003162CC"/>
    <w:rsid w:val="00322946"/>
    <w:rsid w:val="003244D6"/>
    <w:rsid w:val="00332411"/>
    <w:rsid w:val="00345A6E"/>
    <w:rsid w:val="00347A49"/>
    <w:rsid w:val="00351E5D"/>
    <w:rsid w:val="003525EE"/>
    <w:rsid w:val="00355263"/>
    <w:rsid w:val="00356D1A"/>
    <w:rsid w:val="00357A98"/>
    <w:rsid w:val="0036199C"/>
    <w:rsid w:val="0036718D"/>
    <w:rsid w:val="003771D6"/>
    <w:rsid w:val="00380F1D"/>
    <w:rsid w:val="0038547B"/>
    <w:rsid w:val="00391162"/>
    <w:rsid w:val="003A3FB5"/>
    <w:rsid w:val="003A6FCD"/>
    <w:rsid w:val="003B034E"/>
    <w:rsid w:val="003B3577"/>
    <w:rsid w:val="003B3AE2"/>
    <w:rsid w:val="003B7662"/>
    <w:rsid w:val="003D3D28"/>
    <w:rsid w:val="003E16E9"/>
    <w:rsid w:val="003E245B"/>
    <w:rsid w:val="003F4478"/>
    <w:rsid w:val="00406426"/>
    <w:rsid w:val="00415692"/>
    <w:rsid w:val="0042131A"/>
    <w:rsid w:val="0042315B"/>
    <w:rsid w:val="004376F7"/>
    <w:rsid w:val="00443440"/>
    <w:rsid w:val="0044505C"/>
    <w:rsid w:val="00447446"/>
    <w:rsid w:val="00455D79"/>
    <w:rsid w:val="00480676"/>
    <w:rsid w:val="00491D06"/>
    <w:rsid w:val="00495B40"/>
    <w:rsid w:val="004A6068"/>
    <w:rsid w:val="004A63AA"/>
    <w:rsid w:val="004A717E"/>
    <w:rsid w:val="004B3B21"/>
    <w:rsid w:val="004B506F"/>
    <w:rsid w:val="004B5157"/>
    <w:rsid w:val="004B5342"/>
    <w:rsid w:val="004C59EF"/>
    <w:rsid w:val="004C604C"/>
    <w:rsid w:val="004C71AD"/>
    <w:rsid w:val="004D02C0"/>
    <w:rsid w:val="004D4584"/>
    <w:rsid w:val="005002A5"/>
    <w:rsid w:val="00500FBD"/>
    <w:rsid w:val="00504C84"/>
    <w:rsid w:val="00511470"/>
    <w:rsid w:val="0052657A"/>
    <w:rsid w:val="005268D6"/>
    <w:rsid w:val="00527B59"/>
    <w:rsid w:val="005303E4"/>
    <w:rsid w:val="00534F16"/>
    <w:rsid w:val="00536704"/>
    <w:rsid w:val="005466A3"/>
    <w:rsid w:val="0056105D"/>
    <w:rsid w:val="00561A39"/>
    <w:rsid w:val="00563075"/>
    <w:rsid w:val="00571D35"/>
    <w:rsid w:val="00575A0B"/>
    <w:rsid w:val="00582A40"/>
    <w:rsid w:val="005A14E4"/>
    <w:rsid w:val="005A604B"/>
    <w:rsid w:val="005B0B44"/>
    <w:rsid w:val="005B2E20"/>
    <w:rsid w:val="005D7D6F"/>
    <w:rsid w:val="005E3C26"/>
    <w:rsid w:val="005E4FFF"/>
    <w:rsid w:val="00605DA0"/>
    <w:rsid w:val="00610535"/>
    <w:rsid w:val="0061121A"/>
    <w:rsid w:val="0061571C"/>
    <w:rsid w:val="00617570"/>
    <w:rsid w:val="0063431C"/>
    <w:rsid w:val="006346BF"/>
    <w:rsid w:val="006370A7"/>
    <w:rsid w:val="00640B2C"/>
    <w:rsid w:val="00643F2C"/>
    <w:rsid w:val="006505CD"/>
    <w:rsid w:val="0065255B"/>
    <w:rsid w:val="0065601D"/>
    <w:rsid w:val="00665F4F"/>
    <w:rsid w:val="00672061"/>
    <w:rsid w:val="0067402B"/>
    <w:rsid w:val="006771C2"/>
    <w:rsid w:val="00680E95"/>
    <w:rsid w:val="00684F74"/>
    <w:rsid w:val="00690B3D"/>
    <w:rsid w:val="00695F2C"/>
    <w:rsid w:val="006A6C18"/>
    <w:rsid w:val="006B3535"/>
    <w:rsid w:val="006B673A"/>
    <w:rsid w:val="006C3D40"/>
    <w:rsid w:val="006E2226"/>
    <w:rsid w:val="006F0D8F"/>
    <w:rsid w:val="006F19AD"/>
    <w:rsid w:val="006F5A01"/>
    <w:rsid w:val="006F5B36"/>
    <w:rsid w:val="006F6B52"/>
    <w:rsid w:val="00700CF6"/>
    <w:rsid w:val="00717FFD"/>
    <w:rsid w:val="00721851"/>
    <w:rsid w:val="00731364"/>
    <w:rsid w:val="00735F8F"/>
    <w:rsid w:val="007365A1"/>
    <w:rsid w:val="007456E7"/>
    <w:rsid w:val="00764389"/>
    <w:rsid w:val="0076592D"/>
    <w:rsid w:val="007735F9"/>
    <w:rsid w:val="00773AD3"/>
    <w:rsid w:val="00775E91"/>
    <w:rsid w:val="0077771D"/>
    <w:rsid w:val="007A19A7"/>
    <w:rsid w:val="007A70A0"/>
    <w:rsid w:val="007C45BA"/>
    <w:rsid w:val="007C6FD6"/>
    <w:rsid w:val="007D2E1C"/>
    <w:rsid w:val="007E48B4"/>
    <w:rsid w:val="007E7A59"/>
    <w:rsid w:val="007F73FB"/>
    <w:rsid w:val="007F780E"/>
    <w:rsid w:val="00802BB5"/>
    <w:rsid w:val="00806184"/>
    <w:rsid w:val="00807569"/>
    <w:rsid w:val="008216DE"/>
    <w:rsid w:val="00822B87"/>
    <w:rsid w:val="00824FD0"/>
    <w:rsid w:val="0082515F"/>
    <w:rsid w:val="00826166"/>
    <w:rsid w:val="00826A3D"/>
    <w:rsid w:val="00830AC7"/>
    <w:rsid w:val="00832CFF"/>
    <w:rsid w:val="00833595"/>
    <w:rsid w:val="00844250"/>
    <w:rsid w:val="00847452"/>
    <w:rsid w:val="008664F2"/>
    <w:rsid w:val="0086798C"/>
    <w:rsid w:val="00886DC2"/>
    <w:rsid w:val="00891DA4"/>
    <w:rsid w:val="00892054"/>
    <w:rsid w:val="0089299A"/>
    <w:rsid w:val="0089429F"/>
    <w:rsid w:val="008B1E7E"/>
    <w:rsid w:val="008B4249"/>
    <w:rsid w:val="008B6E96"/>
    <w:rsid w:val="008C0237"/>
    <w:rsid w:val="008C16EB"/>
    <w:rsid w:val="008C1DEC"/>
    <w:rsid w:val="008C3258"/>
    <w:rsid w:val="008C7F32"/>
    <w:rsid w:val="008D68DD"/>
    <w:rsid w:val="008E0202"/>
    <w:rsid w:val="008F7477"/>
    <w:rsid w:val="00904E2E"/>
    <w:rsid w:val="00911501"/>
    <w:rsid w:val="0091478A"/>
    <w:rsid w:val="00921EE1"/>
    <w:rsid w:val="00936DD0"/>
    <w:rsid w:val="00955FD6"/>
    <w:rsid w:val="009633D9"/>
    <w:rsid w:val="009676F3"/>
    <w:rsid w:val="00971F09"/>
    <w:rsid w:val="00973976"/>
    <w:rsid w:val="00975E8C"/>
    <w:rsid w:val="00982729"/>
    <w:rsid w:val="00983156"/>
    <w:rsid w:val="00985249"/>
    <w:rsid w:val="00986D46"/>
    <w:rsid w:val="00990686"/>
    <w:rsid w:val="009916DF"/>
    <w:rsid w:val="00996DCE"/>
    <w:rsid w:val="009A39C5"/>
    <w:rsid w:val="009B6B1F"/>
    <w:rsid w:val="009C425F"/>
    <w:rsid w:val="009D1DFA"/>
    <w:rsid w:val="009D2C59"/>
    <w:rsid w:val="009E0722"/>
    <w:rsid w:val="009E28C6"/>
    <w:rsid w:val="009E6918"/>
    <w:rsid w:val="009F5F22"/>
    <w:rsid w:val="009F7F1B"/>
    <w:rsid w:val="00A0095C"/>
    <w:rsid w:val="00A01D37"/>
    <w:rsid w:val="00A074A9"/>
    <w:rsid w:val="00A1351B"/>
    <w:rsid w:val="00A13D96"/>
    <w:rsid w:val="00A21395"/>
    <w:rsid w:val="00A219FA"/>
    <w:rsid w:val="00A25C6A"/>
    <w:rsid w:val="00A36CC1"/>
    <w:rsid w:val="00A375F5"/>
    <w:rsid w:val="00A42CC1"/>
    <w:rsid w:val="00A46B19"/>
    <w:rsid w:val="00A54A7C"/>
    <w:rsid w:val="00A55134"/>
    <w:rsid w:val="00A55779"/>
    <w:rsid w:val="00A57A64"/>
    <w:rsid w:val="00A662F5"/>
    <w:rsid w:val="00A72201"/>
    <w:rsid w:val="00A737CF"/>
    <w:rsid w:val="00A9072A"/>
    <w:rsid w:val="00A92B97"/>
    <w:rsid w:val="00A95203"/>
    <w:rsid w:val="00AA10C5"/>
    <w:rsid w:val="00AA3168"/>
    <w:rsid w:val="00AB1603"/>
    <w:rsid w:val="00AB63B1"/>
    <w:rsid w:val="00AC01C9"/>
    <w:rsid w:val="00AC3BD3"/>
    <w:rsid w:val="00AC5AD4"/>
    <w:rsid w:val="00AD0632"/>
    <w:rsid w:val="00AD76E6"/>
    <w:rsid w:val="00AF35D8"/>
    <w:rsid w:val="00AF4E5C"/>
    <w:rsid w:val="00AF4F0F"/>
    <w:rsid w:val="00B12DDB"/>
    <w:rsid w:val="00B22FA2"/>
    <w:rsid w:val="00B327A5"/>
    <w:rsid w:val="00B40836"/>
    <w:rsid w:val="00B427F2"/>
    <w:rsid w:val="00B46B47"/>
    <w:rsid w:val="00B5440D"/>
    <w:rsid w:val="00B60002"/>
    <w:rsid w:val="00B6181E"/>
    <w:rsid w:val="00B647A9"/>
    <w:rsid w:val="00B64955"/>
    <w:rsid w:val="00B65A86"/>
    <w:rsid w:val="00B70D12"/>
    <w:rsid w:val="00B73642"/>
    <w:rsid w:val="00B84761"/>
    <w:rsid w:val="00B847EA"/>
    <w:rsid w:val="00B85AA7"/>
    <w:rsid w:val="00B95DCA"/>
    <w:rsid w:val="00BA0346"/>
    <w:rsid w:val="00BA046E"/>
    <w:rsid w:val="00BA295B"/>
    <w:rsid w:val="00BB331F"/>
    <w:rsid w:val="00BB4D53"/>
    <w:rsid w:val="00BC0735"/>
    <w:rsid w:val="00BC54B9"/>
    <w:rsid w:val="00BE45AF"/>
    <w:rsid w:val="00BE4B9B"/>
    <w:rsid w:val="00C00589"/>
    <w:rsid w:val="00C06670"/>
    <w:rsid w:val="00C10B7A"/>
    <w:rsid w:val="00C10D3B"/>
    <w:rsid w:val="00C15B2D"/>
    <w:rsid w:val="00C23C94"/>
    <w:rsid w:val="00C250CF"/>
    <w:rsid w:val="00C254DD"/>
    <w:rsid w:val="00C27722"/>
    <w:rsid w:val="00C350F8"/>
    <w:rsid w:val="00C40F3F"/>
    <w:rsid w:val="00C4113F"/>
    <w:rsid w:val="00C53C4C"/>
    <w:rsid w:val="00C5558B"/>
    <w:rsid w:val="00C75A65"/>
    <w:rsid w:val="00C75E96"/>
    <w:rsid w:val="00C93907"/>
    <w:rsid w:val="00C93C33"/>
    <w:rsid w:val="00CA313C"/>
    <w:rsid w:val="00CA78EC"/>
    <w:rsid w:val="00CB1AB1"/>
    <w:rsid w:val="00CB4D45"/>
    <w:rsid w:val="00CD3FCD"/>
    <w:rsid w:val="00CD62DD"/>
    <w:rsid w:val="00CD74B1"/>
    <w:rsid w:val="00D00902"/>
    <w:rsid w:val="00D0182E"/>
    <w:rsid w:val="00D01BFF"/>
    <w:rsid w:val="00D14546"/>
    <w:rsid w:val="00D14B23"/>
    <w:rsid w:val="00D26D0D"/>
    <w:rsid w:val="00D2731D"/>
    <w:rsid w:val="00D346F7"/>
    <w:rsid w:val="00D64E4B"/>
    <w:rsid w:val="00D65A97"/>
    <w:rsid w:val="00D7547A"/>
    <w:rsid w:val="00D84FBA"/>
    <w:rsid w:val="00D85B81"/>
    <w:rsid w:val="00D8789A"/>
    <w:rsid w:val="00D954FB"/>
    <w:rsid w:val="00DA58C6"/>
    <w:rsid w:val="00DB3E68"/>
    <w:rsid w:val="00DC1208"/>
    <w:rsid w:val="00DD0B0D"/>
    <w:rsid w:val="00DD3129"/>
    <w:rsid w:val="00DD36F5"/>
    <w:rsid w:val="00DD6961"/>
    <w:rsid w:val="00DE0069"/>
    <w:rsid w:val="00DE055D"/>
    <w:rsid w:val="00DE51BB"/>
    <w:rsid w:val="00DE5314"/>
    <w:rsid w:val="00DE6D4A"/>
    <w:rsid w:val="00DF0493"/>
    <w:rsid w:val="00DF0EF5"/>
    <w:rsid w:val="00DF6827"/>
    <w:rsid w:val="00E12272"/>
    <w:rsid w:val="00E142F0"/>
    <w:rsid w:val="00E15B7B"/>
    <w:rsid w:val="00E20455"/>
    <w:rsid w:val="00E21369"/>
    <w:rsid w:val="00E346F4"/>
    <w:rsid w:val="00E37867"/>
    <w:rsid w:val="00E42827"/>
    <w:rsid w:val="00E436C9"/>
    <w:rsid w:val="00E4459B"/>
    <w:rsid w:val="00E46080"/>
    <w:rsid w:val="00E479E8"/>
    <w:rsid w:val="00E541BD"/>
    <w:rsid w:val="00E60CDA"/>
    <w:rsid w:val="00EA49D9"/>
    <w:rsid w:val="00EB026E"/>
    <w:rsid w:val="00EB2221"/>
    <w:rsid w:val="00EB26D1"/>
    <w:rsid w:val="00EC0FA5"/>
    <w:rsid w:val="00EC1062"/>
    <w:rsid w:val="00ED1A0D"/>
    <w:rsid w:val="00ED4438"/>
    <w:rsid w:val="00ED4B2B"/>
    <w:rsid w:val="00EE7EBC"/>
    <w:rsid w:val="00EF6D87"/>
    <w:rsid w:val="00F021B6"/>
    <w:rsid w:val="00F07018"/>
    <w:rsid w:val="00F07FA8"/>
    <w:rsid w:val="00F102D7"/>
    <w:rsid w:val="00F1122A"/>
    <w:rsid w:val="00F30FBF"/>
    <w:rsid w:val="00F32AD0"/>
    <w:rsid w:val="00F343F2"/>
    <w:rsid w:val="00F360E4"/>
    <w:rsid w:val="00F44E78"/>
    <w:rsid w:val="00F50394"/>
    <w:rsid w:val="00F64C74"/>
    <w:rsid w:val="00F6756B"/>
    <w:rsid w:val="00F75B56"/>
    <w:rsid w:val="00F80E1B"/>
    <w:rsid w:val="00F84039"/>
    <w:rsid w:val="00F85EA1"/>
    <w:rsid w:val="00F92AFE"/>
    <w:rsid w:val="00F95A74"/>
    <w:rsid w:val="00F95EE6"/>
    <w:rsid w:val="00FA284B"/>
    <w:rsid w:val="00FA346D"/>
    <w:rsid w:val="00FA56E8"/>
    <w:rsid w:val="00FC3669"/>
    <w:rsid w:val="00FC3B17"/>
    <w:rsid w:val="00FC4756"/>
    <w:rsid w:val="00FD0CB9"/>
    <w:rsid w:val="00FD24A3"/>
    <w:rsid w:val="00FD2D8E"/>
    <w:rsid w:val="00FD3577"/>
    <w:rsid w:val="00FF03E5"/>
    <w:rsid w:val="00FF5B9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First Indent"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5BA"/>
    <w:pPr>
      <w:widowControl w:val="0"/>
      <w:jc w:val="both"/>
    </w:pPr>
    <w:rPr>
      <w:rFonts w:ascii="Times New Roman" w:hAnsi="Times New Roman"/>
      <w:kern w:val="2"/>
      <w:sz w:val="21"/>
      <w:szCs w:val="24"/>
    </w:rPr>
  </w:style>
  <w:style w:type="paragraph" w:styleId="1">
    <w:name w:val="heading 1"/>
    <w:basedOn w:val="a"/>
    <w:next w:val="a"/>
    <w:link w:val="1Char"/>
    <w:qFormat/>
    <w:rsid w:val="00536704"/>
    <w:pPr>
      <w:keepNext/>
      <w:keepLines/>
      <w:tabs>
        <w:tab w:val="left" w:pos="1182"/>
      </w:tabs>
      <w:spacing w:beforeLines="100" w:afterLines="100" w:line="360" w:lineRule="auto"/>
      <w:ind w:left="527" w:hanging="425"/>
      <w:jc w:val="center"/>
      <w:outlineLvl w:val="0"/>
    </w:pPr>
    <w:rPr>
      <w:rFonts w:eastAsia="楷体_GB2312"/>
      <w:b/>
      <w:kern w:val="44"/>
      <w:sz w:val="32"/>
      <w:szCs w:val="20"/>
    </w:rPr>
  </w:style>
  <w:style w:type="paragraph" w:styleId="2">
    <w:name w:val="heading 2"/>
    <w:basedOn w:val="a"/>
    <w:next w:val="a0"/>
    <w:link w:val="2Char"/>
    <w:qFormat/>
    <w:rsid w:val="00536704"/>
    <w:pPr>
      <w:keepNext/>
      <w:keepLines/>
      <w:tabs>
        <w:tab w:val="left" w:pos="456"/>
      </w:tabs>
      <w:spacing w:beforeLines="100" w:afterLines="100" w:line="360" w:lineRule="auto"/>
      <w:ind w:left="456" w:hanging="454"/>
      <w:outlineLvl w:val="1"/>
    </w:pPr>
    <w:rPr>
      <w:rFonts w:cs="Arial"/>
      <w:b/>
      <w:sz w:val="24"/>
      <w:szCs w:val="20"/>
    </w:rPr>
  </w:style>
  <w:style w:type="paragraph" w:styleId="3">
    <w:name w:val="heading 3"/>
    <w:basedOn w:val="a"/>
    <w:next w:val="a0"/>
    <w:link w:val="3Char"/>
    <w:qFormat/>
    <w:rsid w:val="00536704"/>
    <w:pPr>
      <w:keepNext/>
      <w:keepLines/>
      <w:tabs>
        <w:tab w:val="left" w:pos="475"/>
      </w:tabs>
      <w:spacing w:beforeLines="50" w:afterLines="50" w:line="360" w:lineRule="auto"/>
      <w:ind w:left="102" w:firstLine="13"/>
      <w:outlineLvl w:val="2"/>
    </w:pPr>
    <w:rPr>
      <w:rFonts w:cs="Arial"/>
      <w:b/>
      <w:sz w:val="24"/>
      <w:szCs w:val="20"/>
    </w:rPr>
  </w:style>
  <w:style w:type="paragraph" w:styleId="4">
    <w:name w:val="heading 4"/>
    <w:basedOn w:val="a"/>
    <w:next w:val="a"/>
    <w:link w:val="4Char"/>
    <w:qFormat/>
    <w:rsid w:val="00536704"/>
    <w:pPr>
      <w:keepNext/>
      <w:keepLines/>
      <w:spacing w:before="280" w:after="290" w:line="372" w:lineRule="auto"/>
      <w:outlineLvl w:val="3"/>
    </w:pPr>
    <w:rPr>
      <w:rFonts w:ascii="Arial" w:eastAsia="黑体" w:hAnsi="Arial"/>
      <w:b/>
      <w:bCs/>
      <w:sz w:val="28"/>
      <w:szCs w:val="28"/>
    </w:rPr>
  </w:style>
  <w:style w:type="paragraph" w:styleId="5">
    <w:name w:val="heading 5"/>
    <w:basedOn w:val="a"/>
    <w:next w:val="a0"/>
    <w:link w:val="5Char"/>
    <w:qFormat/>
    <w:rsid w:val="00536704"/>
    <w:pPr>
      <w:keepNext/>
      <w:keepLines/>
      <w:tabs>
        <w:tab w:val="left" w:pos="462"/>
      </w:tabs>
      <w:spacing w:before="100" w:beforeAutospacing="1" w:after="100" w:afterAutospacing="1" w:line="360" w:lineRule="auto"/>
      <w:ind w:left="102"/>
      <w:outlineLvl w:val="4"/>
    </w:pPr>
    <w:rPr>
      <w:rFonts w:cs="Arial"/>
      <w:b/>
      <w:sz w:val="24"/>
      <w:szCs w:val="20"/>
    </w:rPr>
  </w:style>
  <w:style w:type="paragraph" w:styleId="6">
    <w:name w:val="heading 6"/>
    <w:basedOn w:val="a"/>
    <w:next w:val="a0"/>
    <w:link w:val="6Char"/>
    <w:qFormat/>
    <w:rsid w:val="00536704"/>
    <w:pPr>
      <w:keepNext/>
      <w:keepLines/>
      <w:tabs>
        <w:tab w:val="left" w:pos="462"/>
      </w:tabs>
      <w:spacing w:before="100" w:beforeAutospacing="1" w:after="100" w:afterAutospacing="1" w:line="360" w:lineRule="auto"/>
      <w:ind w:left="102"/>
      <w:outlineLvl w:val="5"/>
    </w:pPr>
    <w:rPr>
      <w:rFonts w:cs="Arial"/>
      <w:b/>
      <w:szCs w:val="20"/>
    </w:rPr>
  </w:style>
  <w:style w:type="paragraph" w:styleId="7">
    <w:name w:val="heading 7"/>
    <w:basedOn w:val="a"/>
    <w:next w:val="a"/>
    <w:link w:val="7Char"/>
    <w:qFormat/>
    <w:rsid w:val="00536704"/>
    <w:pPr>
      <w:keepNext/>
      <w:keepLines/>
      <w:spacing w:before="240" w:after="64" w:line="317" w:lineRule="auto"/>
      <w:outlineLvl w:val="6"/>
    </w:pPr>
    <w:rPr>
      <w:b/>
      <w:sz w:val="24"/>
      <w:szCs w:val="20"/>
    </w:rPr>
  </w:style>
  <w:style w:type="paragraph" w:styleId="8">
    <w:name w:val="heading 8"/>
    <w:basedOn w:val="a"/>
    <w:next w:val="a"/>
    <w:link w:val="8Char"/>
    <w:qFormat/>
    <w:rsid w:val="00536704"/>
    <w:pPr>
      <w:keepNext/>
      <w:keepLines/>
      <w:spacing w:before="240" w:after="64" w:line="317" w:lineRule="auto"/>
      <w:outlineLvl w:val="7"/>
    </w:pPr>
    <w:rPr>
      <w:rFonts w:ascii="Arial" w:eastAsia="黑体" w:hAnsi="Arial"/>
      <w:sz w:val="24"/>
      <w:szCs w:val="20"/>
    </w:rPr>
  </w:style>
  <w:style w:type="paragraph" w:styleId="9">
    <w:name w:val="heading 9"/>
    <w:basedOn w:val="a"/>
    <w:next w:val="a"/>
    <w:link w:val="9Char"/>
    <w:qFormat/>
    <w:rsid w:val="00536704"/>
    <w:pPr>
      <w:keepNext/>
      <w:keepLines/>
      <w:spacing w:before="240" w:after="64" w:line="317"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536704"/>
    <w:rPr>
      <w:rFonts w:ascii="Times New Roman" w:eastAsia="楷体_GB2312" w:hAnsi="Times New Roman" w:cs="Times New Roman"/>
      <w:b/>
      <w:kern w:val="44"/>
      <w:sz w:val="32"/>
      <w:szCs w:val="20"/>
    </w:rPr>
  </w:style>
  <w:style w:type="character" w:customStyle="1" w:styleId="2Char">
    <w:name w:val="标题 2 Char"/>
    <w:basedOn w:val="a1"/>
    <w:link w:val="2"/>
    <w:rsid w:val="00536704"/>
    <w:rPr>
      <w:rFonts w:ascii="Times New Roman" w:eastAsia="宋体" w:hAnsi="Times New Roman" w:cs="Arial"/>
      <w:b/>
      <w:sz w:val="24"/>
      <w:szCs w:val="20"/>
    </w:rPr>
  </w:style>
  <w:style w:type="character" w:customStyle="1" w:styleId="3Char">
    <w:name w:val="标题 3 Char"/>
    <w:basedOn w:val="a1"/>
    <w:link w:val="3"/>
    <w:rsid w:val="00536704"/>
    <w:rPr>
      <w:rFonts w:ascii="Times New Roman" w:eastAsia="宋体" w:hAnsi="Times New Roman" w:cs="Arial"/>
      <w:b/>
      <w:sz w:val="24"/>
      <w:szCs w:val="20"/>
    </w:rPr>
  </w:style>
  <w:style w:type="character" w:customStyle="1" w:styleId="4Char">
    <w:name w:val="标题 4 Char"/>
    <w:basedOn w:val="a1"/>
    <w:link w:val="4"/>
    <w:rsid w:val="00536704"/>
    <w:rPr>
      <w:rFonts w:ascii="Arial" w:eastAsia="黑体" w:hAnsi="Arial" w:cs="Times New Roman"/>
      <w:b/>
      <w:bCs/>
      <w:sz w:val="28"/>
      <w:szCs w:val="28"/>
    </w:rPr>
  </w:style>
  <w:style w:type="character" w:customStyle="1" w:styleId="5Char">
    <w:name w:val="标题 5 Char"/>
    <w:basedOn w:val="a1"/>
    <w:link w:val="5"/>
    <w:rsid w:val="00536704"/>
    <w:rPr>
      <w:rFonts w:ascii="Times New Roman" w:eastAsia="宋体" w:hAnsi="Times New Roman" w:cs="Arial"/>
      <w:b/>
      <w:sz w:val="24"/>
      <w:szCs w:val="20"/>
    </w:rPr>
  </w:style>
  <w:style w:type="character" w:customStyle="1" w:styleId="6Char">
    <w:name w:val="标题 6 Char"/>
    <w:basedOn w:val="a1"/>
    <w:link w:val="6"/>
    <w:rsid w:val="00536704"/>
    <w:rPr>
      <w:rFonts w:ascii="Times New Roman" w:eastAsia="宋体" w:hAnsi="Times New Roman" w:cs="Arial"/>
      <w:b/>
      <w:szCs w:val="20"/>
    </w:rPr>
  </w:style>
  <w:style w:type="character" w:customStyle="1" w:styleId="7Char">
    <w:name w:val="标题 7 Char"/>
    <w:basedOn w:val="a1"/>
    <w:link w:val="7"/>
    <w:rsid w:val="00536704"/>
    <w:rPr>
      <w:rFonts w:ascii="Times New Roman" w:eastAsia="宋体" w:hAnsi="Times New Roman" w:cs="Times New Roman"/>
      <w:b/>
      <w:sz w:val="24"/>
      <w:szCs w:val="20"/>
    </w:rPr>
  </w:style>
  <w:style w:type="character" w:customStyle="1" w:styleId="8Char">
    <w:name w:val="标题 8 Char"/>
    <w:basedOn w:val="a1"/>
    <w:link w:val="8"/>
    <w:rsid w:val="00536704"/>
    <w:rPr>
      <w:rFonts w:ascii="Arial" w:eastAsia="黑体" w:hAnsi="Arial" w:cs="Times New Roman"/>
      <w:sz w:val="24"/>
      <w:szCs w:val="20"/>
    </w:rPr>
  </w:style>
  <w:style w:type="character" w:customStyle="1" w:styleId="9Char">
    <w:name w:val="标题 9 Char"/>
    <w:basedOn w:val="a1"/>
    <w:link w:val="9"/>
    <w:rsid w:val="00536704"/>
    <w:rPr>
      <w:rFonts w:ascii="Arial" w:eastAsia="黑体" w:hAnsi="Arial" w:cs="Times New Roman"/>
      <w:szCs w:val="20"/>
    </w:rPr>
  </w:style>
  <w:style w:type="paragraph" w:styleId="a0">
    <w:name w:val="Normal Indent"/>
    <w:basedOn w:val="a"/>
    <w:rsid w:val="00536704"/>
    <w:pPr>
      <w:ind w:firstLineChars="200" w:firstLine="420"/>
    </w:pPr>
  </w:style>
  <w:style w:type="character" w:customStyle="1" w:styleId="read">
    <w:name w:val="read"/>
    <w:basedOn w:val="a1"/>
    <w:rsid w:val="00536704"/>
  </w:style>
  <w:style w:type="character" w:styleId="a4">
    <w:name w:val="Hyperlink"/>
    <w:basedOn w:val="a1"/>
    <w:uiPriority w:val="99"/>
    <w:rsid w:val="00536704"/>
    <w:rPr>
      <w:color w:val="0000FF"/>
      <w:u w:val="single"/>
    </w:rPr>
  </w:style>
  <w:style w:type="character" w:customStyle="1" w:styleId="big1">
    <w:name w:val="big1"/>
    <w:basedOn w:val="a1"/>
    <w:rsid w:val="00536704"/>
    <w:rPr>
      <w:sz w:val="22"/>
      <w:szCs w:val="22"/>
    </w:rPr>
  </w:style>
  <w:style w:type="character" w:customStyle="1" w:styleId="ten51">
    <w:name w:val="ten51"/>
    <w:basedOn w:val="a1"/>
    <w:rsid w:val="00536704"/>
    <w:rPr>
      <w:sz w:val="21"/>
      <w:szCs w:val="21"/>
    </w:rPr>
  </w:style>
  <w:style w:type="character" w:styleId="a5">
    <w:name w:val="page number"/>
    <w:basedOn w:val="a1"/>
    <w:rsid w:val="00536704"/>
  </w:style>
  <w:style w:type="character" w:styleId="a6">
    <w:name w:val="annotation reference"/>
    <w:basedOn w:val="a1"/>
    <w:rsid w:val="00536704"/>
    <w:rPr>
      <w:sz w:val="21"/>
      <w:szCs w:val="21"/>
    </w:rPr>
  </w:style>
  <w:style w:type="character" w:styleId="a7">
    <w:name w:val="FollowedHyperlink"/>
    <w:basedOn w:val="a1"/>
    <w:uiPriority w:val="99"/>
    <w:rsid w:val="00536704"/>
    <w:rPr>
      <w:color w:val="800080"/>
      <w:u w:val="single"/>
    </w:rPr>
  </w:style>
  <w:style w:type="paragraph" w:styleId="10">
    <w:name w:val="toc 1"/>
    <w:basedOn w:val="a"/>
    <w:next w:val="a"/>
    <w:uiPriority w:val="39"/>
    <w:rsid w:val="00536704"/>
    <w:pPr>
      <w:tabs>
        <w:tab w:val="right" w:leader="dot" w:pos="8450"/>
      </w:tabs>
    </w:pPr>
    <w:rPr>
      <w:rFonts w:ascii="黑体" w:eastAsia="黑体" w:hAnsi="宋体"/>
      <w:sz w:val="24"/>
    </w:rPr>
  </w:style>
  <w:style w:type="paragraph" w:styleId="a8">
    <w:name w:val="footer"/>
    <w:basedOn w:val="a"/>
    <w:link w:val="Char"/>
    <w:rsid w:val="00536704"/>
    <w:pPr>
      <w:tabs>
        <w:tab w:val="center" w:pos="4153"/>
        <w:tab w:val="right" w:pos="8306"/>
      </w:tabs>
      <w:snapToGrid w:val="0"/>
      <w:jc w:val="left"/>
    </w:pPr>
    <w:rPr>
      <w:sz w:val="18"/>
      <w:szCs w:val="18"/>
    </w:rPr>
  </w:style>
  <w:style w:type="character" w:customStyle="1" w:styleId="Char">
    <w:name w:val="页脚 Char"/>
    <w:basedOn w:val="a1"/>
    <w:link w:val="a8"/>
    <w:rsid w:val="00536704"/>
    <w:rPr>
      <w:rFonts w:ascii="Times New Roman" w:eastAsia="宋体" w:hAnsi="Times New Roman" w:cs="Times New Roman"/>
      <w:sz w:val="18"/>
      <w:szCs w:val="18"/>
    </w:rPr>
  </w:style>
  <w:style w:type="paragraph" w:styleId="a9">
    <w:name w:val="Title"/>
    <w:basedOn w:val="aa"/>
    <w:next w:val="aa"/>
    <w:link w:val="Char0"/>
    <w:qFormat/>
    <w:rsid w:val="00536704"/>
    <w:pPr>
      <w:tabs>
        <w:tab w:val="left" w:pos="-540"/>
        <w:tab w:val="left" w:pos="1182"/>
      </w:tabs>
      <w:snapToGrid w:val="0"/>
      <w:spacing w:before="240" w:after="60" w:line="360" w:lineRule="auto"/>
      <w:ind w:left="527" w:hanging="425"/>
      <w:jc w:val="center"/>
      <w:outlineLvl w:val="0"/>
    </w:pPr>
    <w:rPr>
      <w:b/>
      <w:bCs/>
      <w:sz w:val="36"/>
      <w:szCs w:val="20"/>
    </w:rPr>
  </w:style>
  <w:style w:type="character" w:customStyle="1" w:styleId="Char0">
    <w:name w:val="标题 Char"/>
    <w:basedOn w:val="a1"/>
    <w:link w:val="a9"/>
    <w:rsid w:val="00536704"/>
    <w:rPr>
      <w:rFonts w:ascii="Times New Roman" w:eastAsia="宋体" w:hAnsi="Times New Roman" w:cs="Times New Roman"/>
      <w:b/>
      <w:bCs/>
      <w:sz w:val="36"/>
      <w:szCs w:val="20"/>
    </w:rPr>
  </w:style>
  <w:style w:type="paragraph" w:styleId="aa">
    <w:name w:val="Body Text"/>
    <w:basedOn w:val="a"/>
    <w:link w:val="Char1"/>
    <w:uiPriority w:val="99"/>
    <w:rsid w:val="00536704"/>
    <w:pPr>
      <w:spacing w:after="120"/>
    </w:pPr>
  </w:style>
  <w:style w:type="character" w:customStyle="1" w:styleId="Char1">
    <w:name w:val="正文文本 Char"/>
    <w:basedOn w:val="a1"/>
    <w:link w:val="aa"/>
    <w:uiPriority w:val="99"/>
    <w:rsid w:val="00536704"/>
    <w:rPr>
      <w:rFonts w:ascii="Times New Roman" w:eastAsia="宋体" w:hAnsi="Times New Roman" w:cs="Times New Roman"/>
      <w:szCs w:val="24"/>
    </w:rPr>
  </w:style>
  <w:style w:type="paragraph" w:styleId="ab">
    <w:name w:val="annotation text"/>
    <w:basedOn w:val="a"/>
    <w:link w:val="Char2"/>
    <w:unhideWhenUsed/>
    <w:rsid w:val="00536704"/>
    <w:pPr>
      <w:jc w:val="left"/>
    </w:pPr>
  </w:style>
  <w:style w:type="character" w:customStyle="1" w:styleId="Char2">
    <w:name w:val="批注文字 Char"/>
    <w:basedOn w:val="a1"/>
    <w:link w:val="ab"/>
    <w:rsid w:val="00536704"/>
    <w:rPr>
      <w:rFonts w:ascii="Times New Roman" w:eastAsia="宋体" w:hAnsi="Times New Roman" w:cs="Times New Roman"/>
      <w:szCs w:val="24"/>
    </w:rPr>
  </w:style>
  <w:style w:type="paragraph" w:styleId="ac">
    <w:name w:val="annotation subject"/>
    <w:basedOn w:val="ab"/>
    <w:next w:val="ab"/>
    <w:link w:val="Char3"/>
    <w:rsid w:val="00536704"/>
    <w:rPr>
      <w:b/>
      <w:bCs/>
    </w:rPr>
  </w:style>
  <w:style w:type="character" w:customStyle="1" w:styleId="Char3">
    <w:name w:val="批注主题 Char"/>
    <w:basedOn w:val="Char2"/>
    <w:link w:val="ac"/>
    <w:rsid w:val="00536704"/>
    <w:rPr>
      <w:rFonts w:ascii="Times New Roman" w:eastAsia="宋体" w:hAnsi="Times New Roman" w:cs="Times New Roman"/>
      <w:b/>
      <w:bCs/>
      <w:szCs w:val="24"/>
    </w:rPr>
  </w:style>
  <w:style w:type="paragraph" w:styleId="ad">
    <w:name w:val="List Paragraph"/>
    <w:basedOn w:val="a"/>
    <w:qFormat/>
    <w:rsid w:val="00536704"/>
    <w:pPr>
      <w:ind w:firstLineChars="200" w:firstLine="420"/>
    </w:pPr>
    <w:rPr>
      <w:rFonts w:ascii="Calibri" w:hAnsi="Calibri"/>
      <w:szCs w:val="22"/>
    </w:rPr>
  </w:style>
  <w:style w:type="paragraph" w:styleId="ae">
    <w:name w:val="Revision"/>
    <w:rsid w:val="00536704"/>
    <w:rPr>
      <w:rFonts w:ascii="Times New Roman" w:hAnsi="Times New Roman"/>
      <w:kern w:val="2"/>
      <w:sz w:val="21"/>
      <w:szCs w:val="24"/>
    </w:rPr>
  </w:style>
  <w:style w:type="paragraph" w:customStyle="1" w:styleId="af">
    <w:name w:val="报告署名"/>
    <w:basedOn w:val="a"/>
    <w:next w:val="a"/>
    <w:rsid w:val="00536704"/>
    <w:pPr>
      <w:spacing w:line="360" w:lineRule="auto"/>
      <w:jc w:val="center"/>
    </w:pPr>
    <w:rPr>
      <w:rFonts w:ascii="宋体" w:hAnsi="宋体"/>
      <w:sz w:val="24"/>
      <w:szCs w:val="20"/>
    </w:rPr>
  </w:style>
  <w:style w:type="paragraph" w:customStyle="1" w:styleId="xl22">
    <w:name w:val="xl22"/>
    <w:basedOn w:val="a"/>
    <w:rsid w:val="00536704"/>
    <w:pPr>
      <w:widowControl/>
      <w:spacing w:before="100" w:beforeAutospacing="1" w:after="100" w:afterAutospacing="1"/>
      <w:textAlignment w:val="top"/>
    </w:pPr>
    <w:rPr>
      <w:rFonts w:ascii="宋体" w:hAnsi="宋体" w:cs="Arial Unicode MS" w:hint="eastAsia"/>
      <w:kern w:val="0"/>
      <w:sz w:val="18"/>
      <w:szCs w:val="18"/>
    </w:rPr>
  </w:style>
  <w:style w:type="paragraph" w:styleId="af0">
    <w:name w:val="Balloon Text"/>
    <w:basedOn w:val="a"/>
    <w:link w:val="Char4"/>
    <w:rsid w:val="00536704"/>
    <w:rPr>
      <w:sz w:val="18"/>
      <w:szCs w:val="18"/>
    </w:rPr>
  </w:style>
  <w:style w:type="character" w:customStyle="1" w:styleId="Char4">
    <w:name w:val="批注框文本 Char"/>
    <w:basedOn w:val="a1"/>
    <w:link w:val="af0"/>
    <w:rsid w:val="00536704"/>
    <w:rPr>
      <w:rFonts w:ascii="Times New Roman" w:eastAsia="宋体" w:hAnsi="Times New Roman" w:cs="Times New Roman"/>
      <w:sz w:val="18"/>
      <w:szCs w:val="18"/>
    </w:rPr>
  </w:style>
  <w:style w:type="paragraph" w:customStyle="1" w:styleId="Char10">
    <w:name w:val="Char1"/>
    <w:basedOn w:val="a"/>
    <w:rsid w:val="00536704"/>
  </w:style>
  <w:style w:type="paragraph" w:customStyle="1" w:styleId="ParaCharCharCharCharCharChar">
    <w:name w:val="默认段落字体 Para Char Char Char Char Char Char"/>
    <w:basedOn w:val="a"/>
    <w:rsid w:val="00536704"/>
    <w:pPr>
      <w:tabs>
        <w:tab w:val="left" w:pos="840"/>
      </w:tabs>
      <w:ind w:left="840" w:hanging="360"/>
    </w:pPr>
    <w:rPr>
      <w:sz w:val="24"/>
    </w:rPr>
  </w:style>
  <w:style w:type="paragraph" w:styleId="af1">
    <w:name w:val="header"/>
    <w:basedOn w:val="a"/>
    <w:link w:val="Char5"/>
    <w:rsid w:val="00536704"/>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1"/>
    <w:link w:val="af1"/>
    <w:rsid w:val="00536704"/>
    <w:rPr>
      <w:rFonts w:ascii="Times New Roman" w:eastAsia="宋体" w:hAnsi="Times New Roman" w:cs="Times New Roman"/>
      <w:sz w:val="18"/>
      <w:szCs w:val="18"/>
    </w:rPr>
  </w:style>
  <w:style w:type="paragraph" w:customStyle="1" w:styleId="CharCharCharCharCharCharChar">
    <w:name w:val="Char Char Char Char Char Char Char"/>
    <w:basedOn w:val="a"/>
    <w:rsid w:val="00536704"/>
    <w:pPr>
      <w:tabs>
        <w:tab w:val="left" w:pos="840"/>
      </w:tabs>
      <w:ind w:left="840" w:hanging="360"/>
    </w:pPr>
    <w:rPr>
      <w:sz w:val="24"/>
    </w:rPr>
  </w:style>
  <w:style w:type="paragraph" w:customStyle="1" w:styleId="CharCharChar">
    <w:name w:val="Char Char Char"/>
    <w:basedOn w:val="a"/>
    <w:rsid w:val="00536704"/>
  </w:style>
  <w:style w:type="paragraph" w:styleId="af2">
    <w:name w:val="Body Text First Indent"/>
    <w:basedOn w:val="aa"/>
    <w:link w:val="Char6"/>
    <w:rsid w:val="00536704"/>
    <w:pPr>
      <w:spacing w:line="300" w:lineRule="auto"/>
      <w:ind w:firstLine="425"/>
    </w:pPr>
    <w:rPr>
      <w:szCs w:val="20"/>
    </w:rPr>
  </w:style>
  <w:style w:type="character" w:customStyle="1" w:styleId="Char6">
    <w:name w:val="正文首行缩进 Char"/>
    <w:basedOn w:val="Char1"/>
    <w:link w:val="af2"/>
    <w:rsid w:val="00536704"/>
    <w:rPr>
      <w:rFonts w:ascii="Times New Roman" w:eastAsia="宋体" w:hAnsi="Times New Roman" w:cs="Times New Roman"/>
      <w:szCs w:val="20"/>
    </w:rPr>
  </w:style>
  <w:style w:type="paragraph" w:styleId="af3">
    <w:name w:val="Body Text Indent"/>
    <w:basedOn w:val="a"/>
    <w:link w:val="Char7"/>
    <w:rsid w:val="00536704"/>
    <w:pPr>
      <w:widowControl/>
      <w:spacing w:line="360" w:lineRule="auto"/>
      <w:ind w:rightChars="-85" w:right="-178" w:firstLineChars="150" w:firstLine="360"/>
      <w:jc w:val="left"/>
    </w:pPr>
    <w:rPr>
      <w:rFonts w:ascii="宋体" w:hAnsi="宋体"/>
      <w:sz w:val="24"/>
    </w:rPr>
  </w:style>
  <w:style w:type="character" w:customStyle="1" w:styleId="Char7">
    <w:name w:val="正文文本缩进 Char"/>
    <w:basedOn w:val="a1"/>
    <w:link w:val="af3"/>
    <w:rsid w:val="00536704"/>
    <w:rPr>
      <w:rFonts w:ascii="宋体" w:eastAsia="宋体" w:hAnsi="宋体" w:cs="Times New Roman"/>
      <w:sz w:val="24"/>
      <w:szCs w:val="24"/>
    </w:rPr>
  </w:style>
  <w:style w:type="paragraph" w:styleId="30">
    <w:name w:val="Body Text Indent 3"/>
    <w:basedOn w:val="a"/>
    <w:link w:val="3Char0"/>
    <w:rsid w:val="00536704"/>
    <w:pPr>
      <w:spacing w:after="120"/>
      <w:ind w:leftChars="200" w:left="420"/>
    </w:pPr>
    <w:rPr>
      <w:sz w:val="16"/>
      <w:szCs w:val="16"/>
    </w:rPr>
  </w:style>
  <w:style w:type="character" w:customStyle="1" w:styleId="3Char0">
    <w:name w:val="正文文本缩进 3 Char"/>
    <w:basedOn w:val="a1"/>
    <w:link w:val="30"/>
    <w:rsid w:val="00536704"/>
    <w:rPr>
      <w:rFonts w:ascii="Times New Roman" w:eastAsia="宋体" w:hAnsi="Times New Roman" w:cs="Times New Roman"/>
      <w:sz w:val="16"/>
      <w:szCs w:val="16"/>
    </w:rPr>
  </w:style>
  <w:style w:type="paragraph" w:customStyle="1" w:styleId="20">
    <w:name w:val="编号正文2"/>
    <w:basedOn w:val="a"/>
    <w:rsid w:val="00536704"/>
    <w:pPr>
      <w:tabs>
        <w:tab w:val="left" w:pos="648"/>
      </w:tabs>
      <w:autoSpaceDE w:val="0"/>
      <w:autoSpaceDN w:val="0"/>
      <w:adjustRightInd w:val="0"/>
      <w:spacing w:after="120" w:line="300" w:lineRule="auto"/>
      <w:ind w:firstLine="288"/>
      <w:textAlignment w:val="baseline"/>
    </w:pPr>
    <w:rPr>
      <w:rFonts w:ascii="宋体"/>
      <w:kern w:val="0"/>
      <w:szCs w:val="20"/>
    </w:rPr>
  </w:style>
  <w:style w:type="paragraph" w:styleId="af4">
    <w:name w:val="Plain Text"/>
    <w:basedOn w:val="a"/>
    <w:link w:val="Char8"/>
    <w:rsid w:val="00536704"/>
    <w:pPr>
      <w:widowControl/>
      <w:jc w:val="left"/>
    </w:pPr>
    <w:rPr>
      <w:rFonts w:ascii="Courier New" w:hAnsi="Courier New" w:cs="Courier New"/>
      <w:kern w:val="0"/>
      <w:sz w:val="20"/>
      <w:szCs w:val="20"/>
    </w:rPr>
  </w:style>
  <w:style w:type="character" w:customStyle="1" w:styleId="Char8">
    <w:name w:val="纯文本 Char"/>
    <w:basedOn w:val="a1"/>
    <w:link w:val="af4"/>
    <w:rsid w:val="00536704"/>
    <w:rPr>
      <w:rFonts w:ascii="Courier New" w:eastAsia="宋体" w:hAnsi="Courier New" w:cs="Courier New"/>
      <w:kern w:val="0"/>
      <w:sz w:val="20"/>
      <w:szCs w:val="20"/>
    </w:rPr>
  </w:style>
  <w:style w:type="paragraph" w:customStyle="1" w:styleId="CharCharCharChar1CharCharChar">
    <w:name w:val="Char Char Char Char1 Char Char Char"/>
    <w:basedOn w:val="a"/>
    <w:rsid w:val="00536704"/>
  </w:style>
  <w:style w:type="paragraph" w:customStyle="1" w:styleId="af5">
    <w:name w:val="项目"/>
    <w:basedOn w:val="4"/>
    <w:rsid w:val="00536704"/>
    <w:pPr>
      <w:snapToGrid w:val="0"/>
      <w:spacing w:before="120" w:after="120" w:line="360" w:lineRule="auto"/>
    </w:pPr>
    <w:rPr>
      <w:rFonts w:ascii="Times New Roman" w:eastAsia="楷体_GB2312" w:hAnsi="Times New Roman"/>
      <w:b w:val="0"/>
      <w:sz w:val="24"/>
      <w:szCs w:val="20"/>
    </w:rPr>
  </w:style>
  <w:style w:type="paragraph" w:styleId="21">
    <w:name w:val="toc 2"/>
    <w:basedOn w:val="a"/>
    <w:next w:val="a"/>
    <w:rsid w:val="00536704"/>
    <w:pPr>
      <w:ind w:leftChars="200" w:left="420"/>
    </w:pPr>
  </w:style>
  <w:style w:type="paragraph" w:customStyle="1" w:styleId="22">
    <w:name w:val="列表2"/>
    <w:basedOn w:val="a"/>
    <w:next w:val="a9"/>
    <w:rsid w:val="00536704"/>
    <w:pPr>
      <w:tabs>
        <w:tab w:val="left" w:pos="1125"/>
      </w:tabs>
      <w:spacing w:line="360" w:lineRule="auto"/>
      <w:ind w:left="1125" w:hanging="1125"/>
    </w:pPr>
    <w:rPr>
      <w:rFonts w:ascii="宋体"/>
      <w:szCs w:val="20"/>
    </w:rPr>
  </w:style>
  <w:style w:type="paragraph" w:styleId="23">
    <w:name w:val="Body Text Indent 2"/>
    <w:basedOn w:val="a"/>
    <w:link w:val="2Char0"/>
    <w:rsid w:val="00536704"/>
    <w:pPr>
      <w:widowControl/>
      <w:spacing w:before="100" w:beforeAutospacing="1" w:after="100" w:afterAutospacing="1"/>
      <w:ind w:rightChars="-85" w:right="-178" w:firstLine="480"/>
      <w:outlineLvl w:val="0"/>
    </w:pPr>
    <w:rPr>
      <w:rFonts w:ascii="宋体" w:hAnsi="宋体"/>
      <w:color w:val="000000"/>
      <w:sz w:val="24"/>
    </w:rPr>
  </w:style>
  <w:style w:type="character" w:customStyle="1" w:styleId="2Char0">
    <w:name w:val="正文文本缩进 2 Char"/>
    <w:basedOn w:val="a1"/>
    <w:link w:val="23"/>
    <w:rsid w:val="00536704"/>
    <w:rPr>
      <w:rFonts w:ascii="宋体" w:eastAsia="宋体" w:hAnsi="宋体" w:cs="Times New Roman"/>
      <w:color w:val="000000"/>
      <w:sz w:val="24"/>
      <w:szCs w:val="24"/>
    </w:rPr>
  </w:style>
  <w:style w:type="paragraph" w:customStyle="1" w:styleId="af6">
    <w:name w:val="表格正文"/>
    <w:basedOn w:val="a0"/>
    <w:rsid w:val="00536704"/>
    <w:pPr>
      <w:spacing w:beforeLines="50"/>
      <w:ind w:firstLineChars="0" w:firstLine="0"/>
      <w:jc w:val="center"/>
    </w:pPr>
    <w:rPr>
      <w:sz w:val="24"/>
      <w:szCs w:val="20"/>
    </w:rPr>
  </w:style>
  <w:style w:type="paragraph" w:customStyle="1" w:styleId="Default">
    <w:name w:val="Default"/>
    <w:rsid w:val="00536704"/>
    <w:pPr>
      <w:widowControl w:val="0"/>
      <w:autoSpaceDE w:val="0"/>
      <w:autoSpaceDN w:val="0"/>
      <w:adjustRightInd w:val="0"/>
    </w:pPr>
    <w:rPr>
      <w:rFonts w:ascii="宋体" w:hAnsi="Times New Roman" w:cs="宋体"/>
      <w:color w:val="000000"/>
      <w:sz w:val="24"/>
      <w:szCs w:val="24"/>
    </w:rPr>
  </w:style>
  <w:style w:type="paragraph" w:customStyle="1" w:styleId="Char1CharCharCharCharCharCharCharCharCharCharCharChar1CharCharCharCharCharCharCharCharCharCharCharChar1CharCharChar">
    <w:name w:val="Char1 Char Char Char Char Char Char Char Char Char Char Char Char1 Char Char Char Char Char Char Char Char Char Char Char Char1 Char Char Char"/>
    <w:basedOn w:val="a"/>
    <w:rsid w:val="00536704"/>
  </w:style>
  <w:style w:type="paragraph" w:styleId="31">
    <w:name w:val="Body Text 3"/>
    <w:basedOn w:val="a"/>
    <w:link w:val="3Char1"/>
    <w:rsid w:val="00536704"/>
    <w:pPr>
      <w:spacing w:line="360" w:lineRule="auto"/>
    </w:pPr>
    <w:rPr>
      <w:rFonts w:ascii="仿宋_GB2312" w:eastAsia="仿宋_GB2312" w:hAnsi="Arial"/>
    </w:rPr>
  </w:style>
  <w:style w:type="character" w:customStyle="1" w:styleId="3Char1">
    <w:name w:val="正文文本 3 Char"/>
    <w:basedOn w:val="a1"/>
    <w:link w:val="31"/>
    <w:rsid w:val="00536704"/>
    <w:rPr>
      <w:rFonts w:ascii="仿宋_GB2312" w:eastAsia="仿宋_GB2312" w:hAnsi="Arial" w:cs="Times New Roman"/>
      <w:szCs w:val="24"/>
    </w:rPr>
  </w:style>
  <w:style w:type="paragraph" w:customStyle="1" w:styleId="Char9">
    <w:name w:val="Char"/>
    <w:basedOn w:val="a"/>
    <w:rsid w:val="00536704"/>
  </w:style>
  <w:style w:type="paragraph" w:styleId="af7">
    <w:name w:val="Normal (Web)"/>
    <w:basedOn w:val="a"/>
    <w:rsid w:val="00536704"/>
    <w:pPr>
      <w:widowControl/>
      <w:tabs>
        <w:tab w:val="left" w:pos="360"/>
      </w:tabs>
      <w:spacing w:before="100" w:beforeAutospacing="1" w:after="100" w:afterAutospacing="1"/>
      <w:jc w:val="left"/>
    </w:pPr>
    <w:rPr>
      <w:rFonts w:ascii="Arial Unicode MS" w:eastAsia="Arial Unicode MS" w:hAnsi="Arial Unicode MS" w:cs="Arial Unicode MS"/>
      <w:kern w:val="0"/>
      <w:sz w:val="24"/>
    </w:rPr>
  </w:style>
  <w:style w:type="paragraph" w:customStyle="1" w:styleId="ParaChar">
    <w:name w:val="默认段落字体 Para Char"/>
    <w:basedOn w:val="a"/>
    <w:rsid w:val="00536704"/>
    <w:pPr>
      <w:tabs>
        <w:tab w:val="left" w:pos="840"/>
      </w:tabs>
      <w:ind w:left="840" w:hanging="420"/>
    </w:pPr>
    <w:rPr>
      <w:sz w:val="24"/>
    </w:rPr>
  </w:style>
  <w:style w:type="paragraph" w:styleId="af8">
    <w:name w:val="Date"/>
    <w:basedOn w:val="a"/>
    <w:next w:val="a"/>
    <w:link w:val="Chara"/>
    <w:rsid w:val="00536704"/>
    <w:pPr>
      <w:ind w:leftChars="2500" w:left="100"/>
    </w:pPr>
  </w:style>
  <w:style w:type="character" w:customStyle="1" w:styleId="Chara">
    <w:name w:val="日期 Char"/>
    <w:basedOn w:val="a1"/>
    <w:link w:val="af8"/>
    <w:rsid w:val="00536704"/>
    <w:rPr>
      <w:rFonts w:ascii="Times New Roman" w:eastAsia="宋体" w:hAnsi="Times New Roman" w:cs="Times New Roman"/>
      <w:szCs w:val="24"/>
    </w:rPr>
  </w:style>
  <w:style w:type="character" w:customStyle="1" w:styleId="Charb">
    <w:name w:val="文档结构图 Char"/>
    <w:basedOn w:val="a1"/>
    <w:link w:val="af9"/>
    <w:semiHidden/>
    <w:rsid w:val="00536704"/>
    <w:rPr>
      <w:szCs w:val="24"/>
      <w:shd w:val="clear" w:color="auto" w:fill="000080"/>
    </w:rPr>
  </w:style>
  <w:style w:type="paragraph" w:styleId="af9">
    <w:name w:val="Document Map"/>
    <w:basedOn w:val="a"/>
    <w:link w:val="Charb"/>
    <w:semiHidden/>
    <w:unhideWhenUsed/>
    <w:rsid w:val="00536704"/>
    <w:pPr>
      <w:shd w:val="clear" w:color="auto" w:fill="000080"/>
      <w:tabs>
        <w:tab w:val="left" w:pos="420"/>
      </w:tabs>
    </w:pPr>
    <w:rPr>
      <w:rFonts w:ascii="Calibri" w:hAnsi="Calibri"/>
    </w:rPr>
  </w:style>
  <w:style w:type="character" w:customStyle="1" w:styleId="Char11">
    <w:name w:val="文档结构图 Char1"/>
    <w:basedOn w:val="a1"/>
    <w:uiPriority w:val="99"/>
    <w:semiHidden/>
    <w:rsid w:val="00536704"/>
    <w:rPr>
      <w:rFonts w:ascii="宋体" w:eastAsia="宋体" w:hAnsi="Times New Roman" w:cs="Times New Roman"/>
      <w:sz w:val="18"/>
      <w:szCs w:val="18"/>
    </w:rPr>
  </w:style>
  <w:style w:type="paragraph" w:customStyle="1" w:styleId="c">
    <w:name w:val="c_"/>
    <w:rsid w:val="00536704"/>
    <w:pPr>
      <w:widowControl w:val="0"/>
      <w:tabs>
        <w:tab w:val="left" w:pos="420"/>
      </w:tabs>
      <w:autoSpaceDE w:val="0"/>
      <w:autoSpaceDN w:val="0"/>
      <w:adjustRightInd w:val="0"/>
      <w:jc w:val="both"/>
    </w:pPr>
    <w:rPr>
      <w:rFonts w:ascii="五" w:eastAsia="五" w:hAnsi="Times New Roman"/>
      <w:sz w:val="24"/>
    </w:rPr>
  </w:style>
  <w:style w:type="character" w:customStyle="1" w:styleId="CharChar">
    <w:name w:val="Char Char"/>
    <w:basedOn w:val="a1"/>
    <w:rsid w:val="00536704"/>
    <w:rPr>
      <w:rFonts w:ascii="宋体" w:eastAsia="宋体" w:hAnsi="宋体" w:cs="Arial" w:hint="eastAsia"/>
      <w:b/>
      <w:bCs w:val="0"/>
      <w:kern w:val="2"/>
      <w:sz w:val="24"/>
      <w:lang w:val="en-US" w:eastAsia="zh-CN" w:bidi="ar-SA"/>
    </w:rPr>
  </w:style>
</w:styles>
</file>

<file path=word/webSettings.xml><?xml version="1.0" encoding="utf-8"?>
<w:webSettings xmlns:r="http://schemas.openxmlformats.org/officeDocument/2006/relationships" xmlns:w="http://schemas.openxmlformats.org/wordprocessingml/2006/main">
  <w:divs>
    <w:div w:id="540871216">
      <w:bodyDiv w:val="1"/>
      <w:marLeft w:val="0"/>
      <w:marRight w:val="0"/>
      <w:marTop w:val="0"/>
      <w:marBottom w:val="0"/>
      <w:divBdr>
        <w:top w:val="none" w:sz="0" w:space="0" w:color="auto"/>
        <w:left w:val="none" w:sz="0" w:space="0" w:color="auto"/>
        <w:bottom w:val="none" w:sz="0" w:space="0" w:color="auto"/>
        <w:right w:val="none" w:sz="0" w:space="0" w:color="auto"/>
      </w:divBdr>
    </w:div>
    <w:div w:id="1122193713">
      <w:bodyDiv w:val="1"/>
      <w:marLeft w:val="0"/>
      <w:marRight w:val="0"/>
      <w:marTop w:val="0"/>
      <w:marBottom w:val="0"/>
      <w:divBdr>
        <w:top w:val="none" w:sz="0" w:space="0" w:color="auto"/>
        <w:left w:val="none" w:sz="0" w:space="0" w:color="auto"/>
        <w:bottom w:val="none" w:sz="0" w:space="0" w:color="auto"/>
        <w:right w:val="none" w:sz="0" w:space="0" w:color="auto"/>
      </w:divBdr>
    </w:div>
    <w:div w:id="113868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9BFCE5-E71D-4743-9E16-356608B10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1</Pages>
  <Words>1572</Words>
  <Characters>8967</Characters>
  <Application>Microsoft Office Word</Application>
  <DocSecurity>0</DocSecurity>
  <Lines>74</Lines>
  <Paragraphs>21</Paragraphs>
  <ScaleCrop>false</ScaleCrop>
  <Company>Microsoft</Company>
  <LinksUpToDate>false</LinksUpToDate>
  <CharactersWithSpaces>10518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Hui Leying</dc:creator>
  <cp:lastModifiedBy>刘晨晨</cp:lastModifiedBy>
  <cp:revision>170</cp:revision>
  <cp:lastPrinted>2015-07-15T08:59:00Z</cp:lastPrinted>
  <dcterms:created xsi:type="dcterms:W3CDTF">2015-07-22T10:55:00Z</dcterms:created>
  <dcterms:modified xsi:type="dcterms:W3CDTF">2017-02-08T07:39:00Z</dcterms:modified>
</cp:coreProperties>
</file>