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证券投资基金暂停大额申购、定期定额投资业务的公告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772B9B" w:rsidRPr="00EB5388">
        <w:rPr>
          <w:rFonts w:eastAsiaTheme="minorEastAsia"/>
          <w:bCs/>
          <w:sz w:val="24"/>
          <w:szCs w:val="24"/>
        </w:rPr>
        <w:t>201</w:t>
      </w:r>
      <w:r w:rsidR="00772B9B">
        <w:rPr>
          <w:rFonts w:eastAsiaTheme="minorEastAsia" w:hint="eastAsia"/>
          <w:bCs/>
          <w:sz w:val="24"/>
          <w:szCs w:val="24"/>
        </w:rPr>
        <w:t>7</w:t>
      </w:r>
      <w:r w:rsidR="00772B9B" w:rsidRPr="00EB5388">
        <w:rPr>
          <w:rFonts w:eastAsiaTheme="minorEastAsia"/>
          <w:bCs/>
          <w:sz w:val="24"/>
          <w:szCs w:val="24"/>
        </w:rPr>
        <w:t>年</w:t>
      </w:r>
      <w:r w:rsidR="00CF1716">
        <w:rPr>
          <w:rFonts w:eastAsiaTheme="minorEastAsia" w:hint="eastAsia"/>
          <w:bCs/>
          <w:sz w:val="24"/>
          <w:szCs w:val="24"/>
        </w:rPr>
        <w:t>2</w:t>
      </w:r>
      <w:r w:rsidR="00CF1716" w:rsidRPr="00EB5388">
        <w:rPr>
          <w:rFonts w:eastAsiaTheme="minorEastAsia"/>
          <w:bCs/>
          <w:sz w:val="24"/>
          <w:szCs w:val="24"/>
        </w:rPr>
        <w:t>月</w:t>
      </w:r>
      <w:r w:rsidR="00CF1716">
        <w:rPr>
          <w:rFonts w:eastAsiaTheme="minorEastAsia" w:hint="eastAsia"/>
          <w:bCs/>
          <w:sz w:val="24"/>
          <w:szCs w:val="24"/>
        </w:rPr>
        <w:t>3</w:t>
      </w:r>
      <w:r w:rsidR="00CF1716" w:rsidRPr="00EB5388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772B9B" w:rsidP="00CF171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 w:rsidRPr="00EB5388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 w:rsidR="00CF1716">
              <w:rPr>
                <w:rFonts w:eastAsiaTheme="minorEastAsia" w:hint="eastAsia"/>
                <w:sz w:val="24"/>
                <w:szCs w:val="24"/>
              </w:rPr>
              <w:t>2</w:t>
            </w:r>
            <w:r w:rsidR="00CF1716" w:rsidRPr="00EB5388">
              <w:rPr>
                <w:rFonts w:eastAsiaTheme="minorEastAsia" w:hint="eastAsia"/>
                <w:sz w:val="24"/>
                <w:szCs w:val="24"/>
              </w:rPr>
              <w:t>月</w:t>
            </w:r>
            <w:r w:rsidR="00CF1716">
              <w:rPr>
                <w:rFonts w:eastAsiaTheme="minorEastAsia" w:hint="eastAsia"/>
                <w:sz w:val="24"/>
                <w:szCs w:val="24"/>
              </w:rPr>
              <w:t>6</w:t>
            </w:r>
            <w:r w:rsidR="00CF1716" w:rsidRPr="00EB5388"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250A78" w:rsidRPr="00327E01" w:rsidTr="00CB21B3">
        <w:trPr>
          <w:trHeight w:val="642"/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rPr>
                <w:sz w:val="24"/>
              </w:rPr>
            </w:pPr>
            <w:r w:rsidRPr="00EB5388">
              <w:rPr>
                <w:rFonts w:hint="eastAsia"/>
                <w:kern w:val="0"/>
                <w:sz w:val="24"/>
              </w:rPr>
              <w:t>暂停大额</w:t>
            </w:r>
            <w:bookmarkStart w:id="3" w:name="OLE_LINK23"/>
            <w:r w:rsidRPr="00EB5388">
              <w:rPr>
                <w:rFonts w:hint="eastAsia"/>
                <w:kern w:val="0"/>
                <w:sz w:val="24"/>
              </w:rPr>
              <w:t>定期定额投资</w:t>
            </w:r>
            <w:bookmarkEnd w:id="3"/>
            <w:r w:rsidRPr="00EB5388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327E01" w:rsidRDefault="00772B9B" w:rsidP="009968BA">
            <w:pPr>
              <w:rPr>
                <w:sz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 w:rsidR="00CF1716">
              <w:rPr>
                <w:rFonts w:eastAsiaTheme="minorEastAsia" w:hint="eastAsia"/>
                <w:sz w:val="24"/>
                <w:szCs w:val="24"/>
              </w:rPr>
              <w:t>2</w:t>
            </w:r>
            <w:r w:rsidR="00CF1716" w:rsidRPr="00EB5388">
              <w:rPr>
                <w:rFonts w:eastAsiaTheme="minorEastAsia" w:hint="eastAsia"/>
                <w:sz w:val="24"/>
                <w:szCs w:val="24"/>
              </w:rPr>
              <w:t>月</w:t>
            </w:r>
            <w:r w:rsidR="00CF1716">
              <w:rPr>
                <w:rFonts w:eastAsiaTheme="minorEastAsia" w:hint="eastAsia"/>
                <w:sz w:val="24"/>
                <w:szCs w:val="24"/>
              </w:rPr>
              <w:t>6</w:t>
            </w:r>
            <w:r w:rsidR="00CF1716" w:rsidRPr="00EB5388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250A78" w:rsidRPr="00327E01" w:rsidTr="00CB21B3">
        <w:trPr>
          <w:trHeight w:val="844"/>
          <w:jc w:val="center"/>
        </w:trPr>
        <w:tc>
          <w:tcPr>
            <w:tcW w:w="1515" w:type="pct"/>
            <w:vMerge/>
          </w:tcPr>
          <w:p w:rsidR="00250A78" w:rsidRPr="00327E01" w:rsidRDefault="00250A78">
            <w:bookmarkStart w:id="4" w:name="_Hlk456039400"/>
          </w:p>
        </w:tc>
        <w:tc>
          <w:tcPr>
            <w:tcW w:w="1778" w:type="pct"/>
            <w:vAlign w:val="center"/>
          </w:tcPr>
          <w:p w:rsidR="00250A78" w:rsidRPr="00327E01" w:rsidRDefault="00250A78" w:rsidP="00076F52">
            <w:pPr>
              <w:rPr>
                <w:sz w:val="24"/>
              </w:rPr>
            </w:pPr>
            <w:r w:rsidRPr="00327E01">
              <w:rPr>
                <w:rFonts w:hint="eastAsia"/>
                <w:sz w:val="24"/>
              </w:rPr>
              <w:t>限制</w:t>
            </w:r>
            <w:r w:rsidR="0075449B" w:rsidRPr="00327E01">
              <w:rPr>
                <w:rFonts w:hint="eastAsia"/>
                <w:sz w:val="24"/>
              </w:rPr>
              <w:t>大额</w:t>
            </w:r>
            <w:r w:rsidR="00EB5388" w:rsidRPr="00EB5388">
              <w:rPr>
                <w:rFonts w:hint="eastAsia"/>
                <w:kern w:val="0"/>
                <w:sz w:val="24"/>
              </w:rPr>
              <w:t>定期定额投资金额（单位：元</w:t>
            </w:r>
            <w:r w:rsidRPr="00327E01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17187C">
            <w:pPr>
              <w:rPr>
                <w:sz w:val="24"/>
              </w:rPr>
            </w:pPr>
            <w:r w:rsidRPr="00EB5388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4"/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Pr="00EB5388">
              <w:rPr>
                <w:rFonts w:hint="eastAsia"/>
                <w:kern w:val="0"/>
                <w:sz w:val="24"/>
              </w:rPr>
              <w:t>定期定额投资业务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327E01" w:rsidRDefault="00F32852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CF1716" w:rsidRPr="00327E01" w:rsidTr="00CB21B3">
        <w:trPr>
          <w:jc w:val="center"/>
        </w:trPr>
        <w:tc>
          <w:tcPr>
            <w:tcW w:w="1515" w:type="pct"/>
            <w:vAlign w:val="center"/>
          </w:tcPr>
          <w:p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CF1716" w:rsidRPr="00327E01" w:rsidRDefault="00CF171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交银丰</w:t>
            </w:r>
            <w:r>
              <w:rPr>
                <w:rFonts w:hint="eastAsia"/>
                <w:sz w:val="24"/>
              </w:rPr>
              <w:t>享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CF1716" w:rsidRPr="00327E01" w:rsidRDefault="00CF1716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交银丰</w:t>
            </w:r>
            <w:r>
              <w:rPr>
                <w:rFonts w:hint="eastAsia"/>
                <w:sz w:val="24"/>
              </w:rPr>
              <w:t>享</w:t>
            </w:r>
            <w:r w:rsidRPr="00FE5445">
              <w:rPr>
                <w:sz w:val="24"/>
              </w:rPr>
              <w:t>收益债券</w:t>
            </w:r>
            <w:r w:rsidRPr="00FE5445">
              <w:rPr>
                <w:sz w:val="24"/>
              </w:rPr>
              <w:t>C</w:t>
            </w:r>
          </w:p>
        </w:tc>
      </w:tr>
      <w:tr w:rsidR="00CF1716" w:rsidRPr="00327E01" w:rsidTr="00CB21B3">
        <w:trPr>
          <w:jc w:val="center"/>
        </w:trPr>
        <w:tc>
          <w:tcPr>
            <w:tcW w:w="1515" w:type="pct"/>
            <w:vAlign w:val="center"/>
          </w:tcPr>
          <w:p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CF1716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51974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7" w:type="pct"/>
            <w:vAlign w:val="center"/>
          </w:tcPr>
          <w:p w:rsidR="00CF1716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FE5445">
              <w:rPr>
                <w:sz w:val="24"/>
              </w:rPr>
              <w:t>51974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</w:tcPr>
          <w:p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bookmarkStart w:id="6" w:name="_GoBack"/>
      <w:bookmarkEnd w:id="6"/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Pr="00EB5388">
        <w:rPr>
          <w:rFonts w:eastAsia="宋体"/>
          <w:kern w:val="0"/>
          <w:sz w:val="24"/>
          <w:szCs w:val="24"/>
        </w:rPr>
        <w:t>10,000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、关于取消上述暂停大额申购、定期定额投资业务限制的时间，本基金管理人将另行公告。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62F" w:rsidRDefault="00FD562F" w:rsidP="00D327FA">
      <w:r>
        <w:separator/>
      </w:r>
    </w:p>
  </w:endnote>
  <w:endnote w:type="continuationSeparator" w:id="0">
    <w:p w:rsidR="00FD562F" w:rsidRDefault="00FD562F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62F" w:rsidRDefault="00FD562F" w:rsidP="00D327FA">
      <w:r>
        <w:separator/>
      </w:r>
    </w:p>
  </w:footnote>
  <w:footnote w:type="continuationSeparator" w:id="0">
    <w:p w:rsidR="00FD562F" w:rsidRDefault="00FD562F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9435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DBBF04-B935-42CB-9CE4-4E3C2E7E6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140</Words>
  <Characters>803</Characters>
  <Application>Microsoft Office Word</Application>
  <DocSecurity>0</DocSecurity>
  <Lines>6</Lines>
  <Paragraphs>1</Paragraphs>
  <ScaleCrop>false</ScaleCrop>
  <Company>微软中国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刘晨晨</cp:lastModifiedBy>
  <cp:revision>87</cp:revision>
  <dcterms:created xsi:type="dcterms:W3CDTF">2013-07-25T08:13:00Z</dcterms:created>
  <dcterms:modified xsi:type="dcterms:W3CDTF">2017-01-25T08:55:00Z</dcterms:modified>
</cp:coreProperties>
</file>