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交银施罗德领先回报灵活配置混合型证券投资基金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65E0C" w:rsidRDefault="00351F3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65E0C" w:rsidRDefault="00351F30">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65E0C" w:rsidRDefault="00351F3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65E0C" w:rsidRDefault="00351F3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65E0C" w:rsidRDefault="00351F3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交银领先回报灵活配置混合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519781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519781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549,489,575.72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51F30" w:rsidRPr="00414345" w:rsidTr="00351F3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51F30" w:rsidRPr="00414345" w:rsidTr="00351F3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1,111,684.76</w:t>
            </w:r>
          </w:p>
        </w:tc>
      </w:tr>
      <w:tr w:rsidR="00351F30" w:rsidRPr="00414345" w:rsidTr="00351F3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-979,230.02</w:t>
            </w:r>
          </w:p>
        </w:tc>
      </w:tr>
      <w:tr w:rsidR="00351F30" w:rsidRPr="00414345" w:rsidTr="00351F3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-0.0024</w:t>
            </w:r>
          </w:p>
        </w:tc>
      </w:tr>
      <w:tr w:rsidR="00351F30" w:rsidRPr="00414345" w:rsidTr="00351F3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549,374,594.97</w:t>
            </w:r>
          </w:p>
        </w:tc>
      </w:tr>
      <w:tr w:rsidR="00351F30" w:rsidRPr="00414345" w:rsidTr="00351F3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1.000</w:t>
            </w:r>
          </w:p>
        </w:tc>
      </w:tr>
    </w:tbl>
    <w:p w:rsidR="00065E0C" w:rsidRDefault="00351F3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351F30">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65E0C">
        <w:trPr>
          <w:jc w:val="center"/>
        </w:trPr>
        <w:tc>
          <w:tcPr>
            <w:tcW w:w="1701" w:type="dxa"/>
            <w:vAlign w:val="center"/>
          </w:tcPr>
          <w:p w:rsidR="00065E0C" w:rsidRDefault="00351F30">
            <w:pPr>
              <w:jc w:val="left"/>
            </w:pPr>
            <w:r>
              <w:rPr>
                <w:color w:val="000000"/>
                <w:sz w:val="24"/>
                <w:szCs w:val="24"/>
              </w:rPr>
              <w:t>过去三个月</w:t>
            </w:r>
          </w:p>
        </w:tc>
        <w:tc>
          <w:tcPr>
            <w:tcW w:w="1045" w:type="dxa"/>
            <w:vAlign w:val="center"/>
          </w:tcPr>
          <w:p w:rsidR="00065E0C" w:rsidRDefault="00351F30">
            <w:pPr>
              <w:jc w:val="center"/>
            </w:pPr>
            <w:r>
              <w:rPr>
                <w:color w:val="000000"/>
                <w:sz w:val="24"/>
                <w:szCs w:val="24"/>
              </w:rPr>
              <w:t>-0.10%</w:t>
            </w:r>
          </w:p>
        </w:tc>
        <w:tc>
          <w:tcPr>
            <w:tcW w:w="1344" w:type="dxa"/>
            <w:vAlign w:val="center"/>
          </w:tcPr>
          <w:p w:rsidR="00065E0C" w:rsidRDefault="00351F30">
            <w:pPr>
              <w:jc w:val="center"/>
            </w:pPr>
            <w:r>
              <w:rPr>
                <w:color w:val="000000"/>
                <w:sz w:val="24"/>
                <w:szCs w:val="24"/>
              </w:rPr>
              <w:t>0.10%</w:t>
            </w:r>
          </w:p>
        </w:tc>
        <w:tc>
          <w:tcPr>
            <w:tcW w:w="1194" w:type="dxa"/>
            <w:vAlign w:val="center"/>
          </w:tcPr>
          <w:p w:rsidR="00065E0C" w:rsidRDefault="00351F30">
            <w:pPr>
              <w:jc w:val="center"/>
            </w:pPr>
            <w:r>
              <w:rPr>
                <w:color w:val="000000"/>
                <w:sz w:val="24"/>
                <w:szCs w:val="24"/>
              </w:rPr>
              <w:t>-0.27%</w:t>
            </w:r>
          </w:p>
        </w:tc>
        <w:tc>
          <w:tcPr>
            <w:tcW w:w="1492" w:type="dxa"/>
            <w:vAlign w:val="center"/>
          </w:tcPr>
          <w:p w:rsidR="00065E0C" w:rsidRDefault="00351F30">
            <w:pPr>
              <w:jc w:val="center"/>
            </w:pPr>
            <w:r>
              <w:rPr>
                <w:color w:val="000000"/>
                <w:sz w:val="24"/>
                <w:szCs w:val="24"/>
              </w:rPr>
              <w:t>0.38%</w:t>
            </w:r>
          </w:p>
        </w:tc>
        <w:tc>
          <w:tcPr>
            <w:tcW w:w="1194" w:type="dxa"/>
            <w:vAlign w:val="center"/>
          </w:tcPr>
          <w:p w:rsidR="00065E0C" w:rsidRDefault="00351F30">
            <w:pPr>
              <w:jc w:val="center"/>
            </w:pPr>
            <w:r>
              <w:rPr>
                <w:color w:val="000000"/>
                <w:sz w:val="24"/>
                <w:szCs w:val="24"/>
              </w:rPr>
              <w:t>0.17%</w:t>
            </w:r>
          </w:p>
        </w:tc>
        <w:tc>
          <w:tcPr>
            <w:tcW w:w="898" w:type="dxa"/>
            <w:vAlign w:val="center"/>
          </w:tcPr>
          <w:p w:rsidR="00065E0C" w:rsidRDefault="00351F30">
            <w:pPr>
              <w:jc w:val="center"/>
            </w:pPr>
            <w:r>
              <w:rPr>
                <w:color w:val="000000"/>
                <w:sz w:val="24"/>
                <w:szCs w:val="24"/>
              </w:rPr>
              <w:t>-0.28%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交银施罗德领先回报灵活配置混合型证券投资基金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D27B80"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14CC577D" wp14:editId="7E45102D">
            <wp:extent cx="5731510" cy="3356610"/>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13</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65E0C">
        <w:trPr>
          <w:jc w:val="center"/>
        </w:trPr>
        <w:tc>
          <w:tcPr>
            <w:tcW w:w="846" w:type="dxa"/>
            <w:vAlign w:val="center"/>
          </w:tcPr>
          <w:p w:rsidR="00065E0C" w:rsidRDefault="00351F30">
            <w:pPr>
              <w:jc w:val="center"/>
            </w:pPr>
            <w:r>
              <w:rPr>
                <w:color w:val="000000"/>
                <w:sz w:val="24"/>
                <w:szCs w:val="24"/>
              </w:rPr>
              <w:t>李娜</w:t>
            </w:r>
          </w:p>
        </w:tc>
        <w:tc>
          <w:tcPr>
            <w:tcW w:w="845" w:type="dxa"/>
            <w:vAlign w:val="center"/>
          </w:tcPr>
          <w:p w:rsidR="00065E0C" w:rsidRDefault="00351F30">
            <w:pPr>
              <w:jc w:val="center"/>
            </w:pPr>
            <w:r>
              <w:rPr>
                <w:color w:val="000000"/>
                <w:sz w:val="24"/>
                <w:szCs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w:t>
            </w:r>
            <w:r w:rsidR="00ED1A6B">
              <w:rPr>
                <w:color w:val="000000"/>
                <w:sz w:val="24"/>
                <w:szCs w:val="24"/>
              </w:rPr>
              <w:t>混合</w:t>
            </w:r>
            <w:r>
              <w:rPr>
                <w:color w:val="000000"/>
                <w:sz w:val="24"/>
                <w:szCs w:val="24"/>
              </w:rPr>
              <w:t>、交银瑞景定期开放灵活配置</w:t>
            </w:r>
            <w:r w:rsidR="00ED1A6B">
              <w:rPr>
                <w:color w:val="000000"/>
                <w:sz w:val="24"/>
                <w:szCs w:val="24"/>
              </w:rPr>
              <w:t>混合</w:t>
            </w:r>
            <w:r>
              <w:rPr>
                <w:color w:val="000000"/>
                <w:sz w:val="24"/>
                <w:szCs w:val="24"/>
              </w:rPr>
              <w:t>的基金经理</w:t>
            </w:r>
          </w:p>
        </w:tc>
        <w:tc>
          <w:tcPr>
            <w:tcW w:w="1549" w:type="dxa"/>
            <w:vAlign w:val="center"/>
          </w:tcPr>
          <w:p w:rsidR="00065E0C" w:rsidRDefault="00351F30">
            <w:pPr>
              <w:jc w:val="center"/>
            </w:pPr>
            <w:r>
              <w:rPr>
                <w:color w:val="000000"/>
                <w:sz w:val="24"/>
                <w:szCs w:val="24"/>
              </w:rPr>
              <w:t>2016-09-13</w:t>
            </w:r>
          </w:p>
        </w:tc>
        <w:tc>
          <w:tcPr>
            <w:tcW w:w="1548" w:type="dxa"/>
            <w:vAlign w:val="center"/>
          </w:tcPr>
          <w:p w:rsidR="00065E0C" w:rsidRDefault="00351F30">
            <w:pPr>
              <w:jc w:val="center"/>
            </w:pPr>
            <w:r>
              <w:rPr>
                <w:color w:val="000000"/>
                <w:sz w:val="24"/>
                <w:szCs w:val="24"/>
              </w:rPr>
              <w:t>-</w:t>
            </w:r>
          </w:p>
        </w:tc>
        <w:tc>
          <w:tcPr>
            <w:tcW w:w="1407" w:type="dxa"/>
            <w:vAlign w:val="center"/>
          </w:tcPr>
          <w:p w:rsidR="00065E0C" w:rsidRDefault="00351F30">
            <w:pPr>
              <w:jc w:val="center"/>
            </w:pPr>
            <w:r>
              <w:rPr>
                <w:color w:val="000000"/>
                <w:sz w:val="24"/>
                <w:szCs w:val="24"/>
              </w:rPr>
              <w:t>6</w:t>
            </w:r>
            <w:r>
              <w:rPr>
                <w:color w:val="000000"/>
                <w:sz w:val="24"/>
                <w:szCs w:val="24"/>
              </w:rPr>
              <w:t>年</w:t>
            </w:r>
          </w:p>
        </w:tc>
        <w:tc>
          <w:tcPr>
            <w:tcW w:w="2673" w:type="dxa"/>
            <w:vAlign w:val="center"/>
          </w:tcPr>
          <w:p w:rsidR="00065E0C" w:rsidRDefault="00351F30">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65E0C" w:rsidRDefault="00351F3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65E0C" w:rsidRDefault="00351F3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65E0C" w:rsidRDefault="00351F3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65E0C" w:rsidRDefault="00351F30">
      <w:pPr>
        <w:spacing w:before="29" w:line="288" w:lineRule="auto"/>
        <w:ind w:firstLineChars="200" w:firstLine="480"/>
        <w:rPr>
          <w:color w:val="000000"/>
          <w:sz w:val="24"/>
          <w:szCs w:val="24"/>
        </w:rPr>
      </w:pPr>
      <w:r>
        <w:rPr>
          <w:color w:val="000000"/>
          <w:sz w:val="24"/>
          <w:szCs w:val="24"/>
        </w:rPr>
        <w:t>本报告期内，经济增长呈现企稳态势，</w:t>
      </w:r>
      <w:r>
        <w:rPr>
          <w:color w:val="000000"/>
          <w:sz w:val="24"/>
          <w:szCs w:val="24"/>
        </w:rPr>
        <w:t>CPI</w:t>
      </w:r>
      <w:r>
        <w:rPr>
          <w:color w:val="000000"/>
          <w:sz w:val="24"/>
          <w:szCs w:val="24"/>
        </w:rPr>
        <w:t>同比温和回升，货币政策回归稳健中性，银行间流动性依赖央行政策工具持续投放，呈现结构性、阶段性波动。股票市场先扬后抑，同期债券收益率大幅上行后稍有回落，其中资金面明显波动、中央经济工作会强调防控金融风险以及美联储加息等因素成为市场收益率大幅调整的推动力。报告期内，上证综指和创业板指分别上涨</w:t>
      </w:r>
      <w:r>
        <w:rPr>
          <w:color w:val="000000"/>
          <w:sz w:val="24"/>
          <w:szCs w:val="24"/>
        </w:rPr>
        <w:t>3.29%</w:t>
      </w:r>
      <w:r>
        <w:rPr>
          <w:color w:val="000000"/>
          <w:sz w:val="24"/>
          <w:szCs w:val="24"/>
        </w:rPr>
        <w:t>和下跌</w:t>
      </w:r>
      <w:r>
        <w:rPr>
          <w:color w:val="000000"/>
          <w:sz w:val="24"/>
          <w:szCs w:val="24"/>
        </w:rPr>
        <w:t>8.74%</w:t>
      </w:r>
      <w:r>
        <w:rPr>
          <w:color w:val="000000"/>
          <w:sz w:val="24"/>
          <w:szCs w:val="24"/>
        </w:rPr>
        <w:t>，</w:t>
      </w:r>
      <w:r>
        <w:rPr>
          <w:color w:val="000000"/>
          <w:sz w:val="24"/>
          <w:szCs w:val="24"/>
        </w:rPr>
        <w:t>10</w:t>
      </w:r>
      <w:r>
        <w:rPr>
          <w:color w:val="000000"/>
          <w:sz w:val="24"/>
          <w:szCs w:val="24"/>
        </w:rPr>
        <w:t>年期国债收益率最高上行</w:t>
      </w:r>
      <w:r>
        <w:rPr>
          <w:color w:val="000000"/>
          <w:sz w:val="24"/>
          <w:szCs w:val="24"/>
        </w:rPr>
        <w:t>65bp</w:t>
      </w:r>
      <w:r>
        <w:rPr>
          <w:color w:val="000000"/>
          <w:sz w:val="24"/>
          <w:szCs w:val="24"/>
        </w:rPr>
        <w:t>至</w:t>
      </w:r>
      <w:r>
        <w:rPr>
          <w:color w:val="000000"/>
          <w:sz w:val="24"/>
          <w:szCs w:val="24"/>
        </w:rPr>
        <w:t>3.37%</w:t>
      </w:r>
      <w:r>
        <w:rPr>
          <w:color w:val="000000"/>
          <w:sz w:val="24"/>
          <w:szCs w:val="24"/>
        </w:rPr>
        <w:t>后回落至</w:t>
      </w:r>
      <w:r>
        <w:rPr>
          <w:color w:val="000000"/>
          <w:sz w:val="24"/>
          <w:szCs w:val="24"/>
        </w:rPr>
        <w:t>3.01%</w:t>
      </w:r>
      <w:r>
        <w:rPr>
          <w:color w:val="000000"/>
          <w:sz w:val="24"/>
          <w:szCs w:val="24"/>
        </w:rPr>
        <w:t>，</w:t>
      </w:r>
      <w:r>
        <w:rPr>
          <w:color w:val="000000"/>
          <w:sz w:val="24"/>
          <w:szCs w:val="24"/>
        </w:rPr>
        <w:t>10</w:t>
      </w:r>
      <w:r>
        <w:rPr>
          <w:color w:val="000000"/>
          <w:sz w:val="24"/>
          <w:szCs w:val="24"/>
        </w:rPr>
        <w:t>年期国开债收益率最高上行</w:t>
      </w:r>
      <w:r>
        <w:rPr>
          <w:color w:val="000000"/>
          <w:sz w:val="24"/>
          <w:szCs w:val="24"/>
        </w:rPr>
        <w:t>87bp</w:t>
      </w:r>
      <w:r>
        <w:rPr>
          <w:color w:val="000000"/>
          <w:sz w:val="24"/>
          <w:szCs w:val="24"/>
        </w:rPr>
        <w:t>至</w:t>
      </w:r>
      <w:r>
        <w:rPr>
          <w:color w:val="000000"/>
          <w:sz w:val="24"/>
          <w:szCs w:val="24"/>
        </w:rPr>
        <w:t>3.93%</w:t>
      </w:r>
      <w:r>
        <w:rPr>
          <w:color w:val="000000"/>
          <w:sz w:val="24"/>
          <w:szCs w:val="24"/>
        </w:rPr>
        <w:t>后回落至</w:t>
      </w:r>
      <w:r>
        <w:rPr>
          <w:color w:val="000000"/>
          <w:sz w:val="24"/>
          <w:szCs w:val="24"/>
        </w:rPr>
        <w:t>3.68%</w:t>
      </w:r>
      <w:r>
        <w:rPr>
          <w:color w:val="000000"/>
          <w:sz w:val="24"/>
          <w:szCs w:val="24"/>
        </w:rPr>
        <w:t>。</w:t>
      </w:r>
    </w:p>
    <w:p w:rsidR="00065E0C" w:rsidRDefault="00351F30">
      <w:pPr>
        <w:spacing w:before="29" w:line="288" w:lineRule="auto"/>
        <w:ind w:firstLineChars="200" w:firstLine="480"/>
        <w:rPr>
          <w:color w:val="000000"/>
          <w:sz w:val="24"/>
          <w:szCs w:val="24"/>
        </w:rPr>
      </w:pPr>
      <w:r>
        <w:rPr>
          <w:color w:val="000000"/>
          <w:sz w:val="24"/>
          <w:szCs w:val="24"/>
        </w:rPr>
        <w:t>策略层面，本基金重点关注短久期信用债的配置价值，保持组合流动性。积极关注新股发行规则的微调，参与一级市场权益投资，同时也关注二级市场的投资机会，努力为持有人赚取回报。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年一季度，房地产对经济增长的拉动变化或为短期经济增长预期的最关键变量，</w:t>
      </w:r>
      <w:r w:rsidRPr="00414345">
        <w:rPr>
          <w:color w:val="000000"/>
          <w:sz w:val="24"/>
          <w:szCs w:val="24"/>
        </w:rPr>
        <w:t>CPI</w:t>
      </w:r>
      <w:r w:rsidRPr="00414345">
        <w:rPr>
          <w:color w:val="000000"/>
          <w:sz w:val="24"/>
          <w:szCs w:val="24"/>
        </w:rPr>
        <w:t>受春节效应可能将有扰动，基本面对债市可能出现的负面影响仍待释放。目前资金面高度依赖央行政策工具投放节奏，货币政策回归稳健中性后关注央行操作力度和节奏，特别是对春节前资金面阶段性压力的对冲。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1.000</w:t>
      </w:r>
      <w:r w:rsidRPr="00414345">
        <w:rPr>
          <w:color w:val="000000"/>
          <w:sz w:val="24"/>
          <w:szCs w:val="24"/>
        </w:rPr>
        <w:t>元，本报告期份额净值增长率为</w:t>
      </w:r>
      <w:r w:rsidRPr="00414345">
        <w:rPr>
          <w:color w:val="000000"/>
          <w:sz w:val="24"/>
          <w:szCs w:val="24"/>
        </w:rPr>
        <w:t>-0.10%</w:t>
      </w:r>
      <w:r w:rsidRPr="00414345">
        <w:rPr>
          <w:color w:val="000000"/>
          <w:sz w:val="24"/>
          <w:szCs w:val="24"/>
        </w:rPr>
        <w:t>，同期业绩比较基准增长率为</w:t>
      </w:r>
      <w:r w:rsidRPr="00414345">
        <w:rPr>
          <w:color w:val="000000"/>
          <w:sz w:val="24"/>
          <w:szCs w:val="24"/>
        </w:rPr>
        <w:t>-0.27%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83,697,189.85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14.68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83,697,189.85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14.68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437,480,000.00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76.75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437,480,000.00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76.75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20,000,000.00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3.51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27,307,046.10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4.79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1,529,159.88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570,013,395.83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17,427,111.94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5,038,433.90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58,803,644.01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83,697,189.85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15.23</w:t>
            </w:r>
          </w:p>
        </w:tc>
      </w:tr>
    </w:tbl>
    <w:p w:rsidR="00ED1A6B" w:rsidRDefault="00ED1A6B"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65E0C">
        <w:trPr>
          <w:jc w:val="center"/>
        </w:trPr>
        <w:tc>
          <w:tcPr>
            <w:tcW w:w="855" w:type="dxa"/>
            <w:vAlign w:val="center"/>
          </w:tcPr>
          <w:p w:rsidR="00065E0C" w:rsidRDefault="00351F30">
            <w:pPr>
              <w:jc w:val="center"/>
            </w:pPr>
            <w:r>
              <w:rPr>
                <w:color w:val="000000"/>
                <w:sz w:val="24"/>
                <w:szCs w:val="24"/>
              </w:rPr>
              <w:t>1</w:t>
            </w:r>
          </w:p>
        </w:tc>
        <w:tc>
          <w:tcPr>
            <w:tcW w:w="1334" w:type="dxa"/>
            <w:vAlign w:val="center"/>
          </w:tcPr>
          <w:p w:rsidR="00065E0C" w:rsidRDefault="00351F30">
            <w:pPr>
              <w:jc w:val="center"/>
            </w:pPr>
            <w:r>
              <w:rPr>
                <w:color w:val="000000"/>
                <w:sz w:val="24"/>
                <w:szCs w:val="24"/>
              </w:rPr>
              <w:t>000001</w:t>
            </w:r>
          </w:p>
        </w:tc>
        <w:tc>
          <w:tcPr>
            <w:tcW w:w="1777" w:type="dxa"/>
            <w:vAlign w:val="center"/>
          </w:tcPr>
          <w:p w:rsidR="00065E0C" w:rsidRDefault="00351F30">
            <w:pPr>
              <w:jc w:val="center"/>
            </w:pPr>
            <w:r>
              <w:rPr>
                <w:color w:val="000000"/>
                <w:sz w:val="24"/>
                <w:szCs w:val="24"/>
              </w:rPr>
              <w:t>平安银行</w:t>
            </w:r>
          </w:p>
        </w:tc>
        <w:tc>
          <w:tcPr>
            <w:tcW w:w="1334" w:type="dxa"/>
            <w:vAlign w:val="center"/>
          </w:tcPr>
          <w:p w:rsidR="00065E0C" w:rsidRDefault="00351F30">
            <w:pPr>
              <w:jc w:val="right"/>
            </w:pPr>
            <w:r>
              <w:rPr>
                <w:color w:val="000000"/>
                <w:sz w:val="24"/>
                <w:szCs w:val="24"/>
              </w:rPr>
              <w:t>1,500,000</w:t>
            </w:r>
          </w:p>
        </w:tc>
        <w:tc>
          <w:tcPr>
            <w:tcW w:w="1924" w:type="dxa"/>
            <w:vAlign w:val="center"/>
          </w:tcPr>
          <w:p w:rsidR="00065E0C" w:rsidRDefault="00351F30">
            <w:pPr>
              <w:jc w:val="right"/>
            </w:pPr>
            <w:r>
              <w:rPr>
                <w:color w:val="000000"/>
                <w:sz w:val="24"/>
                <w:szCs w:val="24"/>
              </w:rPr>
              <w:t>13,650,000.00</w:t>
            </w:r>
          </w:p>
        </w:tc>
        <w:tc>
          <w:tcPr>
            <w:tcW w:w="1644" w:type="dxa"/>
            <w:vAlign w:val="center"/>
          </w:tcPr>
          <w:p w:rsidR="00065E0C" w:rsidRDefault="00351F30">
            <w:pPr>
              <w:jc w:val="right"/>
            </w:pPr>
            <w:r>
              <w:rPr>
                <w:color w:val="000000"/>
                <w:sz w:val="24"/>
                <w:szCs w:val="24"/>
              </w:rPr>
              <w:t>2.48</w:t>
            </w:r>
          </w:p>
        </w:tc>
      </w:tr>
      <w:tr w:rsidR="00065E0C">
        <w:trPr>
          <w:jc w:val="center"/>
        </w:trPr>
        <w:tc>
          <w:tcPr>
            <w:tcW w:w="855" w:type="dxa"/>
            <w:vAlign w:val="center"/>
          </w:tcPr>
          <w:p w:rsidR="00065E0C" w:rsidRDefault="00351F30">
            <w:pPr>
              <w:jc w:val="center"/>
            </w:pPr>
            <w:r>
              <w:rPr>
                <w:color w:val="000000"/>
                <w:sz w:val="24"/>
                <w:szCs w:val="24"/>
              </w:rPr>
              <w:t>2</w:t>
            </w:r>
          </w:p>
        </w:tc>
        <w:tc>
          <w:tcPr>
            <w:tcW w:w="1334" w:type="dxa"/>
            <w:vAlign w:val="center"/>
          </w:tcPr>
          <w:p w:rsidR="00065E0C" w:rsidRDefault="00351F30">
            <w:pPr>
              <w:jc w:val="center"/>
            </w:pPr>
            <w:r>
              <w:rPr>
                <w:color w:val="000000"/>
                <w:sz w:val="24"/>
                <w:szCs w:val="24"/>
              </w:rPr>
              <w:t>601398</w:t>
            </w:r>
          </w:p>
        </w:tc>
        <w:tc>
          <w:tcPr>
            <w:tcW w:w="1777" w:type="dxa"/>
            <w:vAlign w:val="center"/>
          </w:tcPr>
          <w:p w:rsidR="00065E0C" w:rsidRDefault="00351F30">
            <w:pPr>
              <w:jc w:val="center"/>
            </w:pPr>
            <w:r>
              <w:rPr>
                <w:color w:val="000000"/>
                <w:sz w:val="24"/>
                <w:szCs w:val="24"/>
              </w:rPr>
              <w:t>工商银行</w:t>
            </w:r>
          </w:p>
        </w:tc>
        <w:tc>
          <w:tcPr>
            <w:tcW w:w="1334" w:type="dxa"/>
            <w:vAlign w:val="center"/>
          </w:tcPr>
          <w:p w:rsidR="00065E0C" w:rsidRDefault="00351F30">
            <w:pPr>
              <w:jc w:val="right"/>
            </w:pPr>
            <w:r>
              <w:rPr>
                <w:color w:val="000000"/>
                <w:sz w:val="24"/>
                <w:szCs w:val="24"/>
              </w:rPr>
              <w:t>2,717,561</w:t>
            </w:r>
          </w:p>
        </w:tc>
        <w:tc>
          <w:tcPr>
            <w:tcW w:w="1924" w:type="dxa"/>
            <w:vAlign w:val="center"/>
          </w:tcPr>
          <w:p w:rsidR="00065E0C" w:rsidRDefault="00351F30">
            <w:pPr>
              <w:jc w:val="right"/>
            </w:pPr>
            <w:r>
              <w:rPr>
                <w:color w:val="000000"/>
                <w:sz w:val="24"/>
                <w:szCs w:val="24"/>
              </w:rPr>
              <w:t>11,984,444.01</w:t>
            </w:r>
          </w:p>
        </w:tc>
        <w:tc>
          <w:tcPr>
            <w:tcW w:w="1644" w:type="dxa"/>
            <w:vAlign w:val="center"/>
          </w:tcPr>
          <w:p w:rsidR="00065E0C" w:rsidRDefault="00351F30">
            <w:pPr>
              <w:jc w:val="right"/>
            </w:pPr>
            <w:r>
              <w:rPr>
                <w:color w:val="000000"/>
                <w:sz w:val="24"/>
                <w:szCs w:val="24"/>
              </w:rPr>
              <w:t>2.18</w:t>
            </w:r>
          </w:p>
        </w:tc>
      </w:tr>
      <w:tr w:rsidR="00065E0C">
        <w:trPr>
          <w:jc w:val="center"/>
        </w:trPr>
        <w:tc>
          <w:tcPr>
            <w:tcW w:w="855" w:type="dxa"/>
            <w:vAlign w:val="center"/>
          </w:tcPr>
          <w:p w:rsidR="00065E0C" w:rsidRDefault="00351F30">
            <w:pPr>
              <w:jc w:val="center"/>
            </w:pPr>
            <w:r>
              <w:rPr>
                <w:color w:val="000000"/>
                <w:sz w:val="24"/>
                <w:szCs w:val="24"/>
              </w:rPr>
              <w:t>3</w:t>
            </w:r>
          </w:p>
        </w:tc>
        <w:tc>
          <w:tcPr>
            <w:tcW w:w="1334" w:type="dxa"/>
            <w:vAlign w:val="center"/>
          </w:tcPr>
          <w:p w:rsidR="00065E0C" w:rsidRDefault="00351F30">
            <w:pPr>
              <w:jc w:val="center"/>
            </w:pPr>
            <w:r>
              <w:rPr>
                <w:color w:val="000000"/>
                <w:sz w:val="24"/>
                <w:szCs w:val="24"/>
              </w:rPr>
              <w:t>601988</w:t>
            </w:r>
          </w:p>
        </w:tc>
        <w:tc>
          <w:tcPr>
            <w:tcW w:w="1777" w:type="dxa"/>
            <w:vAlign w:val="center"/>
          </w:tcPr>
          <w:p w:rsidR="00065E0C" w:rsidRDefault="00351F30">
            <w:pPr>
              <w:jc w:val="center"/>
            </w:pPr>
            <w:r>
              <w:rPr>
                <w:color w:val="000000"/>
                <w:sz w:val="24"/>
                <w:szCs w:val="24"/>
              </w:rPr>
              <w:t>中国银行</w:t>
            </w:r>
          </w:p>
        </w:tc>
        <w:tc>
          <w:tcPr>
            <w:tcW w:w="1334" w:type="dxa"/>
            <w:vAlign w:val="center"/>
          </w:tcPr>
          <w:p w:rsidR="00065E0C" w:rsidRDefault="00351F30">
            <w:pPr>
              <w:jc w:val="right"/>
            </w:pPr>
            <w:r>
              <w:rPr>
                <w:color w:val="000000"/>
                <w:sz w:val="24"/>
                <w:szCs w:val="24"/>
              </w:rPr>
              <w:t>3,100,000</w:t>
            </w:r>
          </w:p>
        </w:tc>
        <w:tc>
          <w:tcPr>
            <w:tcW w:w="1924" w:type="dxa"/>
            <w:vAlign w:val="center"/>
          </w:tcPr>
          <w:p w:rsidR="00065E0C" w:rsidRDefault="00351F30">
            <w:pPr>
              <w:jc w:val="right"/>
            </w:pPr>
            <w:r>
              <w:rPr>
                <w:color w:val="000000"/>
                <w:sz w:val="24"/>
                <w:szCs w:val="24"/>
              </w:rPr>
              <w:t>10,664,000.00</w:t>
            </w:r>
          </w:p>
        </w:tc>
        <w:tc>
          <w:tcPr>
            <w:tcW w:w="1644" w:type="dxa"/>
            <w:vAlign w:val="center"/>
          </w:tcPr>
          <w:p w:rsidR="00065E0C" w:rsidRDefault="00351F30">
            <w:pPr>
              <w:jc w:val="right"/>
            </w:pPr>
            <w:r>
              <w:rPr>
                <w:color w:val="000000"/>
                <w:sz w:val="24"/>
                <w:szCs w:val="24"/>
              </w:rPr>
              <w:t>1.94</w:t>
            </w:r>
          </w:p>
        </w:tc>
      </w:tr>
      <w:tr w:rsidR="00065E0C">
        <w:trPr>
          <w:jc w:val="center"/>
        </w:trPr>
        <w:tc>
          <w:tcPr>
            <w:tcW w:w="855" w:type="dxa"/>
            <w:vAlign w:val="center"/>
          </w:tcPr>
          <w:p w:rsidR="00065E0C" w:rsidRDefault="00351F30">
            <w:pPr>
              <w:jc w:val="center"/>
            </w:pPr>
            <w:r>
              <w:rPr>
                <w:color w:val="000000"/>
                <w:sz w:val="24"/>
                <w:szCs w:val="24"/>
              </w:rPr>
              <w:t>4</w:t>
            </w:r>
          </w:p>
        </w:tc>
        <w:tc>
          <w:tcPr>
            <w:tcW w:w="1334" w:type="dxa"/>
            <w:vAlign w:val="center"/>
          </w:tcPr>
          <w:p w:rsidR="00065E0C" w:rsidRDefault="00351F30">
            <w:pPr>
              <w:jc w:val="center"/>
            </w:pPr>
            <w:r>
              <w:rPr>
                <w:color w:val="000000"/>
                <w:sz w:val="24"/>
                <w:szCs w:val="24"/>
              </w:rPr>
              <w:t>601288</w:t>
            </w:r>
          </w:p>
        </w:tc>
        <w:tc>
          <w:tcPr>
            <w:tcW w:w="1777" w:type="dxa"/>
            <w:vAlign w:val="center"/>
          </w:tcPr>
          <w:p w:rsidR="00065E0C" w:rsidRDefault="00351F30">
            <w:pPr>
              <w:jc w:val="center"/>
            </w:pPr>
            <w:r>
              <w:rPr>
                <w:color w:val="000000"/>
                <w:sz w:val="24"/>
                <w:szCs w:val="24"/>
              </w:rPr>
              <w:t>农业银行</w:t>
            </w:r>
          </w:p>
        </w:tc>
        <w:tc>
          <w:tcPr>
            <w:tcW w:w="1334" w:type="dxa"/>
            <w:vAlign w:val="center"/>
          </w:tcPr>
          <w:p w:rsidR="00065E0C" w:rsidRDefault="00351F30">
            <w:pPr>
              <w:jc w:val="right"/>
            </w:pPr>
            <w:r>
              <w:rPr>
                <w:color w:val="000000"/>
                <w:sz w:val="24"/>
                <w:szCs w:val="24"/>
              </w:rPr>
              <w:t>2,500,000</w:t>
            </w:r>
          </w:p>
        </w:tc>
        <w:tc>
          <w:tcPr>
            <w:tcW w:w="1924" w:type="dxa"/>
            <w:vAlign w:val="center"/>
          </w:tcPr>
          <w:p w:rsidR="00065E0C" w:rsidRDefault="00351F30">
            <w:pPr>
              <w:jc w:val="right"/>
            </w:pPr>
            <w:r>
              <w:rPr>
                <w:color w:val="000000"/>
                <w:sz w:val="24"/>
                <w:szCs w:val="24"/>
              </w:rPr>
              <w:t>7,750,000.00</w:t>
            </w:r>
          </w:p>
        </w:tc>
        <w:tc>
          <w:tcPr>
            <w:tcW w:w="1644" w:type="dxa"/>
            <w:vAlign w:val="center"/>
          </w:tcPr>
          <w:p w:rsidR="00065E0C" w:rsidRDefault="00351F30">
            <w:pPr>
              <w:jc w:val="right"/>
            </w:pPr>
            <w:r>
              <w:rPr>
                <w:color w:val="000000"/>
                <w:sz w:val="24"/>
                <w:szCs w:val="24"/>
              </w:rPr>
              <w:t>1.41</w:t>
            </w:r>
          </w:p>
        </w:tc>
      </w:tr>
      <w:tr w:rsidR="00065E0C">
        <w:trPr>
          <w:jc w:val="center"/>
        </w:trPr>
        <w:tc>
          <w:tcPr>
            <w:tcW w:w="855" w:type="dxa"/>
            <w:vAlign w:val="center"/>
          </w:tcPr>
          <w:p w:rsidR="00065E0C" w:rsidRDefault="00351F30">
            <w:pPr>
              <w:jc w:val="center"/>
            </w:pPr>
            <w:r>
              <w:rPr>
                <w:color w:val="000000"/>
                <w:sz w:val="24"/>
                <w:szCs w:val="24"/>
              </w:rPr>
              <w:t>5</w:t>
            </w:r>
          </w:p>
        </w:tc>
        <w:tc>
          <w:tcPr>
            <w:tcW w:w="1334" w:type="dxa"/>
            <w:vAlign w:val="center"/>
          </w:tcPr>
          <w:p w:rsidR="00065E0C" w:rsidRDefault="00351F30">
            <w:pPr>
              <w:jc w:val="center"/>
            </w:pPr>
            <w:r>
              <w:rPr>
                <w:color w:val="000000"/>
                <w:sz w:val="24"/>
                <w:szCs w:val="24"/>
              </w:rPr>
              <w:t>002142</w:t>
            </w:r>
          </w:p>
        </w:tc>
        <w:tc>
          <w:tcPr>
            <w:tcW w:w="1777" w:type="dxa"/>
            <w:vAlign w:val="center"/>
          </w:tcPr>
          <w:p w:rsidR="00065E0C" w:rsidRDefault="00351F30">
            <w:pPr>
              <w:jc w:val="center"/>
            </w:pPr>
            <w:r>
              <w:rPr>
                <w:color w:val="000000"/>
                <w:sz w:val="24"/>
                <w:szCs w:val="24"/>
              </w:rPr>
              <w:t>宁波银行</w:t>
            </w:r>
          </w:p>
        </w:tc>
        <w:tc>
          <w:tcPr>
            <w:tcW w:w="1334" w:type="dxa"/>
            <w:vAlign w:val="center"/>
          </w:tcPr>
          <w:p w:rsidR="00065E0C" w:rsidRDefault="00351F30">
            <w:pPr>
              <w:jc w:val="right"/>
            </w:pPr>
            <w:r>
              <w:rPr>
                <w:color w:val="000000"/>
                <w:sz w:val="24"/>
                <w:szCs w:val="24"/>
              </w:rPr>
              <w:t>430,000</w:t>
            </w:r>
          </w:p>
        </w:tc>
        <w:tc>
          <w:tcPr>
            <w:tcW w:w="1924" w:type="dxa"/>
            <w:vAlign w:val="center"/>
          </w:tcPr>
          <w:p w:rsidR="00065E0C" w:rsidRDefault="00351F30">
            <w:pPr>
              <w:jc w:val="right"/>
            </w:pPr>
            <w:r>
              <w:rPr>
                <w:color w:val="000000"/>
                <w:sz w:val="24"/>
                <w:szCs w:val="24"/>
              </w:rPr>
              <w:t>7,155,200.00</w:t>
            </w:r>
          </w:p>
        </w:tc>
        <w:tc>
          <w:tcPr>
            <w:tcW w:w="1644" w:type="dxa"/>
            <w:vAlign w:val="center"/>
          </w:tcPr>
          <w:p w:rsidR="00065E0C" w:rsidRDefault="00351F30">
            <w:pPr>
              <w:jc w:val="right"/>
            </w:pPr>
            <w:r>
              <w:rPr>
                <w:color w:val="000000"/>
                <w:sz w:val="24"/>
                <w:szCs w:val="24"/>
              </w:rPr>
              <w:t>1.30</w:t>
            </w:r>
          </w:p>
        </w:tc>
      </w:tr>
      <w:tr w:rsidR="00065E0C">
        <w:trPr>
          <w:jc w:val="center"/>
        </w:trPr>
        <w:tc>
          <w:tcPr>
            <w:tcW w:w="855" w:type="dxa"/>
            <w:vAlign w:val="center"/>
          </w:tcPr>
          <w:p w:rsidR="00065E0C" w:rsidRDefault="00351F30">
            <w:pPr>
              <w:jc w:val="center"/>
            </w:pPr>
            <w:r>
              <w:rPr>
                <w:color w:val="000000"/>
                <w:sz w:val="24"/>
                <w:szCs w:val="24"/>
              </w:rPr>
              <w:t>6</w:t>
            </w:r>
          </w:p>
        </w:tc>
        <w:tc>
          <w:tcPr>
            <w:tcW w:w="1334" w:type="dxa"/>
            <w:vAlign w:val="center"/>
          </w:tcPr>
          <w:p w:rsidR="00065E0C" w:rsidRDefault="00351F30">
            <w:pPr>
              <w:jc w:val="center"/>
            </w:pPr>
            <w:r>
              <w:rPr>
                <w:color w:val="000000"/>
                <w:sz w:val="24"/>
                <w:szCs w:val="24"/>
              </w:rPr>
              <w:t>600519</w:t>
            </w:r>
          </w:p>
        </w:tc>
        <w:tc>
          <w:tcPr>
            <w:tcW w:w="1777" w:type="dxa"/>
            <w:vAlign w:val="center"/>
          </w:tcPr>
          <w:p w:rsidR="00065E0C" w:rsidRDefault="00351F30">
            <w:pPr>
              <w:jc w:val="center"/>
            </w:pPr>
            <w:r>
              <w:rPr>
                <w:color w:val="000000"/>
                <w:sz w:val="24"/>
                <w:szCs w:val="24"/>
              </w:rPr>
              <w:t>贵州茅台</w:t>
            </w:r>
          </w:p>
        </w:tc>
        <w:tc>
          <w:tcPr>
            <w:tcW w:w="1334" w:type="dxa"/>
            <w:vAlign w:val="center"/>
          </w:tcPr>
          <w:p w:rsidR="00065E0C" w:rsidRDefault="00351F30">
            <w:pPr>
              <w:jc w:val="right"/>
            </w:pPr>
            <w:r>
              <w:rPr>
                <w:color w:val="000000"/>
                <w:sz w:val="24"/>
                <w:szCs w:val="24"/>
              </w:rPr>
              <w:t>20,000</w:t>
            </w:r>
          </w:p>
        </w:tc>
        <w:tc>
          <w:tcPr>
            <w:tcW w:w="1924" w:type="dxa"/>
            <w:vAlign w:val="center"/>
          </w:tcPr>
          <w:p w:rsidR="00065E0C" w:rsidRDefault="00351F30">
            <w:pPr>
              <w:jc w:val="right"/>
            </w:pPr>
            <w:r>
              <w:rPr>
                <w:color w:val="000000"/>
                <w:sz w:val="24"/>
                <w:szCs w:val="24"/>
              </w:rPr>
              <w:t>6,683,000.00</w:t>
            </w:r>
          </w:p>
        </w:tc>
        <w:tc>
          <w:tcPr>
            <w:tcW w:w="1644" w:type="dxa"/>
            <w:vAlign w:val="center"/>
          </w:tcPr>
          <w:p w:rsidR="00065E0C" w:rsidRDefault="00351F30">
            <w:pPr>
              <w:jc w:val="right"/>
            </w:pPr>
            <w:r>
              <w:rPr>
                <w:color w:val="000000"/>
                <w:sz w:val="24"/>
                <w:szCs w:val="24"/>
              </w:rPr>
              <w:t>1.22</w:t>
            </w:r>
          </w:p>
        </w:tc>
      </w:tr>
      <w:tr w:rsidR="00065E0C">
        <w:trPr>
          <w:jc w:val="center"/>
        </w:trPr>
        <w:tc>
          <w:tcPr>
            <w:tcW w:w="855" w:type="dxa"/>
            <w:vAlign w:val="center"/>
          </w:tcPr>
          <w:p w:rsidR="00065E0C" w:rsidRDefault="00351F30">
            <w:pPr>
              <w:jc w:val="center"/>
            </w:pPr>
            <w:r>
              <w:rPr>
                <w:color w:val="000000"/>
                <w:sz w:val="24"/>
                <w:szCs w:val="24"/>
              </w:rPr>
              <w:t>7</w:t>
            </w:r>
          </w:p>
        </w:tc>
        <w:tc>
          <w:tcPr>
            <w:tcW w:w="1334" w:type="dxa"/>
            <w:vAlign w:val="center"/>
          </w:tcPr>
          <w:p w:rsidR="00065E0C" w:rsidRDefault="00351F30">
            <w:pPr>
              <w:jc w:val="center"/>
            </w:pPr>
            <w:r>
              <w:rPr>
                <w:color w:val="000000"/>
                <w:sz w:val="24"/>
                <w:szCs w:val="24"/>
              </w:rPr>
              <w:t>601169</w:t>
            </w:r>
          </w:p>
        </w:tc>
        <w:tc>
          <w:tcPr>
            <w:tcW w:w="1777" w:type="dxa"/>
            <w:vAlign w:val="center"/>
          </w:tcPr>
          <w:p w:rsidR="00065E0C" w:rsidRDefault="00351F30">
            <w:pPr>
              <w:jc w:val="center"/>
            </w:pPr>
            <w:r>
              <w:rPr>
                <w:color w:val="000000"/>
                <w:sz w:val="24"/>
                <w:szCs w:val="24"/>
              </w:rPr>
              <w:t>北京银行</w:t>
            </w:r>
          </w:p>
        </w:tc>
        <w:tc>
          <w:tcPr>
            <w:tcW w:w="1334" w:type="dxa"/>
            <w:vAlign w:val="center"/>
          </w:tcPr>
          <w:p w:rsidR="00065E0C" w:rsidRDefault="00351F30">
            <w:pPr>
              <w:jc w:val="right"/>
            </w:pPr>
            <w:r>
              <w:rPr>
                <w:color w:val="000000"/>
                <w:sz w:val="24"/>
                <w:szCs w:val="24"/>
              </w:rPr>
              <w:t>500,000</w:t>
            </w:r>
          </w:p>
        </w:tc>
        <w:tc>
          <w:tcPr>
            <w:tcW w:w="1924" w:type="dxa"/>
            <w:vAlign w:val="center"/>
          </w:tcPr>
          <w:p w:rsidR="00065E0C" w:rsidRDefault="00351F30">
            <w:pPr>
              <w:jc w:val="right"/>
            </w:pPr>
            <w:r>
              <w:rPr>
                <w:color w:val="000000"/>
                <w:sz w:val="24"/>
                <w:szCs w:val="24"/>
              </w:rPr>
              <w:t>4,880,000.00</w:t>
            </w:r>
          </w:p>
        </w:tc>
        <w:tc>
          <w:tcPr>
            <w:tcW w:w="1644" w:type="dxa"/>
            <w:vAlign w:val="center"/>
          </w:tcPr>
          <w:p w:rsidR="00065E0C" w:rsidRDefault="00351F30">
            <w:pPr>
              <w:jc w:val="right"/>
            </w:pPr>
            <w:r>
              <w:rPr>
                <w:color w:val="000000"/>
                <w:sz w:val="24"/>
                <w:szCs w:val="24"/>
              </w:rPr>
              <w:t>0.89</w:t>
            </w:r>
          </w:p>
        </w:tc>
      </w:tr>
      <w:tr w:rsidR="00065E0C">
        <w:trPr>
          <w:jc w:val="center"/>
        </w:trPr>
        <w:tc>
          <w:tcPr>
            <w:tcW w:w="855" w:type="dxa"/>
            <w:vAlign w:val="center"/>
          </w:tcPr>
          <w:p w:rsidR="00065E0C" w:rsidRDefault="00351F30">
            <w:pPr>
              <w:jc w:val="center"/>
            </w:pPr>
            <w:r>
              <w:rPr>
                <w:color w:val="000000"/>
                <w:sz w:val="24"/>
                <w:szCs w:val="24"/>
              </w:rPr>
              <w:t>8</w:t>
            </w:r>
          </w:p>
        </w:tc>
        <w:tc>
          <w:tcPr>
            <w:tcW w:w="1334" w:type="dxa"/>
            <w:vAlign w:val="center"/>
          </w:tcPr>
          <w:p w:rsidR="00065E0C" w:rsidRDefault="00351F30">
            <w:pPr>
              <w:jc w:val="center"/>
            </w:pPr>
            <w:r>
              <w:rPr>
                <w:color w:val="000000"/>
                <w:sz w:val="24"/>
                <w:szCs w:val="24"/>
              </w:rPr>
              <w:t>000963</w:t>
            </w:r>
          </w:p>
        </w:tc>
        <w:tc>
          <w:tcPr>
            <w:tcW w:w="1777" w:type="dxa"/>
            <w:vAlign w:val="center"/>
          </w:tcPr>
          <w:p w:rsidR="00065E0C" w:rsidRDefault="00351F30">
            <w:pPr>
              <w:jc w:val="center"/>
            </w:pPr>
            <w:r>
              <w:rPr>
                <w:color w:val="000000"/>
                <w:sz w:val="24"/>
                <w:szCs w:val="24"/>
              </w:rPr>
              <w:t>华东医药</w:t>
            </w:r>
          </w:p>
        </w:tc>
        <w:tc>
          <w:tcPr>
            <w:tcW w:w="1334" w:type="dxa"/>
            <w:vAlign w:val="center"/>
          </w:tcPr>
          <w:p w:rsidR="00065E0C" w:rsidRDefault="00351F30">
            <w:pPr>
              <w:jc w:val="right"/>
            </w:pPr>
            <w:r>
              <w:rPr>
                <w:color w:val="000000"/>
                <w:sz w:val="24"/>
                <w:szCs w:val="24"/>
              </w:rPr>
              <w:t>42,770</w:t>
            </w:r>
          </w:p>
        </w:tc>
        <w:tc>
          <w:tcPr>
            <w:tcW w:w="1924" w:type="dxa"/>
            <w:vAlign w:val="center"/>
          </w:tcPr>
          <w:p w:rsidR="00065E0C" w:rsidRDefault="00351F30">
            <w:pPr>
              <w:jc w:val="right"/>
            </w:pPr>
            <w:r>
              <w:rPr>
                <w:color w:val="000000"/>
                <w:sz w:val="24"/>
                <w:szCs w:val="24"/>
              </w:rPr>
              <w:t>3,082,433.90</w:t>
            </w:r>
          </w:p>
        </w:tc>
        <w:tc>
          <w:tcPr>
            <w:tcW w:w="1644" w:type="dxa"/>
            <w:vAlign w:val="center"/>
          </w:tcPr>
          <w:p w:rsidR="00065E0C" w:rsidRDefault="00351F30">
            <w:pPr>
              <w:jc w:val="right"/>
            </w:pPr>
            <w:r>
              <w:rPr>
                <w:color w:val="000000"/>
                <w:sz w:val="24"/>
                <w:szCs w:val="24"/>
              </w:rPr>
              <w:t>0.56</w:t>
            </w:r>
          </w:p>
        </w:tc>
      </w:tr>
      <w:tr w:rsidR="00065E0C">
        <w:trPr>
          <w:jc w:val="center"/>
        </w:trPr>
        <w:tc>
          <w:tcPr>
            <w:tcW w:w="855" w:type="dxa"/>
            <w:vAlign w:val="center"/>
          </w:tcPr>
          <w:p w:rsidR="00065E0C" w:rsidRDefault="00351F30">
            <w:pPr>
              <w:jc w:val="center"/>
            </w:pPr>
            <w:r>
              <w:rPr>
                <w:color w:val="000000"/>
                <w:sz w:val="24"/>
                <w:szCs w:val="24"/>
              </w:rPr>
              <w:t>9</w:t>
            </w:r>
          </w:p>
        </w:tc>
        <w:tc>
          <w:tcPr>
            <w:tcW w:w="1334" w:type="dxa"/>
            <w:vAlign w:val="center"/>
          </w:tcPr>
          <w:p w:rsidR="00065E0C" w:rsidRDefault="00351F30">
            <w:pPr>
              <w:jc w:val="center"/>
            </w:pPr>
            <w:r>
              <w:rPr>
                <w:color w:val="000000"/>
                <w:sz w:val="24"/>
                <w:szCs w:val="24"/>
              </w:rPr>
              <w:t>601939</w:t>
            </w:r>
          </w:p>
        </w:tc>
        <w:tc>
          <w:tcPr>
            <w:tcW w:w="1777" w:type="dxa"/>
            <w:vAlign w:val="center"/>
          </w:tcPr>
          <w:p w:rsidR="00065E0C" w:rsidRDefault="00351F30">
            <w:pPr>
              <w:jc w:val="center"/>
            </w:pPr>
            <w:r>
              <w:rPr>
                <w:color w:val="000000"/>
                <w:sz w:val="24"/>
                <w:szCs w:val="24"/>
              </w:rPr>
              <w:t>建设银行</w:t>
            </w:r>
          </w:p>
        </w:tc>
        <w:tc>
          <w:tcPr>
            <w:tcW w:w="1334" w:type="dxa"/>
            <w:vAlign w:val="center"/>
          </w:tcPr>
          <w:p w:rsidR="00065E0C" w:rsidRDefault="00351F30">
            <w:pPr>
              <w:jc w:val="right"/>
            </w:pPr>
            <w:r>
              <w:rPr>
                <w:color w:val="000000"/>
                <w:sz w:val="24"/>
                <w:szCs w:val="24"/>
              </w:rPr>
              <w:t>500,000</w:t>
            </w:r>
          </w:p>
        </w:tc>
        <w:tc>
          <w:tcPr>
            <w:tcW w:w="1924" w:type="dxa"/>
            <w:vAlign w:val="center"/>
          </w:tcPr>
          <w:p w:rsidR="00065E0C" w:rsidRDefault="00351F30">
            <w:pPr>
              <w:jc w:val="right"/>
            </w:pPr>
            <w:r>
              <w:rPr>
                <w:color w:val="000000"/>
                <w:sz w:val="24"/>
                <w:szCs w:val="24"/>
              </w:rPr>
              <w:t>2,720,000.00</w:t>
            </w:r>
          </w:p>
        </w:tc>
        <w:tc>
          <w:tcPr>
            <w:tcW w:w="1644" w:type="dxa"/>
            <w:vAlign w:val="center"/>
          </w:tcPr>
          <w:p w:rsidR="00065E0C" w:rsidRDefault="00351F30">
            <w:pPr>
              <w:jc w:val="right"/>
            </w:pPr>
            <w:r>
              <w:rPr>
                <w:color w:val="000000"/>
                <w:sz w:val="24"/>
                <w:szCs w:val="24"/>
              </w:rPr>
              <w:t>0.50</w:t>
            </w:r>
          </w:p>
        </w:tc>
      </w:tr>
      <w:tr w:rsidR="00065E0C">
        <w:trPr>
          <w:jc w:val="center"/>
        </w:trPr>
        <w:tc>
          <w:tcPr>
            <w:tcW w:w="855" w:type="dxa"/>
            <w:vAlign w:val="center"/>
          </w:tcPr>
          <w:p w:rsidR="00065E0C" w:rsidRDefault="00351F30">
            <w:pPr>
              <w:jc w:val="center"/>
            </w:pPr>
            <w:r>
              <w:rPr>
                <w:color w:val="000000"/>
                <w:sz w:val="24"/>
                <w:szCs w:val="24"/>
              </w:rPr>
              <w:t>10</w:t>
            </w:r>
          </w:p>
        </w:tc>
        <w:tc>
          <w:tcPr>
            <w:tcW w:w="1334" w:type="dxa"/>
            <w:vAlign w:val="center"/>
          </w:tcPr>
          <w:p w:rsidR="00065E0C" w:rsidRDefault="00351F30">
            <w:pPr>
              <w:jc w:val="center"/>
            </w:pPr>
            <w:r>
              <w:rPr>
                <w:color w:val="000000"/>
                <w:sz w:val="24"/>
                <w:szCs w:val="24"/>
              </w:rPr>
              <w:t>000651</w:t>
            </w:r>
          </w:p>
        </w:tc>
        <w:tc>
          <w:tcPr>
            <w:tcW w:w="1777" w:type="dxa"/>
            <w:vAlign w:val="center"/>
          </w:tcPr>
          <w:p w:rsidR="00065E0C" w:rsidRDefault="00351F30">
            <w:pPr>
              <w:jc w:val="center"/>
            </w:pPr>
            <w:r>
              <w:rPr>
                <w:color w:val="000000"/>
                <w:sz w:val="24"/>
                <w:szCs w:val="24"/>
              </w:rPr>
              <w:t>格力电器</w:t>
            </w:r>
          </w:p>
        </w:tc>
        <w:tc>
          <w:tcPr>
            <w:tcW w:w="1334" w:type="dxa"/>
            <w:vAlign w:val="center"/>
          </w:tcPr>
          <w:p w:rsidR="00065E0C" w:rsidRDefault="00351F30">
            <w:pPr>
              <w:jc w:val="right"/>
            </w:pPr>
            <w:r>
              <w:rPr>
                <w:color w:val="000000"/>
                <w:sz w:val="24"/>
                <w:szCs w:val="24"/>
              </w:rPr>
              <w:t>100,000</w:t>
            </w:r>
          </w:p>
        </w:tc>
        <w:tc>
          <w:tcPr>
            <w:tcW w:w="1924" w:type="dxa"/>
            <w:vAlign w:val="center"/>
          </w:tcPr>
          <w:p w:rsidR="00065E0C" w:rsidRDefault="00351F30">
            <w:pPr>
              <w:jc w:val="right"/>
            </w:pPr>
            <w:r>
              <w:rPr>
                <w:color w:val="000000"/>
                <w:sz w:val="24"/>
                <w:szCs w:val="24"/>
              </w:rPr>
              <w:t>2,462,000.00</w:t>
            </w:r>
          </w:p>
        </w:tc>
        <w:tc>
          <w:tcPr>
            <w:tcW w:w="1644" w:type="dxa"/>
            <w:vAlign w:val="center"/>
          </w:tcPr>
          <w:p w:rsidR="00065E0C" w:rsidRDefault="00351F30">
            <w:pPr>
              <w:jc w:val="right"/>
            </w:pPr>
            <w:r>
              <w:rPr>
                <w:color w:val="000000"/>
                <w:sz w:val="24"/>
                <w:szCs w:val="24"/>
              </w:rPr>
              <w:t>0.45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29,766,000.00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29,751,000.00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29,751,000.00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338,361,000.00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61.59</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D016AF" w:rsidRPr="00414345" w:rsidTr="0006711A">
        <w:trPr>
          <w:jc w:val="center"/>
        </w:trPr>
        <w:tc>
          <w:tcPr>
            <w:tcW w:w="828" w:type="dxa"/>
            <w:vAlign w:val="center"/>
          </w:tcPr>
          <w:p w:rsidR="00D016AF" w:rsidRPr="007A70C2" w:rsidRDefault="00D016AF" w:rsidP="00D016AF">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D016AF" w:rsidRPr="007A70C2" w:rsidRDefault="00D016AF" w:rsidP="00D016AF">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D016AF" w:rsidRPr="00D016AF" w:rsidRDefault="00D016AF" w:rsidP="00D016AF">
            <w:pPr>
              <w:spacing w:before="29" w:line="288" w:lineRule="auto"/>
              <w:ind w:left="17"/>
              <w:jc w:val="right"/>
              <w:rPr>
                <w:color w:val="000000"/>
                <w:sz w:val="24"/>
                <w:szCs w:val="24"/>
              </w:rPr>
            </w:pPr>
            <w:r w:rsidRPr="00D016AF">
              <w:rPr>
                <w:color w:val="000000"/>
                <w:sz w:val="24"/>
                <w:szCs w:val="24"/>
              </w:rPr>
              <w:t>39,602,000.00</w:t>
            </w:r>
          </w:p>
        </w:tc>
        <w:tc>
          <w:tcPr>
            <w:tcW w:w="1751" w:type="dxa"/>
            <w:vAlign w:val="center"/>
          </w:tcPr>
          <w:p w:rsidR="00D016AF" w:rsidRPr="00D016AF" w:rsidRDefault="00D016AF" w:rsidP="00D016AF">
            <w:pPr>
              <w:spacing w:before="29" w:line="288" w:lineRule="auto"/>
              <w:ind w:left="17"/>
              <w:jc w:val="right"/>
              <w:rPr>
                <w:color w:val="000000"/>
                <w:sz w:val="24"/>
                <w:szCs w:val="24"/>
              </w:rPr>
            </w:pPr>
            <w:r w:rsidRPr="00D016AF">
              <w:rPr>
                <w:color w:val="000000"/>
                <w:sz w:val="24"/>
                <w:szCs w:val="24"/>
              </w:rPr>
              <w:t>7.21</w:t>
            </w:r>
          </w:p>
        </w:tc>
      </w:tr>
      <w:tr w:rsidR="00D016AF" w:rsidRPr="00414345" w:rsidTr="00F323FF">
        <w:trPr>
          <w:jc w:val="center"/>
        </w:trPr>
        <w:tc>
          <w:tcPr>
            <w:tcW w:w="828" w:type="dxa"/>
            <w:vAlign w:val="center"/>
          </w:tcPr>
          <w:p w:rsidR="00D016AF" w:rsidRPr="00414345" w:rsidRDefault="00D016AF" w:rsidP="00D016A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D016AF" w:rsidRPr="00414345" w:rsidRDefault="00D016AF" w:rsidP="00D016AF">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D016AF" w:rsidRPr="00D016AF" w:rsidRDefault="00D016AF" w:rsidP="00D016AF">
            <w:pPr>
              <w:spacing w:before="29" w:line="288" w:lineRule="auto"/>
              <w:ind w:left="17"/>
              <w:jc w:val="right"/>
              <w:rPr>
                <w:color w:val="000000"/>
                <w:sz w:val="24"/>
                <w:szCs w:val="24"/>
              </w:rPr>
            </w:pPr>
            <w:r w:rsidRPr="00D016AF">
              <w:rPr>
                <w:color w:val="000000"/>
                <w:sz w:val="24"/>
                <w:szCs w:val="24"/>
              </w:rPr>
              <w:t>-</w:t>
            </w:r>
          </w:p>
        </w:tc>
        <w:tc>
          <w:tcPr>
            <w:tcW w:w="1751" w:type="dxa"/>
            <w:vAlign w:val="center"/>
          </w:tcPr>
          <w:p w:rsidR="00D016AF" w:rsidRPr="00D016AF" w:rsidRDefault="00D016AF" w:rsidP="00D016AF">
            <w:pPr>
              <w:spacing w:before="29" w:line="288" w:lineRule="auto"/>
              <w:ind w:left="17"/>
              <w:jc w:val="right"/>
              <w:rPr>
                <w:color w:val="000000"/>
                <w:sz w:val="24"/>
                <w:szCs w:val="24"/>
              </w:rPr>
            </w:pPr>
            <w:r w:rsidRPr="00D016AF">
              <w:rPr>
                <w:color w:val="000000"/>
                <w:sz w:val="24"/>
                <w:szCs w:val="24"/>
              </w:rPr>
              <w:t>-</w:t>
            </w:r>
            <w:bookmarkStart w:id="0" w:name="_GoBack"/>
            <w:bookmarkEnd w:id="0"/>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437,480,000.00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79.63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65E0C">
        <w:trPr>
          <w:jc w:val="center"/>
        </w:trPr>
        <w:tc>
          <w:tcPr>
            <w:tcW w:w="850" w:type="dxa"/>
            <w:vAlign w:val="center"/>
          </w:tcPr>
          <w:p w:rsidR="00065E0C" w:rsidRDefault="00351F30">
            <w:pPr>
              <w:jc w:val="center"/>
            </w:pPr>
            <w:r>
              <w:rPr>
                <w:color w:val="000000"/>
                <w:sz w:val="24"/>
                <w:szCs w:val="24"/>
              </w:rPr>
              <w:t>1</w:t>
            </w:r>
          </w:p>
        </w:tc>
        <w:tc>
          <w:tcPr>
            <w:tcW w:w="1475" w:type="dxa"/>
            <w:vAlign w:val="center"/>
          </w:tcPr>
          <w:p w:rsidR="00065E0C" w:rsidRDefault="00351F30">
            <w:pPr>
              <w:jc w:val="center"/>
            </w:pPr>
            <w:r>
              <w:rPr>
                <w:color w:val="000000"/>
                <w:sz w:val="24"/>
                <w:szCs w:val="24"/>
              </w:rPr>
              <w:t>011698824</w:t>
            </w:r>
          </w:p>
        </w:tc>
        <w:tc>
          <w:tcPr>
            <w:tcW w:w="1769" w:type="dxa"/>
            <w:vAlign w:val="center"/>
          </w:tcPr>
          <w:p w:rsidR="00065E0C" w:rsidRDefault="00351F30">
            <w:pPr>
              <w:jc w:val="center"/>
            </w:pPr>
            <w:r>
              <w:rPr>
                <w:color w:val="000000"/>
                <w:sz w:val="24"/>
                <w:szCs w:val="24"/>
              </w:rPr>
              <w:t>16</w:t>
            </w:r>
            <w:r>
              <w:rPr>
                <w:color w:val="000000"/>
                <w:sz w:val="24"/>
                <w:szCs w:val="24"/>
              </w:rPr>
              <w:t>联通</w:t>
            </w:r>
            <w:r>
              <w:rPr>
                <w:color w:val="000000"/>
                <w:sz w:val="24"/>
                <w:szCs w:val="24"/>
              </w:rPr>
              <w:t>SCP005</w:t>
            </w:r>
          </w:p>
        </w:tc>
        <w:tc>
          <w:tcPr>
            <w:tcW w:w="1387" w:type="dxa"/>
            <w:vAlign w:val="center"/>
          </w:tcPr>
          <w:p w:rsidR="00065E0C" w:rsidRDefault="00351F30">
            <w:pPr>
              <w:jc w:val="right"/>
            </w:pPr>
            <w:r>
              <w:rPr>
                <w:color w:val="000000"/>
                <w:sz w:val="24"/>
                <w:szCs w:val="24"/>
              </w:rPr>
              <w:t>500,000</w:t>
            </w:r>
          </w:p>
        </w:tc>
        <w:tc>
          <w:tcPr>
            <w:tcW w:w="2150" w:type="dxa"/>
            <w:vAlign w:val="center"/>
          </w:tcPr>
          <w:p w:rsidR="00065E0C" w:rsidRDefault="00351F30">
            <w:pPr>
              <w:jc w:val="right"/>
            </w:pPr>
            <w:r>
              <w:rPr>
                <w:color w:val="000000"/>
                <w:sz w:val="24"/>
                <w:szCs w:val="24"/>
              </w:rPr>
              <w:t>49,775,000.00</w:t>
            </w:r>
          </w:p>
        </w:tc>
        <w:tc>
          <w:tcPr>
            <w:tcW w:w="1237" w:type="dxa"/>
            <w:vAlign w:val="center"/>
          </w:tcPr>
          <w:p w:rsidR="00065E0C" w:rsidRDefault="00351F30">
            <w:pPr>
              <w:jc w:val="right"/>
            </w:pPr>
            <w:r>
              <w:rPr>
                <w:color w:val="000000"/>
                <w:sz w:val="24"/>
                <w:szCs w:val="24"/>
              </w:rPr>
              <w:t>9.06</w:t>
            </w:r>
          </w:p>
        </w:tc>
      </w:tr>
      <w:tr w:rsidR="00065E0C">
        <w:trPr>
          <w:jc w:val="center"/>
        </w:trPr>
        <w:tc>
          <w:tcPr>
            <w:tcW w:w="850" w:type="dxa"/>
            <w:vAlign w:val="center"/>
          </w:tcPr>
          <w:p w:rsidR="00065E0C" w:rsidRDefault="00351F30">
            <w:pPr>
              <w:jc w:val="center"/>
            </w:pPr>
            <w:r>
              <w:rPr>
                <w:color w:val="000000"/>
                <w:sz w:val="24"/>
                <w:szCs w:val="24"/>
              </w:rPr>
              <w:t>2</w:t>
            </w:r>
          </w:p>
        </w:tc>
        <w:tc>
          <w:tcPr>
            <w:tcW w:w="1475" w:type="dxa"/>
            <w:vAlign w:val="center"/>
          </w:tcPr>
          <w:p w:rsidR="00065E0C" w:rsidRDefault="00351F30">
            <w:pPr>
              <w:jc w:val="center"/>
            </w:pPr>
            <w:r>
              <w:rPr>
                <w:color w:val="000000"/>
                <w:sz w:val="24"/>
                <w:szCs w:val="24"/>
              </w:rPr>
              <w:t>011698792</w:t>
            </w:r>
          </w:p>
        </w:tc>
        <w:tc>
          <w:tcPr>
            <w:tcW w:w="1769" w:type="dxa"/>
            <w:vAlign w:val="center"/>
          </w:tcPr>
          <w:p w:rsidR="00065E0C" w:rsidRDefault="00351F30">
            <w:pPr>
              <w:jc w:val="center"/>
            </w:pPr>
            <w:r>
              <w:rPr>
                <w:color w:val="000000"/>
                <w:sz w:val="24"/>
                <w:szCs w:val="24"/>
              </w:rPr>
              <w:t>16</w:t>
            </w:r>
            <w:r>
              <w:rPr>
                <w:color w:val="000000"/>
                <w:sz w:val="24"/>
                <w:szCs w:val="24"/>
              </w:rPr>
              <w:t>鲁黄金</w:t>
            </w:r>
            <w:r>
              <w:rPr>
                <w:color w:val="000000"/>
                <w:sz w:val="24"/>
                <w:szCs w:val="24"/>
              </w:rPr>
              <w:t>SCP016</w:t>
            </w:r>
          </w:p>
        </w:tc>
        <w:tc>
          <w:tcPr>
            <w:tcW w:w="1387" w:type="dxa"/>
            <w:vAlign w:val="center"/>
          </w:tcPr>
          <w:p w:rsidR="00065E0C" w:rsidRDefault="00351F30">
            <w:pPr>
              <w:jc w:val="right"/>
            </w:pPr>
            <w:r>
              <w:rPr>
                <w:color w:val="000000"/>
                <w:sz w:val="24"/>
                <w:szCs w:val="24"/>
              </w:rPr>
              <w:t>400,000</w:t>
            </w:r>
          </w:p>
        </w:tc>
        <w:tc>
          <w:tcPr>
            <w:tcW w:w="2150" w:type="dxa"/>
            <w:vAlign w:val="center"/>
          </w:tcPr>
          <w:p w:rsidR="00065E0C" w:rsidRDefault="00351F30">
            <w:pPr>
              <w:jc w:val="right"/>
            </w:pPr>
            <w:r>
              <w:rPr>
                <w:color w:val="000000"/>
                <w:sz w:val="24"/>
                <w:szCs w:val="24"/>
              </w:rPr>
              <w:t>39,812,000.00</w:t>
            </w:r>
          </w:p>
        </w:tc>
        <w:tc>
          <w:tcPr>
            <w:tcW w:w="1237" w:type="dxa"/>
            <w:vAlign w:val="center"/>
          </w:tcPr>
          <w:p w:rsidR="00065E0C" w:rsidRDefault="00351F30">
            <w:pPr>
              <w:jc w:val="right"/>
            </w:pPr>
            <w:r>
              <w:rPr>
                <w:color w:val="000000"/>
                <w:sz w:val="24"/>
                <w:szCs w:val="24"/>
              </w:rPr>
              <w:t>7.25</w:t>
            </w:r>
          </w:p>
        </w:tc>
      </w:tr>
      <w:tr w:rsidR="00065E0C">
        <w:trPr>
          <w:jc w:val="center"/>
        </w:trPr>
        <w:tc>
          <w:tcPr>
            <w:tcW w:w="850" w:type="dxa"/>
            <w:vAlign w:val="center"/>
          </w:tcPr>
          <w:p w:rsidR="00065E0C" w:rsidRDefault="00351F30">
            <w:pPr>
              <w:jc w:val="center"/>
            </w:pPr>
            <w:r>
              <w:rPr>
                <w:color w:val="000000"/>
                <w:sz w:val="24"/>
                <w:szCs w:val="24"/>
              </w:rPr>
              <w:t>3</w:t>
            </w:r>
          </w:p>
        </w:tc>
        <w:tc>
          <w:tcPr>
            <w:tcW w:w="1475" w:type="dxa"/>
            <w:vAlign w:val="center"/>
          </w:tcPr>
          <w:p w:rsidR="00065E0C" w:rsidRDefault="00351F30">
            <w:pPr>
              <w:jc w:val="center"/>
            </w:pPr>
            <w:r>
              <w:rPr>
                <w:color w:val="000000"/>
                <w:sz w:val="24"/>
                <w:szCs w:val="24"/>
              </w:rPr>
              <w:t>011698834</w:t>
            </w:r>
          </w:p>
        </w:tc>
        <w:tc>
          <w:tcPr>
            <w:tcW w:w="1769" w:type="dxa"/>
            <w:vAlign w:val="center"/>
          </w:tcPr>
          <w:p w:rsidR="00065E0C" w:rsidRDefault="00351F30">
            <w:pPr>
              <w:jc w:val="center"/>
            </w:pPr>
            <w:r>
              <w:rPr>
                <w:color w:val="000000"/>
                <w:sz w:val="24"/>
                <w:szCs w:val="24"/>
              </w:rPr>
              <w:t>16</w:t>
            </w:r>
            <w:r>
              <w:rPr>
                <w:color w:val="000000"/>
                <w:sz w:val="24"/>
                <w:szCs w:val="24"/>
              </w:rPr>
              <w:t>华能</w:t>
            </w:r>
            <w:r>
              <w:rPr>
                <w:color w:val="000000"/>
                <w:sz w:val="24"/>
                <w:szCs w:val="24"/>
              </w:rPr>
              <w:t>SCP009</w:t>
            </w:r>
          </w:p>
        </w:tc>
        <w:tc>
          <w:tcPr>
            <w:tcW w:w="1387" w:type="dxa"/>
            <w:vAlign w:val="center"/>
          </w:tcPr>
          <w:p w:rsidR="00065E0C" w:rsidRDefault="00351F30">
            <w:pPr>
              <w:jc w:val="right"/>
            </w:pPr>
            <w:r>
              <w:rPr>
                <w:color w:val="000000"/>
                <w:sz w:val="24"/>
                <w:szCs w:val="24"/>
              </w:rPr>
              <w:t>300,000</w:t>
            </w:r>
          </w:p>
        </w:tc>
        <w:tc>
          <w:tcPr>
            <w:tcW w:w="2150" w:type="dxa"/>
            <w:vAlign w:val="center"/>
          </w:tcPr>
          <w:p w:rsidR="00065E0C" w:rsidRDefault="00351F30">
            <w:pPr>
              <w:jc w:val="right"/>
            </w:pPr>
            <w:r>
              <w:rPr>
                <w:color w:val="000000"/>
                <w:sz w:val="24"/>
                <w:szCs w:val="24"/>
              </w:rPr>
              <w:t>29,925,000.00</w:t>
            </w:r>
          </w:p>
        </w:tc>
        <w:tc>
          <w:tcPr>
            <w:tcW w:w="1237" w:type="dxa"/>
            <w:vAlign w:val="center"/>
          </w:tcPr>
          <w:p w:rsidR="00065E0C" w:rsidRDefault="00351F30">
            <w:pPr>
              <w:jc w:val="right"/>
            </w:pPr>
            <w:r>
              <w:rPr>
                <w:color w:val="000000"/>
                <w:sz w:val="24"/>
                <w:szCs w:val="24"/>
              </w:rPr>
              <w:t>5.45</w:t>
            </w:r>
          </w:p>
        </w:tc>
      </w:tr>
      <w:tr w:rsidR="00065E0C">
        <w:trPr>
          <w:jc w:val="center"/>
        </w:trPr>
        <w:tc>
          <w:tcPr>
            <w:tcW w:w="850" w:type="dxa"/>
            <w:vAlign w:val="center"/>
          </w:tcPr>
          <w:p w:rsidR="00065E0C" w:rsidRDefault="00351F30">
            <w:pPr>
              <w:jc w:val="center"/>
            </w:pPr>
            <w:r>
              <w:rPr>
                <w:color w:val="000000"/>
                <w:sz w:val="24"/>
                <w:szCs w:val="24"/>
              </w:rPr>
              <w:t>4</w:t>
            </w:r>
          </w:p>
        </w:tc>
        <w:tc>
          <w:tcPr>
            <w:tcW w:w="1475" w:type="dxa"/>
            <w:vAlign w:val="center"/>
          </w:tcPr>
          <w:p w:rsidR="00065E0C" w:rsidRDefault="00351F30">
            <w:pPr>
              <w:jc w:val="center"/>
            </w:pPr>
            <w:r>
              <w:rPr>
                <w:color w:val="000000"/>
                <w:sz w:val="24"/>
                <w:szCs w:val="24"/>
              </w:rPr>
              <w:t>011698809</w:t>
            </w:r>
          </w:p>
        </w:tc>
        <w:tc>
          <w:tcPr>
            <w:tcW w:w="1769" w:type="dxa"/>
            <w:vAlign w:val="center"/>
          </w:tcPr>
          <w:p w:rsidR="00065E0C" w:rsidRDefault="00351F30">
            <w:pPr>
              <w:jc w:val="center"/>
            </w:pPr>
            <w:r>
              <w:rPr>
                <w:color w:val="000000"/>
                <w:sz w:val="24"/>
                <w:szCs w:val="24"/>
              </w:rPr>
              <w:t>16</w:t>
            </w:r>
            <w:r>
              <w:rPr>
                <w:color w:val="000000"/>
                <w:sz w:val="24"/>
                <w:szCs w:val="24"/>
              </w:rPr>
              <w:t>京能洁能</w:t>
            </w:r>
            <w:r>
              <w:rPr>
                <w:color w:val="000000"/>
                <w:sz w:val="24"/>
                <w:szCs w:val="24"/>
              </w:rPr>
              <w:t>SCP005</w:t>
            </w:r>
          </w:p>
        </w:tc>
        <w:tc>
          <w:tcPr>
            <w:tcW w:w="1387" w:type="dxa"/>
            <w:vAlign w:val="center"/>
          </w:tcPr>
          <w:p w:rsidR="00065E0C" w:rsidRDefault="00351F30">
            <w:pPr>
              <w:jc w:val="right"/>
            </w:pPr>
            <w:r>
              <w:rPr>
                <w:color w:val="000000"/>
                <w:sz w:val="24"/>
                <w:szCs w:val="24"/>
              </w:rPr>
              <w:t>300,000</w:t>
            </w:r>
          </w:p>
        </w:tc>
        <w:tc>
          <w:tcPr>
            <w:tcW w:w="2150" w:type="dxa"/>
            <w:vAlign w:val="center"/>
          </w:tcPr>
          <w:p w:rsidR="00065E0C" w:rsidRDefault="00351F30">
            <w:pPr>
              <w:jc w:val="right"/>
            </w:pPr>
            <w:r>
              <w:rPr>
                <w:color w:val="000000"/>
                <w:sz w:val="24"/>
                <w:szCs w:val="24"/>
              </w:rPr>
              <w:t>29,889,000.00</w:t>
            </w:r>
          </w:p>
        </w:tc>
        <w:tc>
          <w:tcPr>
            <w:tcW w:w="1237" w:type="dxa"/>
            <w:vAlign w:val="center"/>
          </w:tcPr>
          <w:p w:rsidR="00065E0C" w:rsidRDefault="00351F30">
            <w:pPr>
              <w:jc w:val="right"/>
            </w:pPr>
            <w:r>
              <w:rPr>
                <w:color w:val="000000"/>
                <w:sz w:val="24"/>
                <w:szCs w:val="24"/>
              </w:rPr>
              <w:t>5.44</w:t>
            </w:r>
          </w:p>
        </w:tc>
      </w:tr>
      <w:tr w:rsidR="00065E0C">
        <w:trPr>
          <w:jc w:val="center"/>
        </w:trPr>
        <w:tc>
          <w:tcPr>
            <w:tcW w:w="850" w:type="dxa"/>
            <w:vAlign w:val="center"/>
          </w:tcPr>
          <w:p w:rsidR="00065E0C" w:rsidRDefault="00351F30">
            <w:pPr>
              <w:jc w:val="center"/>
            </w:pPr>
            <w:r>
              <w:rPr>
                <w:color w:val="000000"/>
                <w:sz w:val="24"/>
                <w:szCs w:val="24"/>
              </w:rPr>
              <w:t>5</w:t>
            </w:r>
          </w:p>
        </w:tc>
        <w:tc>
          <w:tcPr>
            <w:tcW w:w="1475" w:type="dxa"/>
            <w:vAlign w:val="center"/>
          </w:tcPr>
          <w:p w:rsidR="00065E0C" w:rsidRDefault="00351F30">
            <w:pPr>
              <w:jc w:val="center"/>
            </w:pPr>
            <w:r>
              <w:rPr>
                <w:color w:val="000000"/>
                <w:sz w:val="24"/>
                <w:szCs w:val="24"/>
              </w:rPr>
              <w:t>011698826</w:t>
            </w:r>
          </w:p>
        </w:tc>
        <w:tc>
          <w:tcPr>
            <w:tcW w:w="1769" w:type="dxa"/>
            <w:vAlign w:val="center"/>
          </w:tcPr>
          <w:p w:rsidR="00065E0C" w:rsidRDefault="00351F30">
            <w:pPr>
              <w:jc w:val="center"/>
            </w:pPr>
            <w:r>
              <w:rPr>
                <w:color w:val="000000"/>
                <w:sz w:val="24"/>
                <w:szCs w:val="24"/>
              </w:rPr>
              <w:t>16</w:t>
            </w:r>
            <w:r>
              <w:rPr>
                <w:color w:val="000000"/>
                <w:sz w:val="24"/>
                <w:szCs w:val="24"/>
              </w:rPr>
              <w:t>中金黄金</w:t>
            </w:r>
            <w:r>
              <w:rPr>
                <w:color w:val="000000"/>
                <w:sz w:val="24"/>
                <w:szCs w:val="24"/>
              </w:rPr>
              <w:t>SCP003</w:t>
            </w:r>
          </w:p>
        </w:tc>
        <w:tc>
          <w:tcPr>
            <w:tcW w:w="1387" w:type="dxa"/>
            <w:vAlign w:val="center"/>
          </w:tcPr>
          <w:p w:rsidR="00065E0C" w:rsidRDefault="00351F30">
            <w:pPr>
              <w:jc w:val="right"/>
            </w:pPr>
            <w:r>
              <w:rPr>
                <w:color w:val="000000"/>
                <w:sz w:val="24"/>
                <w:szCs w:val="24"/>
              </w:rPr>
              <w:t>300,000</w:t>
            </w:r>
          </w:p>
        </w:tc>
        <w:tc>
          <w:tcPr>
            <w:tcW w:w="2150" w:type="dxa"/>
            <w:vAlign w:val="center"/>
          </w:tcPr>
          <w:p w:rsidR="00065E0C" w:rsidRDefault="00351F30">
            <w:pPr>
              <w:jc w:val="right"/>
            </w:pPr>
            <w:r>
              <w:rPr>
                <w:color w:val="000000"/>
                <w:sz w:val="24"/>
                <w:szCs w:val="24"/>
              </w:rPr>
              <w:t>29,871,000.00</w:t>
            </w:r>
          </w:p>
        </w:tc>
        <w:tc>
          <w:tcPr>
            <w:tcW w:w="1237" w:type="dxa"/>
            <w:vAlign w:val="center"/>
          </w:tcPr>
          <w:p w:rsidR="00065E0C" w:rsidRDefault="00351F30">
            <w:pPr>
              <w:jc w:val="right"/>
            </w:pPr>
            <w:r>
              <w:rPr>
                <w:color w:val="000000"/>
                <w:sz w:val="24"/>
                <w:szCs w:val="24"/>
              </w:rPr>
              <w:t>5.44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20,580.15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1,508,579.73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1,529,159.88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200,064,372.77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349,433,126.36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7,923.41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549,489,575.72</w:t>
            </w:r>
          </w:p>
        </w:tc>
      </w:tr>
    </w:tbl>
    <w:p w:rsidR="00065E0C" w:rsidRDefault="00351F3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351F30">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065E0C" w:rsidRDefault="00351F3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、中国证监会准予交银施罗德领先回报灵活配置混合型证券投资基金募集注册的文件；</w:t>
      </w:r>
      <w:r>
        <w:rPr>
          <w:color w:val="000000"/>
          <w:sz w:val="24"/>
          <w:szCs w:val="24"/>
        </w:rPr>
        <w:t xml:space="preserve"> </w:t>
      </w:r>
    </w:p>
    <w:p w:rsidR="00065E0C" w:rsidRDefault="00351F3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、《交银施罗德领先回报灵活配置混合型证券投资基金基金合同》；</w:t>
      </w:r>
      <w:r>
        <w:rPr>
          <w:color w:val="000000"/>
          <w:sz w:val="24"/>
          <w:szCs w:val="24"/>
        </w:rPr>
        <w:t xml:space="preserve"> </w:t>
      </w:r>
    </w:p>
    <w:p w:rsidR="00065E0C" w:rsidRDefault="00351F3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、《交银施罗德领先回报灵活配置混合型证券投资基金招募说明书》；</w:t>
      </w:r>
      <w:r>
        <w:rPr>
          <w:color w:val="000000"/>
          <w:sz w:val="24"/>
          <w:szCs w:val="24"/>
        </w:rPr>
        <w:t xml:space="preserve"> </w:t>
      </w:r>
    </w:p>
    <w:p w:rsidR="00065E0C" w:rsidRDefault="00351F3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、《交银施罗德领先回报灵活配置混合型证券投资基金托管协议》；</w:t>
      </w:r>
      <w:r>
        <w:rPr>
          <w:color w:val="000000"/>
          <w:sz w:val="24"/>
          <w:szCs w:val="24"/>
        </w:rPr>
        <w:t xml:space="preserve"> </w:t>
      </w:r>
    </w:p>
    <w:p w:rsidR="00065E0C" w:rsidRDefault="00351F3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、关于申请募集注册交银施罗德领先回报灵活配置混合型证券投资基金的法律意见书；</w:t>
      </w:r>
      <w:r>
        <w:rPr>
          <w:color w:val="000000"/>
          <w:sz w:val="24"/>
          <w:szCs w:val="24"/>
        </w:rPr>
        <w:t xml:space="preserve"> </w:t>
      </w:r>
    </w:p>
    <w:p w:rsidR="00065E0C" w:rsidRDefault="00351F3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65E0C" w:rsidRDefault="00351F3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、报告期内交银施罗德领先回报灵活配置混合型证券投资基金在指定报刊上各项公告的原稿。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065E0C" w:rsidRDefault="00351F3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2C3C7A"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6EC" w:rsidRDefault="009046EC" w:rsidP="00876D65">
      <w:r>
        <w:separator/>
      </w:r>
    </w:p>
  </w:endnote>
  <w:endnote w:type="continuationSeparator" w:id="0">
    <w:p w:rsidR="009046EC" w:rsidRDefault="009046E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D016AF">
      <w:rPr>
        <w:noProof/>
        <w:kern w:val="0"/>
        <w:szCs w:val="21"/>
      </w:rPr>
      <w:t>10</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D016AF">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6EC" w:rsidRDefault="009046EC" w:rsidP="00876D65">
      <w:r>
        <w:separator/>
      </w:r>
    </w:p>
  </w:footnote>
  <w:footnote w:type="continuationSeparator" w:id="0">
    <w:p w:rsidR="009046EC" w:rsidRDefault="009046E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5E0C"/>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1F30"/>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1521"/>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46EC"/>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6AF"/>
    <w:rsid w:val="00D01FE6"/>
    <w:rsid w:val="00D02347"/>
    <w:rsid w:val="00D046DB"/>
    <w:rsid w:val="00D04755"/>
    <w:rsid w:val="00D1116B"/>
    <w:rsid w:val="00D13737"/>
    <w:rsid w:val="00D1638E"/>
    <w:rsid w:val="00D2061C"/>
    <w:rsid w:val="00D21FFF"/>
    <w:rsid w:val="00D2206B"/>
    <w:rsid w:val="00D272A5"/>
    <w:rsid w:val="00D27B80"/>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1A6B"/>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58C7-5FD3-40C1-9B83-FEB43934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12</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566</cp:revision>
  <dcterms:created xsi:type="dcterms:W3CDTF">2012-10-16T06:07:00Z</dcterms:created>
  <dcterms:modified xsi:type="dcterms:W3CDTF">2017-01-18T09:07:00Z</dcterms:modified>
</cp:coreProperties>
</file>