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交银施罗德卓越回报灵活配置混合型证券投资基金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二〇一七年一月十九日</w:t>
      </w:r>
    </w:p>
    <w:p w:rsidR="009238DB" w:rsidRPr="007F52FA" w:rsidRDefault="009238DB" w:rsidP="00BF5A5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85501" w:rsidRDefault="0085011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85501" w:rsidRDefault="00850110">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85501" w:rsidRDefault="0085011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85501" w:rsidRDefault="0085011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85501" w:rsidRDefault="0085011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交银卓越回报灵活配置混合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2</w:t>
            </w:r>
            <w:r w:rsidRPr="007F52FA">
              <w:rPr>
                <w:color w:val="000000"/>
                <w:kern w:val="0"/>
                <w:sz w:val="24"/>
              </w:rPr>
              <w:t>月</w:t>
            </w:r>
            <w:r w:rsidRPr="007F52FA">
              <w:rPr>
                <w:color w:val="000000"/>
                <w:kern w:val="0"/>
                <w:sz w:val="24"/>
              </w:rPr>
              <w:t>17</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977,599,709.80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交银卓越回报灵活配置混合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交银卓越回报灵活配置混合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519764</w:t>
            </w:r>
          </w:p>
        </w:tc>
        <w:tc>
          <w:tcPr>
            <w:tcW w:w="3048" w:type="dxa"/>
            <w:vAlign w:val="center"/>
          </w:tcPr>
          <w:p w:rsidR="00C23B30" w:rsidRPr="000E4C40" w:rsidRDefault="00C23B30" w:rsidP="00A52A9E">
            <w:pPr>
              <w:spacing w:before="29" w:line="288" w:lineRule="auto"/>
              <w:jc w:val="left"/>
              <w:rPr>
                <w:sz w:val="24"/>
              </w:rPr>
            </w:pPr>
            <w:r w:rsidRPr="000E4C40">
              <w:rPr>
                <w:sz w:val="24"/>
              </w:rPr>
              <w:t>519765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727,849,460.05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249,750,249.75</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37421A">
        <w:trPr>
          <w:jc w:val="center"/>
        </w:trPr>
        <w:tc>
          <w:tcPr>
            <w:tcW w:w="3606"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52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(2016</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-2016</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37421A">
        <w:trPr>
          <w:jc w:val="center"/>
        </w:trPr>
        <w:tc>
          <w:tcPr>
            <w:tcW w:w="3606" w:type="dxa"/>
            <w:vMerge/>
            <w:vAlign w:val="center"/>
          </w:tcPr>
          <w:p w:rsidR="009E549D" w:rsidRPr="007F52FA" w:rsidRDefault="009E549D" w:rsidP="007C14DF">
            <w:pPr>
              <w:adjustRightInd w:val="0"/>
              <w:spacing w:before="29" w:line="288" w:lineRule="auto"/>
              <w:ind w:left="17"/>
              <w:jc w:val="center"/>
              <w:rPr>
                <w:kern w:val="0"/>
                <w:sz w:val="24"/>
              </w:rPr>
            </w:pPr>
          </w:p>
        </w:tc>
        <w:tc>
          <w:tcPr>
            <w:tcW w:w="263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交银卓越回报灵活配置混合</w:t>
            </w:r>
            <w:r w:rsidRPr="007F52FA">
              <w:rPr>
                <w:sz w:val="24"/>
              </w:rPr>
              <w:t>A</w:t>
            </w:r>
          </w:p>
        </w:tc>
        <w:tc>
          <w:tcPr>
            <w:tcW w:w="263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交银卓越回报灵活配置混合</w:t>
            </w:r>
            <w:r w:rsidRPr="007F52FA">
              <w:rPr>
                <w:sz w:val="24"/>
              </w:rPr>
              <w:t>C</w:t>
            </w:r>
          </w:p>
        </w:tc>
      </w:tr>
      <w:tr w:rsidR="0037421A" w:rsidRPr="007F52FA" w:rsidTr="00D13BC9">
        <w:trPr>
          <w:jc w:val="center"/>
        </w:trPr>
        <w:tc>
          <w:tcPr>
            <w:tcW w:w="3606" w:type="dxa"/>
            <w:vAlign w:val="center"/>
          </w:tcPr>
          <w:p w:rsidR="0037421A" w:rsidRPr="007F52FA" w:rsidRDefault="0037421A" w:rsidP="0037421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631" w:type="dxa"/>
            <w:shd w:val="clear" w:color="auto" w:fill="FFFFFF" w:themeFill="background1"/>
            <w:vAlign w:val="center"/>
          </w:tcPr>
          <w:p w:rsidR="0037421A" w:rsidRPr="007F52FA" w:rsidRDefault="0037421A" w:rsidP="00D13BC9">
            <w:pPr>
              <w:jc w:val="right"/>
              <w:rPr>
                <w:color w:val="000000"/>
                <w:sz w:val="24"/>
              </w:rPr>
            </w:pPr>
            <w:r w:rsidRPr="00D13BC9">
              <w:rPr>
                <w:color w:val="000000"/>
                <w:sz w:val="24"/>
              </w:rPr>
              <w:t>7,747,020.98</w:t>
            </w:r>
          </w:p>
        </w:tc>
        <w:tc>
          <w:tcPr>
            <w:tcW w:w="2631" w:type="dxa"/>
            <w:shd w:val="clear" w:color="auto" w:fill="FFFFFF" w:themeFill="background1"/>
            <w:vAlign w:val="center"/>
          </w:tcPr>
          <w:p w:rsidR="0037421A" w:rsidRPr="007F52FA" w:rsidRDefault="0037421A" w:rsidP="00D13BC9">
            <w:pPr>
              <w:jc w:val="right"/>
              <w:rPr>
                <w:color w:val="000000"/>
                <w:sz w:val="24"/>
              </w:rPr>
            </w:pPr>
            <w:r w:rsidRPr="00D13BC9">
              <w:rPr>
                <w:color w:val="000000"/>
                <w:sz w:val="24"/>
              </w:rPr>
              <w:t>77,926.11</w:t>
            </w:r>
          </w:p>
        </w:tc>
      </w:tr>
      <w:tr w:rsidR="0037421A" w:rsidRPr="007F52FA" w:rsidTr="00D13BC9">
        <w:trPr>
          <w:jc w:val="center"/>
        </w:trPr>
        <w:tc>
          <w:tcPr>
            <w:tcW w:w="3606" w:type="dxa"/>
            <w:vAlign w:val="center"/>
          </w:tcPr>
          <w:p w:rsidR="0037421A" w:rsidRPr="007F52FA" w:rsidRDefault="0037421A" w:rsidP="0037421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631" w:type="dxa"/>
            <w:shd w:val="clear" w:color="auto" w:fill="FFFFFF" w:themeFill="background1"/>
            <w:vAlign w:val="center"/>
          </w:tcPr>
          <w:p w:rsidR="0037421A" w:rsidRPr="007F52FA" w:rsidRDefault="0037421A" w:rsidP="00D13BC9">
            <w:pPr>
              <w:jc w:val="right"/>
              <w:rPr>
                <w:color w:val="000000"/>
                <w:sz w:val="24"/>
              </w:rPr>
            </w:pPr>
            <w:r w:rsidRPr="00D13BC9">
              <w:rPr>
                <w:color w:val="000000"/>
                <w:sz w:val="24"/>
              </w:rPr>
              <w:t>345,985.04</w:t>
            </w:r>
          </w:p>
        </w:tc>
        <w:tc>
          <w:tcPr>
            <w:tcW w:w="2631" w:type="dxa"/>
            <w:shd w:val="clear" w:color="auto" w:fill="FFFFFF" w:themeFill="background1"/>
            <w:vAlign w:val="center"/>
          </w:tcPr>
          <w:p w:rsidR="0037421A" w:rsidRPr="007F52FA" w:rsidRDefault="0037421A" w:rsidP="00D13BC9">
            <w:pPr>
              <w:jc w:val="right"/>
              <w:rPr>
                <w:color w:val="000000"/>
                <w:sz w:val="24"/>
              </w:rPr>
            </w:pPr>
            <w:r w:rsidRPr="00D13BC9">
              <w:rPr>
                <w:color w:val="000000"/>
                <w:sz w:val="24"/>
              </w:rPr>
              <w:t>415,400.56</w:t>
            </w:r>
          </w:p>
        </w:tc>
      </w:tr>
      <w:tr w:rsidR="0037421A" w:rsidRPr="007F52FA" w:rsidTr="00D13BC9">
        <w:trPr>
          <w:jc w:val="center"/>
        </w:trPr>
        <w:tc>
          <w:tcPr>
            <w:tcW w:w="3606" w:type="dxa"/>
            <w:vAlign w:val="center"/>
          </w:tcPr>
          <w:p w:rsidR="0037421A" w:rsidRPr="007F52FA" w:rsidRDefault="0037421A" w:rsidP="0037421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631" w:type="dxa"/>
            <w:shd w:val="clear" w:color="auto" w:fill="FFFFFF" w:themeFill="background1"/>
            <w:vAlign w:val="center"/>
          </w:tcPr>
          <w:p w:rsidR="0037421A" w:rsidRPr="007F52FA" w:rsidRDefault="0037421A" w:rsidP="00D13BC9">
            <w:pPr>
              <w:jc w:val="right"/>
              <w:rPr>
                <w:color w:val="000000"/>
                <w:sz w:val="24"/>
              </w:rPr>
            </w:pPr>
            <w:r w:rsidRPr="00D13BC9">
              <w:rPr>
                <w:color w:val="000000"/>
                <w:sz w:val="24"/>
              </w:rPr>
              <w:t xml:space="preserve">0.0005 </w:t>
            </w:r>
          </w:p>
        </w:tc>
        <w:tc>
          <w:tcPr>
            <w:tcW w:w="2631" w:type="dxa"/>
            <w:shd w:val="clear" w:color="auto" w:fill="FFFFFF" w:themeFill="background1"/>
            <w:vAlign w:val="center"/>
          </w:tcPr>
          <w:p w:rsidR="0037421A" w:rsidRPr="007F52FA" w:rsidRDefault="0037421A" w:rsidP="00D13BC9">
            <w:pPr>
              <w:jc w:val="right"/>
              <w:rPr>
                <w:color w:val="000000"/>
                <w:sz w:val="24"/>
              </w:rPr>
            </w:pPr>
            <w:r w:rsidRPr="00D13BC9">
              <w:rPr>
                <w:color w:val="000000"/>
                <w:sz w:val="24"/>
              </w:rPr>
              <w:t>0.0017</w:t>
            </w:r>
          </w:p>
        </w:tc>
      </w:tr>
      <w:tr w:rsidR="0037421A" w:rsidRPr="007F52FA" w:rsidTr="00D13BC9">
        <w:trPr>
          <w:jc w:val="center"/>
        </w:trPr>
        <w:tc>
          <w:tcPr>
            <w:tcW w:w="3606" w:type="dxa"/>
            <w:vAlign w:val="center"/>
          </w:tcPr>
          <w:p w:rsidR="0037421A" w:rsidRPr="007F52FA" w:rsidRDefault="0037421A" w:rsidP="0037421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631" w:type="dxa"/>
            <w:shd w:val="clear" w:color="auto" w:fill="FFFFFF" w:themeFill="background1"/>
            <w:vAlign w:val="center"/>
          </w:tcPr>
          <w:p w:rsidR="0037421A" w:rsidRPr="007F52FA" w:rsidRDefault="0037421A" w:rsidP="00D13BC9">
            <w:pPr>
              <w:jc w:val="right"/>
              <w:rPr>
                <w:color w:val="000000"/>
                <w:sz w:val="24"/>
              </w:rPr>
            </w:pPr>
            <w:r w:rsidRPr="00D13BC9">
              <w:rPr>
                <w:color w:val="000000"/>
                <w:sz w:val="24"/>
              </w:rPr>
              <w:t>729,978,297.82</w:t>
            </w:r>
          </w:p>
        </w:tc>
        <w:tc>
          <w:tcPr>
            <w:tcW w:w="2631" w:type="dxa"/>
            <w:shd w:val="clear" w:color="auto" w:fill="FFFFFF" w:themeFill="background1"/>
            <w:vAlign w:val="center"/>
          </w:tcPr>
          <w:p w:rsidR="0037421A" w:rsidRPr="007F52FA" w:rsidRDefault="0037421A" w:rsidP="00D13BC9">
            <w:pPr>
              <w:jc w:val="right"/>
              <w:rPr>
                <w:color w:val="000000"/>
                <w:sz w:val="24"/>
              </w:rPr>
            </w:pPr>
            <w:r w:rsidRPr="00D13BC9">
              <w:rPr>
                <w:color w:val="000000"/>
                <w:sz w:val="24"/>
              </w:rPr>
              <w:t>250,415,400.56</w:t>
            </w:r>
          </w:p>
        </w:tc>
      </w:tr>
      <w:tr w:rsidR="0037421A" w:rsidRPr="007F52FA" w:rsidTr="00D13BC9">
        <w:trPr>
          <w:trHeight w:val="158"/>
          <w:jc w:val="center"/>
        </w:trPr>
        <w:tc>
          <w:tcPr>
            <w:tcW w:w="3606" w:type="dxa"/>
            <w:vAlign w:val="center"/>
          </w:tcPr>
          <w:p w:rsidR="0037421A" w:rsidRPr="007F52FA" w:rsidRDefault="0037421A" w:rsidP="0037421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631" w:type="dxa"/>
            <w:shd w:val="clear" w:color="auto" w:fill="FFFFFF" w:themeFill="background1"/>
            <w:vAlign w:val="center"/>
          </w:tcPr>
          <w:p w:rsidR="0037421A" w:rsidRPr="007F52FA" w:rsidRDefault="0037421A" w:rsidP="00D13BC9">
            <w:pPr>
              <w:jc w:val="right"/>
              <w:rPr>
                <w:color w:val="000000"/>
                <w:sz w:val="24"/>
              </w:rPr>
            </w:pPr>
            <w:r w:rsidRPr="00D13BC9">
              <w:rPr>
                <w:color w:val="000000"/>
                <w:sz w:val="24"/>
              </w:rPr>
              <w:t>1.003</w:t>
            </w:r>
          </w:p>
        </w:tc>
        <w:tc>
          <w:tcPr>
            <w:tcW w:w="2631" w:type="dxa"/>
            <w:shd w:val="clear" w:color="auto" w:fill="FFFFFF" w:themeFill="background1"/>
            <w:vAlign w:val="center"/>
          </w:tcPr>
          <w:p w:rsidR="0037421A" w:rsidRPr="007F52FA" w:rsidRDefault="0037421A" w:rsidP="00D13BC9">
            <w:pPr>
              <w:jc w:val="right"/>
              <w:rPr>
                <w:color w:val="000000"/>
                <w:sz w:val="24"/>
              </w:rPr>
            </w:pPr>
            <w:r w:rsidRPr="00D13BC9">
              <w:rPr>
                <w:color w:val="000000"/>
                <w:sz w:val="24"/>
              </w:rPr>
              <w:t>1.003</w:t>
            </w:r>
          </w:p>
        </w:tc>
      </w:tr>
    </w:tbl>
    <w:p w:rsidR="00F85501" w:rsidRDefault="0085011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交银卓越回报灵活配置混合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85501">
        <w:trPr>
          <w:jc w:val="center"/>
        </w:trPr>
        <w:tc>
          <w:tcPr>
            <w:tcW w:w="1266" w:type="dxa"/>
            <w:vAlign w:val="center"/>
          </w:tcPr>
          <w:p w:rsidR="00F85501" w:rsidRDefault="00850110">
            <w:pPr>
              <w:jc w:val="left"/>
            </w:pPr>
            <w:r>
              <w:rPr>
                <w:color w:val="000000"/>
                <w:sz w:val="24"/>
              </w:rPr>
              <w:t>过去三个月</w:t>
            </w:r>
          </w:p>
        </w:tc>
        <w:tc>
          <w:tcPr>
            <w:tcW w:w="1267" w:type="dxa"/>
            <w:vAlign w:val="center"/>
          </w:tcPr>
          <w:p w:rsidR="00F85501" w:rsidRDefault="00850110">
            <w:pPr>
              <w:jc w:val="center"/>
            </w:pPr>
            <w:r>
              <w:rPr>
                <w:color w:val="000000"/>
                <w:sz w:val="24"/>
              </w:rPr>
              <w:t>0.08%</w:t>
            </w:r>
          </w:p>
        </w:tc>
        <w:tc>
          <w:tcPr>
            <w:tcW w:w="1267" w:type="dxa"/>
            <w:vAlign w:val="center"/>
          </w:tcPr>
          <w:p w:rsidR="00F85501" w:rsidRDefault="00850110">
            <w:pPr>
              <w:jc w:val="center"/>
            </w:pPr>
            <w:r>
              <w:rPr>
                <w:color w:val="000000"/>
                <w:sz w:val="24"/>
              </w:rPr>
              <w:t>0.12%</w:t>
            </w:r>
          </w:p>
        </w:tc>
        <w:tc>
          <w:tcPr>
            <w:tcW w:w="1267" w:type="dxa"/>
            <w:vAlign w:val="center"/>
          </w:tcPr>
          <w:p w:rsidR="00F85501" w:rsidRDefault="00850110">
            <w:pPr>
              <w:jc w:val="center"/>
            </w:pPr>
            <w:r>
              <w:rPr>
                <w:color w:val="000000"/>
                <w:sz w:val="24"/>
              </w:rPr>
              <w:t>-0.27%</w:t>
            </w:r>
          </w:p>
        </w:tc>
        <w:tc>
          <w:tcPr>
            <w:tcW w:w="1267" w:type="dxa"/>
            <w:vAlign w:val="center"/>
          </w:tcPr>
          <w:p w:rsidR="00F85501" w:rsidRDefault="00850110">
            <w:pPr>
              <w:jc w:val="center"/>
            </w:pPr>
            <w:r>
              <w:rPr>
                <w:color w:val="000000"/>
                <w:sz w:val="24"/>
              </w:rPr>
              <w:t>0.38%</w:t>
            </w:r>
          </w:p>
        </w:tc>
        <w:tc>
          <w:tcPr>
            <w:tcW w:w="1267" w:type="dxa"/>
            <w:vAlign w:val="center"/>
          </w:tcPr>
          <w:p w:rsidR="00F85501" w:rsidRDefault="00850110">
            <w:pPr>
              <w:jc w:val="center"/>
            </w:pPr>
            <w:r>
              <w:rPr>
                <w:color w:val="000000"/>
                <w:sz w:val="24"/>
              </w:rPr>
              <w:t>0.35%</w:t>
            </w:r>
          </w:p>
        </w:tc>
        <w:tc>
          <w:tcPr>
            <w:tcW w:w="1267" w:type="dxa"/>
            <w:vAlign w:val="center"/>
          </w:tcPr>
          <w:p w:rsidR="00F85501" w:rsidRDefault="00850110">
            <w:pPr>
              <w:jc w:val="center"/>
            </w:pPr>
            <w:r>
              <w:rPr>
                <w:color w:val="000000"/>
                <w:sz w:val="24"/>
              </w:rPr>
              <w:t>-0.26%</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交银卓越回报灵活配置混合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85501">
        <w:trPr>
          <w:jc w:val="center"/>
        </w:trPr>
        <w:tc>
          <w:tcPr>
            <w:tcW w:w="1266" w:type="dxa"/>
            <w:vAlign w:val="center"/>
          </w:tcPr>
          <w:p w:rsidR="00F85501" w:rsidRDefault="00850110">
            <w:pPr>
              <w:jc w:val="left"/>
            </w:pPr>
            <w:r>
              <w:rPr>
                <w:color w:val="000000"/>
                <w:sz w:val="24"/>
              </w:rPr>
              <w:t>过去三个月</w:t>
            </w:r>
          </w:p>
        </w:tc>
        <w:tc>
          <w:tcPr>
            <w:tcW w:w="1267" w:type="dxa"/>
            <w:vAlign w:val="center"/>
          </w:tcPr>
          <w:p w:rsidR="00F85501" w:rsidRDefault="00850110">
            <w:pPr>
              <w:jc w:val="center"/>
            </w:pPr>
            <w:r>
              <w:rPr>
                <w:color w:val="000000"/>
                <w:sz w:val="24"/>
              </w:rPr>
              <w:t>0.20%</w:t>
            </w:r>
          </w:p>
        </w:tc>
        <w:tc>
          <w:tcPr>
            <w:tcW w:w="1267" w:type="dxa"/>
            <w:vAlign w:val="center"/>
          </w:tcPr>
          <w:p w:rsidR="00F85501" w:rsidRDefault="00850110">
            <w:pPr>
              <w:jc w:val="center"/>
            </w:pPr>
            <w:r>
              <w:rPr>
                <w:color w:val="000000"/>
                <w:sz w:val="24"/>
              </w:rPr>
              <w:t>0.06%</w:t>
            </w:r>
          </w:p>
        </w:tc>
        <w:tc>
          <w:tcPr>
            <w:tcW w:w="1267" w:type="dxa"/>
            <w:vAlign w:val="center"/>
          </w:tcPr>
          <w:p w:rsidR="00F85501" w:rsidRDefault="00850110">
            <w:pPr>
              <w:jc w:val="center"/>
            </w:pPr>
            <w:r>
              <w:rPr>
                <w:color w:val="000000"/>
                <w:sz w:val="24"/>
              </w:rPr>
              <w:t>0.30%</w:t>
            </w:r>
          </w:p>
        </w:tc>
        <w:tc>
          <w:tcPr>
            <w:tcW w:w="1267" w:type="dxa"/>
            <w:vAlign w:val="center"/>
          </w:tcPr>
          <w:p w:rsidR="00F85501" w:rsidRDefault="00850110">
            <w:pPr>
              <w:jc w:val="center"/>
            </w:pPr>
            <w:r>
              <w:rPr>
                <w:color w:val="000000"/>
                <w:sz w:val="24"/>
              </w:rPr>
              <w:t>0.13%</w:t>
            </w:r>
          </w:p>
        </w:tc>
        <w:tc>
          <w:tcPr>
            <w:tcW w:w="1267" w:type="dxa"/>
            <w:vAlign w:val="center"/>
          </w:tcPr>
          <w:p w:rsidR="00F85501" w:rsidRDefault="00850110">
            <w:pPr>
              <w:jc w:val="center"/>
            </w:pPr>
            <w:r>
              <w:rPr>
                <w:color w:val="000000"/>
                <w:sz w:val="24"/>
              </w:rPr>
              <w:t>-0.10%</w:t>
            </w:r>
          </w:p>
        </w:tc>
        <w:tc>
          <w:tcPr>
            <w:tcW w:w="1267" w:type="dxa"/>
            <w:vAlign w:val="center"/>
          </w:tcPr>
          <w:p w:rsidR="00F85501" w:rsidRDefault="00850110">
            <w:pPr>
              <w:jc w:val="center"/>
            </w:pPr>
            <w:r>
              <w:rPr>
                <w:color w:val="000000"/>
                <w:sz w:val="24"/>
              </w:rPr>
              <w:t>-0.07%</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交银施罗德卓越回报灵活配置混合型证券投资基金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2</w:t>
      </w:r>
      <w:r w:rsidR="00D04410" w:rsidRPr="007F52FA">
        <w:rPr>
          <w:rFonts w:ascii="Times New Roman" w:hAnsi="Times New Roman"/>
          <w:sz w:val="24"/>
          <w:szCs w:val="24"/>
        </w:rPr>
        <w:t>月</w:t>
      </w:r>
      <w:r w:rsidR="00D04410" w:rsidRPr="007F52FA">
        <w:rPr>
          <w:rFonts w:ascii="Times New Roman" w:hAnsi="Times New Roman"/>
          <w:sz w:val="24"/>
          <w:szCs w:val="24"/>
        </w:rPr>
        <w:t>17</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交银卓越回报灵活配置混合</w:t>
      </w:r>
      <w:r w:rsidR="0042785F" w:rsidRPr="007F52FA">
        <w:rPr>
          <w:color w:val="000000"/>
          <w:sz w:val="24"/>
        </w:rPr>
        <w:t>A</w:t>
      </w:r>
    </w:p>
    <w:p w:rsidR="00807B81" w:rsidRPr="007F52FA" w:rsidRDefault="00367B2A"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44F1427B" wp14:editId="76903196">
            <wp:extent cx="5731510" cy="3356610"/>
            <wp:effectExtent l="0" t="0" r="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2785F" w:rsidRPr="00491A57" w:rsidRDefault="00491A57" w:rsidP="007C14DF">
      <w:pPr>
        <w:pStyle w:val="20"/>
        <w:spacing w:before="29" w:line="288" w:lineRule="auto"/>
        <w:ind w:firstLineChars="0" w:firstLine="0"/>
        <w:rPr>
          <w:rFonts w:ascii="Times New Roman" w:hAnsi="Times New Roman"/>
          <w:color w:val="000000"/>
        </w:rPr>
      </w:pPr>
      <w:r w:rsidRPr="00491A57">
        <w:rPr>
          <w:rFonts w:ascii="Times New Roman" w:hAnsi="Times New Roman" w:hint="eastAsia"/>
          <w:color w:val="000000"/>
        </w:rPr>
        <w:t>注：图示日期为</w:t>
      </w:r>
      <w:r w:rsidRPr="00491A57">
        <w:rPr>
          <w:rFonts w:ascii="Times New Roman" w:hAnsi="Times New Roman" w:hint="eastAsia"/>
          <w:color w:val="000000"/>
        </w:rPr>
        <w:t>2016</w:t>
      </w:r>
      <w:r w:rsidRPr="00491A57">
        <w:rPr>
          <w:rFonts w:ascii="Times New Roman" w:hAnsi="Times New Roman" w:hint="eastAsia"/>
          <w:color w:val="000000"/>
        </w:rPr>
        <w:t>年</w:t>
      </w:r>
      <w:r w:rsidRPr="00491A57">
        <w:rPr>
          <w:rFonts w:ascii="Times New Roman" w:hAnsi="Times New Roman" w:hint="eastAsia"/>
          <w:color w:val="000000"/>
        </w:rPr>
        <w:t>2</w:t>
      </w:r>
      <w:r w:rsidRPr="00491A57">
        <w:rPr>
          <w:rFonts w:ascii="Times New Roman" w:hAnsi="Times New Roman" w:hint="eastAsia"/>
          <w:color w:val="000000"/>
        </w:rPr>
        <w:t>月</w:t>
      </w:r>
      <w:r w:rsidRPr="00491A57">
        <w:rPr>
          <w:rFonts w:ascii="Times New Roman" w:hAnsi="Times New Roman" w:hint="eastAsia"/>
          <w:color w:val="000000"/>
        </w:rPr>
        <w:t>17</w:t>
      </w:r>
      <w:r w:rsidRPr="00491A57">
        <w:rPr>
          <w:rFonts w:ascii="Times New Roman" w:hAnsi="Times New Roman" w:hint="eastAsia"/>
          <w:color w:val="000000"/>
        </w:rPr>
        <w:t>日至</w:t>
      </w:r>
      <w:r w:rsidRPr="00491A57">
        <w:rPr>
          <w:rFonts w:ascii="Times New Roman" w:hAnsi="Times New Roman" w:hint="eastAsia"/>
          <w:color w:val="000000"/>
        </w:rPr>
        <w:t>2016</w:t>
      </w:r>
      <w:r w:rsidRPr="00491A57">
        <w:rPr>
          <w:rFonts w:ascii="Times New Roman" w:hAnsi="Times New Roman" w:hint="eastAsia"/>
          <w:color w:val="000000"/>
        </w:rPr>
        <w:t>年</w:t>
      </w:r>
      <w:r w:rsidRPr="00491A57">
        <w:rPr>
          <w:rFonts w:ascii="Times New Roman" w:hAnsi="Times New Roman" w:hint="eastAsia"/>
          <w:color w:val="000000"/>
        </w:rPr>
        <w:t>12</w:t>
      </w:r>
      <w:r w:rsidRPr="00491A57">
        <w:rPr>
          <w:rFonts w:ascii="Times New Roman" w:hAnsi="Times New Roman" w:hint="eastAsia"/>
          <w:color w:val="000000"/>
        </w:rPr>
        <w:t>月</w:t>
      </w:r>
      <w:r w:rsidRPr="00491A57">
        <w:rPr>
          <w:rFonts w:ascii="Times New Roman" w:hAnsi="Times New Roman" w:hint="eastAsia"/>
          <w:color w:val="000000"/>
        </w:rPr>
        <w:t>31</w:t>
      </w:r>
      <w:r w:rsidRPr="00491A57">
        <w:rPr>
          <w:rFonts w:ascii="Times New Roman" w:hAnsi="Times New Roman" w:hint="eastAsia"/>
          <w:color w:val="000000"/>
        </w:rPr>
        <w:t>日。本基金基金合同生效日为</w:t>
      </w:r>
      <w:r w:rsidRPr="00491A57">
        <w:rPr>
          <w:rFonts w:ascii="Times New Roman" w:hAnsi="Times New Roman" w:hint="eastAsia"/>
          <w:color w:val="000000"/>
        </w:rPr>
        <w:t>2016</w:t>
      </w:r>
      <w:r w:rsidRPr="00491A57">
        <w:rPr>
          <w:rFonts w:ascii="Times New Roman" w:hAnsi="Times New Roman" w:hint="eastAsia"/>
          <w:color w:val="000000"/>
        </w:rPr>
        <w:t>年</w:t>
      </w:r>
      <w:r w:rsidRPr="00491A57">
        <w:rPr>
          <w:rFonts w:ascii="Times New Roman" w:hAnsi="Times New Roman" w:hint="eastAsia"/>
          <w:color w:val="000000"/>
        </w:rPr>
        <w:t>2</w:t>
      </w:r>
      <w:r w:rsidRPr="00491A57">
        <w:rPr>
          <w:rFonts w:ascii="Times New Roman" w:hAnsi="Times New Roman" w:hint="eastAsia"/>
          <w:color w:val="000000"/>
        </w:rPr>
        <w:t>月</w:t>
      </w:r>
      <w:r w:rsidRPr="00491A57">
        <w:rPr>
          <w:rFonts w:ascii="Times New Roman" w:hAnsi="Times New Roman" w:hint="eastAsia"/>
          <w:color w:val="000000"/>
        </w:rPr>
        <w:t>17</w:t>
      </w:r>
      <w:r w:rsidRPr="00491A57">
        <w:rPr>
          <w:rFonts w:ascii="Times New Roman" w:hAnsi="Times New Roman" w:hint="eastAsia"/>
          <w:color w:val="000000"/>
        </w:rPr>
        <w:t>日，基金合同生效日至报告期期末，本基金运作时间未满一年。本基金建仓期为自基金合同生效日起的</w:t>
      </w:r>
      <w:r w:rsidRPr="00491A57">
        <w:rPr>
          <w:rFonts w:ascii="Times New Roman" w:hAnsi="Times New Roman" w:hint="eastAsia"/>
          <w:color w:val="000000"/>
        </w:rPr>
        <w:t>6</w:t>
      </w:r>
      <w:r w:rsidRPr="00491A57">
        <w:rPr>
          <w:rFonts w:ascii="Times New Roman" w:hAnsi="Times New Roman" w:hint="eastAsia"/>
          <w:color w:val="000000"/>
        </w:rPr>
        <w:t>个月。截至建仓期结束，本基金各项资产配置比例符合基金合同及招募说明书有关投资比例的约定。</w:t>
      </w: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交银卓越回报灵活配置混合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973B57" w:rsidRPr="007F52FA" w:rsidRDefault="00AC3867" w:rsidP="007C14DF">
      <w:pPr>
        <w:pStyle w:val="20"/>
        <w:spacing w:before="29" w:line="288" w:lineRule="auto"/>
        <w:ind w:firstLineChars="0" w:firstLine="0"/>
        <w:jc w:val="left"/>
        <w:rPr>
          <w:rFonts w:ascii="Times New Roman" w:eastAsiaTheme="minorEastAsia" w:hAnsi="Times New Roman"/>
          <w:color w:val="000000"/>
        </w:rPr>
      </w:pPr>
      <w:r w:rsidRPr="00AC3867">
        <w:rPr>
          <w:rFonts w:hint="eastAsia"/>
          <w:color w:val="000000"/>
        </w:rPr>
        <w:t>注：本基金自2016年12月27日起增加C类份额，投资者提交的申购申请于2016年12月29日被确认并将有效份额登记在册。图示日期为2016年12月29日至2016年12月31日。</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85501">
        <w:trPr>
          <w:jc w:val="center"/>
        </w:trPr>
        <w:tc>
          <w:tcPr>
            <w:tcW w:w="946" w:type="dxa"/>
            <w:vAlign w:val="center"/>
          </w:tcPr>
          <w:p w:rsidR="00F85501" w:rsidRDefault="00850110">
            <w:pPr>
              <w:jc w:val="center"/>
            </w:pPr>
            <w:r>
              <w:rPr>
                <w:color w:val="000000"/>
                <w:sz w:val="24"/>
              </w:rPr>
              <w:t>李娜</w:t>
            </w:r>
          </w:p>
        </w:tc>
        <w:tc>
          <w:tcPr>
            <w:tcW w:w="924" w:type="dxa"/>
            <w:vAlign w:val="center"/>
          </w:tcPr>
          <w:p w:rsidR="00F85501" w:rsidRDefault="00850110">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w:t>
            </w:r>
            <w:r w:rsidR="0036761F">
              <w:rPr>
                <w:rFonts w:hint="eastAsia"/>
                <w:color w:val="000000"/>
                <w:sz w:val="24"/>
              </w:rPr>
              <w:t>混合</w:t>
            </w:r>
            <w:r>
              <w:rPr>
                <w:color w:val="000000"/>
                <w:sz w:val="24"/>
              </w:rPr>
              <w:t>、交银瑞景定期开放灵活配置</w:t>
            </w:r>
            <w:r w:rsidR="0036761F">
              <w:rPr>
                <w:rFonts w:hint="eastAsia"/>
                <w:color w:val="000000"/>
                <w:sz w:val="24"/>
              </w:rPr>
              <w:t>混合</w:t>
            </w:r>
            <w:r>
              <w:rPr>
                <w:color w:val="000000"/>
                <w:sz w:val="24"/>
              </w:rPr>
              <w:t>的基金经理</w:t>
            </w:r>
          </w:p>
        </w:tc>
        <w:tc>
          <w:tcPr>
            <w:tcW w:w="1202" w:type="dxa"/>
            <w:vAlign w:val="center"/>
          </w:tcPr>
          <w:p w:rsidR="00F85501" w:rsidRDefault="00850110">
            <w:pPr>
              <w:jc w:val="center"/>
            </w:pPr>
            <w:r>
              <w:rPr>
                <w:color w:val="000000"/>
                <w:sz w:val="24"/>
              </w:rPr>
              <w:t>2016-02-17</w:t>
            </w:r>
          </w:p>
        </w:tc>
        <w:tc>
          <w:tcPr>
            <w:tcW w:w="1300" w:type="dxa"/>
            <w:vAlign w:val="center"/>
          </w:tcPr>
          <w:p w:rsidR="00F85501" w:rsidRDefault="00850110">
            <w:pPr>
              <w:jc w:val="center"/>
            </w:pPr>
            <w:r>
              <w:rPr>
                <w:color w:val="000000"/>
                <w:sz w:val="24"/>
              </w:rPr>
              <w:t>-</w:t>
            </w:r>
          </w:p>
        </w:tc>
        <w:tc>
          <w:tcPr>
            <w:tcW w:w="1245" w:type="dxa"/>
            <w:vAlign w:val="center"/>
          </w:tcPr>
          <w:p w:rsidR="00F85501" w:rsidRDefault="00850110">
            <w:pPr>
              <w:jc w:val="center"/>
            </w:pPr>
            <w:r>
              <w:rPr>
                <w:color w:val="000000"/>
                <w:sz w:val="24"/>
              </w:rPr>
              <w:t>6</w:t>
            </w:r>
            <w:r>
              <w:rPr>
                <w:color w:val="000000"/>
                <w:sz w:val="24"/>
              </w:rPr>
              <w:t>年</w:t>
            </w:r>
          </w:p>
        </w:tc>
        <w:tc>
          <w:tcPr>
            <w:tcW w:w="3251" w:type="dxa"/>
            <w:vAlign w:val="center"/>
          </w:tcPr>
          <w:p w:rsidR="00F85501" w:rsidRDefault="00850110">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F85501" w:rsidRDefault="0085011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85501" w:rsidRDefault="0085011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85501" w:rsidRDefault="0085011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020F0E" w:rsidRPr="007F52FA" w:rsidRDefault="00020F0E" w:rsidP="007C14DF">
      <w:pPr>
        <w:spacing w:before="29" w:line="288" w:lineRule="auto"/>
        <w:ind w:firstLineChars="200" w:firstLine="480"/>
        <w:rPr>
          <w:color w:val="000000"/>
          <w:sz w:val="24"/>
        </w:rPr>
      </w:pP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F85501" w:rsidRDefault="00850110">
      <w:pPr>
        <w:spacing w:before="29" w:line="288" w:lineRule="auto"/>
        <w:ind w:firstLineChars="200" w:firstLine="480"/>
        <w:rPr>
          <w:color w:val="000000"/>
          <w:sz w:val="24"/>
        </w:rPr>
      </w:pPr>
      <w:r>
        <w:rPr>
          <w:color w:val="000000"/>
          <w:sz w:val="24"/>
        </w:rPr>
        <w:t>本基金于本报告期内未发现异常交易行为。本报告期内，本公司管理的所有投资组合参与的交易所公开竞价同日反向交易成交较少的单边交易量超过该证券当日总成交量</w:t>
      </w:r>
      <w:r>
        <w:rPr>
          <w:color w:val="000000"/>
          <w:sz w:val="24"/>
        </w:rPr>
        <w:t>5%</w:t>
      </w:r>
      <w:r>
        <w:rPr>
          <w:color w:val="000000"/>
          <w:sz w:val="24"/>
        </w:rPr>
        <w:t>的情况有</w:t>
      </w:r>
      <w:r>
        <w:rPr>
          <w:color w:val="000000"/>
          <w:sz w:val="24"/>
        </w:rPr>
        <w:t>1</w:t>
      </w:r>
      <w:r>
        <w:rPr>
          <w:color w:val="000000"/>
          <w:sz w:val="24"/>
        </w:rPr>
        <w:t>次，是投资组合因投资策略需要而发生同日反向交易，未发现不公平交易和利益输送的情况。本基金与本公司管理的其他投资组合在不同时间窗下（如日内、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F85501" w:rsidRDefault="00850110">
      <w:pPr>
        <w:spacing w:before="29" w:line="288" w:lineRule="auto"/>
        <w:ind w:firstLineChars="200" w:firstLine="480"/>
        <w:rPr>
          <w:color w:val="000000"/>
          <w:sz w:val="24"/>
        </w:rPr>
      </w:pPr>
      <w:r>
        <w:rPr>
          <w:color w:val="000000"/>
          <w:sz w:val="24"/>
        </w:rPr>
        <w:t>本报告期内，经济增长呈现企稳态势，</w:t>
      </w:r>
      <w:r>
        <w:rPr>
          <w:color w:val="000000"/>
          <w:sz w:val="24"/>
        </w:rPr>
        <w:t>CPI</w:t>
      </w:r>
      <w:r>
        <w:rPr>
          <w:color w:val="000000"/>
          <w:sz w:val="24"/>
        </w:rPr>
        <w:t>同比温和回升，货币政策回归稳健中性，银行间流动性依赖央行政策工具持续投放，呈现结构性、阶段性波动。股票市场先扬后抑，同期债券收益率大幅上行后稍有回落，其中资金面明显波动、中央经济工作会强调防控金融风险以及美联储加息等因素成为市场收益率大幅调整的推动力。报告期内，上证综指和创业板指分别上涨</w:t>
      </w:r>
      <w:r>
        <w:rPr>
          <w:color w:val="000000"/>
          <w:sz w:val="24"/>
        </w:rPr>
        <w:t>3.29%</w:t>
      </w:r>
      <w:r>
        <w:rPr>
          <w:color w:val="000000"/>
          <w:sz w:val="24"/>
        </w:rPr>
        <w:t>和下跌</w:t>
      </w:r>
      <w:r>
        <w:rPr>
          <w:color w:val="000000"/>
          <w:sz w:val="24"/>
        </w:rPr>
        <w:t>8.74%</w:t>
      </w:r>
      <w:r>
        <w:rPr>
          <w:color w:val="000000"/>
          <w:sz w:val="24"/>
        </w:rPr>
        <w:t>，</w:t>
      </w:r>
      <w:r>
        <w:rPr>
          <w:color w:val="000000"/>
          <w:sz w:val="24"/>
        </w:rPr>
        <w:t>10</w:t>
      </w:r>
      <w:r>
        <w:rPr>
          <w:color w:val="000000"/>
          <w:sz w:val="24"/>
        </w:rPr>
        <w:t>年期国债收益率最高上行</w:t>
      </w:r>
      <w:r>
        <w:rPr>
          <w:color w:val="000000"/>
          <w:sz w:val="24"/>
        </w:rPr>
        <w:t>65bp</w:t>
      </w:r>
      <w:r>
        <w:rPr>
          <w:color w:val="000000"/>
          <w:sz w:val="24"/>
        </w:rPr>
        <w:t>至</w:t>
      </w:r>
      <w:r>
        <w:rPr>
          <w:color w:val="000000"/>
          <w:sz w:val="24"/>
        </w:rPr>
        <w:t>3.37%</w:t>
      </w:r>
      <w:r>
        <w:rPr>
          <w:color w:val="000000"/>
          <w:sz w:val="24"/>
        </w:rPr>
        <w:t>后回落至</w:t>
      </w:r>
      <w:r>
        <w:rPr>
          <w:color w:val="000000"/>
          <w:sz w:val="24"/>
        </w:rPr>
        <w:t>3.01%</w:t>
      </w:r>
      <w:r>
        <w:rPr>
          <w:color w:val="000000"/>
          <w:sz w:val="24"/>
        </w:rPr>
        <w:t>，</w:t>
      </w:r>
      <w:r>
        <w:rPr>
          <w:color w:val="000000"/>
          <w:sz w:val="24"/>
        </w:rPr>
        <w:t>10</w:t>
      </w:r>
      <w:r>
        <w:rPr>
          <w:color w:val="000000"/>
          <w:sz w:val="24"/>
        </w:rPr>
        <w:t>年期国开债收益率最高上行</w:t>
      </w:r>
      <w:r>
        <w:rPr>
          <w:color w:val="000000"/>
          <w:sz w:val="24"/>
        </w:rPr>
        <w:t>87bp</w:t>
      </w:r>
      <w:r>
        <w:rPr>
          <w:color w:val="000000"/>
          <w:sz w:val="24"/>
        </w:rPr>
        <w:t>至</w:t>
      </w:r>
      <w:r>
        <w:rPr>
          <w:color w:val="000000"/>
          <w:sz w:val="24"/>
        </w:rPr>
        <w:t>3.93%</w:t>
      </w:r>
      <w:r>
        <w:rPr>
          <w:color w:val="000000"/>
          <w:sz w:val="24"/>
        </w:rPr>
        <w:t>后回落至</w:t>
      </w:r>
      <w:r>
        <w:rPr>
          <w:color w:val="000000"/>
          <w:sz w:val="24"/>
        </w:rPr>
        <w:t>3.68%</w:t>
      </w:r>
      <w:r>
        <w:rPr>
          <w:color w:val="000000"/>
          <w:sz w:val="24"/>
        </w:rPr>
        <w:t>。</w:t>
      </w:r>
    </w:p>
    <w:p w:rsidR="00F85501" w:rsidRDefault="00850110">
      <w:pPr>
        <w:spacing w:before="29" w:line="288" w:lineRule="auto"/>
        <w:ind w:firstLineChars="200" w:firstLine="480"/>
        <w:rPr>
          <w:color w:val="000000"/>
          <w:sz w:val="24"/>
        </w:rPr>
      </w:pPr>
      <w:r>
        <w:rPr>
          <w:color w:val="000000"/>
          <w:sz w:val="24"/>
        </w:rPr>
        <w:t>策略层面，本基金重点关注短久期信用债的配置价值，保持组合流动性。积极关注新股发行规则的微调，参与一级市场权益投资，同时也关注二级市场的投资机会，努力为持有人赚取回报。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2017</w:t>
      </w:r>
      <w:r w:rsidRPr="007F52FA">
        <w:rPr>
          <w:color w:val="000000"/>
          <w:sz w:val="24"/>
        </w:rPr>
        <w:t>年一季度，房地产对经济增长的拉动变化或为短期经济增长预期的最关键变量，</w:t>
      </w:r>
      <w:r w:rsidRPr="007F52FA">
        <w:rPr>
          <w:color w:val="000000"/>
          <w:sz w:val="24"/>
        </w:rPr>
        <w:t>CPI</w:t>
      </w:r>
      <w:r w:rsidRPr="007F52FA">
        <w:rPr>
          <w:color w:val="000000"/>
          <w:sz w:val="24"/>
        </w:rPr>
        <w:t>受春节效应可能将有扰动，基本面对债市可能出现的负面影响仍待释放。目前资金面高度依赖央行政策工具投放节奏，货币政策回归稳健中性后关注央行操作力度和节奏，特别是对春节前资金面阶段性压力的对冲。防控金融风险重要性进一步提高后，大资管行业监管动态需保持关注。股票方面，保持审慎、灵活，积极关注一级市场动态及规则微调。债券方面，保持流动性和久期谨慎的前提下关注交易窗口，同时特别重视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日，交银卓越回报</w:t>
      </w:r>
      <w:r w:rsidRPr="007F52FA">
        <w:rPr>
          <w:color w:val="000000"/>
          <w:sz w:val="24"/>
        </w:rPr>
        <w:t>A</w:t>
      </w:r>
      <w:r w:rsidRPr="007F52FA">
        <w:rPr>
          <w:color w:val="000000"/>
          <w:sz w:val="24"/>
        </w:rPr>
        <w:t>份额净值为</w:t>
      </w:r>
      <w:r w:rsidRPr="007F52FA">
        <w:rPr>
          <w:color w:val="000000"/>
          <w:sz w:val="24"/>
        </w:rPr>
        <w:t>1.003</w:t>
      </w:r>
      <w:r w:rsidRPr="007F52FA">
        <w:rPr>
          <w:color w:val="000000"/>
          <w:sz w:val="24"/>
        </w:rPr>
        <w:t>元，本报告期份额净值增长率为</w:t>
      </w:r>
      <w:r w:rsidRPr="007F52FA">
        <w:rPr>
          <w:color w:val="000000"/>
          <w:sz w:val="24"/>
        </w:rPr>
        <w:t>0.08%</w:t>
      </w:r>
      <w:r w:rsidRPr="007F52FA">
        <w:rPr>
          <w:color w:val="000000"/>
          <w:sz w:val="24"/>
        </w:rPr>
        <w:t>，同期业绩比较基准增长率为</w:t>
      </w:r>
      <w:r w:rsidRPr="007F52FA">
        <w:rPr>
          <w:color w:val="000000"/>
          <w:sz w:val="24"/>
        </w:rPr>
        <w:t>-0.27%</w:t>
      </w:r>
      <w:r w:rsidRPr="007F52FA">
        <w:rPr>
          <w:color w:val="000000"/>
          <w:sz w:val="24"/>
        </w:rPr>
        <w:t>；交银卓越回报</w:t>
      </w:r>
      <w:r w:rsidRPr="007F52FA">
        <w:rPr>
          <w:color w:val="000000"/>
          <w:sz w:val="24"/>
        </w:rPr>
        <w:t>C</w:t>
      </w:r>
      <w:r w:rsidRPr="007F52FA">
        <w:rPr>
          <w:color w:val="000000"/>
          <w:sz w:val="24"/>
        </w:rPr>
        <w:t>份额净值为</w:t>
      </w:r>
      <w:r w:rsidRPr="007F52FA">
        <w:rPr>
          <w:color w:val="000000"/>
          <w:sz w:val="24"/>
        </w:rPr>
        <w:t>1.003</w:t>
      </w:r>
      <w:r w:rsidRPr="007F52FA">
        <w:rPr>
          <w:color w:val="000000"/>
          <w:sz w:val="24"/>
        </w:rPr>
        <w:t>元，本报告期份额净值增长率为</w:t>
      </w:r>
      <w:r w:rsidRPr="007F52FA">
        <w:rPr>
          <w:color w:val="000000"/>
          <w:sz w:val="24"/>
        </w:rPr>
        <w:t>0.20%</w:t>
      </w:r>
      <w:r w:rsidRPr="007F52FA">
        <w:rPr>
          <w:color w:val="000000"/>
          <w:sz w:val="24"/>
        </w:rPr>
        <w:t>，同期业绩比较基准增长率为</w:t>
      </w:r>
      <w:r w:rsidRPr="007F52FA">
        <w:rPr>
          <w:color w:val="000000"/>
          <w:sz w:val="24"/>
        </w:rPr>
        <w:t>0.30%</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F5A5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87,422,058.62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8.90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87,422,058.62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8.90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626,284,061.70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63.75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626,284,061.70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63.75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229,000,543.50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23.31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30,690,535.02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3.12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8,959,107.75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0.91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982,356,306.59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29,883,060.39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3.05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2,428,000.00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15,592.23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5,044,900.00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50,050,506.00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5.11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87,422,058.62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8.92</w:t>
            </w:r>
          </w:p>
        </w:tc>
      </w:tr>
    </w:tbl>
    <w:p w:rsidR="006F3B6F" w:rsidRDefault="006F3B6F"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F85501">
        <w:trPr>
          <w:jc w:val="center"/>
        </w:trPr>
        <w:tc>
          <w:tcPr>
            <w:tcW w:w="850" w:type="dxa"/>
            <w:vAlign w:val="center"/>
          </w:tcPr>
          <w:p w:rsidR="00F85501" w:rsidRDefault="00850110">
            <w:pPr>
              <w:jc w:val="center"/>
            </w:pPr>
            <w:r>
              <w:rPr>
                <w:color w:val="000000"/>
                <w:sz w:val="24"/>
              </w:rPr>
              <w:t>1</w:t>
            </w:r>
          </w:p>
        </w:tc>
        <w:tc>
          <w:tcPr>
            <w:tcW w:w="1327" w:type="dxa"/>
            <w:vAlign w:val="center"/>
          </w:tcPr>
          <w:p w:rsidR="00F85501" w:rsidRDefault="00850110">
            <w:pPr>
              <w:jc w:val="center"/>
            </w:pPr>
            <w:r>
              <w:rPr>
                <w:color w:val="000000"/>
                <w:sz w:val="24"/>
              </w:rPr>
              <w:t>000001</w:t>
            </w:r>
          </w:p>
        </w:tc>
        <w:tc>
          <w:tcPr>
            <w:tcW w:w="1769" w:type="dxa"/>
            <w:vAlign w:val="center"/>
          </w:tcPr>
          <w:p w:rsidR="00F85501" w:rsidRDefault="00850110">
            <w:pPr>
              <w:jc w:val="center"/>
            </w:pPr>
            <w:r>
              <w:rPr>
                <w:color w:val="000000"/>
                <w:sz w:val="24"/>
              </w:rPr>
              <w:t>平安银行</w:t>
            </w:r>
          </w:p>
        </w:tc>
        <w:tc>
          <w:tcPr>
            <w:tcW w:w="1327" w:type="dxa"/>
            <w:vAlign w:val="center"/>
          </w:tcPr>
          <w:p w:rsidR="00F85501" w:rsidRDefault="00850110">
            <w:pPr>
              <w:jc w:val="right"/>
            </w:pPr>
            <w:r>
              <w:rPr>
                <w:color w:val="000000"/>
                <w:sz w:val="24"/>
              </w:rPr>
              <w:t>2,000,000</w:t>
            </w:r>
          </w:p>
        </w:tc>
        <w:tc>
          <w:tcPr>
            <w:tcW w:w="1915" w:type="dxa"/>
            <w:vAlign w:val="center"/>
          </w:tcPr>
          <w:p w:rsidR="00F85501" w:rsidRDefault="00850110">
            <w:pPr>
              <w:jc w:val="right"/>
            </w:pPr>
            <w:r>
              <w:rPr>
                <w:color w:val="000000"/>
                <w:sz w:val="24"/>
              </w:rPr>
              <w:t>18,200,000.00</w:t>
            </w:r>
          </w:p>
        </w:tc>
        <w:tc>
          <w:tcPr>
            <w:tcW w:w="1680" w:type="dxa"/>
            <w:vAlign w:val="center"/>
          </w:tcPr>
          <w:p w:rsidR="00F85501" w:rsidRDefault="00850110">
            <w:pPr>
              <w:jc w:val="right"/>
            </w:pPr>
            <w:r>
              <w:rPr>
                <w:color w:val="000000"/>
                <w:sz w:val="24"/>
              </w:rPr>
              <w:t>1.86</w:t>
            </w:r>
          </w:p>
        </w:tc>
      </w:tr>
      <w:tr w:rsidR="00F85501">
        <w:trPr>
          <w:jc w:val="center"/>
        </w:trPr>
        <w:tc>
          <w:tcPr>
            <w:tcW w:w="850" w:type="dxa"/>
            <w:vAlign w:val="center"/>
          </w:tcPr>
          <w:p w:rsidR="00F85501" w:rsidRDefault="00850110">
            <w:pPr>
              <w:jc w:val="center"/>
            </w:pPr>
            <w:r>
              <w:rPr>
                <w:color w:val="000000"/>
                <w:sz w:val="24"/>
              </w:rPr>
              <w:t>2</w:t>
            </w:r>
          </w:p>
        </w:tc>
        <w:tc>
          <w:tcPr>
            <w:tcW w:w="1327" w:type="dxa"/>
            <w:vAlign w:val="center"/>
          </w:tcPr>
          <w:p w:rsidR="00F85501" w:rsidRDefault="00850110">
            <w:pPr>
              <w:jc w:val="center"/>
            </w:pPr>
            <w:r>
              <w:rPr>
                <w:color w:val="000000"/>
                <w:sz w:val="24"/>
              </w:rPr>
              <w:t>601939</w:t>
            </w:r>
          </w:p>
        </w:tc>
        <w:tc>
          <w:tcPr>
            <w:tcW w:w="1769" w:type="dxa"/>
            <w:vAlign w:val="center"/>
          </w:tcPr>
          <w:p w:rsidR="00F85501" w:rsidRDefault="00850110">
            <w:pPr>
              <w:jc w:val="center"/>
            </w:pPr>
            <w:r>
              <w:rPr>
                <w:color w:val="000000"/>
                <w:sz w:val="24"/>
              </w:rPr>
              <w:t>建设银行</w:t>
            </w:r>
          </w:p>
        </w:tc>
        <w:tc>
          <w:tcPr>
            <w:tcW w:w="1327" w:type="dxa"/>
            <w:vAlign w:val="center"/>
          </w:tcPr>
          <w:p w:rsidR="00F85501" w:rsidRDefault="00850110">
            <w:pPr>
              <w:jc w:val="right"/>
            </w:pPr>
            <w:r>
              <w:rPr>
                <w:color w:val="000000"/>
                <w:sz w:val="24"/>
              </w:rPr>
              <w:t>1,600,000</w:t>
            </w:r>
          </w:p>
        </w:tc>
        <w:tc>
          <w:tcPr>
            <w:tcW w:w="1915" w:type="dxa"/>
            <w:vAlign w:val="center"/>
          </w:tcPr>
          <w:p w:rsidR="00F85501" w:rsidRDefault="00850110">
            <w:pPr>
              <w:jc w:val="right"/>
            </w:pPr>
            <w:r>
              <w:rPr>
                <w:color w:val="000000"/>
                <w:sz w:val="24"/>
              </w:rPr>
              <w:t>8,704,000.00</w:t>
            </w:r>
          </w:p>
        </w:tc>
        <w:tc>
          <w:tcPr>
            <w:tcW w:w="1680" w:type="dxa"/>
            <w:vAlign w:val="center"/>
          </w:tcPr>
          <w:p w:rsidR="00F85501" w:rsidRDefault="00850110">
            <w:pPr>
              <w:jc w:val="right"/>
            </w:pPr>
            <w:r>
              <w:rPr>
                <w:color w:val="000000"/>
                <w:sz w:val="24"/>
              </w:rPr>
              <w:t>0.89</w:t>
            </w:r>
          </w:p>
        </w:tc>
      </w:tr>
      <w:tr w:rsidR="00F85501">
        <w:trPr>
          <w:jc w:val="center"/>
        </w:trPr>
        <w:tc>
          <w:tcPr>
            <w:tcW w:w="850" w:type="dxa"/>
            <w:vAlign w:val="center"/>
          </w:tcPr>
          <w:p w:rsidR="00F85501" w:rsidRDefault="00850110">
            <w:pPr>
              <w:jc w:val="center"/>
            </w:pPr>
            <w:r>
              <w:rPr>
                <w:color w:val="000000"/>
                <w:sz w:val="24"/>
              </w:rPr>
              <w:t>3</w:t>
            </w:r>
          </w:p>
        </w:tc>
        <w:tc>
          <w:tcPr>
            <w:tcW w:w="1327" w:type="dxa"/>
            <w:vAlign w:val="center"/>
          </w:tcPr>
          <w:p w:rsidR="00F85501" w:rsidRDefault="00850110">
            <w:pPr>
              <w:jc w:val="center"/>
            </w:pPr>
            <w:r>
              <w:rPr>
                <w:color w:val="000000"/>
                <w:sz w:val="24"/>
              </w:rPr>
              <w:t>601988</w:t>
            </w:r>
          </w:p>
        </w:tc>
        <w:tc>
          <w:tcPr>
            <w:tcW w:w="1769" w:type="dxa"/>
            <w:vAlign w:val="center"/>
          </w:tcPr>
          <w:p w:rsidR="00F85501" w:rsidRDefault="00850110">
            <w:pPr>
              <w:jc w:val="center"/>
            </w:pPr>
            <w:r>
              <w:rPr>
                <w:color w:val="000000"/>
                <w:sz w:val="24"/>
              </w:rPr>
              <w:t>中国银行</w:t>
            </w:r>
          </w:p>
        </w:tc>
        <w:tc>
          <w:tcPr>
            <w:tcW w:w="1327" w:type="dxa"/>
            <w:vAlign w:val="center"/>
          </w:tcPr>
          <w:p w:rsidR="00F85501" w:rsidRDefault="00850110">
            <w:pPr>
              <w:jc w:val="right"/>
            </w:pPr>
            <w:r>
              <w:rPr>
                <w:color w:val="000000"/>
                <w:sz w:val="24"/>
              </w:rPr>
              <w:t>2,000,000</w:t>
            </w:r>
          </w:p>
        </w:tc>
        <w:tc>
          <w:tcPr>
            <w:tcW w:w="1915" w:type="dxa"/>
            <w:vAlign w:val="center"/>
          </w:tcPr>
          <w:p w:rsidR="00F85501" w:rsidRDefault="00850110">
            <w:pPr>
              <w:jc w:val="right"/>
            </w:pPr>
            <w:r>
              <w:rPr>
                <w:color w:val="000000"/>
                <w:sz w:val="24"/>
              </w:rPr>
              <w:t>6,880,000.00</w:t>
            </w:r>
          </w:p>
        </w:tc>
        <w:tc>
          <w:tcPr>
            <w:tcW w:w="1680" w:type="dxa"/>
            <w:vAlign w:val="center"/>
          </w:tcPr>
          <w:p w:rsidR="00F85501" w:rsidRDefault="00850110">
            <w:pPr>
              <w:jc w:val="right"/>
            </w:pPr>
            <w:r>
              <w:rPr>
                <w:color w:val="000000"/>
                <w:sz w:val="24"/>
              </w:rPr>
              <w:t>0.70</w:t>
            </w:r>
          </w:p>
        </w:tc>
      </w:tr>
      <w:tr w:rsidR="00F85501">
        <w:trPr>
          <w:jc w:val="center"/>
        </w:trPr>
        <w:tc>
          <w:tcPr>
            <w:tcW w:w="850" w:type="dxa"/>
            <w:vAlign w:val="center"/>
          </w:tcPr>
          <w:p w:rsidR="00F85501" w:rsidRDefault="00850110">
            <w:pPr>
              <w:jc w:val="center"/>
            </w:pPr>
            <w:r>
              <w:rPr>
                <w:color w:val="000000"/>
                <w:sz w:val="24"/>
              </w:rPr>
              <w:t>4</w:t>
            </w:r>
          </w:p>
        </w:tc>
        <w:tc>
          <w:tcPr>
            <w:tcW w:w="1327" w:type="dxa"/>
            <w:vAlign w:val="center"/>
          </w:tcPr>
          <w:p w:rsidR="00F85501" w:rsidRDefault="00850110">
            <w:pPr>
              <w:jc w:val="center"/>
            </w:pPr>
            <w:r>
              <w:rPr>
                <w:color w:val="000000"/>
                <w:sz w:val="24"/>
              </w:rPr>
              <w:t>000333</w:t>
            </w:r>
          </w:p>
        </w:tc>
        <w:tc>
          <w:tcPr>
            <w:tcW w:w="1769" w:type="dxa"/>
            <w:vAlign w:val="center"/>
          </w:tcPr>
          <w:p w:rsidR="00F85501" w:rsidRDefault="00850110">
            <w:pPr>
              <w:jc w:val="center"/>
            </w:pPr>
            <w:r>
              <w:rPr>
                <w:color w:val="000000"/>
                <w:sz w:val="24"/>
              </w:rPr>
              <w:t>美的集团</w:t>
            </w:r>
          </w:p>
        </w:tc>
        <w:tc>
          <w:tcPr>
            <w:tcW w:w="1327" w:type="dxa"/>
            <w:vAlign w:val="center"/>
          </w:tcPr>
          <w:p w:rsidR="00F85501" w:rsidRDefault="00850110">
            <w:pPr>
              <w:jc w:val="right"/>
            </w:pPr>
            <w:r>
              <w:rPr>
                <w:color w:val="000000"/>
                <w:sz w:val="24"/>
              </w:rPr>
              <w:t>200,000</w:t>
            </w:r>
          </w:p>
        </w:tc>
        <w:tc>
          <w:tcPr>
            <w:tcW w:w="1915" w:type="dxa"/>
            <w:vAlign w:val="center"/>
          </w:tcPr>
          <w:p w:rsidR="00F85501" w:rsidRDefault="00850110">
            <w:pPr>
              <w:jc w:val="right"/>
            </w:pPr>
            <w:r>
              <w:rPr>
                <w:color w:val="000000"/>
                <w:sz w:val="24"/>
              </w:rPr>
              <w:t>5,634,000.00</w:t>
            </w:r>
          </w:p>
        </w:tc>
        <w:tc>
          <w:tcPr>
            <w:tcW w:w="1680" w:type="dxa"/>
            <w:vAlign w:val="center"/>
          </w:tcPr>
          <w:p w:rsidR="00F85501" w:rsidRDefault="00850110">
            <w:pPr>
              <w:jc w:val="right"/>
            </w:pPr>
            <w:r>
              <w:rPr>
                <w:color w:val="000000"/>
                <w:sz w:val="24"/>
              </w:rPr>
              <w:t>0.57</w:t>
            </w:r>
          </w:p>
        </w:tc>
      </w:tr>
      <w:tr w:rsidR="00F85501">
        <w:trPr>
          <w:jc w:val="center"/>
        </w:trPr>
        <w:tc>
          <w:tcPr>
            <w:tcW w:w="850" w:type="dxa"/>
            <w:vAlign w:val="center"/>
          </w:tcPr>
          <w:p w:rsidR="00F85501" w:rsidRDefault="00850110">
            <w:pPr>
              <w:jc w:val="center"/>
            </w:pPr>
            <w:r>
              <w:rPr>
                <w:color w:val="000000"/>
                <w:sz w:val="24"/>
              </w:rPr>
              <w:t>5</w:t>
            </w:r>
          </w:p>
        </w:tc>
        <w:tc>
          <w:tcPr>
            <w:tcW w:w="1327" w:type="dxa"/>
            <w:vAlign w:val="center"/>
          </w:tcPr>
          <w:p w:rsidR="00F85501" w:rsidRDefault="00850110">
            <w:pPr>
              <w:jc w:val="center"/>
            </w:pPr>
            <w:r>
              <w:rPr>
                <w:color w:val="000000"/>
                <w:sz w:val="24"/>
              </w:rPr>
              <w:t>000858</w:t>
            </w:r>
          </w:p>
        </w:tc>
        <w:tc>
          <w:tcPr>
            <w:tcW w:w="1769" w:type="dxa"/>
            <w:vAlign w:val="center"/>
          </w:tcPr>
          <w:p w:rsidR="00F85501" w:rsidRDefault="00850110">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F85501" w:rsidRDefault="00850110">
            <w:pPr>
              <w:jc w:val="right"/>
            </w:pPr>
            <w:r>
              <w:rPr>
                <w:color w:val="000000"/>
                <w:sz w:val="24"/>
              </w:rPr>
              <w:t>150,000</w:t>
            </w:r>
          </w:p>
        </w:tc>
        <w:tc>
          <w:tcPr>
            <w:tcW w:w="1915" w:type="dxa"/>
            <w:vAlign w:val="center"/>
          </w:tcPr>
          <w:p w:rsidR="00F85501" w:rsidRDefault="00850110">
            <w:pPr>
              <w:jc w:val="right"/>
            </w:pPr>
            <w:r>
              <w:rPr>
                <w:color w:val="000000"/>
                <w:sz w:val="24"/>
              </w:rPr>
              <w:t>5,172,000.00</w:t>
            </w:r>
          </w:p>
        </w:tc>
        <w:tc>
          <w:tcPr>
            <w:tcW w:w="1680" w:type="dxa"/>
            <w:vAlign w:val="center"/>
          </w:tcPr>
          <w:p w:rsidR="00F85501" w:rsidRDefault="00850110">
            <w:pPr>
              <w:jc w:val="right"/>
            </w:pPr>
            <w:r>
              <w:rPr>
                <w:color w:val="000000"/>
                <w:sz w:val="24"/>
              </w:rPr>
              <w:t>0.53</w:t>
            </w:r>
          </w:p>
        </w:tc>
      </w:tr>
      <w:tr w:rsidR="00F85501">
        <w:trPr>
          <w:jc w:val="center"/>
        </w:trPr>
        <w:tc>
          <w:tcPr>
            <w:tcW w:w="850" w:type="dxa"/>
            <w:vAlign w:val="center"/>
          </w:tcPr>
          <w:p w:rsidR="00F85501" w:rsidRDefault="00850110">
            <w:pPr>
              <w:jc w:val="center"/>
            </w:pPr>
            <w:r>
              <w:rPr>
                <w:color w:val="000000"/>
                <w:sz w:val="24"/>
              </w:rPr>
              <w:t>6</w:t>
            </w:r>
          </w:p>
        </w:tc>
        <w:tc>
          <w:tcPr>
            <w:tcW w:w="1327" w:type="dxa"/>
            <w:vAlign w:val="center"/>
          </w:tcPr>
          <w:p w:rsidR="00F85501" w:rsidRDefault="00850110">
            <w:pPr>
              <w:jc w:val="center"/>
            </w:pPr>
            <w:r>
              <w:rPr>
                <w:color w:val="000000"/>
                <w:sz w:val="24"/>
              </w:rPr>
              <w:t>000963</w:t>
            </w:r>
          </w:p>
        </w:tc>
        <w:tc>
          <w:tcPr>
            <w:tcW w:w="1769" w:type="dxa"/>
            <w:vAlign w:val="center"/>
          </w:tcPr>
          <w:p w:rsidR="00F85501" w:rsidRDefault="00850110">
            <w:pPr>
              <w:jc w:val="center"/>
            </w:pPr>
            <w:r>
              <w:rPr>
                <w:color w:val="000000"/>
                <w:sz w:val="24"/>
              </w:rPr>
              <w:t>华东医药</w:t>
            </w:r>
          </w:p>
        </w:tc>
        <w:tc>
          <w:tcPr>
            <w:tcW w:w="1327" w:type="dxa"/>
            <w:vAlign w:val="center"/>
          </w:tcPr>
          <w:p w:rsidR="00F85501" w:rsidRDefault="00850110">
            <w:pPr>
              <w:jc w:val="right"/>
            </w:pPr>
            <w:r>
              <w:rPr>
                <w:color w:val="000000"/>
                <w:sz w:val="24"/>
              </w:rPr>
              <w:t>70,000</w:t>
            </w:r>
          </w:p>
        </w:tc>
        <w:tc>
          <w:tcPr>
            <w:tcW w:w="1915" w:type="dxa"/>
            <w:vAlign w:val="center"/>
          </w:tcPr>
          <w:p w:rsidR="00F85501" w:rsidRDefault="00850110">
            <w:pPr>
              <w:jc w:val="right"/>
            </w:pPr>
            <w:r>
              <w:rPr>
                <w:color w:val="000000"/>
                <w:sz w:val="24"/>
              </w:rPr>
              <w:t>5,044,900.00</w:t>
            </w:r>
          </w:p>
        </w:tc>
        <w:tc>
          <w:tcPr>
            <w:tcW w:w="1680" w:type="dxa"/>
            <w:vAlign w:val="center"/>
          </w:tcPr>
          <w:p w:rsidR="00F85501" w:rsidRDefault="00850110">
            <w:pPr>
              <w:jc w:val="right"/>
            </w:pPr>
            <w:r>
              <w:rPr>
                <w:color w:val="000000"/>
                <w:sz w:val="24"/>
              </w:rPr>
              <w:t>0.51</w:t>
            </w:r>
          </w:p>
        </w:tc>
      </w:tr>
      <w:tr w:rsidR="00F85501">
        <w:trPr>
          <w:jc w:val="center"/>
        </w:trPr>
        <w:tc>
          <w:tcPr>
            <w:tcW w:w="850" w:type="dxa"/>
            <w:vAlign w:val="center"/>
          </w:tcPr>
          <w:p w:rsidR="00F85501" w:rsidRDefault="00850110">
            <w:pPr>
              <w:jc w:val="center"/>
            </w:pPr>
            <w:r>
              <w:rPr>
                <w:color w:val="000000"/>
                <w:sz w:val="24"/>
              </w:rPr>
              <w:t>7</w:t>
            </w:r>
          </w:p>
        </w:tc>
        <w:tc>
          <w:tcPr>
            <w:tcW w:w="1327" w:type="dxa"/>
            <w:vAlign w:val="center"/>
          </w:tcPr>
          <w:p w:rsidR="00F85501" w:rsidRDefault="00850110">
            <w:pPr>
              <w:jc w:val="center"/>
            </w:pPr>
            <w:r>
              <w:rPr>
                <w:color w:val="000000"/>
                <w:sz w:val="24"/>
              </w:rPr>
              <w:t>600519</w:t>
            </w:r>
          </w:p>
        </w:tc>
        <w:tc>
          <w:tcPr>
            <w:tcW w:w="1769" w:type="dxa"/>
            <w:vAlign w:val="center"/>
          </w:tcPr>
          <w:p w:rsidR="00F85501" w:rsidRDefault="00850110">
            <w:pPr>
              <w:jc w:val="center"/>
            </w:pPr>
            <w:r>
              <w:rPr>
                <w:color w:val="000000"/>
                <w:sz w:val="24"/>
              </w:rPr>
              <w:t>贵州茅台</w:t>
            </w:r>
          </w:p>
        </w:tc>
        <w:tc>
          <w:tcPr>
            <w:tcW w:w="1327" w:type="dxa"/>
            <w:vAlign w:val="center"/>
          </w:tcPr>
          <w:p w:rsidR="00F85501" w:rsidRDefault="00850110">
            <w:pPr>
              <w:jc w:val="right"/>
            </w:pPr>
            <w:r>
              <w:rPr>
                <w:color w:val="000000"/>
                <w:sz w:val="24"/>
              </w:rPr>
              <w:t>15,000</w:t>
            </w:r>
          </w:p>
        </w:tc>
        <w:tc>
          <w:tcPr>
            <w:tcW w:w="1915" w:type="dxa"/>
            <w:vAlign w:val="center"/>
          </w:tcPr>
          <w:p w:rsidR="00F85501" w:rsidRDefault="00850110">
            <w:pPr>
              <w:jc w:val="right"/>
            </w:pPr>
            <w:r>
              <w:rPr>
                <w:color w:val="000000"/>
                <w:sz w:val="24"/>
              </w:rPr>
              <w:t>5,012,250.00</w:t>
            </w:r>
          </w:p>
        </w:tc>
        <w:tc>
          <w:tcPr>
            <w:tcW w:w="1680" w:type="dxa"/>
            <w:vAlign w:val="center"/>
          </w:tcPr>
          <w:p w:rsidR="00F85501" w:rsidRDefault="00850110">
            <w:pPr>
              <w:jc w:val="right"/>
            </w:pPr>
            <w:r>
              <w:rPr>
                <w:color w:val="000000"/>
                <w:sz w:val="24"/>
              </w:rPr>
              <w:t>0.51</w:t>
            </w:r>
          </w:p>
        </w:tc>
      </w:tr>
      <w:tr w:rsidR="00F85501">
        <w:trPr>
          <w:jc w:val="center"/>
        </w:trPr>
        <w:tc>
          <w:tcPr>
            <w:tcW w:w="850" w:type="dxa"/>
            <w:vAlign w:val="center"/>
          </w:tcPr>
          <w:p w:rsidR="00F85501" w:rsidRDefault="00850110">
            <w:pPr>
              <w:jc w:val="center"/>
            </w:pPr>
            <w:r>
              <w:rPr>
                <w:color w:val="000000"/>
                <w:sz w:val="24"/>
              </w:rPr>
              <w:t>8</w:t>
            </w:r>
          </w:p>
        </w:tc>
        <w:tc>
          <w:tcPr>
            <w:tcW w:w="1327" w:type="dxa"/>
            <w:vAlign w:val="center"/>
          </w:tcPr>
          <w:p w:rsidR="00F85501" w:rsidRDefault="00850110">
            <w:pPr>
              <w:jc w:val="center"/>
            </w:pPr>
            <w:r>
              <w:rPr>
                <w:color w:val="000000"/>
                <w:sz w:val="24"/>
              </w:rPr>
              <w:t>601169</w:t>
            </w:r>
          </w:p>
        </w:tc>
        <w:tc>
          <w:tcPr>
            <w:tcW w:w="1769" w:type="dxa"/>
            <w:vAlign w:val="center"/>
          </w:tcPr>
          <w:p w:rsidR="00F85501" w:rsidRDefault="00850110">
            <w:pPr>
              <w:jc w:val="center"/>
            </w:pPr>
            <w:r>
              <w:rPr>
                <w:color w:val="000000"/>
                <w:sz w:val="24"/>
              </w:rPr>
              <w:t>北京银行</w:t>
            </w:r>
          </w:p>
        </w:tc>
        <w:tc>
          <w:tcPr>
            <w:tcW w:w="1327" w:type="dxa"/>
            <w:vAlign w:val="center"/>
          </w:tcPr>
          <w:p w:rsidR="00F85501" w:rsidRDefault="00850110">
            <w:pPr>
              <w:jc w:val="right"/>
            </w:pPr>
            <w:r>
              <w:rPr>
                <w:color w:val="000000"/>
                <w:sz w:val="24"/>
              </w:rPr>
              <w:t>500,000</w:t>
            </w:r>
          </w:p>
        </w:tc>
        <w:tc>
          <w:tcPr>
            <w:tcW w:w="1915" w:type="dxa"/>
            <w:vAlign w:val="center"/>
          </w:tcPr>
          <w:p w:rsidR="00F85501" w:rsidRDefault="00850110">
            <w:pPr>
              <w:jc w:val="right"/>
            </w:pPr>
            <w:r>
              <w:rPr>
                <w:color w:val="000000"/>
                <w:sz w:val="24"/>
              </w:rPr>
              <w:t>4,880,000.00</w:t>
            </w:r>
          </w:p>
        </w:tc>
        <w:tc>
          <w:tcPr>
            <w:tcW w:w="1680" w:type="dxa"/>
            <w:vAlign w:val="center"/>
          </w:tcPr>
          <w:p w:rsidR="00F85501" w:rsidRDefault="00850110">
            <w:pPr>
              <w:jc w:val="right"/>
            </w:pPr>
            <w:r>
              <w:rPr>
                <w:color w:val="000000"/>
                <w:sz w:val="24"/>
              </w:rPr>
              <w:t>0.50</w:t>
            </w:r>
          </w:p>
        </w:tc>
      </w:tr>
      <w:tr w:rsidR="00F85501">
        <w:trPr>
          <w:jc w:val="center"/>
        </w:trPr>
        <w:tc>
          <w:tcPr>
            <w:tcW w:w="850" w:type="dxa"/>
            <w:vAlign w:val="center"/>
          </w:tcPr>
          <w:p w:rsidR="00F85501" w:rsidRDefault="00850110">
            <w:pPr>
              <w:jc w:val="center"/>
            </w:pPr>
            <w:r>
              <w:rPr>
                <w:color w:val="000000"/>
                <w:sz w:val="24"/>
              </w:rPr>
              <w:t>9</w:t>
            </w:r>
          </w:p>
        </w:tc>
        <w:tc>
          <w:tcPr>
            <w:tcW w:w="1327" w:type="dxa"/>
            <w:vAlign w:val="center"/>
          </w:tcPr>
          <w:p w:rsidR="00F85501" w:rsidRDefault="00850110">
            <w:pPr>
              <w:jc w:val="center"/>
            </w:pPr>
            <w:r>
              <w:rPr>
                <w:color w:val="000000"/>
                <w:sz w:val="24"/>
              </w:rPr>
              <w:t>601318</w:t>
            </w:r>
          </w:p>
        </w:tc>
        <w:tc>
          <w:tcPr>
            <w:tcW w:w="1769" w:type="dxa"/>
            <w:vAlign w:val="center"/>
          </w:tcPr>
          <w:p w:rsidR="00F85501" w:rsidRDefault="00850110">
            <w:pPr>
              <w:jc w:val="center"/>
            </w:pPr>
            <w:r>
              <w:rPr>
                <w:color w:val="000000"/>
                <w:sz w:val="24"/>
              </w:rPr>
              <w:t>中国平安</w:t>
            </w:r>
          </w:p>
        </w:tc>
        <w:tc>
          <w:tcPr>
            <w:tcW w:w="1327" w:type="dxa"/>
            <w:vAlign w:val="center"/>
          </w:tcPr>
          <w:p w:rsidR="00F85501" w:rsidRDefault="00850110">
            <w:pPr>
              <w:jc w:val="right"/>
            </w:pPr>
            <w:r>
              <w:rPr>
                <w:color w:val="000000"/>
                <w:sz w:val="24"/>
              </w:rPr>
              <w:t>120,000</w:t>
            </w:r>
          </w:p>
        </w:tc>
        <w:tc>
          <w:tcPr>
            <w:tcW w:w="1915" w:type="dxa"/>
            <w:vAlign w:val="center"/>
          </w:tcPr>
          <w:p w:rsidR="00F85501" w:rsidRDefault="00850110">
            <w:pPr>
              <w:jc w:val="right"/>
            </w:pPr>
            <w:r>
              <w:rPr>
                <w:color w:val="000000"/>
                <w:sz w:val="24"/>
              </w:rPr>
              <w:t>4,251,600.00</w:t>
            </w:r>
          </w:p>
        </w:tc>
        <w:tc>
          <w:tcPr>
            <w:tcW w:w="1680" w:type="dxa"/>
            <w:vAlign w:val="center"/>
          </w:tcPr>
          <w:p w:rsidR="00F85501" w:rsidRDefault="00850110">
            <w:pPr>
              <w:jc w:val="right"/>
            </w:pPr>
            <w:r>
              <w:rPr>
                <w:color w:val="000000"/>
                <w:sz w:val="24"/>
              </w:rPr>
              <w:t>0.43</w:t>
            </w:r>
          </w:p>
        </w:tc>
      </w:tr>
      <w:tr w:rsidR="00F85501">
        <w:trPr>
          <w:jc w:val="center"/>
        </w:trPr>
        <w:tc>
          <w:tcPr>
            <w:tcW w:w="850" w:type="dxa"/>
            <w:vAlign w:val="center"/>
          </w:tcPr>
          <w:p w:rsidR="00F85501" w:rsidRDefault="00850110">
            <w:pPr>
              <w:jc w:val="center"/>
            </w:pPr>
            <w:r>
              <w:rPr>
                <w:color w:val="000000"/>
                <w:sz w:val="24"/>
              </w:rPr>
              <w:t>10</w:t>
            </w:r>
          </w:p>
        </w:tc>
        <w:tc>
          <w:tcPr>
            <w:tcW w:w="1327" w:type="dxa"/>
            <w:vAlign w:val="center"/>
          </w:tcPr>
          <w:p w:rsidR="00F85501" w:rsidRDefault="00850110">
            <w:pPr>
              <w:jc w:val="center"/>
            </w:pPr>
            <w:r>
              <w:rPr>
                <w:color w:val="000000"/>
                <w:sz w:val="24"/>
              </w:rPr>
              <w:t>601398</w:t>
            </w:r>
          </w:p>
        </w:tc>
        <w:tc>
          <w:tcPr>
            <w:tcW w:w="1769" w:type="dxa"/>
            <w:vAlign w:val="center"/>
          </w:tcPr>
          <w:p w:rsidR="00F85501" w:rsidRDefault="00850110">
            <w:pPr>
              <w:jc w:val="center"/>
            </w:pPr>
            <w:r>
              <w:rPr>
                <w:color w:val="000000"/>
                <w:sz w:val="24"/>
              </w:rPr>
              <w:t>工商银行</w:t>
            </w:r>
          </w:p>
        </w:tc>
        <w:tc>
          <w:tcPr>
            <w:tcW w:w="1327" w:type="dxa"/>
            <w:vAlign w:val="center"/>
          </w:tcPr>
          <w:p w:rsidR="00F85501" w:rsidRDefault="00850110">
            <w:pPr>
              <w:jc w:val="right"/>
            </w:pPr>
            <w:r>
              <w:rPr>
                <w:color w:val="000000"/>
                <w:sz w:val="24"/>
              </w:rPr>
              <w:t>828,600</w:t>
            </w:r>
          </w:p>
        </w:tc>
        <w:tc>
          <w:tcPr>
            <w:tcW w:w="1915" w:type="dxa"/>
            <w:vAlign w:val="center"/>
          </w:tcPr>
          <w:p w:rsidR="00F85501" w:rsidRDefault="00850110">
            <w:pPr>
              <w:jc w:val="right"/>
            </w:pPr>
            <w:r>
              <w:rPr>
                <w:color w:val="000000"/>
                <w:sz w:val="24"/>
              </w:rPr>
              <w:t>3,654,126.00</w:t>
            </w:r>
          </w:p>
        </w:tc>
        <w:tc>
          <w:tcPr>
            <w:tcW w:w="1680" w:type="dxa"/>
            <w:vAlign w:val="center"/>
          </w:tcPr>
          <w:p w:rsidR="00F85501" w:rsidRDefault="00850110">
            <w:pPr>
              <w:jc w:val="right"/>
            </w:pPr>
            <w:r>
              <w:rPr>
                <w:color w:val="000000"/>
                <w:sz w:val="24"/>
              </w:rPr>
              <w:t>0.37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33F8E">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39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948"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8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33F8E">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7,381,020.00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0.75</w:t>
            </w:r>
          </w:p>
        </w:tc>
      </w:tr>
      <w:tr w:rsidR="00296E4A" w:rsidRPr="007F52FA" w:rsidTr="00033F8E">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33F8E">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97,296,000.00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9.92</w:t>
            </w:r>
          </w:p>
        </w:tc>
      </w:tr>
      <w:tr w:rsidR="00296E4A" w:rsidRPr="007F52FA" w:rsidTr="00033F8E">
        <w:trPr>
          <w:jc w:val="center"/>
        </w:trPr>
        <w:tc>
          <w:tcPr>
            <w:tcW w:w="850" w:type="dxa"/>
            <w:vAlign w:val="center"/>
          </w:tcPr>
          <w:p w:rsidR="00296E4A" w:rsidRPr="007F52FA" w:rsidRDefault="00296E4A" w:rsidP="007C14DF">
            <w:pPr>
              <w:spacing w:before="29" w:line="288" w:lineRule="auto"/>
              <w:ind w:left="17"/>
              <w:jc w:val="center"/>
              <w:rPr>
                <w:color w:val="000000"/>
                <w:sz w:val="24"/>
              </w:rPr>
            </w:pP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97,296,000.00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9.92</w:t>
            </w:r>
          </w:p>
        </w:tc>
      </w:tr>
      <w:tr w:rsidR="00296E4A" w:rsidRPr="007F52FA" w:rsidTr="00033F8E">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42,558,041.70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4.34</w:t>
            </w:r>
          </w:p>
        </w:tc>
      </w:tr>
      <w:tr w:rsidR="00296E4A" w:rsidRPr="007F52FA" w:rsidTr="00033F8E">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299,451,000.00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30.54</w:t>
            </w:r>
          </w:p>
        </w:tc>
      </w:tr>
      <w:tr w:rsidR="00686943" w:rsidRPr="007F52FA" w:rsidTr="00033F8E">
        <w:trPr>
          <w:jc w:val="center"/>
        </w:trPr>
        <w:tc>
          <w:tcPr>
            <w:tcW w:w="850"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39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121,672,000.00</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12.41</w:t>
            </w:r>
          </w:p>
        </w:tc>
      </w:tr>
      <w:tr w:rsidR="00686943" w:rsidRPr="007F52FA" w:rsidTr="00033F8E">
        <w:trPr>
          <w:jc w:val="center"/>
        </w:trPr>
        <w:tc>
          <w:tcPr>
            <w:tcW w:w="850"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39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033F8E" w:rsidRPr="007F52FA" w:rsidTr="00033F8E">
        <w:trPr>
          <w:jc w:val="center"/>
        </w:trPr>
        <w:tc>
          <w:tcPr>
            <w:tcW w:w="850" w:type="dxa"/>
            <w:vAlign w:val="center"/>
          </w:tcPr>
          <w:p w:rsidR="00033F8E" w:rsidRPr="007F52FA" w:rsidRDefault="00033F8E" w:rsidP="00033F8E">
            <w:pPr>
              <w:spacing w:before="29" w:line="288" w:lineRule="auto"/>
              <w:ind w:left="17"/>
              <w:jc w:val="center"/>
              <w:rPr>
                <w:color w:val="000000"/>
                <w:sz w:val="24"/>
              </w:rPr>
            </w:pPr>
            <w:r>
              <w:rPr>
                <w:rFonts w:hint="eastAsia"/>
                <w:color w:val="000000"/>
                <w:sz w:val="24"/>
              </w:rPr>
              <w:t>8</w:t>
            </w:r>
          </w:p>
        </w:tc>
        <w:tc>
          <w:tcPr>
            <w:tcW w:w="3390" w:type="dxa"/>
            <w:vAlign w:val="center"/>
          </w:tcPr>
          <w:p w:rsidR="00033F8E" w:rsidRPr="007F52FA" w:rsidRDefault="00033F8E" w:rsidP="00033F8E">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rsidR="00033F8E" w:rsidRPr="007F52FA" w:rsidRDefault="00033F8E" w:rsidP="00033F8E">
            <w:pPr>
              <w:spacing w:before="29" w:line="288" w:lineRule="auto"/>
              <w:ind w:left="17"/>
              <w:jc w:val="right"/>
              <w:rPr>
                <w:color w:val="000000"/>
                <w:sz w:val="24"/>
              </w:rPr>
            </w:pPr>
            <w:r w:rsidRPr="007F52FA">
              <w:rPr>
                <w:color w:val="000000"/>
                <w:sz w:val="24"/>
              </w:rPr>
              <w:t>57,926,000.00</w:t>
            </w:r>
          </w:p>
        </w:tc>
        <w:tc>
          <w:tcPr>
            <w:tcW w:w="1680" w:type="dxa"/>
            <w:vAlign w:val="center"/>
          </w:tcPr>
          <w:p w:rsidR="00033F8E" w:rsidRPr="007F52FA" w:rsidRDefault="00033F8E" w:rsidP="00033F8E">
            <w:pPr>
              <w:spacing w:before="29" w:line="288" w:lineRule="auto"/>
              <w:ind w:left="17"/>
              <w:jc w:val="right"/>
              <w:rPr>
                <w:color w:val="000000"/>
                <w:sz w:val="24"/>
              </w:rPr>
            </w:pPr>
            <w:r w:rsidRPr="007F52FA">
              <w:rPr>
                <w:color w:val="000000"/>
                <w:sz w:val="24"/>
              </w:rPr>
              <w:t>5.91</w:t>
            </w:r>
          </w:p>
        </w:tc>
      </w:tr>
      <w:tr w:rsidR="00033F8E" w:rsidRPr="007F52FA" w:rsidTr="00033F8E">
        <w:trPr>
          <w:jc w:val="center"/>
        </w:trPr>
        <w:tc>
          <w:tcPr>
            <w:tcW w:w="850" w:type="dxa"/>
            <w:vAlign w:val="center"/>
          </w:tcPr>
          <w:p w:rsidR="00033F8E" w:rsidRPr="007F52FA" w:rsidRDefault="00033F8E" w:rsidP="00033F8E">
            <w:pPr>
              <w:spacing w:before="29" w:line="288" w:lineRule="auto"/>
              <w:ind w:left="17"/>
              <w:jc w:val="center"/>
              <w:rPr>
                <w:color w:val="000000"/>
                <w:sz w:val="24"/>
              </w:rPr>
            </w:pPr>
            <w:r w:rsidRPr="007F52FA">
              <w:rPr>
                <w:color w:val="000000"/>
                <w:sz w:val="24"/>
              </w:rPr>
              <w:t>9</w:t>
            </w:r>
          </w:p>
        </w:tc>
        <w:tc>
          <w:tcPr>
            <w:tcW w:w="3390" w:type="dxa"/>
            <w:vAlign w:val="center"/>
          </w:tcPr>
          <w:p w:rsidR="00033F8E" w:rsidRPr="007F52FA" w:rsidRDefault="00033F8E" w:rsidP="00033F8E">
            <w:pPr>
              <w:spacing w:before="29" w:line="288" w:lineRule="auto"/>
              <w:ind w:left="17"/>
              <w:jc w:val="left"/>
              <w:rPr>
                <w:color w:val="000000"/>
                <w:sz w:val="24"/>
              </w:rPr>
            </w:pPr>
            <w:r w:rsidRPr="007F52FA">
              <w:rPr>
                <w:color w:val="000000"/>
                <w:sz w:val="24"/>
              </w:rPr>
              <w:t>其他</w:t>
            </w:r>
          </w:p>
        </w:tc>
        <w:tc>
          <w:tcPr>
            <w:tcW w:w="2948" w:type="dxa"/>
            <w:vAlign w:val="center"/>
          </w:tcPr>
          <w:p w:rsidR="00033F8E" w:rsidRPr="007F52FA" w:rsidRDefault="00033F8E" w:rsidP="00033F8E">
            <w:pPr>
              <w:spacing w:before="29" w:line="288" w:lineRule="auto"/>
              <w:ind w:left="17"/>
              <w:jc w:val="right"/>
              <w:rPr>
                <w:color w:val="000000"/>
                <w:sz w:val="24"/>
              </w:rPr>
            </w:pPr>
            <w:r w:rsidRPr="007F52FA">
              <w:rPr>
                <w:color w:val="000000"/>
                <w:sz w:val="24"/>
              </w:rPr>
              <w:t>-</w:t>
            </w:r>
          </w:p>
        </w:tc>
        <w:tc>
          <w:tcPr>
            <w:tcW w:w="1680" w:type="dxa"/>
            <w:vAlign w:val="center"/>
          </w:tcPr>
          <w:p w:rsidR="00033F8E" w:rsidRPr="007F52FA" w:rsidRDefault="00033F8E" w:rsidP="00033F8E">
            <w:pPr>
              <w:spacing w:before="29" w:line="288" w:lineRule="auto"/>
              <w:ind w:left="17"/>
              <w:jc w:val="right"/>
              <w:rPr>
                <w:color w:val="000000"/>
                <w:sz w:val="24"/>
              </w:rPr>
            </w:pPr>
            <w:r w:rsidRPr="007F52FA">
              <w:rPr>
                <w:color w:val="000000"/>
                <w:sz w:val="24"/>
              </w:rPr>
              <w:t>-</w:t>
            </w:r>
          </w:p>
        </w:tc>
      </w:tr>
      <w:tr w:rsidR="00686943" w:rsidRPr="007F52FA" w:rsidTr="00033F8E">
        <w:trPr>
          <w:jc w:val="center"/>
        </w:trPr>
        <w:tc>
          <w:tcPr>
            <w:tcW w:w="850"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39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626,284,061.70</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63.88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85501">
        <w:trPr>
          <w:jc w:val="center"/>
        </w:trPr>
        <w:tc>
          <w:tcPr>
            <w:tcW w:w="1075" w:type="dxa"/>
            <w:vAlign w:val="center"/>
          </w:tcPr>
          <w:p w:rsidR="00F85501" w:rsidRDefault="00850110">
            <w:pPr>
              <w:jc w:val="center"/>
            </w:pPr>
            <w:r>
              <w:rPr>
                <w:color w:val="000000"/>
                <w:sz w:val="24"/>
              </w:rPr>
              <w:t>1</w:t>
            </w:r>
          </w:p>
        </w:tc>
        <w:tc>
          <w:tcPr>
            <w:tcW w:w="1533" w:type="dxa"/>
            <w:vAlign w:val="center"/>
          </w:tcPr>
          <w:p w:rsidR="00F85501" w:rsidRDefault="00850110">
            <w:pPr>
              <w:jc w:val="center"/>
            </w:pPr>
            <w:r>
              <w:rPr>
                <w:color w:val="000000"/>
                <w:sz w:val="24"/>
              </w:rPr>
              <w:t>160210</w:t>
            </w:r>
          </w:p>
        </w:tc>
        <w:tc>
          <w:tcPr>
            <w:tcW w:w="1533" w:type="dxa"/>
            <w:vAlign w:val="center"/>
          </w:tcPr>
          <w:p w:rsidR="00F85501" w:rsidRDefault="00850110">
            <w:pPr>
              <w:jc w:val="center"/>
            </w:pPr>
            <w:r>
              <w:rPr>
                <w:color w:val="000000"/>
                <w:sz w:val="24"/>
              </w:rPr>
              <w:t>16</w:t>
            </w:r>
            <w:r>
              <w:rPr>
                <w:color w:val="000000"/>
                <w:sz w:val="24"/>
              </w:rPr>
              <w:t>国开</w:t>
            </w:r>
            <w:r>
              <w:rPr>
                <w:color w:val="000000"/>
                <w:sz w:val="24"/>
              </w:rPr>
              <w:t>10</w:t>
            </w:r>
          </w:p>
        </w:tc>
        <w:tc>
          <w:tcPr>
            <w:tcW w:w="1394" w:type="dxa"/>
            <w:vAlign w:val="center"/>
          </w:tcPr>
          <w:p w:rsidR="00F85501" w:rsidRDefault="00850110">
            <w:pPr>
              <w:jc w:val="right"/>
            </w:pPr>
            <w:r>
              <w:rPr>
                <w:color w:val="000000"/>
                <w:sz w:val="24"/>
              </w:rPr>
              <w:t>700,000</w:t>
            </w:r>
          </w:p>
        </w:tc>
        <w:tc>
          <w:tcPr>
            <w:tcW w:w="1944" w:type="dxa"/>
            <w:vAlign w:val="center"/>
          </w:tcPr>
          <w:p w:rsidR="00F85501" w:rsidRDefault="00850110">
            <w:pPr>
              <w:jc w:val="right"/>
            </w:pPr>
            <w:r>
              <w:rPr>
                <w:color w:val="000000"/>
                <w:sz w:val="24"/>
              </w:rPr>
              <w:t>67,319,000.00</w:t>
            </w:r>
          </w:p>
        </w:tc>
        <w:tc>
          <w:tcPr>
            <w:tcW w:w="1389" w:type="dxa"/>
            <w:vAlign w:val="center"/>
          </w:tcPr>
          <w:p w:rsidR="00F85501" w:rsidRDefault="00850110">
            <w:pPr>
              <w:jc w:val="right"/>
            </w:pPr>
            <w:r>
              <w:rPr>
                <w:color w:val="000000"/>
                <w:sz w:val="24"/>
              </w:rPr>
              <w:t>6.87</w:t>
            </w:r>
          </w:p>
        </w:tc>
      </w:tr>
      <w:tr w:rsidR="00F85501">
        <w:trPr>
          <w:jc w:val="center"/>
        </w:trPr>
        <w:tc>
          <w:tcPr>
            <w:tcW w:w="1075" w:type="dxa"/>
            <w:vAlign w:val="center"/>
          </w:tcPr>
          <w:p w:rsidR="00F85501" w:rsidRDefault="00850110">
            <w:pPr>
              <w:jc w:val="center"/>
            </w:pPr>
            <w:r>
              <w:rPr>
                <w:color w:val="000000"/>
                <w:sz w:val="24"/>
              </w:rPr>
              <w:t>2</w:t>
            </w:r>
          </w:p>
        </w:tc>
        <w:tc>
          <w:tcPr>
            <w:tcW w:w="1533" w:type="dxa"/>
            <w:vAlign w:val="center"/>
          </w:tcPr>
          <w:p w:rsidR="00F85501" w:rsidRDefault="00850110">
            <w:pPr>
              <w:jc w:val="center"/>
            </w:pPr>
            <w:r>
              <w:rPr>
                <w:color w:val="000000"/>
                <w:sz w:val="24"/>
              </w:rPr>
              <w:t>101354015</w:t>
            </w:r>
          </w:p>
        </w:tc>
        <w:tc>
          <w:tcPr>
            <w:tcW w:w="1533" w:type="dxa"/>
            <w:vAlign w:val="center"/>
          </w:tcPr>
          <w:p w:rsidR="00F85501" w:rsidRDefault="00850110">
            <w:pPr>
              <w:jc w:val="center"/>
            </w:pPr>
            <w:r>
              <w:rPr>
                <w:color w:val="000000"/>
                <w:sz w:val="24"/>
              </w:rPr>
              <w:t>13</w:t>
            </w:r>
            <w:r>
              <w:rPr>
                <w:color w:val="000000"/>
                <w:sz w:val="24"/>
              </w:rPr>
              <w:t>南电</w:t>
            </w:r>
            <w:r>
              <w:rPr>
                <w:color w:val="000000"/>
                <w:sz w:val="24"/>
              </w:rPr>
              <w:t>MTN002</w:t>
            </w:r>
          </w:p>
        </w:tc>
        <w:tc>
          <w:tcPr>
            <w:tcW w:w="1394" w:type="dxa"/>
            <w:vAlign w:val="center"/>
          </w:tcPr>
          <w:p w:rsidR="00F85501" w:rsidRDefault="00850110">
            <w:pPr>
              <w:jc w:val="right"/>
            </w:pPr>
            <w:r>
              <w:rPr>
                <w:color w:val="000000"/>
                <w:sz w:val="24"/>
              </w:rPr>
              <w:t>500,000</w:t>
            </w:r>
          </w:p>
        </w:tc>
        <w:tc>
          <w:tcPr>
            <w:tcW w:w="1944" w:type="dxa"/>
            <w:vAlign w:val="center"/>
          </w:tcPr>
          <w:p w:rsidR="00F85501" w:rsidRDefault="00850110">
            <w:pPr>
              <w:jc w:val="right"/>
            </w:pPr>
            <w:r>
              <w:rPr>
                <w:color w:val="000000"/>
                <w:sz w:val="24"/>
              </w:rPr>
              <w:t>51,130,000.00</w:t>
            </w:r>
          </w:p>
        </w:tc>
        <w:tc>
          <w:tcPr>
            <w:tcW w:w="1389" w:type="dxa"/>
            <w:vAlign w:val="center"/>
          </w:tcPr>
          <w:p w:rsidR="00F85501" w:rsidRDefault="00850110">
            <w:pPr>
              <w:jc w:val="right"/>
            </w:pPr>
            <w:r>
              <w:rPr>
                <w:color w:val="000000"/>
                <w:sz w:val="24"/>
              </w:rPr>
              <w:t>5.22</w:t>
            </w:r>
          </w:p>
        </w:tc>
      </w:tr>
      <w:tr w:rsidR="00F85501">
        <w:trPr>
          <w:jc w:val="center"/>
        </w:trPr>
        <w:tc>
          <w:tcPr>
            <w:tcW w:w="1075" w:type="dxa"/>
            <w:vAlign w:val="center"/>
          </w:tcPr>
          <w:p w:rsidR="00F85501" w:rsidRDefault="00850110">
            <w:pPr>
              <w:jc w:val="center"/>
            </w:pPr>
            <w:r>
              <w:rPr>
                <w:color w:val="000000"/>
                <w:sz w:val="24"/>
              </w:rPr>
              <w:t>3</w:t>
            </w:r>
          </w:p>
        </w:tc>
        <w:tc>
          <w:tcPr>
            <w:tcW w:w="1533" w:type="dxa"/>
            <w:vAlign w:val="center"/>
          </w:tcPr>
          <w:p w:rsidR="00F85501" w:rsidRDefault="00850110">
            <w:pPr>
              <w:jc w:val="center"/>
            </w:pPr>
            <w:r>
              <w:rPr>
                <w:color w:val="000000"/>
                <w:sz w:val="24"/>
              </w:rPr>
              <w:t>101551020</w:t>
            </w:r>
          </w:p>
        </w:tc>
        <w:tc>
          <w:tcPr>
            <w:tcW w:w="1533" w:type="dxa"/>
            <w:vAlign w:val="center"/>
          </w:tcPr>
          <w:p w:rsidR="00F85501" w:rsidRDefault="00850110">
            <w:pPr>
              <w:jc w:val="center"/>
            </w:pPr>
            <w:r>
              <w:rPr>
                <w:color w:val="000000"/>
                <w:sz w:val="24"/>
              </w:rPr>
              <w:t>15</w:t>
            </w:r>
            <w:r>
              <w:rPr>
                <w:color w:val="000000"/>
                <w:sz w:val="24"/>
              </w:rPr>
              <w:t>中油股</w:t>
            </w:r>
            <w:r>
              <w:rPr>
                <w:color w:val="000000"/>
                <w:sz w:val="24"/>
              </w:rPr>
              <w:t>MTN001</w:t>
            </w:r>
          </w:p>
        </w:tc>
        <w:tc>
          <w:tcPr>
            <w:tcW w:w="1394" w:type="dxa"/>
            <w:vAlign w:val="center"/>
          </w:tcPr>
          <w:p w:rsidR="00F85501" w:rsidRDefault="00850110">
            <w:pPr>
              <w:jc w:val="right"/>
            </w:pPr>
            <w:r>
              <w:rPr>
                <w:color w:val="000000"/>
                <w:sz w:val="24"/>
              </w:rPr>
              <w:t>500,000</w:t>
            </w:r>
          </w:p>
        </w:tc>
        <w:tc>
          <w:tcPr>
            <w:tcW w:w="1944" w:type="dxa"/>
            <w:vAlign w:val="center"/>
          </w:tcPr>
          <w:p w:rsidR="00F85501" w:rsidRDefault="00850110">
            <w:pPr>
              <w:jc w:val="right"/>
            </w:pPr>
            <w:r>
              <w:rPr>
                <w:color w:val="000000"/>
                <w:sz w:val="24"/>
              </w:rPr>
              <w:t>50,350,000.00</w:t>
            </w:r>
          </w:p>
        </w:tc>
        <w:tc>
          <w:tcPr>
            <w:tcW w:w="1389" w:type="dxa"/>
            <w:vAlign w:val="center"/>
          </w:tcPr>
          <w:p w:rsidR="00F85501" w:rsidRDefault="00850110">
            <w:pPr>
              <w:jc w:val="right"/>
            </w:pPr>
            <w:r>
              <w:rPr>
                <w:color w:val="000000"/>
                <w:sz w:val="24"/>
              </w:rPr>
              <w:t>5.14</w:t>
            </w:r>
          </w:p>
        </w:tc>
      </w:tr>
      <w:tr w:rsidR="00F85501">
        <w:trPr>
          <w:jc w:val="center"/>
        </w:trPr>
        <w:tc>
          <w:tcPr>
            <w:tcW w:w="1075" w:type="dxa"/>
            <w:vAlign w:val="center"/>
          </w:tcPr>
          <w:p w:rsidR="00F85501" w:rsidRDefault="00850110">
            <w:pPr>
              <w:jc w:val="center"/>
            </w:pPr>
            <w:r>
              <w:rPr>
                <w:color w:val="000000"/>
                <w:sz w:val="24"/>
              </w:rPr>
              <w:t>4</w:t>
            </w:r>
          </w:p>
        </w:tc>
        <w:tc>
          <w:tcPr>
            <w:tcW w:w="1533" w:type="dxa"/>
            <w:vAlign w:val="center"/>
          </w:tcPr>
          <w:p w:rsidR="00F85501" w:rsidRDefault="00850110">
            <w:pPr>
              <w:jc w:val="center"/>
            </w:pPr>
            <w:r>
              <w:rPr>
                <w:color w:val="000000"/>
                <w:sz w:val="24"/>
              </w:rPr>
              <w:t>041660019</w:t>
            </w:r>
          </w:p>
        </w:tc>
        <w:tc>
          <w:tcPr>
            <w:tcW w:w="1533" w:type="dxa"/>
            <w:vAlign w:val="center"/>
          </w:tcPr>
          <w:p w:rsidR="00F85501" w:rsidRDefault="00850110">
            <w:pPr>
              <w:jc w:val="center"/>
            </w:pPr>
            <w:r>
              <w:rPr>
                <w:color w:val="000000"/>
                <w:sz w:val="24"/>
              </w:rPr>
              <w:t>16</w:t>
            </w:r>
            <w:r>
              <w:rPr>
                <w:color w:val="000000"/>
                <w:sz w:val="24"/>
              </w:rPr>
              <w:t>鲁信</w:t>
            </w:r>
            <w:r>
              <w:rPr>
                <w:color w:val="000000"/>
                <w:sz w:val="24"/>
              </w:rPr>
              <w:t>CP001</w:t>
            </w:r>
          </w:p>
        </w:tc>
        <w:tc>
          <w:tcPr>
            <w:tcW w:w="1394" w:type="dxa"/>
            <w:vAlign w:val="center"/>
          </w:tcPr>
          <w:p w:rsidR="00F85501" w:rsidRDefault="00850110">
            <w:pPr>
              <w:jc w:val="right"/>
            </w:pPr>
            <w:r>
              <w:rPr>
                <w:color w:val="000000"/>
                <w:sz w:val="24"/>
              </w:rPr>
              <w:t>500,000</w:t>
            </w:r>
          </w:p>
        </w:tc>
        <w:tc>
          <w:tcPr>
            <w:tcW w:w="1944" w:type="dxa"/>
            <w:vAlign w:val="center"/>
          </w:tcPr>
          <w:p w:rsidR="00F85501" w:rsidRDefault="00850110">
            <w:pPr>
              <w:jc w:val="right"/>
            </w:pPr>
            <w:r>
              <w:rPr>
                <w:color w:val="000000"/>
                <w:sz w:val="24"/>
              </w:rPr>
              <w:t>50,055,000.00</w:t>
            </w:r>
          </w:p>
        </w:tc>
        <w:tc>
          <w:tcPr>
            <w:tcW w:w="1389" w:type="dxa"/>
            <w:vAlign w:val="center"/>
          </w:tcPr>
          <w:p w:rsidR="00F85501" w:rsidRDefault="00850110">
            <w:pPr>
              <w:jc w:val="right"/>
            </w:pPr>
            <w:r>
              <w:rPr>
                <w:color w:val="000000"/>
                <w:sz w:val="24"/>
              </w:rPr>
              <w:t>5.11</w:t>
            </w:r>
          </w:p>
        </w:tc>
      </w:tr>
      <w:tr w:rsidR="00F85501">
        <w:trPr>
          <w:jc w:val="center"/>
        </w:trPr>
        <w:tc>
          <w:tcPr>
            <w:tcW w:w="1075" w:type="dxa"/>
            <w:vAlign w:val="center"/>
          </w:tcPr>
          <w:p w:rsidR="00F85501" w:rsidRDefault="00850110">
            <w:pPr>
              <w:jc w:val="center"/>
            </w:pPr>
            <w:r>
              <w:rPr>
                <w:color w:val="000000"/>
                <w:sz w:val="24"/>
              </w:rPr>
              <w:t>5</w:t>
            </w:r>
          </w:p>
        </w:tc>
        <w:tc>
          <w:tcPr>
            <w:tcW w:w="1533" w:type="dxa"/>
            <w:vAlign w:val="center"/>
          </w:tcPr>
          <w:p w:rsidR="00F85501" w:rsidRDefault="00850110">
            <w:pPr>
              <w:jc w:val="center"/>
            </w:pPr>
            <w:r>
              <w:rPr>
                <w:color w:val="000000"/>
                <w:sz w:val="24"/>
              </w:rPr>
              <w:t>011698686</w:t>
            </w:r>
          </w:p>
        </w:tc>
        <w:tc>
          <w:tcPr>
            <w:tcW w:w="1533" w:type="dxa"/>
            <w:vAlign w:val="center"/>
          </w:tcPr>
          <w:p w:rsidR="00F85501" w:rsidRDefault="00850110">
            <w:pPr>
              <w:jc w:val="center"/>
            </w:pPr>
            <w:r>
              <w:rPr>
                <w:color w:val="000000"/>
                <w:sz w:val="24"/>
              </w:rPr>
              <w:t>16</w:t>
            </w:r>
            <w:r>
              <w:rPr>
                <w:color w:val="000000"/>
                <w:sz w:val="24"/>
              </w:rPr>
              <w:t>深圳航空</w:t>
            </w:r>
            <w:r>
              <w:rPr>
                <w:color w:val="000000"/>
                <w:sz w:val="24"/>
              </w:rPr>
              <w:t>SCP008</w:t>
            </w:r>
          </w:p>
        </w:tc>
        <w:tc>
          <w:tcPr>
            <w:tcW w:w="1394" w:type="dxa"/>
            <w:vAlign w:val="center"/>
          </w:tcPr>
          <w:p w:rsidR="00F85501" w:rsidRDefault="00850110">
            <w:pPr>
              <w:jc w:val="right"/>
            </w:pPr>
            <w:r>
              <w:rPr>
                <w:color w:val="000000"/>
                <w:sz w:val="24"/>
              </w:rPr>
              <w:t>400,000</w:t>
            </w:r>
          </w:p>
        </w:tc>
        <w:tc>
          <w:tcPr>
            <w:tcW w:w="1944" w:type="dxa"/>
            <w:vAlign w:val="center"/>
          </w:tcPr>
          <w:p w:rsidR="00F85501" w:rsidRDefault="00850110">
            <w:pPr>
              <w:jc w:val="right"/>
            </w:pPr>
            <w:r>
              <w:rPr>
                <w:color w:val="000000"/>
                <w:sz w:val="24"/>
              </w:rPr>
              <w:t>39,824,000.00</w:t>
            </w:r>
          </w:p>
        </w:tc>
        <w:tc>
          <w:tcPr>
            <w:tcW w:w="1389" w:type="dxa"/>
            <w:vAlign w:val="center"/>
          </w:tcPr>
          <w:p w:rsidR="00F85501" w:rsidRDefault="00850110">
            <w:pPr>
              <w:jc w:val="right"/>
            </w:pPr>
            <w:r>
              <w:rPr>
                <w:color w:val="000000"/>
                <w:sz w:val="24"/>
              </w:rPr>
              <w:t>4.06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30,962.89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8,928,144.86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8,959,107.75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交银卓越回报灵活配置混合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交银卓越回报灵活配置混合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681,651,621.48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97,612,695.37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249,750,249.75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51,414,856.80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727,849,460.05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249,750,249.75</w:t>
            </w:r>
          </w:p>
        </w:tc>
      </w:tr>
    </w:tbl>
    <w:p w:rsidR="00F85501" w:rsidRDefault="0085011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F5A5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FB3C94" w:rsidRPr="007F52FA" w:rsidRDefault="00FB3C94"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D13A01" w:rsidRPr="007F52FA">
        <w:rPr>
          <w:rFonts w:eastAsiaTheme="minorEastAsia"/>
          <w:color w:val="000000"/>
          <w:kern w:val="0"/>
          <w:sz w:val="24"/>
          <w:szCs w:val="24"/>
        </w:rPr>
        <w:t>8</w:t>
      </w:r>
      <w:r w:rsidR="006D249E" w:rsidRPr="007F52FA">
        <w:rPr>
          <w:rFonts w:eastAsiaTheme="minorEastAsia"/>
          <w:color w:val="000000"/>
          <w:kern w:val="0"/>
          <w:sz w:val="24"/>
          <w:szCs w:val="24"/>
        </w:rPr>
        <w:t xml:space="preserve"> </w:t>
      </w:r>
      <w:r w:rsidRPr="007F52FA">
        <w:rPr>
          <w:rFonts w:eastAsiaTheme="minorEastAsia"/>
          <w:color w:val="000000"/>
          <w:kern w:val="0"/>
          <w:sz w:val="24"/>
          <w:szCs w:val="24"/>
        </w:rPr>
        <w:t>影响投资者决策的其他重要信息</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根据《中华人民共和国证券投资基金法》、《公开募集证券投资基金运作管理办法》和本基金基金合同的有关规定，经与基金托管人中信银行股份有限公司协商一致并报中国证券监督管理委员会备案，本基金管理人对本基金增加收取销售服务费的</w:t>
      </w:r>
      <w:r w:rsidRPr="007F52FA">
        <w:rPr>
          <w:rFonts w:eastAsiaTheme="minorEastAsia"/>
          <w:color w:val="000000"/>
          <w:sz w:val="24"/>
        </w:rPr>
        <w:t>C</w:t>
      </w:r>
      <w:r w:rsidRPr="007F52FA">
        <w:rPr>
          <w:rFonts w:eastAsiaTheme="minorEastAsia"/>
          <w:color w:val="000000"/>
          <w:sz w:val="24"/>
        </w:rPr>
        <w:t>类份额，并自</w:t>
      </w:r>
      <w:r w:rsidRPr="007F52FA">
        <w:rPr>
          <w:rFonts w:eastAsiaTheme="minorEastAsia"/>
          <w:color w:val="000000"/>
          <w:sz w:val="24"/>
        </w:rPr>
        <w:t xml:space="preserve">2016 </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27</w:t>
      </w:r>
      <w:r w:rsidRPr="007F52FA">
        <w:rPr>
          <w:rFonts w:eastAsiaTheme="minorEastAsia"/>
          <w:color w:val="000000"/>
          <w:sz w:val="24"/>
        </w:rPr>
        <w:t>日起接受投资者对</w:t>
      </w:r>
      <w:r w:rsidRPr="007F52FA">
        <w:rPr>
          <w:rFonts w:eastAsiaTheme="minorEastAsia"/>
          <w:color w:val="000000"/>
          <w:sz w:val="24"/>
        </w:rPr>
        <w:t>C</w:t>
      </w:r>
      <w:r w:rsidRPr="007F52FA">
        <w:rPr>
          <w:rFonts w:eastAsiaTheme="minorEastAsia"/>
          <w:color w:val="000000"/>
          <w:sz w:val="24"/>
        </w:rPr>
        <w:t>类基金份额的申购与赎回，以及对本基金的基金合同、托管协议作相应修改。上述修改为遵照法律法规、中国证监会的相关规定和基金合同的约定所作出的修改，对基金份额持有人利益无实质性不利影响，可不经基金份额持有人大会表决。详情请查阅本基金管理人于</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24</w:t>
      </w:r>
      <w:r w:rsidRPr="007F52FA">
        <w:rPr>
          <w:rFonts w:eastAsiaTheme="minorEastAsia"/>
          <w:color w:val="000000"/>
          <w:sz w:val="24"/>
        </w:rPr>
        <w:t>日发布的《交银施罗德基金管理有限公司关于交银施罗德卓越回报灵活配置混合型证券投资基金增加</w:t>
      </w:r>
      <w:r w:rsidRPr="007F52FA">
        <w:rPr>
          <w:rFonts w:eastAsiaTheme="minorEastAsia"/>
          <w:color w:val="000000"/>
          <w:sz w:val="24"/>
        </w:rPr>
        <w:t>C</w:t>
      </w:r>
      <w:r w:rsidRPr="007F52FA">
        <w:rPr>
          <w:rFonts w:eastAsiaTheme="minorEastAsia"/>
          <w:color w:val="000000"/>
          <w:sz w:val="24"/>
        </w:rPr>
        <w:t>类份额并修改基金合同、托管协议的公告》。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F85501" w:rsidRDefault="0085011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、中国证监会准予交银施罗德卓越回报灵活配置混合型证券投资基金募集注册的文件；</w:t>
      </w:r>
      <w:r>
        <w:rPr>
          <w:rFonts w:eastAsiaTheme="minorEastAsia"/>
          <w:color w:val="000000"/>
          <w:sz w:val="24"/>
        </w:rPr>
        <w:t xml:space="preserve"> </w:t>
      </w:r>
    </w:p>
    <w:p w:rsidR="00F85501" w:rsidRDefault="0085011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、《交银施罗德卓越回报灵活配置混合型证券投资基金基金合同》；</w:t>
      </w:r>
      <w:r>
        <w:rPr>
          <w:rFonts w:eastAsiaTheme="minorEastAsia"/>
          <w:color w:val="000000"/>
          <w:sz w:val="24"/>
        </w:rPr>
        <w:t xml:space="preserve"> </w:t>
      </w:r>
    </w:p>
    <w:p w:rsidR="00F85501" w:rsidRDefault="0085011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、《交银施罗德卓越回报灵活配置混合型证券投资基金招募说明书》；</w:t>
      </w:r>
      <w:r>
        <w:rPr>
          <w:rFonts w:eastAsiaTheme="minorEastAsia"/>
          <w:color w:val="000000"/>
          <w:sz w:val="24"/>
        </w:rPr>
        <w:t xml:space="preserve"> </w:t>
      </w:r>
    </w:p>
    <w:p w:rsidR="00F85501" w:rsidRDefault="0085011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、《交银施罗德卓越回报灵活配置混合型证券投资基金托管协议》；</w:t>
      </w:r>
      <w:r>
        <w:rPr>
          <w:rFonts w:eastAsiaTheme="minorEastAsia"/>
          <w:color w:val="000000"/>
          <w:sz w:val="24"/>
        </w:rPr>
        <w:t xml:space="preserve"> </w:t>
      </w:r>
    </w:p>
    <w:p w:rsidR="00F85501" w:rsidRDefault="0085011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、关于申请募集注册交银施罗德卓越回报灵活配置混合型证券投资基金的法律意见书；</w:t>
      </w:r>
      <w:r>
        <w:rPr>
          <w:rFonts w:eastAsiaTheme="minorEastAsia"/>
          <w:color w:val="000000"/>
          <w:sz w:val="24"/>
        </w:rPr>
        <w:t xml:space="preserve"> </w:t>
      </w:r>
    </w:p>
    <w:p w:rsidR="00F85501" w:rsidRDefault="0085011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F85501" w:rsidRDefault="0085011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、报告期内交银施罗德卓越回报灵活配置混合型证券投资基金在指定报刊上各项公告的原稿。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F85501" w:rsidRDefault="0085011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FA2" w:rsidRDefault="00963FA2">
      <w:r>
        <w:separator/>
      </w:r>
    </w:p>
  </w:endnote>
  <w:endnote w:type="continuationSeparator" w:id="0">
    <w:p w:rsidR="00963FA2" w:rsidRDefault="0096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3C2CCC">
      <w:rPr>
        <w:noProof/>
        <w:kern w:val="0"/>
        <w:szCs w:val="21"/>
      </w:rPr>
      <w:t>1</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3C2CCC">
      <w:rPr>
        <w:noProof/>
        <w:kern w:val="0"/>
        <w:szCs w:val="21"/>
      </w:rPr>
      <w:t>14</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FA2" w:rsidRDefault="00963FA2">
      <w:r>
        <w:separator/>
      </w:r>
    </w:p>
  </w:footnote>
  <w:footnote w:type="continuationSeparator" w:id="0">
    <w:p w:rsidR="00963FA2" w:rsidRDefault="00963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3C2CCC"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0F0E"/>
    <w:rsid w:val="000219D5"/>
    <w:rsid w:val="00022396"/>
    <w:rsid w:val="00023073"/>
    <w:rsid w:val="00023B97"/>
    <w:rsid w:val="00024836"/>
    <w:rsid w:val="000252D8"/>
    <w:rsid w:val="00033F8E"/>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61F"/>
    <w:rsid w:val="00367770"/>
    <w:rsid w:val="00367B2A"/>
    <w:rsid w:val="00370FE2"/>
    <w:rsid w:val="00371424"/>
    <w:rsid w:val="00371FF4"/>
    <w:rsid w:val="00372209"/>
    <w:rsid w:val="0037421A"/>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2CCC"/>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095"/>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1A57"/>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4D22"/>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3B6F"/>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0110"/>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3FA2"/>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867"/>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26E23"/>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3BC9"/>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5501"/>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01C111F0-4E19-4391-A13B-164C08FD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6AF95-5E3A-4569-94B5-CD57D1D1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198</TotalTime>
  <Pages>14</Pages>
  <Words>1200</Words>
  <Characters>6846</Characters>
  <Application>Microsoft Office Word</Application>
  <DocSecurity>0</DocSecurity>
  <Lines>57</Lines>
  <Paragraphs>16</Paragraphs>
  <ScaleCrop>false</ScaleCrop>
  <Company>TRT. Ltd. Co.</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376</cp:revision>
  <cp:lastPrinted>2007-07-19T00:46:00Z</cp:lastPrinted>
  <dcterms:created xsi:type="dcterms:W3CDTF">2014-01-17T06:19:00Z</dcterms:created>
  <dcterms:modified xsi:type="dcterms:W3CDTF">2017-01-18T01:30:00Z</dcterms:modified>
</cp:coreProperties>
</file>