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proofErr w:type="gramStart"/>
      <w:r w:rsidRPr="005E324A">
        <w:rPr>
          <w:rFonts w:eastAsiaTheme="minorEastAsia"/>
          <w:b/>
          <w:sz w:val="36"/>
          <w:szCs w:val="36"/>
        </w:rPr>
        <w:t>交银施罗</w:t>
      </w:r>
      <w:proofErr w:type="gramEnd"/>
      <w:r w:rsidRPr="005E324A">
        <w:rPr>
          <w:rFonts w:eastAsiaTheme="minorEastAsia"/>
          <w:b/>
          <w:sz w:val="36"/>
          <w:szCs w:val="36"/>
        </w:rPr>
        <w:t>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二〇一七年一月十九日</w:t>
      </w:r>
    </w:p>
    <w:p w:rsidR="00220542" w:rsidRPr="005E324A" w:rsidRDefault="00220542" w:rsidP="007674F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w:t>
            </w:r>
            <w:proofErr w:type="gramStart"/>
            <w:r w:rsidRPr="005E324A">
              <w:rPr>
                <w:rFonts w:eastAsiaTheme="minorEastAsia"/>
                <w:color w:val="000000"/>
                <w:kern w:val="0"/>
                <w:sz w:val="24"/>
              </w:rPr>
              <w:t>银国证新能源</w:t>
            </w:r>
            <w:proofErr w:type="gramEnd"/>
            <w:r w:rsidRPr="005E324A">
              <w:rPr>
                <w:rFonts w:eastAsiaTheme="minorEastAsia"/>
                <w:color w:val="000000"/>
                <w:kern w:val="0"/>
                <w:sz w:val="24"/>
              </w:rPr>
              <w:t>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1,110,558,218.56</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w:t>
            </w:r>
            <w:proofErr w:type="gramStart"/>
            <w:r w:rsidRPr="005E324A">
              <w:rPr>
                <w:rFonts w:eastAsiaTheme="minorEastAsia"/>
                <w:color w:val="000000"/>
                <w:kern w:val="0"/>
                <w:sz w:val="24"/>
              </w:rPr>
              <w:t>按照国证新</w:t>
            </w:r>
            <w:r w:rsidRPr="005E324A">
              <w:rPr>
                <w:rFonts w:eastAsiaTheme="minorEastAsia"/>
                <w:color w:val="000000"/>
                <w:kern w:val="0"/>
                <w:sz w:val="24"/>
              </w:rPr>
              <w:lastRenderedPageBreak/>
              <w:t>能源</w:t>
            </w:r>
            <w:proofErr w:type="gramEnd"/>
            <w:r w:rsidRPr="005E324A">
              <w:rPr>
                <w:rFonts w:eastAsiaTheme="minorEastAsia"/>
                <w:color w:val="000000"/>
                <w:kern w:val="0"/>
                <w:sz w:val="24"/>
              </w:rPr>
              <w:t>指数中的成份</w:t>
            </w:r>
            <w:proofErr w:type="gramStart"/>
            <w:r w:rsidRPr="005E324A">
              <w:rPr>
                <w:rFonts w:eastAsiaTheme="minorEastAsia"/>
                <w:color w:val="000000"/>
                <w:kern w:val="0"/>
                <w:sz w:val="24"/>
              </w:rPr>
              <w:t>股组成</w:t>
            </w:r>
            <w:proofErr w:type="gramEnd"/>
            <w:r w:rsidRPr="005E324A">
              <w:rPr>
                <w:rFonts w:eastAsiaTheme="minorEastAsia"/>
                <w:color w:val="000000"/>
                <w:kern w:val="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proofErr w:type="gramStart"/>
            <w:r w:rsidRPr="005E324A">
              <w:rPr>
                <w:rFonts w:eastAsiaTheme="minorEastAsia"/>
                <w:color w:val="000000"/>
                <w:kern w:val="0"/>
                <w:sz w:val="24"/>
              </w:rPr>
              <w:t>国证新能源</w:t>
            </w:r>
            <w:proofErr w:type="gramEnd"/>
            <w:r w:rsidRPr="005E324A">
              <w:rPr>
                <w:rFonts w:eastAsiaTheme="minorEastAsia"/>
                <w:color w:val="000000"/>
                <w:kern w:val="0"/>
                <w:sz w:val="24"/>
              </w:rPr>
              <w:t>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578,132,002.56</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266,213,108.00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266,213,108.00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D2188E" w:rsidRPr="005E324A" w:rsidTr="00D2188E">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D2188E" w:rsidRPr="005E324A" w:rsidTr="00D2188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-20,420,082.91</w:t>
            </w:r>
          </w:p>
        </w:tc>
      </w:tr>
      <w:tr w:rsidR="00D2188E" w:rsidRPr="005E324A" w:rsidTr="00D2188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-14,363,059.01</w:t>
            </w:r>
          </w:p>
        </w:tc>
      </w:tr>
      <w:tr w:rsidR="00D2188E" w:rsidRPr="005E324A" w:rsidTr="00D2188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-0.0112</w:t>
            </w:r>
          </w:p>
        </w:tc>
      </w:tr>
      <w:tr w:rsidR="00D2188E" w:rsidRPr="005E324A" w:rsidTr="00D2188E">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911,751,033.56</w:t>
            </w:r>
          </w:p>
        </w:tc>
      </w:tr>
      <w:tr w:rsidR="00D2188E" w:rsidRPr="005E324A" w:rsidTr="00D2188E">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0.821</w:t>
            </w:r>
          </w:p>
        </w:tc>
      </w:tr>
    </w:tbl>
    <w:p w:rsidR="00FB0799" w:rsidRDefault="0057608C">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w:t>
      </w:r>
      <w:proofErr w:type="gramStart"/>
      <w:r w:rsidRPr="005E324A">
        <w:rPr>
          <w:rFonts w:eastAsiaTheme="minorEastAsia"/>
          <w:b/>
          <w:color w:val="000000"/>
          <w:kern w:val="0"/>
          <w:sz w:val="24"/>
        </w:rPr>
        <w:t>期基金</w:t>
      </w:r>
      <w:proofErr w:type="gramEnd"/>
      <w:r w:rsidRPr="005E324A">
        <w:rPr>
          <w:rFonts w:eastAsiaTheme="minorEastAsia"/>
          <w:b/>
          <w:color w:val="000000"/>
          <w:kern w:val="0"/>
          <w:sz w:val="24"/>
        </w:rPr>
        <w:t>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511"/>
        <w:gridCol w:w="920"/>
        <w:gridCol w:w="1216"/>
        <w:gridCol w:w="1216"/>
        <w:gridCol w:w="1216"/>
        <w:gridCol w:w="1217"/>
        <w:gridCol w:w="1217"/>
      </w:tblGrid>
      <w:tr w:rsidR="00E27A14" w:rsidRPr="005E324A" w:rsidTr="00D2188E">
        <w:tc>
          <w:tcPr>
            <w:tcW w:w="1511"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920"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FB0799" w:rsidTr="00D2188E">
        <w:tc>
          <w:tcPr>
            <w:tcW w:w="1511" w:type="dxa"/>
            <w:vAlign w:val="center"/>
          </w:tcPr>
          <w:p w:rsidR="00FB0799" w:rsidRDefault="0057608C">
            <w:pPr>
              <w:jc w:val="left"/>
            </w:pPr>
            <w:r>
              <w:rPr>
                <w:rFonts w:eastAsiaTheme="minorEastAsia"/>
                <w:color w:val="000000"/>
                <w:kern w:val="0"/>
                <w:sz w:val="24"/>
              </w:rPr>
              <w:t>过去三个月</w:t>
            </w:r>
          </w:p>
        </w:tc>
        <w:tc>
          <w:tcPr>
            <w:tcW w:w="920" w:type="dxa"/>
            <w:vAlign w:val="center"/>
          </w:tcPr>
          <w:p w:rsidR="00FB0799" w:rsidRDefault="0057608C">
            <w:pPr>
              <w:jc w:val="center"/>
            </w:pPr>
            <w:r>
              <w:rPr>
                <w:rFonts w:eastAsiaTheme="minorEastAsia"/>
                <w:color w:val="000000"/>
                <w:kern w:val="0"/>
                <w:sz w:val="24"/>
              </w:rPr>
              <w:t>-2.26%</w:t>
            </w:r>
          </w:p>
        </w:tc>
        <w:tc>
          <w:tcPr>
            <w:tcW w:w="1216" w:type="dxa"/>
            <w:vAlign w:val="center"/>
          </w:tcPr>
          <w:p w:rsidR="00FB0799" w:rsidRDefault="0057608C">
            <w:pPr>
              <w:jc w:val="center"/>
            </w:pPr>
            <w:r>
              <w:rPr>
                <w:rFonts w:eastAsiaTheme="minorEastAsia"/>
                <w:color w:val="000000"/>
                <w:kern w:val="0"/>
                <w:sz w:val="24"/>
              </w:rPr>
              <w:t>0.81%</w:t>
            </w:r>
          </w:p>
        </w:tc>
        <w:tc>
          <w:tcPr>
            <w:tcW w:w="1216" w:type="dxa"/>
            <w:vAlign w:val="center"/>
          </w:tcPr>
          <w:p w:rsidR="00FB0799" w:rsidRDefault="0057608C">
            <w:pPr>
              <w:jc w:val="center"/>
            </w:pPr>
            <w:r>
              <w:rPr>
                <w:rFonts w:eastAsiaTheme="minorEastAsia"/>
                <w:color w:val="000000"/>
                <w:kern w:val="0"/>
                <w:sz w:val="24"/>
              </w:rPr>
              <w:t>-2.25%</w:t>
            </w:r>
          </w:p>
        </w:tc>
        <w:tc>
          <w:tcPr>
            <w:tcW w:w="1216" w:type="dxa"/>
            <w:vAlign w:val="center"/>
          </w:tcPr>
          <w:p w:rsidR="00FB0799" w:rsidRDefault="0057608C">
            <w:pPr>
              <w:jc w:val="center"/>
            </w:pPr>
            <w:r>
              <w:rPr>
                <w:rFonts w:eastAsiaTheme="minorEastAsia"/>
                <w:color w:val="000000"/>
                <w:kern w:val="0"/>
                <w:sz w:val="24"/>
              </w:rPr>
              <w:t>0.80%</w:t>
            </w:r>
          </w:p>
        </w:tc>
        <w:tc>
          <w:tcPr>
            <w:tcW w:w="1217" w:type="dxa"/>
            <w:vAlign w:val="center"/>
          </w:tcPr>
          <w:p w:rsidR="00FB0799" w:rsidRDefault="0057608C">
            <w:pPr>
              <w:jc w:val="center"/>
            </w:pPr>
            <w:r>
              <w:rPr>
                <w:rFonts w:eastAsiaTheme="minorEastAsia"/>
                <w:color w:val="000000"/>
                <w:kern w:val="0"/>
                <w:sz w:val="24"/>
              </w:rPr>
              <w:t>-0.01%</w:t>
            </w:r>
          </w:p>
        </w:tc>
        <w:tc>
          <w:tcPr>
            <w:tcW w:w="1217" w:type="dxa"/>
            <w:vAlign w:val="center"/>
          </w:tcPr>
          <w:p w:rsidR="00FB0799" w:rsidRDefault="0057608C">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FB0799">
        <w:tc>
          <w:tcPr>
            <w:tcW w:w="952" w:type="dxa"/>
            <w:vAlign w:val="center"/>
          </w:tcPr>
          <w:p w:rsidR="00FB0799" w:rsidRDefault="0057608C">
            <w:pPr>
              <w:jc w:val="center"/>
            </w:pPr>
            <w:r>
              <w:rPr>
                <w:rFonts w:eastAsiaTheme="minorEastAsia"/>
                <w:color w:val="000000"/>
                <w:sz w:val="24"/>
              </w:rPr>
              <w:t>蔡铮</w:t>
            </w:r>
          </w:p>
        </w:tc>
        <w:tc>
          <w:tcPr>
            <w:tcW w:w="930" w:type="dxa"/>
            <w:vAlign w:val="center"/>
          </w:tcPr>
          <w:p w:rsidR="00FB0799" w:rsidRDefault="0057608C">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）的基金经理，公司量化投资部副总经理</w:t>
            </w:r>
          </w:p>
        </w:tc>
        <w:tc>
          <w:tcPr>
            <w:tcW w:w="1210" w:type="dxa"/>
            <w:vAlign w:val="center"/>
          </w:tcPr>
          <w:p w:rsidR="00FB0799" w:rsidRDefault="0057608C">
            <w:pPr>
              <w:jc w:val="center"/>
            </w:pPr>
            <w:r>
              <w:rPr>
                <w:rFonts w:eastAsiaTheme="minorEastAsia"/>
                <w:color w:val="000000"/>
                <w:sz w:val="24"/>
              </w:rPr>
              <w:t>2015-03-26</w:t>
            </w:r>
          </w:p>
        </w:tc>
        <w:tc>
          <w:tcPr>
            <w:tcW w:w="1309" w:type="dxa"/>
            <w:vAlign w:val="center"/>
          </w:tcPr>
          <w:p w:rsidR="00FB0799" w:rsidRDefault="0057608C">
            <w:pPr>
              <w:jc w:val="center"/>
            </w:pPr>
            <w:r>
              <w:rPr>
                <w:rFonts w:eastAsiaTheme="minorEastAsia"/>
                <w:color w:val="000000"/>
                <w:sz w:val="24"/>
              </w:rPr>
              <w:t>-</w:t>
            </w:r>
          </w:p>
        </w:tc>
        <w:tc>
          <w:tcPr>
            <w:tcW w:w="1254" w:type="dxa"/>
            <w:vAlign w:val="center"/>
          </w:tcPr>
          <w:p w:rsidR="00FB0799" w:rsidRDefault="0057608C">
            <w:pPr>
              <w:jc w:val="center"/>
            </w:pPr>
            <w:r>
              <w:rPr>
                <w:rFonts w:eastAsiaTheme="minorEastAsia"/>
                <w:color w:val="000000"/>
                <w:sz w:val="24"/>
              </w:rPr>
              <w:t>7</w:t>
            </w:r>
            <w:r>
              <w:rPr>
                <w:rFonts w:eastAsiaTheme="minorEastAsia"/>
                <w:color w:val="000000"/>
                <w:sz w:val="24"/>
              </w:rPr>
              <w:t>年</w:t>
            </w:r>
          </w:p>
        </w:tc>
        <w:tc>
          <w:tcPr>
            <w:tcW w:w="3276" w:type="dxa"/>
            <w:vAlign w:val="center"/>
          </w:tcPr>
          <w:p w:rsidR="00FB0799" w:rsidRDefault="0057608C">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FB0799" w:rsidRDefault="0057608C">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0799" w:rsidRDefault="0057608C">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FB0799" w:rsidRDefault="0057608C">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次，是投资组合因投资策略需要而发生同日反向交易，未发现不公平交易和利益输送的情况。本基金与本公司管理的其他投资组合在不同时间窗下（如日内、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FB0799" w:rsidRDefault="0057608C">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年四季度，国内宏观经济延续弱势平稳的态势，货币政策中性偏紧，经济基本面对资本市场的支持力度总体较为有限。</w:t>
      </w:r>
      <w:r>
        <w:rPr>
          <w:rFonts w:eastAsiaTheme="minorEastAsia"/>
          <w:color w:val="000000"/>
          <w:kern w:val="0"/>
          <w:sz w:val="24"/>
        </w:rPr>
        <w:t>A</w:t>
      </w:r>
      <w:r>
        <w:rPr>
          <w:rFonts w:eastAsiaTheme="minorEastAsia"/>
          <w:color w:val="000000"/>
          <w:kern w:val="0"/>
          <w:sz w:val="24"/>
        </w:rPr>
        <w:t>股市场呈现出先扬后抑格局。市场从</w:t>
      </w:r>
      <w:r>
        <w:rPr>
          <w:rFonts w:eastAsiaTheme="minorEastAsia"/>
          <w:color w:val="000000"/>
          <w:kern w:val="0"/>
          <w:sz w:val="24"/>
        </w:rPr>
        <w:t>10</w:t>
      </w:r>
      <w:r>
        <w:rPr>
          <w:rFonts w:eastAsiaTheme="minorEastAsia"/>
          <w:color w:val="000000"/>
          <w:kern w:val="0"/>
          <w:sz w:val="24"/>
        </w:rPr>
        <w:t>月到</w:t>
      </w:r>
      <w:r>
        <w:rPr>
          <w:rFonts w:eastAsiaTheme="minorEastAsia"/>
          <w:color w:val="000000"/>
          <w:kern w:val="0"/>
          <w:sz w:val="24"/>
        </w:rPr>
        <w:t>11</w:t>
      </w:r>
      <w:r>
        <w:rPr>
          <w:rFonts w:eastAsiaTheme="minorEastAsia"/>
          <w:color w:val="000000"/>
          <w:kern w:val="0"/>
          <w:sz w:val="24"/>
        </w:rPr>
        <w:t>月整体表现较强，行至</w:t>
      </w:r>
      <w:r>
        <w:rPr>
          <w:rFonts w:eastAsiaTheme="minorEastAsia"/>
          <w:color w:val="000000"/>
          <w:kern w:val="0"/>
          <w:sz w:val="24"/>
        </w:rPr>
        <w:t>12</w:t>
      </w:r>
      <w:r>
        <w:rPr>
          <w:rFonts w:eastAsiaTheme="minorEastAsia"/>
          <w:color w:val="000000"/>
          <w:kern w:val="0"/>
          <w:sz w:val="24"/>
        </w:rPr>
        <w:t>月初房地产结构性调控政策、部分金融领域去杠杆引发了一定短期流动性风险，并对债券市场产生一定扰动，</w:t>
      </w:r>
      <w:r>
        <w:rPr>
          <w:rFonts w:eastAsiaTheme="minorEastAsia"/>
          <w:color w:val="000000"/>
          <w:kern w:val="0"/>
          <w:sz w:val="24"/>
        </w:rPr>
        <w:t>A</w:t>
      </w:r>
      <w:r>
        <w:rPr>
          <w:rFonts w:eastAsiaTheme="minorEastAsia"/>
          <w:color w:val="000000"/>
          <w:kern w:val="0"/>
          <w:sz w:val="24"/>
        </w:rPr>
        <w:t>股市场随之出现一定程度的调整。作为跟踪国证新能源指数的指数基金，在本季度总体呈现出先扬后抑的走势。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展望下一季度，国内经济已有所企稳，处于阶段性弱复苏期间，预计将继续维持温和增长的态势。我们对经历了调整后的</w:t>
      </w:r>
      <w:r w:rsidRPr="005E324A">
        <w:rPr>
          <w:rFonts w:eastAsiaTheme="minorEastAsia"/>
          <w:color w:val="000000"/>
          <w:kern w:val="0"/>
          <w:sz w:val="24"/>
        </w:rPr>
        <w:t>A</w:t>
      </w:r>
      <w:r w:rsidRPr="005E324A">
        <w:rPr>
          <w:rFonts w:eastAsiaTheme="minorEastAsia"/>
          <w:color w:val="000000"/>
          <w:kern w:val="0"/>
          <w:sz w:val="24"/>
        </w:rPr>
        <w:t>股市场总体维持乐观的看法。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0.821</w:t>
      </w:r>
      <w:r w:rsidRPr="005E324A">
        <w:rPr>
          <w:rFonts w:eastAsiaTheme="minorEastAsia"/>
          <w:color w:val="000000"/>
          <w:kern w:val="0"/>
          <w:sz w:val="24"/>
        </w:rPr>
        <w:t>元，本报告期份额净值增长率为</w:t>
      </w:r>
      <w:r w:rsidRPr="005E324A">
        <w:rPr>
          <w:rFonts w:eastAsiaTheme="minorEastAsia"/>
          <w:color w:val="000000"/>
          <w:kern w:val="0"/>
          <w:sz w:val="24"/>
        </w:rPr>
        <w:t>-2.26%</w:t>
      </w:r>
      <w:r w:rsidRPr="005E324A">
        <w:rPr>
          <w:rFonts w:eastAsiaTheme="minorEastAsia"/>
          <w:color w:val="000000"/>
          <w:kern w:val="0"/>
          <w:sz w:val="24"/>
        </w:rPr>
        <w:t>，同期业绩比较基准增长率为</w:t>
      </w:r>
      <w:r w:rsidRPr="005E324A">
        <w:rPr>
          <w:rFonts w:eastAsiaTheme="minorEastAsia"/>
          <w:color w:val="000000"/>
          <w:kern w:val="0"/>
          <w:sz w:val="24"/>
        </w:rPr>
        <w:t>-2.25%</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4393"/>
        <w:gridCol w:w="1941"/>
        <w:gridCol w:w="1843"/>
      </w:tblGrid>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439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1941"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863,933,604.73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93.30</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863,933,604.73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93.30</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140981">
            <w:pPr>
              <w:autoSpaceDE w:val="0"/>
              <w:autoSpaceDN w:val="0"/>
              <w:adjustRightInd w:val="0"/>
              <w:spacing w:before="29" w:line="360" w:lineRule="auto"/>
              <w:ind w:left="17" w:firstLineChars="300" w:firstLine="720"/>
              <w:jc w:val="left"/>
              <w:rPr>
                <w:rFonts w:eastAsiaTheme="minorEastAsia"/>
                <w:color w:val="000000"/>
                <w:sz w:val="24"/>
              </w:rPr>
            </w:pPr>
            <w:r w:rsidRPr="005E324A">
              <w:rPr>
                <w:rFonts w:eastAsiaTheme="minorEastAsia"/>
                <w:color w:val="000000"/>
                <w:sz w:val="24"/>
              </w:rPr>
              <w:t>资产支持证券</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4393"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4393"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4393"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1941"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45,808,276.26</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4.95</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4393"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1941"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16,219,763.28</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1.75</w:t>
            </w:r>
          </w:p>
        </w:tc>
      </w:tr>
      <w:tr w:rsidR="00804533" w:rsidRPr="005E324A" w:rsidTr="00D2188E">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4393"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1941"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925,961,644.27</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375DA6" w:rsidRPr="005E324A" w:rsidRDefault="00375DA6"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850"/>
        <w:gridCol w:w="2551"/>
        <w:gridCol w:w="1790"/>
      </w:tblGrid>
      <w:tr w:rsidR="00EA5D6D" w:rsidRPr="005E324A" w:rsidTr="00D2188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551"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551"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D2188E">
            <w:pPr>
              <w:jc w:val="right"/>
              <w:rPr>
                <w:rFonts w:eastAsiaTheme="minorEastAsia"/>
                <w:sz w:val="24"/>
              </w:rPr>
            </w:pPr>
            <w:r w:rsidRPr="005E324A">
              <w:rPr>
                <w:rFonts w:eastAsiaTheme="minorEastAsia"/>
                <w:sz w:val="24"/>
              </w:rPr>
              <w:t>23,550,949.15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D2188E">
            <w:pPr>
              <w:jc w:val="right"/>
              <w:rPr>
                <w:rFonts w:eastAsiaTheme="minorEastAsia"/>
                <w:sz w:val="24"/>
              </w:rPr>
            </w:pPr>
            <w:r w:rsidRPr="005E324A">
              <w:rPr>
                <w:rFonts w:eastAsiaTheme="minorEastAsia"/>
                <w:sz w:val="24"/>
              </w:rPr>
              <w:t>2.58</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751,310,268.15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82.40</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37,121,783.90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4.07</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11,011,594.62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1.21</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29,055,260.11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3.19</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11,883,748.80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1.30</w:t>
            </w:r>
          </w:p>
        </w:tc>
      </w:tr>
      <w:tr w:rsidR="00EA5D6D" w:rsidRPr="005E324A" w:rsidTr="00D2188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85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140981">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551"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863,933,604.73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94.76</w:t>
            </w:r>
          </w:p>
        </w:tc>
      </w:tr>
    </w:tbl>
    <w:p w:rsidR="00375DA6" w:rsidRDefault="00375DA6"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375DA6" w:rsidRDefault="00375DA6"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FB0799">
        <w:tc>
          <w:tcPr>
            <w:tcW w:w="817" w:type="dxa"/>
            <w:vAlign w:val="center"/>
          </w:tcPr>
          <w:p w:rsidR="00FB0799" w:rsidRDefault="0057608C">
            <w:pPr>
              <w:jc w:val="center"/>
            </w:pPr>
            <w:r>
              <w:rPr>
                <w:rFonts w:eastAsiaTheme="minorEastAsia"/>
                <w:color w:val="000000"/>
                <w:sz w:val="24"/>
              </w:rPr>
              <w:t>1</w:t>
            </w:r>
          </w:p>
        </w:tc>
        <w:tc>
          <w:tcPr>
            <w:tcW w:w="1276" w:type="dxa"/>
            <w:vAlign w:val="center"/>
          </w:tcPr>
          <w:p w:rsidR="00FB0799" w:rsidRDefault="0057608C">
            <w:pPr>
              <w:jc w:val="center"/>
            </w:pPr>
            <w:r>
              <w:rPr>
                <w:rFonts w:eastAsiaTheme="minorEastAsia"/>
                <w:color w:val="000000"/>
                <w:sz w:val="24"/>
              </w:rPr>
              <w:t>002129</w:t>
            </w:r>
          </w:p>
        </w:tc>
        <w:tc>
          <w:tcPr>
            <w:tcW w:w="1701" w:type="dxa"/>
            <w:vAlign w:val="center"/>
          </w:tcPr>
          <w:p w:rsidR="00FB0799" w:rsidRDefault="0057608C">
            <w:pPr>
              <w:jc w:val="center"/>
            </w:pPr>
            <w:r>
              <w:rPr>
                <w:rFonts w:eastAsiaTheme="minorEastAsia"/>
                <w:color w:val="000000"/>
                <w:sz w:val="24"/>
              </w:rPr>
              <w:t>中环股份</w:t>
            </w:r>
          </w:p>
        </w:tc>
        <w:tc>
          <w:tcPr>
            <w:tcW w:w="1276" w:type="dxa"/>
            <w:vAlign w:val="center"/>
          </w:tcPr>
          <w:p w:rsidR="00FB0799" w:rsidRDefault="0057608C">
            <w:pPr>
              <w:jc w:val="right"/>
            </w:pPr>
            <w:r>
              <w:rPr>
                <w:rFonts w:eastAsiaTheme="minorEastAsia"/>
                <w:color w:val="000000"/>
                <w:sz w:val="24"/>
              </w:rPr>
              <w:t>2,550,864</w:t>
            </w:r>
          </w:p>
        </w:tc>
        <w:tc>
          <w:tcPr>
            <w:tcW w:w="1842" w:type="dxa"/>
            <w:vAlign w:val="center"/>
          </w:tcPr>
          <w:p w:rsidR="00FB0799" w:rsidRDefault="0057608C">
            <w:pPr>
              <w:jc w:val="right"/>
            </w:pPr>
            <w:r>
              <w:rPr>
                <w:rFonts w:eastAsiaTheme="minorEastAsia"/>
                <w:color w:val="000000"/>
                <w:sz w:val="24"/>
              </w:rPr>
              <w:t>23,493,457.44</w:t>
            </w:r>
          </w:p>
        </w:tc>
        <w:tc>
          <w:tcPr>
            <w:tcW w:w="1616" w:type="dxa"/>
            <w:vAlign w:val="center"/>
          </w:tcPr>
          <w:p w:rsidR="00FB0799" w:rsidRDefault="0057608C">
            <w:pPr>
              <w:jc w:val="right"/>
            </w:pPr>
            <w:r>
              <w:rPr>
                <w:rFonts w:eastAsiaTheme="minorEastAsia"/>
                <w:color w:val="000000"/>
                <w:sz w:val="24"/>
              </w:rPr>
              <w:t>2.58</w:t>
            </w:r>
          </w:p>
        </w:tc>
      </w:tr>
      <w:tr w:rsidR="00FB0799">
        <w:tc>
          <w:tcPr>
            <w:tcW w:w="817" w:type="dxa"/>
            <w:vAlign w:val="center"/>
          </w:tcPr>
          <w:p w:rsidR="00FB0799" w:rsidRDefault="0057608C">
            <w:pPr>
              <w:jc w:val="center"/>
            </w:pPr>
            <w:r>
              <w:rPr>
                <w:rFonts w:eastAsiaTheme="minorEastAsia"/>
                <w:color w:val="000000"/>
                <w:sz w:val="24"/>
              </w:rPr>
              <w:t>2</w:t>
            </w:r>
          </w:p>
        </w:tc>
        <w:tc>
          <w:tcPr>
            <w:tcW w:w="1276" w:type="dxa"/>
            <w:vAlign w:val="center"/>
          </w:tcPr>
          <w:p w:rsidR="00FB0799" w:rsidRDefault="0057608C">
            <w:pPr>
              <w:jc w:val="center"/>
            </w:pPr>
            <w:r>
              <w:rPr>
                <w:rFonts w:eastAsiaTheme="minorEastAsia"/>
                <w:color w:val="000000"/>
                <w:sz w:val="24"/>
              </w:rPr>
              <w:t>601727</w:t>
            </w:r>
          </w:p>
        </w:tc>
        <w:tc>
          <w:tcPr>
            <w:tcW w:w="1701" w:type="dxa"/>
            <w:vAlign w:val="center"/>
          </w:tcPr>
          <w:p w:rsidR="00FB0799" w:rsidRDefault="0057608C">
            <w:pPr>
              <w:jc w:val="center"/>
            </w:pPr>
            <w:r>
              <w:rPr>
                <w:rFonts w:eastAsiaTheme="minorEastAsia"/>
                <w:color w:val="000000"/>
                <w:sz w:val="24"/>
              </w:rPr>
              <w:t>上海电气</w:t>
            </w:r>
          </w:p>
        </w:tc>
        <w:tc>
          <w:tcPr>
            <w:tcW w:w="1276" w:type="dxa"/>
            <w:vAlign w:val="center"/>
          </w:tcPr>
          <w:p w:rsidR="00FB0799" w:rsidRDefault="0057608C">
            <w:pPr>
              <w:jc w:val="right"/>
            </w:pPr>
            <w:r>
              <w:rPr>
                <w:rFonts w:eastAsiaTheme="minorEastAsia"/>
                <w:color w:val="000000"/>
                <w:sz w:val="24"/>
              </w:rPr>
              <w:t>2,309,607</w:t>
            </w:r>
          </w:p>
        </w:tc>
        <w:tc>
          <w:tcPr>
            <w:tcW w:w="1842" w:type="dxa"/>
            <w:vAlign w:val="center"/>
          </w:tcPr>
          <w:p w:rsidR="00FB0799" w:rsidRDefault="0057608C">
            <w:pPr>
              <w:jc w:val="right"/>
            </w:pPr>
            <w:r>
              <w:rPr>
                <w:rFonts w:eastAsiaTheme="minorEastAsia"/>
                <w:color w:val="000000"/>
                <w:sz w:val="24"/>
              </w:rPr>
              <w:t>19,446,890.94</w:t>
            </w:r>
          </w:p>
        </w:tc>
        <w:tc>
          <w:tcPr>
            <w:tcW w:w="1616" w:type="dxa"/>
            <w:vAlign w:val="center"/>
          </w:tcPr>
          <w:p w:rsidR="00FB0799" w:rsidRDefault="0057608C">
            <w:pPr>
              <w:jc w:val="right"/>
            </w:pPr>
            <w:r>
              <w:rPr>
                <w:rFonts w:eastAsiaTheme="minorEastAsia"/>
                <w:color w:val="000000"/>
                <w:sz w:val="24"/>
              </w:rPr>
              <w:t>2.13</w:t>
            </w:r>
          </w:p>
        </w:tc>
      </w:tr>
      <w:tr w:rsidR="00FB0799">
        <w:tc>
          <w:tcPr>
            <w:tcW w:w="817" w:type="dxa"/>
            <w:vAlign w:val="center"/>
          </w:tcPr>
          <w:p w:rsidR="00FB0799" w:rsidRDefault="0057608C">
            <w:pPr>
              <w:jc w:val="center"/>
            </w:pPr>
            <w:r>
              <w:rPr>
                <w:rFonts w:eastAsiaTheme="minorEastAsia"/>
                <w:color w:val="000000"/>
                <w:sz w:val="24"/>
              </w:rPr>
              <w:t>3</w:t>
            </w:r>
          </w:p>
        </w:tc>
        <w:tc>
          <w:tcPr>
            <w:tcW w:w="1276" w:type="dxa"/>
            <w:vAlign w:val="center"/>
          </w:tcPr>
          <w:p w:rsidR="00FB0799" w:rsidRDefault="0057608C">
            <w:pPr>
              <w:jc w:val="center"/>
            </w:pPr>
            <w:r>
              <w:rPr>
                <w:rFonts w:eastAsiaTheme="minorEastAsia"/>
                <w:color w:val="000000"/>
                <w:sz w:val="24"/>
              </w:rPr>
              <w:t>600406</w:t>
            </w:r>
          </w:p>
        </w:tc>
        <w:tc>
          <w:tcPr>
            <w:tcW w:w="1701" w:type="dxa"/>
            <w:vAlign w:val="center"/>
          </w:tcPr>
          <w:p w:rsidR="00FB0799" w:rsidRDefault="0057608C">
            <w:pPr>
              <w:jc w:val="center"/>
            </w:pPr>
            <w:r>
              <w:rPr>
                <w:rFonts w:eastAsiaTheme="minorEastAsia"/>
                <w:color w:val="000000"/>
                <w:sz w:val="24"/>
              </w:rPr>
              <w:t>国电南瑞</w:t>
            </w:r>
          </w:p>
        </w:tc>
        <w:tc>
          <w:tcPr>
            <w:tcW w:w="1276" w:type="dxa"/>
            <w:vAlign w:val="center"/>
          </w:tcPr>
          <w:p w:rsidR="00FB0799" w:rsidRDefault="0057608C">
            <w:pPr>
              <w:jc w:val="right"/>
            </w:pPr>
            <w:r>
              <w:rPr>
                <w:rFonts w:eastAsiaTheme="minorEastAsia"/>
                <w:color w:val="000000"/>
                <w:sz w:val="24"/>
              </w:rPr>
              <w:t>1,007,359</w:t>
            </w:r>
          </w:p>
        </w:tc>
        <w:tc>
          <w:tcPr>
            <w:tcW w:w="1842" w:type="dxa"/>
            <w:vAlign w:val="center"/>
          </w:tcPr>
          <w:p w:rsidR="00FB0799" w:rsidRDefault="0057608C">
            <w:pPr>
              <w:jc w:val="right"/>
            </w:pPr>
            <w:r>
              <w:rPr>
                <w:rFonts w:eastAsiaTheme="minorEastAsia"/>
                <w:color w:val="000000"/>
                <w:sz w:val="24"/>
              </w:rPr>
              <w:t>16,752,380.17</w:t>
            </w:r>
          </w:p>
        </w:tc>
        <w:tc>
          <w:tcPr>
            <w:tcW w:w="1616" w:type="dxa"/>
            <w:vAlign w:val="center"/>
          </w:tcPr>
          <w:p w:rsidR="00FB0799" w:rsidRDefault="0057608C">
            <w:pPr>
              <w:jc w:val="right"/>
            </w:pPr>
            <w:r>
              <w:rPr>
                <w:rFonts w:eastAsiaTheme="minorEastAsia"/>
                <w:color w:val="000000"/>
                <w:sz w:val="24"/>
              </w:rPr>
              <w:t>1.84</w:t>
            </w:r>
          </w:p>
        </w:tc>
      </w:tr>
      <w:tr w:rsidR="00FB0799">
        <w:tc>
          <w:tcPr>
            <w:tcW w:w="817" w:type="dxa"/>
            <w:vAlign w:val="center"/>
          </w:tcPr>
          <w:p w:rsidR="00FB0799" w:rsidRDefault="0057608C">
            <w:pPr>
              <w:jc w:val="center"/>
            </w:pPr>
            <w:r>
              <w:rPr>
                <w:rFonts w:eastAsiaTheme="minorEastAsia"/>
                <w:color w:val="000000"/>
                <w:sz w:val="24"/>
              </w:rPr>
              <w:t>4</w:t>
            </w:r>
          </w:p>
        </w:tc>
        <w:tc>
          <w:tcPr>
            <w:tcW w:w="1276" w:type="dxa"/>
            <w:vAlign w:val="center"/>
          </w:tcPr>
          <w:p w:rsidR="00FB0799" w:rsidRDefault="0057608C">
            <w:pPr>
              <w:jc w:val="center"/>
            </w:pPr>
            <w:r>
              <w:rPr>
                <w:rFonts w:eastAsiaTheme="minorEastAsia"/>
                <w:color w:val="000000"/>
                <w:sz w:val="24"/>
              </w:rPr>
              <w:t>600151</w:t>
            </w:r>
          </w:p>
        </w:tc>
        <w:tc>
          <w:tcPr>
            <w:tcW w:w="1701" w:type="dxa"/>
            <w:vAlign w:val="center"/>
          </w:tcPr>
          <w:p w:rsidR="00FB0799" w:rsidRDefault="0057608C">
            <w:pPr>
              <w:jc w:val="center"/>
            </w:pPr>
            <w:r>
              <w:rPr>
                <w:rFonts w:eastAsiaTheme="minorEastAsia"/>
                <w:color w:val="000000"/>
                <w:sz w:val="24"/>
              </w:rPr>
              <w:t>航天机电</w:t>
            </w:r>
          </w:p>
        </w:tc>
        <w:tc>
          <w:tcPr>
            <w:tcW w:w="1276" w:type="dxa"/>
            <w:vAlign w:val="center"/>
          </w:tcPr>
          <w:p w:rsidR="00FB0799" w:rsidRDefault="0057608C">
            <w:pPr>
              <w:jc w:val="right"/>
            </w:pPr>
            <w:r>
              <w:rPr>
                <w:rFonts w:eastAsiaTheme="minorEastAsia"/>
                <w:color w:val="000000"/>
                <w:sz w:val="24"/>
              </w:rPr>
              <w:t>1,429,109</w:t>
            </w:r>
          </w:p>
        </w:tc>
        <w:tc>
          <w:tcPr>
            <w:tcW w:w="1842" w:type="dxa"/>
            <w:vAlign w:val="center"/>
          </w:tcPr>
          <w:p w:rsidR="00FB0799" w:rsidRDefault="0057608C">
            <w:pPr>
              <w:jc w:val="right"/>
            </w:pPr>
            <w:r>
              <w:rPr>
                <w:rFonts w:eastAsiaTheme="minorEastAsia"/>
                <w:color w:val="000000"/>
                <w:sz w:val="24"/>
              </w:rPr>
              <w:t>15,677,325.73</w:t>
            </w:r>
          </w:p>
        </w:tc>
        <w:tc>
          <w:tcPr>
            <w:tcW w:w="1616" w:type="dxa"/>
            <w:vAlign w:val="center"/>
          </w:tcPr>
          <w:p w:rsidR="00FB0799" w:rsidRDefault="0057608C">
            <w:pPr>
              <w:jc w:val="right"/>
            </w:pPr>
            <w:r>
              <w:rPr>
                <w:rFonts w:eastAsiaTheme="minorEastAsia"/>
                <w:color w:val="000000"/>
                <w:sz w:val="24"/>
              </w:rPr>
              <w:t>1.72</w:t>
            </w:r>
          </w:p>
        </w:tc>
      </w:tr>
      <w:tr w:rsidR="00FB0799">
        <w:tc>
          <w:tcPr>
            <w:tcW w:w="817" w:type="dxa"/>
            <w:vAlign w:val="center"/>
          </w:tcPr>
          <w:p w:rsidR="00FB0799" w:rsidRDefault="0057608C">
            <w:pPr>
              <w:jc w:val="center"/>
            </w:pPr>
            <w:r>
              <w:rPr>
                <w:rFonts w:eastAsiaTheme="minorEastAsia"/>
                <w:color w:val="000000"/>
                <w:sz w:val="24"/>
              </w:rPr>
              <w:t>5</w:t>
            </w:r>
          </w:p>
        </w:tc>
        <w:tc>
          <w:tcPr>
            <w:tcW w:w="1276" w:type="dxa"/>
            <w:vAlign w:val="center"/>
          </w:tcPr>
          <w:p w:rsidR="00FB0799" w:rsidRDefault="0057608C">
            <w:pPr>
              <w:jc w:val="center"/>
            </w:pPr>
            <w:r>
              <w:rPr>
                <w:rFonts w:eastAsiaTheme="minorEastAsia"/>
                <w:color w:val="000000"/>
                <w:sz w:val="24"/>
              </w:rPr>
              <w:t>600875</w:t>
            </w:r>
          </w:p>
        </w:tc>
        <w:tc>
          <w:tcPr>
            <w:tcW w:w="1701" w:type="dxa"/>
            <w:vAlign w:val="center"/>
          </w:tcPr>
          <w:p w:rsidR="00FB0799" w:rsidRDefault="0057608C">
            <w:pPr>
              <w:jc w:val="center"/>
            </w:pPr>
            <w:r>
              <w:rPr>
                <w:rFonts w:eastAsiaTheme="minorEastAsia"/>
                <w:color w:val="000000"/>
                <w:sz w:val="24"/>
              </w:rPr>
              <w:t>东方电气</w:t>
            </w:r>
          </w:p>
        </w:tc>
        <w:tc>
          <w:tcPr>
            <w:tcW w:w="1276" w:type="dxa"/>
            <w:vAlign w:val="center"/>
          </w:tcPr>
          <w:p w:rsidR="00FB0799" w:rsidRDefault="0057608C">
            <w:pPr>
              <w:jc w:val="right"/>
            </w:pPr>
            <w:r>
              <w:rPr>
                <w:rFonts w:eastAsiaTheme="minorEastAsia"/>
                <w:color w:val="000000"/>
                <w:sz w:val="24"/>
              </w:rPr>
              <w:t>1,351,822</w:t>
            </w:r>
          </w:p>
        </w:tc>
        <w:tc>
          <w:tcPr>
            <w:tcW w:w="1842" w:type="dxa"/>
            <w:vAlign w:val="center"/>
          </w:tcPr>
          <w:p w:rsidR="00FB0799" w:rsidRDefault="0057608C">
            <w:pPr>
              <w:jc w:val="right"/>
            </w:pPr>
            <w:r>
              <w:rPr>
                <w:rFonts w:eastAsiaTheme="minorEastAsia"/>
                <w:color w:val="000000"/>
                <w:sz w:val="24"/>
              </w:rPr>
              <w:t>14,586,159.38</w:t>
            </w:r>
          </w:p>
        </w:tc>
        <w:tc>
          <w:tcPr>
            <w:tcW w:w="1616" w:type="dxa"/>
            <w:vAlign w:val="center"/>
          </w:tcPr>
          <w:p w:rsidR="00FB0799" w:rsidRDefault="0057608C">
            <w:pPr>
              <w:jc w:val="right"/>
            </w:pPr>
            <w:r>
              <w:rPr>
                <w:rFonts w:eastAsiaTheme="minorEastAsia"/>
                <w:color w:val="000000"/>
                <w:sz w:val="24"/>
              </w:rPr>
              <w:t>1.60</w:t>
            </w:r>
          </w:p>
        </w:tc>
      </w:tr>
      <w:tr w:rsidR="00FB0799">
        <w:tc>
          <w:tcPr>
            <w:tcW w:w="817" w:type="dxa"/>
            <w:vAlign w:val="center"/>
          </w:tcPr>
          <w:p w:rsidR="00FB0799" w:rsidRDefault="0057608C">
            <w:pPr>
              <w:jc w:val="center"/>
            </w:pPr>
            <w:r>
              <w:rPr>
                <w:rFonts w:eastAsiaTheme="minorEastAsia"/>
                <w:color w:val="000000"/>
                <w:sz w:val="24"/>
              </w:rPr>
              <w:t>6</w:t>
            </w:r>
          </w:p>
        </w:tc>
        <w:tc>
          <w:tcPr>
            <w:tcW w:w="1276" w:type="dxa"/>
            <w:vAlign w:val="center"/>
          </w:tcPr>
          <w:p w:rsidR="00FB0799" w:rsidRDefault="0057608C">
            <w:pPr>
              <w:jc w:val="center"/>
            </w:pPr>
            <w:r>
              <w:rPr>
                <w:rFonts w:eastAsiaTheme="minorEastAsia"/>
                <w:color w:val="000000"/>
                <w:sz w:val="24"/>
              </w:rPr>
              <w:t>300207</w:t>
            </w:r>
          </w:p>
        </w:tc>
        <w:tc>
          <w:tcPr>
            <w:tcW w:w="1701" w:type="dxa"/>
            <w:vAlign w:val="center"/>
          </w:tcPr>
          <w:p w:rsidR="00FB0799" w:rsidRDefault="0057608C">
            <w:pPr>
              <w:jc w:val="center"/>
            </w:pPr>
            <w:r>
              <w:rPr>
                <w:rFonts w:eastAsiaTheme="minorEastAsia"/>
                <w:color w:val="000000"/>
                <w:sz w:val="24"/>
              </w:rPr>
              <w:t>欣旺达</w:t>
            </w:r>
          </w:p>
        </w:tc>
        <w:tc>
          <w:tcPr>
            <w:tcW w:w="1276" w:type="dxa"/>
            <w:vAlign w:val="center"/>
          </w:tcPr>
          <w:p w:rsidR="00FB0799" w:rsidRDefault="0057608C">
            <w:pPr>
              <w:jc w:val="right"/>
            </w:pPr>
            <w:r>
              <w:rPr>
                <w:rFonts w:eastAsiaTheme="minorEastAsia"/>
                <w:color w:val="000000"/>
                <w:sz w:val="24"/>
              </w:rPr>
              <w:t>932,698</w:t>
            </w:r>
          </w:p>
        </w:tc>
        <w:tc>
          <w:tcPr>
            <w:tcW w:w="1842" w:type="dxa"/>
            <w:vAlign w:val="center"/>
          </w:tcPr>
          <w:p w:rsidR="00FB0799" w:rsidRDefault="0057608C">
            <w:pPr>
              <w:jc w:val="right"/>
            </w:pPr>
            <w:r>
              <w:rPr>
                <w:rFonts w:eastAsiaTheme="minorEastAsia"/>
                <w:color w:val="000000"/>
                <w:sz w:val="24"/>
              </w:rPr>
              <w:t>12,964,502.20</w:t>
            </w:r>
          </w:p>
        </w:tc>
        <w:tc>
          <w:tcPr>
            <w:tcW w:w="1616" w:type="dxa"/>
            <w:vAlign w:val="center"/>
          </w:tcPr>
          <w:p w:rsidR="00FB0799" w:rsidRDefault="0057608C">
            <w:pPr>
              <w:jc w:val="right"/>
            </w:pPr>
            <w:r>
              <w:rPr>
                <w:rFonts w:eastAsiaTheme="minorEastAsia"/>
                <w:color w:val="000000"/>
                <w:sz w:val="24"/>
              </w:rPr>
              <w:t>1.42</w:t>
            </w:r>
          </w:p>
        </w:tc>
      </w:tr>
      <w:tr w:rsidR="00FB0799">
        <w:tc>
          <w:tcPr>
            <w:tcW w:w="817" w:type="dxa"/>
            <w:vAlign w:val="center"/>
          </w:tcPr>
          <w:p w:rsidR="00FB0799" w:rsidRDefault="0057608C">
            <w:pPr>
              <w:jc w:val="center"/>
            </w:pPr>
            <w:r>
              <w:rPr>
                <w:rFonts w:eastAsiaTheme="minorEastAsia"/>
                <w:color w:val="000000"/>
                <w:sz w:val="24"/>
              </w:rPr>
              <w:t>7</w:t>
            </w:r>
          </w:p>
        </w:tc>
        <w:tc>
          <w:tcPr>
            <w:tcW w:w="1276" w:type="dxa"/>
            <w:vAlign w:val="center"/>
          </w:tcPr>
          <w:p w:rsidR="00FB0799" w:rsidRDefault="0057608C">
            <w:pPr>
              <w:jc w:val="center"/>
            </w:pPr>
            <w:r>
              <w:rPr>
                <w:rFonts w:eastAsiaTheme="minorEastAsia"/>
                <w:color w:val="000000"/>
                <w:sz w:val="24"/>
              </w:rPr>
              <w:t>000939</w:t>
            </w:r>
          </w:p>
        </w:tc>
        <w:tc>
          <w:tcPr>
            <w:tcW w:w="1701" w:type="dxa"/>
            <w:vAlign w:val="center"/>
          </w:tcPr>
          <w:p w:rsidR="00FB0799" w:rsidRDefault="0057608C">
            <w:pPr>
              <w:jc w:val="center"/>
            </w:pPr>
            <w:r>
              <w:rPr>
                <w:rFonts w:eastAsiaTheme="minorEastAsia"/>
                <w:color w:val="000000"/>
                <w:sz w:val="24"/>
              </w:rPr>
              <w:t>凯迪生态</w:t>
            </w:r>
          </w:p>
        </w:tc>
        <w:tc>
          <w:tcPr>
            <w:tcW w:w="1276" w:type="dxa"/>
            <w:vAlign w:val="center"/>
          </w:tcPr>
          <w:p w:rsidR="00FB0799" w:rsidRDefault="0057608C">
            <w:pPr>
              <w:jc w:val="right"/>
            </w:pPr>
            <w:r>
              <w:rPr>
                <w:rFonts w:eastAsiaTheme="minorEastAsia"/>
                <w:color w:val="000000"/>
                <w:sz w:val="24"/>
              </w:rPr>
              <w:t>999,429</w:t>
            </w:r>
          </w:p>
        </w:tc>
        <w:tc>
          <w:tcPr>
            <w:tcW w:w="1842" w:type="dxa"/>
            <w:vAlign w:val="center"/>
          </w:tcPr>
          <w:p w:rsidR="00FB0799" w:rsidRDefault="0057608C">
            <w:pPr>
              <w:jc w:val="right"/>
            </w:pPr>
            <w:r>
              <w:rPr>
                <w:rFonts w:eastAsiaTheme="minorEastAsia"/>
                <w:color w:val="000000"/>
                <w:sz w:val="24"/>
              </w:rPr>
              <w:t>12,862,651.23</w:t>
            </w:r>
          </w:p>
        </w:tc>
        <w:tc>
          <w:tcPr>
            <w:tcW w:w="1616" w:type="dxa"/>
            <w:vAlign w:val="center"/>
          </w:tcPr>
          <w:p w:rsidR="00FB0799" w:rsidRDefault="0057608C">
            <w:pPr>
              <w:jc w:val="right"/>
            </w:pPr>
            <w:r>
              <w:rPr>
                <w:rFonts w:eastAsiaTheme="minorEastAsia"/>
                <w:color w:val="000000"/>
                <w:sz w:val="24"/>
              </w:rPr>
              <w:t>1.41</w:t>
            </w:r>
          </w:p>
        </w:tc>
      </w:tr>
      <w:tr w:rsidR="00FB0799">
        <w:tc>
          <w:tcPr>
            <w:tcW w:w="817" w:type="dxa"/>
            <w:vAlign w:val="center"/>
          </w:tcPr>
          <w:p w:rsidR="00FB0799" w:rsidRDefault="0057608C">
            <w:pPr>
              <w:jc w:val="center"/>
            </w:pPr>
            <w:r>
              <w:rPr>
                <w:rFonts w:eastAsiaTheme="minorEastAsia"/>
                <w:color w:val="000000"/>
                <w:sz w:val="24"/>
              </w:rPr>
              <w:t>8</w:t>
            </w:r>
          </w:p>
        </w:tc>
        <w:tc>
          <w:tcPr>
            <w:tcW w:w="1276" w:type="dxa"/>
            <w:vAlign w:val="center"/>
          </w:tcPr>
          <w:p w:rsidR="00FB0799" w:rsidRDefault="0057608C">
            <w:pPr>
              <w:jc w:val="center"/>
            </w:pPr>
            <w:r>
              <w:rPr>
                <w:rFonts w:eastAsiaTheme="minorEastAsia"/>
                <w:color w:val="000000"/>
                <w:sz w:val="24"/>
              </w:rPr>
              <w:t>600525</w:t>
            </w:r>
          </w:p>
        </w:tc>
        <w:tc>
          <w:tcPr>
            <w:tcW w:w="1701" w:type="dxa"/>
            <w:vAlign w:val="center"/>
          </w:tcPr>
          <w:p w:rsidR="00FB0799" w:rsidRDefault="0057608C">
            <w:pPr>
              <w:jc w:val="center"/>
            </w:pPr>
            <w:r>
              <w:rPr>
                <w:rFonts w:eastAsiaTheme="minorEastAsia"/>
                <w:color w:val="000000"/>
                <w:sz w:val="24"/>
              </w:rPr>
              <w:t>长园集团</w:t>
            </w:r>
          </w:p>
        </w:tc>
        <w:tc>
          <w:tcPr>
            <w:tcW w:w="1276" w:type="dxa"/>
            <w:vAlign w:val="center"/>
          </w:tcPr>
          <w:p w:rsidR="00FB0799" w:rsidRDefault="0057608C">
            <w:pPr>
              <w:jc w:val="right"/>
            </w:pPr>
            <w:r>
              <w:rPr>
                <w:rFonts w:eastAsiaTheme="minorEastAsia"/>
                <w:color w:val="000000"/>
                <w:sz w:val="24"/>
              </w:rPr>
              <w:t>913,479</w:t>
            </w:r>
          </w:p>
        </w:tc>
        <w:tc>
          <w:tcPr>
            <w:tcW w:w="1842" w:type="dxa"/>
            <w:vAlign w:val="center"/>
          </w:tcPr>
          <w:p w:rsidR="00FB0799" w:rsidRDefault="0057608C">
            <w:pPr>
              <w:jc w:val="right"/>
            </w:pPr>
            <w:r>
              <w:rPr>
                <w:rFonts w:eastAsiaTheme="minorEastAsia"/>
                <w:color w:val="000000"/>
                <w:sz w:val="24"/>
              </w:rPr>
              <w:t>12,743,032.05</w:t>
            </w:r>
          </w:p>
        </w:tc>
        <w:tc>
          <w:tcPr>
            <w:tcW w:w="1616" w:type="dxa"/>
            <w:vAlign w:val="center"/>
          </w:tcPr>
          <w:p w:rsidR="00FB0799" w:rsidRDefault="0057608C">
            <w:pPr>
              <w:jc w:val="right"/>
            </w:pPr>
            <w:r>
              <w:rPr>
                <w:rFonts w:eastAsiaTheme="minorEastAsia"/>
                <w:color w:val="000000"/>
                <w:sz w:val="24"/>
              </w:rPr>
              <w:t>1.40</w:t>
            </w:r>
          </w:p>
        </w:tc>
      </w:tr>
      <w:tr w:rsidR="00FB0799">
        <w:tc>
          <w:tcPr>
            <w:tcW w:w="817" w:type="dxa"/>
            <w:vAlign w:val="center"/>
          </w:tcPr>
          <w:p w:rsidR="00FB0799" w:rsidRDefault="0057608C">
            <w:pPr>
              <w:jc w:val="center"/>
            </w:pPr>
            <w:r>
              <w:rPr>
                <w:rFonts w:eastAsiaTheme="minorEastAsia"/>
                <w:color w:val="000000"/>
                <w:sz w:val="24"/>
              </w:rPr>
              <w:t>9</w:t>
            </w:r>
          </w:p>
        </w:tc>
        <w:tc>
          <w:tcPr>
            <w:tcW w:w="1276" w:type="dxa"/>
            <w:vAlign w:val="center"/>
          </w:tcPr>
          <w:p w:rsidR="00FB0799" w:rsidRDefault="0057608C">
            <w:pPr>
              <w:jc w:val="center"/>
            </w:pPr>
            <w:r>
              <w:rPr>
                <w:rFonts w:eastAsiaTheme="minorEastAsia"/>
                <w:color w:val="000000"/>
                <w:sz w:val="24"/>
              </w:rPr>
              <w:t>300124</w:t>
            </w:r>
          </w:p>
        </w:tc>
        <w:tc>
          <w:tcPr>
            <w:tcW w:w="1701" w:type="dxa"/>
            <w:vAlign w:val="center"/>
          </w:tcPr>
          <w:p w:rsidR="00FB0799" w:rsidRDefault="0057608C">
            <w:pPr>
              <w:jc w:val="center"/>
            </w:pPr>
            <w:r>
              <w:rPr>
                <w:rFonts w:eastAsiaTheme="minorEastAsia"/>
                <w:color w:val="000000"/>
                <w:sz w:val="24"/>
              </w:rPr>
              <w:t>汇川技术</w:t>
            </w:r>
          </w:p>
        </w:tc>
        <w:tc>
          <w:tcPr>
            <w:tcW w:w="1276" w:type="dxa"/>
            <w:vAlign w:val="center"/>
          </w:tcPr>
          <w:p w:rsidR="00FB0799" w:rsidRDefault="0057608C">
            <w:pPr>
              <w:jc w:val="right"/>
            </w:pPr>
            <w:r>
              <w:rPr>
                <w:rFonts w:eastAsiaTheme="minorEastAsia"/>
                <w:color w:val="000000"/>
                <w:sz w:val="24"/>
              </w:rPr>
              <w:t>625,870</w:t>
            </w:r>
          </w:p>
        </w:tc>
        <w:tc>
          <w:tcPr>
            <w:tcW w:w="1842" w:type="dxa"/>
            <w:vAlign w:val="center"/>
          </w:tcPr>
          <w:p w:rsidR="00FB0799" w:rsidRDefault="0057608C">
            <w:pPr>
              <w:jc w:val="right"/>
            </w:pPr>
            <w:r>
              <w:rPr>
                <w:rFonts w:eastAsiaTheme="minorEastAsia"/>
                <w:color w:val="000000"/>
                <w:sz w:val="24"/>
              </w:rPr>
              <w:t>12,723,937.10</w:t>
            </w:r>
          </w:p>
        </w:tc>
        <w:tc>
          <w:tcPr>
            <w:tcW w:w="1616" w:type="dxa"/>
            <w:vAlign w:val="center"/>
          </w:tcPr>
          <w:p w:rsidR="00FB0799" w:rsidRDefault="0057608C">
            <w:pPr>
              <w:jc w:val="right"/>
            </w:pPr>
            <w:r>
              <w:rPr>
                <w:rFonts w:eastAsiaTheme="minorEastAsia"/>
                <w:color w:val="000000"/>
                <w:sz w:val="24"/>
              </w:rPr>
              <w:t>1.40</w:t>
            </w:r>
          </w:p>
        </w:tc>
      </w:tr>
      <w:tr w:rsidR="00FB0799">
        <w:tc>
          <w:tcPr>
            <w:tcW w:w="817" w:type="dxa"/>
            <w:vAlign w:val="center"/>
          </w:tcPr>
          <w:p w:rsidR="00FB0799" w:rsidRDefault="0057608C">
            <w:pPr>
              <w:jc w:val="center"/>
            </w:pPr>
            <w:r>
              <w:rPr>
                <w:rFonts w:eastAsiaTheme="minorEastAsia"/>
                <w:color w:val="000000"/>
                <w:sz w:val="24"/>
              </w:rPr>
              <w:t>10</w:t>
            </w:r>
          </w:p>
        </w:tc>
        <w:tc>
          <w:tcPr>
            <w:tcW w:w="1276" w:type="dxa"/>
            <w:vAlign w:val="center"/>
          </w:tcPr>
          <w:p w:rsidR="00FB0799" w:rsidRDefault="0057608C">
            <w:pPr>
              <w:jc w:val="center"/>
            </w:pPr>
            <w:r>
              <w:rPr>
                <w:rFonts w:eastAsiaTheme="minorEastAsia"/>
                <w:color w:val="000000"/>
                <w:sz w:val="24"/>
              </w:rPr>
              <w:t>300316</w:t>
            </w:r>
          </w:p>
        </w:tc>
        <w:tc>
          <w:tcPr>
            <w:tcW w:w="1701" w:type="dxa"/>
            <w:vAlign w:val="center"/>
          </w:tcPr>
          <w:p w:rsidR="00FB0799" w:rsidRDefault="0057608C">
            <w:pPr>
              <w:jc w:val="center"/>
            </w:pPr>
            <w:r>
              <w:rPr>
                <w:rFonts w:eastAsiaTheme="minorEastAsia"/>
                <w:color w:val="000000"/>
                <w:sz w:val="24"/>
              </w:rPr>
              <w:t>晶盛机电</w:t>
            </w:r>
          </w:p>
        </w:tc>
        <w:tc>
          <w:tcPr>
            <w:tcW w:w="1276" w:type="dxa"/>
            <w:vAlign w:val="center"/>
          </w:tcPr>
          <w:p w:rsidR="00FB0799" w:rsidRDefault="0057608C">
            <w:pPr>
              <w:jc w:val="right"/>
            </w:pPr>
            <w:r>
              <w:rPr>
                <w:rFonts w:eastAsiaTheme="minorEastAsia"/>
                <w:color w:val="000000"/>
                <w:sz w:val="24"/>
              </w:rPr>
              <w:t>1,054,595</w:t>
            </w:r>
          </w:p>
        </w:tc>
        <w:tc>
          <w:tcPr>
            <w:tcW w:w="1842" w:type="dxa"/>
            <w:vAlign w:val="center"/>
          </w:tcPr>
          <w:p w:rsidR="00FB0799" w:rsidRDefault="0057608C">
            <w:pPr>
              <w:jc w:val="right"/>
            </w:pPr>
            <w:r>
              <w:rPr>
                <w:rFonts w:eastAsiaTheme="minorEastAsia"/>
                <w:color w:val="000000"/>
                <w:sz w:val="24"/>
              </w:rPr>
              <w:t>12,634,048.10</w:t>
            </w:r>
          </w:p>
        </w:tc>
        <w:tc>
          <w:tcPr>
            <w:tcW w:w="1616" w:type="dxa"/>
            <w:vAlign w:val="center"/>
          </w:tcPr>
          <w:p w:rsidR="00FB0799" w:rsidRDefault="0057608C">
            <w:pPr>
              <w:jc w:val="right"/>
            </w:pPr>
            <w:r>
              <w:rPr>
                <w:rFonts w:eastAsiaTheme="minorEastAsia"/>
                <w:color w:val="000000"/>
                <w:sz w:val="24"/>
              </w:rPr>
              <w:t>1.39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140981" w:rsidRDefault="001C123E" w:rsidP="00140981">
      <w:pPr>
        <w:autoSpaceDE w:val="0"/>
        <w:autoSpaceDN w:val="0"/>
        <w:adjustRightInd w:val="0"/>
        <w:spacing w:line="360" w:lineRule="auto"/>
        <w:jc w:val="left"/>
        <w:rPr>
          <w:rFonts w:eastAsiaTheme="minorEastAsia"/>
          <w:color w:val="000000"/>
          <w:sz w:val="24"/>
        </w:rPr>
      </w:pPr>
      <w:r w:rsidRPr="00140981">
        <w:rPr>
          <w:rFonts w:eastAsiaTheme="minorEastAsia" w:hint="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140981" w:rsidRDefault="001C123E" w:rsidP="00576862">
      <w:pPr>
        <w:autoSpaceDE w:val="0"/>
        <w:autoSpaceDN w:val="0"/>
        <w:adjustRightInd w:val="0"/>
        <w:spacing w:line="360" w:lineRule="auto"/>
        <w:jc w:val="left"/>
        <w:rPr>
          <w:rFonts w:eastAsiaTheme="minorEastAsia"/>
          <w:color w:val="000000"/>
          <w:kern w:val="0"/>
          <w:sz w:val="24"/>
        </w:rPr>
      </w:pPr>
      <w:r w:rsidRPr="00140981">
        <w:rPr>
          <w:rFonts w:eastAsiaTheme="minorEastAsia"/>
          <w:bCs/>
          <w:color w:val="000000"/>
          <w:kern w:val="0"/>
          <w:sz w:val="24"/>
        </w:rPr>
        <w:t>5.11.3</w:t>
      </w:r>
      <w:r w:rsidR="00656A06" w:rsidRPr="00140981">
        <w:rPr>
          <w:rFonts w:eastAsiaTheme="minorEastAsia"/>
          <w:bCs/>
          <w:color w:val="000000"/>
          <w:kern w:val="0"/>
          <w:sz w:val="24"/>
        </w:rPr>
        <w:t xml:space="preserve"> </w:t>
      </w:r>
      <w:r w:rsidR="00220542" w:rsidRPr="00140981">
        <w:rPr>
          <w:rFonts w:eastAsiaTheme="minorEastAsia" w:hint="eastAsia"/>
          <w:color w:val="000000"/>
          <w:kern w:val="0"/>
          <w:sz w:val="24"/>
        </w:rPr>
        <w:t>其他</w:t>
      </w:r>
      <w:r w:rsidR="00AD25F6" w:rsidRPr="00140981">
        <w:rPr>
          <w:rFonts w:eastAsiaTheme="minorEastAsia" w:hint="eastAsia"/>
          <w:color w:val="000000"/>
          <w:kern w:val="0"/>
          <w:sz w:val="24"/>
        </w:rPr>
        <w:t>各项</w:t>
      </w:r>
      <w:r w:rsidR="00220542" w:rsidRPr="00140981">
        <w:rPr>
          <w:rFonts w:eastAsiaTheme="minorEastAsia" w:hint="eastAsia"/>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185,855.92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16,016,715.81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12,323.86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4,867.69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16,219,763.28</w:t>
            </w:r>
          </w:p>
        </w:tc>
      </w:tr>
    </w:tbl>
    <w:p w:rsidR="00375DA6" w:rsidRDefault="00375DA6" w:rsidP="00576862">
      <w:pPr>
        <w:autoSpaceDE w:val="0"/>
        <w:autoSpaceDN w:val="0"/>
        <w:adjustRightInd w:val="0"/>
        <w:spacing w:line="360" w:lineRule="auto"/>
        <w:jc w:val="left"/>
        <w:rPr>
          <w:rFonts w:eastAsiaTheme="minorEastAsia"/>
          <w:bCs/>
          <w:color w:val="000000"/>
          <w:kern w:val="0"/>
          <w:sz w:val="24"/>
        </w:rPr>
      </w:pPr>
    </w:p>
    <w:p w:rsidR="00220542" w:rsidRPr="00140981" w:rsidRDefault="001C123E" w:rsidP="00576862">
      <w:pPr>
        <w:autoSpaceDE w:val="0"/>
        <w:autoSpaceDN w:val="0"/>
        <w:adjustRightInd w:val="0"/>
        <w:spacing w:line="360" w:lineRule="auto"/>
        <w:jc w:val="left"/>
        <w:rPr>
          <w:rFonts w:eastAsiaTheme="minorEastAsia"/>
          <w:color w:val="000000"/>
          <w:kern w:val="0"/>
          <w:sz w:val="24"/>
        </w:rPr>
      </w:pPr>
      <w:r w:rsidRPr="00140981">
        <w:rPr>
          <w:rFonts w:eastAsiaTheme="minorEastAsia"/>
          <w:bCs/>
          <w:color w:val="000000"/>
          <w:kern w:val="0"/>
          <w:sz w:val="24"/>
        </w:rPr>
        <w:t>5.11.4</w:t>
      </w:r>
      <w:r w:rsidR="00774535" w:rsidRPr="00140981">
        <w:rPr>
          <w:rFonts w:eastAsiaTheme="minorEastAsia"/>
          <w:bCs/>
          <w:color w:val="000000"/>
          <w:kern w:val="0"/>
          <w:sz w:val="24"/>
        </w:rPr>
        <w:t xml:space="preserve"> </w:t>
      </w:r>
      <w:r w:rsidR="00220542" w:rsidRPr="00140981">
        <w:rPr>
          <w:rFonts w:eastAsiaTheme="minorEastAsia" w:hint="eastAsia"/>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375DA6" w:rsidRDefault="00375DA6" w:rsidP="00576862">
      <w:pPr>
        <w:spacing w:line="360" w:lineRule="auto"/>
        <w:rPr>
          <w:rFonts w:eastAsiaTheme="minorEastAsia"/>
          <w:b/>
          <w:bCs/>
          <w:color w:val="000000"/>
          <w:kern w:val="0"/>
          <w:sz w:val="24"/>
        </w:rPr>
      </w:pPr>
    </w:p>
    <w:p w:rsidR="005D44E4" w:rsidRPr="00140981" w:rsidRDefault="001C123E" w:rsidP="00576862">
      <w:pPr>
        <w:spacing w:line="360" w:lineRule="auto"/>
        <w:rPr>
          <w:rFonts w:eastAsiaTheme="minorEastAsia"/>
          <w:sz w:val="24"/>
        </w:rPr>
      </w:pPr>
      <w:r w:rsidRPr="00140981">
        <w:rPr>
          <w:rFonts w:eastAsiaTheme="minorEastAsia"/>
          <w:bCs/>
          <w:color w:val="000000"/>
          <w:kern w:val="0"/>
          <w:sz w:val="24"/>
        </w:rPr>
        <w:t>5.11.5</w:t>
      </w:r>
      <w:r w:rsidR="00774535" w:rsidRPr="00140981">
        <w:rPr>
          <w:rFonts w:eastAsiaTheme="minorEastAsia"/>
          <w:bCs/>
          <w:color w:val="000000"/>
          <w:kern w:val="0"/>
          <w:sz w:val="24"/>
        </w:rPr>
        <w:t xml:space="preserve"> </w:t>
      </w:r>
      <w:r w:rsidR="00EE53E7" w:rsidRPr="00140981">
        <w:rPr>
          <w:rFonts w:eastAsiaTheme="minorEastAsia" w:hint="eastAsia"/>
          <w:bCs/>
          <w:color w:val="000000"/>
          <w:kern w:val="0"/>
          <w:sz w:val="24"/>
        </w:rPr>
        <w:t>报告</w:t>
      </w:r>
      <w:r w:rsidR="00EE53E7" w:rsidRPr="00140981">
        <w:rPr>
          <w:rFonts w:eastAsiaTheme="minorEastAsia" w:hint="eastAsia"/>
          <w:sz w:val="24"/>
        </w:rPr>
        <w:t>期末投资的</w:t>
      </w:r>
      <w:r w:rsidR="00055190" w:rsidRPr="00140981">
        <w:rPr>
          <w:rFonts w:eastAsiaTheme="minorEastAsia" w:hint="eastAsia"/>
          <w:sz w:val="24"/>
        </w:rPr>
        <w:t>股票中存在流通受限情况的说明</w:t>
      </w:r>
    </w:p>
    <w:p w:rsidR="00634900" w:rsidRPr="00140981"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kern w:val="0"/>
          <w:sz w:val="24"/>
        </w:rPr>
      </w:pPr>
      <w:r w:rsidRPr="00140981">
        <w:rPr>
          <w:rFonts w:eastAsiaTheme="minorEastAsia"/>
          <w:bCs/>
          <w:color w:val="000000"/>
          <w:kern w:val="0"/>
          <w:sz w:val="24"/>
        </w:rPr>
        <w:t>5.11.5.1</w:t>
      </w:r>
      <w:r w:rsidR="00774535" w:rsidRPr="00140981">
        <w:rPr>
          <w:rFonts w:eastAsiaTheme="minorEastAsia"/>
          <w:bCs/>
          <w:color w:val="000000"/>
          <w:kern w:val="0"/>
          <w:sz w:val="24"/>
        </w:rPr>
        <w:t xml:space="preserve"> </w:t>
      </w:r>
      <w:r w:rsidR="00EE53E7" w:rsidRPr="00140981">
        <w:rPr>
          <w:rFonts w:eastAsiaTheme="minorEastAsia" w:hint="eastAsia"/>
          <w:bCs/>
          <w:color w:val="000000"/>
          <w:kern w:val="0"/>
          <w:sz w:val="24"/>
        </w:rPr>
        <w:t>报告</w:t>
      </w:r>
      <w:r w:rsidR="00634900" w:rsidRPr="00140981">
        <w:rPr>
          <w:rFonts w:hint="eastAsia"/>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FB0799">
        <w:tc>
          <w:tcPr>
            <w:tcW w:w="1083" w:type="dxa"/>
            <w:vAlign w:val="center"/>
          </w:tcPr>
          <w:p w:rsidR="00FB0799" w:rsidRDefault="0057608C">
            <w:pPr>
              <w:jc w:val="center"/>
            </w:pPr>
            <w:r>
              <w:rPr>
                <w:rFonts w:eastAsiaTheme="minorEastAsia"/>
                <w:color w:val="000000"/>
                <w:sz w:val="24"/>
              </w:rPr>
              <w:t>1</w:t>
            </w:r>
          </w:p>
        </w:tc>
        <w:tc>
          <w:tcPr>
            <w:tcW w:w="1302" w:type="dxa"/>
            <w:vAlign w:val="center"/>
          </w:tcPr>
          <w:p w:rsidR="00FB0799" w:rsidRDefault="0057608C">
            <w:pPr>
              <w:jc w:val="center"/>
            </w:pPr>
            <w:r>
              <w:rPr>
                <w:rFonts w:eastAsiaTheme="minorEastAsia"/>
                <w:color w:val="000000"/>
                <w:sz w:val="24"/>
              </w:rPr>
              <w:t>002129</w:t>
            </w:r>
          </w:p>
        </w:tc>
        <w:tc>
          <w:tcPr>
            <w:tcW w:w="1301" w:type="dxa"/>
            <w:vAlign w:val="center"/>
          </w:tcPr>
          <w:p w:rsidR="00FB0799" w:rsidRDefault="0057608C">
            <w:pPr>
              <w:jc w:val="center"/>
            </w:pPr>
            <w:r>
              <w:rPr>
                <w:rFonts w:eastAsiaTheme="minorEastAsia"/>
                <w:color w:val="000000"/>
                <w:sz w:val="24"/>
              </w:rPr>
              <w:t>中环股份</w:t>
            </w:r>
          </w:p>
        </w:tc>
        <w:tc>
          <w:tcPr>
            <w:tcW w:w="1805" w:type="dxa"/>
            <w:vAlign w:val="center"/>
          </w:tcPr>
          <w:p w:rsidR="00FB0799" w:rsidRDefault="0057608C">
            <w:pPr>
              <w:jc w:val="right"/>
            </w:pPr>
            <w:r>
              <w:rPr>
                <w:rFonts w:eastAsiaTheme="minorEastAsia"/>
                <w:color w:val="000000"/>
                <w:sz w:val="24"/>
              </w:rPr>
              <w:t>23,493,457.44</w:t>
            </w:r>
          </w:p>
        </w:tc>
        <w:tc>
          <w:tcPr>
            <w:tcW w:w="1655" w:type="dxa"/>
            <w:vAlign w:val="center"/>
          </w:tcPr>
          <w:p w:rsidR="00FB0799" w:rsidRDefault="0057608C">
            <w:pPr>
              <w:jc w:val="right"/>
            </w:pPr>
            <w:r>
              <w:rPr>
                <w:rFonts w:eastAsiaTheme="minorEastAsia"/>
                <w:color w:val="000000"/>
                <w:sz w:val="24"/>
              </w:rPr>
              <w:t>2.58</w:t>
            </w:r>
          </w:p>
        </w:tc>
        <w:tc>
          <w:tcPr>
            <w:tcW w:w="1367" w:type="dxa"/>
            <w:vAlign w:val="center"/>
          </w:tcPr>
          <w:p w:rsidR="00FB0799" w:rsidRDefault="0057608C">
            <w:pPr>
              <w:jc w:val="right"/>
            </w:pPr>
            <w:r>
              <w:rPr>
                <w:rFonts w:eastAsiaTheme="minorEastAsia"/>
                <w:color w:val="000000"/>
                <w:sz w:val="24"/>
              </w:rPr>
              <w:t>重大事项</w:t>
            </w:r>
          </w:p>
        </w:tc>
      </w:tr>
      <w:tr w:rsidR="00FB0799">
        <w:tc>
          <w:tcPr>
            <w:tcW w:w="1083" w:type="dxa"/>
            <w:vAlign w:val="center"/>
          </w:tcPr>
          <w:p w:rsidR="00FB0799" w:rsidRDefault="0057608C">
            <w:pPr>
              <w:jc w:val="center"/>
            </w:pPr>
            <w:r>
              <w:rPr>
                <w:rFonts w:eastAsiaTheme="minorEastAsia"/>
                <w:color w:val="000000"/>
                <w:sz w:val="24"/>
              </w:rPr>
              <w:t>2</w:t>
            </w:r>
          </w:p>
        </w:tc>
        <w:tc>
          <w:tcPr>
            <w:tcW w:w="1302" w:type="dxa"/>
            <w:vAlign w:val="center"/>
          </w:tcPr>
          <w:p w:rsidR="00FB0799" w:rsidRDefault="0057608C">
            <w:pPr>
              <w:jc w:val="center"/>
            </w:pPr>
            <w:r>
              <w:rPr>
                <w:rFonts w:eastAsiaTheme="minorEastAsia"/>
                <w:color w:val="000000"/>
                <w:sz w:val="24"/>
              </w:rPr>
              <w:t>601727</w:t>
            </w:r>
          </w:p>
        </w:tc>
        <w:tc>
          <w:tcPr>
            <w:tcW w:w="1301" w:type="dxa"/>
            <w:vAlign w:val="center"/>
          </w:tcPr>
          <w:p w:rsidR="00FB0799" w:rsidRDefault="0057608C">
            <w:pPr>
              <w:jc w:val="center"/>
            </w:pPr>
            <w:r>
              <w:rPr>
                <w:rFonts w:eastAsiaTheme="minorEastAsia"/>
                <w:color w:val="000000"/>
                <w:sz w:val="24"/>
              </w:rPr>
              <w:t>上海电气</w:t>
            </w:r>
          </w:p>
        </w:tc>
        <w:tc>
          <w:tcPr>
            <w:tcW w:w="1805" w:type="dxa"/>
            <w:vAlign w:val="center"/>
          </w:tcPr>
          <w:p w:rsidR="00FB0799" w:rsidRDefault="0057608C">
            <w:pPr>
              <w:jc w:val="right"/>
            </w:pPr>
            <w:r>
              <w:rPr>
                <w:rFonts w:eastAsiaTheme="minorEastAsia"/>
                <w:color w:val="000000"/>
                <w:sz w:val="24"/>
              </w:rPr>
              <w:t>19,446,890.94</w:t>
            </w:r>
          </w:p>
        </w:tc>
        <w:tc>
          <w:tcPr>
            <w:tcW w:w="1655" w:type="dxa"/>
            <w:vAlign w:val="center"/>
          </w:tcPr>
          <w:p w:rsidR="00FB0799" w:rsidRDefault="0057608C">
            <w:pPr>
              <w:jc w:val="right"/>
            </w:pPr>
            <w:r>
              <w:rPr>
                <w:rFonts w:eastAsiaTheme="minorEastAsia"/>
                <w:color w:val="000000"/>
                <w:sz w:val="24"/>
              </w:rPr>
              <w:t>2.13</w:t>
            </w:r>
          </w:p>
        </w:tc>
        <w:tc>
          <w:tcPr>
            <w:tcW w:w="1367" w:type="dxa"/>
            <w:vAlign w:val="center"/>
          </w:tcPr>
          <w:p w:rsidR="00FB0799" w:rsidRDefault="0057608C">
            <w:pPr>
              <w:jc w:val="right"/>
            </w:pPr>
            <w:r>
              <w:rPr>
                <w:rFonts w:eastAsiaTheme="minorEastAsia"/>
                <w:color w:val="000000"/>
                <w:sz w:val="24"/>
              </w:rPr>
              <w:t>重大事项</w:t>
            </w:r>
          </w:p>
        </w:tc>
      </w:tr>
      <w:tr w:rsidR="00FB0799">
        <w:tc>
          <w:tcPr>
            <w:tcW w:w="1083" w:type="dxa"/>
            <w:vAlign w:val="center"/>
          </w:tcPr>
          <w:p w:rsidR="00FB0799" w:rsidRDefault="0057608C">
            <w:pPr>
              <w:jc w:val="center"/>
            </w:pPr>
            <w:r>
              <w:rPr>
                <w:rFonts w:eastAsiaTheme="minorEastAsia"/>
                <w:color w:val="000000"/>
                <w:sz w:val="24"/>
              </w:rPr>
              <w:t>3</w:t>
            </w:r>
          </w:p>
        </w:tc>
        <w:tc>
          <w:tcPr>
            <w:tcW w:w="1302" w:type="dxa"/>
            <w:vAlign w:val="center"/>
          </w:tcPr>
          <w:p w:rsidR="00FB0799" w:rsidRDefault="0057608C">
            <w:pPr>
              <w:jc w:val="center"/>
            </w:pPr>
            <w:r>
              <w:rPr>
                <w:rFonts w:eastAsiaTheme="minorEastAsia"/>
                <w:color w:val="000000"/>
                <w:sz w:val="24"/>
              </w:rPr>
              <w:t>600406</w:t>
            </w:r>
          </w:p>
        </w:tc>
        <w:tc>
          <w:tcPr>
            <w:tcW w:w="1301" w:type="dxa"/>
            <w:vAlign w:val="center"/>
          </w:tcPr>
          <w:p w:rsidR="00FB0799" w:rsidRDefault="0057608C">
            <w:pPr>
              <w:jc w:val="center"/>
            </w:pPr>
            <w:r>
              <w:rPr>
                <w:rFonts w:eastAsiaTheme="minorEastAsia"/>
                <w:color w:val="000000"/>
                <w:sz w:val="24"/>
              </w:rPr>
              <w:t>国电南瑞</w:t>
            </w:r>
          </w:p>
        </w:tc>
        <w:tc>
          <w:tcPr>
            <w:tcW w:w="1805" w:type="dxa"/>
            <w:vAlign w:val="center"/>
          </w:tcPr>
          <w:p w:rsidR="00FB0799" w:rsidRDefault="0057608C">
            <w:pPr>
              <w:jc w:val="right"/>
            </w:pPr>
            <w:r>
              <w:rPr>
                <w:rFonts w:eastAsiaTheme="minorEastAsia"/>
                <w:color w:val="000000"/>
                <w:sz w:val="24"/>
              </w:rPr>
              <w:t>16,752,380.17</w:t>
            </w:r>
          </w:p>
        </w:tc>
        <w:tc>
          <w:tcPr>
            <w:tcW w:w="1655" w:type="dxa"/>
            <w:vAlign w:val="center"/>
          </w:tcPr>
          <w:p w:rsidR="00FB0799" w:rsidRDefault="0057608C">
            <w:pPr>
              <w:jc w:val="right"/>
            </w:pPr>
            <w:r>
              <w:rPr>
                <w:rFonts w:eastAsiaTheme="minorEastAsia"/>
                <w:color w:val="000000"/>
                <w:sz w:val="24"/>
              </w:rPr>
              <w:t>1.84</w:t>
            </w:r>
          </w:p>
        </w:tc>
        <w:tc>
          <w:tcPr>
            <w:tcW w:w="1367" w:type="dxa"/>
            <w:vAlign w:val="center"/>
          </w:tcPr>
          <w:p w:rsidR="00FB0799" w:rsidRDefault="0057608C">
            <w:pPr>
              <w:jc w:val="right"/>
            </w:pPr>
            <w:r>
              <w:rPr>
                <w:rFonts w:eastAsiaTheme="minorEastAsia"/>
                <w:color w:val="000000"/>
                <w:sz w:val="24"/>
              </w:rPr>
              <w:t>重大事项</w:t>
            </w:r>
          </w:p>
        </w:tc>
      </w:tr>
      <w:tr w:rsidR="00FB0799">
        <w:tc>
          <w:tcPr>
            <w:tcW w:w="1083" w:type="dxa"/>
            <w:vAlign w:val="center"/>
          </w:tcPr>
          <w:p w:rsidR="00FB0799" w:rsidRDefault="0057608C">
            <w:pPr>
              <w:jc w:val="center"/>
            </w:pPr>
            <w:r>
              <w:rPr>
                <w:rFonts w:eastAsiaTheme="minorEastAsia"/>
                <w:color w:val="000000"/>
                <w:sz w:val="24"/>
              </w:rPr>
              <w:t>4</w:t>
            </w:r>
          </w:p>
        </w:tc>
        <w:tc>
          <w:tcPr>
            <w:tcW w:w="1302" w:type="dxa"/>
            <w:vAlign w:val="center"/>
          </w:tcPr>
          <w:p w:rsidR="00FB0799" w:rsidRDefault="0057608C">
            <w:pPr>
              <w:jc w:val="center"/>
            </w:pPr>
            <w:r>
              <w:rPr>
                <w:rFonts w:eastAsiaTheme="minorEastAsia"/>
                <w:color w:val="000000"/>
                <w:sz w:val="24"/>
              </w:rPr>
              <w:t>600151</w:t>
            </w:r>
          </w:p>
        </w:tc>
        <w:tc>
          <w:tcPr>
            <w:tcW w:w="1301" w:type="dxa"/>
            <w:vAlign w:val="center"/>
          </w:tcPr>
          <w:p w:rsidR="00FB0799" w:rsidRDefault="0057608C">
            <w:pPr>
              <w:jc w:val="center"/>
            </w:pPr>
            <w:r>
              <w:rPr>
                <w:rFonts w:eastAsiaTheme="minorEastAsia"/>
                <w:color w:val="000000"/>
                <w:sz w:val="24"/>
              </w:rPr>
              <w:t>航天机电</w:t>
            </w:r>
          </w:p>
        </w:tc>
        <w:tc>
          <w:tcPr>
            <w:tcW w:w="1805" w:type="dxa"/>
            <w:vAlign w:val="center"/>
          </w:tcPr>
          <w:p w:rsidR="00FB0799" w:rsidRDefault="0057608C">
            <w:pPr>
              <w:jc w:val="right"/>
            </w:pPr>
            <w:r>
              <w:rPr>
                <w:rFonts w:eastAsiaTheme="minorEastAsia"/>
                <w:color w:val="000000"/>
                <w:sz w:val="24"/>
              </w:rPr>
              <w:t>15,677,325.73</w:t>
            </w:r>
          </w:p>
        </w:tc>
        <w:tc>
          <w:tcPr>
            <w:tcW w:w="1655" w:type="dxa"/>
            <w:vAlign w:val="center"/>
          </w:tcPr>
          <w:p w:rsidR="00FB0799" w:rsidRDefault="0057608C">
            <w:pPr>
              <w:jc w:val="right"/>
            </w:pPr>
            <w:r>
              <w:rPr>
                <w:rFonts w:eastAsiaTheme="minorEastAsia"/>
                <w:color w:val="000000"/>
                <w:sz w:val="24"/>
              </w:rPr>
              <w:t>1.72</w:t>
            </w:r>
          </w:p>
        </w:tc>
        <w:tc>
          <w:tcPr>
            <w:tcW w:w="1367" w:type="dxa"/>
            <w:vAlign w:val="center"/>
          </w:tcPr>
          <w:p w:rsidR="00FB0799" w:rsidRDefault="0057608C">
            <w:pPr>
              <w:jc w:val="right"/>
            </w:pPr>
            <w:r>
              <w:rPr>
                <w:rFonts w:eastAsiaTheme="minorEastAsia"/>
                <w:color w:val="000000"/>
                <w:sz w:val="24"/>
              </w:rPr>
              <w:t>重大事项</w:t>
            </w:r>
          </w:p>
        </w:tc>
      </w:tr>
      <w:tr w:rsidR="00FB0799">
        <w:tc>
          <w:tcPr>
            <w:tcW w:w="1083" w:type="dxa"/>
            <w:vAlign w:val="center"/>
          </w:tcPr>
          <w:p w:rsidR="00FB0799" w:rsidRDefault="0057608C">
            <w:pPr>
              <w:jc w:val="center"/>
            </w:pPr>
            <w:r>
              <w:rPr>
                <w:rFonts w:eastAsiaTheme="minorEastAsia"/>
                <w:color w:val="000000"/>
                <w:sz w:val="24"/>
              </w:rPr>
              <w:t>5</w:t>
            </w:r>
          </w:p>
        </w:tc>
        <w:tc>
          <w:tcPr>
            <w:tcW w:w="1302" w:type="dxa"/>
            <w:vAlign w:val="center"/>
          </w:tcPr>
          <w:p w:rsidR="00FB0799" w:rsidRDefault="0057608C">
            <w:pPr>
              <w:jc w:val="center"/>
            </w:pPr>
            <w:r>
              <w:rPr>
                <w:rFonts w:eastAsiaTheme="minorEastAsia"/>
                <w:color w:val="000000"/>
                <w:sz w:val="24"/>
              </w:rPr>
              <w:t>600875</w:t>
            </w:r>
          </w:p>
        </w:tc>
        <w:tc>
          <w:tcPr>
            <w:tcW w:w="1301" w:type="dxa"/>
            <w:vAlign w:val="center"/>
          </w:tcPr>
          <w:p w:rsidR="00FB0799" w:rsidRDefault="0057608C">
            <w:pPr>
              <w:jc w:val="center"/>
            </w:pPr>
            <w:r>
              <w:rPr>
                <w:rFonts w:eastAsiaTheme="minorEastAsia"/>
                <w:color w:val="000000"/>
                <w:sz w:val="24"/>
              </w:rPr>
              <w:t>东方电气</w:t>
            </w:r>
          </w:p>
        </w:tc>
        <w:tc>
          <w:tcPr>
            <w:tcW w:w="1805" w:type="dxa"/>
            <w:vAlign w:val="center"/>
          </w:tcPr>
          <w:p w:rsidR="00FB0799" w:rsidRDefault="0057608C">
            <w:pPr>
              <w:jc w:val="right"/>
            </w:pPr>
            <w:r>
              <w:rPr>
                <w:rFonts w:eastAsiaTheme="minorEastAsia"/>
                <w:color w:val="000000"/>
                <w:sz w:val="24"/>
              </w:rPr>
              <w:t>14,586,159.38</w:t>
            </w:r>
          </w:p>
        </w:tc>
        <w:tc>
          <w:tcPr>
            <w:tcW w:w="1655" w:type="dxa"/>
            <w:vAlign w:val="center"/>
          </w:tcPr>
          <w:p w:rsidR="00FB0799" w:rsidRDefault="0057608C">
            <w:pPr>
              <w:jc w:val="right"/>
            </w:pPr>
            <w:r>
              <w:rPr>
                <w:rFonts w:eastAsiaTheme="minorEastAsia"/>
                <w:color w:val="000000"/>
                <w:sz w:val="24"/>
              </w:rPr>
              <w:t>1.60</w:t>
            </w:r>
          </w:p>
        </w:tc>
        <w:tc>
          <w:tcPr>
            <w:tcW w:w="1367" w:type="dxa"/>
            <w:vAlign w:val="center"/>
          </w:tcPr>
          <w:p w:rsidR="00FB0799" w:rsidRDefault="0057608C">
            <w:pPr>
              <w:jc w:val="right"/>
            </w:pPr>
            <w:r>
              <w:rPr>
                <w:rFonts w:eastAsiaTheme="minorEastAsia"/>
                <w:color w:val="000000"/>
                <w:sz w:val="24"/>
              </w:rPr>
              <w:t>重大事项</w:t>
            </w:r>
          </w:p>
        </w:tc>
      </w:tr>
    </w:tbl>
    <w:p w:rsidR="00375DA6" w:rsidRDefault="00375DA6" w:rsidP="00576862">
      <w:pPr>
        <w:spacing w:line="360" w:lineRule="auto"/>
        <w:rPr>
          <w:rFonts w:eastAsiaTheme="minorEastAsia"/>
          <w:b/>
          <w:bCs/>
          <w:color w:val="000000"/>
          <w:kern w:val="0"/>
          <w:sz w:val="24"/>
        </w:rPr>
      </w:pPr>
    </w:p>
    <w:p w:rsidR="005D44E4" w:rsidRPr="00140981" w:rsidRDefault="001C123E" w:rsidP="00576862">
      <w:pPr>
        <w:spacing w:line="360" w:lineRule="auto"/>
        <w:rPr>
          <w:rFonts w:eastAsiaTheme="minorEastAsia"/>
          <w:sz w:val="24"/>
        </w:rPr>
      </w:pPr>
      <w:r w:rsidRPr="00140981">
        <w:rPr>
          <w:rFonts w:eastAsiaTheme="minorEastAsia"/>
          <w:bCs/>
          <w:color w:val="000000"/>
          <w:kern w:val="0"/>
          <w:sz w:val="24"/>
        </w:rPr>
        <w:t>5.11.5.2</w:t>
      </w:r>
      <w:r w:rsidR="00774535" w:rsidRPr="00140981">
        <w:rPr>
          <w:rFonts w:eastAsiaTheme="minorEastAsia"/>
          <w:bCs/>
          <w:color w:val="000000"/>
          <w:kern w:val="0"/>
          <w:sz w:val="24"/>
        </w:rPr>
        <w:t xml:space="preserve"> </w:t>
      </w:r>
      <w:r w:rsidR="006B7BC0" w:rsidRPr="00140981">
        <w:rPr>
          <w:rFonts w:eastAsiaTheme="minorEastAsia" w:hint="eastAsia"/>
          <w:bCs/>
          <w:color w:val="000000"/>
          <w:kern w:val="0"/>
          <w:sz w:val="24"/>
        </w:rPr>
        <w:t>报告</w:t>
      </w:r>
      <w:r w:rsidR="005D44E4" w:rsidRPr="00140981">
        <w:rPr>
          <w:rFonts w:eastAsiaTheme="minorEastAsia" w:hint="eastAsia"/>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140981" w:rsidRDefault="001C123E" w:rsidP="00576862">
      <w:pPr>
        <w:spacing w:line="360" w:lineRule="auto"/>
        <w:rPr>
          <w:rFonts w:eastAsiaTheme="minorEastAsia"/>
          <w:color w:val="000000"/>
          <w:sz w:val="24"/>
        </w:rPr>
      </w:pPr>
      <w:r w:rsidRPr="00140981">
        <w:rPr>
          <w:rFonts w:eastAsiaTheme="minorEastAsia"/>
          <w:bCs/>
          <w:color w:val="000000"/>
          <w:kern w:val="0"/>
          <w:sz w:val="24"/>
        </w:rPr>
        <w:t>5.11.6</w:t>
      </w:r>
      <w:r w:rsidR="006B5B3E" w:rsidRPr="00140981">
        <w:rPr>
          <w:rFonts w:eastAsiaTheme="minorEastAsia" w:hint="eastAsia"/>
          <w:bCs/>
          <w:color w:val="000000"/>
          <w:kern w:val="0"/>
          <w:sz w:val="24"/>
        </w:rPr>
        <w:t>投资组合报告附注的其他文字描述部分</w:t>
      </w:r>
    </w:p>
    <w:p w:rsidR="00220542" w:rsidRPr="005E324A" w:rsidRDefault="007A6BEA" w:rsidP="00140981">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632,567,614.79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405,986,830.00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405,986,830.00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5,153,078.14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339,136,134.37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279,547,444.00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-139,773,722.00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-139,773,722.00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578,132,002.56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266,213,108.00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266,213,108.00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674F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20,352,593.88</w:t>
            </w:r>
          </w:p>
        </w:tc>
      </w:tr>
      <w:tr w:rsidR="003D4E5A" w:rsidRPr="005E324A"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1.83</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FB0799" w:rsidRDefault="0057608C">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64" w:rsidRDefault="00FD5F64">
      <w:r>
        <w:separator/>
      </w:r>
    </w:p>
  </w:endnote>
  <w:endnote w:type="continuationSeparator" w:id="0">
    <w:p w:rsidR="00FD5F64" w:rsidRDefault="00FD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F7655">
      <w:rPr>
        <w:kern w:val="0"/>
        <w:szCs w:val="21"/>
      </w:rPr>
      <w:fldChar w:fldCharType="begin"/>
    </w:r>
    <w:r>
      <w:rPr>
        <w:kern w:val="0"/>
        <w:szCs w:val="21"/>
      </w:rPr>
      <w:instrText xml:space="preserve"> PAGE </w:instrText>
    </w:r>
    <w:r w:rsidR="009F7655">
      <w:rPr>
        <w:kern w:val="0"/>
        <w:szCs w:val="21"/>
      </w:rPr>
      <w:fldChar w:fldCharType="separate"/>
    </w:r>
    <w:r w:rsidR="00140981">
      <w:rPr>
        <w:noProof/>
        <w:kern w:val="0"/>
        <w:szCs w:val="21"/>
      </w:rPr>
      <w:t>1</w:t>
    </w:r>
    <w:r w:rsidR="009F7655">
      <w:rPr>
        <w:kern w:val="0"/>
        <w:szCs w:val="21"/>
      </w:rPr>
      <w:fldChar w:fldCharType="end"/>
    </w:r>
    <w:proofErr w:type="gramStart"/>
    <w:r>
      <w:rPr>
        <w:rFonts w:hint="eastAsia"/>
        <w:kern w:val="0"/>
        <w:szCs w:val="21"/>
      </w:rPr>
      <w:t>页共</w:t>
    </w:r>
    <w:proofErr w:type="gramEnd"/>
    <w:r w:rsidR="009F7655">
      <w:rPr>
        <w:kern w:val="0"/>
        <w:szCs w:val="21"/>
      </w:rPr>
      <w:fldChar w:fldCharType="begin"/>
    </w:r>
    <w:r>
      <w:rPr>
        <w:kern w:val="0"/>
        <w:szCs w:val="21"/>
      </w:rPr>
      <w:instrText xml:space="preserve"> NUMPAGES </w:instrText>
    </w:r>
    <w:r w:rsidR="009F7655">
      <w:rPr>
        <w:kern w:val="0"/>
        <w:szCs w:val="21"/>
      </w:rPr>
      <w:fldChar w:fldCharType="separate"/>
    </w:r>
    <w:r w:rsidR="00140981">
      <w:rPr>
        <w:noProof/>
        <w:kern w:val="0"/>
        <w:szCs w:val="21"/>
      </w:rPr>
      <w:t>15</w:t>
    </w:r>
    <w:r w:rsidR="009F765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140981">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64" w:rsidRDefault="00FD5F64">
      <w:r>
        <w:separator/>
      </w:r>
    </w:p>
  </w:footnote>
  <w:footnote w:type="continuationSeparator" w:id="0">
    <w:p w:rsidR="00FD5F64" w:rsidRDefault="00FD5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0981"/>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5DA6"/>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08C"/>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188E"/>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4C4"/>
    <w:rsid w:val="00DB7B69"/>
    <w:rsid w:val="00DC234A"/>
    <w:rsid w:val="00DC27AD"/>
    <w:rsid w:val="00DC41E4"/>
    <w:rsid w:val="00DC5116"/>
    <w:rsid w:val="00DC7C77"/>
    <w:rsid w:val="00DD2417"/>
    <w:rsid w:val="00DD47BB"/>
    <w:rsid w:val="00DD7251"/>
    <w:rsid w:val="00DD7BAC"/>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0799"/>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81"/>
    <o:shapelayout v:ext="edit">
      <o:idmap v:ext="edit" data="1"/>
    </o:shapelayout>
  </w:shapeDefaults>
  <w:decimalSymbol w:val="."/>
  <w:listSeparator w:val=","/>
  <w15:docId w15:val="{1A2C37EE-F477-4204-A9A3-796B416C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5534</Words>
  <Characters>2001</Characters>
  <Application>Microsoft Office Word</Application>
  <DocSecurity>0</DocSecurity>
  <Lines>16</Lines>
  <Paragraphs>15</Paragraphs>
  <ScaleCrop>false</ScaleCrop>
  <Company>TRT. Ltd. Co.</Company>
  <LinksUpToDate>false</LinksUpToDate>
  <CharactersWithSpaces>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cp:lastPrinted>2007-07-19T00:46:00Z</cp:lastPrinted>
  <dcterms:created xsi:type="dcterms:W3CDTF">2017-01-17T10:31:00Z</dcterms:created>
  <dcterms:modified xsi:type="dcterms:W3CDTF">2017-01-17T10:31:00Z</dcterms:modified>
</cp:coreProperties>
</file>