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bookmarkStart w:id="0" w:name="_GoBack"/>
      <w:bookmarkEnd w:id="0"/>
    </w:p>
    <w:p w:rsidR="00C638AF" w:rsidRPr="00405493" w:rsidRDefault="00C638AF"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5516A4" w:rsidRPr="00405493" w:rsidRDefault="005516A4" w:rsidP="009D139A">
      <w:pPr>
        <w:autoSpaceDE w:val="0"/>
        <w:autoSpaceDN w:val="0"/>
        <w:adjustRightInd w:val="0"/>
        <w:spacing w:before="29" w:line="288" w:lineRule="auto"/>
        <w:jc w:val="left"/>
        <w:rPr>
          <w:rFonts w:eastAsiaTheme="minorEastAsia"/>
          <w:color w:val="000000"/>
          <w:kern w:val="0"/>
          <w:sz w:val="24"/>
        </w:rPr>
      </w:pP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交银施罗德丰享收益债券型证券投资基金</w:t>
      </w:r>
    </w:p>
    <w:p w:rsidR="006E30C6" w:rsidRPr="00087F8A" w:rsidRDefault="006E30C6"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年第</w:t>
      </w:r>
      <w:r w:rsidRPr="00087F8A">
        <w:rPr>
          <w:rFonts w:eastAsiaTheme="minorEastAsia"/>
          <w:b/>
          <w:sz w:val="36"/>
          <w:szCs w:val="36"/>
        </w:rPr>
        <w:t>4</w:t>
      </w:r>
      <w:r w:rsidRPr="00087F8A">
        <w:rPr>
          <w:rFonts w:eastAsiaTheme="minorEastAsia"/>
          <w:b/>
          <w:sz w:val="36"/>
          <w:szCs w:val="36"/>
        </w:rPr>
        <w:t>季度报告</w:t>
      </w:r>
    </w:p>
    <w:p w:rsidR="005516A4" w:rsidRPr="00087F8A" w:rsidRDefault="00B2115D" w:rsidP="009D139A">
      <w:pPr>
        <w:spacing w:before="29" w:line="288" w:lineRule="auto"/>
        <w:jc w:val="center"/>
        <w:rPr>
          <w:rFonts w:eastAsiaTheme="minorEastAsia"/>
          <w:b/>
          <w:sz w:val="36"/>
          <w:szCs w:val="36"/>
        </w:rPr>
      </w:pPr>
      <w:r w:rsidRPr="00087F8A">
        <w:rPr>
          <w:rFonts w:eastAsiaTheme="minorEastAsia"/>
          <w:b/>
          <w:sz w:val="36"/>
          <w:szCs w:val="36"/>
        </w:rPr>
        <w:t>2016</w:t>
      </w:r>
      <w:r w:rsidRPr="00087F8A">
        <w:rPr>
          <w:rFonts w:eastAsiaTheme="minorEastAsia"/>
          <w:b/>
          <w:sz w:val="36"/>
          <w:szCs w:val="36"/>
        </w:rPr>
        <w:t>年</w:t>
      </w:r>
      <w:r w:rsidRPr="00087F8A">
        <w:rPr>
          <w:rFonts w:eastAsiaTheme="minorEastAsia"/>
          <w:b/>
          <w:sz w:val="36"/>
          <w:szCs w:val="36"/>
        </w:rPr>
        <w:t>12</w:t>
      </w:r>
      <w:r w:rsidRPr="00087F8A">
        <w:rPr>
          <w:rFonts w:eastAsiaTheme="minorEastAsia"/>
          <w:b/>
          <w:sz w:val="36"/>
          <w:szCs w:val="36"/>
        </w:rPr>
        <w:t>月</w:t>
      </w:r>
      <w:r w:rsidRPr="00087F8A">
        <w:rPr>
          <w:rFonts w:eastAsiaTheme="minorEastAsia"/>
          <w:b/>
          <w:sz w:val="36"/>
          <w:szCs w:val="36"/>
        </w:rPr>
        <w:t>31</w:t>
      </w:r>
      <w:r w:rsidRPr="00087F8A">
        <w:rPr>
          <w:rFonts w:eastAsiaTheme="minorEastAsia"/>
          <w:b/>
          <w:sz w:val="36"/>
          <w:szCs w:val="36"/>
        </w:rPr>
        <w:t>日</w:t>
      </w: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jc w:val="center"/>
        <w:rPr>
          <w:rFonts w:eastAsiaTheme="minorEastAsia"/>
          <w:b/>
          <w:color w:val="000000"/>
          <w:sz w:val="24"/>
        </w:rPr>
      </w:pPr>
    </w:p>
    <w:p w:rsidR="005516A4" w:rsidRPr="00405493" w:rsidRDefault="005516A4" w:rsidP="009D139A">
      <w:pPr>
        <w:spacing w:before="29" w:line="288" w:lineRule="auto"/>
        <w:rPr>
          <w:rFonts w:eastAsiaTheme="minorEastAsia"/>
          <w:b/>
          <w:color w:val="000000"/>
          <w:sz w:val="24"/>
        </w:rPr>
      </w:pP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基金管理人：</w:t>
      </w:r>
      <w:r w:rsidR="008327A3" w:rsidRPr="00087F8A">
        <w:rPr>
          <w:rFonts w:eastAsiaTheme="minorEastAsia"/>
          <w:b/>
          <w:color w:val="000000"/>
          <w:sz w:val="24"/>
        </w:rPr>
        <w:t>交银施罗德基金管理有限公司</w:t>
      </w:r>
    </w:p>
    <w:p w:rsidR="00662C4E" w:rsidRPr="00087F8A" w:rsidRDefault="005516A4" w:rsidP="009D139A">
      <w:pPr>
        <w:spacing w:before="29" w:line="288" w:lineRule="auto"/>
        <w:ind w:firstLineChars="900" w:firstLine="2168"/>
        <w:rPr>
          <w:rFonts w:eastAsiaTheme="minorEastAsia"/>
          <w:b/>
          <w:color w:val="000000"/>
          <w:sz w:val="24"/>
        </w:rPr>
      </w:pPr>
      <w:r w:rsidRPr="00087F8A">
        <w:rPr>
          <w:b/>
          <w:color w:val="000000"/>
          <w:sz w:val="24"/>
        </w:rPr>
        <w:t>基金托管人：</w:t>
      </w:r>
      <w:r w:rsidR="008327A3" w:rsidRPr="00087F8A">
        <w:rPr>
          <w:rFonts w:eastAsiaTheme="minorEastAsia"/>
          <w:b/>
          <w:color w:val="000000"/>
          <w:sz w:val="24"/>
        </w:rPr>
        <w:t>中信银行股份有限公司</w:t>
      </w:r>
    </w:p>
    <w:p w:rsidR="005516A4" w:rsidRPr="00087F8A" w:rsidRDefault="005516A4" w:rsidP="009D139A">
      <w:pPr>
        <w:spacing w:before="29" w:line="288" w:lineRule="auto"/>
        <w:ind w:firstLineChars="900" w:firstLine="2168"/>
        <w:rPr>
          <w:rFonts w:eastAsiaTheme="minorEastAsia"/>
          <w:b/>
          <w:color w:val="000000"/>
          <w:sz w:val="24"/>
        </w:rPr>
        <w:sectPr w:rsidR="005516A4" w:rsidRPr="00087F8A" w:rsidSect="001F36EA">
          <w:headerReference w:type="default" r:id="rId7"/>
          <w:footerReference w:type="default" r:id="rId8"/>
          <w:pgSz w:w="11926" w:h="15840"/>
          <w:pgMar w:top="1440" w:right="1440" w:bottom="1440" w:left="1440" w:header="851" w:footer="992" w:gutter="0"/>
          <w:cols w:space="720"/>
          <w:noEndnote/>
        </w:sectPr>
      </w:pPr>
      <w:r w:rsidRPr="00087F8A">
        <w:rPr>
          <w:b/>
          <w:color w:val="000000"/>
          <w:sz w:val="24"/>
        </w:rPr>
        <w:t>报告送出日期：</w:t>
      </w:r>
      <w:r w:rsidR="00CD0F7E" w:rsidRPr="00087F8A">
        <w:rPr>
          <w:rFonts w:eastAsiaTheme="minorEastAsia"/>
          <w:b/>
          <w:color w:val="000000"/>
          <w:sz w:val="24"/>
        </w:rPr>
        <w:t>二〇一七年一月十九日</w:t>
      </w: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lastRenderedPageBreak/>
        <w:t xml:space="preserve">§1  </w:t>
      </w:r>
      <w:r w:rsidRPr="00405493">
        <w:rPr>
          <w:color w:val="000000"/>
          <w:kern w:val="0"/>
          <w:sz w:val="24"/>
          <w:szCs w:val="24"/>
        </w:rPr>
        <w:t>重要提示</w:t>
      </w:r>
    </w:p>
    <w:p w:rsidR="00A8298C" w:rsidRDefault="009835AA">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8298C" w:rsidRDefault="009835AA">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8298C" w:rsidRDefault="009835AA">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8298C" w:rsidRDefault="009835AA">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8298C" w:rsidRDefault="009835AA">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220542" w:rsidRPr="00405493" w:rsidRDefault="008327A3" w:rsidP="009D139A">
      <w:pPr>
        <w:spacing w:before="29" w:line="288" w:lineRule="auto"/>
        <w:ind w:firstLineChars="200" w:firstLine="480"/>
        <w:rPr>
          <w:rFonts w:eastAsiaTheme="minorEastAsia"/>
          <w:color w:val="000000"/>
          <w:sz w:val="24"/>
        </w:rPr>
      </w:pPr>
      <w:r w:rsidRPr="00405493">
        <w:rPr>
          <w:rFonts w:eastAsiaTheme="minorEastAsia"/>
          <w:color w:val="000000"/>
          <w:sz w:val="24"/>
        </w:rPr>
        <w:t>本报告期自</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10</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日起至</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日止。</w:t>
      </w:r>
    </w:p>
    <w:p w:rsidR="00D24178" w:rsidRPr="00405493" w:rsidRDefault="00D24178" w:rsidP="009D139A">
      <w:pPr>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§2  </w:t>
      </w:r>
      <w:r w:rsidRPr="00405493">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基金简称</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交银丰享收益债券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kern w:val="0"/>
                <w:sz w:val="24"/>
              </w:rPr>
            </w:pPr>
            <w:r w:rsidRPr="00405493">
              <w:rPr>
                <w:kern w:val="0"/>
                <w:sz w:val="24"/>
              </w:rPr>
              <w:t>基金主代码</w:t>
            </w:r>
          </w:p>
        </w:tc>
        <w:tc>
          <w:tcPr>
            <w:tcW w:w="5845" w:type="dxa"/>
            <w:vAlign w:val="center"/>
          </w:tcPr>
          <w:p w:rsidR="00763A67" w:rsidRPr="00405493" w:rsidRDefault="002400C2" w:rsidP="009D139A">
            <w:pPr>
              <w:adjustRightInd w:val="0"/>
              <w:spacing w:before="29" w:line="288" w:lineRule="auto"/>
              <w:ind w:left="17"/>
              <w:jc w:val="left"/>
              <w:rPr>
                <w:rFonts w:eastAsiaTheme="minorEastAsia"/>
                <w:color w:val="000000"/>
                <w:kern w:val="0"/>
                <w:sz w:val="24"/>
              </w:rPr>
            </w:pPr>
            <w:r w:rsidRPr="00405493">
              <w:rPr>
                <w:rFonts w:eastAsiaTheme="minorEastAsia"/>
                <w:color w:val="000000"/>
                <w:kern w:val="0"/>
                <w:sz w:val="24"/>
              </w:rPr>
              <w:t>519748</w:t>
            </w:r>
          </w:p>
        </w:tc>
      </w:tr>
      <w:tr w:rsidR="00C866C7" w:rsidRPr="00405493" w:rsidTr="00BA1CD5">
        <w:trPr>
          <w:jc w:val="center"/>
        </w:trPr>
        <w:tc>
          <w:tcPr>
            <w:tcW w:w="3023" w:type="dxa"/>
            <w:vAlign w:val="center"/>
          </w:tcPr>
          <w:p w:rsidR="00C866C7" w:rsidRPr="00405493" w:rsidRDefault="00C866C7" w:rsidP="009D139A">
            <w:pPr>
              <w:adjustRightInd w:val="0"/>
              <w:spacing w:before="29" w:line="288" w:lineRule="auto"/>
              <w:ind w:left="17"/>
              <w:jc w:val="left"/>
              <w:rPr>
                <w:kern w:val="0"/>
                <w:sz w:val="24"/>
              </w:rPr>
            </w:pPr>
            <w:r w:rsidRPr="00405493">
              <w:rPr>
                <w:kern w:val="0"/>
                <w:sz w:val="24"/>
              </w:rPr>
              <w:t>交易代码</w:t>
            </w:r>
          </w:p>
        </w:tc>
        <w:tc>
          <w:tcPr>
            <w:tcW w:w="5845" w:type="dxa"/>
            <w:vAlign w:val="center"/>
          </w:tcPr>
          <w:p w:rsidR="00C866C7" w:rsidRPr="00405493" w:rsidRDefault="00D10743" w:rsidP="009D139A">
            <w:pPr>
              <w:adjustRightInd w:val="0"/>
              <w:spacing w:before="29" w:line="288" w:lineRule="auto"/>
              <w:ind w:left="17"/>
              <w:jc w:val="left"/>
              <w:rPr>
                <w:rFonts w:eastAsiaTheme="minorEastAsia"/>
                <w:color w:val="000000"/>
                <w:kern w:val="0"/>
                <w:sz w:val="24"/>
              </w:rPr>
            </w:pPr>
            <w:r w:rsidRPr="00405493">
              <w:rPr>
                <w:rFonts w:eastAsiaTheme="minorEastAsia"/>
                <w:kern w:val="0"/>
                <w:sz w:val="24"/>
              </w:rPr>
              <w:t>519748</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基金运作方式</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契约型，本基金在基金合同生效之日起两年（含两年）的期间内封闭式运作（按照基金合同的约定提前转换基金运作方式的除外），封闭期结束后转为开放式运作</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基金合同生效日</w:t>
            </w:r>
          </w:p>
        </w:tc>
        <w:tc>
          <w:tcPr>
            <w:tcW w:w="5845" w:type="dxa"/>
            <w:vAlign w:val="center"/>
          </w:tcPr>
          <w:p w:rsidR="00763A67" w:rsidRPr="00405493" w:rsidRDefault="00DF5C3F"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2015</w:t>
            </w:r>
            <w:r w:rsidRPr="00405493">
              <w:rPr>
                <w:rFonts w:eastAsiaTheme="minorEastAsia"/>
                <w:color w:val="000000"/>
                <w:kern w:val="0"/>
                <w:sz w:val="24"/>
              </w:rPr>
              <w:t>年</w:t>
            </w:r>
            <w:r w:rsidRPr="00405493">
              <w:rPr>
                <w:rFonts w:eastAsiaTheme="minorEastAsia"/>
                <w:color w:val="000000"/>
                <w:kern w:val="0"/>
                <w:sz w:val="24"/>
              </w:rPr>
              <w:t>1</w:t>
            </w:r>
            <w:r w:rsidRPr="00405493">
              <w:rPr>
                <w:rFonts w:eastAsiaTheme="minorEastAsia"/>
                <w:color w:val="000000"/>
                <w:kern w:val="0"/>
                <w:sz w:val="24"/>
              </w:rPr>
              <w:t>月</w:t>
            </w:r>
            <w:r w:rsidRPr="00405493">
              <w:rPr>
                <w:rFonts w:eastAsiaTheme="minorEastAsia"/>
                <w:color w:val="000000"/>
                <w:kern w:val="0"/>
                <w:sz w:val="24"/>
              </w:rPr>
              <w:t>19</w:t>
            </w:r>
            <w:r w:rsidRPr="00405493">
              <w:rPr>
                <w:rFonts w:eastAsiaTheme="minorEastAsia"/>
                <w:color w:val="000000"/>
                <w:kern w:val="0"/>
                <w:sz w:val="24"/>
              </w:rPr>
              <w:t>日</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报告期末基金份额总额</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259,386,490.95</w:t>
            </w:r>
            <w:r w:rsidR="00904C53" w:rsidRPr="00405493">
              <w:rPr>
                <w:rFonts w:eastAsiaTheme="minorEastAsia"/>
                <w:color w:val="000000"/>
                <w:kern w:val="0"/>
                <w:sz w:val="24"/>
              </w:rPr>
              <w:t>份</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投资目标</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在严格控制风险和追求资产稳健增值的基础上</w:t>
            </w:r>
            <w:r w:rsidRPr="00405493">
              <w:rPr>
                <w:rFonts w:eastAsiaTheme="minorEastAsia"/>
                <w:color w:val="000000"/>
                <w:kern w:val="0"/>
                <w:sz w:val="24"/>
              </w:rPr>
              <w:t>,</w:t>
            </w:r>
            <w:r w:rsidRPr="00405493">
              <w:rPr>
                <w:rFonts w:eastAsiaTheme="minorEastAsia"/>
                <w:color w:val="000000"/>
                <w:kern w:val="0"/>
                <w:sz w:val="24"/>
              </w:rPr>
              <w:t>力求获得高于业绩基准的投资收益。</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投资策略</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w:t>
            </w:r>
            <w:r w:rsidRPr="00405493">
              <w:rPr>
                <w:rFonts w:eastAsiaTheme="minorEastAsia"/>
                <w:color w:val="000000"/>
                <w:kern w:val="0"/>
                <w:sz w:val="24"/>
              </w:rPr>
              <w:lastRenderedPageBreak/>
              <w:t>关系和收益率水平等，自下而上精选个券。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lastRenderedPageBreak/>
              <w:t>业绩比较基准</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两年期银行定期存款税后收益率</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风险收益特征</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本基金是一只债券型基金，其风险与预期收益高于货币市场基金，低于混合型基金和股票型基金，属于证券投资基金中中等风险的品种。</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基金管理人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交银施罗德基金管理有限公司</w:t>
            </w:r>
          </w:p>
        </w:tc>
      </w:tr>
      <w:tr w:rsidR="00763A67" w:rsidRPr="00405493" w:rsidTr="00BA1CD5">
        <w:trPr>
          <w:jc w:val="center"/>
        </w:trPr>
        <w:tc>
          <w:tcPr>
            <w:tcW w:w="3023" w:type="dxa"/>
            <w:vAlign w:val="center"/>
          </w:tcPr>
          <w:p w:rsidR="00763A67" w:rsidRPr="00405493" w:rsidRDefault="00763A67" w:rsidP="009D139A">
            <w:pPr>
              <w:adjustRightInd w:val="0"/>
              <w:spacing w:before="29" w:line="288" w:lineRule="auto"/>
              <w:ind w:left="17"/>
              <w:jc w:val="left"/>
              <w:rPr>
                <w:sz w:val="24"/>
              </w:rPr>
            </w:pPr>
            <w:r w:rsidRPr="00405493">
              <w:rPr>
                <w:kern w:val="0"/>
                <w:sz w:val="24"/>
              </w:rPr>
              <w:t>基金托管人</w:t>
            </w:r>
          </w:p>
        </w:tc>
        <w:tc>
          <w:tcPr>
            <w:tcW w:w="5845" w:type="dxa"/>
            <w:vAlign w:val="center"/>
          </w:tcPr>
          <w:p w:rsidR="00763A67" w:rsidRPr="00405493" w:rsidRDefault="00763A67" w:rsidP="009D139A">
            <w:pPr>
              <w:adjustRightInd w:val="0"/>
              <w:spacing w:before="29" w:line="288" w:lineRule="auto"/>
              <w:ind w:left="17"/>
              <w:jc w:val="left"/>
              <w:rPr>
                <w:rFonts w:eastAsiaTheme="minorEastAsia"/>
                <w:color w:val="000000"/>
                <w:sz w:val="24"/>
              </w:rPr>
            </w:pPr>
            <w:r w:rsidRPr="00405493">
              <w:rPr>
                <w:rFonts w:eastAsiaTheme="minorEastAsia"/>
                <w:color w:val="000000"/>
                <w:kern w:val="0"/>
                <w:sz w:val="24"/>
              </w:rPr>
              <w:t>中信银行股份有限公司</w:t>
            </w:r>
          </w:p>
        </w:tc>
      </w:tr>
    </w:tbl>
    <w:p w:rsidR="00763A67"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注：本基金在基金合同生效之日起两年（含两年）的期间内封闭式运作（按照基金合同的约定提前转换基金运作方式的除外）。封闭期内，基金投资者不能申购、赎回本基金基金份额，即</w:t>
      </w:r>
      <w:r w:rsidRPr="00405493">
        <w:rPr>
          <w:rFonts w:eastAsiaTheme="minorEastAsia"/>
          <w:color w:val="000000"/>
          <w:sz w:val="24"/>
        </w:rPr>
        <w:t>C</w:t>
      </w:r>
      <w:r w:rsidRPr="00405493">
        <w:rPr>
          <w:rFonts w:eastAsiaTheme="minorEastAsia"/>
          <w:color w:val="000000"/>
          <w:sz w:val="24"/>
        </w:rPr>
        <w:t>类基金份额。</w:t>
      </w:r>
    </w:p>
    <w:p w:rsidR="00D24178" w:rsidRPr="00405493" w:rsidRDefault="00D24178"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§3  </w:t>
      </w:r>
      <w:r w:rsidRPr="00405493">
        <w:rPr>
          <w:color w:val="000000"/>
          <w:kern w:val="0"/>
          <w:sz w:val="24"/>
          <w:szCs w:val="24"/>
        </w:rPr>
        <w:t>主要财务指标和基金净值表现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3.1 </w:t>
      </w:r>
      <w:r w:rsidRPr="00405493">
        <w:rPr>
          <w:b/>
          <w:color w:val="000000"/>
          <w:kern w:val="0"/>
          <w:sz w:val="24"/>
        </w:rPr>
        <w:t>主要财务指标</w:t>
      </w:r>
    </w:p>
    <w:p w:rsidR="00220542" w:rsidRPr="00405493" w:rsidRDefault="00220542" w:rsidP="009D139A">
      <w:pPr>
        <w:autoSpaceDE w:val="0"/>
        <w:autoSpaceDN w:val="0"/>
        <w:adjustRightInd w:val="0"/>
        <w:spacing w:before="29" w:line="288" w:lineRule="auto"/>
        <w:ind w:left="15"/>
        <w:jc w:val="right"/>
        <w:rPr>
          <w:color w:val="000000"/>
          <w:kern w:val="0"/>
          <w:sz w:val="24"/>
        </w:rPr>
      </w:pPr>
      <w:r w:rsidRPr="00405493">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5859"/>
      </w:tblGrid>
      <w:tr w:rsidR="009835AA" w:rsidRPr="00405493" w:rsidTr="009835AA">
        <w:trPr>
          <w:jc w:val="center"/>
        </w:trPr>
        <w:tc>
          <w:tcPr>
            <w:tcW w:w="8868" w:type="dxa"/>
            <w:vAlign w:val="center"/>
          </w:tcPr>
          <w:p w:rsidR="00E80567" w:rsidRPr="00405493" w:rsidRDefault="00DB3895" w:rsidP="009D139A">
            <w:pPr>
              <w:adjustRightInd w:val="0"/>
              <w:spacing w:before="29" w:line="288" w:lineRule="auto"/>
              <w:ind w:left="17"/>
              <w:jc w:val="center"/>
              <w:rPr>
                <w:rFonts w:eastAsiaTheme="minorEastAsia"/>
                <w:kern w:val="0"/>
                <w:sz w:val="24"/>
              </w:rPr>
            </w:pPr>
            <w:r w:rsidRPr="00405493">
              <w:rPr>
                <w:kern w:val="0"/>
                <w:sz w:val="24"/>
              </w:rPr>
              <w:t>主要财务指标</w:t>
            </w:r>
          </w:p>
        </w:tc>
        <w:tc>
          <w:tcPr>
            <w:tcW w:w="17736" w:type="dxa"/>
            <w:vAlign w:val="center"/>
          </w:tcPr>
          <w:p w:rsidR="00E80567" w:rsidRPr="00405493" w:rsidRDefault="00DB3895" w:rsidP="009D139A">
            <w:pPr>
              <w:adjustRightInd w:val="0"/>
              <w:spacing w:before="29" w:line="288" w:lineRule="auto"/>
              <w:ind w:left="17"/>
              <w:jc w:val="center"/>
              <w:rPr>
                <w:rFonts w:eastAsiaTheme="minorEastAsia"/>
                <w:color w:val="000000"/>
                <w:sz w:val="24"/>
              </w:rPr>
            </w:pPr>
            <w:r w:rsidRPr="00405493">
              <w:rPr>
                <w:color w:val="000000"/>
                <w:sz w:val="24"/>
              </w:rPr>
              <w:t>报告期</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10</w:t>
            </w:r>
            <w:r w:rsidRPr="00405493">
              <w:rPr>
                <w:rFonts w:eastAsiaTheme="minorEastAsia"/>
                <w:color w:val="000000"/>
                <w:sz w:val="24"/>
              </w:rPr>
              <w:t>月</w:t>
            </w:r>
            <w:r w:rsidRPr="00405493">
              <w:rPr>
                <w:rFonts w:eastAsiaTheme="minorEastAsia"/>
                <w:color w:val="000000"/>
                <w:sz w:val="24"/>
              </w:rPr>
              <w:t>1</w:t>
            </w:r>
            <w:r w:rsidRPr="00405493">
              <w:rPr>
                <w:rFonts w:eastAsiaTheme="minorEastAsia"/>
                <w:color w:val="000000"/>
                <w:sz w:val="24"/>
              </w:rPr>
              <w:t>日</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w:t>
            </w:r>
            <w:r w:rsidRPr="00405493">
              <w:rPr>
                <w:rFonts w:eastAsiaTheme="minorEastAsia"/>
                <w:color w:val="000000"/>
                <w:sz w:val="24"/>
              </w:rPr>
              <w:t>)</w:t>
            </w:r>
          </w:p>
        </w:tc>
      </w:tr>
      <w:tr w:rsidR="009835AA" w:rsidRPr="00405493" w:rsidTr="009835A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1</w:t>
            </w:r>
            <w:r w:rsidRPr="00785CDF">
              <w:rPr>
                <w:color w:val="000000"/>
                <w:kern w:val="0"/>
                <w:sz w:val="24"/>
              </w:rPr>
              <w:t>．本期已实现收益</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3,168,010.75</w:t>
            </w:r>
          </w:p>
        </w:tc>
      </w:tr>
      <w:tr w:rsidR="009835AA" w:rsidRPr="00405493" w:rsidTr="009835A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2</w:t>
            </w:r>
            <w:r w:rsidRPr="00785CDF">
              <w:rPr>
                <w:color w:val="000000"/>
                <w:kern w:val="0"/>
                <w:sz w:val="24"/>
              </w:rPr>
              <w:t>．本期利润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-880,848.84</w:t>
            </w:r>
          </w:p>
        </w:tc>
      </w:tr>
      <w:tr w:rsidR="009835AA" w:rsidRPr="00405493" w:rsidTr="009835A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3</w:t>
            </w:r>
            <w:r w:rsidRPr="00785CDF">
              <w:rPr>
                <w:color w:val="000000"/>
                <w:kern w:val="0"/>
                <w:sz w:val="24"/>
              </w:rPr>
              <w:t>．加权平均基金份额本期利润</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-0.0034</w:t>
            </w:r>
          </w:p>
        </w:tc>
      </w:tr>
      <w:tr w:rsidR="009835AA" w:rsidRPr="00405493" w:rsidTr="009835AA">
        <w:trPr>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4</w:t>
            </w:r>
            <w:r w:rsidRPr="00785CDF">
              <w:rPr>
                <w:color w:val="000000"/>
                <w:kern w:val="0"/>
                <w:sz w:val="24"/>
              </w:rPr>
              <w:t>．期末基金资产净值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261,424,852.85</w:t>
            </w:r>
          </w:p>
        </w:tc>
      </w:tr>
      <w:tr w:rsidR="009835AA" w:rsidRPr="00405493" w:rsidTr="009835AA">
        <w:trPr>
          <w:trHeight w:val="158"/>
          <w:jc w:val="center"/>
        </w:trPr>
        <w:tc>
          <w:tcPr>
            <w:tcW w:w="8868" w:type="dxa"/>
            <w:vAlign w:val="center"/>
          </w:tcPr>
          <w:p w:rsidR="006E30C6" w:rsidRPr="00785CDF" w:rsidRDefault="008A2BD6" w:rsidP="00C2555C">
            <w:pPr>
              <w:adjustRightInd w:val="0"/>
              <w:spacing w:before="29" w:line="288" w:lineRule="auto"/>
              <w:rPr>
                <w:rFonts w:eastAsiaTheme="minorEastAsia"/>
                <w:kern w:val="0"/>
                <w:sz w:val="24"/>
              </w:rPr>
            </w:pPr>
            <w:r w:rsidRPr="00785CDF">
              <w:rPr>
                <w:color w:val="000000"/>
                <w:kern w:val="0"/>
                <w:sz w:val="24"/>
              </w:rPr>
              <w:t>5</w:t>
            </w:r>
            <w:r w:rsidRPr="00785CDF">
              <w:rPr>
                <w:color w:val="000000"/>
                <w:kern w:val="0"/>
                <w:sz w:val="24"/>
              </w:rPr>
              <w:t>．期末基金份额净值</w:t>
            </w:r>
          </w:p>
        </w:tc>
        <w:tc>
          <w:tcPr>
            <w:tcW w:w="17736" w:type="dxa"/>
            <w:vAlign w:val="center"/>
          </w:tcPr>
          <w:p w:rsidR="006E30C6" w:rsidRPr="00405493" w:rsidRDefault="006E30C6" w:rsidP="009D139A">
            <w:pPr>
              <w:adjustRightInd w:val="0"/>
              <w:spacing w:before="29" w:line="288" w:lineRule="auto"/>
              <w:ind w:left="17"/>
              <w:jc w:val="right"/>
              <w:rPr>
                <w:rFonts w:eastAsiaTheme="minorEastAsia"/>
                <w:color w:val="000000"/>
                <w:sz w:val="24"/>
              </w:rPr>
            </w:pPr>
            <w:r w:rsidRPr="00405493">
              <w:rPr>
                <w:rFonts w:eastAsiaTheme="minorEastAsia"/>
                <w:color w:val="000000"/>
                <w:sz w:val="24"/>
              </w:rPr>
              <w:t>1.008</w:t>
            </w:r>
          </w:p>
        </w:tc>
      </w:tr>
    </w:tbl>
    <w:p w:rsidR="00A8298C" w:rsidRDefault="009835A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 xml:space="preserve">    2</w:t>
      </w:r>
      <w:r w:rsidRPr="00405493">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9B3AC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3.2 </w:t>
      </w:r>
      <w:r w:rsidR="00220542" w:rsidRPr="00405493">
        <w:rPr>
          <w:b/>
          <w:color w:val="000000"/>
          <w:kern w:val="0"/>
          <w:sz w:val="24"/>
        </w:rPr>
        <w:t>基金净值表现</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405493">
          <w:rPr>
            <w:rFonts w:eastAsiaTheme="minorEastAsia"/>
            <w:b/>
            <w:color w:val="000000"/>
            <w:kern w:val="0"/>
            <w:sz w:val="24"/>
          </w:rPr>
          <w:t>3.2.1</w:t>
        </w:r>
        <w:r w:rsidR="009B3AC4" w:rsidRPr="00405493">
          <w:rPr>
            <w:rFonts w:eastAsiaTheme="minorEastAsia"/>
            <w:b/>
            <w:color w:val="000000"/>
            <w:kern w:val="0"/>
            <w:sz w:val="24"/>
          </w:rPr>
          <w:t xml:space="preserve"> </w:t>
        </w:r>
      </w:smartTag>
      <w:r w:rsidRPr="00405493">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48"/>
        <w:gridCol w:w="1134"/>
        <w:gridCol w:w="1206"/>
        <w:gridCol w:w="1227"/>
        <w:gridCol w:w="1234"/>
        <w:gridCol w:w="1246"/>
        <w:gridCol w:w="1373"/>
      </w:tblGrid>
      <w:tr w:rsidR="00763A67" w:rsidRPr="00405493" w:rsidTr="00B67AA2">
        <w:trPr>
          <w:jc w:val="center"/>
        </w:trPr>
        <w:tc>
          <w:tcPr>
            <w:tcW w:w="146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阶段</w:t>
            </w:r>
          </w:p>
        </w:tc>
        <w:tc>
          <w:tcPr>
            <w:tcW w:w="115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w:t>
            </w:r>
            <w:r w:rsidRPr="00405493">
              <w:rPr>
                <w:rFonts w:hAnsi="宋体"/>
                <w:color w:val="000000"/>
                <w:sz w:val="24"/>
              </w:rPr>
              <w:t>①</w:t>
            </w:r>
          </w:p>
        </w:tc>
        <w:tc>
          <w:tcPr>
            <w:tcW w:w="122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净值增长率标准差</w:t>
            </w:r>
            <w:r w:rsidRPr="00405493">
              <w:rPr>
                <w:rFonts w:hAnsi="宋体"/>
                <w:color w:val="000000"/>
                <w:sz w:val="24"/>
              </w:rPr>
              <w:t>②</w:t>
            </w:r>
          </w:p>
        </w:tc>
        <w:tc>
          <w:tcPr>
            <w:tcW w:w="1244"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w:t>
            </w:r>
            <w:r w:rsidRPr="00405493">
              <w:rPr>
                <w:rFonts w:hAnsi="宋体"/>
                <w:color w:val="000000"/>
                <w:sz w:val="24"/>
              </w:rPr>
              <w:t>③</w:t>
            </w:r>
          </w:p>
        </w:tc>
        <w:tc>
          <w:tcPr>
            <w:tcW w:w="1251"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color w:val="000000"/>
                <w:sz w:val="24"/>
              </w:rPr>
              <w:t>业绩比较基准收益率标准差</w:t>
            </w:r>
            <w:r w:rsidRPr="00405493">
              <w:rPr>
                <w:rFonts w:hAnsi="宋体"/>
                <w:color w:val="000000"/>
                <w:sz w:val="24"/>
              </w:rPr>
              <w:t>④</w:t>
            </w:r>
          </w:p>
        </w:tc>
        <w:tc>
          <w:tcPr>
            <w:tcW w:w="126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①</w:t>
            </w:r>
            <w:r w:rsidRPr="00405493">
              <w:rPr>
                <w:rFonts w:eastAsiaTheme="minorEastAsia"/>
                <w:color w:val="000000"/>
                <w:sz w:val="24"/>
              </w:rPr>
              <w:t>-</w:t>
            </w:r>
            <w:r w:rsidRPr="00405493">
              <w:rPr>
                <w:rFonts w:hAnsi="宋体"/>
                <w:color w:val="000000"/>
                <w:sz w:val="24"/>
              </w:rPr>
              <w:t>③</w:t>
            </w:r>
          </w:p>
        </w:tc>
        <w:tc>
          <w:tcPr>
            <w:tcW w:w="1393"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sz w:val="24"/>
              </w:rPr>
            </w:pPr>
            <w:r w:rsidRPr="00405493">
              <w:rPr>
                <w:rFonts w:hAnsi="宋体"/>
                <w:color w:val="000000"/>
                <w:sz w:val="24"/>
              </w:rPr>
              <w:t>②</w:t>
            </w:r>
            <w:r w:rsidRPr="00405493">
              <w:rPr>
                <w:rFonts w:eastAsiaTheme="minorEastAsia"/>
                <w:color w:val="000000"/>
                <w:sz w:val="24"/>
              </w:rPr>
              <w:t>-</w:t>
            </w:r>
            <w:r w:rsidRPr="00405493">
              <w:rPr>
                <w:rFonts w:hAnsi="宋体"/>
                <w:color w:val="000000"/>
                <w:sz w:val="24"/>
              </w:rPr>
              <w:t>④</w:t>
            </w:r>
          </w:p>
        </w:tc>
      </w:tr>
      <w:tr w:rsidR="00A8298C">
        <w:trPr>
          <w:jc w:val="center"/>
        </w:trPr>
        <w:tc>
          <w:tcPr>
            <w:tcW w:w="1448" w:type="dxa"/>
            <w:vAlign w:val="center"/>
          </w:tcPr>
          <w:p w:rsidR="00A8298C" w:rsidRDefault="009835AA">
            <w:pPr>
              <w:jc w:val="left"/>
            </w:pPr>
            <w:r>
              <w:rPr>
                <w:rFonts w:eastAsiaTheme="minorEastAsia"/>
                <w:color w:val="000000"/>
                <w:sz w:val="24"/>
              </w:rPr>
              <w:lastRenderedPageBreak/>
              <w:t>过去三个月</w:t>
            </w:r>
          </w:p>
        </w:tc>
        <w:tc>
          <w:tcPr>
            <w:tcW w:w="1134" w:type="dxa"/>
            <w:vAlign w:val="center"/>
          </w:tcPr>
          <w:p w:rsidR="00A8298C" w:rsidRDefault="009835AA">
            <w:pPr>
              <w:jc w:val="center"/>
            </w:pPr>
            <w:r>
              <w:rPr>
                <w:rFonts w:eastAsiaTheme="minorEastAsia"/>
                <w:color w:val="000000"/>
                <w:sz w:val="24"/>
              </w:rPr>
              <w:t>-0.29%</w:t>
            </w:r>
          </w:p>
        </w:tc>
        <w:tc>
          <w:tcPr>
            <w:tcW w:w="1206" w:type="dxa"/>
            <w:vAlign w:val="center"/>
          </w:tcPr>
          <w:p w:rsidR="00A8298C" w:rsidRDefault="009835AA">
            <w:pPr>
              <w:jc w:val="center"/>
            </w:pPr>
            <w:r>
              <w:rPr>
                <w:rFonts w:eastAsiaTheme="minorEastAsia"/>
                <w:color w:val="000000"/>
                <w:sz w:val="24"/>
              </w:rPr>
              <w:t>0.06%</w:t>
            </w:r>
          </w:p>
        </w:tc>
        <w:tc>
          <w:tcPr>
            <w:tcW w:w="1227" w:type="dxa"/>
            <w:vAlign w:val="center"/>
          </w:tcPr>
          <w:p w:rsidR="00A8298C" w:rsidRDefault="009835AA">
            <w:pPr>
              <w:jc w:val="center"/>
            </w:pPr>
            <w:r>
              <w:rPr>
                <w:rFonts w:eastAsiaTheme="minorEastAsia"/>
                <w:color w:val="000000"/>
                <w:sz w:val="24"/>
              </w:rPr>
              <w:t>0.54%</w:t>
            </w:r>
          </w:p>
        </w:tc>
        <w:tc>
          <w:tcPr>
            <w:tcW w:w="1234" w:type="dxa"/>
            <w:vAlign w:val="center"/>
          </w:tcPr>
          <w:p w:rsidR="00A8298C" w:rsidRDefault="009835AA">
            <w:pPr>
              <w:jc w:val="center"/>
            </w:pPr>
            <w:r>
              <w:rPr>
                <w:rFonts w:eastAsiaTheme="minorEastAsia"/>
                <w:color w:val="000000"/>
                <w:sz w:val="24"/>
              </w:rPr>
              <w:t>0.01%</w:t>
            </w:r>
          </w:p>
        </w:tc>
        <w:tc>
          <w:tcPr>
            <w:tcW w:w="1246" w:type="dxa"/>
            <w:vAlign w:val="center"/>
          </w:tcPr>
          <w:p w:rsidR="00A8298C" w:rsidRDefault="009835AA">
            <w:pPr>
              <w:jc w:val="center"/>
            </w:pPr>
            <w:r>
              <w:rPr>
                <w:rFonts w:eastAsiaTheme="minorEastAsia"/>
                <w:color w:val="000000"/>
                <w:sz w:val="24"/>
              </w:rPr>
              <w:t>-0.83%</w:t>
            </w:r>
          </w:p>
        </w:tc>
        <w:tc>
          <w:tcPr>
            <w:tcW w:w="1373" w:type="dxa"/>
            <w:vAlign w:val="center"/>
          </w:tcPr>
          <w:p w:rsidR="00A8298C" w:rsidRDefault="009835AA">
            <w:pPr>
              <w:jc w:val="center"/>
            </w:pPr>
            <w:r>
              <w:rPr>
                <w:rFonts w:eastAsiaTheme="minorEastAsia"/>
                <w:color w:val="000000"/>
                <w:sz w:val="24"/>
              </w:rPr>
              <w:t>0.05%</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spacing w:before="29" w:line="288" w:lineRule="auto"/>
        <w:rPr>
          <w:rFonts w:eastAsiaTheme="minorEastAsia"/>
          <w:b/>
          <w:color w:val="000000"/>
          <w:kern w:val="0"/>
          <w:sz w:val="24"/>
        </w:rPr>
      </w:pPr>
      <w:r w:rsidRPr="00405493">
        <w:rPr>
          <w:rFonts w:eastAsiaTheme="minorEastAsia"/>
          <w:b/>
          <w:color w:val="000000"/>
          <w:kern w:val="0"/>
          <w:sz w:val="24"/>
        </w:rPr>
        <w:t>3.2.</w:t>
      </w:r>
      <w:r w:rsidR="00277A9B" w:rsidRPr="00405493">
        <w:rPr>
          <w:rFonts w:eastAsiaTheme="minorEastAsia"/>
          <w:b/>
          <w:color w:val="000000"/>
          <w:kern w:val="0"/>
          <w:sz w:val="24"/>
        </w:rPr>
        <w:t xml:space="preserve">2  </w:t>
      </w:r>
      <w:r w:rsidR="00F925D2" w:rsidRPr="00007F38">
        <w:rPr>
          <w:rFonts w:eastAsiaTheme="minorEastAsia" w:hint="eastAsia"/>
          <w:b/>
          <w:color w:val="000000"/>
          <w:kern w:val="0"/>
          <w:sz w:val="24"/>
        </w:rPr>
        <w:t>自基金合同生效以来</w:t>
      </w:r>
      <w:r w:rsidR="0064612A" w:rsidRPr="00405493">
        <w:rPr>
          <w:b/>
          <w:bCs/>
          <w:color w:val="000000"/>
          <w:sz w:val="24"/>
        </w:rPr>
        <w:t>基金份额累计净值增长率变动及其与同期业绩比较基准收益率变动的比较</w:t>
      </w:r>
    </w:p>
    <w:p w:rsidR="00A45006" w:rsidRPr="00405493" w:rsidRDefault="00A45006" w:rsidP="009D139A">
      <w:pPr>
        <w:spacing w:before="29" w:line="288" w:lineRule="auto"/>
        <w:jc w:val="center"/>
        <w:rPr>
          <w:rFonts w:eastAsiaTheme="minorEastAsia"/>
          <w:color w:val="000000"/>
          <w:sz w:val="24"/>
        </w:rPr>
      </w:pPr>
      <w:r w:rsidRPr="00405493">
        <w:rPr>
          <w:rFonts w:eastAsiaTheme="minorEastAsia"/>
          <w:color w:val="000000"/>
          <w:sz w:val="24"/>
        </w:rPr>
        <w:t>交银施罗德丰享收益债券型证券投资基金</w:t>
      </w:r>
    </w:p>
    <w:p w:rsidR="00220542" w:rsidRPr="00405493" w:rsidRDefault="00220542" w:rsidP="009D139A">
      <w:pPr>
        <w:pStyle w:val="a5"/>
        <w:snapToGrid w:val="0"/>
        <w:spacing w:before="29" w:line="288" w:lineRule="auto"/>
        <w:jc w:val="center"/>
        <w:rPr>
          <w:rFonts w:ascii="Times New Roman" w:hAnsi="Times New Roman"/>
          <w:color w:val="000000"/>
          <w:sz w:val="24"/>
          <w:szCs w:val="24"/>
        </w:rPr>
      </w:pPr>
      <w:r w:rsidRPr="00405493">
        <w:rPr>
          <w:rFonts w:ascii="Times New Roman" w:hAnsi="Times New Roman"/>
          <w:color w:val="000000"/>
          <w:sz w:val="24"/>
          <w:szCs w:val="24"/>
        </w:rPr>
        <w:t>累计</w:t>
      </w:r>
      <w:r w:rsidR="0064612A" w:rsidRPr="00405493">
        <w:rPr>
          <w:rFonts w:ascii="Times New Roman" w:hAnsi="Times New Roman"/>
          <w:color w:val="000000"/>
          <w:sz w:val="24"/>
          <w:szCs w:val="24"/>
        </w:rPr>
        <w:t>份额</w:t>
      </w:r>
      <w:r w:rsidRPr="00405493">
        <w:rPr>
          <w:rFonts w:ascii="Times New Roman" w:hAnsi="Times New Roman"/>
          <w:color w:val="000000"/>
          <w:sz w:val="24"/>
          <w:szCs w:val="24"/>
        </w:rPr>
        <w:t>净值增长率与业绩比较基准收益率</w:t>
      </w:r>
      <w:r w:rsidR="0064612A" w:rsidRPr="00405493">
        <w:rPr>
          <w:rFonts w:ascii="Times New Roman" w:hAnsi="Times New Roman"/>
          <w:color w:val="000000"/>
          <w:sz w:val="24"/>
          <w:szCs w:val="24"/>
        </w:rPr>
        <w:t>的</w:t>
      </w:r>
      <w:r w:rsidRPr="00405493">
        <w:rPr>
          <w:rFonts w:ascii="Times New Roman" w:hAnsi="Times New Roman"/>
          <w:color w:val="000000"/>
          <w:sz w:val="24"/>
          <w:szCs w:val="24"/>
        </w:rPr>
        <w:t>历史走势对比图</w:t>
      </w:r>
    </w:p>
    <w:p w:rsidR="0008426A" w:rsidRPr="00405493" w:rsidRDefault="00A05CC8" w:rsidP="009D139A">
      <w:pPr>
        <w:pStyle w:val="a5"/>
        <w:snapToGrid w:val="0"/>
        <w:spacing w:before="29" w:line="288" w:lineRule="auto"/>
        <w:ind w:firstLine="480"/>
        <w:jc w:val="center"/>
        <w:rPr>
          <w:rFonts w:ascii="Times New Roman" w:eastAsiaTheme="minorEastAsia" w:hAnsi="Times New Roman"/>
          <w:sz w:val="24"/>
          <w:szCs w:val="24"/>
        </w:rPr>
      </w:pPr>
      <w:r w:rsidRPr="00405493">
        <w:rPr>
          <w:rFonts w:ascii="Times New Roman" w:hAnsi="Times New Roman"/>
          <w:color w:val="000000"/>
          <w:sz w:val="24"/>
          <w:szCs w:val="24"/>
        </w:rPr>
        <w:t>（</w:t>
      </w:r>
      <w:r w:rsidR="00657453" w:rsidRPr="00405493">
        <w:rPr>
          <w:rFonts w:ascii="Times New Roman" w:eastAsiaTheme="minorEastAsia" w:hAnsi="Times New Roman"/>
          <w:sz w:val="24"/>
          <w:szCs w:val="24"/>
        </w:rPr>
        <w:t>2015</w:t>
      </w:r>
      <w:r w:rsidR="00657453" w:rsidRPr="00405493">
        <w:rPr>
          <w:rFonts w:ascii="Times New Roman" w:eastAsiaTheme="minorEastAsia" w:hAnsi="Times New Roman"/>
          <w:sz w:val="24"/>
          <w:szCs w:val="24"/>
        </w:rPr>
        <w:t>年</w:t>
      </w:r>
      <w:r w:rsidR="00657453" w:rsidRPr="00405493">
        <w:rPr>
          <w:rFonts w:ascii="Times New Roman" w:eastAsiaTheme="minorEastAsia" w:hAnsi="Times New Roman"/>
          <w:sz w:val="24"/>
          <w:szCs w:val="24"/>
        </w:rPr>
        <w:t>1</w:t>
      </w:r>
      <w:r w:rsidR="00657453" w:rsidRPr="00405493">
        <w:rPr>
          <w:rFonts w:ascii="Times New Roman" w:eastAsiaTheme="minorEastAsia" w:hAnsi="Times New Roman"/>
          <w:sz w:val="24"/>
          <w:szCs w:val="24"/>
        </w:rPr>
        <w:t>月</w:t>
      </w:r>
      <w:r w:rsidR="00657453" w:rsidRPr="00405493">
        <w:rPr>
          <w:rFonts w:ascii="Times New Roman" w:eastAsiaTheme="minorEastAsia" w:hAnsi="Times New Roman"/>
          <w:sz w:val="24"/>
          <w:szCs w:val="24"/>
        </w:rPr>
        <w:t>19</w:t>
      </w:r>
      <w:r w:rsidR="00657453" w:rsidRPr="00405493">
        <w:rPr>
          <w:rFonts w:ascii="Times New Roman" w:eastAsiaTheme="minorEastAsia" w:hAnsi="Times New Roman"/>
          <w:sz w:val="24"/>
          <w:szCs w:val="24"/>
        </w:rPr>
        <w:t>日</w:t>
      </w:r>
      <w:r w:rsidR="0008426A" w:rsidRPr="00405493">
        <w:rPr>
          <w:rFonts w:ascii="Times New Roman" w:hAnsi="Times New Roman"/>
          <w:sz w:val="24"/>
          <w:szCs w:val="24"/>
        </w:rPr>
        <w:t>至</w:t>
      </w:r>
      <w:r w:rsidR="0008426A" w:rsidRPr="00405493">
        <w:rPr>
          <w:rFonts w:ascii="Times New Roman" w:eastAsiaTheme="minorEastAsia" w:hAnsi="Times New Roman"/>
          <w:sz w:val="24"/>
          <w:szCs w:val="24"/>
        </w:rPr>
        <w:t>2016</w:t>
      </w:r>
      <w:r w:rsidR="0008426A" w:rsidRPr="00405493">
        <w:rPr>
          <w:rFonts w:ascii="Times New Roman" w:eastAsiaTheme="minorEastAsia" w:hAnsi="Times New Roman"/>
          <w:sz w:val="24"/>
          <w:szCs w:val="24"/>
        </w:rPr>
        <w:t>年</w:t>
      </w:r>
      <w:r w:rsidR="0008426A" w:rsidRPr="00405493">
        <w:rPr>
          <w:rFonts w:ascii="Times New Roman" w:eastAsiaTheme="minorEastAsia" w:hAnsi="Times New Roman"/>
          <w:sz w:val="24"/>
          <w:szCs w:val="24"/>
        </w:rPr>
        <w:t>12</w:t>
      </w:r>
      <w:r w:rsidR="0008426A" w:rsidRPr="00405493">
        <w:rPr>
          <w:rFonts w:ascii="Times New Roman" w:eastAsiaTheme="minorEastAsia" w:hAnsi="Times New Roman"/>
          <w:sz w:val="24"/>
          <w:szCs w:val="24"/>
        </w:rPr>
        <w:t>月</w:t>
      </w:r>
      <w:r w:rsidR="0008426A" w:rsidRPr="00405493">
        <w:rPr>
          <w:rFonts w:ascii="Times New Roman" w:eastAsiaTheme="minorEastAsia" w:hAnsi="Times New Roman"/>
          <w:sz w:val="24"/>
          <w:szCs w:val="24"/>
        </w:rPr>
        <w:t>31</w:t>
      </w:r>
      <w:r w:rsidR="0008426A" w:rsidRPr="00405493">
        <w:rPr>
          <w:rFonts w:ascii="Times New Roman" w:eastAsiaTheme="minorEastAsia" w:hAnsi="Times New Roman"/>
          <w:sz w:val="24"/>
          <w:szCs w:val="24"/>
        </w:rPr>
        <w:t>日</w:t>
      </w:r>
      <w:r w:rsidRPr="00405493">
        <w:rPr>
          <w:rFonts w:ascii="Times New Roman" w:hAnsi="Times New Roman"/>
          <w:color w:val="000000"/>
          <w:sz w:val="24"/>
          <w:szCs w:val="24"/>
        </w:rPr>
        <w:t>）</w:t>
      </w:r>
    </w:p>
    <w:p w:rsidR="00A45006" w:rsidRPr="00405493" w:rsidRDefault="001F49E6" w:rsidP="009D139A">
      <w:pPr>
        <w:tabs>
          <w:tab w:val="left" w:pos="1800"/>
        </w:tabs>
        <w:spacing w:before="29" w:line="288" w:lineRule="auto"/>
        <w:jc w:val="center"/>
        <w:rPr>
          <w:rFonts w:eastAsiaTheme="minorEastAsia"/>
          <w:color w:val="000000"/>
          <w:sz w:val="24"/>
        </w:rPr>
      </w:pPr>
      <w:r w:rsidRPr="00405493">
        <w:rPr>
          <w:rFonts w:eastAsiaTheme="minorEastAsia"/>
          <w:noProof/>
          <w:color w:val="000000"/>
          <w:sz w:val="24"/>
        </w:rPr>
        <w:drawing>
          <wp:inline distT="0" distB="0" distL="0" distR="0">
            <wp:extent cx="5731510" cy="3356610"/>
            <wp:effectExtent l="19050" t="0" r="2540" b="0"/>
            <wp:docPr id="2"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注：本基金建仓期为自基金合同生效日起的</w:t>
      </w:r>
      <w:r w:rsidRPr="00405493">
        <w:rPr>
          <w:rFonts w:eastAsiaTheme="minorEastAsia"/>
          <w:color w:val="000000"/>
          <w:sz w:val="24"/>
        </w:rPr>
        <w:t>6</w:t>
      </w:r>
      <w:r w:rsidRPr="00405493">
        <w:rPr>
          <w:rFonts w:eastAsiaTheme="minorEastAsia"/>
          <w:color w:val="000000"/>
          <w:sz w:val="24"/>
        </w:rPr>
        <w:t>个月。截至建仓期结束，本基金各项资产配置比例符合基金合同及招募说明书有关投资比例的约定。</w:t>
      </w:r>
    </w:p>
    <w:p w:rsidR="00A45006" w:rsidRPr="00405493" w:rsidRDefault="00A45006" w:rsidP="009D139A">
      <w:pPr>
        <w:tabs>
          <w:tab w:val="left" w:pos="1800"/>
        </w:tabs>
        <w:spacing w:before="29" w:line="288" w:lineRule="auto"/>
        <w:jc w:val="left"/>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§4  </w:t>
      </w:r>
      <w:r w:rsidRPr="00405493">
        <w:rPr>
          <w:color w:val="000000"/>
          <w:kern w:val="0"/>
          <w:sz w:val="24"/>
          <w:szCs w:val="24"/>
        </w:rPr>
        <w:t>管理人报告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4.1</w:t>
      </w:r>
      <w:r w:rsidRPr="00405493">
        <w:rPr>
          <w:b/>
          <w:color w:val="000000"/>
          <w:kern w:val="0"/>
          <w:sz w:val="24"/>
        </w:rPr>
        <w:t xml:space="preserve"> </w:t>
      </w:r>
      <w:r w:rsidRPr="00405493">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A0" w:firstRow="1" w:lastRow="0" w:firstColumn="1" w:lastColumn="0" w:noHBand="0" w:noVBand="0"/>
      </w:tblPr>
      <w:tblGrid>
        <w:gridCol w:w="846"/>
        <w:gridCol w:w="845"/>
        <w:gridCol w:w="1549"/>
        <w:gridCol w:w="1548"/>
        <w:gridCol w:w="1407"/>
        <w:gridCol w:w="2673"/>
      </w:tblGrid>
      <w:tr w:rsidR="00763A67" w:rsidRPr="00405493" w:rsidTr="008C2902">
        <w:trPr>
          <w:trHeight w:val="292"/>
          <w:jc w:val="center"/>
        </w:trPr>
        <w:tc>
          <w:tcPr>
            <w:tcW w:w="851"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姓名</w:t>
            </w:r>
          </w:p>
        </w:tc>
        <w:tc>
          <w:tcPr>
            <w:tcW w:w="850"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职务</w:t>
            </w:r>
          </w:p>
        </w:tc>
        <w:tc>
          <w:tcPr>
            <w:tcW w:w="3119" w:type="dxa"/>
            <w:gridSpan w:val="2"/>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任本基金的基金经理期限</w:t>
            </w:r>
          </w:p>
        </w:tc>
        <w:tc>
          <w:tcPr>
            <w:tcW w:w="1417" w:type="dxa"/>
            <w:vMerge w:val="restart"/>
            <w:vAlign w:val="center"/>
          </w:tcPr>
          <w:p w:rsidR="00763A67" w:rsidRPr="00405493" w:rsidRDefault="00763A67" w:rsidP="009D139A">
            <w:pPr>
              <w:autoSpaceDE w:val="0"/>
              <w:autoSpaceDN w:val="0"/>
              <w:adjustRightInd w:val="0"/>
              <w:spacing w:before="29" w:line="288" w:lineRule="auto"/>
              <w:ind w:left="17"/>
              <w:jc w:val="center"/>
              <w:rPr>
                <w:color w:val="000000"/>
                <w:kern w:val="0"/>
                <w:sz w:val="24"/>
              </w:rPr>
            </w:pPr>
            <w:r w:rsidRPr="00405493">
              <w:rPr>
                <w:color w:val="000000"/>
                <w:kern w:val="0"/>
                <w:sz w:val="24"/>
              </w:rPr>
              <w:t>证券从业年限</w:t>
            </w:r>
          </w:p>
        </w:tc>
        <w:tc>
          <w:tcPr>
            <w:tcW w:w="2694" w:type="dxa"/>
            <w:vMerge w:val="restart"/>
            <w:vAlign w:val="center"/>
          </w:tcPr>
          <w:p w:rsidR="00763A67" w:rsidRPr="00405493" w:rsidRDefault="00763A67" w:rsidP="009D139A">
            <w:pPr>
              <w:widowControl/>
              <w:spacing w:before="29" w:line="288" w:lineRule="auto"/>
              <w:ind w:left="17"/>
              <w:jc w:val="center"/>
              <w:rPr>
                <w:color w:val="000000"/>
                <w:kern w:val="0"/>
                <w:sz w:val="24"/>
              </w:rPr>
            </w:pPr>
            <w:r w:rsidRPr="00405493">
              <w:rPr>
                <w:color w:val="000000"/>
                <w:kern w:val="0"/>
                <w:sz w:val="24"/>
              </w:rPr>
              <w:t>说明</w:t>
            </w:r>
          </w:p>
        </w:tc>
      </w:tr>
      <w:tr w:rsidR="00763A67" w:rsidRPr="00405493" w:rsidTr="008C2902">
        <w:trPr>
          <w:jc w:val="center"/>
        </w:trPr>
        <w:tc>
          <w:tcPr>
            <w:tcW w:w="851"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850"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1560"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任职日期</w:t>
            </w:r>
          </w:p>
        </w:tc>
        <w:tc>
          <w:tcPr>
            <w:tcW w:w="1559" w:type="dxa"/>
            <w:vAlign w:val="center"/>
          </w:tcPr>
          <w:p w:rsidR="00763A67" w:rsidRPr="00405493" w:rsidRDefault="00763A67"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离任日期</w:t>
            </w:r>
          </w:p>
        </w:tc>
        <w:tc>
          <w:tcPr>
            <w:tcW w:w="1417"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c>
          <w:tcPr>
            <w:tcW w:w="2694" w:type="dxa"/>
            <w:vMerge/>
            <w:vAlign w:val="center"/>
          </w:tcPr>
          <w:p w:rsidR="00763A67" w:rsidRPr="00405493" w:rsidRDefault="00763A67" w:rsidP="009D139A">
            <w:pPr>
              <w:widowControl/>
              <w:spacing w:before="29" w:line="288" w:lineRule="auto"/>
              <w:jc w:val="left"/>
              <w:rPr>
                <w:rFonts w:eastAsiaTheme="minorEastAsia"/>
                <w:color w:val="000000"/>
                <w:kern w:val="0"/>
                <w:sz w:val="24"/>
              </w:rPr>
            </w:pPr>
          </w:p>
        </w:tc>
      </w:tr>
      <w:tr w:rsidR="00A8298C">
        <w:trPr>
          <w:jc w:val="center"/>
        </w:trPr>
        <w:tc>
          <w:tcPr>
            <w:tcW w:w="846" w:type="dxa"/>
            <w:vAlign w:val="center"/>
          </w:tcPr>
          <w:p w:rsidR="00A8298C" w:rsidRDefault="009835AA">
            <w:pPr>
              <w:jc w:val="center"/>
            </w:pPr>
            <w:r>
              <w:rPr>
                <w:rFonts w:eastAsiaTheme="minorEastAsia"/>
                <w:color w:val="000000"/>
                <w:sz w:val="24"/>
              </w:rPr>
              <w:t>孙超</w:t>
            </w:r>
          </w:p>
        </w:tc>
        <w:tc>
          <w:tcPr>
            <w:tcW w:w="845" w:type="dxa"/>
            <w:vAlign w:val="center"/>
          </w:tcPr>
          <w:p w:rsidR="00A8298C" w:rsidRDefault="009835AA">
            <w:pPr>
              <w:jc w:val="center"/>
            </w:pPr>
            <w:r>
              <w:rPr>
                <w:rFonts w:eastAsiaTheme="minorEastAsia"/>
                <w:color w:val="000000"/>
                <w:sz w:val="24"/>
              </w:rPr>
              <w:t>交银增利债券、交银纯债债券发起、交银荣祥保本混合、交银定期支付月月丰债券、交银增强收益债券、交银强化回报债券、交银丰润收益债券、交银丰享收益债券、交银丰泽收益债券、交银丰硕收益债券、交银荣鑫保本混合的基金经理，公司固定收益部助理总经理</w:t>
            </w:r>
          </w:p>
        </w:tc>
        <w:tc>
          <w:tcPr>
            <w:tcW w:w="1549" w:type="dxa"/>
            <w:vAlign w:val="center"/>
          </w:tcPr>
          <w:p w:rsidR="00A8298C" w:rsidRDefault="009835AA">
            <w:pPr>
              <w:jc w:val="center"/>
            </w:pPr>
            <w:r>
              <w:rPr>
                <w:rFonts w:eastAsiaTheme="minorEastAsia"/>
                <w:color w:val="000000"/>
                <w:sz w:val="24"/>
              </w:rPr>
              <w:t>2015-01-19</w:t>
            </w:r>
          </w:p>
        </w:tc>
        <w:tc>
          <w:tcPr>
            <w:tcW w:w="1548" w:type="dxa"/>
            <w:vAlign w:val="center"/>
          </w:tcPr>
          <w:p w:rsidR="00A8298C" w:rsidRDefault="009835AA">
            <w:pPr>
              <w:jc w:val="center"/>
            </w:pPr>
            <w:r>
              <w:rPr>
                <w:rFonts w:eastAsiaTheme="minorEastAsia"/>
                <w:color w:val="000000"/>
                <w:sz w:val="24"/>
              </w:rPr>
              <w:t>-</w:t>
            </w:r>
          </w:p>
        </w:tc>
        <w:tc>
          <w:tcPr>
            <w:tcW w:w="1407" w:type="dxa"/>
            <w:vAlign w:val="center"/>
          </w:tcPr>
          <w:p w:rsidR="00A8298C" w:rsidRDefault="009835AA">
            <w:pPr>
              <w:jc w:val="center"/>
            </w:pPr>
            <w:r>
              <w:rPr>
                <w:rFonts w:eastAsiaTheme="minorEastAsia"/>
                <w:color w:val="000000"/>
                <w:sz w:val="24"/>
              </w:rPr>
              <w:t>5</w:t>
            </w:r>
            <w:r>
              <w:rPr>
                <w:rFonts w:eastAsiaTheme="minorEastAsia"/>
                <w:color w:val="000000"/>
                <w:sz w:val="24"/>
              </w:rPr>
              <w:t>年</w:t>
            </w:r>
          </w:p>
        </w:tc>
        <w:tc>
          <w:tcPr>
            <w:tcW w:w="2673" w:type="dxa"/>
            <w:vAlign w:val="center"/>
          </w:tcPr>
          <w:p w:rsidR="00A8298C" w:rsidRDefault="009835AA">
            <w:r>
              <w:rPr>
                <w:rFonts w:eastAsiaTheme="minorEastAsia"/>
                <w:color w:val="000000"/>
                <w:sz w:val="24"/>
              </w:rPr>
              <w:t>孙超先生，美国哥伦比亚大学经济学硕士。历任中信建投证券股份有限公司资产管理部经理、高级经理。</w:t>
            </w:r>
            <w:r>
              <w:rPr>
                <w:rFonts w:eastAsiaTheme="minorEastAsia"/>
                <w:color w:val="000000"/>
                <w:sz w:val="24"/>
              </w:rPr>
              <w:t>2013</w:t>
            </w:r>
            <w:r>
              <w:rPr>
                <w:rFonts w:eastAsiaTheme="minorEastAsia"/>
                <w:color w:val="000000"/>
                <w:sz w:val="24"/>
              </w:rPr>
              <w:t>年加入交银施罗德基金管理有限公司，历任基金经理助理。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日担任交银施罗德理财</w:t>
            </w:r>
            <w:r>
              <w:rPr>
                <w:rFonts w:eastAsiaTheme="minorEastAsia"/>
                <w:color w:val="000000"/>
                <w:sz w:val="24"/>
              </w:rPr>
              <w:t>60</w:t>
            </w:r>
            <w:r>
              <w:rPr>
                <w:rFonts w:eastAsiaTheme="minorEastAsia"/>
                <w:color w:val="000000"/>
                <w:sz w:val="24"/>
              </w:rPr>
              <w:t>天债券型证券投资基金基金经理，</w:t>
            </w:r>
            <w:r>
              <w:rPr>
                <w:rFonts w:eastAsiaTheme="minorEastAsia"/>
                <w:color w:val="000000"/>
                <w:sz w:val="24"/>
              </w:rPr>
              <w:t>2014</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26</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17</w:t>
            </w:r>
            <w:r>
              <w:rPr>
                <w:rFonts w:eastAsiaTheme="minorEastAsia"/>
                <w:color w:val="000000"/>
                <w:sz w:val="24"/>
              </w:rPr>
              <w:t>日担任交银施罗德双轮动债券型证券投资基金基金经理，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7</w:t>
            </w:r>
            <w:r>
              <w:rPr>
                <w:rFonts w:eastAsiaTheme="minorEastAsia"/>
                <w:color w:val="000000"/>
                <w:sz w:val="24"/>
              </w:rPr>
              <w:t>日至</w:t>
            </w:r>
            <w:r>
              <w:rPr>
                <w:rFonts w:eastAsiaTheme="minorEastAsia"/>
                <w:color w:val="000000"/>
                <w:sz w:val="24"/>
              </w:rPr>
              <w:t>2016</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29</w:t>
            </w:r>
            <w:r>
              <w:rPr>
                <w:rFonts w:eastAsiaTheme="minorEastAsia"/>
                <w:color w:val="000000"/>
                <w:sz w:val="24"/>
              </w:rPr>
              <w:t>日担任交银施罗德荣泰保本混合型证券投资基金</w:t>
            </w:r>
            <w:r>
              <w:rPr>
                <w:rFonts w:eastAsiaTheme="minorEastAsia" w:hint="eastAsia"/>
                <w:color w:val="000000"/>
                <w:sz w:val="24"/>
              </w:rPr>
              <w:t>基金经理</w:t>
            </w:r>
            <w:r>
              <w:rPr>
                <w:rFonts w:eastAsiaTheme="minorEastAsia"/>
                <w:color w:val="000000"/>
                <w:sz w:val="24"/>
              </w:rPr>
              <w:t>。</w:t>
            </w:r>
          </w:p>
        </w:tc>
      </w:tr>
      <w:tr w:rsidR="00A8298C">
        <w:trPr>
          <w:jc w:val="center"/>
        </w:trPr>
        <w:tc>
          <w:tcPr>
            <w:tcW w:w="846" w:type="dxa"/>
            <w:vAlign w:val="center"/>
          </w:tcPr>
          <w:p w:rsidR="00A8298C" w:rsidRDefault="009835AA">
            <w:pPr>
              <w:jc w:val="center"/>
            </w:pPr>
            <w:r>
              <w:rPr>
                <w:rFonts w:eastAsiaTheme="minorEastAsia"/>
                <w:color w:val="000000"/>
                <w:sz w:val="24"/>
              </w:rPr>
              <w:t>黄莹洁</w:t>
            </w:r>
          </w:p>
        </w:tc>
        <w:tc>
          <w:tcPr>
            <w:tcW w:w="845" w:type="dxa"/>
            <w:vAlign w:val="center"/>
          </w:tcPr>
          <w:p w:rsidR="00A8298C" w:rsidRDefault="009835AA">
            <w:pPr>
              <w:jc w:val="center"/>
            </w:pPr>
            <w:r>
              <w:rPr>
                <w:rFonts w:eastAsiaTheme="minorEastAsia"/>
                <w:color w:val="000000"/>
                <w:sz w:val="24"/>
              </w:rPr>
              <w:t>交银货币、交银理财</w:t>
            </w:r>
            <w:r>
              <w:rPr>
                <w:rFonts w:eastAsiaTheme="minorEastAsia"/>
                <w:color w:val="000000"/>
                <w:sz w:val="24"/>
              </w:rPr>
              <w:t>21</w:t>
            </w:r>
            <w:r>
              <w:rPr>
                <w:rFonts w:eastAsiaTheme="minorEastAsia"/>
                <w:color w:val="000000"/>
                <w:sz w:val="24"/>
              </w:rPr>
              <w:t>天债券、交银现金宝货币、交银丰享收益债券、交银丰泽收益债券、交银裕通纯债债券、交银活期通货币、交银天利宝货币、交银裕隆纯债债券、交银天鑫宝货币、交银天益宝货币的基金经理</w:t>
            </w:r>
          </w:p>
        </w:tc>
        <w:tc>
          <w:tcPr>
            <w:tcW w:w="1549" w:type="dxa"/>
            <w:vAlign w:val="center"/>
          </w:tcPr>
          <w:p w:rsidR="00A8298C" w:rsidRDefault="009835AA">
            <w:pPr>
              <w:jc w:val="center"/>
            </w:pPr>
            <w:r>
              <w:rPr>
                <w:rFonts w:eastAsiaTheme="minorEastAsia"/>
                <w:color w:val="000000"/>
                <w:sz w:val="24"/>
              </w:rPr>
              <w:t>2015-07-25</w:t>
            </w:r>
          </w:p>
        </w:tc>
        <w:tc>
          <w:tcPr>
            <w:tcW w:w="1548" w:type="dxa"/>
            <w:vAlign w:val="center"/>
          </w:tcPr>
          <w:p w:rsidR="00A8298C" w:rsidRDefault="009835AA">
            <w:pPr>
              <w:jc w:val="center"/>
            </w:pPr>
            <w:r>
              <w:rPr>
                <w:rFonts w:eastAsiaTheme="minorEastAsia"/>
                <w:color w:val="000000"/>
                <w:sz w:val="24"/>
              </w:rPr>
              <w:t>-</w:t>
            </w:r>
          </w:p>
        </w:tc>
        <w:tc>
          <w:tcPr>
            <w:tcW w:w="1407" w:type="dxa"/>
            <w:vAlign w:val="center"/>
          </w:tcPr>
          <w:p w:rsidR="00A8298C" w:rsidRDefault="009835AA">
            <w:pPr>
              <w:jc w:val="center"/>
            </w:pPr>
            <w:r>
              <w:rPr>
                <w:rFonts w:eastAsiaTheme="minorEastAsia"/>
                <w:color w:val="000000"/>
                <w:sz w:val="24"/>
              </w:rPr>
              <w:t>8</w:t>
            </w:r>
            <w:r>
              <w:rPr>
                <w:rFonts w:eastAsiaTheme="minorEastAsia"/>
                <w:color w:val="000000"/>
                <w:sz w:val="24"/>
              </w:rPr>
              <w:t>年</w:t>
            </w:r>
          </w:p>
        </w:tc>
        <w:tc>
          <w:tcPr>
            <w:tcW w:w="2673" w:type="dxa"/>
            <w:vAlign w:val="center"/>
          </w:tcPr>
          <w:p w:rsidR="00A8298C" w:rsidRDefault="009835AA">
            <w:r>
              <w:rPr>
                <w:rFonts w:eastAsiaTheme="minorEastAsia"/>
                <w:color w:val="000000"/>
                <w:sz w:val="24"/>
              </w:rPr>
              <w:t>黄莹洁女士，香港大学工商管理硕士、北京大学经济学、管理学双学士。历任中海基金管理有限公司交易员。</w:t>
            </w:r>
            <w:r>
              <w:rPr>
                <w:rFonts w:eastAsiaTheme="minorEastAsia"/>
                <w:color w:val="000000"/>
                <w:sz w:val="24"/>
              </w:rPr>
              <w:t>2012</w:t>
            </w:r>
            <w:r>
              <w:rPr>
                <w:rFonts w:eastAsiaTheme="minorEastAsia"/>
                <w:color w:val="000000"/>
                <w:sz w:val="24"/>
              </w:rPr>
              <w:t>年加入交银施罗德基金管理有限公司，历任中央交易室交易员。</w:t>
            </w:r>
          </w:p>
        </w:tc>
      </w:tr>
    </w:tbl>
    <w:p w:rsidR="00220542" w:rsidRPr="00405493"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注：基金经理（或基金经理小组）期后变动（如有）敬请关注基金管理人发布的相关公告。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bCs/>
          <w:color w:val="000000"/>
          <w:sz w:val="24"/>
        </w:rPr>
      </w:pPr>
      <w:r w:rsidRPr="00405493">
        <w:rPr>
          <w:rFonts w:eastAsiaTheme="minorEastAsia"/>
          <w:b/>
          <w:color w:val="000000"/>
          <w:kern w:val="0"/>
          <w:sz w:val="24"/>
        </w:rPr>
        <w:t>4.2</w:t>
      </w:r>
      <w:r w:rsidR="009B3AC4" w:rsidRPr="00405493">
        <w:rPr>
          <w:rFonts w:eastAsiaTheme="minorEastAsia"/>
          <w:b/>
          <w:color w:val="000000"/>
          <w:kern w:val="0"/>
          <w:sz w:val="24"/>
        </w:rPr>
        <w:t xml:space="preserve"> </w:t>
      </w:r>
      <w:r w:rsidR="00BB49E0" w:rsidRPr="00405493">
        <w:rPr>
          <w:b/>
          <w:color w:val="000000"/>
          <w:kern w:val="0"/>
          <w:sz w:val="24"/>
        </w:rPr>
        <w:t>管理人对报告期内本基金运作遵规守信情况的说明</w:t>
      </w:r>
    </w:p>
    <w:p w:rsidR="00220542"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4.3 </w:t>
      </w:r>
      <w:r w:rsidRPr="00405493">
        <w:rPr>
          <w:b/>
          <w:color w:val="000000"/>
          <w:kern w:val="0"/>
          <w:sz w:val="24"/>
        </w:rPr>
        <w:t>公平交易专项说明</w:t>
      </w:r>
    </w:p>
    <w:p w:rsidR="00540865" w:rsidRPr="00405493" w:rsidRDefault="00540865" w:rsidP="009D139A">
      <w:pPr>
        <w:spacing w:before="29" w:line="288" w:lineRule="auto"/>
        <w:rPr>
          <w:rFonts w:eastAsia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405493">
          <w:rPr>
            <w:rFonts w:eastAsiaTheme="minorEastAsia"/>
            <w:sz w:val="24"/>
          </w:rPr>
          <w:t>4.3.1</w:t>
        </w:r>
      </w:smartTag>
      <w:r w:rsidRPr="00405493">
        <w:rPr>
          <w:sz w:val="24"/>
        </w:rPr>
        <w:t>公平交易制度的执行情况</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报告期内本公司严格执行公平交易制度，公平对待旗下各投资组合，未发现任何违反公平交易的行为。</w:t>
      </w:r>
    </w:p>
    <w:p w:rsidR="00540865" w:rsidRPr="00405493" w:rsidRDefault="00540865" w:rsidP="009D139A">
      <w:pPr>
        <w:spacing w:before="29" w:line="288" w:lineRule="auto"/>
        <w:rPr>
          <w:rFonts w:eastAsiaTheme="minorEastAsia"/>
          <w:sz w:val="24"/>
        </w:rPr>
      </w:pPr>
      <w:r w:rsidRPr="00405493">
        <w:rPr>
          <w:rFonts w:eastAsiaTheme="minorEastAsia"/>
          <w:sz w:val="24"/>
        </w:rPr>
        <w:t>4.3.</w:t>
      </w:r>
      <w:r w:rsidR="000F3E6A" w:rsidRPr="00405493">
        <w:rPr>
          <w:rFonts w:eastAsiaTheme="minorEastAsia"/>
          <w:sz w:val="24"/>
        </w:rPr>
        <w:t>2</w:t>
      </w:r>
      <w:r w:rsidRPr="00405493">
        <w:rPr>
          <w:sz w:val="24"/>
        </w:rPr>
        <w:t>异常交易行为的专项说明</w:t>
      </w:r>
    </w:p>
    <w:p w:rsidR="00540865"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本基金于本报告期内未发现异常交易行为。本报告期内，本公司管理的所有投资组合参与的交易所公开竞价同日反向交易成交较少的单边交易量超过该证券当日总成交量</w:t>
      </w:r>
      <w:r w:rsidRPr="00405493">
        <w:rPr>
          <w:rFonts w:eastAsiaTheme="minorEastAsia"/>
          <w:color w:val="000000"/>
          <w:sz w:val="24"/>
        </w:rPr>
        <w:t>5%</w:t>
      </w:r>
      <w:r w:rsidRPr="00405493">
        <w:rPr>
          <w:rFonts w:eastAsiaTheme="minorEastAsia"/>
          <w:color w:val="000000"/>
          <w:sz w:val="24"/>
        </w:rPr>
        <w:t>的情况有</w:t>
      </w:r>
      <w:r w:rsidRPr="00405493">
        <w:rPr>
          <w:rFonts w:eastAsiaTheme="minorEastAsia"/>
          <w:color w:val="000000"/>
          <w:sz w:val="24"/>
        </w:rPr>
        <w:t>1</w:t>
      </w:r>
      <w:r w:rsidRPr="00405493">
        <w:rPr>
          <w:rFonts w:eastAsiaTheme="minorEastAsia"/>
          <w:color w:val="000000"/>
          <w:sz w:val="24"/>
        </w:rPr>
        <w:t>次，是投资组合因投资策略需要而发生同日反向交易，未发现不公平交易和利益输送的情况。本基金与本公司管理的其他投资组合在不同时间窗下（如日内、</w:t>
      </w:r>
      <w:r w:rsidRPr="00405493">
        <w:rPr>
          <w:rFonts w:eastAsiaTheme="minorEastAsia"/>
          <w:color w:val="000000"/>
          <w:sz w:val="24"/>
        </w:rPr>
        <w:t>3</w:t>
      </w:r>
      <w:r w:rsidRPr="00405493">
        <w:rPr>
          <w:rFonts w:eastAsiaTheme="minorEastAsia"/>
          <w:color w:val="000000"/>
          <w:sz w:val="24"/>
        </w:rPr>
        <w:t>日内、</w:t>
      </w:r>
      <w:r w:rsidRPr="00405493">
        <w:rPr>
          <w:rFonts w:eastAsiaTheme="minorEastAsia"/>
          <w:color w:val="000000"/>
          <w:sz w:val="24"/>
        </w:rPr>
        <w:t>5</w:t>
      </w:r>
      <w:r w:rsidRPr="00405493">
        <w:rPr>
          <w:rFonts w:eastAsiaTheme="minorEastAsia"/>
          <w:color w:val="000000"/>
          <w:sz w:val="24"/>
        </w:rPr>
        <w:t>日内）同向交易的交易价差未发现异常。</w:t>
      </w:r>
    </w:p>
    <w:p w:rsidR="00220542" w:rsidRPr="00405493" w:rsidRDefault="00220542" w:rsidP="009D139A">
      <w:pPr>
        <w:spacing w:before="29" w:line="288" w:lineRule="auto"/>
        <w:ind w:firstLineChars="200" w:firstLine="480"/>
        <w:rPr>
          <w:rFonts w:eastAsiaTheme="minorEastAsia"/>
          <w:color w:val="000000"/>
          <w:sz w:val="24"/>
        </w:rPr>
      </w:pPr>
    </w:p>
    <w:p w:rsidR="0097689C" w:rsidRPr="00405493" w:rsidRDefault="009D2E53" w:rsidP="009D139A">
      <w:pPr>
        <w:spacing w:before="29" w:line="288" w:lineRule="auto"/>
        <w:rPr>
          <w:rFonts w:eastAsiaTheme="minorEastAsia"/>
          <w:sz w:val="24"/>
        </w:rPr>
      </w:pPr>
      <w:r w:rsidRPr="00405493">
        <w:rPr>
          <w:b/>
          <w:color w:val="000000"/>
          <w:kern w:val="0"/>
          <w:sz w:val="24"/>
        </w:rPr>
        <w:t>4.4</w:t>
      </w:r>
      <w:r w:rsidR="009B3AC4" w:rsidRPr="00405493">
        <w:rPr>
          <w:b/>
          <w:color w:val="000000"/>
          <w:kern w:val="0"/>
          <w:sz w:val="24"/>
        </w:rPr>
        <w:t xml:space="preserve"> </w:t>
      </w:r>
      <w:r w:rsidRPr="00405493">
        <w:rPr>
          <w:b/>
          <w:color w:val="000000"/>
          <w:kern w:val="0"/>
          <w:sz w:val="24"/>
        </w:rPr>
        <w:t>报告期内基金的投资策略和运作分析</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本报告期内，国内经济整体上延续弱势平稳的态势。央行货币政策中性偏紧，防止楼市过热和金融资产泡沫风险，以公开市场操作与定向工具为主稳定市场资金面。通胀压力显现、监管从紧对资金面的影响等因素带来债券市场的大幅调整。</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基金操作方面，本基金封闭期即将到期，择机减持债券以保持组合的流动性，报告期内运作稳健。</w:t>
      </w:r>
    </w:p>
    <w:p w:rsidR="0097689C" w:rsidRPr="00405493" w:rsidRDefault="00763A67" w:rsidP="008A14EE">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展望</w:t>
      </w:r>
      <w:r w:rsidRPr="00405493">
        <w:rPr>
          <w:rFonts w:eastAsiaTheme="minorEastAsia"/>
          <w:color w:val="000000"/>
          <w:sz w:val="24"/>
        </w:rPr>
        <w:t>2017</w:t>
      </w:r>
      <w:r w:rsidRPr="00405493">
        <w:rPr>
          <w:rFonts w:eastAsiaTheme="minorEastAsia"/>
          <w:color w:val="000000"/>
          <w:sz w:val="24"/>
        </w:rPr>
        <w:t>年一季度，短期看，</w:t>
      </w:r>
      <w:r w:rsidRPr="00405493">
        <w:rPr>
          <w:rFonts w:eastAsiaTheme="minorEastAsia"/>
          <w:color w:val="000000"/>
          <w:sz w:val="24"/>
        </w:rPr>
        <w:t>PPI</w:t>
      </w:r>
      <w:r w:rsidRPr="00405493">
        <w:rPr>
          <w:rFonts w:eastAsiaTheme="minorEastAsia"/>
          <w:color w:val="000000"/>
          <w:sz w:val="24"/>
        </w:rPr>
        <w:t>反转或带来制造业企业盈利改善，但三产承压，地产调控升级，稳增长依然着力基建，经济增速预计平稳下行。近期债市恐慌情绪有所缓解，市场走势预计将回归基本面，因此我们对债市表现持谨慎乐观态度。组合管理方面，本基金将维持合理仓位，匹配组合流动性需求，力争为投资者创造较为稳健的收益回报。</w:t>
      </w:r>
    </w:p>
    <w:p w:rsidR="00B05273" w:rsidRPr="00405493" w:rsidRDefault="00B05273" w:rsidP="009D139A">
      <w:pPr>
        <w:autoSpaceDE w:val="0"/>
        <w:autoSpaceDN w:val="0"/>
        <w:adjustRightInd w:val="0"/>
        <w:spacing w:before="29" w:line="288" w:lineRule="auto"/>
        <w:rPr>
          <w:rFonts w:eastAsiaTheme="minorEastAsia"/>
          <w:color w:val="000000"/>
          <w:sz w:val="24"/>
        </w:rPr>
      </w:pPr>
    </w:p>
    <w:p w:rsidR="0097689C" w:rsidRPr="00405493" w:rsidRDefault="009D2E53" w:rsidP="009D139A">
      <w:pPr>
        <w:spacing w:before="29" w:line="288" w:lineRule="auto"/>
        <w:rPr>
          <w:b/>
          <w:color w:val="000000"/>
          <w:kern w:val="0"/>
          <w:sz w:val="24"/>
        </w:rPr>
      </w:pPr>
      <w:r w:rsidRPr="00405493">
        <w:rPr>
          <w:b/>
          <w:color w:val="000000"/>
          <w:kern w:val="0"/>
          <w:sz w:val="24"/>
        </w:rPr>
        <w:t>4.5</w:t>
      </w:r>
      <w:r w:rsidR="009B3AC4" w:rsidRPr="00405493">
        <w:rPr>
          <w:b/>
          <w:color w:val="000000"/>
          <w:kern w:val="0"/>
          <w:sz w:val="24"/>
        </w:rPr>
        <w:t xml:space="preserve"> </w:t>
      </w:r>
      <w:r w:rsidRPr="00405493">
        <w:rPr>
          <w:b/>
          <w:color w:val="000000"/>
          <w:kern w:val="0"/>
          <w:sz w:val="24"/>
        </w:rPr>
        <w:t>报告期内基金的业绩表现</w:t>
      </w:r>
    </w:p>
    <w:p w:rsidR="0097689C" w:rsidRPr="00405493" w:rsidRDefault="00763A67"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截至</w:t>
      </w:r>
      <w:r w:rsidRPr="00405493">
        <w:rPr>
          <w:rFonts w:eastAsiaTheme="minorEastAsia"/>
          <w:color w:val="000000"/>
          <w:sz w:val="24"/>
        </w:rPr>
        <w:t>2016</w:t>
      </w:r>
      <w:r w:rsidRPr="00405493">
        <w:rPr>
          <w:rFonts w:eastAsiaTheme="minorEastAsia"/>
          <w:color w:val="000000"/>
          <w:sz w:val="24"/>
        </w:rPr>
        <w:t>年</w:t>
      </w:r>
      <w:r w:rsidRPr="00405493">
        <w:rPr>
          <w:rFonts w:eastAsiaTheme="minorEastAsia"/>
          <w:color w:val="000000"/>
          <w:sz w:val="24"/>
        </w:rPr>
        <w:t>12</w:t>
      </w:r>
      <w:r w:rsidRPr="00405493">
        <w:rPr>
          <w:rFonts w:eastAsiaTheme="minorEastAsia"/>
          <w:color w:val="000000"/>
          <w:sz w:val="24"/>
        </w:rPr>
        <w:t>月</w:t>
      </w:r>
      <w:r w:rsidRPr="00405493">
        <w:rPr>
          <w:rFonts w:eastAsiaTheme="minorEastAsia"/>
          <w:color w:val="000000"/>
          <w:sz w:val="24"/>
        </w:rPr>
        <w:t>31</w:t>
      </w:r>
      <w:r w:rsidRPr="00405493">
        <w:rPr>
          <w:rFonts w:eastAsiaTheme="minorEastAsia"/>
          <w:color w:val="000000"/>
          <w:sz w:val="24"/>
        </w:rPr>
        <w:t>日，本基金份额净值为</w:t>
      </w:r>
      <w:r w:rsidRPr="00405493">
        <w:rPr>
          <w:rFonts w:eastAsiaTheme="minorEastAsia"/>
          <w:color w:val="000000"/>
          <w:sz w:val="24"/>
        </w:rPr>
        <w:t>1.008</w:t>
      </w:r>
      <w:r w:rsidRPr="00405493">
        <w:rPr>
          <w:rFonts w:eastAsiaTheme="minorEastAsia"/>
          <w:color w:val="000000"/>
          <w:sz w:val="24"/>
        </w:rPr>
        <w:t>元，本报告期份额净值增长率为</w:t>
      </w:r>
      <w:r w:rsidRPr="00405493">
        <w:rPr>
          <w:rFonts w:eastAsiaTheme="minorEastAsia"/>
          <w:color w:val="000000"/>
          <w:sz w:val="24"/>
        </w:rPr>
        <w:t>-0.29%</w:t>
      </w:r>
      <w:r w:rsidRPr="00405493">
        <w:rPr>
          <w:rFonts w:eastAsiaTheme="minorEastAsia"/>
          <w:color w:val="000000"/>
          <w:sz w:val="24"/>
        </w:rPr>
        <w:t>，同期业绩比较基准增长率为</w:t>
      </w:r>
      <w:r w:rsidRPr="00405493">
        <w:rPr>
          <w:rFonts w:eastAsiaTheme="minorEastAsia"/>
          <w:color w:val="000000"/>
          <w:sz w:val="24"/>
        </w:rPr>
        <w:t>0.54%</w:t>
      </w:r>
      <w:r w:rsidRPr="00405493">
        <w:rPr>
          <w:rFonts w:eastAsiaTheme="minorEastAsia"/>
          <w:color w:val="000000"/>
          <w:sz w:val="24"/>
        </w:rPr>
        <w:t>。</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D70CBF" w:rsidRPr="002070B4" w:rsidRDefault="00D70CBF" w:rsidP="00D70CBF">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D70CBF" w:rsidRDefault="00D70CBF" w:rsidP="00D70CBF">
      <w:pPr>
        <w:spacing w:before="29" w:line="288" w:lineRule="auto"/>
        <w:ind w:firstLineChars="200" w:firstLine="480"/>
        <w:rPr>
          <w:color w:val="000000"/>
          <w:sz w:val="24"/>
        </w:rPr>
      </w:pPr>
      <w:r w:rsidRPr="002070B4">
        <w:rPr>
          <w:color w:val="000000"/>
          <w:sz w:val="24"/>
        </w:rPr>
        <w:t>本基金本报告期内无需预警说明。</w:t>
      </w:r>
    </w:p>
    <w:p w:rsidR="00B05273" w:rsidRPr="00405493" w:rsidRDefault="00B05273"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220542" w:rsidP="00926032">
      <w:pPr>
        <w:pStyle w:val="1"/>
        <w:spacing w:beforeLines="100" w:before="312" w:afterLines="100" w:after="312" w:line="288" w:lineRule="auto"/>
        <w:jc w:val="center"/>
        <w:rPr>
          <w:rFonts w:eastAsiaTheme="minorEastAsia"/>
          <w:color w:val="000000"/>
          <w:kern w:val="0"/>
          <w:sz w:val="24"/>
          <w:szCs w:val="24"/>
        </w:rPr>
      </w:pPr>
      <w:r w:rsidRPr="00405493">
        <w:rPr>
          <w:rFonts w:eastAsiaTheme="minorEastAsia"/>
          <w:color w:val="000000"/>
          <w:kern w:val="0"/>
          <w:sz w:val="24"/>
          <w:szCs w:val="24"/>
        </w:rPr>
        <w:t xml:space="preserve">§5 </w:t>
      </w:r>
      <w:r w:rsidRPr="00405493">
        <w:rPr>
          <w:color w:val="000000"/>
          <w:kern w:val="0"/>
          <w:sz w:val="24"/>
          <w:szCs w:val="24"/>
        </w:rPr>
        <w:t xml:space="preserve"> </w:t>
      </w:r>
      <w:r w:rsidRPr="00405493">
        <w:rPr>
          <w:color w:val="000000"/>
          <w:kern w:val="0"/>
          <w:sz w:val="24"/>
          <w:szCs w:val="24"/>
        </w:rPr>
        <w:t>投资组合报告</w:t>
      </w: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5.1 </w:t>
      </w:r>
      <w:r w:rsidRPr="00405493">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序号</w:t>
            </w:r>
          </w:p>
        </w:tc>
        <w:tc>
          <w:tcPr>
            <w:tcW w:w="3357"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项目</w:t>
            </w:r>
          </w:p>
        </w:tc>
        <w:tc>
          <w:tcPr>
            <w:tcW w:w="2835" w:type="dxa"/>
            <w:vAlign w:val="center"/>
          </w:tcPr>
          <w:p w:rsidR="00763A67" w:rsidRPr="00405493" w:rsidRDefault="00763A67" w:rsidP="009D139A">
            <w:pPr>
              <w:spacing w:before="29" w:line="288" w:lineRule="auto"/>
              <w:ind w:left="17"/>
              <w:jc w:val="center"/>
              <w:rPr>
                <w:color w:val="000000"/>
                <w:sz w:val="24"/>
              </w:rPr>
            </w:pPr>
            <w:r w:rsidRPr="00405493">
              <w:rPr>
                <w:color w:val="000000"/>
                <w:sz w:val="24"/>
              </w:rPr>
              <w:t>金额</w:t>
            </w:r>
            <w:r w:rsidR="00E1046D" w:rsidRPr="00405493">
              <w:rPr>
                <w:color w:val="000000"/>
                <w:kern w:val="0"/>
                <w:sz w:val="24"/>
              </w:rPr>
              <w:t>（元）</w:t>
            </w:r>
          </w:p>
        </w:tc>
        <w:tc>
          <w:tcPr>
            <w:tcW w:w="1616"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color w:val="000000"/>
                <w:sz w:val="24"/>
              </w:rPr>
              <w:t>占基金总资产的比例</w:t>
            </w:r>
            <w:r w:rsidR="00E1046D" w:rsidRPr="00405493">
              <w:rPr>
                <w:color w:val="000000"/>
                <w:kern w:val="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权益投资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其中：股票</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固定收益投资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114,703,950.00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43.80</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其中：债券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114,703,950.00</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43.80</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852EBD">
            <w:pPr>
              <w:autoSpaceDE w:val="0"/>
              <w:autoSpaceDN w:val="0"/>
              <w:adjustRightInd w:val="0"/>
              <w:spacing w:before="29" w:line="288" w:lineRule="auto"/>
              <w:ind w:leftChars="8" w:left="17" w:firstLineChars="300" w:firstLine="720"/>
              <w:jc w:val="left"/>
              <w:rPr>
                <w:color w:val="000000"/>
                <w:sz w:val="24"/>
              </w:rPr>
            </w:pPr>
            <w:r w:rsidRPr="00405493">
              <w:rPr>
                <w:color w:val="000000"/>
                <w:sz w:val="24"/>
              </w:rPr>
              <w:t>资产支持证券</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FE47A3" w:rsidRPr="00405493" w:rsidTr="003D767B">
        <w:trPr>
          <w:jc w:val="center"/>
        </w:trPr>
        <w:tc>
          <w:tcPr>
            <w:tcW w:w="720" w:type="dxa"/>
            <w:vAlign w:val="center"/>
          </w:tcPr>
          <w:p w:rsidR="00FE47A3"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57" w:type="dxa"/>
            <w:vAlign w:val="center"/>
          </w:tcPr>
          <w:p w:rsidR="00FE47A3" w:rsidRPr="00405493" w:rsidRDefault="00FE47A3" w:rsidP="009D139A">
            <w:pPr>
              <w:spacing w:before="29" w:line="288" w:lineRule="auto"/>
              <w:ind w:left="17"/>
              <w:jc w:val="left"/>
              <w:rPr>
                <w:color w:val="000000"/>
                <w:sz w:val="24"/>
              </w:rPr>
            </w:pPr>
            <w:r w:rsidRPr="00405493">
              <w:rPr>
                <w:rFonts w:hAnsi="宋体"/>
                <w:color w:val="000000"/>
                <w:sz w:val="24"/>
              </w:rPr>
              <w:t>贵金属投资</w:t>
            </w:r>
          </w:p>
        </w:tc>
        <w:tc>
          <w:tcPr>
            <w:tcW w:w="2835"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FE47A3" w:rsidRPr="00405493" w:rsidRDefault="00FE47A3"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金融衍生品投资</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其中：买断式回购的买入返售金融资产</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763A67" w:rsidRPr="00405493" w:rsidTr="003D767B">
        <w:trPr>
          <w:jc w:val="center"/>
        </w:trPr>
        <w:tc>
          <w:tcPr>
            <w:tcW w:w="720" w:type="dxa"/>
            <w:vAlign w:val="center"/>
          </w:tcPr>
          <w:p w:rsidR="00763A67" w:rsidRPr="00405493" w:rsidRDefault="00FE47A3"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57" w:type="dxa"/>
            <w:vAlign w:val="center"/>
          </w:tcPr>
          <w:p w:rsidR="00763A67" w:rsidRPr="00405493" w:rsidRDefault="00763A67" w:rsidP="009D139A">
            <w:pPr>
              <w:spacing w:before="29" w:line="288" w:lineRule="auto"/>
              <w:ind w:left="17"/>
              <w:jc w:val="left"/>
              <w:rPr>
                <w:sz w:val="24"/>
              </w:rPr>
            </w:pPr>
            <w:r w:rsidRPr="00405493">
              <w:rPr>
                <w:color w:val="000000"/>
                <w:sz w:val="24"/>
              </w:rPr>
              <w:t>银行存款和结算备付金合计</w:t>
            </w:r>
          </w:p>
        </w:tc>
        <w:tc>
          <w:tcPr>
            <w:tcW w:w="2835"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145,090,210.51</w:t>
            </w:r>
          </w:p>
        </w:tc>
        <w:tc>
          <w:tcPr>
            <w:tcW w:w="1616" w:type="dxa"/>
            <w:vAlign w:val="center"/>
          </w:tcPr>
          <w:p w:rsidR="00763A67" w:rsidRPr="00405493" w:rsidRDefault="00763A67" w:rsidP="009D139A">
            <w:pPr>
              <w:spacing w:before="29" w:line="288" w:lineRule="auto"/>
              <w:ind w:left="17"/>
              <w:jc w:val="right"/>
              <w:rPr>
                <w:rFonts w:eastAsiaTheme="minorEastAsia"/>
                <w:color w:val="000000"/>
                <w:sz w:val="24"/>
              </w:rPr>
            </w:pPr>
            <w:r w:rsidRPr="00405493">
              <w:rPr>
                <w:rFonts w:eastAsiaTheme="minorEastAsia"/>
                <w:color w:val="000000"/>
                <w:sz w:val="24"/>
              </w:rPr>
              <w:t>55.40</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57" w:type="dxa"/>
            <w:vAlign w:val="center"/>
          </w:tcPr>
          <w:p w:rsidR="00763A67" w:rsidRPr="00405493" w:rsidRDefault="00096972" w:rsidP="009D139A">
            <w:pPr>
              <w:spacing w:before="29" w:line="288" w:lineRule="auto"/>
              <w:jc w:val="left"/>
              <w:rPr>
                <w:sz w:val="24"/>
              </w:rPr>
            </w:pPr>
            <w:r w:rsidRPr="00405493">
              <w:rPr>
                <w:color w:val="000000"/>
                <w:sz w:val="24"/>
              </w:rPr>
              <w:t>其他</w:t>
            </w:r>
            <w:r w:rsidR="00763A67" w:rsidRPr="00405493">
              <w:rPr>
                <w:color w:val="000000"/>
                <w:sz w:val="24"/>
              </w:rPr>
              <w:t>资产</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2,110,112.21</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0.81</w:t>
            </w:r>
          </w:p>
        </w:tc>
      </w:tr>
      <w:tr w:rsidR="00763A67" w:rsidRPr="00405493" w:rsidTr="003D767B">
        <w:trPr>
          <w:jc w:val="center"/>
        </w:trPr>
        <w:tc>
          <w:tcPr>
            <w:tcW w:w="720" w:type="dxa"/>
            <w:vAlign w:val="center"/>
          </w:tcPr>
          <w:p w:rsidR="00763A67" w:rsidRPr="00405493" w:rsidRDefault="00763A67" w:rsidP="009D139A">
            <w:pPr>
              <w:spacing w:before="29" w:line="288" w:lineRule="auto"/>
              <w:ind w:left="17"/>
              <w:jc w:val="center"/>
              <w:rPr>
                <w:rFonts w:eastAsiaTheme="minorEastAsia"/>
                <w:color w:val="000000"/>
                <w:sz w:val="24"/>
              </w:rPr>
            </w:pPr>
            <w:r w:rsidRPr="00405493">
              <w:rPr>
                <w:rFonts w:eastAsiaTheme="minorEastAsia"/>
                <w:color w:val="000000"/>
                <w:sz w:val="24"/>
              </w:rPr>
              <w:t>8</w:t>
            </w:r>
          </w:p>
        </w:tc>
        <w:tc>
          <w:tcPr>
            <w:tcW w:w="3357" w:type="dxa"/>
            <w:vAlign w:val="center"/>
          </w:tcPr>
          <w:p w:rsidR="00763A67" w:rsidRPr="00405493" w:rsidRDefault="00763A67" w:rsidP="009D139A">
            <w:pPr>
              <w:spacing w:before="29" w:line="288" w:lineRule="auto"/>
              <w:jc w:val="left"/>
              <w:rPr>
                <w:sz w:val="24"/>
              </w:rPr>
            </w:pPr>
            <w:r w:rsidRPr="00405493">
              <w:rPr>
                <w:color w:val="000000"/>
                <w:sz w:val="24"/>
              </w:rPr>
              <w:t>合计</w:t>
            </w:r>
          </w:p>
        </w:tc>
        <w:tc>
          <w:tcPr>
            <w:tcW w:w="2835"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261,904,272.72</w:t>
            </w:r>
          </w:p>
        </w:tc>
        <w:tc>
          <w:tcPr>
            <w:tcW w:w="1616" w:type="dxa"/>
            <w:vAlign w:val="center"/>
          </w:tcPr>
          <w:p w:rsidR="00763A67" w:rsidRPr="00405493" w:rsidRDefault="00763A67" w:rsidP="009D139A">
            <w:pPr>
              <w:spacing w:before="29" w:line="288" w:lineRule="auto"/>
              <w:jc w:val="right"/>
              <w:rPr>
                <w:rFonts w:eastAsiaTheme="minorEastAsia"/>
                <w:color w:val="000000"/>
                <w:sz w:val="24"/>
              </w:rPr>
            </w:pPr>
            <w:r w:rsidRPr="00405493">
              <w:rPr>
                <w:rFonts w:eastAsiaTheme="minorEastAsia"/>
                <w:color w:val="000000"/>
                <w:sz w:val="24"/>
              </w:rPr>
              <w:t>100.00</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 xml:space="preserve">5.2 </w:t>
      </w:r>
      <w:r w:rsidRPr="00405493">
        <w:rPr>
          <w:b/>
          <w:color w:val="000000"/>
          <w:kern w:val="0"/>
          <w:sz w:val="24"/>
        </w:rPr>
        <w:t>报告期末按行业分类的股票投资组合</w:t>
      </w:r>
    </w:p>
    <w:p w:rsidR="00B47078" w:rsidRPr="00B47078" w:rsidRDefault="00B47078" w:rsidP="00B47078">
      <w:pPr>
        <w:autoSpaceDE w:val="0"/>
        <w:autoSpaceDN w:val="0"/>
        <w:adjustRightInd w:val="0"/>
        <w:spacing w:before="29" w:line="288" w:lineRule="auto"/>
        <w:jc w:val="left"/>
        <w:rPr>
          <w:rFonts w:eastAsiaTheme="minorEastAsia"/>
          <w:b/>
          <w:color w:val="000000"/>
          <w:kern w:val="0"/>
          <w:sz w:val="24"/>
        </w:rPr>
      </w:pPr>
      <w:r w:rsidRPr="00B47078">
        <w:rPr>
          <w:rFonts w:eastAsiaTheme="minorEastAsia" w:hint="eastAsia"/>
          <w:b/>
          <w:color w:val="000000"/>
          <w:kern w:val="0"/>
          <w:sz w:val="24"/>
        </w:rPr>
        <w:t>5.2.1</w:t>
      </w:r>
      <w:r w:rsidRPr="00B47078">
        <w:rPr>
          <w:rFonts w:eastAsiaTheme="minorEastAsia" w:hint="eastAsia"/>
          <w:b/>
          <w:color w:val="000000"/>
          <w:kern w:val="0"/>
          <w:sz w:val="24"/>
        </w:rPr>
        <w:t>报告期末按行业分类的境内股票投资组合</w:t>
      </w:r>
    </w:p>
    <w:p w:rsidR="00220542" w:rsidRDefault="00763A67"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9835AA" w:rsidRPr="00405493" w:rsidRDefault="009835AA" w:rsidP="009D139A">
      <w:pPr>
        <w:autoSpaceDE w:val="0"/>
        <w:autoSpaceDN w:val="0"/>
        <w:adjustRightInd w:val="0"/>
        <w:spacing w:before="29" w:line="288" w:lineRule="auto"/>
        <w:jc w:val="left"/>
        <w:rPr>
          <w:rFonts w:eastAsiaTheme="minorEastAsia"/>
          <w:color w:val="000000"/>
          <w:sz w:val="24"/>
        </w:rPr>
      </w:pPr>
    </w:p>
    <w:p w:rsidR="00904B29" w:rsidRPr="00904B29" w:rsidRDefault="00904B29" w:rsidP="00904B29">
      <w:pPr>
        <w:autoSpaceDE w:val="0"/>
        <w:autoSpaceDN w:val="0"/>
        <w:adjustRightInd w:val="0"/>
        <w:spacing w:before="29" w:line="288" w:lineRule="auto"/>
        <w:jc w:val="left"/>
        <w:rPr>
          <w:rFonts w:eastAsiaTheme="minorEastAsia"/>
          <w:b/>
          <w:color w:val="000000"/>
          <w:kern w:val="0"/>
          <w:sz w:val="24"/>
        </w:rPr>
      </w:pPr>
      <w:r w:rsidRPr="00904B29">
        <w:rPr>
          <w:rFonts w:eastAsiaTheme="minorEastAsia" w:hint="eastAsia"/>
          <w:b/>
          <w:color w:val="000000"/>
          <w:kern w:val="0"/>
          <w:sz w:val="24"/>
        </w:rPr>
        <w:t>5.</w:t>
      </w:r>
      <w:r w:rsidRPr="00904B29">
        <w:rPr>
          <w:rFonts w:eastAsiaTheme="minorEastAsia"/>
          <w:b/>
          <w:color w:val="000000"/>
          <w:kern w:val="0"/>
          <w:sz w:val="24"/>
        </w:rPr>
        <w:t>2</w:t>
      </w:r>
      <w:r w:rsidRPr="00904B29">
        <w:rPr>
          <w:rFonts w:eastAsiaTheme="minorEastAsia" w:hint="eastAsia"/>
          <w:b/>
          <w:color w:val="000000"/>
          <w:kern w:val="0"/>
          <w:sz w:val="24"/>
        </w:rPr>
        <w:t>.2</w:t>
      </w:r>
      <w:r w:rsidRPr="00904B29">
        <w:rPr>
          <w:rFonts w:eastAsiaTheme="minorEastAsia" w:hint="eastAsia"/>
          <w:b/>
          <w:color w:val="000000"/>
          <w:kern w:val="0"/>
          <w:sz w:val="24"/>
        </w:rPr>
        <w:t>报告期末按行业分类的沪港通投资股票投资组合</w:t>
      </w:r>
    </w:p>
    <w:p w:rsidR="00904B29" w:rsidRDefault="00904B29" w:rsidP="00904B29">
      <w:pPr>
        <w:spacing w:before="29" w:line="360" w:lineRule="auto"/>
        <w:ind w:left="17"/>
        <w:rPr>
          <w:color w:val="000000"/>
          <w:sz w:val="24"/>
        </w:rPr>
      </w:pPr>
      <w:r w:rsidRPr="00FF0BBF">
        <w:rPr>
          <w:color w:val="000000"/>
          <w:sz w:val="24"/>
        </w:rPr>
        <w:t>本基金本报告期末未持有通过沪港通投资的股票。</w:t>
      </w:r>
    </w:p>
    <w:p w:rsidR="00220542" w:rsidRPr="00904B29"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5.3 </w:t>
      </w:r>
      <w:r w:rsidRPr="00405493">
        <w:rPr>
          <w:b/>
          <w:color w:val="000000"/>
          <w:kern w:val="0"/>
          <w:sz w:val="24"/>
        </w:rPr>
        <w:t>报告期末按公允价值占基金资产净值比例大小排序的前十名股票投资明细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 xml:space="preserve">5.4 </w:t>
      </w:r>
      <w:r w:rsidRPr="00405493">
        <w:rPr>
          <w:b/>
          <w:color w:val="000000"/>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339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color w:val="000000"/>
                <w:sz w:val="24"/>
              </w:rPr>
              <w:t>债券品种</w:t>
            </w:r>
          </w:p>
        </w:tc>
        <w:tc>
          <w:tcPr>
            <w:tcW w:w="28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00CB73B2" w:rsidRPr="00405493">
              <w:rPr>
                <w:color w:val="000000"/>
                <w:kern w:val="0"/>
                <w:sz w:val="24"/>
              </w:rPr>
              <w:t>（元）</w:t>
            </w:r>
          </w:p>
        </w:tc>
        <w:tc>
          <w:tcPr>
            <w:tcW w:w="182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CB73B2" w:rsidRPr="00405493">
              <w:rPr>
                <w:color w:val="000000"/>
                <w:kern w:val="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1</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国家债券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2</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央行票据</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3</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金融债券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20,049,000.00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7.67</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其中：政策性金融债</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20,049,000.00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7.67</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4</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企业债券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34,698,950.00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13.27</w:t>
            </w:r>
          </w:p>
        </w:tc>
      </w:tr>
      <w:tr w:rsidR="009215BE" w:rsidRPr="00405493" w:rsidTr="004360F5">
        <w:trPr>
          <w:jc w:val="center"/>
        </w:trPr>
        <w:tc>
          <w:tcPr>
            <w:tcW w:w="850" w:type="dxa"/>
            <w:vAlign w:val="center"/>
          </w:tcPr>
          <w:p w:rsidR="009215BE" w:rsidRPr="00405493" w:rsidRDefault="009215BE" w:rsidP="009D139A">
            <w:pPr>
              <w:spacing w:before="29" w:line="288" w:lineRule="auto"/>
              <w:ind w:left="17"/>
              <w:jc w:val="center"/>
              <w:rPr>
                <w:rFonts w:eastAsiaTheme="minorEastAsia"/>
                <w:color w:val="000000"/>
                <w:sz w:val="24"/>
              </w:rPr>
            </w:pPr>
            <w:r w:rsidRPr="00405493">
              <w:rPr>
                <w:rFonts w:eastAsiaTheme="minorEastAsia"/>
                <w:color w:val="000000"/>
                <w:sz w:val="24"/>
              </w:rPr>
              <w:t>5</w:t>
            </w:r>
          </w:p>
        </w:tc>
        <w:tc>
          <w:tcPr>
            <w:tcW w:w="3390" w:type="dxa"/>
            <w:vAlign w:val="center"/>
          </w:tcPr>
          <w:p w:rsidR="009215BE" w:rsidRPr="00405493" w:rsidRDefault="009215BE" w:rsidP="009D139A">
            <w:pPr>
              <w:spacing w:before="29" w:line="288" w:lineRule="auto"/>
              <w:ind w:left="17"/>
              <w:jc w:val="left"/>
              <w:rPr>
                <w:color w:val="000000"/>
                <w:sz w:val="24"/>
              </w:rPr>
            </w:pPr>
            <w:r w:rsidRPr="00405493">
              <w:rPr>
                <w:color w:val="000000"/>
                <w:sz w:val="24"/>
              </w:rPr>
              <w:t>企业短期融资</w:t>
            </w:r>
            <w:r w:rsidR="006739F5" w:rsidRPr="00405493">
              <w:rPr>
                <w:color w:val="000000"/>
                <w:sz w:val="24"/>
              </w:rPr>
              <w:t>券</w:t>
            </w:r>
          </w:p>
        </w:tc>
        <w:tc>
          <w:tcPr>
            <w:tcW w:w="2801"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59,956,000.00</w:t>
            </w:r>
          </w:p>
        </w:tc>
        <w:tc>
          <w:tcPr>
            <w:tcW w:w="1827" w:type="dxa"/>
            <w:vAlign w:val="center"/>
          </w:tcPr>
          <w:p w:rsidR="009215BE" w:rsidRPr="00405493" w:rsidRDefault="009215BE" w:rsidP="009D139A">
            <w:pPr>
              <w:spacing w:before="29" w:line="288" w:lineRule="auto"/>
              <w:ind w:left="17"/>
              <w:jc w:val="right"/>
              <w:rPr>
                <w:rFonts w:eastAsiaTheme="minorEastAsia"/>
                <w:color w:val="000000"/>
                <w:sz w:val="24"/>
              </w:rPr>
            </w:pPr>
            <w:r w:rsidRPr="00405493">
              <w:rPr>
                <w:rFonts w:eastAsiaTheme="minorEastAsia"/>
                <w:color w:val="000000"/>
                <w:sz w:val="24"/>
              </w:rPr>
              <w:t>22.93</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6</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中期票据</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4360F5">
        <w:trPr>
          <w:jc w:val="center"/>
        </w:trPr>
        <w:tc>
          <w:tcPr>
            <w:tcW w:w="850" w:type="dxa"/>
            <w:vAlign w:val="center"/>
          </w:tcPr>
          <w:p w:rsidR="00840311" w:rsidRPr="00405493" w:rsidRDefault="00840311" w:rsidP="009D139A">
            <w:pPr>
              <w:spacing w:before="29" w:line="288" w:lineRule="auto"/>
              <w:ind w:left="17"/>
              <w:jc w:val="center"/>
              <w:rPr>
                <w:rFonts w:eastAsiaTheme="minorEastAsia"/>
                <w:color w:val="000000"/>
                <w:sz w:val="24"/>
              </w:rPr>
            </w:pPr>
            <w:r w:rsidRPr="00405493">
              <w:rPr>
                <w:rFonts w:eastAsiaTheme="minorEastAsia"/>
                <w:color w:val="000000"/>
                <w:sz w:val="24"/>
              </w:rPr>
              <w:t>7</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可转债</w:t>
            </w:r>
            <w:r w:rsidR="00926032">
              <w:rPr>
                <w:rFonts w:hint="eastAsia"/>
                <w:sz w:val="24"/>
              </w:rPr>
              <w:t>（可交换债）</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4360F5" w:rsidRPr="00405493" w:rsidTr="00622A9C">
        <w:trPr>
          <w:jc w:val="center"/>
        </w:trPr>
        <w:tc>
          <w:tcPr>
            <w:tcW w:w="850" w:type="dxa"/>
            <w:vAlign w:val="center"/>
          </w:tcPr>
          <w:p w:rsidR="004360F5" w:rsidRPr="00A513A9" w:rsidRDefault="004360F5" w:rsidP="00622A9C">
            <w:pPr>
              <w:spacing w:before="29" w:line="288" w:lineRule="auto"/>
              <w:ind w:left="17"/>
              <w:jc w:val="center"/>
              <w:rPr>
                <w:rFonts w:eastAsiaTheme="minorEastAsia"/>
                <w:color w:val="000000"/>
                <w:sz w:val="24"/>
              </w:rPr>
            </w:pPr>
            <w:r w:rsidRPr="00A513A9">
              <w:rPr>
                <w:rFonts w:eastAsiaTheme="minorEastAsia" w:hint="eastAsia"/>
                <w:color w:val="000000"/>
                <w:sz w:val="24"/>
              </w:rPr>
              <w:t>8</w:t>
            </w:r>
          </w:p>
        </w:tc>
        <w:tc>
          <w:tcPr>
            <w:tcW w:w="3390" w:type="dxa"/>
            <w:vAlign w:val="center"/>
          </w:tcPr>
          <w:p w:rsidR="004360F5" w:rsidRPr="00A513A9" w:rsidRDefault="004360F5" w:rsidP="00622A9C">
            <w:pPr>
              <w:spacing w:before="29" w:line="288" w:lineRule="auto"/>
              <w:ind w:left="17"/>
              <w:jc w:val="left"/>
              <w:rPr>
                <w:rFonts w:eastAsiaTheme="minorEastAsia"/>
                <w:color w:val="000000"/>
                <w:sz w:val="24"/>
              </w:rPr>
            </w:pPr>
            <w:r w:rsidRPr="00A513A9">
              <w:rPr>
                <w:rFonts w:eastAsiaTheme="minorEastAsia" w:hint="eastAsia"/>
                <w:color w:val="000000"/>
                <w:sz w:val="24"/>
              </w:rPr>
              <w:t>同业存单</w:t>
            </w:r>
          </w:p>
        </w:tc>
        <w:tc>
          <w:tcPr>
            <w:tcW w:w="2801"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c>
          <w:tcPr>
            <w:tcW w:w="1827" w:type="dxa"/>
            <w:vAlign w:val="center"/>
          </w:tcPr>
          <w:p w:rsidR="004360F5" w:rsidRPr="00A513A9" w:rsidRDefault="004360F5" w:rsidP="00622A9C">
            <w:pPr>
              <w:spacing w:before="29" w:line="288" w:lineRule="auto"/>
              <w:ind w:left="17"/>
              <w:jc w:val="right"/>
              <w:rPr>
                <w:rFonts w:eastAsiaTheme="minorEastAsia"/>
                <w:color w:val="000000"/>
                <w:sz w:val="24"/>
              </w:rPr>
            </w:pPr>
            <w:r w:rsidRPr="00A513A9">
              <w:rPr>
                <w:rFonts w:eastAsiaTheme="minorEastAsia" w:hint="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9</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其他</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w:t>
            </w:r>
          </w:p>
        </w:tc>
      </w:tr>
      <w:tr w:rsidR="00840311" w:rsidRPr="00405493" w:rsidTr="004360F5">
        <w:trPr>
          <w:jc w:val="center"/>
        </w:trPr>
        <w:tc>
          <w:tcPr>
            <w:tcW w:w="850" w:type="dxa"/>
            <w:vAlign w:val="center"/>
          </w:tcPr>
          <w:p w:rsidR="00840311" w:rsidRPr="00405493" w:rsidRDefault="00840311" w:rsidP="004360F5">
            <w:pPr>
              <w:spacing w:before="29" w:line="288" w:lineRule="auto"/>
              <w:ind w:left="17"/>
              <w:jc w:val="center"/>
              <w:rPr>
                <w:rFonts w:eastAsiaTheme="minorEastAsia"/>
                <w:color w:val="000000"/>
                <w:sz w:val="24"/>
              </w:rPr>
            </w:pPr>
            <w:r w:rsidRPr="00405493">
              <w:rPr>
                <w:rFonts w:eastAsiaTheme="minorEastAsia"/>
                <w:color w:val="000000"/>
                <w:sz w:val="24"/>
              </w:rPr>
              <w:t>10</w:t>
            </w:r>
          </w:p>
        </w:tc>
        <w:tc>
          <w:tcPr>
            <w:tcW w:w="3390" w:type="dxa"/>
            <w:vAlign w:val="center"/>
          </w:tcPr>
          <w:p w:rsidR="00840311" w:rsidRPr="00405493" w:rsidRDefault="00840311" w:rsidP="009D139A">
            <w:pPr>
              <w:spacing w:before="29" w:line="288" w:lineRule="auto"/>
              <w:ind w:left="17"/>
              <w:jc w:val="left"/>
              <w:rPr>
                <w:color w:val="000000"/>
                <w:sz w:val="24"/>
              </w:rPr>
            </w:pPr>
            <w:r w:rsidRPr="00405493">
              <w:rPr>
                <w:color w:val="000000"/>
                <w:sz w:val="24"/>
              </w:rPr>
              <w:t>合计</w:t>
            </w:r>
          </w:p>
        </w:tc>
        <w:tc>
          <w:tcPr>
            <w:tcW w:w="2801"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114,703,950.00</w:t>
            </w:r>
          </w:p>
        </w:tc>
        <w:tc>
          <w:tcPr>
            <w:tcW w:w="1827" w:type="dxa"/>
            <w:vAlign w:val="center"/>
          </w:tcPr>
          <w:p w:rsidR="00840311" w:rsidRPr="00405493" w:rsidRDefault="00840311" w:rsidP="009D139A">
            <w:pPr>
              <w:spacing w:before="29" w:line="288" w:lineRule="auto"/>
              <w:ind w:left="17"/>
              <w:jc w:val="right"/>
              <w:rPr>
                <w:rFonts w:eastAsiaTheme="minorEastAsia"/>
                <w:color w:val="000000"/>
                <w:sz w:val="24"/>
              </w:rPr>
            </w:pPr>
            <w:r w:rsidRPr="00405493">
              <w:rPr>
                <w:rFonts w:eastAsiaTheme="minorEastAsia"/>
                <w:color w:val="000000"/>
                <w:sz w:val="24"/>
              </w:rPr>
              <w:t>43.88</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5.5</w:t>
      </w:r>
      <w:r w:rsidR="005F5AFD" w:rsidRPr="00405493">
        <w:rPr>
          <w:rFonts w:eastAsiaTheme="minorEastAsia"/>
          <w:b/>
          <w:color w:val="000000"/>
          <w:kern w:val="0"/>
          <w:sz w:val="24"/>
        </w:rPr>
        <w:t xml:space="preserve"> </w:t>
      </w:r>
      <w:r w:rsidR="00A24611" w:rsidRPr="00405493">
        <w:rPr>
          <w:b/>
          <w:color w:val="000000"/>
          <w:kern w:val="0"/>
          <w:sz w:val="24"/>
        </w:rPr>
        <w:t>报告期末按公允价值占基金资产净值比例大小排序</w:t>
      </w:r>
      <w:r w:rsidRPr="00405493">
        <w:rPr>
          <w:b/>
          <w:color w:val="000000"/>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302"/>
        <w:gridCol w:w="1362"/>
        <w:gridCol w:w="1652"/>
        <w:gridCol w:w="1417"/>
        <w:gridCol w:w="1701"/>
        <w:gridCol w:w="1434"/>
      </w:tblGrid>
      <w:tr w:rsidR="009215BE" w:rsidRPr="00405493" w:rsidTr="00223099">
        <w:trPr>
          <w:jc w:val="center"/>
        </w:trPr>
        <w:tc>
          <w:tcPr>
            <w:tcW w:w="130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序号</w:t>
            </w:r>
          </w:p>
        </w:tc>
        <w:tc>
          <w:tcPr>
            <w:tcW w:w="136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债券代码</w:t>
            </w:r>
          </w:p>
        </w:tc>
        <w:tc>
          <w:tcPr>
            <w:tcW w:w="1652"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债券名称</w:t>
            </w:r>
          </w:p>
        </w:tc>
        <w:tc>
          <w:tcPr>
            <w:tcW w:w="1417"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数量</w:t>
            </w:r>
            <w:r w:rsidR="00744454" w:rsidRPr="00405493">
              <w:rPr>
                <w:color w:val="000000"/>
                <w:kern w:val="0"/>
                <w:sz w:val="24"/>
              </w:rPr>
              <w:t>（张）</w:t>
            </w:r>
          </w:p>
        </w:tc>
        <w:tc>
          <w:tcPr>
            <w:tcW w:w="1701"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公允价值</w:t>
            </w:r>
            <w:r w:rsidRPr="00405493">
              <w:rPr>
                <w:color w:val="000000"/>
                <w:sz w:val="24"/>
              </w:rPr>
              <w:t>(</w:t>
            </w:r>
            <w:r w:rsidRPr="00405493">
              <w:rPr>
                <w:color w:val="000000"/>
                <w:sz w:val="24"/>
              </w:rPr>
              <w:t>元</w:t>
            </w:r>
            <w:r w:rsidRPr="00405493">
              <w:rPr>
                <w:color w:val="000000"/>
                <w:sz w:val="24"/>
              </w:rPr>
              <w:t>)</w:t>
            </w:r>
          </w:p>
        </w:tc>
        <w:tc>
          <w:tcPr>
            <w:tcW w:w="1434" w:type="dxa"/>
            <w:vAlign w:val="center"/>
          </w:tcPr>
          <w:p w:rsidR="009215BE" w:rsidRPr="00405493" w:rsidRDefault="009215BE" w:rsidP="009D139A">
            <w:pPr>
              <w:spacing w:before="29" w:line="288" w:lineRule="auto"/>
              <w:ind w:left="17"/>
              <w:jc w:val="center"/>
              <w:rPr>
                <w:color w:val="000000"/>
                <w:sz w:val="24"/>
              </w:rPr>
            </w:pPr>
            <w:r w:rsidRPr="00405493">
              <w:rPr>
                <w:color w:val="000000"/>
                <w:sz w:val="24"/>
              </w:rPr>
              <w:t>占基金资产净值比例</w:t>
            </w:r>
            <w:r w:rsidR="00FB4554" w:rsidRPr="00405493">
              <w:rPr>
                <w:color w:val="000000"/>
                <w:kern w:val="0"/>
                <w:sz w:val="24"/>
              </w:rPr>
              <w:t>（％）</w:t>
            </w:r>
          </w:p>
        </w:tc>
      </w:tr>
      <w:tr w:rsidR="00A8298C">
        <w:trPr>
          <w:jc w:val="center"/>
        </w:trPr>
        <w:tc>
          <w:tcPr>
            <w:tcW w:w="1302" w:type="dxa"/>
            <w:vAlign w:val="center"/>
          </w:tcPr>
          <w:p w:rsidR="00A8298C" w:rsidRDefault="009835AA">
            <w:pPr>
              <w:jc w:val="center"/>
            </w:pPr>
            <w:r>
              <w:rPr>
                <w:rFonts w:eastAsiaTheme="minorEastAsia"/>
                <w:color w:val="000000"/>
                <w:sz w:val="24"/>
              </w:rPr>
              <w:t>1</w:t>
            </w:r>
          </w:p>
        </w:tc>
        <w:tc>
          <w:tcPr>
            <w:tcW w:w="1362" w:type="dxa"/>
            <w:vAlign w:val="center"/>
          </w:tcPr>
          <w:p w:rsidR="00A8298C" w:rsidRDefault="009835AA">
            <w:pPr>
              <w:jc w:val="center"/>
            </w:pPr>
            <w:r>
              <w:rPr>
                <w:rFonts w:eastAsiaTheme="minorEastAsia"/>
                <w:color w:val="000000"/>
                <w:sz w:val="24"/>
              </w:rPr>
              <w:t>122341</w:t>
            </w:r>
          </w:p>
        </w:tc>
        <w:tc>
          <w:tcPr>
            <w:tcW w:w="1652" w:type="dxa"/>
            <w:vAlign w:val="center"/>
          </w:tcPr>
          <w:p w:rsidR="00A8298C" w:rsidRDefault="009835AA">
            <w:pPr>
              <w:jc w:val="center"/>
            </w:pPr>
            <w:r>
              <w:rPr>
                <w:rFonts w:eastAsiaTheme="minorEastAsia"/>
                <w:color w:val="000000"/>
                <w:sz w:val="24"/>
              </w:rPr>
              <w:t>14</w:t>
            </w:r>
            <w:r>
              <w:rPr>
                <w:rFonts w:eastAsiaTheme="minorEastAsia"/>
                <w:color w:val="000000"/>
                <w:sz w:val="24"/>
              </w:rPr>
              <w:t>连云港</w:t>
            </w:r>
          </w:p>
        </w:tc>
        <w:tc>
          <w:tcPr>
            <w:tcW w:w="1417" w:type="dxa"/>
            <w:vAlign w:val="center"/>
          </w:tcPr>
          <w:p w:rsidR="00A8298C" w:rsidRDefault="009835AA">
            <w:pPr>
              <w:jc w:val="right"/>
            </w:pPr>
            <w:r>
              <w:rPr>
                <w:rFonts w:eastAsiaTheme="minorEastAsia"/>
                <w:color w:val="000000"/>
                <w:sz w:val="24"/>
              </w:rPr>
              <w:t>200,000</w:t>
            </w:r>
          </w:p>
        </w:tc>
        <w:tc>
          <w:tcPr>
            <w:tcW w:w="1701" w:type="dxa"/>
            <w:vAlign w:val="center"/>
          </w:tcPr>
          <w:p w:rsidR="00A8298C" w:rsidRDefault="009835AA">
            <w:pPr>
              <w:jc w:val="right"/>
            </w:pPr>
            <w:r>
              <w:rPr>
                <w:rFonts w:eastAsiaTheme="minorEastAsia"/>
                <w:color w:val="000000"/>
                <w:sz w:val="24"/>
              </w:rPr>
              <w:t>20,172,000.00</w:t>
            </w:r>
          </w:p>
        </w:tc>
        <w:tc>
          <w:tcPr>
            <w:tcW w:w="1434" w:type="dxa"/>
            <w:vAlign w:val="center"/>
          </w:tcPr>
          <w:p w:rsidR="00A8298C" w:rsidRDefault="009835AA">
            <w:pPr>
              <w:jc w:val="right"/>
            </w:pPr>
            <w:r>
              <w:rPr>
                <w:rFonts w:eastAsiaTheme="minorEastAsia"/>
                <w:color w:val="000000"/>
                <w:sz w:val="24"/>
              </w:rPr>
              <w:t>7.72</w:t>
            </w:r>
          </w:p>
        </w:tc>
      </w:tr>
      <w:tr w:rsidR="00A8298C">
        <w:trPr>
          <w:jc w:val="center"/>
        </w:trPr>
        <w:tc>
          <w:tcPr>
            <w:tcW w:w="1302" w:type="dxa"/>
            <w:vAlign w:val="center"/>
          </w:tcPr>
          <w:p w:rsidR="00A8298C" w:rsidRDefault="009835AA">
            <w:pPr>
              <w:jc w:val="center"/>
            </w:pPr>
            <w:r>
              <w:rPr>
                <w:rFonts w:eastAsiaTheme="minorEastAsia"/>
                <w:color w:val="000000"/>
                <w:sz w:val="24"/>
              </w:rPr>
              <w:t>2</w:t>
            </w:r>
          </w:p>
        </w:tc>
        <w:tc>
          <w:tcPr>
            <w:tcW w:w="1362" w:type="dxa"/>
            <w:vAlign w:val="center"/>
          </w:tcPr>
          <w:p w:rsidR="00A8298C" w:rsidRDefault="009835AA">
            <w:pPr>
              <w:jc w:val="center"/>
            </w:pPr>
            <w:r>
              <w:rPr>
                <w:rFonts w:eastAsiaTheme="minorEastAsia"/>
                <w:color w:val="000000"/>
                <w:sz w:val="24"/>
              </w:rPr>
              <w:t>011698074</w:t>
            </w:r>
          </w:p>
        </w:tc>
        <w:tc>
          <w:tcPr>
            <w:tcW w:w="1652" w:type="dxa"/>
            <w:vAlign w:val="center"/>
          </w:tcPr>
          <w:p w:rsidR="00A8298C" w:rsidRDefault="009835AA">
            <w:pPr>
              <w:jc w:val="center"/>
            </w:pPr>
            <w:r>
              <w:rPr>
                <w:rFonts w:eastAsiaTheme="minorEastAsia"/>
                <w:color w:val="000000"/>
                <w:sz w:val="24"/>
              </w:rPr>
              <w:t>16</w:t>
            </w:r>
            <w:r>
              <w:rPr>
                <w:rFonts w:eastAsiaTheme="minorEastAsia"/>
                <w:color w:val="000000"/>
                <w:sz w:val="24"/>
              </w:rPr>
              <w:t>浙旅游</w:t>
            </w:r>
            <w:r>
              <w:rPr>
                <w:rFonts w:eastAsiaTheme="minorEastAsia"/>
                <w:color w:val="000000"/>
                <w:sz w:val="24"/>
              </w:rPr>
              <w:t>SCP001</w:t>
            </w:r>
          </w:p>
        </w:tc>
        <w:tc>
          <w:tcPr>
            <w:tcW w:w="1417" w:type="dxa"/>
            <w:vAlign w:val="center"/>
          </w:tcPr>
          <w:p w:rsidR="00A8298C" w:rsidRDefault="009835AA">
            <w:pPr>
              <w:jc w:val="right"/>
            </w:pPr>
            <w:r>
              <w:rPr>
                <w:rFonts w:eastAsiaTheme="minorEastAsia"/>
                <w:color w:val="000000"/>
                <w:sz w:val="24"/>
              </w:rPr>
              <w:t>200,000</w:t>
            </w:r>
          </w:p>
        </w:tc>
        <w:tc>
          <w:tcPr>
            <w:tcW w:w="1701" w:type="dxa"/>
            <w:vAlign w:val="center"/>
          </w:tcPr>
          <w:p w:rsidR="00A8298C" w:rsidRDefault="009835AA">
            <w:pPr>
              <w:jc w:val="right"/>
            </w:pPr>
            <w:r>
              <w:rPr>
                <w:rFonts w:eastAsiaTheme="minorEastAsia"/>
                <w:color w:val="000000"/>
                <w:sz w:val="24"/>
              </w:rPr>
              <w:t>20,054,000.00</w:t>
            </w:r>
          </w:p>
        </w:tc>
        <w:tc>
          <w:tcPr>
            <w:tcW w:w="1434" w:type="dxa"/>
            <w:vAlign w:val="center"/>
          </w:tcPr>
          <w:p w:rsidR="00A8298C" w:rsidRDefault="009835AA">
            <w:pPr>
              <w:jc w:val="right"/>
            </w:pPr>
            <w:r>
              <w:rPr>
                <w:rFonts w:eastAsiaTheme="minorEastAsia"/>
                <w:color w:val="000000"/>
                <w:sz w:val="24"/>
              </w:rPr>
              <w:t>7.67</w:t>
            </w:r>
          </w:p>
        </w:tc>
      </w:tr>
      <w:tr w:rsidR="00A8298C">
        <w:trPr>
          <w:jc w:val="center"/>
        </w:trPr>
        <w:tc>
          <w:tcPr>
            <w:tcW w:w="1302" w:type="dxa"/>
            <w:vAlign w:val="center"/>
          </w:tcPr>
          <w:p w:rsidR="00A8298C" w:rsidRDefault="009835AA">
            <w:pPr>
              <w:jc w:val="center"/>
            </w:pPr>
            <w:r>
              <w:rPr>
                <w:rFonts w:eastAsiaTheme="minorEastAsia"/>
                <w:color w:val="000000"/>
                <w:sz w:val="24"/>
              </w:rPr>
              <w:t>3</w:t>
            </w:r>
          </w:p>
        </w:tc>
        <w:tc>
          <w:tcPr>
            <w:tcW w:w="1362" w:type="dxa"/>
            <w:vAlign w:val="center"/>
          </w:tcPr>
          <w:p w:rsidR="00A8298C" w:rsidRDefault="009835AA">
            <w:pPr>
              <w:jc w:val="center"/>
            </w:pPr>
            <w:r>
              <w:rPr>
                <w:rFonts w:eastAsiaTheme="minorEastAsia"/>
                <w:color w:val="000000"/>
                <w:sz w:val="24"/>
              </w:rPr>
              <w:t>011698124</w:t>
            </w:r>
          </w:p>
        </w:tc>
        <w:tc>
          <w:tcPr>
            <w:tcW w:w="1652" w:type="dxa"/>
            <w:vAlign w:val="center"/>
          </w:tcPr>
          <w:p w:rsidR="00A8298C" w:rsidRDefault="009835AA">
            <w:pPr>
              <w:jc w:val="center"/>
            </w:pPr>
            <w:r>
              <w:rPr>
                <w:rFonts w:eastAsiaTheme="minorEastAsia"/>
                <w:color w:val="000000"/>
                <w:sz w:val="24"/>
              </w:rPr>
              <w:t>16</w:t>
            </w:r>
            <w:r>
              <w:rPr>
                <w:rFonts w:eastAsiaTheme="minorEastAsia"/>
                <w:color w:val="000000"/>
                <w:sz w:val="24"/>
              </w:rPr>
              <w:t>象屿</w:t>
            </w:r>
            <w:r>
              <w:rPr>
                <w:rFonts w:eastAsiaTheme="minorEastAsia"/>
                <w:color w:val="000000"/>
                <w:sz w:val="24"/>
              </w:rPr>
              <w:t>SCP005</w:t>
            </w:r>
          </w:p>
        </w:tc>
        <w:tc>
          <w:tcPr>
            <w:tcW w:w="1417" w:type="dxa"/>
            <w:vAlign w:val="center"/>
          </w:tcPr>
          <w:p w:rsidR="00A8298C" w:rsidRDefault="009835AA">
            <w:pPr>
              <w:jc w:val="right"/>
            </w:pPr>
            <w:r>
              <w:rPr>
                <w:rFonts w:eastAsiaTheme="minorEastAsia"/>
                <w:color w:val="000000"/>
                <w:sz w:val="24"/>
              </w:rPr>
              <w:t>200,000</w:t>
            </w:r>
          </w:p>
        </w:tc>
        <w:tc>
          <w:tcPr>
            <w:tcW w:w="1701" w:type="dxa"/>
            <w:vAlign w:val="center"/>
          </w:tcPr>
          <w:p w:rsidR="00A8298C" w:rsidRDefault="009835AA">
            <w:pPr>
              <w:jc w:val="right"/>
            </w:pPr>
            <w:r>
              <w:rPr>
                <w:rFonts w:eastAsiaTheme="minorEastAsia"/>
                <w:color w:val="000000"/>
                <w:sz w:val="24"/>
              </w:rPr>
              <w:t>19,974,000.00</w:t>
            </w:r>
          </w:p>
        </w:tc>
        <w:tc>
          <w:tcPr>
            <w:tcW w:w="1434" w:type="dxa"/>
            <w:vAlign w:val="center"/>
          </w:tcPr>
          <w:p w:rsidR="00A8298C" w:rsidRDefault="009835AA">
            <w:pPr>
              <w:jc w:val="right"/>
            </w:pPr>
            <w:r>
              <w:rPr>
                <w:rFonts w:eastAsiaTheme="minorEastAsia"/>
                <w:color w:val="000000"/>
                <w:sz w:val="24"/>
              </w:rPr>
              <w:t>7.64</w:t>
            </w:r>
          </w:p>
        </w:tc>
      </w:tr>
      <w:tr w:rsidR="00A8298C">
        <w:trPr>
          <w:jc w:val="center"/>
        </w:trPr>
        <w:tc>
          <w:tcPr>
            <w:tcW w:w="1302" w:type="dxa"/>
            <w:vAlign w:val="center"/>
          </w:tcPr>
          <w:p w:rsidR="00A8298C" w:rsidRDefault="009835AA">
            <w:pPr>
              <w:jc w:val="center"/>
            </w:pPr>
            <w:r>
              <w:rPr>
                <w:rFonts w:eastAsiaTheme="minorEastAsia"/>
                <w:color w:val="000000"/>
                <w:sz w:val="24"/>
              </w:rPr>
              <w:t>4</w:t>
            </w:r>
          </w:p>
        </w:tc>
        <w:tc>
          <w:tcPr>
            <w:tcW w:w="1362" w:type="dxa"/>
            <w:vAlign w:val="center"/>
          </w:tcPr>
          <w:p w:rsidR="00A8298C" w:rsidRDefault="009835AA">
            <w:pPr>
              <w:jc w:val="center"/>
            </w:pPr>
            <w:r>
              <w:rPr>
                <w:rFonts w:eastAsiaTheme="minorEastAsia"/>
                <w:color w:val="000000"/>
                <w:sz w:val="24"/>
              </w:rPr>
              <w:t>011698621</w:t>
            </w:r>
          </w:p>
        </w:tc>
        <w:tc>
          <w:tcPr>
            <w:tcW w:w="1652" w:type="dxa"/>
            <w:vAlign w:val="center"/>
          </w:tcPr>
          <w:p w:rsidR="00A8298C" w:rsidRDefault="009835AA">
            <w:pPr>
              <w:jc w:val="center"/>
            </w:pPr>
            <w:r>
              <w:rPr>
                <w:rFonts w:eastAsiaTheme="minorEastAsia"/>
                <w:color w:val="000000"/>
                <w:sz w:val="24"/>
              </w:rPr>
              <w:t>16</w:t>
            </w:r>
            <w:r>
              <w:rPr>
                <w:rFonts w:eastAsiaTheme="minorEastAsia"/>
                <w:color w:val="000000"/>
                <w:sz w:val="24"/>
              </w:rPr>
              <w:t>青岛能源</w:t>
            </w:r>
            <w:r>
              <w:rPr>
                <w:rFonts w:eastAsiaTheme="minorEastAsia"/>
                <w:color w:val="000000"/>
                <w:sz w:val="24"/>
              </w:rPr>
              <w:t>SCP002</w:t>
            </w:r>
          </w:p>
        </w:tc>
        <w:tc>
          <w:tcPr>
            <w:tcW w:w="1417" w:type="dxa"/>
            <w:vAlign w:val="center"/>
          </w:tcPr>
          <w:p w:rsidR="00A8298C" w:rsidRDefault="009835AA">
            <w:pPr>
              <w:jc w:val="right"/>
            </w:pPr>
            <w:r>
              <w:rPr>
                <w:rFonts w:eastAsiaTheme="minorEastAsia"/>
                <w:color w:val="000000"/>
                <w:sz w:val="24"/>
              </w:rPr>
              <w:t>200,000</w:t>
            </w:r>
          </w:p>
        </w:tc>
        <w:tc>
          <w:tcPr>
            <w:tcW w:w="1701" w:type="dxa"/>
            <w:vAlign w:val="center"/>
          </w:tcPr>
          <w:p w:rsidR="00A8298C" w:rsidRDefault="009835AA">
            <w:pPr>
              <w:jc w:val="right"/>
            </w:pPr>
            <w:r>
              <w:rPr>
                <w:rFonts w:eastAsiaTheme="minorEastAsia"/>
                <w:color w:val="000000"/>
                <w:sz w:val="24"/>
              </w:rPr>
              <w:t>19,928,000.00</w:t>
            </w:r>
          </w:p>
        </w:tc>
        <w:tc>
          <w:tcPr>
            <w:tcW w:w="1434" w:type="dxa"/>
            <w:vAlign w:val="center"/>
          </w:tcPr>
          <w:p w:rsidR="00A8298C" w:rsidRDefault="009835AA">
            <w:pPr>
              <w:jc w:val="right"/>
            </w:pPr>
            <w:r>
              <w:rPr>
                <w:rFonts w:eastAsiaTheme="minorEastAsia"/>
                <w:color w:val="000000"/>
                <w:sz w:val="24"/>
              </w:rPr>
              <w:t>7.62</w:t>
            </w:r>
          </w:p>
        </w:tc>
      </w:tr>
      <w:tr w:rsidR="00A8298C">
        <w:trPr>
          <w:jc w:val="center"/>
        </w:trPr>
        <w:tc>
          <w:tcPr>
            <w:tcW w:w="1302" w:type="dxa"/>
            <w:vAlign w:val="center"/>
          </w:tcPr>
          <w:p w:rsidR="00A8298C" w:rsidRDefault="009835AA">
            <w:pPr>
              <w:jc w:val="center"/>
            </w:pPr>
            <w:r>
              <w:rPr>
                <w:rFonts w:eastAsiaTheme="minorEastAsia"/>
                <w:color w:val="000000"/>
                <w:sz w:val="24"/>
              </w:rPr>
              <w:t>5</w:t>
            </w:r>
          </w:p>
        </w:tc>
        <w:tc>
          <w:tcPr>
            <w:tcW w:w="1362" w:type="dxa"/>
            <w:vAlign w:val="center"/>
          </w:tcPr>
          <w:p w:rsidR="00A8298C" w:rsidRDefault="009835AA">
            <w:pPr>
              <w:jc w:val="center"/>
            </w:pPr>
            <w:r>
              <w:rPr>
                <w:rFonts w:eastAsiaTheme="minorEastAsia"/>
                <w:color w:val="000000"/>
                <w:sz w:val="24"/>
              </w:rPr>
              <w:t>1280135</w:t>
            </w:r>
          </w:p>
        </w:tc>
        <w:tc>
          <w:tcPr>
            <w:tcW w:w="1652" w:type="dxa"/>
            <w:vAlign w:val="center"/>
          </w:tcPr>
          <w:p w:rsidR="00A8298C" w:rsidRDefault="009835AA">
            <w:pPr>
              <w:jc w:val="center"/>
            </w:pPr>
            <w:r>
              <w:rPr>
                <w:rFonts w:eastAsiaTheme="minorEastAsia"/>
                <w:color w:val="000000"/>
                <w:sz w:val="24"/>
              </w:rPr>
              <w:t>12</w:t>
            </w:r>
            <w:r>
              <w:rPr>
                <w:rFonts w:eastAsiaTheme="minorEastAsia"/>
                <w:color w:val="000000"/>
                <w:sz w:val="24"/>
              </w:rPr>
              <w:t>昆钢控股债</w:t>
            </w:r>
          </w:p>
        </w:tc>
        <w:tc>
          <w:tcPr>
            <w:tcW w:w="1417" w:type="dxa"/>
            <w:vAlign w:val="center"/>
          </w:tcPr>
          <w:p w:rsidR="00A8298C" w:rsidRDefault="009835AA">
            <w:pPr>
              <w:jc w:val="right"/>
            </w:pPr>
            <w:r>
              <w:rPr>
                <w:rFonts w:eastAsiaTheme="minorEastAsia"/>
                <w:color w:val="000000"/>
                <w:sz w:val="24"/>
              </w:rPr>
              <w:t>140,000</w:t>
            </w:r>
          </w:p>
        </w:tc>
        <w:tc>
          <w:tcPr>
            <w:tcW w:w="1701" w:type="dxa"/>
            <w:vAlign w:val="center"/>
          </w:tcPr>
          <w:p w:rsidR="00A8298C" w:rsidRDefault="009835AA">
            <w:pPr>
              <w:jc w:val="right"/>
            </w:pPr>
            <w:r>
              <w:rPr>
                <w:rFonts w:eastAsiaTheme="minorEastAsia"/>
                <w:color w:val="000000"/>
                <w:sz w:val="24"/>
              </w:rPr>
              <w:t>14,019,600.00</w:t>
            </w:r>
          </w:p>
        </w:tc>
        <w:tc>
          <w:tcPr>
            <w:tcW w:w="1434" w:type="dxa"/>
            <w:vAlign w:val="center"/>
          </w:tcPr>
          <w:p w:rsidR="00A8298C" w:rsidRDefault="009835AA">
            <w:pPr>
              <w:jc w:val="right"/>
            </w:pPr>
            <w:r>
              <w:rPr>
                <w:rFonts w:eastAsiaTheme="minorEastAsia"/>
                <w:color w:val="000000"/>
                <w:sz w:val="24"/>
              </w:rPr>
              <w:t>5.36</w:t>
            </w:r>
          </w:p>
        </w:tc>
      </w:tr>
    </w:tbl>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220542"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5.6</w:t>
      </w:r>
      <w:r w:rsidR="008C32E4" w:rsidRPr="00405493">
        <w:rPr>
          <w:rFonts w:eastAsiaTheme="minorEastAsia"/>
          <w:b/>
          <w:color w:val="000000"/>
          <w:kern w:val="0"/>
          <w:sz w:val="24"/>
        </w:rPr>
        <w:t xml:space="preserve"> </w:t>
      </w:r>
      <w:r w:rsidRPr="00405493">
        <w:rPr>
          <w:b/>
          <w:color w:val="000000"/>
          <w:kern w:val="0"/>
          <w:sz w:val="24"/>
        </w:rPr>
        <w:t>报告期末按公允价值占基金资产净值比例大小排</w:t>
      </w:r>
      <w:r w:rsidR="00A24611" w:rsidRPr="00405493">
        <w:rPr>
          <w:b/>
          <w:color w:val="000000"/>
          <w:kern w:val="0"/>
          <w:sz w:val="24"/>
        </w:rPr>
        <w:t>序</w:t>
      </w:r>
      <w:r w:rsidRPr="00405493">
        <w:rPr>
          <w:b/>
          <w:color w:val="000000"/>
          <w:kern w:val="0"/>
          <w:sz w:val="24"/>
        </w:rPr>
        <w:t>的前十名资产支持证券投资明细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本基金本报告期末未持有资产支持证券。</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0B548A" w:rsidRPr="00405493" w:rsidRDefault="000B548A" w:rsidP="009D139A">
      <w:pPr>
        <w:autoSpaceDE w:val="0"/>
        <w:autoSpaceDN w:val="0"/>
        <w:adjustRightInd w:val="0"/>
        <w:spacing w:line="288" w:lineRule="auto"/>
        <w:jc w:val="left"/>
        <w:rPr>
          <w:rFonts w:eastAsiaTheme="minorEastAsia"/>
          <w:b/>
          <w:bCs/>
          <w:color w:val="000000"/>
          <w:kern w:val="0"/>
          <w:sz w:val="24"/>
        </w:rPr>
      </w:pPr>
      <w:r w:rsidRPr="00405493">
        <w:rPr>
          <w:rFonts w:eastAsiaTheme="minorEastAsia"/>
          <w:b/>
          <w:bCs/>
          <w:color w:val="000000"/>
          <w:kern w:val="0"/>
          <w:sz w:val="24"/>
        </w:rPr>
        <w:t xml:space="preserve">5.7 </w:t>
      </w:r>
      <w:r w:rsidRPr="00405493">
        <w:rPr>
          <w:rFonts w:hAnsi="宋体"/>
          <w:b/>
          <w:bCs/>
          <w:color w:val="000000"/>
          <w:kern w:val="0"/>
          <w:sz w:val="24"/>
        </w:rPr>
        <w:t>报告期末按公允价值占基金资产净值比例大小排序的前五名贵金属投资明细</w:t>
      </w:r>
    </w:p>
    <w:p w:rsidR="000B548A" w:rsidRPr="00405493" w:rsidRDefault="0060638F" w:rsidP="009D139A">
      <w:pPr>
        <w:autoSpaceDE w:val="0"/>
        <w:autoSpaceDN w:val="0"/>
        <w:adjustRightInd w:val="0"/>
        <w:spacing w:line="288" w:lineRule="auto"/>
        <w:jc w:val="left"/>
        <w:rPr>
          <w:sz w:val="24"/>
        </w:rPr>
      </w:pPr>
      <w:r w:rsidRPr="00405493">
        <w:rPr>
          <w:sz w:val="24"/>
        </w:rPr>
        <w:t>本基金本报告期末未持有贵金属。</w:t>
      </w:r>
    </w:p>
    <w:p w:rsidR="0060638F" w:rsidRPr="00405493" w:rsidRDefault="0060638F" w:rsidP="009D139A">
      <w:pPr>
        <w:autoSpaceDE w:val="0"/>
        <w:autoSpaceDN w:val="0"/>
        <w:adjustRightInd w:val="0"/>
        <w:spacing w:line="288" w:lineRule="auto"/>
        <w:jc w:val="left"/>
        <w:rPr>
          <w:rFonts w:eastAsiaTheme="minorEastAsia"/>
          <w:b/>
          <w:bCs/>
          <w:color w:val="000000"/>
          <w:kern w:val="0"/>
          <w:sz w:val="24"/>
        </w:rPr>
      </w:pPr>
    </w:p>
    <w:p w:rsidR="00220542" w:rsidRPr="00405493" w:rsidRDefault="00C47A34" w:rsidP="009D139A">
      <w:pPr>
        <w:autoSpaceDE w:val="0"/>
        <w:autoSpaceDN w:val="0"/>
        <w:adjustRightInd w:val="0"/>
        <w:spacing w:before="29" w:line="288" w:lineRule="auto"/>
        <w:jc w:val="left"/>
        <w:rPr>
          <w:b/>
          <w:color w:val="000000"/>
          <w:kern w:val="0"/>
          <w:sz w:val="24"/>
        </w:rPr>
      </w:pPr>
      <w:r w:rsidRPr="00405493">
        <w:rPr>
          <w:rFonts w:eastAsiaTheme="minorEastAsia"/>
          <w:b/>
          <w:color w:val="000000"/>
          <w:kern w:val="0"/>
          <w:sz w:val="24"/>
        </w:rPr>
        <w:t>5</w:t>
      </w:r>
      <w:r w:rsidR="00220542" w:rsidRPr="00405493">
        <w:rPr>
          <w:rFonts w:eastAsiaTheme="minorEastAsia"/>
          <w:b/>
          <w:color w:val="000000"/>
          <w:kern w:val="0"/>
          <w:sz w:val="24"/>
        </w:rPr>
        <w:t>.</w:t>
      </w:r>
      <w:r w:rsidRPr="00405493">
        <w:rPr>
          <w:rFonts w:eastAsiaTheme="minorEastAsia"/>
          <w:b/>
          <w:color w:val="000000"/>
          <w:kern w:val="0"/>
          <w:sz w:val="24"/>
        </w:rPr>
        <w:t>8</w:t>
      </w:r>
      <w:r w:rsidR="001F6B27" w:rsidRPr="00405493">
        <w:rPr>
          <w:rFonts w:eastAsiaTheme="minorEastAsia"/>
          <w:b/>
          <w:color w:val="000000"/>
          <w:kern w:val="0"/>
          <w:sz w:val="24"/>
        </w:rPr>
        <w:t xml:space="preserve"> </w:t>
      </w:r>
      <w:r w:rsidR="00220542" w:rsidRPr="00405493">
        <w:rPr>
          <w:b/>
          <w:bCs/>
          <w:color w:val="000000"/>
          <w:sz w:val="24"/>
        </w:rPr>
        <w:t>报告期末按公允价值占基金资产净值比例大小排</w:t>
      </w:r>
      <w:r w:rsidR="00A24611" w:rsidRPr="00405493">
        <w:rPr>
          <w:b/>
          <w:color w:val="000000"/>
          <w:kern w:val="0"/>
          <w:sz w:val="24"/>
        </w:rPr>
        <w:t>序</w:t>
      </w:r>
      <w:r w:rsidR="00220542" w:rsidRPr="00405493">
        <w:rPr>
          <w:b/>
          <w:bCs/>
          <w:color w:val="000000"/>
          <w:sz w:val="24"/>
        </w:rPr>
        <w:t>的前五名权证投资明细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本基金本报告期末未持有权证。</w:t>
      </w:r>
    </w:p>
    <w:p w:rsidR="00220542" w:rsidRPr="00405493" w:rsidRDefault="00220542" w:rsidP="009D139A">
      <w:pPr>
        <w:autoSpaceDE w:val="0"/>
        <w:autoSpaceDN w:val="0"/>
        <w:adjustRightInd w:val="0"/>
        <w:spacing w:before="29" w:line="288" w:lineRule="auto"/>
        <w:jc w:val="left"/>
        <w:rPr>
          <w:rFonts w:eastAsiaTheme="minorEastAsia"/>
          <w:color w:val="000000"/>
          <w:kern w:val="0"/>
          <w:sz w:val="24"/>
        </w:rPr>
      </w:pPr>
    </w:p>
    <w:p w:rsidR="00B82B30" w:rsidRPr="00405493" w:rsidRDefault="00C47A34" w:rsidP="009D139A">
      <w:pPr>
        <w:adjustRightInd w:val="0"/>
        <w:snapToGrid w:val="0"/>
        <w:spacing w:before="29" w:line="288" w:lineRule="auto"/>
        <w:rPr>
          <w:rFonts w:eastAsiaTheme="minorEastAsia"/>
          <w:b/>
          <w:sz w:val="24"/>
        </w:rPr>
      </w:pPr>
      <w:r w:rsidRPr="00405493">
        <w:rPr>
          <w:rFonts w:eastAsiaTheme="minorEastAsia"/>
          <w:b/>
          <w:sz w:val="24"/>
        </w:rPr>
        <w:t>5.9</w:t>
      </w:r>
      <w:r w:rsidR="001F6B27" w:rsidRPr="00405493">
        <w:rPr>
          <w:rFonts w:eastAsiaTheme="minorEastAsia"/>
          <w:b/>
          <w:sz w:val="24"/>
        </w:rPr>
        <w:t xml:space="preserve"> </w:t>
      </w:r>
      <w:r w:rsidR="00B82B30" w:rsidRPr="00405493">
        <w:rPr>
          <w:b/>
          <w:sz w:val="24"/>
        </w:rPr>
        <w:t>报告期末本基金投资的股指期货交易情况说明</w:t>
      </w:r>
    </w:p>
    <w:p w:rsidR="00B82B30" w:rsidRPr="00405493" w:rsidRDefault="002352D3"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本基金本报告期末未持有股指期货。</w:t>
      </w:r>
    </w:p>
    <w:p w:rsidR="002352D3" w:rsidRPr="00405493" w:rsidRDefault="002352D3" w:rsidP="009D139A">
      <w:pPr>
        <w:adjustRightInd w:val="0"/>
        <w:snapToGrid w:val="0"/>
        <w:spacing w:before="29" w:line="288" w:lineRule="auto"/>
        <w:rPr>
          <w:rFonts w:eastAsiaTheme="minorEastAsia"/>
          <w:sz w:val="24"/>
        </w:rPr>
      </w:pPr>
    </w:p>
    <w:p w:rsidR="0084497A" w:rsidRPr="00405493" w:rsidRDefault="00A079EB" w:rsidP="009D139A">
      <w:pPr>
        <w:adjustRightInd w:val="0"/>
        <w:snapToGrid w:val="0"/>
        <w:spacing w:before="29" w:line="288" w:lineRule="auto"/>
        <w:rPr>
          <w:b/>
          <w:sz w:val="24"/>
        </w:rPr>
      </w:pPr>
      <w:r w:rsidRPr="00405493">
        <w:rPr>
          <w:rFonts w:eastAsiaTheme="minorEastAsia"/>
          <w:b/>
          <w:sz w:val="24"/>
        </w:rPr>
        <w:t>5.10</w:t>
      </w:r>
      <w:r w:rsidR="00184D75" w:rsidRPr="00405493">
        <w:rPr>
          <w:rFonts w:eastAsiaTheme="minorEastAsia"/>
          <w:b/>
          <w:sz w:val="24"/>
        </w:rPr>
        <w:t xml:space="preserve"> </w:t>
      </w:r>
      <w:r w:rsidRPr="00405493">
        <w:rPr>
          <w:b/>
          <w:sz w:val="24"/>
        </w:rPr>
        <w:t>报告期末本基金投资的国债期货交易情况说明</w:t>
      </w:r>
    </w:p>
    <w:p w:rsidR="00A079EB" w:rsidRPr="00405493" w:rsidRDefault="00A079EB"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本基金本报告期末未持有国债期货。</w:t>
      </w:r>
    </w:p>
    <w:p w:rsidR="0031092E" w:rsidRPr="00405493" w:rsidRDefault="0031092E" w:rsidP="009D139A">
      <w:pPr>
        <w:autoSpaceDE w:val="0"/>
        <w:autoSpaceDN w:val="0"/>
        <w:adjustRightInd w:val="0"/>
        <w:spacing w:before="29" w:line="288" w:lineRule="auto"/>
        <w:jc w:val="left"/>
        <w:rPr>
          <w:rFonts w:eastAsiaTheme="minorEastAsia"/>
          <w:color w:val="000000"/>
          <w:sz w:val="24"/>
        </w:rPr>
      </w:pPr>
    </w:p>
    <w:p w:rsidR="00220542" w:rsidRPr="00405493" w:rsidRDefault="00C47A34" w:rsidP="009D139A">
      <w:pPr>
        <w:autoSpaceDE w:val="0"/>
        <w:autoSpaceDN w:val="0"/>
        <w:adjustRightInd w:val="0"/>
        <w:spacing w:before="29" w:line="288" w:lineRule="auto"/>
        <w:jc w:val="left"/>
        <w:rPr>
          <w:rFonts w:eastAsiaTheme="minorEastAsia"/>
          <w:b/>
          <w:color w:val="000000"/>
          <w:kern w:val="0"/>
          <w:sz w:val="24"/>
        </w:rPr>
      </w:pPr>
      <w:r w:rsidRPr="00405493">
        <w:rPr>
          <w:rFonts w:eastAsiaTheme="minorEastAsia"/>
          <w:b/>
          <w:color w:val="000000"/>
          <w:kern w:val="0"/>
          <w:sz w:val="24"/>
        </w:rPr>
        <w:t>5</w:t>
      </w:r>
      <w:r w:rsidR="00B82B30" w:rsidRPr="00405493">
        <w:rPr>
          <w:rFonts w:eastAsiaTheme="minorEastAsia"/>
          <w:b/>
          <w:color w:val="000000"/>
          <w:kern w:val="0"/>
          <w:sz w:val="24"/>
        </w:rPr>
        <w:t>.</w:t>
      </w:r>
      <w:r w:rsidRPr="00405493">
        <w:rPr>
          <w:rFonts w:eastAsiaTheme="minorEastAsia"/>
          <w:b/>
          <w:color w:val="000000"/>
          <w:kern w:val="0"/>
          <w:sz w:val="24"/>
        </w:rPr>
        <w:t>11</w:t>
      </w:r>
      <w:r w:rsidR="00184D75" w:rsidRPr="00405493">
        <w:rPr>
          <w:rFonts w:eastAsiaTheme="minorEastAsia"/>
          <w:b/>
          <w:color w:val="000000"/>
          <w:kern w:val="0"/>
          <w:sz w:val="24"/>
        </w:rPr>
        <w:t xml:space="preserve"> </w:t>
      </w:r>
      <w:r w:rsidR="00220542" w:rsidRPr="00405493">
        <w:rPr>
          <w:b/>
          <w:color w:val="000000"/>
          <w:kern w:val="0"/>
          <w:sz w:val="24"/>
        </w:rPr>
        <w:t>投资组合报告附注</w:t>
      </w:r>
    </w:p>
    <w:p w:rsidR="009215BE" w:rsidRPr="00405493"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w:t>
      </w:r>
      <w:r w:rsidR="00220542" w:rsidRPr="00405493">
        <w:rPr>
          <w:rFonts w:eastAsiaTheme="minorEastAsia"/>
          <w:color w:val="000000"/>
          <w:sz w:val="24"/>
        </w:rPr>
        <w:t>.</w:t>
      </w:r>
      <w:r w:rsidRPr="00405493">
        <w:rPr>
          <w:rFonts w:eastAsiaTheme="minorEastAsia"/>
          <w:color w:val="000000"/>
          <w:sz w:val="24"/>
        </w:rPr>
        <w:t>1</w:t>
      </w:r>
      <w:r w:rsidR="009215BE" w:rsidRPr="00405493">
        <w:rPr>
          <w:rFonts w:eastAsiaTheme="minorEastAsia"/>
          <w:color w:val="000000"/>
          <w:sz w:val="24"/>
        </w:rPr>
        <w:t>报告期内本基金投资的前十名证券的发行主体未被监管部门立案调查，在本报告编制日前一年内本基金投资的前十名证券的发行主体未受到公开谴责和处罚。</w:t>
      </w:r>
    </w:p>
    <w:p w:rsidR="009D3F6A" w:rsidRPr="003F23AB" w:rsidRDefault="00C47A34"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5.11.2</w:t>
      </w:r>
      <w:r w:rsidR="009215BE" w:rsidRPr="00405493">
        <w:rPr>
          <w:rFonts w:eastAsiaTheme="minorEastAsia"/>
          <w:color w:val="000000"/>
          <w:sz w:val="24"/>
        </w:rPr>
        <w:t>本基金投资的前十名股票中，没有超出基金合同规定的备选股票库之外的股票。</w:t>
      </w: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5.11.3</w:t>
      </w:r>
      <w:r w:rsidR="00184D75" w:rsidRPr="00405493">
        <w:rPr>
          <w:rFonts w:eastAsiaTheme="minorEastAsia"/>
          <w:color w:val="000000"/>
          <w:kern w:val="0"/>
          <w:sz w:val="24"/>
        </w:rPr>
        <w:t xml:space="preserve"> </w:t>
      </w:r>
      <w:r w:rsidR="00220542" w:rsidRPr="00405493">
        <w:rPr>
          <w:color w:val="000000"/>
          <w:kern w:val="0"/>
          <w:sz w:val="24"/>
        </w:rPr>
        <w:t>其他</w:t>
      </w:r>
      <w:r w:rsidR="00224A85" w:rsidRPr="00405493">
        <w:rPr>
          <w:color w:val="000000"/>
          <w:kern w:val="0"/>
          <w:sz w:val="24"/>
        </w:rPr>
        <w:t>各项</w:t>
      </w:r>
      <w:r w:rsidR="00220542" w:rsidRPr="00405493">
        <w:rPr>
          <w:color w:val="000000"/>
          <w:kern w:val="0"/>
          <w:sz w:val="24"/>
        </w:rPr>
        <w:t>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序号</w:t>
            </w:r>
          </w:p>
        </w:tc>
        <w:tc>
          <w:tcPr>
            <w:tcW w:w="2761"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名称</w:t>
            </w:r>
          </w:p>
        </w:tc>
        <w:tc>
          <w:tcPr>
            <w:tcW w:w="4808" w:type="dxa"/>
            <w:vAlign w:val="center"/>
          </w:tcPr>
          <w:p w:rsidR="000C69C9" w:rsidRPr="00405493" w:rsidRDefault="000C69C9" w:rsidP="009D139A">
            <w:pPr>
              <w:autoSpaceDE w:val="0"/>
              <w:autoSpaceDN w:val="0"/>
              <w:adjustRightInd w:val="0"/>
              <w:spacing w:before="29" w:line="288" w:lineRule="auto"/>
              <w:ind w:left="17"/>
              <w:jc w:val="center"/>
              <w:rPr>
                <w:rFonts w:eastAsiaTheme="minorEastAsia"/>
                <w:color w:val="000000"/>
                <w:kern w:val="0"/>
                <w:sz w:val="24"/>
              </w:rPr>
            </w:pPr>
            <w:r w:rsidRPr="00405493">
              <w:rPr>
                <w:rFonts w:eastAsiaTheme="minorEastAsia"/>
                <w:color w:val="000000"/>
                <w:kern w:val="0"/>
                <w:sz w:val="24"/>
              </w:rPr>
              <w:t>金额</w:t>
            </w:r>
            <w:r w:rsidR="00FD3E1D" w:rsidRPr="00405493">
              <w:rPr>
                <w:color w:val="000000"/>
                <w:kern w:val="0"/>
                <w:sz w:val="24"/>
              </w:rPr>
              <w:t>（元）</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kern w:val="0"/>
                <w:sz w:val="24"/>
              </w:rPr>
            </w:pPr>
            <w:r w:rsidRPr="00405493">
              <w:rPr>
                <w:rFonts w:eastAsiaTheme="minorEastAsia"/>
                <w:color w:val="000000"/>
                <w:sz w:val="24"/>
              </w:rPr>
              <w:t>1</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存出保证金</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8,013.44</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2</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应收证券清算款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3</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应收股利</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4</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应收利息</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2,102,098.77</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5</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应收申购款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0C69C9" w:rsidRPr="00405493" w:rsidTr="00C41675">
        <w:trPr>
          <w:jc w:val="center"/>
        </w:trPr>
        <w:tc>
          <w:tcPr>
            <w:tcW w:w="944" w:type="dxa"/>
            <w:vAlign w:val="center"/>
          </w:tcPr>
          <w:p w:rsidR="000C69C9" w:rsidRPr="00405493" w:rsidRDefault="000C69C9"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6</w:t>
            </w:r>
          </w:p>
        </w:tc>
        <w:tc>
          <w:tcPr>
            <w:tcW w:w="2761" w:type="dxa"/>
            <w:vAlign w:val="center"/>
          </w:tcPr>
          <w:p w:rsidR="000C69C9" w:rsidRPr="00405493" w:rsidRDefault="000C69C9"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其他应收款</w:t>
            </w:r>
          </w:p>
        </w:tc>
        <w:tc>
          <w:tcPr>
            <w:tcW w:w="4808" w:type="dxa"/>
            <w:vAlign w:val="center"/>
          </w:tcPr>
          <w:p w:rsidR="000C69C9" w:rsidRPr="00405493" w:rsidRDefault="000C69C9"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7</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待摊费用</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8</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其他</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w:t>
            </w:r>
          </w:p>
        </w:tc>
      </w:tr>
      <w:tr w:rsidR="00EE74FE" w:rsidRPr="00405493" w:rsidTr="00C41675">
        <w:trPr>
          <w:jc w:val="center"/>
        </w:trPr>
        <w:tc>
          <w:tcPr>
            <w:tcW w:w="944" w:type="dxa"/>
            <w:vAlign w:val="center"/>
          </w:tcPr>
          <w:p w:rsidR="00EE74FE" w:rsidRPr="00405493" w:rsidRDefault="00EE74FE" w:rsidP="009D139A">
            <w:pPr>
              <w:autoSpaceDE w:val="0"/>
              <w:autoSpaceDN w:val="0"/>
              <w:adjustRightInd w:val="0"/>
              <w:spacing w:before="29" w:line="288" w:lineRule="auto"/>
              <w:ind w:left="15"/>
              <w:jc w:val="center"/>
              <w:rPr>
                <w:rFonts w:eastAsiaTheme="minorEastAsia"/>
                <w:color w:val="000000"/>
                <w:sz w:val="24"/>
              </w:rPr>
            </w:pPr>
            <w:r w:rsidRPr="00405493">
              <w:rPr>
                <w:rFonts w:eastAsiaTheme="minorEastAsia"/>
                <w:color w:val="000000"/>
                <w:sz w:val="24"/>
              </w:rPr>
              <w:t>9</w:t>
            </w:r>
          </w:p>
        </w:tc>
        <w:tc>
          <w:tcPr>
            <w:tcW w:w="2761" w:type="dxa"/>
            <w:vAlign w:val="center"/>
          </w:tcPr>
          <w:p w:rsidR="00EE74FE" w:rsidRPr="00405493" w:rsidRDefault="00EE74FE" w:rsidP="009D139A">
            <w:pPr>
              <w:autoSpaceDE w:val="0"/>
              <w:autoSpaceDN w:val="0"/>
              <w:adjustRightInd w:val="0"/>
              <w:spacing w:before="29" w:line="288" w:lineRule="auto"/>
              <w:ind w:left="15"/>
              <w:jc w:val="left"/>
              <w:rPr>
                <w:color w:val="000000"/>
                <w:kern w:val="0"/>
                <w:sz w:val="24"/>
              </w:rPr>
            </w:pPr>
            <w:r w:rsidRPr="00405493">
              <w:rPr>
                <w:color w:val="000000"/>
                <w:kern w:val="0"/>
                <w:sz w:val="24"/>
              </w:rPr>
              <w:t>合计</w:t>
            </w:r>
          </w:p>
        </w:tc>
        <w:tc>
          <w:tcPr>
            <w:tcW w:w="4808" w:type="dxa"/>
            <w:vAlign w:val="center"/>
          </w:tcPr>
          <w:p w:rsidR="00EE74FE" w:rsidRPr="00405493" w:rsidRDefault="00EE74FE" w:rsidP="009D139A">
            <w:pPr>
              <w:autoSpaceDE w:val="0"/>
              <w:autoSpaceDN w:val="0"/>
              <w:adjustRightInd w:val="0"/>
              <w:spacing w:before="29" w:line="288" w:lineRule="auto"/>
              <w:ind w:left="15"/>
              <w:jc w:val="right"/>
              <w:rPr>
                <w:rFonts w:eastAsiaTheme="minorEastAsia"/>
                <w:color w:val="000000"/>
                <w:kern w:val="0"/>
                <w:sz w:val="24"/>
              </w:rPr>
            </w:pPr>
            <w:r w:rsidRPr="00405493">
              <w:rPr>
                <w:rFonts w:eastAsiaTheme="minorEastAsia"/>
                <w:color w:val="000000"/>
                <w:kern w:val="0"/>
                <w:sz w:val="24"/>
              </w:rPr>
              <w:t>2,110,112.21</w:t>
            </w:r>
          </w:p>
        </w:tc>
      </w:tr>
    </w:tbl>
    <w:p w:rsidR="000C69C9" w:rsidRPr="00405493" w:rsidRDefault="000C69C9" w:rsidP="009D139A">
      <w:pPr>
        <w:autoSpaceDE w:val="0"/>
        <w:autoSpaceDN w:val="0"/>
        <w:adjustRightInd w:val="0"/>
        <w:spacing w:before="29" w:line="288" w:lineRule="auto"/>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color w:val="000000"/>
          <w:kern w:val="0"/>
          <w:sz w:val="24"/>
        </w:rPr>
      </w:pPr>
      <w:r w:rsidRPr="00405493">
        <w:rPr>
          <w:rFonts w:eastAsiaTheme="minorEastAsia"/>
          <w:color w:val="000000"/>
          <w:kern w:val="0"/>
          <w:sz w:val="24"/>
        </w:rPr>
        <w:t>5.11.4</w:t>
      </w:r>
      <w:r w:rsidR="00184D75" w:rsidRPr="00405493">
        <w:rPr>
          <w:rFonts w:eastAsiaTheme="minorEastAsia"/>
          <w:color w:val="000000"/>
          <w:kern w:val="0"/>
          <w:sz w:val="24"/>
        </w:rPr>
        <w:t xml:space="preserve"> </w:t>
      </w:r>
      <w:r w:rsidR="00220542" w:rsidRPr="00405493">
        <w:rPr>
          <w:color w:val="000000"/>
          <w:kern w:val="0"/>
          <w:sz w:val="24"/>
        </w:rPr>
        <w:t>报告期末持有的处于转股期的可转换债券明细</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本基金本报告期末未持有处于转股期的可转换债券。</w:t>
      </w:r>
    </w:p>
    <w:p w:rsidR="00BE647A" w:rsidRPr="00405493" w:rsidRDefault="00BE647A" w:rsidP="009D139A">
      <w:pPr>
        <w:autoSpaceDE w:val="0"/>
        <w:autoSpaceDN w:val="0"/>
        <w:adjustRightInd w:val="0"/>
        <w:spacing w:before="29" w:line="288" w:lineRule="auto"/>
        <w:ind w:left="15"/>
        <w:jc w:val="left"/>
        <w:rPr>
          <w:rFonts w:eastAsiaTheme="minorEastAsia"/>
          <w:color w:val="000000"/>
          <w:kern w:val="0"/>
          <w:sz w:val="24"/>
        </w:rPr>
      </w:pPr>
    </w:p>
    <w:p w:rsidR="00220542" w:rsidRPr="00405493" w:rsidRDefault="00C47A34" w:rsidP="009D139A">
      <w:pPr>
        <w:autoSpaceDE w:val="0"/>
        <w:autoSpaceDN w:val="0"/>
        <w:adjustRightInd w:val="0"/>
        <w:spacing w:before="29" w:line="288" w:lineRule="auto"/>
        <w:jc w:val="left"/>
        <w:rPr>
          <w:rFonts w:eastAsiaTheme="minorEastAsia"/>
          <w:bCs/>
          <w:color w:val="000000"/>
          <w:sz w:val="24"/>
        </w:rPr>
      </w:pPr>
      <w:r w:rsidRPr="00405493">
        <w:rPr>
          <w:rFonts w:eastAsiaTheme="minorEastAsia"/>
          <w:color w:val="000000"/>
          <w:kern w:val="0"/>
          <w:sz w:val="24"/>
        </w:rPr>
        <w:t>5.11.5</w:t>
      </w:r>
      <w:r w:rsidR="00184D75" w:rsidRPr="00405493">
        <w:rPr>
          <w:rFonts w:eastAsiaTheme="minorEastAsia"/>
          <w:color w:val="000000"/>
          <w:kern w:val="0"/>
          <w:sz w:val="24"/>
        </w:rPr>
        <w:t xml:space="preserve"> </w:t>
      </w:r>
      <w:r w:rsidR="00220542" w:rsidRPr="00405493">
        <w:rPr>
          <w:bCs/>
          <w:color w:val="000000"/>
          <w:sz w:val="24"/>
        </w:rPr>
        <w:t>报告期末前十名股票中存在流通受限情况的说明</w:t>
      </w:r>
    </w:p>
    <w:p w:rsidR="00220542" w:rsidRPr="00405493" w:rsidRDefault="009215BE"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本基金本报告期末未持有股票。</w:t>
      </w:r>
    </w:p>
    <w:p w:rsidR="006A6507" w:rsidRPr="00405493" w:rsidRDefault="006A6507" w:rsidP="009D139A">
      <w:pPr>
        <w:spacing w:before="29" w:line="288" w:lineRule="auto"/>
        <w:rPr>
          <w:rFonts w:eastAsiaTheme="minorEastAsia"/>
          <w:color w:val="000000"/>
          <w:sz w:val="24"/>
        </w:rPr>
      </w:pPr>
    </w:p>
    <w:p w:rsidR="00220542" w:rsidRPr="00405493" w:rsidRDefault="00C47A34" w:rsidP="009D139A">
      <w:pPr>
        <w:spacing w:before="29" w:line="288" w:lineRule="auto"/>
        <w:rPr>
          <w:rFonts w:eastAsiaTheme="minorEastAsia"/>
          <w:color w:val="000000"/>
          <w:sz w:val="24"/>
        </w:rPr>
      </w:pPr>
      <w:r w:rsidRPr="00405493">
        <w:rPr>
          <w:rFonts w:eastAsiaTheme="minorEastAsia"/>
          <w:color w:val="000000"/>
          <w:kern w:val="0"/>
          <w:sz w:val="24"/>
        </w:rPr>
        <w:t>5.11.6</w:t>
      </w:r>
      <w:r w:rsidR="00184D75" w:rsidRPr="00405493">
        <w:rPr>
          <w:rFonts w:eastAsiaTheme="minorEastAsia"/>
          <w:color w:val="000000"/>
          <w:kern w:val="0"/>
          <w:sz w:val="24"/>
        </w:rPr>
        <w:t xml:space="preserve"> </w:t>
      </w:r>
      <w:r w:rsidR="009215BE" w:rsidRPr="00405493">
        <w:rPr>
          <w:color w:val="000000"/>
          <w:kern w:val="0"/>
          <w:sz w:val="24"/>
        </w:rPr>
        <w:t>投资组合报告附注的其他文字描述部分</w:t>
      </w:r>
    </w:p>
    <w:p w:rsidR="00220542" w:rsidRPr="00405493" w:rsidRDefault="009215BE" w:rsidP="00E54647">
      <w:pPr>
        <w:autoSpaceDE w:val="0"/>
        <w:autoSpaceDN w:val="0"/>
        <w:adjustRightInd w:val="0"/>
        <w:spacing w:before="29" w:line="288" w:lineRule="auto"/>
        <w:rPr>
          <w:rFonts w:eastAsiaTheme="minorEastAsia"/>
          <w:color w:val="000000"/>
          <w:sz w:val="24"/>
        </w:rPr>
      </w:pPr>
      <w:r w:rsidRPr="00405493">
        <w:rPr>
          <w:rFonts w:eastAsiaTheme="minorEastAsia"/>
          <w:color w:val="000000"/>
          <w:sz w:val="24"/>
        </w:rPr>
        <w:t>由于四舍五入的原因，分项之和与合计项之间可能存在尾差。</w:t>
      </w:r>
    </w:p>
    <w:p w:rsidR="00326A88" w:rsidRPr="00405493" w:rsidRDefault="00326A88" w:rsidP="009D139A">
      <w:pPr>
        <w:autoSpaceDE w:val="0"/>
        <w:autoSpaceDN w:val="0"/>
        <w:adjustRightInd w:val="0"/>
        <w:spacing w:before="29" w:line="288" w:lineRule="auto"/>
        <w:ind w:firstLineChars="200" w:firstLine="480"/>
        <w:rPr>
          <w:rFonts w:eastAsiaTheme="minorEastAsia"/>
          <w:color w:val="000000"/>
          <w:sz w:val="24"/>
        </w:rPr>
      </w:pPr>
    </w:p>
    <w:p w:rsidR="0062699E" w:rsidRPr="0062699E" w:rsidRDefault="0062699E" w:rsidP="00926032">
      <w:pPr>
        <w:pStyle w:val="1"/>
        <w:tabs>
          <w:tab w:val="center" w:pos="4156"/>
          <w:tab w:val="right" w:pos="8312"/>
        </w:tabs>
        <w:spacing w:beforeLines="100" w:before="312" w:afterLines="100" w:after="312" w:line="288" w:lineRule="auto"/>
        <w:jc w:val="center"/>
        <w:rPr>
          <w:sz w:val="24"/>
          <w:szCs w:val="24"/>
        </w:rPr>
      </w:pPr>
      <w:r w:rsidRPr="0062699E">
        <w:rPr>
          <w:rFonts w:eastAsiaTheme="minorEastAsia"/>
          <w:color w:val="000000"/>
          <w:kern w:val="0"/>
          <w:sz w:val="24"/>
          <w:szCs w:val="24"/>
        </w:rPr>
        <w:t xml:space="preserve">§6  </w:t>
      </w:r>
      <w:r w:rsidRPr="0062699E">
        <w:rPr>
          <w:sz w:val="24"/>
          <w:szCs w:val="24"/>
        </w:rPr>
        <w:t>基金管理人运用固有资金投资本基金情况</w:t>
      </w:r>
    </w:p>
    <w:p w:rsidR="0062699E" w:rsidRPr="0062699E" w:rsidRDefault="0062699E" w:rsidP="009D139A">
      <w:pPr>
        <w:spacing w:line="288" w:lineRule="auto"/>
        <w:jc w:val="left"/>
        <w:rPr>
          <w:sz w:val="24"/>
        </w:rPr>
      </w:pPr>
      <w:r w:rsidRPr="0062699E">
        <w:rPr>
          <w:b/>
          <w:sz w:val="24"/>
        </w:rPr>
        <w:t xml:space="preserve">6.1 </w:t>
      </w:r>
      <w:r w:rsidRPr="0062699E">
        <w:rPr>
          <w:b/>
          <w:sz w:val="24"/>
        </w:rPr>
        <w:t>基金管理人持有本基金份额变动情况</w:t>
      </w:r>
    </w:p>
    <w:p w:rsidR="00C34FBC" w:rsidRDefault="0062699E" w:rsidP="009D139A">
      <w:pPr>
        <w:autoSpaceDE w:val="0"/>
        <w:autoSpaceDN w:val="0"/>
        <w:adjustRightInd w:val="0"/>
        <w:spacing w:line="288" w:lineRule="auto"/>
        <w:jc w:val="left"/>
        <w:rPr>
          <w:rFonts w:eastAsiaTheme="minorEastAsia"/>
          <w:color w:val="000000"/>
          <w:sz w:val="24"/>
        </w:rPr>
      </w:pPr>
      <w:r w:rsidRPr="0062699E">
        <w:rPr>
          <w:rFonts w:eastAsiaTheme="minorEastAsia"/>
          <w:color w:val="000000"/>
          <w:sz w:val="24"/>
        </w:rPr>
        <w:t>本报告期内未发生基金管理人运用固有资金投资本基金的情况。</w:t>
      </w:r>
    </w:p>
    <w:p w:rsidR="009835AA" w:rsidRPr="00405493" w:rsidRDefault="009835AA" w:rsidP="009D139A">
      <w:pPr>
        <w:autoSpaceDE w:val="0"/>
        <w:autoSpaceDN w:val="0"/>
        <w:adjustRightInd w:val="0"/>
        <w:spacing w:line="288" w:lineRule="auto"/>
        <w:jc w:val="left"/>
        <w:rPr>
          <w:rFonts w:eastAsiaTheme="minorEastAsia"/>
          <w:color w:val="000000"/>
          <w:sz w:val="24"/>
        </w:rPr>
      </w:pPr>
    </w:p>
    <w:p w:rsidR="00C34FBC" w:rsidRPr="00405493" w:rsidRDefault="00C34FBC" w:rsidP="00FD5E3A">
      <w:pPr>
        <w:spacing w:before="29" w:line="288" w:lineRule="auto"/>
        <w:jc w:val="left"/>
        <w:rPr>
          <w:rFonts w:eastAsiaTheme="minorEastAsia"/>
          <w:sz w:val="24"/>
        </w:rPr>
      </w:pPr>
      <w:r w:rsidRPr="00405493">
        <w:rPr>
          <w:b/>
          <w:sz w:val="24"/>
        </w:rPr>
        <w:t>6.2</w:t>
      </w:r>
      <w:r w:rsidR="0062699E">
        <w:rPr>
          <w:rFonts w:hint="eastAsia"/>
          <w:b/>
          <w:sz w:val="24"/>
        </w:rPr>
        <w:t xml:space="preserve"> </w:t>
      </w:r>
      <w:r w:rsidR="0062699E">
        <w:rPr>
          <w:rFonts w:hint="eastAsia"/>
          <w:b/>
          <w:sz w:val="24"/>
        </w:rPr>
        <w:t>基</w:t>
      </w:r>
      <w:r w:rsidR="0062699E" w:rsidRPr="00B404F1">
        <w:rPr>
          <w:b/>
          <w:sz w:val="24"/>
        </w:rPr>
        <w:t>金管理人运用固有资金投资本基金交易明细</w:t>
      </w:r>
    </w:p>
    <w:p w:rsidR="00C34FBC" w:rsidRPr="00405493" w:rsidRDefault="00C34FBC" w:rsidP="009D139A">
      <w:pPr>
        <w:autoSpaceDE w:val="0"/>
        <w:autoSpaceDN w:val="0"/>
        <w:adjustRightInd w:val="0"/>
        <w:spacing w:before="29" w:line="288" w:lineRule="auto"/>
        <w:jc w:val="left"/>
        <w:rPr>
          <w:rFonts w:eastAsiaTheme="minorEastAsia"/>
          <w:color w:val="000000"/>
          <w:sz w:val="24"/>
        </w:rPr>
      </w:pPr>
      <w:r w:rsidRPr="00405493">
        <w:rPr>
          <w:rFonts w:eastAsiaTheme="minorEastAsia"/>
          <w:color w:val="000000"/>
          <w:sz w:val="24"/>
        </w:rPr>
        <w:t>本基金管理人本报告期内未进行本基金的申购、赎回、红利再投等。</w:t>
      </w:r>
    </w:p>
    <w:p w:rsidR="00000141" w:rsidRPr="00405493" w:rsidRDefault="00000141" w:rsidP="009D139A">
      <w:pPr>
        <w:autoSpaceDE w:val="0"/>
        <w:autoSpaceDN w:val="0"/>
        <w:adjustRightInd w:val="0"/>
        <w:spacing w:before="29" w:line="288" w:lineRule="auto"/>
        <w:jc w:val="left"/>
        <w:rPr>
          <w:rFonts w:eastAsiaTheme="minorEastAsia"/>
          <w:color w:val="000000"/>
          <w:sz w:val="24"/>
        </w:rPr>
      </w:pPr>
    </w:p>
    <w:p w:rsidR="00753072" w:rsidRPr="00E12151" w:rsidRDefault="00220542" w:rsidP="00926032">
      <w:pPr>
        <w:pStyle w:val="1"/>
        <w:spacing w:beforeLines="100" w:before="312" w:afterLines="100" w:after="312" w:line="288" w:lineRule="auto"/>
        <w:jc w:val="center"/>
        <w:rPr>
          <w:color w:val="000000"/>
          <w:kern w:val="0"/>
          <w:sz w:val="24"/>
          <w:szCs w:val="24"/>
        </w:rPr>
      </w:pPr>
      <w:r w:rsidRPr="00405493">
        <w:rPr>
          <w:rFonts w:eastAsiaTheme="minorEastAsia"/>
          <w:color w:val="000000"/>
          <w:kern w:val="0"/>
          <w:sz w:val="24"/>
          <w:szCs w:val="24"/>
        </w:rPr>
        <w:t>§</w:t>
      </w:r>
      <w:r w:rsidR="00B153F2" w:rsidRPr="00405493">
        <w:rPr>
          <w:rFonts w:eastAsiaTheme="minorEastAsia"/>
          <w:color w:val="000000"/>
          <w:kern w:val="0"/>
          <w:sz w:val="24"/>
          <w:szCs w:val="24"/>
        </w:rPr>
        <w:t>7</w:t>
      </w:r>
      <w:r w:rsidR="00184D75" w:rsidRPr="00405493">
        <w:rPr>
          <w:rFonts w:eastAsiaTheme="minorEastAsia"/>
          <w:color w:val="000000"/>
          <w:kern w:val="0"/>
          <w:sz w:val="24"/>
          <w:szCs w:val="24"/>
        </w:rPr>
        <w:t xml:space="preserve"> </w:t>
      </w:r>
      <w:r w:rsidRPr="00405493">
        <w:rPr>
          <w:color w:val="000000"/>
          <w:kern w:val="0"/>
          <w:sz w:val="24"/>
          <w:szCs w:val="24"/>
        </w:rPr>
        <w:t>备查文件目录</w:t>
      </w:r>
    </w:p>
    <w:p w:rsidR="00220542" w:rsidRPr="00405493" w:rsidRDefault="00B153F2" w:rsidP="009D139A">
      <w:pPr>
        <w:spacing w:before="29" w:line="288" w:lineRule="auto"/>
        <w:rPr>
          <w:rFonts w:eastAsiaTheme="minorEastAsia"/>
          <w:b/>
          <w:color w:val="000000"/>
          <w:kern w:val="0"/>
          <w:sz w:val="24"/>
        </w:rPr>
      </w:pPr>
      <w:r w:rsidRPr="00405493">
        <w:rPr>
          <w:rFonts w:eastAsiaTheme="minorEastAsia"/>
          <w:b/>
          <w:color w:val="000000"/>
          <w:sz w:val="24"/>
        </w:rPr>
        <w:t>7</w:t>
      </w:r>
      <w:r w:rsidR="00220542" w:rsidRPr="00405493">
        <w:rPr>
          <w:rFonts w:eastAsiaTheme="minorEastAsia"/>
          <w:b/>
          <w:color w:val="000000"/>
          <w:sz w:val="24"/>
        </w:rPr>
        <w:t>.</w:t>
      </w:r>
      <w:r w:rsidR="00E03C40" w:rsidRPr="00405493">
        <w:rPr>
          <w:rFonts w:eastAsiaTheme="minorEastAsia"/>
          <w:b/>
          <w:color w:val="000000"/>
          <w:sz w:val="24"/>
        </w:rPr>
        <w:t>1</w:t>
      </w:r>
      <w:r w:rsidR="00184D75" w:rsidRPr="00405493">
        <w:rPr>
          <w:rFonts w:eastAsiaTheme="minorEastAsia"/>
          <w:b/>
          <w:color w:val="000000"/>
          <w:sz w:val="24"/>
        </w:rPr>
        <w:t xml:space="preserve"> </w:t>
      </w:r>
      <w:r w:rsidR="00220542" w:rsidRPr="00405493">
        <w:rPr>
          <w:b/>
          <w:color w:val="000000"/>
          <w:sz w:val="24"/>
        </w:rPr>
        <w:t>备查文件目录</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、中国证监会准予交银施罗德丰享收益债券型证券投资基金募集注册的文件；</w:t>
      </w:r>
      <w:r>
        <w:rPr>
          <w:rFonts w:eastAsiaTheme="minorEastAsia"/>
          <w:color w:val="000000"/>
          <w:sz w:val="24"/>
        </w:rPr>
        <w:t xml:space="preserve"> </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、《交银施罗德丰享收益债券型证券投资基金基金合同》；</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、《交银施罗德丰享收益债券型证券投资基金招募说明书》；</w:t>
      </w:r>
      <w:r>
        <w:rPr>
          <w:rFonts w:eastAsiaTheme="minorEastAsia"/>
          <w:color w:val="000000"/>
          <w:sz w:val="24"/>
        </w:rPr>
        <w:t xml:space="preserve"> </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、《交银施罗德丰享收益债券型证券投资基金托管协议》；</w:t>
      </w:r>
      <w:r>
        <w:rPr>
          <w:rFonts w:eastAsiaTheme="minorEastAsia"/>
          <w:color w:val="000000"/>
          <w:sz w:val="24"/>
        </w:rPr>
        <w:t xml:space="preserve"> </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、关于申请募集注册交银施罗德丰享收益债券型证券投资基金的法律意见书；</w:t>
      </w:r>
    </w:p>
    <w:p w:rsidR="0022054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8</w:t>
      </w:r>
      <w:r w:rsidRPr="00405493">
        <w:rPr>
          <w:rFonts w:eastAsiaTheme="minorEastAsia"/>
          <w:color w:val="000000"/>
          <w:sz w:val="24"/>
        </w:rPr>
        <w:t>、报告期内交银施罗德丰享收益债券型证券投资基金在指定报刊上各项公告的原稿。</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7.2</w:t>
      </w:r>
      <w:r w:rsidR="00184D75" w:rsidRPr="00405493">
        <w:rPr>
          <w:rFonts w:eastAsiaTheme="minorEastAsia"/>
          <w:b/>
          <w:color w:val="000000"/>
          <w:sz w:val="24"/>
        </w:rPr>
        <w:t xml:space="preserve"> </w:t>
      </w:r>
      <w:r w:rsidR="00220542" w:rsidRPr="00405493">
        <w:rPr>
          <w:b/>
          <w:color w:val="000000"/>
          <w:sz w:val="24"/>
        </w:rPr>
        <w:t>存放地点</w:t>
      </w:r>
    </w:p>
    <w:p w:rsidR="009215BE"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备查文件存放于基金管理人的办公场所。</w:t>
      </w:r>
    </w:p>
    <w:p w:rsidR="00785899" w:rsidRPr="00405493" w:rsidRDefault="00785899" w:rsidP="009D139A">
      <w:pPr>
        <w:autoSpaceDE w:val="0"/>
        <w:autoSpaceDN w:val="0"/>
        <w:adjustRightInd w:val="0"/>
        <w:spacing w:before="29" w:line="288" w:lineRule="auto"/>
        <w:ind w:firstLineChars="200" w:firstLine="480"/>
        <w:rPr>
          <w:rFonts w:eastAsiaTheme="minorEastAsia"/>
          <w:color w:val="000000"/>
          <w:sz w:val="24"/>
        </w:rPr>
      </w:pPr>
    </w:p>
    <w:p w:rsidR="00220542" w:rsidRPr="00405493" w:rsidRDefault="00E03C40" w:rsidP="009D139A">
      <w:pPr>
        <w:spacing w:before="29" w:line="288" w:lineRule="auto"/>
        <w:rPr>
          <w:rFonts w:eastAsiaTheme="minorEastAsia"/>
          <w:b/>
          <w:color w:val="000000"/>
          <w:sz w:val="24"/>
        </w:rPr>
      </w:pPr>
      <w:r w:rsidRPr="00405493">
        <w:rPr>
          <w:rFonts w:eastAsiaTheme="minorEastAsia"/>
          <w:b/>
          <w:color w:val="000000"/>
          <w:sz w:val="24"/>
        </w:rPr>
        <w:t>7.3</w:t>
      </w:r>
      <w:r w:rsidR="00184D75" w:rsidRPr="00405493">
        <w:rPr>
          <w:rFonts w:eastAsiaTheme="minorEastAsia"/>
          <w:b/>
          <w:color w:val="000000"/>
          <w:sz w:val="24"/>
        </w:rPr>
        <w:t xml:space="preserve"> </w:t>
      </w:r>
      <w:r w:rsidR="00220542" w:rsidRPr="00405493">
        <w:rPr>
          <w:b/>
          <w:color w:val="000000"/>
          <w:sz w:val="24"/>
        </w:rPr>
        <w:t>查阅方式</w:t>
      </w:r>
    </w:p>
    <w:p w:rsidR="00A8298C" w:rsidRDefault="009835AA">
      <w:pPr>
        <w:autoSpaceDE w:val="0"/>
        <w:autoSpaceDN w:val="0"/>
        <w:adjustRightInd w:val="0"/>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B1B32" w:rsidRPr="00405493" w:rsidRDefault="009215BE" w:rsidP="009D139A">
      <w:pPr>
        <w:autoSpaceDE w:val="0"/>
        <w:autoSpaceDN w:val="0"/>
        <w:adjustRightInd w:val="0"/>
        <w:spacing w:before="29" w:line="288" w:lineRule="auto"/>
        <w:ind w:firstLineChars="200" w:firstLine="480"/>
        <w:rPr>
          <w:rFonts w:eastAsiaTheme="minorEastAsia"/>
          <w:color w:val="000000"/>
          <w:sz w:val="24"/>
        </w:rPr>
      </w:pPr>
      <w:r w:rsidRPr="00405493">
        <w:rPr>
          <w:rFonts w:eastAsiaTheme="minorEastAsia"/>
          <w:color w:val="000000"/>
          <w:sz w:val="24"/>
        </w:rPr>
        <w:t>投资者对本报告书如有疑问，可咨询本基金管理人交银施罗德基金管理有限公司。本公司客户服务中心电话：</w:t>
      </w:r>
      <w:r w:rsidRPr="00405493">
        <w:rPr>
          <w:rFonts w:eastAsiaTheme="minorEastAsia"/>
          <w:color w:val="000000"/>
          <w:sz w:val="24"/>
        </w:rPr>
        <w:t>400-700-5000</w:t>
      </w:r>
      <w:r w:rsidRPr="00405493">
        <w:rPr>
          <w:rFonts w:eastAsiaTheme="minorEastAsia"/>
          <w:color w:val="000000"/>
          <w:sz w:val="24"/>
        </w:rPr>
        <w:t>（免长途话费），</w:t>
      </w:r>
      <w:r w:rsidRPr="00405493">
        <w:rPr>
          <w:rFonts w:eastAsiaTheme="minorEastAsia"/>
          <w:color w:val="000000"/>
          <w:sz w:val="24"/>
        </w:rPr>
        <w:t>021-61055000</w:t>
      </w:r>
      <w:r w:rsidRPr="00405493">
        <w:rPr>
          <w:rFonts w:eastAsiaTheme="minorEastAsia"/>
          <w:color w:val="000000"/>
          <w:sz w:val="24"/>
        </w:rPr>
        <w:t>，电子邮件：</w:t>
      </w:r>
      <w:r w:rsidRPr="00405493">
        <w:rPr>
          <w:rFonts w:eastAsiaTheme="minorEastAsia"/>
          <w:color w:val="000000"/>
          <w:sz w:val="24"/>
        </w:rPr>
        <w:t>services@jysld.com</w:t>
      </w:r>
      <w:r w:rsidRPr="00405493">
        <w:rPr>
          <w:rFonts w:eastAsiaTheme="minorEastAsia"/>
          <w:color w:val="000000"/>
          <w:sz w:val="24"/>
        </w:rPr>
        <w:t>。</w:t>
      </w:r>
    </w:p>
    <w:p w:rsidR="009D1145" w:rsidRPr="00405493" w:rsidRDefault="009D1145" w:rsidP="009D139A">
      <w:pPr>
        <w:autoSpaceDE w:val="0"/>
        <w:autoSpaceDN w:val="0"/>
        <w:adjustRightInd w:val="0"/>
        <w:spacing w:before="29" w:line="288" w:lineRule="auto"/>
        <w:ind w:firstLineChars="200" w:firstLine="480"/>
        <w:rPr>
          <w:rFonts w:eastAsiaTheme="minorEastAsia"/>
          <w:color w:val="000000"/>
          <w:sz w:val="24"/>
        </w:rPr>
      </w:pPr>
    </w:p>
    <w:sectPr w:rsidR="009D1145" w:rsidRPr="00405493" w:rsidSect="001F36EA">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DF" w:rsidRDefault="001512DF">
      <w:r>
        <w:separator/>
      </w:r>
    </w:p>
  </w:endnote>
  <w:endnote w:type="continuationSeparator" w:id="0">
    <w:p w:rsidR="001512DF" w:rsidRDefault="0015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Pr="001D0DB0" w:rsidRDefault="00B05291" w:rsidP="0035401D">
    <w:pPr>
      <w:pStyle w:val="a6"/>
      <w:jc w:val="center"/>
    </w:pPr>
    <w:r>
      <w:rPr>
        <w:rFonts w:hint="eastAsia"/>
        <w:kern w:val="0"/>
        <w:szCs w:val="21"/>
      </w:rPr>
      <w:t>第</w:t>
    </w:r>
    <w:r w:rsidR="00A01A80">
      <w:rPr>
        <w:rFonts w:hint="eastAsia"/>
        <w:kern w:val="0"/>
        <w:szCs w:val="21"/>
      </w:rPr>
      <w:t xml:space="preserve"> </w:t>
    </w:r>
    <w:r w:rsidR="00416AA3">
      <w:rPr>
        <w:kern w:val="0"/>
        <w:szCs w:val="21"/>
      </w:rPr>
      <w:fldChar w:fldCharType="begin"/>
    </w:r>
    <w:r>
      <w:rPr>
        <w:kern w:val="0"/>
        <w:szCs w:val="21"/>
      </w:rPr>
      <w:instrText xml:space="preserve"> PAGE </w:instrText>
    </w:r>
    <w:r w:rsidR="00416AA3">
      <w:rPr>
        <w:kern w:val="0"/>
        <w:szCs w:val="21"/>
      </w:rPr>
      <w:fldChar w:fldCharType="separate"/>
    </w:r>
    <w:r w:rsidR="00F6771A">
      <w:rPr>
        <w:noProof/>
        <w:kern w:val="0"/>
        <w:szCs w:val="21"/>
      </w:rPr>
      <w:t>1</w:t>
    </w:r>
    <w:r w:rsidR="00416AA3">
      <w:rPr>
        <w:kern w:val="0"/>
        <w:szCs w:val="21"/>
      </w:rPr>
      <w:fldChar w:fldCharType="end"/>
    </w:r>
    <w:r w:rsidR="00A01A80">
      <w:rPr>
        <w:rFonts w:hint="eastAsia"/>
        <w:kern w:val="0"/>
        <w:szCs w:val="21"/>
      </w:rPr>
      <w:t xml:space="preserve"> </w:t>
    </w:r>
    <w:r>
      <w:rPr>
        <w:rFonts w:hint="eastAsia"/>
        <w:kern w:val="0"/>
        <w:szCs w:val="21"/>
      </w:rPr>
      <w:t>页</w:t>
    </w:r>
    <w:r w:rsidR="00A01A80">
      <w:rPr>
        <w:rFonts w:hint="eastAsia"/>
        <w:kern w:val="0"/>
        <w:szCs w:val="21"/>
      </w:rPr>
      <w:t xml:space="preserve"> </w:t>
    </w:r>
    <w:r>
      <w:rPr>
        <w:rFonts w:hint="eastAsia"/>
        <w:kern w:val="0"/>
        <w:szCs w:val="21"/>
      </w:rPr>
      <w:t>共</w:t>
    </w:r>
    <w:r w:rsidR="00A01A80">
      <w:rPr>
        <w:rFonts w:hint="eastAsia"/>
        <w:kern w:val="0"/>
        <w:szCs w:val="21"/>
      </w:rPr>
      <w:t xml:space="preserve"> </w:t>
    </w:r>
    <w:r w:rsidR="00416AA3">
      <w:rPr>
        <w:kern w:val="0"/>
        <w:szCs w:val="21"/>
      </w:rPr>
      <w:fldChar w:fldCharType="begin"/>
    </w:r>
    <w:r>
      <w:rPr>
        <w:kern w:val="0"/>
        <w:szCs w:val="21"/>
      </w:rPr>
      <w:instrText xml:space="preserve"> NUMPAGES </w:instrText>
    </w:r>
    <w:r w:rsidR="00416AA3">
      <w:rPr>
        <w:kern w:val="0"/>
        <w:szCs w:val="21"/>
      </w:rPr>
      <w:fldChar w:fldCharType="separate"/>
    </w:r>
    <w:r w:rsidR="00F6771A">
      <w:rPr>
        <w:noProof/>
        <w:kern w:val="0"/>
        <w:szCs w:val="21"/>
      </w:rPr>
      <w:t>12</w:t>
    </w:r>
    <w:r w:rsidR="00416AA3">
      <w:rPr>
        <w:kern w:val="0"/>
        <w:szCs w:val="21"/>
      </w:rPr>
      <w:fldChar w:fldCharType="end"/>
    </w:r>
    <w:r w:rsidR="00A01A80">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91" w:rsidRDefault="00416AA3">
    <w:pPr>
      <w:pStyle w:val="a6"/>
      <w:framePr w:wrap="around" w:vAnchor="text" w:hAnchor="margin" w:xAlign="center" w:y="1"/>
      <w:rPr>
        <w:rStyle w:val="a7"/>
      </w:rPr>
    </w:pPr>
    <w:r>
      <w:rPr>
        <w:rStyle w:val="a7"/>
      </w:rPr>
      <w:fldChar w:fldCharType="begin"/>
    </w:r>
    <w:r w:rsidR="00B05291">
      <w:rPr>
        <w:rStyle w:val="a7"/>
      </w:rPr>
      <w:instrText xml:space="preserve">PAGE  </w:instrText>
    </w:r>
    <w:r>
      <w:rPr>
        <w:rStyle w:val="a7"/>
      </w:rPr>
      <w:fldChar w:fldCharType="end"/>
    </w:r>
  </w:p>
  <w:p w:rsidR="00B05291" w:rsidRDefault="00B05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DF" w:rsidRDefault="001512DF">
      <w:r>
        <w:separator/>
      </w:r>
    </w:p>
  </w:footnote>
  <w:footnote w:type="continuationSeparator" w:id="0">
    <w:p w:rsidR="001512DF" w:rsidRDefault="0015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859" w:rsidRPr="002567DB" w:rsidRDefault="00FA4859" w:rsidP="00FA4859">
    <w:pPr>
      <w:pStyle w:val="a9"/>
      <w:pBdr>
        <w:bottom w:val="single" w:sz="6" w:space="0" w:color="auto"/>
      </w:pBdr>
      <w:jc w:val="right"/>
    </w:pP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-318770</wp:posOffset>
          </wp:positionV>
          <wp:extent cx="2085340" cy="45720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A375597"/>
    <w:multiLevelType w:val="hybridMultilevel"/>
    <w:tmpl w:val="53962872"/>
    <w:lvl w:ilvl="0" w:tplc="F8CAE9AE">
      <w:start w:val="1"/>
      <w:numFmt w:val="decimal"/>
      <w:lvlText w:val="%1."/>
      <w:lvlJc w:val="left"/>
      <w:pPr>
        <w:ind w:left="377" w:hanging="360"/>
      </w:pPr>
      <w:rPr>
        <w:rFonts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0C"/>
    <w:rsid w:val="00000141"/>
    <w:rsid w:val="000019CC"/>
    <w:rsid w:val="0000403B"/>
    <w:rsid w:val="00005911"/>
    <w:rsid w:val="000065DA"/>
    <w:rsid w:val="00007F38"/>
    <w:rsid w:val="00010A83"/>
    <w:rsid w:val="00010A8E"/>
    <w:rsid w:val="00010AC3"/>
    <w:rsid w:val="00011EB5"/>
    <w:rsid w:val="0001280C"/>
    <w:rsid w:val="00014C89"/>
    <w:rsid w:val="000160A2"/>
    <w:rsid w:val="0001654A"/>
    <w:rsid w:val="00017581"/>
    <w:rsid w:val="00020583"/>
    <w:rsid w:val="00021DD4"/>
    <w:rsid w:val="00023BE7"/>
    <w:rsid w:val="000257F9"/>
    <w:rsid w:val="00026068"/>
    <w:rsid w:val="000362B3"/>
    <w:rsid w:val="00037FCF"/>
    <w:rsid w:val="000421B8"/>
    <w:rsid w:val="00043ABF"/>
    <w:rsid w:val="000442A3"/>
    <w:rsid w:val="000445E4"/>
    <w:rsid w:val="000501DC"/>
    <w:rsid w:val="000510AB"/>
    <w:rsid w:val="000545E6"/>
    <w:rsid w:val="00055AF1"/>
    <w:rsid w:val="00062903"/>
    <w:rsid w:val="00064AE3"/>
    <w:rsid w:val="000651B5"/>
    <w:rsid w:val="00066524"/>
    <w:rsid w:val="00067AFA"/>
    <w:rsid w:val="00067DC3"/>
    <w:rsid w:val="00070CD1"/>
    <w:rsid w:val="0007171B"/>
    <w:rsid w:val="00077F58"/>
    <w:rsid w:val="00081D05"/>
    <w:rsid w:val="0008426A"/>
    <w:rsid w:val="00087CF7"/>
    <w:rsid w:val="00087F8A"/>
    <w:rsid w:val="00090E93"/>
    <w:rsid w:val="00094876"/>
    <w:rsid w:val="00095912"/>
    <w:rsid w:val="00095CE0"/>
    <w:rsid w:val="00096933"/>
    <w:rsid w:val="00096972"/>
    <w:rsid w:val="00096F7F"/>
    <w:rsid w:val="00097230"/>
    <w:rsid w:val="000A457E"/>
    <w:rsid w:val="000A53FD"/>
    <w:rsid w:val="000A549A"/>
    <w:rsid w:val="000A669E"/>
    <w:rsid w:val="000A72F2"/>
    <w:rsid w:val="000B0C56"/>
    <w:rsid w:val="000B0CDC"/>
    <w:rsid w:val="000B2907"/>
    <w:rsid w:val="000B2DC2"/>
    <w:rsid w:val="000B3E43"/>
    <w:rsid w:val="000B548A"/>
    <w:rsid w:val="000B5CC0"/>
    <w:rsid w:val="000C108B"/>
    <w:rsid w:val="000C1723"/>
    <w:rsid w:val="000C1B20"/>
    <w:rsid w:val="000C39E8"/>
    <w:rsid w:val="000C4107"/>
    <w:rsid w:val="000C45E7"/>
    <w:rsid w:val="000C5A32"/>
    <w:rsid w:val="000C69C9"/>
    <w:rsid w:val="000D01F4"/>
    <w:rsid w:val="000D080E"/>
    <w:rsid w:val="000D1519"/>
    <w:rsid w:val="000D4E46"/>
    <w:rsid w:val="000D793A"/>
    <w:rsid w:val="000E4456"/>
    <w:rsid w:val="000E71D1"/>
    <w:rsid w:val="000E7B9E"/>
    <w:rsid w:val="000E7EC3"/>
    <w:rsid w:val="000F175F"/>
    <w:rsid w:val="000F17D1"/>
    <w:rsid w:val="000F3E6A"/>
    <w:rsid w:val="000F60FF"/>
    <w:rsid w:val="000F635F"/>
    <w:rsid w:val="000F6C61"/>
    <w:rsid w:val="00100C12"/>
    <w:rsid w:val="0010398F"/>
    <w:rsid w:val="00103A7F"/>
    <w:rsid w:val="001049B6"/>
    <w:rsid w:val="001051C6"/>
    <w:rsid w:val="00105DC9"/>
    <w:rsid w:val="001105D1"/>
    <w:rsid w:val="0011177A"/>
    <w:rsid w:val="00113CCA"/>
    <w:rsid w:val="00116E31"/>
    <w:rsid w:val="0012304E"/>
    <w:rsid w:val="0012486F"/>
    <w:rsid w:val="001248EF"/>
    <w:rsid w:val="00124E12"/>
    <w:rsid w:val="0012513C"/>
    <w:rsid w:val="001257C7"/>
    <w:rsid w:val="00126DDF"/>
    <w:rsid w:val="001270BF"/>
    <w:rsid w:val="00127BAC"/>
    <w:rsid w:val="001428AD"/>
    <w:rsid w:val="00142A56"/>
    <w:rsid w:val="00143B76"/>
    <w:rsid w:val="00144DF5"/>
    <w:rsid w:val="00145A97"/>
    <w:rsid w:val="00145BED"/>
    <w:rsid w:val="00146485"/>
    <w:rsid w:val="00146FAA"/>
    <w:rsid w:val="00150AD6"/>
    <w:rsid w:val="001512DF"/>
    <w:rsid w:val="00153B40"/>
    <w:rsid w:val="00154ADA"/>
    <w:rsid w:val="0015531A"/>
    <w:rsid w:val="00156CE9"/>
    <w:rsid w:val="0016257E"/>
    <w:rsid w:val="00163B27"/>
    <w:rsid w:val="00165317"/>
    <w:rsid w:val="00171BAD"/>
    <w:rsid w:val="00173ECF"/>
    <w:rsid w:val="001744B4"/>
    <w:rsid w:val="001756A1"/>
    <w:rsid w:val="001761EE"/>
    <w:rsid w:val="00176EAA"/>
    <w:rsid w:val="0017725A"/>
    <w:rsid w:val="00177C4B"/>
    <w:rsid w:val="0018325A"/>
    <w:rsid w:val="00183AF7"/>
    <w:rsid w:val="00184D75"/>
    <w:rsid w:val="00186199"/>
    <w:rsid w:val="0018702C"/>
    <w:rsid w:val="00190DFE"/>
    <w:rsid w:val="001928F7"/>
    <w:rsid w:val="00194537"/>
    <w:rsid w:val="00194B44"/>
    <w:rsid w:val="0019563C"/>
    <w:rsid w:val="001975A7"/>
    <w:rsid w:val="001A01D5"/>
    <w:rsid w:val="001A0DC6"/>
    <w:rsid w:val="001A1DBB"/>
    <w:rsid w:val="001A21A9"/>
    <w:rsid w:val="001A2C7B"/>
    <w:rsid w:val="001A37B4"/>
    <w:rsid w:val="001A59D8"/>
    <w:rsid w:val="001A5FA6"/>
    <w:rsid w:val="001A6304"/>
    <w:rsid w:val="001B2F0C"/>
    <w:rsid w:val="001B4268"/>
    <w:rsid w:val="001C3419"/>
    <w:rsid w:val="001C37F6"/>
    <w:rsid w:val="001C6288"/>
    <w:rsid w:val="001C6423"/>
    <w:rsid w:val="001D0F6A"/>
    <w:rsid w:val="001D21BC"/>
    <w:rsid w:val="001D2FA5"/>
    <w:rsid w:val="001D35E0"/>
    <w:rsid w:val="001D5045"/>
    <w:rsid w:val="001D5A44"/>
    <w:rsid w:val="001D724B"/>
    <w:rsid w:val="001E044F"/>
    <w:rsid w:val="001E11D3"/>
    <w:rsid w:val="001E2A6A"/>
    <w:rsid w:val="001E34DA"/>
    <w:rsid w:val="001E3DC2"/>
    <w:rsid w:val="001E56FF"/>
    <w:rsid w:val="001E5C6B"/>
    <w:rsid w:val="001F03E1"/>
    <w:rsid w:val="001F36EA"/>
    <w:rsid w:val="001F3CC6"/>
    <w:rsid w:val="001F4530"/>
    <w:rsid w:val="001F49E6"/>
    <w:rsid w:val="001F4AFA"/>
    <w:rsid w:val="001F6B27"/>
    <w:rsid w:val="00200D9C"/>
    <w:rsid w:val="002010DE"/>
    <w:rsid w:val="00202968"/>
    <w:rsid w:val="00202C32"/>
    <w:rsid w:val="00203ADE"/>
    <w:rsid w:val="00203AEF"/>
    <w:rsid w:val="00204372"/>
    <w:rsid w:val="002058C1"/>
    <w:rsid w:val="0021105D"/>
    <w:rsid w:val="00211A26"/>
    <w:rsid w:val="002125F7"/>
    <w:rsid w:val="00214463"/>
    <w:rsid w:val="00214756"/>
    <w:rsid w:val="0021553C"/>
    <w:rsid w:val="00215CF2"/>
    <w:rsid w:val="0022000A"/>
    <w:rsid w:val="00220542"/>
    <w:rsid w:val="00221174"/>
    <w:rsid w:val="00222A15"/>
    <w:rsid w:val="00223099"/>
    <w:rsid w:val="00224A85"/>
    <w:rsid w:val="00225ADC"/>
    <w:rsid w:val="002352D3"/>
    <w:rsid w:val="002359EB"/>
    <w:rsid w:val="002363AB"/>
    <w:rsid w:val="002400C2"/>
    <w:rsid w:val="002401E7"/>
    <w:rsid w:val="0024260D"/>
    <w:rsid w:val="00245012"/>
    <w:rsid w:val="0024504E"/>
    <w:rsid w:val="0024651F"/>
    <w:rsid w:val="0025158D"/>
    <w:rsid w:val="0025281A"/>
    <w:rsid w:val="00253D3C"/>
    <w:rsid w:val="00255292"/>
    <w:rsid w:val="00260200"/>
    <w:rsid w:val="002648D8"/>
    <w:rsid w:val="00273E20"/>
    <w:rsid w:val="00273F86"/>
    <w:rsid w:val="0027440E"/>
    <w:rsid w:val="00277019"/>
    <w:rsid w:val="002774F0"/>
    <w:rsid w:val="00277A9B"/>
    <w:rsid w:val="00277E21"/>
    <w:rsid w:val="0028320C"/>
    <w:rsid w:val="0028459B"/>
    <w:rsid w:val="00284C5F"/>
    <w:rsid w:val="002873F0"/>
    <w:rsid w:val="00291E0E"/>
    <w:rsid w:val="002964F9"/>
    <w:rsid w:val="002A1F14"/>
    <w:rsid w:val="002A2678"/>
    <w:rsid w:val="002A2E01"/>
    <w:rsid w:val="002A398F"/>
    <w:rsid w:val="002A5C6B"/>
    <w:rsid w:val="002A5D31"/>
    <w:rsid w:val="002A714F"/>
    <w:rsid w:val="002A7D9A"/>
    <w:rsid w:val="002B1851"/>
    <w:rsid w:val="002B27FF"/>
    <w:rsid w:val="002B313D"/>
    <w:rsid w:val="002B5674"/>
    <w:rsid w:val="002B6793"/>
    <w:rsid w:val="002C08E2"/>
    <w:rsid w:val="002C1726"/>
    <w:rsid w:val="002C21A6"/>
    <w:rsid w:val="002C26D5"/>
    <w:rsid w:val="002C5777"/>
    <w:rsid w:val="002C7CA5"/>
    <w:rsid w:val="002D32E3"/>
    <w:rsid w:val="002E0FEB"/>
    <w:rsid w:val="002E37D5"/>
    <w:rsid w:val="002E43FA"/>
    <w:rsid w:val="002F0F79"/>
    <w:rsid w:val="002F280E"/>
    <w:rsid w:val="002F3709"/>
    <w:rsid w:val="002F3A6C"/>
    <w:rsid w:val="002F4296"/>
    <w:rsid w:val="002F6E02"/>
    <w:rsid w:val="00300951"/>
    <w:rsid w:val="003023C9"/>
    <w:rsid w:val="0030260F"/>
    <w:rsid w:val="00302CA8"/>
    <w:rsid w:val="00302DE9"/>
    <w:rsid w:val="00305084"/>
    <w:rsid w:val="0031092E"/>
    <w:rsid w:val="0031455C"/>
    <w:rsid w:val="003204E9"/>
    <w:rsid w:val="00321E8C"/>
    <w:rsid w:val="00322A86"/>
    <w:rsid w:val="00322E99"/>
    <w:rsid w:val="00323AE8"/>
    <w:rsid w:val="00324548"/>
    <w:rsid w:val="003251F4"/>
    <w:rsid w:val="00326A88"/>
    <w:rsid w:val="003303E3"/>
    <w:rsid w:val="003329EA"/>
    <w:rsid w:val="00337C6F"/>
    <w:rsid w:val="003407A5"/>
    <w:rsid w:val="00341188"/>
    <w:rsid w:val="0034147B"/>
    <w:rsid w:val="00344079"/>
    <w:rsid w:val="00344C13"/>
    <w:rsid w:val="0034736B"/>
    <w:rsid w:val="00350238"/>
    <w:rsid w:val="0035109C"/>
    <w:rsid w:val="00351F0A"/>
    <w:rsid w:val="0035206A"/>
    <w:rsid w:val="0035401D"/>
    <w:rsid w:val="0035432B"/>
    <w:rsid w:val="00361E7E"/>
    <w:rsid w:val="00366917"/>
    <w:rsid w:val="00370AA4"/>
    <w:rsid w:val="00371FF4"/>
    <w:rsid w:val="003753EF"/>
    <w:rsid w:val="00377520"/>
    <w:rsid w:val="00380D36"/>
    <w:rsid w:val="003822D3"/>
    <w:rsid w:val="00383571"/>
    <w:rsid w:val="00385B9D"/>
    <w:rsid w:val="00386630"/>
    <w:rsid w:val="00390B25"/>
    <w:rsid w:val="003910FB"/>
    <w:rsid w:val="0039150C"/>
    <w:rsid w:val="00394372"/>
    <w:rsid w:val="00397156"/>
    <w:rsid w:val="00397960"/>
    <w:rsid w:val="003A1068"/>
    <w:rsid w:val="003A1642"/>
    <w:rsid w:val="003A1A99"/>
    <w:rsid w:val="003A3BC4"/>
    <w:rsid w:val="003A458A"/>
    <w:rsid w:val="003B2F13"/>
    <w:rsid w:val="003B405E"/>
    <w:rsid w:val="003B57D3"/>
    <w:rsid w:val="003C1F58"/>
    <w:rsid w:val="003C2E0F"/>
    <w:rsid w:val="003C6771"/>
    <w:rsid w:val="003C792F"/>
    <w:rsid w:val="003D124B"/>
    <w:rsid w:val="003D18F3"/>
    <w:rsid w:val="003D3D98"/>
    <w:rsid w:val="003D7441"/>
    <w:rsid w:val="003D767B"/>
    <w:rsid w:val="003D78B5"/>
    <w:rsid w:val="003E244F"/>
    <w:rsid w:val="003E4BDD"/>
    <w:rsid w:val="003E62A6"/>
    <w:rsid w:val="003E695F"/>
    <w:rsid w:val="003E6C9B"/>
    <w:rsid w:val="003E709C"/>
    <w:rsid w:val="003E7B89"/>
    <w:rsid w:val="003F1000"/>
    <w:rsid w:val="003F23AB"/>
    <w:rsid w:val="003F4241"/>
    <w:rsid w:val="003F5617"/>
    <w:rsid w:val="003F64BA"/>
    <w:rsid w:val="003F7C45"/>
    <w:rsid w:val="0040132C"/>
    <w:rsid w:val="00405085"/>
    <w:rsid w:val="00405493"/>
    <w:rsid w:val="004066FC"/>
    <w:rsid w:val="004072A7"/>
    <w:rsid w:val="00407C10"/>
    <w:rsid w:val="004113B4"/>
    <w:rsid w:val="00414827"/>
    <w:rsid w:val="00416AA3"/>
    <w:rsid w:val="00416C10"/>
    <w:rsid w:val="004248D8"/>
    <w:rsid w:val="00424EF3"/>
    <w:rsid w:val="004268BB"/>
    <w:rsid w:val="00431047"/>
    <w:rsid w:val="00431B86"/>
    <w:rsid w:val="004360F5"/>
    <w:rsid w:val="004366B7"/>
    <w:rsid w:val="004408EC"/>
    <w:rsid w:val="00441126"/>
    <w:rsid w:val="00441E6A"/>
    <w:rsid w:val="0044256C"/>
    <w:rsid w:val="00443814"/>
    <w:rsid w:val="00443C8F"/>
    <w:rsid w:val="00445EEC"/>
    <w:rsid w:val="00452481"/>
    <w:rsid w:val="00457804"/>
    <w:rsid w:val="004621E3"/>
    <w:rsid w:val="00463E88"/>
    <w:rsid w:val="004646BF"/>
    <w:rsid w:val="00464744"/>
    <w:rsid w:val="004665E3"/>
    <w:rsid w:val="004731F1"/>
    <w:rsid w:val="004773C3"/>
    <w:rsid w:val="00477599"/>
    <w:rsid w:val="00480BC8"/>
    <w:rsid w:val="00481265"/>
    <w:rsid w:val="004814BF"/>
    <w:rsid w:val="00482561"/>
    <w:rsid w:val="0048587E"/>
    <w:rsid w:val="00485DF9"/>
    <w:rsid w:val="00487C2B"/>
    <w:rsid w:val="00490E04"/>
    <w:rsid w:val="0049297D"/>
    <w:rsid w:val="004929F2"/>
    <w:rsid w:val="00495A03"/>
    <w:rsid w:val="00496623"/>
    <w:rsid w:val="00497079"/>
    <w:rsid w:val="00497C76"/>
    <w:rsid w:val="004A1BBA"/>
    <w:rsid w:val="004A3E3C"/>
    <w:rsid w:val="004B0E6D"/>
    <w:rsid w:val="004B16E8"/>
    <w:rsid w:val="004B1842"/>
    <w:rsid w:val="004B24B9"/>
    <w:rsid w:val="004B6250"/>
    <w:rsid w:val="004B76B1"/>
    <w:rsid w:val="004C0057"/>
    <w:rsid w:val="004C0541"/>
    <w:rsid w:val="004C2C46"/>
    <w:rsid w:val="004C4713"/>
    <w:rsid w:val="004C7235"/>
    <w:rsid w:val="004C7955"/>
    <w:rsid w:val="004C7BA8"/>
    <w:rsid w:val="004D047F"/>
    <w:rsid w:val="004D3D96"/>
    <w:rsid w:val="004D650F"/>
    <w:rsid w:val="004E0C6D"/>
    <w:rsid w:val="004E2133"/>
    <w:rsid w:val="004E3573"/>
    <w:rsid w:val="004E500D"/>
    <w:rsid w:val="004E5F85"/>
    <w:rsid w:val="004E60FB"/>
    <w:rsid w:val="004F3B68"/>
    <w:rsid w:val="004F5D4B"/>
    <w:rsid w:val="004F6744"/>
    <w:rsid w:val="004F779C"/>
    <w:rsid w:val="004F7846"/>
    <w:rsid w:val="005000D4"/>
    <w:rsid w:val="00501238"/>
    <w:rsid w:val="00503CF1"/>
    <w:rsid w:val="00510CAF"/>
    <w:rsid w:val="005114F6"/>
    <w:rsid w:val="00512521"/>
    <w:rsid w:val="005126A6"/>
    <w:rsid w:val="005128C5"/>
    <w:rsid w:val="0051478B"/>
    <w:rsid w:val="0051566A"/>
    <w:rsid w:val="00515D7B"/>
    <w:rsid w:val="00516427"/>
    <w:rsid w:val="005166E9"/>
    <w:rsid w:val="00517ED6"/>
    <w:rsid w:val="0052009E"/>
    <w:rsid w:val="00520F76"/>
    <w:rsid w:val="00525E59"/>
    <w:rsid w:val="005318CC"/>
    <w:rsid w:val="00532969"/>
    <w:rsid w:val="00532C7F"/>
    <w:rsid w:val="005349B1"/>
    <w:rsid w:val="005374BC"/>
    <w:rsid w:val="00540865"/>
    <w:rsid w:val="005409F2"/>
    <w:rsid w:val="00543188"/>
    <w:rsid w:val="00543367"/>
    <w:rsid w:val="00543BFA"/>
    <w:rsid w:val="005461FA"/>
    <w:rsid w:val="00547AB2"/>
    <w:rsid w:val="00547D9C"/>
    <w:rsid w:val="00547DA1"/>
    <w:rsid w:val="005516A4"/>
    <w:rsid w:val="00552031"/>
    <w:rsid w:val="0055513C"/>
    <w:rsid w:val="00560C94"/>
    <w:rsid w:val="0056291C"/>
    <w:rsid w:val="00565A63"/>
    <w:rsid w:val="00565D8D"/>
    <w:rsid w:val="00566588"/>
    <w:rsid w:val="00567BFC"/>
    <w:rsid w:val="00571E8D"/>
    <w:rsid w:val="0057275D"/>
    <w:rsid w:val="00572A10"/>
    <w:rsid w:val="0057436F"/>
    <w:rsid w:val="005800A9"/>
    <w:rsid w:val="00580488"/>
    <w:rsid w:val="0058074D"/>
    <w:rsid w:val="00580FD1"/>
    <w:rsid w:val="00582FAD"/>
    <w:rsid w:val="00583489"/>
    <w:rsid w:val="00586BCD"/>
    <w:rsid w:val="005905DC"/>
    <w:rsid w:val="005907B8"/>
    <w:rsid w:val="00590FE4"/>
    <w:rsid w:val="00591D9C"/>
    <w:rsid w:val="00597057"/>
    <w:rsid w:val="00597D8B"/>
    <w:rsid w:val="005A1C30"/>
    <w:rsid w:val="005A3295"/>
    <w:rsid w:val="005A3572"/>
    <w:rsid w:val="005A46FF"/>
    <w:rsid w:val="005A54D8"/>
    <w:rsid w:val="005A5E79"/>
    <w:rsid w:val="005A62E5"/>
    <w:rsid w:val="005B011E"/>
    <w:rsid w:val="005B2E84"/>
    <w:rsid w:val="005B5F1E"/>
    <w:rsid w:val="005B7B0E"/>
    <w:rsid w:val="005C0B52"/>
    <w:rsid w:val="005C41EC"/>
    <w:rsid w:val="005C5409"/>
    <w:rsid w:val="005C69AC"/>
    <w:rsid w:val="005C722E"/>
    <w:rsid w:val="005D01A4"/>
    <w:rsid w:val="005D45B3"/>
    <w:rsid w:val="005D4CEB"/>
    <w:rsid w:val="005D7498"/>
    <w:rsid w:val="005F04E6"/>
    <w:rsid w:val="005F43B9"/>
    <w:rsid w:val="005F5AFD"/>
    <w:rsid w:val="005F64B6"/>
    <w:rsid w:val="005F68CB"/>
    <w:rsid w:val="006005EA"/>
    <w:rsid w:val="00600F00"/>
    <w:rsid w:val="006033E3"/>
    <w:rsid w:val="0060638F"/>
    <w:rsid w:val="00606E8B"/>
    <w:rsid w:val="00607EE2"/>
    <w:rsid w:val="0061321C"/>
    <w:rsid w:val="00614FE2"/>
    <w:rsid w:val="0062217E"/>
    <w:rsid w:val="0062386E"/>
    <w:rsid w:val="00623D9A"/>
    <w:rsid w:val="00623F01"/>
    <w:rsid w:val="006242FB"/>
    <w:rsid w:val="0062699E"/>
    <w:rsid w:val="00626E2D"/>
    <w:rsid w:val="00627D94"/>
    <w:rsid w:val="00630B42"/>
    <w:rsid w:val="00642072"/>
    <w:rsid w:val="006440ED"/>
    <w:rsid w:val="006442F2"/>
    <w:rsid w:val="00645293"/>
    <w:rsid w:val="0064612A"/>
    <w:rsid w:val="00647CAC"/>
    <w:rsid w:val="006515BD"/>
    <w:rsid w:val="006517D6"/>
    <w:rsid w:val="00651B78"/>
    <w:rsid w:val="00652263"/>
    <w:rsid w:val="00652881"/>
    <w:rsid w:val="00656C49"/>
    <w:rsid w:val="00657453"/>
    <w:rsid w:val="00661974"/>
    <w:rsid w:val="00662C4E"/>
    <w:rsid w:val="00664551"/>
    <w:rsid w:val="006676A0"/>
    <w:rsid w:val="00670857"/>
    <w:rsid w:val="00670EFC"/>
    <w:rsid w:val="00671124"/>
    <w:rsid w:val="00671403"/>
    <w:rsid w:val="00671A0D"/>
    <w:rsid w:val="006727B0"/>
    <w:rsid w:val="00672A41"/>
    <w:rsid w:val="0067307E"/>
    <w:rsid w:val="006739F5"/>
    <w:rsid w:val="00676E31"/>
    <w:rsid w:val="00683A23"/>
    <w:rsid w:val="00687AD5"/>
    <w:rsid w:val="00693FF1"/>
    <w:rsid w:val="00695251"/>
    <w:rsid w:val="00695ADE"/>
    <w:rsid w:val="00695C0D"/>
    <w:rsid w:val="00696356"/>
    <w:rsid w:val="006A309C"/>
    <w:rsid w:val="006A6507"/>
    <w:rsid w:val="006A651B"/>
    <w:rsid w:val="006A72C6"/>
    <w:rsid w:val="006B02DA"/>
    <w:rsid w:val="006B083F"/>
    <w:rsid w:val="006B0F48"/>
    <w:rsid w:val="006B2065"/>
    <w:rsid w:val="006B3940"/>
    <w:rsid w:val="006B7232"/>
    <w:rsid w:val="006B7953"/>
    <w:rsid w:val="006C168D"/>
    <w:rsid w:val="006C3003"/>
    <w:rsid w:val="006C642C"/>
    <w:rsid w:val="006C6E3F"/>
    <w:rsid w:val="006C6FC6"/>
    <w:rsid w:val="006D022D"/>
    <w:rsid w:val="006D1697"/>
    <w:rsid w:val="006E14B8"/>
    <w:rsid w:val="006E2574"/>
    <w:rsid w:val="006E30C6"/>
    <w:rsid w:val="006E34B7"/>
    <w:rsid w:val="006E3C42"/>
    <w:rsid w:val="006E4DE8"/>
    <w:rsid w:val="006E758E"/>
    <w:rsid w:val="006F4CD8"/>
    <w:rsid w:val="006F528E"/>
    <w:rsid w:val="006F53D9"/>
    <w:rsid w:val="007004DC"/>
    <w:rsid w:val="007020B2"/>
    <w:rsid w:val="00703E8A"/>
    <w:rsid w:val="007066A0"/>
    <w:rsid w:val="007067A4"/>
    <w:rsid w:val="00711522"/>
    <w:rsid w:val="007124FE"/>
    <w:rsid w:val="00713186"/>
    <w:rsid w:val="00713757"/>
    <w:rsid w:val="00717772"/>
    <w:rsid w:val="00721AF1"/>
    <w:rsid w:val="00721DAF"/>
    <w:rsid w:val="0072280F"/>
    <w:rsid w:val="00722B5E"/>
    <w:rsid w:val="00723C69"/>
    <w:rsid w:val="0072680B"/>
    <w:rsid w:val="0072708F"/>
    <w:rsid w:val="007301B9"/>
    <w:rsid w:val="00730834"/>
    <w:rsid w:val="0073246A"/>
    <w:rsid w:val="00732D1D"/>
    <w:rsid w:val="00736034"/>
    <w:rsid w:val="0073681C"/>
    <w:rsid w:val="00741AFA"/>
    <w:rsid w:val="00741EBE"/>
    <w:rsid w:val="0074259E"/>
    <w:rsid w:val="00744454"/>
    <w:rsid w:val="00746130"/>
    <w:rsid w:val="00746A40"/>
    <w:rsid w:val="00750358"/>
    <w:rsid w:val="0075266C"/>
    <w:rsid w:val="00753072"/>
    <w:rsid w:val="00755CDF"/>
    <w:rsid w:val="007576D8"/>
    <w:rsid w:val="00757A4C"/>
    <w:rsid w:val="00763463"/>
    <w:rsid w:val="00763A67"/>
    <w:rsid w:val="00764A94"/>
    <w:rsid w:val="007651E5"/>
    <w:rsid w:val="007670DC"/>
    <w:rsid w:val="00767D6A"/>
    <w:rsid w:val="0077111A"/>
    <w:rsid w:val="00771C09"/>
    <w:rsid w:val="00772272"/>
    <w:rsid w:val="007756ED"/>
    <w:rsid w:val="0078456B"/>
    <w:rsid w:val="00785899"/>
    <w:rsid w:val="00785CDF"/>
    <w:rsid w:val="007870FC"/>
    <w:rsid w:val="0078797E"/>
    <w:rsid w:val="00787CD0"/>
    <w:rsid w:val="00791053"/>
    <w:rsid w:val="00791A3A"/>
    <w:rsid w:val="007924E0"/>
    <w:rsid w:val="00794196"/>
    <w:rsid w:val="00796791"/>
    <w:rsid w:val="00797637"/>
    <w:rsid w:val="007A13A4"/>
    <w:rsid w:val="007A3680"/>
    <w:rsid w:val="007A59B8"/>
    <w:rsid w:val="007B1BFE"/>
    <w:rsid w:val="007B238D"/>
    <w:rsid w:val="007B2862"/>
    <w:rsid w:val="007B28B4"/>
    <w:rsid w:val="007B36DA"/>
    <w:rsid w:val="007B61BE"/>
    <w:rsid w:val="007B662A"/>
    <w:rsid w:val="007B76A7"/>
    <w:rsid w:val="007C228E"/>
    <w:rsid w:val="007C4ADF"/>
    <w:rsid w:val="007C4B17"/>
    <w:rsid w:val="007D0AC8"/>
    <w:rsid w:val="007D2348"/>
    <w:rsid w:val="007D28C9"/>
    <w:rsid w:val="007D3CC8"/>
    <w:rsid w:val="007D600E"/>
    <w:rsid w:val="007D62F9"/>
    <w:rsid w:val="007D63A4"/>
    <w:rsid w:val="007E17E5"/>
    <w:rsid w:val="007E1AA2"/>
    <w:rsid w:val="007E4C1F"/>
    <w:rsid w:val="007F0759"/>
    <w:rsid w:val="007F25C0"/>
    <w:rsid w:val="007F39AC"/>
    <w:rsid w:val="007F3E8C"/>
    <w:rsid w:val="007F5F52"/>
    <w:rsid w:val="007F6D14"/>
    <w:rsid w:val="007F77C6"/>
    <w:rsid w:val="008003A1"/>
    <w:rsid w:val="008006B7"/>
    <w:rsid w:val="00800FDB"/>
    <w:rsid w:val="00802081"/>
    <w:rsid w:val="00804A6C"/>
    <w:rsid w:val="00806461"/>
    <w:rsid w:val="00807A3F"/>
    <w:rsid w:val="0081096D"/>
    <w:rsid w:val="00810EAD"/>
    <w:rsid w:val="00811833"/>
    <w:rsid w:val="008174D4"/>
    <w:rsid w:val="00820FE6"/>
    <w:rsid w:val="00821A66"/>
    <w:rsid w:val="00822476"/>
    <w:rsid w:val="00822882"/>
    <w:rsid w:val="00825F68"/>
    <w:rsid w:val="00827589"/>
    <w:rsid w:val="00830A24"/>
    <w:rsid w:val="008327A3"/>
    <w:rsid w:val="00835408"/>
    <w:rsid w:val="008359DA"/>
    <w:rsid w:val="008371CD"/>
    <w:rsid w:val="00837CEF"/>
    <w:rsid w:val="00840035"/>
    <w:rsid w:val="00840311"/>
    <w:rsid w:val="0084066E"/>
    <w:rsid w:val="008428A9"/>
    <w:rsid w:val="00844112"/>
    <w:rsid w:val="0084497A"/>
    <w:rsid w:val="008456C9"/>
    <w:rsid w:val="0084611D"/>
    <w:rsid w:val="0084637A"/>
    <w:rsid w:val="00846915"/>
    <w:rsid w:val="00850C62"/>
    <w:rsid w:val="008523E4"/>
    <w:rsid w:val="00852EBD"/>
    <w:rsid w:val="00861C16"/>
    <w:rsid w:val="008625DB"/>
    <w:rsid w:val="00863011"/>
    <w:rsid w:val="00865075"/>
    <w:rsid w:val="0086748F"/>
    <w:rsid w:val="00872CE4"/>
    <w:rsid w:val="00877B62"/>
    <w:rsid w:val="008802F9"/>
    <w:rsid w:val="00881015"/>
    <w:rsid w:val="008810B0"/>
    <w:rsid w:val="008819B6"/>
    <w:rsid w:val="00881AAC"/>
    <w:rsid w:val="008836B7"/>
    <w:rsid w:val="008841D3"/>
    <w:rsid w:val="00887DE6"/>
    <w:rsid w:val="00891010"/>
    <w:rsid w:val="00894C2A"/>
    <w:rsid w:val="00896985"/>
    <w:rsid w:val="00897708"/>
    <w:rsid w:val="00897712"/>
    <w:rsid w:val="00897D88"/>
    <w:rsid w:val="008A14EE"/>
    <w:rsid w:val="008A2BD6"/>
    <w:rsid w:val="008A2F16"/>
    <w:rsid w:val="008A4BA5"/>
    <w:rsid w:val="008B1823"/>
    <w:rsid w:val="008B2484"/>
    <w:rsid w:val="008B6E16"/>
    <w:rsid w:val="008B7110"/>
    <w:rsid w:val="008C0284"/>
    <w:rsid w:val="008C2029"/>
    <w:rsid w:val="008C2902"/>
    <w:rsid w:val="008C32E4"/>
    <w:rsid w:val="008C5CF1"/>
    <w:rsid w:val="008C61D6"/>
    <w:rsid w:val="008C61F0"/>
    <w:rsid w:val="008C64F1"/>
    <w:rsid w:val="008D1BB0"/>
    <w:rsid w:val="008D20FF"/>
    <w:rsid w:val="008D2445"/>
    <w:rsid w:val="008D32A8"/>
    <w:rsid w:val="008D3DE6"/>
    <w:rsid w:val="008D4223"/>
    <w:rsid w:val="008D44CC"/>
    <w:rsid w:val="008D46E3"/>
    <w:rsid w:val="008D6709"/>
    <w:rsid w:val="008E083A"/>
    <w:rsid w:val="008E1676"/>
    <w:rsid w:val="008E2450"/>
    <w:rsid w:val="008E3113"/>
    <w:rsid w:val="008E5710"/>
    <w:rsid w:val="008E7896"/>
    <w:rsid w:val="008F2477"/>
    <w:rsid w:val="008F474C"/>
    <w:rsid w:val="009010F0"/>
    <w:rsid w:val="00901162"/>
    <w:rsid w:val="0090223A"/>
    <w:rsid w:val="0090258A"/>
    <w:rsid w:val="009028E2"/>
    <w:rsid w:val="00904B29"/>
    <w:rsid w:val="00904C53"/>
    <w:rsid w:val="00905907"/>
    <w:rsid w:val="00907821"/>
    <w:rsid w:val="009136D8"/>
    <w:rsid w:val="00914EAB"/>
    <w:rsid w:val="009161D5"/>
    <w:rsid w:val="00916329"/>
    <w:rsid w:val="009179C1"/>
    <w:rsid w:val="009215BE"/>
    <w:rsid w:val="00922D49"/>
    <w:rsid w:val="00923EA4"/>
    <w:rsid w:val="00925E37"/>
    <w:rsid w:val="00925EDD"/>
    <w:rsid w:val="00926032"/>
    <w:rsid w:val="00927D0E"/>
    <w:rsid w:val="009309D9"/>
    <w:rsid w:val="009309DA"/>
    <w:rsid w:val="00932772"/>
    <w:rsid w:val="00936688"/>
    <w:rsid w:val="00937CFA"/>
    <w:rsid w:val="009406B3"/>
    <w:rsid w:val="00942407"/>
    <w:rsid w:val="00944FBA"/>
    <w:rsid w:val="00945CF5"/>
    <w:rsid w:val="009500A1"/>
    <w:rsid w:val="0095037E"/>
    <w:rsid w:val="00950650"/>
    <w:rsid w:val="00952AAD"/>
    <w:rsid w:val="00954567"/>
    <w:rsid w:val="009560B4"/>
    <w:rsid w:val="00956DC6"/>
    <w:rsid w:val="00957466"/>
    <w:rsid w:val="009576B9"/>
    <w:rsid w:val="00957FA9"/>
    <w:rsid w:val="00961EED"/>
    <w:rsid w:val="0096260B"/>
    <w:rsid w:val="00963197"/>
    <w:rsid w:val="00966289"/>
    <w:rsid w:val="009664D5"/>
    <w:rsid w:val="009667E3"/>
    <w:rsid w:val="00967B8C"/>
    <w:rsid w:val="00970C69"/>
    <w:rsid w:val="00971F1C"/>
    <w:rsid w:val="0097211D"/>
    <w:rsid w:val="00972E10"/>
    <w:rsid w:val="009746CA"/>
    <w:rsid w:val="00974C1F"/>
    <w:rsid w:val="0097689C"/>
    <w:rsid w:val="0098001F"/>
    <w:rsid w:val="00981781"/>
    <w:rsid w:val="00981963"/>
    <w:rsid w:val="00982E50"/>
    <w:rsid w:val="009835AA"/>
    <w:rsid w:val="00983C82"/>
    <w:rsid w:val="00984520"/>
    <w:rsid w:val="009849AD"/>
    <w:rsid w:val="0098545C"/>
    <w:rsid w:val="00990466"/>
    <w:rsid w:val="00992BA2"/>
    <w:rsid w:val="00992F83"/>
    <w:rsid w:val="00993B74"/>
    <w:rsid w:val="0099508A"/>
    <w:rsid w:val="0099521D"/>
    <w:rsid w:val="009974EB"/>
    <w:rsid w:val="009A0AE3"/>
    <w:rsid w:val="009A1126"/>
    <w:rsid w:val="009B1454"/>
    <w:rsid w:val="009B1584"/>
    <w:rsid w:val="009B1B32"/>
    <w:rsid w:val="009B1C29"/>
    <w:rsid w:val="009B21CA"/>
    <w:rsid w:val="009B2648"/>
    <w:rsid w:val="009B3AC4"/>
    <w:rsid w:val="009B73E6"/>
    <w:rsid w:val="009C03E5"/>
    <w:rsid w:val="009C0914"/>
    <w:rsid w:val="009C11D4"/>
    <w:rsid w:val="009C3730"/>
    <w:rsid w:val="009C37BD"/>
    <w:rsid w:val="009C3AAC"/>
    <w:rsid w:val="009C42C2"/>
    <w:rsid w:val="009C4B73"/>
    <w:rsid w:val="009C4D19"/>
    <w:rsid w:val="009C5157"/>
    <w:rsid w:val="009C5FDB"/>
    <w:rsid w:val="009C693E"/>
    <w:rsid w:val="009C70CB"/>
    <w:rsid w:val="009D1145"/>
    <w:rsid w:val="009D139A"/>
    <w:rsid w:val="009D1EA4"/>
    <w:rsid w:val="009D27AA"/>
    <w:rsid w:val="009D2E53"/>
    <w:rsid w:val="009D3F6A"/>
    <w:rsid w:val="009D4991"/>
    <w:rsid w:val="009D5BB5"/>
    <w:rsid w:val="009D696D"/>
    <w:rsid w:val="009D6ED2"/>
    <w:rsid w:val="009E0F1A"/>
    <w:rsid w:val="009E140D"/>
    <w:rsid w:val="009E2866"/>
    <w:rsid w:val="009E3B19"/>
    <w:rsid w:val="009E4465"/>
    <w:rsid w:val="009E574C"/>
    <w:rsid w:val="009E6401"/>
    <w:rsid w:val="009E6C54"/>
    <w:rsid w:val="009E79B3"/>
    <w:rsid w:val="009F1598"/>
    <w:rsid w:val="009F2A25"/>
    <w:rsid w:val="009F33B9"/>
    <w:rsid w:val="009F5235"/>
    <w:rsid w:val="009F531A"/>
    <w:rsid w:val="009F6550"/>
    <w:rsid w:val="009F786E"/>
    <w:rsid w:val="00A00902"/>
    <w:rsid w:val="00A01A80"/>
    <w:rsid w:val="00A02697"/>
    <w:rsid w:val="00A039FF"/>
    <w:rsid w:val="00A04704"/>
    <w:rsid w:val="00A05ACE"/>
    <w:rsid w:val="00A05CC8"/>
    <w:rsid w:val="00A079EB"/>
    <w:rsid w:val="00A14AE3"/>
    <w:rsid w:val="00A156D6"/>
    <w:rsid w:val="00A16675"/>
    <w:rsid w:val="00A16E63"/>
    <w:rsid w:val="00A22CD6"/>
    <w:rsid w:val="00A234EC"/>
    <w:rsid w:val="00A2417A"/>
    <w:rsid w:val="00A24611"/>
    <w:rsid w:val="00A25BE6"/>
    <w:rsid w:val="00A26135"/>
    <w:rsid w:val="00A26668"/>
    <w:rsid w:val="00A27804"/>
    <w:rsid w:val="00A36822"/>
    <w:rsid w:val="00A36AB5"/>
    <w:rsid w:val="00A411D1"/>
    <w:rsid w:val="00A43389"/>
    <w:rsid w:val="00A43E71"/>
    <w:rsid w:val="00A45006"/>
    <w:rsid w:val="00A45753"/>
    <w:rsid w:val="00A46594"/>
    <w:rsid w:val="00A47B15"/>
    <w:rsid w:val="00A52F84"/>
    <w:rsid w:val="00A5337E"/>
    <w:rsid w:val="00A56B05"/>
    <w:rsid w:val="00A57678"/>
    <w:rsid w:val="00A60E2F"/>
    <w:rsid w:val="00A615BD"/>
    <w:rsid w:val="00A63284"/>
    <w:rsid w:val="00A64CB8"/>
    <w:rsid w:val="00A66A6C"/>
    <w:rsid w:val="00A67018"/>
    <w:rsid w:val="00A672F3"/>
    <w:rsid w:val="00A673DC"/>
    <w:rsid w:val="00A7076E"/>
    <w:rsid w:val="00A709BE"/>
    <w:rsid w:val="00A7162E"/>
    <w:rsid w:val="00A72996"/>
    <w:rsid w:val="00A72D71"/>
    <w:rsid w:val="00A74E87"/>
    <w:rsid w:val="00A75705"/>
    <w:rsid w:val="00A76E73"/>
    <w:rsid w:val="00A77C69"/>
    <w:rsid w:val="00A8298C"/>
    <w:rsid w:val="00A82AC0"/>
    <w:rsid w:val="00A83953"/>
    <w:rsid w:val="00A86B13"/>
    <w:rsid w:val="00A903B6"/>
    <w:rsid w:val="00A90F4F"/>
    <w:rsid w:val="00A947AA"/>
    <w:rsid w:val="00AA1B53"/>
    <w:rsid w:val="00AA2D83"/>
    <w:rsid w:val="00AA3556"/>
    <w:rsid w:val="00AA35FD"/>
    <w:rsid w:val="00AA3DB7"/>
    <w:rsid w:val="00AA3F08"/>
    <w:rsid w:val="00AA486D"/>
    <w:rsid w:val="00AA7998"/>
    <w:rsid w:val="00AB07D6"/>
    <w:rsid w:val="00AB3012"/>
    <w:rsid w:val="00AB321C"/>
    <w:rsid w:val="00AB67DE"/>
    <w:rsid w:val="00AB688F"/>
    <w:rsid w:val="00AB69B5"/>
    <w:rsid w:val="00AB75EA"/>
    <w:rsid w:val="00AB7AA2"/>
    <w:rsid w:val="00AC4BC1"/>
    <w:rsid w:val="00AC5852"/>
    <w:rsid w:val="00AC714B"/>
    <w:rsid w:val="00AD04BD"/>
    <w:rsid w:val="00AD7214"/>
    <w:rsid w:val="00AE1066"/>
    <w:rsid w:val="00AE4518"/>
    <w:rsid w:val="00AE5D7F"/>
    <w:rsid w:val="00AE79F0"/>
    <w:rsid w:val="00AF6EC1"/>
    <w:rsid w:val="00B00331"/>
    <w:rsid w:val="00B00FEF"/>
    <w:rsid w:val="00B013C5"/>
    <w:rsid w:val="00B01441"/>
    <w:rsid w:val="00B01A80"/>
    <w:rsid w:val="00B04665"/>
    <w:rsid w:val="00B05273"/>
    <w:rsid w:val="00B05291"/>
    <w:rsid w:val="00B067F7"/>
    <w:rsid w:val="00B07A32"/>
    <w:rsid w:val="00B07C27"/>
    <w:rsid w:val="00B10017"/>
    <w:rsid w:val="00B10DE1"/>
    <w:rsid w:val="00B10FF8"/>
    <w:rsid w:val="00B1198D"/>
    <w:rsid w:val="00B139A2"/>
    <w:rsid w:val="00B13D83"/>
    <w:rsid w:val="00B151EE"/>
    <w:rsid w:val="00B153F2"/>
    <w:rsid w:val="00B203C4"/>
    <w:rsid w:val="00B2115D"/>
    <w:rsid w:val="00B22E81"/>
    <w:rsid w:val="00B23996"/>
    <w:rsid w:val="00B23CB2"/>
    <w:rsid w:val="00B2561A"/>
    <w:rsid w:val="00B25A64"/>
    <w:rsid w:val="00B32505"/>
    <w:rsid w:val="00B32AB3"/>
    <w:rsid w:val="00B34E7C"/>
    <w:rsid w:val="00B368EA"/>
    <w:rsid w:val="00B37EEF"/>
    <w:rsid w:val="00B47078"/>
    <w:rsid w:val="00B479C2"/>
    <w:rsid w:val="00B50270"/>
    <w:rsid w:val="00B510B2"/>
    <w:rsid w:val="00B54370"/>
    <w:rsid w:val="00B543B4"/>
    <w:rsid w:val="00B55185"/>
    <w:rsid w:val="00B57124"/>
    <w:rsid w:val="00B575D0"/>
    <w:rsid w:val="00B60040"/>
    <w:rsid w:val="00B6083D"/>
    <w:rsid w:val="00B61923"/>
    <w:rsid w:val="00B621D6"/>
    <w:rsid w:val="00B65D6F"/>
    <w:rsid w:val="00B67AA2"/>
    <w:rsid w:val="00B67AC8"/>
    <w:rsid w:val="00B67C23"/>
    <w:rsid w:val="00B67C8A"/>
    <w:rsid w:val="00B70663"/>
    <w:rsid w:val="00B70DC7"/>
    <w:rsid w:val="00B71077"/>
    <w:rsid w:val="00B75735"/>
    <w:rsid w:val="00B76BBB"/>
    <w:rsid w:val="00B77142"/>
    <w:rsid w:val="00B80A2C"/>
    <w:rsid w:val="00B81F60"/>
    <w:rsid w:val="00B82154"/>
    <w:rsid w:val="00B82B30"/>
    <w:rsid w:val="00B841AC"/>
    <w:rsid w:val="00B847A6"/>
    <w:rsid w:val="00B84D8E"/>
    <w:rsid w:val="00B85B0C"/>
    <w:rsid w:val="00B865B0"/>
    <w:rsid w:val="00B90780"/>
    <w:rsid w:val="00B9240D"/>
    <w:rsid w:val="00B95748"/>
    <w:rsid w:val="00B97CF9"/>
    <w:rsid w:val="00BA0324"/>
    <w:rsid w:val="00BA1CD5"/>
    <w:rsid w:val="00BA22A8"/>
    <w:rsid w:val="00BA3E28"/>
    <w:rsid w:val="00BA3E48"/>
    <w:rsid w:val="00BA4BD3"/>
    <w:rsid w:val="00BA53D1"/>
    <w:rsid w:val="00BB0187"/>
    <w:rsid w:val="00BB1EB3"/>
    <w:rsid w:val="00BB2678"/>
    <w:rsid w:val="00BB49E0"/>
    <w:rsid w:val="00BB52F9"/>
    <w:rsid w:val="00BB59A6"/>
    <w:rsid w:val="00BB6480"/>
    <w:rsid w:val="00BC013A"/>
    <w:rsid w:val="00BC1638"/>
    <w:rsid w:val="00BC2343"/>
    <w:rsid w:val="00BC2BDA"/>
    <w:rsid w:val="00BC4DB3"/>
    <w:rsid w:val="00BC5706"/>
    <w:rsid w:val="00BC66E9"/>
    <w:rsid w:val="00BD30C8"/>
    <w:rsid w:val="00BD3EB4"/>
    <w:rsid w:val="00BD5C65"/>
    <w:rsid w:val="00BD7D5E"/>
    <w:rsid w:val="00BE2245"/>
    <w:rsid w:val="00BE3978"/>
    <w:rsid w:val="00BE6018"/>
    <w:rsid w:val="00BE647A"/>
    <w:rsid w:val="00BF1716"/>
    <w:rsid w:val="00BF1F57"/>
    <w:rsid w:val="00BF1FDE"/>
    <w:rsid w:val="00BF4086"/>
    <w:rsid w:val="00BF426C"/>
    <w:rsid w:val="00BF4F04"/>
    <w:rsid w:val="00BF58D0"/>
    <w:rsid w:val="00BF5AAA"/>
    <w:rsid w:val="00BF7D6A"/>
    <w:rsid w:val="00C013E1"/>
    <w:rsid w:val="00C01611"/>
    <w:rsid w:val="00C02D59"/>
    <w:rsid w:val="00C030B6"/>
    <w:rsid w:val="00C03284"/>
    <w:rsid w:val="00C050D7"/>
    <w:rsid w:val="00C05B5F"/>
    <w:rsid w:val="00C07A0F"/>
    <w:rsid w:val="00C104CC"/>
    <w:rsid w:val="00C152FE"/>
    <w:rsid w:val="00C16739"/>
    <w:rsid w:val="00C17E14"/>
    <w:rsid w:val="00C20C7D"/>
    <w:rsid w:val="00C22CCE"/>
    <w:rsid w:val="00C23BA2"/>
    <w:rsid w:val="00C2555C"/>
    <w:rsid w:val="00C32AF2"/>
    <w:rsid w:val="00C33204"/>
    <w:rsid w:val="00C338EB"/>
    <w:rsid w:val="00C33A7D"/>
    <w:rsid w:val="00C3465D"/>
    <w:rsid w:val="00C34FBC"/>
    <w:rsid w:val="00C379E9"/>
    <w:rsid w:val="00C4089D"/>
    <w:rsid w:val="00C41675"/>
    <w:rsid w:val="00C439FB"/>
    <w:rsid w:val="00C43F23"/>
    <w:rsid w:val="00C44B59"/>
    <w:rsid w:val="00C44C89"/>
    <w:rsid w:val="00C471A0"/>
    <w:rsid w:val="00C47A34"/>
    <w:rsid w:val="00C50011"/>
    <w:rsid w:val="00C50232"/>
    <w:rsid w:val="00C564B5"/>
    <w:rsid w:val="00C57AF6"/>
    <w:rsid w:val="00C60094"/>
    <w:rsid w:val="00C62BC4"/>
    <w:rsid w:val="00C638AF"/>
    <w:rsid w:val="00C645E6"/>
    <w:rsid w:val="00C64D82"/>
    <w:rsid w:val="00C64FBC"/>
    <w:rsid w:val="00C65A83"/>
    <w:rsid w:val="00C67C19"/>
    <w:rsid w:val="00C72C6F"/>
    <w:rsid w:val="00C76A6C"/>
    <w:rsid w:val="00C77F18"/>
    <w:rsid w:val="00C80F23"/>
    <w:rsid w:val="00C81151"/>
    <w:rsid w:val="00C82CC6"/>
    <w:rsid w:val="00C850A3"/>
    <w:rsid w:val="00C85C32"/>
    <w:rsid w:val="00C866C7"/>
    <w:rsid w:val="00C87568"/>
    <w:rsid w:val="00C90DB6"/>
    <w:rsid w:val="00C9394F"/>
    <w:rsid w:val="00C93B1A"/>
    <w:rsid w:val="00C96F5F"/>
    <w:rsid w:val="00CA5927"/>
    <w:rsid w:val="00CA6E0F"/>
    <w:rsid w:val="00CA79EC"/>
    <w:rsid w:val="00CB39C2"/>
    <w:rsid w:val="00CB4C8C"/>
    <w:rsid w:val="00CB52F6"/>
    <w:rsid w:val="00CB6782"/>
    <w:rsid w:val="00CB73B2"/>
    <w:rsid w:val="00CC080A"/>
    <w:rsid w:val="00CC5921"/>
    <w:rsid w:val="00CD0F7E"/>
    <w:rsid w:val="00CE5277"/>
    <w:rsid w:val="00CE6358"/>
    <w:rsid w:val="00CE7A3C"/>
    <w:rsid w:val="00CF00BE"/>
    <w:rsid w:val="00CF15C5"/>
    <w:rsid w:val="00CF2D54"/>
    <w:rsid w:val="00D0281E"/>
    <w:rsid w:val="00D03538"/>
    <w:rsid w:val="00D049B8"/>
    <w:rsid w:val="00D0516C"/>
    <w:rsid w:val="00D05EE7"/>
    <w:rsid w:val="00D068D0"/>
    <w:rsid w:val="00D078D1"/>
    <w:rsid w:val="00D10743"/>
    <w:rsid w:val="00D129A8"/>
    <w:rsid w:val="00D12FB9"/>
    <w:rsid w:val="00D17F94"/>
    <w:rsid w:val="00D200BD"/>
    <w:rsid w:val="00D22399"/>
    <w:rsid w:val="00D23B54"/>
    <w:rsid w:val="00D24178"/>
    <w:rsid w:val="00D31124"/>
    <w:rsid w:val="00D32616"/>
    <w:rsid w:val="00D33751"/>
    <w:rsid w:val="00D35B7B"/>
    <w:rsid w:val="00D36F6E"/>
    <w:rsid w:val="00D37343"/>
    <w:rsid w:val="00D40407"/>
    <w:rsid w:val="00D4205E"/>
    <w:rsid w:val="00D43E3E"/>
    <w:rsid w:val="00D44256"/>
    <w:rsid w:val="00D47EAB"/>
    <w:rsid w:val="00D50084"/>
    <w:rsid w:val="00D5155F"/>
    <w:rsid w:val="00D5190F"/>
    <w:rsid w:val="00D5574C"/>
    <w:rsid w:val="00D61982"/>
    <w:rsid w:val="00D6267A"/>
    <w:rsid w:val="00D67D12"/>
    <w:rsid w:val="00D700A1"/>
    <w:rsid w:val="00D70CBF"/>
    <w:rsid w:val="00D72A67"/>
    <w:rsid w:val="00D7585A"/>
    <w:rsid w:val="00D80618"/>
    <w:rsid w:val="00D82494"/>
    <w:rsid w:val="00D84A4B"/>
    <w:rsid w:val="00D92168"/>
    <w:rsid w:val="00D92A52"/>
    <w:rsid w:val="00D92B67"/>
    <w:rsid w:val="00D940B5"/>
    <w:rsid w:val="00D95CB0"/>
    <w:rsid w:val="00D977C0"/>
    <w:rsid w:val="00DA00A3"/>
    <w:rsid w:val="00DA13F3"/>
    <w:rsid w:val="00DA2010"/>
    <w:rsid w:val="00DA2271"/>
    <w:rsid w:val="00DA2DE3"/>
    <w:rsid w:val="00DA3AB3"/>
    <w:rsid w:val="00DA5C98"/>
    <w:rsid w:val="00DA7146"/>
    <w:rsid w:val="00DA716A"/>
    <w:rsid w:val="00DB1F4F"/>
    <w:rsid w:val="00DB37EE"/>
    <w:rsid w:val="00DB3895"/>
    <w:rsid w:val="00DB4450"/>
    <w:rsid w:val="00DB7B69"/>
    <w:rsid w:val="00DC234A"/>
    <w:rsid w:val="00DC41E4"/>
    <w:rsid w:val="00DC46C7"/>
    <w:rsid w:val="00DC5116"/>
    <w:rsid w:val="00DC561E"/>
    <w:rsid w:val="00DC610B"/>
    <w:rsid w:val="00DC7C77"/>
    <w:rsid w:val="00DD0BB7"/>
    <w:rsid w:val="00DD33DF"/>
    <w:rsid w:val="00DD7D1F"/>
    <w:rsid w:val="00DD7EA2"/>
    <w:rsid w:val="00DE00F2"/>
    <w:rsid w:val="00DE117F"/>
    <w:rsid w:val="00DE401C"/>
    <w:rsid w:val="00DF5C3F"/>
    <w:rsid w:val="00DF63FA"/>
    <w:rsid w:val="00DF719E"/>
    <w:rsid w:val="00E00A1C"/>
    <w:rsid w:val="00E012CC"/>
    <w:rsid w:val="00E02B71"/>
    <w:rsid w:val="00E02DEB"/>
    <w:rsid w:val="00E03C40"/>
    <w:rsid w:val="00E042A1"/>
    <w:rsid w:val="00E1046D"/>
    <w:rsid w:val="00E104FA"/>
    <w:rsid w:val="00E1082A"/>
    <w:rsid w:val="00E11166"/>
    <w:rsid w:val="00E12151"/>
    <w:rsid w:val="00E13182"/>
    <w:rsid w:val="00E15383"/>
    <w:rsid w:val="00E1738C"/>
    <w:rsid w:val="00E22D28"/>
    <w:rsid w:val="00E230E3"/>
    <w:rsid w:val="00E25546"/>
    <w:rsid w:val="00E2610D"/>
    <w:rsid w:val="00E30EDF"/>
    <w:rsid w:val="00E31FBA"/>
    <w:rsid w:val="00E35265"/>
    <w:rsid w:val="00E36AAE"/>
    <w:rsid w:val="00E41773"/>
    <w:rsid w:val="00E42790"/>
    <w:rsid w:val="00E513F6"/>
    <w:rsid w:val="00E52F3B"/>
    <w:rsid w:val="00E53D94"/>
    <w:rsid w:val="00E53DEA"/>
    <w:rsid w:val="00E54647"/>
    <w:rsid w:val="00E561CF"/>
    <w:rsid w:val="00E56983"/>
    <w:rsid w:val="00E60B8E"/>
    <w:rsid w:val="00E616DB"/>
    <w:rsid w:val="00E6259C"/>
    <w:rsid w:val="00E627A4"/>
    <w:rsid w:val="00E630ED"/>
    <w:rsid w:val="00E65E60"/>
    <w:rsid w:val="00E66766"/>
    <w:rsid w:val="00E668B1"/>
    <w:rsid w:val="00E73D45"/>
    <w:rsid w:val="00E74EC5"/>
    <w:rsid w:val="00E76B86"/>
    <w:rsid w:val="00E80567"/>
    <w:rsid w:val="00E8342F"/>
    <w:rsid w:val="00E847A7"/>
    <w:rsid w:val="00E86E79"/>
    <w:rsid w:val="00E906B4"/>
    <w:rsid w:val="00E9095B"/>
    <w:rsid w:val="00E926B8"/>
    <w:rsid w:val="00E9399B"/>
    <w:rsid w:val="00E94008"/>
    <w:rsid w:val="00E94762"/>
    <w:rsid w:val="00E95C65"/>
    <w:rsid w:val="00E9611C"/>
    <w:rsid w:val="00E96B52"/>
    <w:rsid w:val="00E97D40"/>
    <w:rsid w:val="00EA2194"/>
    <w:rsid w:val="00EA2244"/>
    <w:rsid w:val="00EA2EDF"/>
    <w:rsid w:val="00EA4E91"/>
    <w:rsid w:val="00EA6FA7"/>
    <w:rsid w:val="00EB067F"/>
    <w:rsid w:val="00EB1F02"/>
    <w:rsid w:val="00EB5BC5"/>
    <w:rsid w:val="00EB65E8"/>
    <w:rsid w:val="00EC086C"/>
    <w:rsid w:val="00EC42D0"/>
    <w:rsid w:val="00EC44F8"/>
    <w:rsid w:val="00EC638F"/>
    <w:rsid w:val="00EC72B6"/>
    <w:rsid w:val="00EC7725"/>
    <w:rsid w:val="00ED7A0A"/>
    <w:rsid w:val="00EE2B75"/>
    <w:rsid w:val="00EE3842"/>
    <w:rsid w:val="00EE4874"/>
    <w:rsid w:val="00EE74FE"/>
    <w:rsid w:val="00EE79A6"/>
    <w:rsid w:val="00EF6111"/>
    <w:rsid w:val="00F005A0"/>
    <w:rsid w:val="00F06616"/>
    <w:rsid w:val="00F11352"/>
    <w:rsid w:val="00F13FDA"/>
    <w:rsid w:val="00F14396"/>
    <w:rsid w:val="00F1498D"/>
    <w:rsid w:val="00F14DDF"/>
    <w:rsid w:val="00F152AD"/>
    <w:rsid w:val="00F2285F"/>
    <w:rsid w:val="00F23155"/>
    <w:rsid w:val="00F24236"/>
    <w:rsid w:val="00F24E0E"/>
    <w:rsid w:val="00F25588"/>
    <w:rsid w:val="00F26693"/>
    <w:rsid w:val="00F27B07"/>
    <w:rsid w:val="00F31763"/>
    <w:rsid w:val="00F356C6"/>
    <w:rsid w:val="00F36130"/>
    <w:rsid w:val="00F40444"/>
    <w:rsid w:val="00F423BD"/>
    <w:rsid w:val="00F42DB9"/>
    <w:rsid w:val="00F432FF"/>
    <w:rsid w:val="00F44F01"/>
    <w:rsid w:val="00F4715C"/>
    <w:rsid w:val="00F54869"/>
    <w:rsid w:val="00F556B2"/>
    <w:rsid w:val="00F5754B"/>
    <w:rsid w:val="00F576DE"/>
    <w:rsid w:val="00F63BF7"/>
    <w:rsid w:val="00F65469"/>
    <w:rsid w:val="00F65617"/>
    <w:rsid w:val="00F666B0"/>
    <w:rsid w:val="00F66D14"/>
    <w:rsid w:val="00F6771A"/>
    <w:rsid w:val="00F710BE"/>
    <w:rsid w:val="00F736D2"/>
    <w:rsid w:val="00F7564C"/>
    <w:rsid w:val="00F76021"/>
    <w:rsid w:val="00F76220"/>
    <w:rsid w:val="00F76449"/>
    <w:rsid w:val="00F767CE"/>
    <w:rsid w:val="00F768F2"/>
    <w:rsid w:val="00F769BE"/>
    <w:rsid w:val="00F81A09"/>
    <w:rsid w:val="00F82E6B"/>
    <w:rsid w:val="00F86DDD"/>
    <w:rsid w:val="00F92525"/>
    <w:rsid w:val="00F925D2"/>
    <w:rsid w:val="00F93321"/>
    <w:rsid w:val="00F94190"/>
    <w:rsid w:val="00F94ADC"/>
    <w:rsid w:val="00F96931"/>
    <w:rsid w:val="00F9777E"/>
    <w:rsid w:val="00F97B71"/>
    <w:rsid w:val="00FA1EDD"/>
    <w:rsid w:val="00FA2DDA"/>
    <w:rsid w:val="00FA34CA"/>
    <w:rsid w:val="00FA4859"/>
    <w:rsid w:val="00FA4A55"/>
    <w:rsid w:val="00FA4D4F"/>
    <w:rsid w:val="00FA5453"/>
    <w:rsid w:val="00FA54E8"/>
    <w:rsid w:val="00FB0157"/>
    <w:rsid w:val="00FB2D17"/>
    <w:rsid w:val="00FB2F69"/>
    <w:rsid w:val="00FB368B"/>
    <w:rsid w:val="00FB4554"/>
    <w:rsid w:val="00FB45FF"/>
    <w:rsid w:val="00FB5D97"/>
    <w:rsid w:val="00FC1CA5"/>
    <w:rsid w:val="00FC2979"/>
    <w:rsid w:val="00FC3557"/>
    <w:rsid w:val="00FC38BB"/>
    <w:rsid w:val="00FC4F6D"/>
    <w:rsid w:val="00FD1C3C"/>
    <w:rsid w:val="00FD38A8"/>
    <w:rsid w:val="00FD3E1D"/>
    <w:rsid w:val="00FD5E3A"/>
    <w:rsid w:val="00FD64C2"/>
    <w:rsid w:val="00FD6AC8"/>
    <w:rsid w:val="00FE3EA1"/>
    <w:rsid w:val="00FE47A3"/>
    <w:rsid w:val="00FE4818"/>
    <w:rsid w:val="00FE5D80"/>
    <w:rsid w:val="00FF1577"/>
    <w:rsid w:val="00FF3491"/>
    <w:rsid w:val="00FF449F"/>
    <w:rsid w:val="00FF5856"/>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27D39058-2A1A-463D-9720-1276D7F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B71077"/>
    <w:pPr>
      <w:keepNext/>
      <w:keepLines/>
      <w:spacing w:before="340" w:after="330" w:line="578" w:lineRule="auto"/>
      <w:outlineLvl w:val="0"/>
    </w:pPr>
    <w:rPr>
      <w:b/>
      <w:bCs/>
      <w:kern w:val="44"/>
      <w:sz w:val="44"/>
      <w:szCs w:val="44"/>
    </w:rPr>
  </w:style>
  <w:style w:type="paragraph" w:styleId="2">
    <w:name w:val="heading 2"/>
    <w:basedOn w:val="a"/>
    <w:next w:val="a0"/>
    <w:qFormat/>
    <w:rsid w:val="00607EE2"/>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07EE2"/>
    <w:pPr>
      <w:ind w:firstLineChars="200" w:firstLine="420"/>
    </w:pPr>
  </w:style>
  <w:style w:type="paragraph" w:styleId="a4">
    <w:name w:val="Body Text Indent"/>
    <w:basedOn w:val="a"/>
    <w:rsid w:val="00607E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07EE2"/>
    <w:rPr>
      <w:rFonts w:ascii="宋体" w:hAnsi="Courier New"/>
      <w:szCs w:val="21"/>
    </w:rPr>
  </w:style>
  <w:style w:type="paragraph" w:styleId="20">
    <w:name w:val="Body Text Indent 2"/>
    <w:basedOn w:val="a"/>
    <w:rsid w:val="00607EE2"/>
    <w:pPr>
      <w:spacing w:line="560" w:lineRule="exact"/>
      <w:ind w:firstLineChars="200" w:firstLine="480"/>
    </w:pPr>
    <w:rPr>
      <w:rFonts w:ascii="宋体" w:hAnsi="宋体"/>
      <w:color w:val="FF0000"/>
      <w:sz w:val="24"/>
    </w:rPr>
  </w:style>
  <w:style w:type="paragraph" w:styleId="a6">
    <w:name w:val="footer"/>
    <w:basedOn w:val="a"/>
    <w:rsid w:val="00607EE2"/>
    <w:pPr>
      <w:tabs>
        <w:tab w:val="center" w:pos="4153"/>
        <w:tab w:val="right" w:pos="8306"/>
      </w:tabs>
      <w:snapToGrid w:val="0"/>
      <w:jc w:val="left"/>
    </w:pPr>
    <w:rPr>
      <w:sz w:val="18"/>
      <w:szCs w:val="18"/>
    </w:rPr>
  </w:style>
  <w:style w:type="character" w:styleId="a7">
    <w:name w:val="page number"/>
    <w:basedOn w:val="a1"/>
    <w:rsid w:val="00607EE2"/>
  </w:style>
  <w:style w:type="character" w:styleId="a8">
    <w:name w:val="Hyperlink"/>
    <w:basedOn w:val="a1"/>
    <w:rsid w:val="00607EE2"/>
    <w:rPr>
      <w:color w:val="0000FF"/>
      <w:u w:val="single"/>
    </w:rPr>
  </w:style>
  <w:style w:type="paragraph" w:styleId="3">
    <w:name w:val="Body Text Indent 3"/>
    <w:basedOn w:val="a"/>
    <w:rsid w:val="00607EE2"/>
    <w:pPr>
      <w:spacing w:line="560" w:lineRule="exact"/>
      <w:ind w:firstLineChars="200" w:firstLine="420"/>
    </w:pPr>
    <w:rPr>
      <w:rFonts w:ascii="Arial" w:hAnsi="Arial" w:cs="Arial"/>
      <w:color w:val="FF0000"/>
    </w:rPr>
  </w:style>
  <w:style w:type="paragraph" w:styleId="a9">
    <w:name w:val="header"/>
    <w:basedOn w:val="a"/>
    <w:link w:val="Char0"/>
    <w:uiPriority w:val="99"/>
    <w:rsid w:val="00607EE2"/>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607EE2"/>
    <w:rPr>
      <w:color w:val="800080"/>
      <w:u w:val="single"/>
    </w:rPr>
  </w:style>
  <w:style w:type="paragraph" w:styleId="ab">
    <w:name w:val="List"/>
    <w:basedOn w:val="ac"/>
    <w:rsid w:val="00607EE2"/>
    <w:pPr>
      <w:spacing w:after="220" w:line="220" w:lineRule="atLeast"/>
      <w:ind w:left="1440" w:hanging="360"/>
    </w:pPr>
    <w:rPr>
      <w:szCs w:val="20"/>
    </w:rPr>
  </w:style>
  <w:style w:type="paragraph" w:styleId="ac">
    <w:name w:val="Body Text"/>
    <w:basedOn w:val="a"/>
    <w:rsid w:val="00607EE2"/>
    <w:pPr>
      <w:spacing w:after="120"/>
    </w:pPr>
  </w:style>
  <w:style w:type="paragraph" w:styleId="ad">
    <w:name w:val="Date"/>
    <w:basedOn w:val="a"/>
    <w:next w:val="a"/>
    <w:link w:val="Char1"/>
    <w:rsid w:val="00607EE2"/>
    <w:rPr>
      <w:sz w:val="24"/>
      <w:szCs w:val="20"/>
    </w:rPr>
  </w:style>
  <w:style w:type="character" w:customStyle="1" w:styleId="c1">
    <w:name w:val="c1"/>
    <w:basedOn w:val="a1"/>
    <w:rsid w:val="00607EE2"/>
    <w:rPr>
      <w:color w:val="000000"/>
      <w:sz w:val="18"/>
      <w:szCs w:val="18"/>
    </w:rPr>
  </w:style>
  <w:style w:type="paragraph" w:styleId="10">
    <w:name w:val="index 1"/>
    <w:basedOn w:val="a"/>
    <w:next w:val="a"/>
    <w:autoRedefine/>
    <w:semiHidden/>
    <w:rsid w:val="00607EE2"/>
    <w:pPr>
      <w:jc w:val="right"/>
    </w:pPr>
    <w:rPr>
      <w:color w:val="008000"/>
    </w:rPr>
  </w:style>
  <w:style w:type="paragraph" w:customStyle="1" w:styleId="font5">
    <w:name w:val="font5"/>
    <w:basedOn w:val="a"/>
    <w:rsid w:val="00607EE2"/>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07EE2"/>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07EE2"/>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07EE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07EE2"/>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607EE2"/>
    <w:rPr>
      <w:sz w:val="18"/>
      <w:szCs w:val="18"/>
    </w:rPr>
  </w:style>
  <w:style w:type="character" w:styleId="af">
    <w:name w:val="annotation reference"/>
    <w:basedOn w:val="a1"/>
    <w:semiHidden/>
    <w:rsid w:val="00607EE2"/>
    <w:rPr>
      <w:sz w:val="21"/>
      <w:szCs w:val="21"/>
    </w:rPr>
  </w:style>
  <w:style w:type="paragraph" w:styleId="af0">
    <w:name w:val="annotation text"/>
    <w:basedOn w:val="a"/>
    <w:semiHidden/>
    <w:rsid w:val="00607EE2"/>
    <w:pPr>
      <w:jc w:val="left"/>
    </w:pPr>
  </w:style>
  <w:style w:type="paragraph" w:styleId="af1">
    <w:name w:val="annotation subject"/>
    <w:basedOn w:val="af0"/>
    <w:next w:val="af0"/>
    <w:semiHidden/>
    <w:rsid w:val="00607EE2"/>
    <w:rPr>
      <w:b/>
      <w:bCs/>
    </w:rPr>
  </w:style>
  <w:style w:type="paragraph" w:customStyle="1" w:styleId="Char2">
    <w:name w:val="Char"/>
    <w:basedOn w:val="a"/>
    <w:rsid w:val="00607EE2"/>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3"/>
    <w:rsid w:val="00547D9C"/>
    <w:pPr>
      <w:snapToGrid w:val="0"/>
      <w:jc w:val="left"/>
    </w:pPr>
    <w:rPr>
      <w:sz w:val="18"/>
      <w:szCs w:val="18"/>
    </w:rPr>
  </w:style>
  <w:style w:type="character" w:styleId="af5">
    <w:name w:val="footnote reference"/>
    <w:basedOn w:val="a1"/>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basedOn w:val="a1"/>
    <w:link w:val="a5"/>
    <w:uiPriority w:val="99"/>
    <w:rsid w:val="00A45006"/>
    <w:rPr>
      <w:rFonts w:ascii="宋体" w:hAnsi="Courier New"/>
      <w:kern w:val="2"/>
      <w:sz w:val="21"/>
      <w:szCs w:val="21"/>
    </w:rPr>
  </w:style>
  <w:style w:type="paragraph" w:customStyle="1" w:styleId="Default">
    <w:name w:val="Default"/>
    <w:rsid w:val="00B82B30"/>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982E50"/>
    <w:rPr>
      <w:kern w:val="2"/>
      <w:sz w:val="18"/>
      <w:szCs w:val="18"/>
    </w:rPr>
  </w:style>
  <w:style w:type="character" w:customStyle="1" w:styleId="1Char">
    <w:name w:val="标题 1 Char"/>
    <w:basedOn w:val="a1"/>
    <w:link w:val="1"/>
    <w:rsid w:val="00B71077"/>
    <w:rPr>
      <w:b/>
      <w:bCs/>
      <w:kern w:val="44"/>
      <w:sz w:val="44"/>
      <w:szCs w:val="44"/>
    </w:rPr>
  </w:style>
  <w:style w:type="character" w:customStyle="1" w:styleId="Char1">
    <w:name w:val="日期 Char"/>
    <w:basedOn w:val="a1"/>
    <w:link w:val="ad"/>
    <w:rsid w:val="009C11D4"/>
    <w:rPr>
      <w:kern w:val="2"/>
      <w:sz w:val="24"/>
    </w:rPr>
  </w:style>
  <w:style w:type="character" w:customStyle="1" w:styleId="Char3">
    <w:name w:val="脚注文本 Char"/>
    <w:link w:val="af4"/>
    <w:rsid w:val="00B76BBB"/>
    <w:rPr>
      <w:kern w:val="2"/>
      <w:sz w:val="18"/>
      <w:szCs w:val="18"/>
    </w:rPr>
  </w:style>
  <w:style w:type="paragraph" w:styleId="af8">
    <w:name w:val="List Paragraph"/>
    <w:basedOn w:val="a"/>
    <w:uiPriority w:val="34"/>
    <w:qFormat/>
    <w:rsid w:val="00AC714B"/>
    <w:pPr>
      <w:ind w:firstLineChars="200" w:firstLine="420"/>
    </w:pPr>
  </w:style>
  <w:style w:type="character" w:styleId="af9">
    <w:name w:val="Strong"/>
    <w:basedOn w:val="a1"/>
    <w:uiPriority w:val="22"/>
    <w:qFormat/>
    <w:rsid w:val="00F9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14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6844562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14284622">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35999612">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93588164">
      <w:bodyDiv w:val="1"/>
      <w:marLeft w:val="0"/>
      <w:marRight w:val="0"/>
      <w:marTop w:val="0"/>
      <w:marBottom w:val="0"/>
      <w:divBdr>
        <w:top w:val="none" w:sz="0" w:space="0" w:color="auto"/>
        <w:left w:val="none" w:sz="0" w:space="0" w:color="auto"/>
        <w:bottom w:val="none" w:sz="0" w:space="0" w:color="auto"/>
        <w:right w:val="none" w:sz="0" w:space="0" w:color="auto"/>
      </w:divBdr>
    </w:div>
    <w:div w:id="1689720633">
      <w:bodyDiv w:val="1"/>
      <w:marLeft w:val="0"/>
      <w:marRight w:val="0"/>
      <w:marTop w:val="0"/>
      <w:marBottom w:val="0"/>
      <w:divBdr>
        <w:top w:val="none" w:sz="0" w:space="0" w:color="auto"/>
        <w:left w:val="none" w:sz="0" w:space="0" w:color="auto"/>
        <w:bottom w:val="none" w:sz="0" w:space="0" w:color="auto"/>
        <w:right w:val="none" w:sz="0" w:space="0" w:color="auto"/>
      </w:divBdr>
    </w:div>
    <w:div w:id="18574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4824</Words>
  <Characters>1267</Characters>
  <Application>Microsoft Office Word</Application>
  <DocSecurity>0</DocSecurity>
  <Lines>10</Lines>
  <Paragraphs>12</Paragraphs>
  <ScaleCrop>false</ScaleCrop>
  <Company>TRT. Ltd. Co.</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孙艳</dc:creator>
  <cp:lastModifiedBy>孙艳</cp:lastModifiedBy>
  <cp:revision>2</cp:revision>
  <cp:lastPrinted>2007-07-19T00:46:00Z</cp:lastPrinted>
  <dcterms:created xsi:type="dcterms:W3CDTF">2017-01-17T10:30:00Z</dcterms:created>
  <dcterms:modified xsi:type="dcterms:W3CDTF">2017-01-17T10:30:00Z</dcterms:modified>
</cp:coreProperties>
</file>