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79,051,628.96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980134" w:rsidRPr="00F14A65" w:rsidRDefault="00980134" w:rsidP="00F14A65">
            <w:pPr>
              <w:adjustRightInd w:val="0"/>
              <w:spacing w:before="29" w:line="288" w:lineRule="auto"/>
              <w:ind w:left="17"/>
              <w:jc w:val="left"/>
              <w:rPr>
                <w:color w:val="000000"/>
                <w:kern w:val="0"/>
                <w:sz w:val="24"/>
              </w:rPr>
            </w:pPr>
            <w:r w:rsidRPr="00F14A65">
              <w:rPr>
                <w:rFonts w:hint="eastAsia"/>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980134" w:rsidP="00980134">
            <w:pPr>
              <w:adjustRightInd w:val="0"/>
              <w:spacing w:before="29" w:line="288" w:lineRule="auto"/>
              <w:ind w:left="17"/>
              <w:jc w:val="left"/>
              <w:rPr>
                <w:color w:val="000000"/>
                <w:sz w:val="24"/>
              </w:rPr>
            </w:pPr>
            <w:r w:rsidRPr="00F14A65">
              <w:rPr>
                <w:rFonts w:hint="eastAsia"/>
                <w:color w:val="000000"/>
                <w:kern w:val="0"/>
                <w:sz w:val="24"/>
              </w:rPr>
              <w:t>开放期内投资策略：本基金充分发挥基金管理人的研究</w:t>
            </w:r>
            <w:r w:rsidRPr="00F14A65">
              <w:rPr>
                <w:rFonts w:hint="eastAsia"/>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980134" w:rsidRPr="00F14A65" w:rsidRDefault="00980134" w:rsidP="00F14A65">
            <w:pPr>
              <w:adjustRightInd w:val="0"/>
              <w:spacing w:before="29" w:line="288" w:lineRule="auto"/>
              <w:ind w:left="17"/>
              <w:jc w:val="left"/>
              <w:rPr>
                <w:color w:val="000000"/>
                <w:kern w:val="0"/>
                <w:sz w:val="24"/>
              </w:rPr>
            </w:pPr>
            <w:r w:rsidRPr="00F14A65">
              <w:rPr>
                <w:rFonts w:hint="eastAsia"/>
                <w:color w:val="000000"/>
                <w:kern w:val="0"/>
                <w:sz w:val="24"/>
              </w:rPr>
              <w:t>封闭期内业绩比较基准：两年期银行定期存款税后收益率</w:t>
            </w:r>
            <w:r w:rsidRPr="00F14A65">
              <w:rPr>
                <w:color w:val="000000"/>
                <w:kern w:val="0"/>
                <w:sz w:val="24"/>
              </w:rPr>
              <w:t>+1.25%</w:t>
            </w:r>
          </w:p>
          <w:p w:rsidR="008532F3" w:rsidRPr="007F52FA" w:rsidRDefault="00980134" w:rsidP="00980134">
            <w:pPr>
              <w:adjustRightInd w:val="0"/>
              <w:spacing w:before="29" w:line="288" w:lineRule="auto"/>
              <w:ind w:left="17"/>
              <w:jc w:val="left"/>
              <w:rPr>
                <w:color w:val="000000"/>
                <w:sz w:val="24"/>
              </w:rPr>
            </w:pPr>
            <w:r w:rsidRPr="00F14A65">
              <w:rPr>
                <w:rFonts w:hint="eastAsia"/>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31260D">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70,646,479.84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8,405,149.12</w:t>
            </w:r>
            <w:r w:rsidRPr="007F52FA">
              <w:rPr>
                <w:color w:val="000000"/>
                <w:kern w:val="0"/>
                <w:sz w:val="24"/>
              </w:rPr>
              <w:t>份</w:t>
            </w:r>
          </w:p>
        </w:tc>
      </w:tr>
    </w:tbl>
    <w:p w:rsidR="00185657"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w:t>
      </w:r>
      <w:r w:rsidR="00546305">
        <w:rPr>
          <w:rFonts w:eastAsiaTheme="minorEastAsia" w:hint="eastAsia"/>
          <w:color w:val="000000"/>
          <w:sz w:val="24"/>
        </w:rPr>
        <w:t>转为开放式</w:t>
      </w:r>
      <w:r w:rsidR="00546305">
        <w:rPr>
          <w:rFonts w:eastAsiaTheme="minorEastAsia"/>
          <w:color w:val="000000"/>
          <w:sz w:val="24"/>
        </w:rPr>
        <w:t>运作</w:t>
      </w:r>
      <w:r w:rsidRPr="007F52FA">
        <w:rPr>
          <w:rFonts w:eastAsiaTheme="minorEastAsia"/>
          <w:color w:val="000000"/>
          <w:sz w:val="24"/>
        </w:rPr>
        <w:t>。</w:t>
      </w:r>
      <w:r w:rsidR="00546305" w:rsidRPr="007F52FA" w:rsidDel="00546305">
        <w:rPr>
          <w:rFonts w:eastAsiaTheme="minorEastAsia"/>
          <w:color w:val="000000"/>
          <w:sz w:val="24"/>
        </w:rPr>
        <w:t xml:space="preserve"> </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55173C" w:rsidRDefault="009238DB" w:rsidP="0055173C">
      <w:pPr>
        <w:pStyle w:val="1"/>
        <w:spacing w:beforeLines="100" w:before="312" w:afterLines="100" w:after="312" w:line="288" w:lineRule="auto"/>
        <w:jc w:val="center"/>
        <w:rPr>
          <w:color w:val="000000"/>
          <w:kern w:val="0"/>
          <w:sz w:val="24"/>
          <w:szCs w:val="24"/>
        </w:rPr>
      </w:pPr>
      <w:bookmarkStart w:id="0" w:name="_GoBack"/>
      <w:r w:rsidRPr="0055173C">
        <w:rPr>
          <w:color w:val="000000"/>
          <w:kern w:val="0"/>
          <w:sz w:val="24"/>
          <w:szCs w:val="24"/>
        </w:rPr>
        <w:t xml:space="preserve">§3  </w:t>
      </w:r>
      <w:r w:rsidRPr="0055173C">
        <w:rPr>
          <w:color w:val="000000"/>
          <w:kern w:val="0"/>
          <w:sz w:val="24"/>
          <w:szCs w:val="24"/>
        </w:rPr>
        <w:t>主要财务指标和基金净值表现</w:t>
      </w:r>
    </w:p>
    <w:bookmarkEnd w:id="0"/>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1,279,152.27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43,443.93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1,452,100.71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57,835.72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71,390,346.15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8,481,404.78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1.009</w:t>
            </w:r>
          </w:p>
        </w:tc>
      </w:tr>
    </w:tbl>
    <w:p w:rsidR="00B2532C" w:rsidRDefault="0031260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2532C">
        <w:trPr>
          <w:jc w:val="center"/>
        </w:trPr>
        <w:tc>
          <w:tcPr>
            <w:tcW w:w="1266" w:type="dxa"/>
            <w:vAlign w:val="center"/>
          </w:tcPr>
          <w:p w:rsidR="00B2532C" w:rsidRDefault="0031260D">
            <w:pPr>
              <w:jc w:val="left"/>
            </w:pPr>
            <w:r>
              <w:rPr>
                <w:color w:val="000000"/>
                <w:sz w:val="24"/>
              </w:rPr>
              <w:t>过去三个月</w:t>
            </w:r>
          </w:p>
        </w:tc>
        <w:tc>
          <w:tcPr>
            <w:tcW w:w="1267" w:type="dxa"/>
            <w:vAlign w:val="center"/>
          </w:tcPr>
          <w:p w:rsidR="00B2532C" w:rsidRDefault="0031260D">
            <w:pPr>
              <w:jc w:val="center"/>
            </w:pPr>
            <w:r>
              <w:rPr>
                <w:color w:val="000000"/>
                <w:sz w:val="24"/>
              </w:rPr>
              <w:t>0.48%</w:t>
            </w:r>
          </w:p>
        </w:tc>
        <w:tc>
          <w:tcPr>
            <w:tcW w:w="1267" w:type="dxa"/>
            <w:vAlign w:val="center"/>
          </w:tcPr>
          <w:p w:rsidR="00B2532C" w:rsidRDefault="0031260D">
            <w:pPr>
              <w:jc w:val="center"/>
            </w:pPr>
            <w:r>
              <w:rPr>
                <w:color w:val="000000"/>
                <w:sz w:val="24"/>
              </w:rPr>
              <w:t>0.03%</w:t>
            </w:r>
          </w:p>
        </w:tc>
        <w:tc>
          <w:tcPr>
            <w:tcW w:w="1267" w:type="dxa"/>
            <w:vAlign w:val="center"/>
          </w:tcPr>
          <w:p w:rsidR="00B2532C" w:rsidRDefault="0031260D">
            <w:pPr>
              <w:jc w:val="center"/>
            </w:pPr>
            <w:r>
              <w:rPr>
                <w:color w:val="000000"/>
                <w:sz w:val="24"/>
              </w:rPr>
              <w:t>1.47%</w:t>
            </w:r>
          </w:p>
        </w:tc>
        <w:tc>
          <w:tcPr>
            <w:tcW w:w="1267" w:type="dxa"/>
            <w:vAlign w:val="center"/>
          </w:tcPr>
          <w:p w:rsidR="00B2532C" w:rsidRDefault="0031260D">
            <w:pPr>
              <w:jc w:val="center"/>
            </w:pPr>
            <w:r>
              <w:rPr>
                <w:color w:val="000000"/>
                <w:sz w:val="24"/>
              </w:rPr>
              <w:t>0.07%</w:t>
            </w:r>
          </w:p>
        </w:tc>
        <w:tc>
          <w:tcPr>
            <w:tcW w:w="1267" w:type="dxa"/>
            <w:vAlign w:val="center"/>
          </w:tcPr>
          <w:p w:rsidR="00B2532C" w:rsidRDefault="0031260D">
            <w:pPr>
              <w:jc w:val="center"/>
            </w:pPr>
            <w:r>
              <w:rPr>
                <w:color w:val="000000"/>
                <w:sz w:val="24"/>
              </w:rPr>
              <w:t>-0.99%</w:t>
            </w:r>
          </w:p>
        </w:tc>
        <w:tc>
          <w:tcPr>
            <w:tcW w:w="1267" w:type="dxa"/>
            <w:vAlign w:val="center"/>
          </w:tcPr>
          <w:p w:rsidR="00B2532C" w:rsidRDefault="0031260D">
            <w:pPr>
              <w:jc w:val="center"/>
            </w:pPr>
            <w:r>
              <w:rPr>
                <w:color w:val="000000"/>
                <w:sz w:val="24"/>
              </w:rPr>
              <w:t>-0.04%</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w:t>
      </w:r>
      <w:r w:rsidR="00546305">
        <w:rPr>
          <w:rFonts w:hint="eastAsia"/>
          <w:color w:val="000000"/>
          <w:sz w:val="24"/>
        </w:rPr>
        <w:t>转为</w:t>
      </w:r>
      <w:r w:rsidR="00546305">
        <w:rPr>
          <w:color w:val="000000"/>
          <w:sz w:val="24"/>
        </w:rPr>
        <w:t>开放式运作</w:t>
      </w:r>
      <w:r w:rsidRPr="007F52FA">
        <w:rPr>
          <w:color w:val="000000"/>
          <w:sz w:val="24"/>
        </w:rPr>
        <w:t>，</w:t>
      </w:r>
      <w:r w:rsidR="00546305">
        <w:rPr>
          <w:rFonts w:hint="eastAsia"/>
          <w:color w:val="000000"/>
          <w:sz w:val="24"/>
        </w:rPr>
        <w:t>本基金</w:t>
      </w:r>
      <w:r w:rsidR="00546305">
        <w:rPr>
          <w:color w:val="000000"/>
          <w:sz w:val="24"/>
        </w:rPr>
        <w:t>的</w:t>
      </w:r>
      <w:r w:rsidR="00546305" w:rsidRPr="007F52FA">
        <w:rPr>
          <w:color w:val="000000"/>
          <w:sz w:val="24"/>
        </w:rPr>
        <w:t>业绩比较基准</w:t>
      </w:r>
      <w:r w:rsidRPr="007F52FA">
        <w:rPr>
          <w:color w:val="000000"/>
          <w:sz w:val="24"/>
        </w:rPr>
        <w:t>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2532C">
        <w:trPr>
          <w:jc w:val="center"/>
        </w:trPr>
        <w:tc>
          <w:tcPr>
            <w:tcW w:w="1266" w:type="dxa"/>
            <w:vAlign w:val="center"/>
          </w:tcPr>
          <w:p w:rsidR="00B2532C" w:rsidRDefault="0031260D">
            <w:pPr>
              <w:jc w:val="left"/>
            </w:pPr>
            <w:r>
              <w:rPr>
                <w:color w:val="000000"/>
                <w:sz w:val="24"/>
              </w:rPr>
              <w:t>过去三个月</w:t>
            </w:r>
          </w:p>
        </w:tc>
        <w:tc>
          <w:tcPr>
            <w:tcW w:w="1267" w:type="dxa"/>
            <w:vAlign w:val="center"/>
          </w:tcPr>
          <w:p w:rsidR="00B2532C" w:rsidRDefault="0031260D">
            <w:pPr>
              <w:jc w:val="center"/>
            </w:pPr>
            <w:r>
              <w:rPr>
                <w:color w:val="000000"/>
                <w:sz w:val="24"/>
              </w:rPr>
              <w:t>0.29%</w:t>
            </w:r>
          </w:p>
        </w:tc>
        <w:tc>
          <w:tcPr>
            <w:tcW w:w="1267" w:type="dxa"/>
            <w:vAlign w:val="center"/>
          </w:tcPr>
          <w:p w:rsidR="00B2532C" w:rsidRDefault="0031260D">
            <w:pPr>
              <w:jc w:val="center"/>
            </w:pPr>
            <w:r>
              <w:rPr>
                <w:color w:val="000000"/>
                <w:sz w:val="24"/>
              </w:rPr>
              <w:t>0.03%</w:t>
            </w:r>
          </w:p>
        </w:tc>
        <w:tc>
          <w:tcPr>
            <w:tcW w:w="1267" w:type="dxa"/>
            <w:vAlign w:val="center"/>
          </w:tcPr>
          <w:p w:rsidR="00B2532C" w:rsidRDefault="00AE3305">
            <w:pPr>
              <w:jc w:val="center"/>
            </w:pPr>
            <w:r>
              <w:rPr>
                <w:color w:val="000000"/>
                <w:sz w:val="24"/>
              </w:rPr>
              <w:t>1.47</w:t>
            </w:r>
            <w:r w:rsidR="0031260D">
              <w:rPr>
                <w:color w:val="000000"/>
                <w:sz w:val="24"/>
              </w:rPr>
              <w:t>%</w:t>
            </w:r>
          </w:p>
        </w:tc>
        <w:tc>
          <w:tcPr>
            <w:tcW w:w="1267" w:type="dxa"/>
            <w:vAlign w:val="center"/>
          </w:tcPr>
          <w:p w:rsidR="00B2532C" w:rsidRDefault="0031260D">
            <w:pPr>
              <w:jc w:val="center"/>
            </w:pPr>
            <w:r>
              <w:rPr>
                <w:color w:val="000000"/>
                <w:sz w:val="24"/>
              </w:rPr>
              <w:t>0.07%</w:t>
            </w:r>
          </w:p>
        </w:tc>
        <w:tc>
          <w:tcPr>
            <w:tcW w:w="1267" w:type="dxa"/>
            <w:vAlign w:val="center"/>
          </w:tcPr>
          <w:p w:rsidR="00B2532C" w:rsidRDefault="00B80B34">
            <w:pPr>
              <w:jc w:val="center"/>
            </w:pPr>
            <w:r>
              <w:rPr>
                <w:color w:val="000000"/>
                <w:sz w:val="24"/>
              </w:rPr>
              <w:t>-</w:t>
            </w:r>
            <w:r w:rsidR="00AE3305">
              <w:rPr>
                <w:color w:val="000000"/>
                <w:sz w:val="24"/>
              </w:rPr>
              <w:t>1.18</w:t>
            </w:r>
            <w:r w:rsidR="0031260D">
              <w:rPr>
                <w:color w:val="000000"/>
                <w:sz w:val="24"/>
              </w:rPr>
              <w:t>%</w:t>
            </w:r>
          </w:p>
        </w:tc>
        <w:tc>
          <w:tcPr>
            <w:tcW w:w="1267" w:type="dxa"/>
            <w:vAlign w:val="center"/>
          </w:tcPr>
          <w:p w:rsidR="00B2532C" w:rsidRDefault="0031260D">
            <w:pPr>
              <w:jc w:val="center"/>
            </w:pPr>
            <w:r>
              <w:rPr>
                <w:color w:val="000000"/>
                <w:sz w:val="24"/>
              </w:rPr>
              <w:t>-0.04%</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w:t>
      </w:r>
      <w:r w:rsidR="00546305">
        <w:rPr>
          <w:rFonts w:hint="eastAsia"/>
          <w:color w:val="000000"/>
          <w:sz w:val="24"/>
        </w:rPr>
        <w:t>转为</w:t>
      </w:r>
      <w:r w:rsidR="00546305">
        <w:rPr>
          <w:color w:val="000000"/>
          <w:sz w:val="24"/>
        </w:rPr>
        <w:t>开放式运作</w:t>
      </w:r>
      <w:r w:rsidRPr="007F52FA">
        <w:rPr>
          <w:color w:val="000000"/>
          <w:sz w:val="24"/>
        </w:rPr>
        <w:t>，</w:t>
      </w:r>
      <w:r w:rsidR="00546305">
        <w:rPr>
          <w:rFonts w:hint="eastAsia"/>
          <w:color w:val="000000"/>
          <w:sz w:val="24"/>
        </w:rPr>
        <w:t>本基金</w:t>
      </w:r>
      <w:r w:rsidR="00546305">
        <w:rPr>
          <w:color w:val="000000"/>
          <w:sz w:val="24"/>
        </w:rPr>
        <w:t>的</w:t>
      </w:r>
      <w:r w:rsidR="00546305" w:rsidRPr="007F52FA">
        <w:rPr>
          <w:color w:val="000000"/>
          <w:sz w:val="24"/>
        </w:rPr>
        <w:t>业绩比较基准</w:t>
      </w:r>
      <w:r w:rsidRPr="007F52FA">
        <w:rPr>
          <w:color w:val="000000"/>
          <w:sz w:val="24"/>
        </w:rPr>
        <w:t>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2532C">
        <w:trPr>
          <w:jc w:val="center"/>
        </w:trPr>
        <w:tc>
          <w:tcPr>
            <w:tcW w:w="946" w:type="dxa"/>
            <w:vAlign w:val="center"/>
          </w:tcPr>
          <w:p w:rsidR="00B2532C" w:rsidRDefault="0031260D">
            <w:pPr>
              <w:jc w:val="center"/>
            </w:pPr>
            <w:r>
              <w:rPr>
                <w:color w:val="000000"/>
                <w:sz w:val="24"/>
              </w:rPr>
              <w:t>孙超</w:t>
            </w:r>
          </w:p>
        </w:tc>
        <w:tc>
          <w:tcPr>
            <w:tcW w:w="924" w:type="dxa"/>
            <w:vAlign w:val="center"/>
          </w:tcPr>
          <w:p w:rsidR="00B2532C" w:rsidRDefault="0031260D">
            <w:pPr>
              <w:jc w:val="center"/>
            </w:pPr>
            <w:r>
              <w:rPr>
                <w:color w:val="000000"/>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202" w:type="dxa"/>
            <w:vAlign w:val="center"/>
          </w:tcPr>
          <w:p w:rsidR="00B2532C" w:rsidRDefault="0031260D">
            <w:pPr>
              <w:jc w:val="center"/>
            </w:pPr>
            <w:r>
              <w:rPr>
                <w:color w:val="000000"/>
                <w:sz w:val="24"/>
              </w:rPr>
              <w:t>2014-12-15</w:t>
            </w:r>
          </w:p>
        </w:tc>
        <w:tc>
          <w:tcPr>
            <w:tcW w:w="1300" w:type="dxa"/>
            <w:vAlign w:val="center"/>
          </w:tcPr>
          <w:p w:rsidR="00B2532C" w:rsidRDefault="0031260D">
            <w:pPr>
              <w:jc w:val="center"/>
            </w:pPr>
            <w:r>
              <w:rPr>
                <w:color w:val="000000"/>
                <w:sz w:val="24"/>
              </w:rPr>
              <w:t>-</w:t>
            </w:r>
          </w:p>
        </w:tc>
        <w:tc>
          <w:tcPr>
            <w:tcW w:w="1245" w:type="dxa"/>
            <w:vAlign w:val="center"/>
          </w:tcPr>
          <w:p w:rsidR="00B2532C" w:rsidRDefault="0031260D">
            <w:pPr>
              <w:jc w:val="center"/>
            </w:pPr>
            <w:r>
              <w:rPr>
                <w:color w:val="000000"/>
                <w:sz w:val="24"/>
              </w:rPr>
              <w:t>5</w:t>
            </w:r>
            <w:r>
              <w:rPr>
                <w:color w:val="000000"/>
                <w:sz w:val="24"/>
              </w:rPr>
              <w:t>年</w:t>
            </w:r>
          </w:p>
        </w:tc>
        <w:tc>
          <w:tcPr>
            <w:tcW w:w="3251" w:type="dxa"/>
            <w:vAlign w:val="center"/>
          </w:tcPr>
          <w:p w:rsidR="00B2532C" w:rsidRDefault="0031260D">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497DD0">
              <w:rPr>
                <w:rFonts w:hint="eastAsia"/>
                <w:color w:val="000000"/>
                <w:sz w:val="24"/>
              </w:rPr>
              <w:t>基金</w:t>
            </w:r>
            <w:r w:rsidR="00497DD0">
              <w:rPr>
                <w:color w:val="000000"/>
                <w:sz w:val="24"/>
              </w:rPr>
              <w:t>经理</w:t>
            </w:r>
            <w:r>
              <w:rPr>
                <w:color w:val="000000"/>
                <w:sz w:val="24"/>
              </w:rPr>
              <w:t>。</w:t>
            </w:r>
          </w:p>
        </w:tc>
      </w:tr>
      <w:tr w:rsidR="00B2532C">
        <w:trPr>
          <w:jc w:val="center"/>
        </w:trPr>
        <w:tc>
          <w:tcPr>
            <w:tcW w:w="946" w:type="dxa"/>
            <w:vAlign w:val="center"/>
          </w:tcPr>
          <w:p w:rsidR="00B2532C" w:rsidRDefault="0031260D">
            <w:pPr>
              <w:jc w:val="center"/>
            </w:pPr>
            <w:r>
              <w:rPr>
                <w:color w:val="000000"/>
                <w:sz w:val="24"/>
              </w:rPr>
              <w:t>连端清</w:t>
            </w:r>
          </w:p>
        </w:tc>
        <w:tc>
          <w:tcPr>
            <w:tcW w:w="924" w:type="dxa"/>
            <w:vAlign w:val="center"/>
          </w:tcPr>
          <w:p w:rsidR="00B2532C" w:rsidRDefault="0031260D">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天债券、交银丰盈收益债券、交银现金宝货币、交银丰润收益债券、交银活期通货币、交银天利宝货币、交银裕隆纯债债券、交银天鑫宝货币、交银天益宝货币的基金经理</w:t>
            </w:r>
          </w:p>
        </w:tc>
        <w:tc>
          <w:tcPr>
            <w:tcW w:w="1202" w:type="dxa"/>
            <w:vAlign w:val="center"/>
          </w:tcPr>
          <w:p w:rsidR="00B2532C" w:rsidRDefault="0031260D">
            <w:pPr>
              <w:jc w:val="center"/>
            </w:pPr>
            <w:r>
              <w:rPr>
                <w:color w:val="000000"/>
                <w:sz w:val="24"/>
              </w:rPr>
              <w:t>2015-08-04</w:t>
            </w:r>
          </w:p>
        </w:tc>
        <w:tc>
          <w:tcPr>
            <w:tcW w:w="1300" w:type="dxa"/>
            <w:vAlign w:val="center"/>
          </w:tcPr>
          <w:p w:rsidR="00B2532C" w:rsidRDefault="0031260D">
            <w:pPr>
              <w:jc w:val="center"/>
            </w:pPr>
            <w:r>
              <w:rPr>
                <w:color w:val="000000"/>
                <w:sz w:val="24"/>
              </w:rPr>
              <w:t>-</w:t>
            </w:r>
          </w:p>
        </w:tc>
        <w:tc>
          <w:tcPr>
            <w:tcW w:w="1245" w:type="dxa"/>
            <w:vAlign w:val="center"/>
          </w:tcPr>
          <w:p w:rsidR="00B2532C" w:rsidRDefault="0031260D">
            <w:pPr>
              <w:jc w:val="center"/>
            </w:pPr>
            <w:r>
              <w:rPr>
                <w:color w:val="000000"/>
                <w:sz w:val="24"/>
              </w:rPr>
              <w:t>5</w:t>
            </w:r>
            <w:r>
              <w:rPr>
                <w:color w:val="000000"/>
                <w:sz w:val="24"/>
              </w:rPr>
              <w:t>年</w:t>
            </w:r>
          </w:p>
        </w:tc>
        <w:tc>
          <w:tcPr>
            <w:tcW w:w="3251" w:type="dxa"/>
            <w:vAlign w:val="center"/>
          </w:tcPr>
          <w:p w:rsidR="00B2532C" w:rsidRDefault="0031260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2532C" w:rsidRDefault="0031260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532C" w:rsidRDefault="0031260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2532C" w:rsidRDefault="0031260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2532C" w:rsidRDefault="0031260D">
      <w:pPr>
        <w:spacing w:before="29" w:line="288" w:lineRule="auto"/>
        <w:ind w:firstLineChars="200" w:firstLine="480"/>
        <w:rPr>
          <w:color w:val="000000"/>
          <w:sz w:val="24"/>
        </w:rPr>
      </w:pPr>
      <w:r>
        <w:rPr>
          <w:color w:val="000000"/>
          <w:sz w:val="24"/>
        </w:rPr>
        <w:t>2016</w:t>
      </w:r>
      <w:r>
        <w:rPr>
          <w:color w:val="000000"/>
          <w:sz w:val="24"/>
        </w:rPr>
        <w:t>年四季度，国内经济整体上依旧弱势平稳。尽管国庆长假期间多个城市重启限贷限购政策以抑制楼市泡沫，后续部分城市跟进加码调控，狂热的楼市有所降温，但这次调控对房地产销售、新开工面积及房地产投资增速的负面冲击至今相对比较温和，</w:t>
      </w:r>
      <w:r>
        <w:rPr>
          <w:color w:val="000000"/>
          <w:sz w:val="24"/>
        </w:rPr>
        <w:t>11</w:t>
      </w:r>
      <w:r>
        <w:rPr>
          <w:color w:val="000000"/>
          <w:sz w:val="24"/>
        </w:rPr>
        <w:t>月份房地产投资增速较</w:t>
      </w:r>
      <w:r>
        <w:rPr>
          <w:color w:val="000000"/>
          <w:sz w:val="24"/>
        </w:rPr>
        <w:t>10</w:t>
      </w:r>
      <w:r>
        <w:rPr>
          <w:color w:val="000000"/>
          <w:sz w:val="24"/>
        </w:rPr>
        <w:t>月份仅回落</w:t>
      </w:r>
      <w:r>
        <w:rPr>
          <w:color w:val="000000"/>
          <w:sz w:val="24"/>
        </w:rPr>
        <w:t>0.1</w:t>
      </w:r>
      <w:r>
        <w:rPr>
          <w:color w:val="000000"/>
          <w:sz w:val="24"/>
        </w:rPr>
        <w:t>个百分点。制造业投资增速反而小幅回升。</w:t>
      </w:r>
      <w:r>
        <w:rPr>
          <w:color w:val="000000"/>
          <w:sz w:val="24"/>
        </w:rPr>
        <w:t>PPI</w:t>
      </w:r>
      <w:r>
        <w:rPr>
          <w:color w:val="000000"/>
          <w:sz w:val="24"/>
        </w:rPr>
        <w:t>继续回升，</w:t>
      </w:r>
      <w:r>
        <w:rPr>
          <w:color w:val="000000"/>
          <w:sz w:val="24"/>
        </w:rPr>
        <w:t>CPI</w:t>
      </w:r>
      <w:r>
        <w:rPr>
          <w:color w:val="000000"/>
          <w:sz w:val="24"/>
        </w:rPr>
        <w:t>重回至</w:t>
      </w:r>
      <w:r>
        <w:rPr>
          <w:color w:val="000000"/>
          <w:sz w:val="24"/>
        </w:rPr>
        <w:t>2%</w:t>
      </w:r>
      <w:r>
        <w:rPr>
          <w:color w:val="000000"/>
          <w:sz w:val="24"/>
        </w:rPr>
        <w:t>以上。在宏观经济层面企稳持续的大背景支撑下，央行货币政策操作向稳健偏紧方向回归，以抑制楼市与金融市场的资产价格泡沫。</w:t>
      </w:r>
      <w:r>
        <w:rPr>
          <w:color w:val="000000"/>
          <w:sz w:val="24"/>
        </w:rPr>
        <w:t>11</w:t>
      </w:r>
      <w:r>
        <w:rPr>
          <w:color w:val="000000"/>
          <w:sz w:val="24"/>
        </w:rPr>
        <w:t>月央行公开市场净投放大幅缩减至</w:t>
      </w:r>
      <w:r>
        <w:rPr>
          <w:color w:val="000000"/>
          <w:sz w:val="24"/>
        </w:rPr>
        <w:t>150</w:t>
      </w:r>
      <w:r>
        <w:rPr>
          <w:color w:val="000000"/>
          <w:sz w:val="24"/>
        </w:rPr>
        <w:t>亿，并且在</w:t>
      </w:r>
      <w:r>
        <w:rPr>
          <w:color w:val="000000"/>
          <w:sz w:val="24"/>
        </w:rPr>
        <w:t>12</w:t>
      </w:r>
      <w:r>
        <w:rPr>
          <w:color w:val="000000"/>
          <w:sz w:val="24"/>
        </w:rPr>
        <w:t>月净回笼高达</w:t>
      </w:r>
      <w:r>
        <w:rPr>
          <w:color w:val="000000"/>
          <w:sz w:val="24"/>
        </w:rPr>
        <w:t>1450</w:t>
      </w:r>
      <w:r>
        <w:rPr>
          <w:color w:val="000000"/>
          <w:sz w:val="24"/>
        </w:rPr>
        <w:t>亿。四季度公开市场净投放</w:t>
      </w:r>
      <w:r>
        <w:rPr>
          <w:color w:val="000000"/>
          <w:sz w:val="24"/>
        </w:rPr>
        <w:t>3114</w:t>
      </w:r>
      <w:r>
        <w:rPr>
          <w:color w:val="000000"/>
          <w:sz w:val="24"/>
        </w:rPr>
        <w:t>亿，较三季度减少</w:t>
      </w:r>
      <w:r>
        <w:rPr>
          <w:color w:val="000000"/>
          <w:sz w:val="24"/>
        </w:rPr>
        <w:t>1544</w:t>
      </w:r>
      <w:r>
        <w:rPr>
          <w:color w:val="000000"/>
          <w:sz w:val="24"/>
        </w:rPr>
        <w:t>亿。</w:t>
      </w:r>
    </w:p>
    <w:p w:rsidR="00B2532C" w:rsidRDefault="0031260D">
      <w:pPr>
        <w:spacing w:before="29" w:line="288" w:lineRule="auto"/>
        <w:ind w:firstLineChars="200" w:firstLine="480"/>
        <w:rPr>
          <w:color w:val="000000"/>
          <w:sz w:val="24"/>
        </w:rPr>
      </w:pPr>
      <w:r>
        <w:rPr>
          <w:color w:val="000000"/>
          <w:sz w:val="24"/>
        </w:rPr>
        <w:t>资金面上，受央行减少公开市场投放、银行高价吸收同业资金以及机构跨年等因素影响，四季度大部分交易日市场资金面处于紧张状态，</w:t>
      </w:r>
      <w:r>
        <w:rPr>
          <w:color w:val="000000"/>
          <w:sz w:val="24"/>
        </w:rPr>
        <w:t>10</w:t>
      </w:r>
      <w:r>
        <w:rPr>
          <w:color w:val="000000"/>
          <w:sz w:val="24"/>
        </w:rPr>
        <w:t>月中旬开始市场资金面趋紧，尤其在</w:t>
      </w:r>
      <w:r>
        <w:rPr>
          <w:color w:val="000000"/>
          <w:sz w:val="24"/>
        </w:rPr>
        <w:t>11</w:t>
      </w:r>
      <w:r>
        <w:rPr>
          <w:color w:val="000000"/>
          <w:sz w:val="24"/>
        </w:rPr>
        <w:t>月中旬至</w:t>
      </w:r>
      <w:r>
        <w:rPr>
          <w:color w:val="000000"/>
          <w:sz w:val="24"/>
        </w:rPr>
        <w:t>11</w:t>
      </w:r>
      <w:r>
        <w:rPr>
          <w:color w:val="000000"/>
          <w:sz w:val="24"/>
        </w:rPr>
        <w:t>月底以及</w:t>
      </w:r>
      <w:r>
        <w:rPr>
          <w:color w:val="000000"/>
          <w:sz w:val="24"/>
        </w:rPr>
        <w:t>12</w:t>
      </w:r>
      <w:r>
        <w:rPr>
          <w:color w:val="000000"/>
          <w:sz w:val="24"/>
        </w:rPr>
        <w:t>月中旬资金面非常紧张，资金价格中枢大幅上行。在资金面异常紧张之下，叠加宏观经济表现依旧平稳等因素冲击，债市在</w:t>
      </w:r>
      <w:r>
        <w:rPr>
          <w:color w:val="000000"/>
          <w:sz w:val="24"/>
        </w:rPr>
        <w:t>11</w:t>
      </w:r>
      <w:r>
        <w:rPr>
          <w:color w:val="000000"/>
          <w:sz w:val="24"/>
        </w:rPr>
        <w:t>月与</w:t>
      </w:r>
      <w:r>
        <w:rPr>
          <w:color w:val="000000"/>
          <w:sz w:val="24"/>
        </w:rPr>
        <w:t>12</w:t>
      </w:r>
      <w:r>
        <w:rPr>
          <w:color w:val="000000"/>
          <w:sz w:val="24"/>
        </w:rPr>
        <w:t>月遭受大幅调整。</w:t>
      </w:r>
      <w:r>
        <w:rPr>
          <w:color w:val="000000"/>
          <w:sz w:val="24"/>
        </w:rPr>
        <w:t>12</w:t>
      </w:r>
      <w:r>
        <w:rPr>
          <w:color w:val="000000"/>
          <w:sz w:val="24"/>
        </w:rPr>
        <w:t>月底，</w:t>
      </w:r>
      <w:r>
        <w:rPr>
          <w:color w:val="000000"/>
          <w:sz w:val="24"/>
        </w:rPr>
        <w:t>1</w:t>
      </w:r>
      <w:r>
        <w:rPr>
          <w:color w:val="000000"/>
          <w:sz w:val="24"/>
        </w:rPr>
        <w:t>年期与</w:t>
      </w:r>
      <w:r>
        <w:rPr>
          <w:color w:val="000000"/>
          <w:sz w:val="24"/>
        </w:rPr>
        <w:t>3</w:t>
      </w:r>
      <w:r>
        <w:rPr>
          <w:color w:val="000000"/>
          <w:sz w:val="24"/>
        </w:rPr>
        <w:t>年期</w:t>
      </w:r>
      <w:r>
        <w:rPr>
          <w:color w:val="000000"/>
          <w:sz w:val="24"/>
        </w:rPr>
        <w:t>AAA</w:t>
      </w:r>
      <w:r>
        <w:rPr>
          <w:color w:val="000000"/>
          <w:sz w:val="24"/>
        </w:rPr>
        <w:t>信用债</w:t>
      </w:r>
      <w:r>
        <w:rPr>
          <w:color w:val="000000"/>
          <w:sz w:val="24"/>
        </w:rPr>
        <w:t>YTM</w:t>
      </w:r>
      <w:r>
        <w:rPr>
          <w:color w:val="000000"/>
          <w:sz w:val="24"/>
        </w:rPr>
        <w:t>较三季度末分别上行</w:t>
      </w:r>
      <w:r>
        <w:rPr>
          <w:color w:val="000000"/>
          <w:sz w:val="24"/>
        </w:rPr>
        <w:t>107</w:t>
      </w:r>
      <w:r>
        <w:rPr>
          <w:color w:val="000000"/>
          <w:sz w:val="24"/>
        </w:rPr>
        <w:t>个</w:t>
      </w:r>
      <w:r>
        <w:rPr>
          <w:color w:val="000000"/>
          <w:sz w:val="24"/>
        </w:rPr>
        <w:t>BP</w:t>
      </w:r>
      <w:r>
        <w:rPr>
          <w:color w:val="000000"/>
          <w:sz w:val="24"/>
        </w:rPr>
        <w:t>与</w:t>
      </w:r>
      <w:r>
        <w:rPr>
          <w:color w:val="000000"/>
          <w:sz w:val="24"/>
        </w:rPr>
        <w:t>93</w:t>
      </w:r>
      <w:r>
        <w:rPr>
          <w:color w:val="000000"/>
          <w:sz w:val="24"/>
        </w:rPr>
        <w:t>个</w:t>
      </w:r>
      <w:r>
        <w:rPr>
          <w:color w:val="000000"/>
          <w:sz w:val="24"/>
        </w:rPr>
        <w:t>BP</w:t>
      </w:r>
      <w:r>
        <w:rPr>
          <w:color w:val="000000"/>
          <w:sz w:val="24"/>
        </w:rPr>
        <w:t>以上，</w:t>
      </w:r>
      <w:r>
        <w:rPr>
          <w:color w:val="000000"/>
          <w:sz w:val="24"/>
        </w:rPr>
        <w:t>1</w:t>
      </w:r>
      <w:r>
        <w:rPr>
          <w:color w:val="000000"/>
          <w:sz w:val="24"/>
        </w:rPr>
        <w:t>年期与</w:t>
      </w:r>
      <w:r>
        <w:rPr>
          <w:color w:val="000000"/>
          <w:sz w:val="24"/>
        </w:rPr>
        <w:t>10</w:t>
      </w:r>
      <w:r>
        <w:rPr>
          <w:color w:val="000000"/>
          <w:sz w:val="24"/>
        </w:rPr>
        <w:t>年期国开债较三季度末分别上行</w:t>
      </w:r>
      <w:r>
        <w:rPr>
          <w:color w:val="000000"/>
          <w:sz w:val="24"/>
        </w:rPr>
        <w:t>90</w:t>
      </w:r>
      <w:r>
        <w:rPr>
          <w:color w:val="000000"/>
          <w:sz w:val="24"/>
        </w:rPr>
        <w:t>个</w:t>
      </w:r>
      <w:r>
        <w:rPr>
          <w:color w:val="000000"/>
          <w:sz w:val="24"/>
        </w:rPr>
        <w:t>BP</w:t>
      </w:r>
      <w:r>
        <w:rPr>
          <w:color w:val="000000"/>
          <w:sz w:val="24"/>
        </w:rPr>
        <w:t>与</w:t>
      </w:r>
      <w:r>
        <w:rPr>
          <w:color w:val="000000"/>
          <w:sz w:val="24"/>
        </w:rPr>
        <w:t>62</w:t>
      </w:r>
      <w:r>
        <w:rPr>
          <w:color w:val="000000"/>
          <w:sz w:val="24"/>
        </w:rPr>
        <w:t>个</w:t>
      </w:r>
      <w:r>
        <w:rPr>
          <w:color w:val="000000"/>
          <w:sz w:val="24"/>
        </w:rPr>
        <w:t>BP</w:t>
      </w:r>
      <w:r>
        <w:rPr>
          <w:color w:val="000000"/>
          <w:sz w:val="24"/>
        </w:rPr>
        <w:t>以上。</w:t>
      </w:r>
    </w:p>
    <w:p w:rsidR="00B2532C" w:rsidRDefault="0031260D">
      <w:pPr>
        <w:spacing w:before="29" w:line="288" w:lineRule="auto"/>
        <w:ind w:firstLineChars="200" w:firstLine="480"/>
        <w:rPr>
          <w:color w:val="000000"/>
          <w:sz w:val="24"/>
        </w:rPr>
      </w:pPr>
      <w:r>
        <w:rPr>
          <w:color w:val="000000"/>
          <w:sz w:val="24"/>
        </w:rPr>
        <w:t>基金操作方面，报告期内本基金及时减持债券，锁定投资收益，回笼资金顺利应付赎回。</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2017</w:t>
      </w:r>
      <w:r w:rsidRPr="007F52FA">
        <w:rPr>
          <w:color w:val="000000"/>
          <w:sz w:val="24"/>
        </w:rPr>
        <w:t>年一季度，考虑</w:t>
      </w:r>
      <w:r w:rsidRPr="007F52FA">
        <w:rPr>
          <w:color w:val="000000"/>
          <w:sz w:val="24"/>
        </w:rPr>
        <w:t>2016</w:t>
      </w:r>
      <w:r w:rsidRPr="007F52FA">
        <w:rPr>
          <w:color w:val="000000"/>
          <w:sz w:val="24"/>
        </w:rPr>
        <w:t>年国庆至本报告期末楼市调控政策的影响相对温和，后续房地产投资可能继续走弱但短期内下行幅度有限，国内经济有下行压力但幅度相对温和的概率较高。</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月中旬，中央经济工作会议明确提出</w:t>
      </w:r>
      <w:r w:rsidRPr="007F52FA">
        <w:rPr>
          <w:color w:val="000000"/>
          <w:sz w:val="24"/>
        </w:rPr>
        <w:t>“</w:t>
      </w:r>
      <w:r w:rsidRPr="007F52FA">
        <w:rPr>
          <w:color w:val="000000"/>
          <w:sz w:val="24"/>
        </w:rPr>
        <w:t>货币政策要保持稳健中性</w:t>
      </w:r>
      <w:r w:rsidRPr="007F52FA">
        <w:rPr>
          <w:color w:val="000000"/>
          <w:sz w:val="24"/>
        </w:rPr>
        <w:t>……</w:t>
      </w:r>
      <w:r w:rsidRPr="007F52FA">
        <w:rPr>
          <w:color w:val="000000"/>
          <w:sz w:val="24"/>
        </w:rPr>
        <w:t>要把防控金融风险放到更加重要的位置</w:t>
      </w:r>
      <w:r w:rsidRPr="007F52FA">
        <w:rPr>
          <w:color w:val="000000"/>
          <w:sz w:val="24"/>
        </w:rPr>
        <w:t>……</w:t>
      </w:r>
      <w:r w:rsidRPr="007F52FA">
        <w:rPr>
          <w:color w:val="000000"/>
          <w:sz w:val="24"/>
        </w:rPr>
        <w:t>着力防控资产泡沫</w:t>
      </w:r>
      <w:r w:rsidRPr="007F52FA">
        <w:rPr>
          <w:color w:val="000000"/>
          <w:sz w:val="24"/>
        </w:rPr>
        <w:t>……</w:t>
      </w:r>
      <w:r w:rsidRPr="007F52FA">
        <w:rPr>
          <w:color w:val="000000"/>
          <w:sz w:val="24"/>
        </w:rPr>
        <w:t>既抑制房地产泡沫，又防止出现大起大落。</w:t>
      </w:r>
      <w:r w:rsidRPr="007F52FA">
        <w:rPr>
          <w:color w:val="000000"/>
          <w:sz w:val="24"/>
        </w:rPr>
        <w:t>”</w:t>
      </w:r>
      <w:r w:rsidRPr="007F52FA">
        <w:rPr>
          <w:color w:val="000000"/>
          <w:sz w:val="24"/>
        </w:rPr>
        <w:t>在宏观经济相对平稳且政策诉求明确的背景下，央行货币政策短期内可能更倾向于抑制资产价格泡沫为主，叠加人民币贬值压力，除非经济下行风险超预期，否则预计短期内央行将以稳健偏紧的货币政策为主。组合管理方面，本基金将密切关注国内房地产市场与宏观经济走势、跟踪央行货币政策动态，尽力控制信用风险、久期与杠杆水平，努力为投资者创造较为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1.011</w:t>
      </w:r>
      <w:r w:rsidRPr="007F52FA">
        <w:rPr>
          <w:color w:val="000000"/>
          <w:sz w:val="24"/>
        </w:rPr>
        <w:t>元，本报告期份额净值增长率为</w:t>
      </w:r>
      <w:r w:rsidRPr="007F52FA">
        <w:rPr>
          <w:color w:val="000000"/>
          <w:sz w:val="24"/>
        </w:rPr>
        <w:t>0.48%</w:t>
      </w:r>
      <w:r w:rsidRPr="007F52FA">
        <w:rPr>
          <w:color w:val="000000"/>
          <w:sz w:val="24"/>
        </w:rPr>
        <w:t>，同期业绩比较基准增长率为</w:t>
      </w:r>
      <w:r w:rsidRPr="007F52FA">
        <w:rPr>
          <w:color w:val="000000"/>
          <w:sz w:val="24"/>
        </w:rPr>
        <w:t>1.47%</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1.009</w:t>
      </w:r>
      <w:r w:rsidRPr="007F52FA">
        <w:rPr>
          <w:color w:val="000000"/>
          <w:sz w:val="24"/>
        </w:rPr>
        <w:t>元，本报告期份额净值增长率为</w:t>
      </w:r>
      <w:r w:rsidRPr="007F52FA">
        <w:rPr>
          <w:color w:val="000000"/>
          <w:sz w:val="24"/>
        </w:rPr>
        <w:t>0.29%</w:t>
      </w:r>
      <w:r w:rsidRPr="007F52FA">
        <w:rPr>
          <w:color w:val="000000"/>
          <w:sz w:val="24"/>
        </w:rPr>
        <w:t>，同期业绩比较基准增长率为</w:t>
      </w:r>
      <w:r w:rsidR="00D741B6">
        <w:rPr>
          <w:rFonts w:hint="eastAsia"/>
          <w:color w:val="000000"/>
          <w:sz w:val="24"/>
        </w:rPr>
        <w:t>1.47</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30,180,000.00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36.01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30,180,000.00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36.01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54.88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2,385,780.22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5,251,823.51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6.27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83,817,603.73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30,180,000.00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37.79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30,180,000.00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37.79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30,180,000.00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2532C">
        <w:trPr>
          <w:jc w:val="center"/>
        </w:trPr>
        <w:tc>
          <w:tcPr>
            <w:tcW w:w="1075" w:type="dxa"/>
            <w:vAlign w:val="center"/>
          </w:tcPr>
          <w:p w:rsidR="00B2532C" w:rsidRDefault="0031260D">
            <w:pPr>
              <w:jc w:val="center"/>
            </w:pPr>
            <w:r>
              <w:rPr>
                <w:color w:val="000000"/>
                <w:sz w:val="24"/>
              </w:rPr>
              <w:t>1</w:t>
            </w:r>
          </w:p>
        </w:tc>
        <w:tc>
          <w:tcPr>
            <w:tcW w:w="1533" w:type="dxa"/>
            <w:vAlign w:val="center"/>
          </w:tcPr>
          <w:p w:rsidR="00B2532C" w:rsidRDefault="0031260D">
            <w:pPr>
              <w:jc w:val="center"/>
            </w:pPr>
            <w:r>
              <w:rPr>
                <w:color w:val="000000"/>
                <w:sz w:val="24"/>
              </w:rPr>
              <w:t>140208</w:t>
            </w:r>
          </w:p>
        </w:tc>
        <w:tc>
          <w:tcPr>
            <w:tcW w:w="1533" w:type="dxa"/>
            <w:vAlign w:val="center"/>
          </w:tcPr>
          <w:p w:rsidR="00B2532C" w:rsidRDefault="0031260D">
            <w:pPr>
              <w:jc w:val="center"/>
            </w:pPr>
            <w:r>
              <w:rPr>
                <w:color w:val="000000"/>
                <w:sz w:val="24"/>
              </w:rPr>
              <w:t>14</w:t>
            </w:r>
            <w:r>
              <w:rPr>
                <w:color w:val="000000"/>
                <w:sz w:val="24"/>
              </w:rPr>
              <w:t>国开</w:t>
            </w:r>
            <w:r>
              <w:rPr>
                <w:color w:val="000000"/>
                <w:sz w:val="24"/>
              </w:rPr>
              <w:t>08</w:t>
            </w:r>
          </w:p>
        </w:tc>
        <w:tc>
          <w:tcPr>
            <w:tcW w:w="1394" w:type="dxa"/>
            <w:vAlign w:val="center"/>
          </w:tcPr>
          <w:p w:rsidR="00B2532C" w:rsidRDefault="0031260D">
            <w:pPr>
              <w:jc w:val="right"/>
            </w:pPr>
            <w:r>
              <w:rPr>
                <w:color w:val="000000"/>
                <w:sz w:val="24"/>
              </w:rPr>
              <w:t>300,000</w:t>
            </w:r>
          </w:p>
        </w:tc>
        <w:tc>
          <w:tcPr>
            <w:tcW w:w="1944" w:type="dxa"/>
            <w:vAlign w:val="center"/>
          </w:tcPr>
          <w:p w:rsidR="00B2532C" w:rsidRDefault="0031260D">
            <w:pPr>
              <w:jc w:val="right"/>
            </w:pPr>
            <w:r>
              <w:rPr>
                <w:color w:val="000000"/>
                <w:sz w:val="24"/>
              </w:rPr>
              <w:t>30,180,000.00</w:t>
            </w:r>
          </w:p>
        </w:tc>
        <w:tc>
          <w:tcPr>
            <w:tcW w:w="1389" w:type="dxa"/>
            <w:vAlign w:val="center"/>
          </w:tcPr>
          <w:p w:rsidR="00B2532C" w:rsidRDefault="0031260D">
            <w:pPr>
              <w:jc w:val="right"/>
            </w:pPr>
            <w:r>
              <w:rPr>
                <w:color w:val="000000"/>
                <w:sz w:val="24"/>
              </w:rPr>
              <w:t>37.79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59,055.26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4,013,652.78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1,166,176.06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12,939.41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5,251,823.51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402,154,039.59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23,334,238.83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121,226.63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801,060.32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331,628,786.38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15,730,150.03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70,646,479.84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8,405,149.12</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根据本基金基金合同的规定，本基金在基金合同生效之日起两年（含两年）的期间内封闭式运作（按照基金合同的约定提前转换基金运作方式的除外），封闭期结束后转为开放式运作。本基金的封闭期自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15</w:t>
      </w:r>
      <w:r w:rsidRPr="007F52FA">
        <w:rPr>
          <w:rFonts w:eastAsiaTheme="minorEastAsia"/>
          <w:color w:val="000000"/>
          <w:sz w:val="24"/>
        </w:rPr>
        <w:t>日开始至</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15</w:t>
      </w:r>
      <w:r w:rsidRPr="007F52FA">
        <w:rPr>
          <w:rFonts w:eastAsiaTheme="minorEastAsia"/>
          <w:color w:val="000000"/>
          <w:sz w:val="24"/>
        </w:rPr>
        <w:t>日止，自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日起转为开放式运作。本基金在转为开放式运作后，自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日开始办理日常申购、赎回、定期定额投资等业务，并适用基金合同中关于转为开放式运作后的有关规定。详情请查阅本基金管理人于</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9</w:t>
      </w:r>
      <w:r w:rsidRPr="007F52FA">
        <w:rPr>
          <w:rFonts w:eastAsiaTheme="minorEastAsia"/>
          <w:color w:val="000000"/>
          <w:sz w:val="24"/>
        </w:rPr>
        <w:t>日发布的《交银施罗德基金管理有限公司关于交银施罗德丰润收益债券型证券投资基金封闭期结束转为开放式运作的提示性公告》以及</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日发布的《交银施罗德基金管理有限公司关于交银施罗德丰润收益债券型证券投资基金封闭期结束转为开放式运作暨开放日常申购、赎回、定期定额投资业务并参与部分销售机构申购费率优惠活动的公告》。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2532C" w:rsidRDefault="0031260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7DD" w:rsidRDefault="008A17DD">
      <w:r>
        <w:separator/>
      </w:r>
    </w:p>
  </w:endnote>
  <w:endnote w:type="continuationSeparator" w:id="0">
    <w:p w:rsidR="008A17DD" w:rsidRDefault="008A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55173C">
      <w:rPr>
        <w:noProof/>
        <w:kern w:val="0"/>
        <w:szCs w:val="21"/>
      </w:rPr>
      <w:t>13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55173C">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7DD" w:rsidRDefault="008A17DD">
      <w:r>
        <w:separator/>
      </w:r>
    </w:p>
  </w:footnote>
  <w:footnote w:type="continuationSeparator" w:id="0">
    <w:p w:rsidR="008A17DD" w:rsidRDefault="008A1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55173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3F0F"/>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404D"/>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657"/>
    <w:rsid w:val="00185B68"/>
    <w:rsid w:val="00186199"/>
    <w:rsid w:val="001874E3"/>
    <w:rsid w:val="001936D7"/>
    <w:rsid w:val="00194155"/>
    <w:rsid w:val="001949CA"/>
    <w:rsid w:val="00194AD7"/>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260D"/>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97DD0"/>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305"/>
    <w:rsid w:val="0054672F"/>
    <w:rsid w:val="00546CD3"/>
    <w:rsid w:val="00547FA4"/>
    <w:rsid w:val="0055173C"/>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2F9D"/>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17DD"/>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09F"/>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134"/>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305"/>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32C"/>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6963"/>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B34"/>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587D"/>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527"/>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0591"/>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41B6"/>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14A65"/>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7A29961-0DCE-4545-99D7-38049118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DF99E-0B18-498B-B463-B321F2E3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219</TotalTime>
  <Pages>14</Pages>
  <Words>1177</Words>
  <Characters>6713</Characters>
  <Application>Microsoft Office Word</Application>
  <DocSecurity>0</DocSecurity>
  <Lines>55</Lines>
  <Paragraphs>15</Paragraphs>
  <ScaleCrop>false</ScaleCrop>
  <Company>TRT. Ltd. Co.</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384</cp:revision>
  <cp:lastPrinted>2007-07-19T00:46:00Z</cp:lastPrinted>
  <dcterms:created xsi:type="dcterms:W3CDTF">2014-01-17T06:19:00Z</dcterms:created>
  <dcterms:modified xsi:type="dcterms:W3CDTF">2017-01-18T08:39:00Z</dcterms:modified>
</cp:coreProperties>
</file>