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0C2129">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C212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739,400,508.64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728,755,950.79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10,644,557.85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C212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-4,985,351.03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-188,480.03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-11,448,380.84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-680,872.43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760,716,735.50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11,102,895.10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1.043</w:t>
            </w:r>
          </w:p>
        </w:tc>
      </w:tr>
    </w:tbl>
    <w:p w:rsidR="00D96875" w:rsidRDefault="009227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D96875" w:rsidRDefault="009227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E8353B"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9227E7">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227E7" w:rsidRPr="000D481B">
        <w:trPr>
          <w:jc w:val="center"/>
        </w:trPr>
        <w:tc>
          <w:tcPr>
            <w:tcW w:w="1266" w:type="dxa"/>
            <w:vAlign w:val="center"/>
          </w:tcPr>
          <w:p w:rsidR="009227E7" w:rsidRPr="000D481B" w:rsidRDefault="009227E7">
            <w:pPr>
              <w:jc w:val="left"/>
            </w:pPr>
            <w:r w:rsidRPr="000D481B">
              <w:rPr>
                <w:color w:val="000000"/>
                <w:sz w:val="24"/>
              </w:rPr>
              <w:t>过去三个月</w:t>
            </w:r>
          </w:p>
        </w:tc>
        <w:tc>
          <w:tcPr>
            <w:tcW w:w="1267" w:type="dxa"/>
            <w:vAlign w:val="center"/>
          </w:tcPr>
          <w:p w:rsidR="009227E7" w:rsidRPr="005C388D" w:rsidRDefault="009227E7" w:rsidP="009227E7">
            <w:pPr>
              <w:jc w:val="center"/>
              <w:rPr>
                <w:color w:val="000000"/>
                <w:sz w:val="24"/>
              </w:rPr>
            </w:pPr>
            <w:r w:rsidRPr="005C388D">
              <w:rPr>
                <w:color w:val="000000"/>
                <w:sz w:val="24"/>
              </w:rPr>
              <w:t>-3.18%</w:t>
            </w:r>
          </w:p>
        </w:tc>
        <w:tc>
          <w:tcPr>
            <w:tcW w:w="1267" w:type="dxa"/>
            <w:vAlign w:val="center"/>
          </w:tcPr>
          <w:p w:rsidR="009227E7" w:rsidRPr="005C388D" w:rsidRDefault="009227E7" w:rsidP="009227E7">
            <w:pPr>
              <w:jc w:val="center"/>
              <w:rPr>
                <w:color w:val="000000"/>
                <w:sz w:val="24"/>
              </w:rPr>
            </w:pPr>
            <w:r w:rsidRPr="005C388D">
              <w:rPr>
                <w:color w:val="000000"/>
                <w:sz w:val="24"/>
              </w:rPr>
              <w:t>0.27%</w:t>
            </w:r>
          </w:p>
        </w:tc>
        <w:tc>
          <w:tcPr>
            <w:tcW w:w="1267" w:type="dxa"/>
            <w:vAlign w:val="center"/>
          </w:tcPr>
          <w:p w:rsidR="009227E7" w:rsidRPr="005C388D" w:rsidRDefault="009227E7" w:rsidP="009227E7">
            <w:pPr>
              <w:jc w:val="center"/>
              <w:rPr>
                <w:color w:val="000000"/>
                <w:sz w:val="24"/>
              </w:rPr>
            </w:pPr>
            <w:r w:rsidRPr="005C388D">
              <w:rPr>
                <w:color w:val="000000"/>
                <w:sz w:val="24"/>
              </w:rPr>
              <w:t>-2.31%</w:t>
            </w:r>
          </w:p>
        </w:tc>
        <w:tc>
          <w:tcPr>
            <w:tcW w:w="1267" w:type="dxa"/>
            <w:vAlign w:val="center"/>
          </w:tcPr>
          <w:p w:rsidR="009227E7" w:rsidRPr="005C388D" w:rsidRDefault="009227E7" w:rsidP="009227E7">
            <w:pPr>
              <w:jc w:val="center"/>
              <w:rPr>
                <w:color w:val="000000"/>
                <w:sz w:val="24"/>
              </w:rPr>
            </w:pPr>
            <w:r w:rsidRPr="005C388D">
              <w:rPr>
                <w:color w:val="000000"/>
                <w:sz w:val="24"/>
              </w:rPr>
              <w:t>0.15%</w:t>
            </w:r>
          </w:p>
        </w:tc>
        <w:tc>
          <w:tcPr>
            <w:tcW w:w="1267" w:type="dxa"/>
            <w:vAlign w:val="center"/>
          </w:tcPr>
          <w:p w:rsidR="009227E7" w:rsidRPr="005C388D" w:rsidRDefault="009227E7" w:rsidP="009227E7">
            <w:pPr>
              <w:jc w:val="center"/>
              <w:rPr>
                <w:color w:val="000000"/>
                <w:sz w:val="24"/>
              </w:rPr>
            </w:pPr>
            <w:r w:rsidRPr="005C388D">
              <w:rPr>
                <w:color w:val="000000"/>
                <w:sz w:val="24"/>
              </w:rPr>
              <w:t>-0.87%</w:t>
            </w:r>
          </w:p>
        </w:tc>
        <w:tc>
          <w:tcPr>
            <w:tcW w:w="1267" w:type="dxa"/>
            <w:vAlign w:val="center"/>
          </w:tcPr>
          <w:p w:rsidR="009227E7" w:rsidRPr="005C388D" w:rsidRDefault="009227E7" w:rsidP="009227E7">
            <w:pPr>
              <w:jc w:val="center"/>
              <w:rPr>
                <w:color w:val="000000"/>
                <w:sz w:val="24"/>
              </w:rPr>
            </w:pPr>
            <w:r w:rsidRPr="005C388D">
              <w:rPr>
                <w:color w:val="000000"/>
                <w:sz w:val="24"/>
              </w:rPr>
              <w:t>0.12%</w:t>
            </w:r>
          </w:p>
        </w:tc>
      </w:tr>
    </w:tbl>
    <w:p w:rsidR="004425E8" w:rsidRPr="000D481B" w:rsidRDefault="004425E8" w:rsidP="007C14DF">
      <w:pPr>
        <w:pStyle w:val="20"/>
        <w:spacing w:before="29" w:line="288" w:lineRule="auto"/>
        <w:ind w:firstLineChars="0" w:firstLine="0"/>
        <w:rPr>
          <w:rFonts w:ascii="Times New Roman" w:eastAsiaTheme="minorEastAsia" w:hAnsi="Times New Roman"/>
          <w:color w:val="000000"/>
        </w:rPr>
      </w:pPr>
    </w:p>
    <w:p w:rsidR="009238DB" w:rsidRPr="000D481B" w:rsidRDefault="009238DB" w:rsidP="007C14DF">
      <w:pPr>
        <w:adjustRightInd w:val="0"/>
        <w:spacing w:before="29" w:line="288" w:lineRule="auto"/>
        <w:rPr>
          <w:rFonts w:eastAsiaTheme="minorEastAsia"/>
          <w:b/>
          <w:color w:val="000000"/>
          <w:kern w:val="0"/>
          <w:sz w:val="24"/>
        </w:rPr>
      </w:pPr>
      <w:r w:rsidRPr="000D481B">
        <w:rPr>
          <w:rFonts w:eastAsiaTheme="minorEastAsia"/>
          <w:b/>
          <w:sz w:val="24"/>
        </w:rPr>
        <w:t>2</w:t>
      </w:r>
      <w:r w:rsidRPr="000D481B">
        <w:rPr>
          <w:rFonts w:eastAsiaTheme="minorEastAsia" w:hint="eastAsia"/>
          <w:b/>
          <w:sz w:val="24"/>
        </w:rPr>
        <w:t>、</w:t>
      </w:r>
      <w:r w:rsidR="00FE7FBD" w:rsidRPr="000D481B">
        <w:rPr>
          <w:rFonts w:hint="eastAsia"/>
          <w:b/>
          <w:color w:val="000000"/>
          <w:kern w:val="0"/>
          <w:sz w:val="24"/>
        </w:rPr>
        <w:t>交银强化回报债券</w:t>
      </w:r>
      <w:r w:rsidR="00FE7FBD" w:rsidRPr="000D481B">
        <w:rPr>
          <w:b/>
          <w:color w:val="000000"/>
          <w:kern w:val="0"/>
          <w:sz w:val="24"/>
        </w:rPr>
        <w:t>C</w:t>
      </w:r>
      <w:r w:rsidRPr="000D481B">
        <w:rPr>
          <w:rFonts w:hint="eastAsia"/>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0D481B" w:rsidTr="009227E7">
        <w:trPr>
          <w:jc w:val="center"/>
        </w:trPr>
        <w:tc>
          <w:tcPr>
            <w:tcW w:w="1266" w:type="dxa"/>
            <w:vAlign w:val="center"/>
          </w:tcPr>
          <w:p w:rsidR="00685FFC" w:rsidRPr="000D481B" w:rsidRDefault="00685FFC" w:rsidP="007C14DF">
            <w:pPr>
              <w:snapToGrid w:val="0"/>
              <w:spacing w:before="29" w:line="288" w:lineRule="auto"/>
              <w:jc w:val="center"/>
              <w:rPr>
                <w:color w:val="000000"/>
                <w:sz w:val="24"/>
              </w:rPr>
            </w:pPr>
            <w:r w:rsidRPr="000D481B">
              <w:rPr>
                <w:rFonts w:hint="eastAsia"/>
                <w:color w:val="000000"/>
                <w:sz w:val="24"/>
              </w:rPr>
              <w:t>阶段</w:t>
            </w:r>
          </w:p>
        </w:tc>
        <w:tc>
          <w:tcPr>
            <w:tcW w:w="1267" w:type="dxa"/>
            <w:vAlign w:val="center"/>
          </w:tcPr>
          <w:p w:rsidR="00685FFC" w:rsidRPr="005C388D" w:rsidRDefault="00685FFC" w:rsidP="007C14DF">
            <w:pPr>
              <w:snapToGrid w:val="0"/>
              <w:spacing w:before="29" w:line="288" w:lineRule="auto"/>
              <w:jc w:val="center"/>
              <w:rPr>
                <w:color w:val="000000"/>
                <w:sz w:val="24"/>
              </w:rPr>
            </w:pPr>
            <w:r w:rsidRPr="000D481B">
              <w:rPr>
                <w:rFonts w:hint="eastAsia"/>
                <w:color w:val="000000"/>
                <w:sz w:val="24"/>
              </w:rPr>
              <w:t>净值增长率</w:t>
            </w:r>
            <w:r w:rsidRPr="000D481B">
              <w:rPr>
                <w:rFonts w:ascii="宋体" w:hAnsi="宋体"/>
                <w:color w:val="000000"/>
                <w:sz w:val="24"/>
              </w:rPr>
              <w:t>①</w:t>
            </w:r>
          </w:p>
        </w:tc>
        <w:tc>
          <w:tcPr>
            <w:tcW w:w="1267" w:type="dxa"/>
            <w:vAlign w:val="center"/>
          </w:tcPr>
          <w:p w:rsidR="00685FFC" w:rsidRPr="005C388D" w:rsidRDefault="00685FFC" w:rsidP="007C14DF">
            <w:pPr>
              <w:snapToGrid w:val="0"/>
              <w:spacing w:before="29" w:line="288" w:lineRule="auto"/>
              <w:jc w:val="center"/>
              <w:rPr>
                <w:color w:val="000000"/>
                <w:sz w:val="24"/>
              </w:rPr>
            </w:pPr>
            <w:r w:rsidRPr="000D481B">
              <w:rPr>
                <w:color w:val="000000"/>
                <w:sz w:val="24"/>
              </w:rPr>
              <w:t>净值增长率标准差</w:t>
            </w:r>
            <w:r w:rsidRPr="000D481B">
              <w:rPr>
                <w:rFonts w:ascii="宋体" w:hAnsi="宋体"/>
                <w:color w:val="000000"/>
                <w:sz w:val="24"/>
              </w:rPr>
              <w:t>②</w:t>
            </w:r>
          </w:p>
        </w:tc>
        <w:tc>
          <w:tcPr>
            <w:tcW w:w="1267" w:type="dxa"/>
            <w:vAlign w:val="center"/>
          </w:tcPr>
          <w:p w:rsidR="00685FFC" w:rsidRPr="00E8353B" w:rsidRDefault="00685FFC" w:rsidP="007C14DF">
            <w:pPr>
              <w:snapToGrid w:val="0"/>
              <w:spacing w:before="29" w:line="288" w:lineRule="auto"/>
              <w:jc w:val="center"/>
              <w:rPr>
                <w:color w:val="000000"/>
                <w:sz w:val="24"/>
              </w:rPr>
            </w:pPr>
            <w:r w:rsidRPr="000D481B">
              <w:rPr>
                <w:color w:val="000000"/>
                <w:sz w:val="24"/>
              </w:rPr>
              <w:t>业绩比较基准收益率</w:t>
            </w:r>
            <w:r w:rsidRPr="000D481B">
              <w:rPr>
                <w:rFonts w:ascii="宋体" w:hAnsi="宋体"/>
                <w:color w:val="000000"/>
                <w:sz w:val="24"/>
              </w:rPr>
              <w:t>③</w:t>
            </w:r>
          </w:p>
        </w:tc>
        <w:tc>
          <w:tcPr>
            <w:tcW w:w="1267" w:type="dxa"/>
            <w:vAlign w:val="center"/>
          </w:tcPr>
          <w:p w:rsidR="00685FFC" w:rsidRPr="000D481B" w:rsidRDefault="00685FFC" w:rsidP="007C14DF">
            <w:pPr>
              <w:snapToGrid w:val="0"/>
              <w:spacing w:before="29" w:line="288" w:lineRule="auto"/>
              <w:jc w:val="center"/>
              <w:rPr>
                <w:color w:val="000000"/>
                <w:sz w:val="24"/>
              </w:rPr>
            </w:pPr>
            <w:r w:rsidRPr="00273708">
              <w:rPr>
                <w:color w:val="000000"/>
                <w:sz w:val="24"/>
              </w:rPr>
              <w:t>业绩比较基准收益率标准差</w:t>
            </w:r>
            <w:r w:rsidRPr="000D481B">
              <w:rPr>
                <w:rFonts w:ascii="宋体" w:hAnsi="宋体"/>
                <w:color w:val="000000"/>
                <w:sz w:val="24"/>
              </w:rPr>
              <w:t>④</w:t>
            </w:r>
          </w:p>
        </w:tc>
        <w:tc>
          <w:tcPr>
            <w:tcW w:w="1267" w:type="dxa"/>
            <w:vAlign w:val="center"/>
          </w:tcPr>
          <w:p w:rsidR="00685FFC" w:rsidRPr="000D481B" w:rsidRDefault="00685FFC" w:rsidP="007C14DF">
            <w:pPr>
              <w:snapToGrid w:val="0"/>
              <w:spacing w:before="29" w:line="288" w:lineRule="auto"/>
              <w:jc w:val="center"/>
              <w:rPr>
                <w:color w:val="000000"/>
                <w:sz w:val="24"/>
              </w:rPr>
            </w:pPr>
            <w:r w:rsidRPr="000D481B">
              <w:rPr>
                <w:rFonts w:ascii="宋体" w:hAnsi="宋体"/>
                <w:color w:val="000000"/>
                <w:sz w:val="24"/>
              </w:rPr>
              <w:t>①</w:t>
            </w:r>
            <w:r w:rsidRPr="000D481B">
              <w:rPr>
                <w:rFonts w:hint="eastAsia"/>
                <w:color w:val="000000"/>
                <w:sz w:val="24"/>
              </w:rPr>
              <w:t>－</w:t>
            </w:r>
            <w:r w:rsidRPr="000D481B">
              <w:rPr>
                <w:rFonts w:ascii="宋体" w:hAnsi="宋体"/>
                <w:color w:val="000000"/>
                <w:sz w:val="24"/>
              </w:rPr>
              <w:t>③</w:t>
            </w:r>
          </w:p>
        </w:tc>
        <w:tc>
          <w:tcPr>
            <w:tcW w:w="1267" w:type="dxa"/>
            <w:vAlign w:val="center"/>
          </w:tcPr>
          <w:p w:rsidR="00685FFC" w:rsidRPr="000D481B" w:rsidRDefault="00685FFC" w:rsidP="007C14DF">
            <w:pPr>
              <w:snapToGrid w:val="0"/>
              <w:spacing w:before="29" w:line="288" w:lineRule="auto"/>
              <w:jc w:val="center"/>
              <w:rPr>
                <w:color w:val="000000"/>
                <w:sz w:val="24"/>
              </w:rPr>
            </w:pPr>
            <w:r w:rsidRPr="000D481B">
              <w:rPr>
                <w:rFonts w:ascii="宋体" w:hAnsi="宋体"/>
                <w:color w:val="000000"/>
                <w:sz w:val="24"/>
              </w:rPr>
              <w:t>②</w:t>
            </w:r>
            <w:r w:rsidRPr="000D481B">
              <w:rPr>
                <w:rFonts w:hint="eastAsia"/>
                <w:color w:val="000000"/>
                <w:sz w:val="24"/>
              </w:rPr>
              <w:t>－</w:t>
            </w:r>
            <w:r w:rsidRPr="000D481B">
              <w:rPr>
                <w:rFonts w:ascii="宋体" w:hAnsi="宋体"/>
                <w:color w:val="000000"/>
                <w:sz w:val="24"/>
              </w:rPr>
              <w:t>④</w:t>
            </w:r>
          </w:p>
        </w:tc>
      </w:tr>
      <w:tr w:rsidR="009227E7">
        <w:trPr>
          <w:jc w:val="center"/>
        </w:trPr>
        <w:tc>
          <w:tcPr>
            <w:tcW w:w="1266" w:type="dxa"/>
            <w:vAlign w:val="center"/>
          </w:tcPr>
          <w:p w:rsidR="009227E7" w:rsidRPr="000D481B" w:rsidRDefault="009227E7">
            <w:pPr>
              <w:jc w:val="left"/>
            </w:pPr>
            <w:r w:rsidRPr="000D481B">
              <w:rPr>
                <w:rFonts w:hint="eastAsia"/>
                <w:color w:val="000000"/>
                <w:sz w:val="24"/>
              </w:rPr>
              <w:t>过去三个月</w:t>
            </w:r>
          </w:p>
        </w:tc>
        <w:tc>
          <w:tcPr>
            <w:tcW w:w="1267" w:type="dxa"/>
            <w:vAlign w:val="center"/>
          </w:tcPr>
          <w:p w:rsidR="009227E7" w:rsidRPr="005C388D" w:rsidRDefault="009227E7" w:rsidP="009227E7">
            <w:pPr>
              <w:jc w:val="center"/>
              <w:rPr>
                <w:color w:val="000000"/>
                <w:sz w:val="24"/>
              </w:rPr>
            </w:pPr>
            <w:r w:rsidRPr="005C388D">
              <w:rPr>
                <w:color w:val="000000"/>
                <w:sz w:val="24"/>
              </w:rPr>
              <w:t>-3.37%</w:t>
            </w:r>
          </w:p>
        </w:tc>
        <w:tc>
          <w:tcPr>
            <w:tcW w:w="1267" w:type="dxa"/>
            <w:vAlign w:val="center"/>
          </w:tcPr>
          <w:p w:rsidR="009227E7" w:rsidRPr="005C388D" w:rsidRDefault="009227E7" w:rsidP="009227E7">
            <w:pPr>
              <w:jc w:val="center"/>
              <w:rPr>
                <w:color w:val="000000"/>
                <w:sz w:val="24"/>
              </w:rPr>
            </w:pPr>
            <w:r w:rsidRPr="005C388D">
              <w:rPr>
                <w:color w:val="000000"/>
                <w:sz w:val="24"/>
              </w:rPr>
              <w:t>0.27%</w:t>
            </w:r>
          </w:p>
        </w:tc>
        <w:tc>
          <w:tcPr>
            <w:tcW w:w="1267" w:type="dxa"/>
            <w:vAlign w:val="center"/>
          </w:tcPr>
          <w:p w:rsidR="009227E7" w:rsidRPr="005C388D" w:rsidRDefault="009227E7" w:rsidP="009227E7">
            <w:pPr>
              <w:jc w:val="center"/>
              <w:rPr>
                <w:color w:val="000000"/>
                <w:sz w:val="24"/>
              </w:rPr>
            </w:pPr>
            <w:r w:rsidRPr="005C388D">
              <w:rPr>
                <w:color w:val="000000"/>
                <w:sz w:val="24"/>
              </w:rPr>
              <w:t>-2.31%</w:t>
            </w:r>
          </w:p>
        </w:tc>
        <w:tc>
          <w:tcPr>
            <w:tcW w:w="1267" w:type="dxa"/>
            <w:vAlign w:val="center"/>
          </w:tcPr>
          <w:p w:rsidR="009227E7" w:rsidRPr="005C388D" w:rsidRDefault="009227E7" w:rsidP="009227E7">
            <w:pPr>
              <w:jc w:val="center"/>
              <w:rPr>
                <w:color w:val="000000"/>
                <w:sz w:val="24"/>
              </w:rPr>
            </w:pPr>
            <w:r w:rsidRPr="005C388D">
              <w:rPr>
                <w:color w:val="000000"/>
                <w:sz w:val="24"/>
              </w:rPr>
              <w:t>0.15%</w:t>
            </w:r>
          </w:p>
        </w:tc>
        <w:tc>
          <w:tcPr>
            <w:tcW w:w="1267" w:type="dxa"/>
            <w:vAlign w:val="center"/>
          </w:tcPr>
          <w:p w:rsidR="009227E7" w:rsidRPr="005C388D" w:rsidRDefault="009227E7" w:rsidP="009227E7">
            <w:pPr>
              <w:jc w:val="center"/>
              <w:rPr>
                <w:color w:val="000000"/>
                <w:sz w:val="24"/>
              </w:rPr>
            </w:pPr>
            <w:r w:rsidRPr="005C388D">
              <w:rPr>
                <w:color w:val="000000"/>
                <w:sz w:val="24"/>
              </w:rPr>
              <w:t>-1.06%</w:t>
            </w:r>
          </w:p>
        </w:tc>
        <w:tc>
          <w:tcPr>
            <w:tcW w:w="1267" w:type="dxa"/>
            <w:vAlign w:val="center"/>
          </w:tcPr>
          <w:p w:rsidR="009227E7" w:rsidRPr="005C388D" w:rsidRDefault="009227E7" w:rsidP="009227E7">
            <w:pPr>
              <w:jc w:val="center"/>
              <w:rPr>
                <w:color w:val="000000"/>
                <w:sz w:val="24"/>
              </w:rPr>
            </w:pPr>
            <w:r w:rsidRPr="005C388D">
              <w:rPr>
                <w:color w:val="000000"/>
                <w:sz w:val="24"/>
              </w:rPr>
              <w:t>0.12%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C212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96875">
        <w:trPr>
          <w:jc w:val="center"/>
        </w:trPr>
        <w:tc>
          <w:tcPr>
            <w:tcW w:w="946" w:type="dxa"/>
            <w:vAlign w:val="center"/>
          </w:tcPr>
          <w:p w:rsidR="00D96875" w:rsidRDefault="009227E7">
            <w:pPr>
              <w:jc w:val="center"/>
            </w:pPr>
            <w:r>
              <w:rPr>
                <w:color w:val="000000"/>
                <w:sz w:val="24"/>
              </w:rPr>
              <w:t>孙超</w:t>
            </w:r>
          </w:p>
        </w:tc>
        <w:tc>
          <w:tcPr>
            <w:tcW w:w="924" w:type="dxa"/>
            <w:vAlign w:val="center"/>
          </w:tcPr>
          <w:p w:rsidR="00D96875" w:rsidRDefault="009227E7">
            <w:pPr>
              <w:jc w:val="center"/>
            </w:pPr>
            <w:r>
              <w:rPr>
                <w:color w:val="000000"/>
                <w:sz w:val="24"/>
              </w:rPr>
              <w:t>交银增利债券、交银纯债债券发起、交银荣祥保本混合、交银定期支付月月丰债券、交银增强收益债券、交银强化回报债券、交银丰润收益债券、交银丰享收益债券、交银丰</w:t>
            </w:r>
            <w:r>
              <w:rPr>
                <w:color w:val="000000"/>
                <w:sz w:val="24"/>
              </w:rPr>
              <w:lastRenderedPageBreak/>
              <w:t>泽收益债券、交银丰硕收益债券、交银荣鑫保本混合的基金经理，公司固定收益部助理总经理</w:t>
            </w:r>
          </w:p>
        </w:tc>
        <w:tc>
          <w:tcPr>
            <w:tcW w:w="1202" w:type="dxa"/>
            <w:vAlign w:val="center"/>
          </w:tcPr>
          <w:p w:rsidR="00D96875" w:rsidRDefault="009227E7">
            <w:pPr>
              <w:jc w:val="center"/>
            </w:pPr>
            <w:r>
              <w:rPr>
                <w:color w:val="000000"/>
                <w:sz w:val="24"/>
              </w:rPr>
              <w:lastRenderedPageBreak/>
              <w:t>2014-08-26</w:t>
            </w:r>
          </w:p>
        </w:tc>
        <w:tc>
          <w:tcPr>
            <w:tcW w:w="1300" w:type="dxa"/>
            <w:vAlign w:val="center"/>
          </w:tcPr>
          <w:p w:rsidR="00D96875" w:rsidRDefault="009227E7">
            <w:pPr>
              <w:jc w:val="center"/>
            </w:pPr>
            <w:r>
              <w:rPr>
                <w:color w:val="000000"/>
                <w:sz w:val="24"/>
              </w:rPr>
              <w:t>-</w:t>
            </w:r>
          </w:p>
        </w:tc>
        <w:tc>
          <w:tcPr>
            <w:tcW w:w="1245" w:type="dxa"/>
            <w:vAlign w:val="center"/>
          </w:tcPr>
          <w:p w:rsidR="00D96875" w:rsidRDefault="009227E7">
            <w:pPr>
              <w:jc w:val="center"/>
            </w:pPr>
            <w:r>
              <w:rPr>
                <w:color w:val="000000"/>
                <w:sz w:val="24"/>
              </w:rPr>
              <w:t>5</w:t>
            </w:r>
            <w:r>
              <w:rPr>
                <w:color w:val="000000"/>
                <w:sz w:val="24"/>
              </w:rPr>
              <w:t>年</w:t>
            </w:r>
          </w:p>
        </w:tc>
        <w:tc>
          <w:tcPr>
            <w:tcW w:w="3251" w:type="dxa"/>
            <w:vAlign w:val="center"/>
          </w:tcPr>
          <w:p w:rsidR="00D96875" w:rsidRDefault="009227E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4D49BC">
              <w:rPr>
                <w:rFonts w:hint="eastAsia"/>
                <w:color w:val="000000"/>
                <w:sz w:val="24"/>
              </w:rPr>
              <w:t>基金经理</w:t>
            </w:r>
            <w:r>
              <w:rPr>
                <w:color w:val="000000"/>
                <w:sz w:val="24"/>
              </w:rPr>
              <w:t>。</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96875" w:rsidRDefault="009227E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96875" w:rsidRDefault="009227E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96875" w:rsidRDefault="009227E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96875" w:rsidRDefault="009227E7">
      <w:pPr>
        <w:spacing w:before="29" w:line="288" w:lineRule="auto"/>
        <w:ind w:firstLineChars="200" w:firstLine="480"/>
        <w:rPr>
          <w:color w:val="000000"/>
          <w:sz w:val="24"/>
        </w:rPr>
      </w:pPr>
      <w:r>
        <w:rPr>
          <w:color w:val="000000"/>
          <w:sz w:val="24"/>
        </w:rPr>
        <w:t>本基金于本报告期内未发现异常交易行为。本报告期内，本公司管理的所有投资组合参与的交易所公开竞价同日反向交易成交较少的单边交易量超过该证券当日总成交量</w:t>
      </w:r>
      <w:r>
        <w:rPr>
          <w:color w:val="000000"/>
          <w:sz w:val="24"/>
        </w:rPr>
        <w:t>5%</w:t>
      </w:r>
      <w:r>
        <w:rPr>
          <w:color w:val="000000"/>
          <w:sz w:val="24"/>
        </w:rPr>
        <w:t>的情况有</w:t>
      </w:r>
      <w:r>
        <w:rPr>
          <w:color w:val="000000"/>
          <w:sz w:val="24"/>
        </w:rPr>
        <w:t>1</w:t>
      </w:r>
      <w:r>
        <w:rPr>
          <w:color w:val="000000"/>
          <w:sz w:val="24"/>
        </w:rPr>
        <w:t>次，是投资组合因投资策略需要而发生同日反向交易，未发现不公平交易和利益输送的情况。本基金与本公司管理的其他投资组合在不同时间窗下（如日内、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96875" w:rsidRDefault="009227E7">
      <w:pPr>
        <w:spacing w:before="29" w:line="288" w:lineRule="auto"/>
        <w:ind w:firstLineChars="200" w:firstLine="480"/>
        <w:rPr>
          <w:color w:val="000000"/>
          <w:sz w:val="24"/>
        </w:rPr>
      </w:pPr>
      <w:r>
        <w:rPr>
          <w:color w:val="000000"/>
          <w:sz w:val="24"/>
        </w:rPr>
        <w:t>本报告期内，尽管</w:t>
      </w:r>
      <w:r>
        <w:rPr>
          <w:color w:val="000000"/>
          <w:sz w:val="24"/>
        </w:rPr>
        <w:t>2016</w:t>
      </w:r>
      <w:r>
        <w:rPr>
          <w:color w:val="000000"/>
          <w:sz w:val="24"/>
        </w:rPr>
        <w:t>年</w:t>
      </w:r>
      <w:r>
        <w:rPr>
          <w:color w:val="000000"/>
          <w:sz w:val="24"/>
        </w:rPr>
        <w:t>10</w:t>
      </w:r>
      <w:r>
        <w:rPr>
          <w:color w:val="000000"/>
          <w:sz w:val="24"/>
        </w:rPr>
        <w:t>月初地产调控升级令使得市场对中期经济基本面偏悲观，但短期经济增长相对平稳，</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月中下旬开始紧张，尽管紧张程度在</w:t>
      </w:r>
      <w:r>
        <w:rPr>
          <w:color w:val="000000"/>
          <w:sz w:val="24"/>
        </w:rPr>
        <w:t>11</w:t>
      </w:r>
      <w:r>
        <w:rPr>
          <w:color w:val="000000"/>
          <w:sz w:val="24"/>
        </w:rPr>
        <w:t>月初稍缓，但随着特朗普当选带来美元指数的一路走强，资金面紧张节奏再次超出市场预期。全市场加权资金利率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投放，并适时进行逆回购放量操作，不过银行对非银层面拆借渠道受阻以及流动性问题令债券价格在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操作，部分黑天鹅事件也暂告一段落，债市收益率出现阶段性下行，长久期金融债及短久期高等级信用债收益率调整幅度相对明显。权益市场方面，四季度的主线为</w:t>
      </w:r>
      <w:r>
        <w:rPr>
          <w:color w:val="000000"/>
          <w:sz w:val="24"/>
        </w:rPr>
        <w:t>“</w:t>
      </w:r>
      <w:r>
        <w:rPr>
          <w:color w:val="000000"/>
          <w:sz w:val="24"/>
        </w:rPr>
        <w:t>一带一路</w:t>
      </w:r>
      <w:r>
        <w:rPr>
          <w:color w:val="000000"/>
          <w:sz w:val="24"/>
        </w:rPr>
        <w:t>”</w:t>
      </w:r>
      <w:r>
        <w:rPr>
          <w:color w:val="000000"/>
          <w:sz w:val="24"/>
        </w:rPr>
        <w:t>及经济复苏预期下的周期行业轮动。建筑、钢铁、石化板块领涨。</w:t>
      </w:r>
      <w:r>
        <w:rPr>
          <w:color w:val="000000"/>
          <w:sz w:val="24"/>
        </w:rPr>
        <w:t>11</w:t>
      </w:r>
      <w:r>
        <w:rPr>
          <w:color w:val="000000"/>
          <w:sz w:val="24"/>
        </w:rPr>
        <w:t>月下旬，后周期的金融、部分价格阶段底部的消费行业及化工油气产业链、农业供给侧改革主题相对表现较好，后随债市调整，资金面对权益市场的影响逐步显现，市场一度承压。</w:t>
      </w:r>
      <w:r>
        <w:rPr>
          <w:color w:val="000000"/>
          <w:sz w:val="24"/>
        </w:rPr>
        <w:t>12</w:t>
      </w:r>
      <w:r>
        <w:rPr>
          <w:color w:val="000000"/>
          <w:sz w:val="24"/>
        </w:rPr>
        <w:t>月下旬随着债市收益率小幅下行，权益市场阶段回暖，经济工作会议中混改主题存在超额收益。</w:t>
      </w:r>
    </w:p>
    <w:p w:rsidR="00D96875" w:rsidRDefault="009227E7">
      <w:pPr>
        <w:spacing w:before="29" w:line="288" w:lineRule="auto"/>
        <w:ind w:firstLineChars="200" w:firstLine="480"/>
        <w:rPr>
          <w:color w:val="000000"/>
          <w:sz w:val="24"/>
        </w:rPr>
      </w:pPr>
      <w:r>
        <w:rPr>
          <w:color w:val="000000"/>
          <w:sz w:val="24"/>
        </w:rPr>
        <w:t>我们对经济基本面的看法没有变化，经济中长期存在下行压力，但短期经济受政策调控出现波动，尽管通胀</w:t>
      </w:r>
      <w:r>
        <w:rPr>
          <w:color w:val="000000"/>
          <w:sz w:val="24"/>
        </w:rPr>
        <w:t>2016</w:t>
      </w:r>
      <w:r>
        <w:rPr>
          <w:color w:val="000000"/>
          <w:sz w:val="24"/>
        </w:rPr>
        <w:t>年四季度小幅攀升但对货币政策制约较小，流动性中性基调没有变化，但需谨防监管去金融杠杆举措对短期流动性的波动。尽管我们判断市场短期趋势性机会小于波动性机会，但四季度去杠杆的力度略超我们预期，并带来了债市的大幅调整。在权益配置方面，我们先后配置后周期金融化工行业、消费类行业、个别混改概念标的，并在</w:t>
      </w:r>
      <w:r>
        <w:rPr>
          <w:color w:val="000000"/>
          <w:sz w:val="24"/>
        </w:rPr>
        <w:t>11</w:t>
      </w:r>
      <w:r>
        <w:rPr>
          <w:color w:val="000000"/>
          <w:sz w:val="24"/>
        </w:rPr>
        <w:t>月中旬开始逐步将仓位降低至</w:t>
      </w:r>
      <w:r>
        <w:rPr>
          <w:color w:val="000000"/>
          <w:sz w:val="24"/>
        </w:rPr>
        <w:t>3%</w:t>
      </w:r>
      <w:r>
        <w:rPr>
          <w:color w:val="000000"/>
          <w:sz w:val="24"/>
        </w:rPr>
        <w:t>以内。</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展望后市，我们看好中长期债券市场，但是对未来一个季度的债券市场维持谨慎。短期看，基本面下行压力难以被证实，通胀在</w:t>
      </w:r>
      <w:r w:rsidRPr="007F52FA">
        <w:rPr>
          <w:color w:val="000000"/>
          <w:sz w:val="24"/>
        </w:rPr>
        <w:t>2017</w:t>
      </w:r>
      <w:r w:rsidRPr="007F52FA">
        <w:rPr>
          <w:color w:val="000000"/>
          <w:sz w:val="24"/>
        </w:rPr>
        <w:t>年</w:t>
      </w:r>
      <w:r w:rsidRPr="007F52FA">
        <w:rPr>
          <w:color w:val="000000"/>
          <w:sz w:val="24"/>
        </w:rPr>
        <w:t>1</w:t>
      </w:r>
      <w:r w:rsidRPr="007F52FA">
        <w:rPr>
          <w:color w:val="000000"/>
          <w:sz w:val="24"/>
        </w:rPr>
        <w:t>月受春节影响呈错位上行趋势，同时金融机构负债端降杠杆决定了本轮市场调整的时间可能较长。但是全年来看，</w:t>
      </w:r>
      <w:r w:rsidRPr="007F52FA">
        <w:rPr>
          <w:color w:val="000000"/>
          <w:sz w:val="24"/>
        </w:rPr>
        <w:t>2017</w:t>
      </w:r>
      <w:r w:rsidRPr="007F52FA">
        <w:rPr>
          <w:color w:val="000000"/>
          <w:sz w:val="24"/>
        </w:rPr>
        <w:t>年的债券市场仍然存在投资机会：小的投资机会来源于市场调整之后的超跌反弹，大的</w:t>
      </w:r>
      <w:r w:rsidRPr="007F52FA">
        <w:rPr>
          <w:color w:val="000000"/>
          <w:sz w:val="24"/>
        </w:rPr>
        <w:lastRenderedPageBreak/>
        <w:t>投资机会主要看房地产和汇率走势。从品种上来说，我们认为利率债的投资价值会好于信用债：（</w:t>
      </w:r>
      <w:r w:rsidRPr="007F52FA">
        <w:rPr>
          <w:color w:val="000000"/>
          <w:sz w:val="24"/>
        </w:rPr>
        <w:t>1</w:t>
      </w:r>
      <w:r w:rsidRPr="007F52FA">
        <w:rPr>
          <w:color w:val="000000"/>
          <w:sz w:val="24"/>
        </w:rPr>
        <w:t>）信用本轮调整还不充分，</w:t>
      </w:r>
      <w:r w:rsidRPr="007F52FA">
        <w:rPr>
          <w:color w:val="000000"/>
          <w:sz w:val="24"/>
        </w:rPr>
        <w:t>2017</w:t>
      </w:r>
      <w:r w:rsidRPr="007F52FA">
        <w:rPr>
          <w:color w:val="000000"/>
          <w:sz w:val="24"/>
        </w:rPr>
        <w:t>年信用风险事件可能会越来越多；（</w:t>
      </w:r>
      <w:r w:rsidRPr="007F52FA">
        <w:rPr>
          <w:color w:val="000000"/>
          <w:sz w:val="24"/>
        </w:rPr>
        <w:t>2</w:t>
      </w:r>
      <w:r w:rsidRPr="007F52FA">
        <w:rPr>
          <w:color w:val="000000"/>
          <w:sz w:val="24"/>
        </w:rPr>
        <w:t>）市场投资者对地方政府融资平台的定位仍然不够清晰，预期差蕴含的定价差仍是潜在风险点；（</w:t>
      </w:r>
      <w:r w:rsidRPr="007F52FA">
        <w:rPr>
          <w:color w:val="000000"/>
          <w:sz w:val="24"/>
        </w:rPr>
        <w:t>3</w:t>
      </w:r>
      <w:r w:rsidRPr="007F52FA">
        <w:rPr>
          <w:color w:val="000000"/>
          <w:sz w:val="24"/>
        </w:rPr>
        <w:t>）即使央行货币政策边际上宽松，但是资金面预计很难恢复到</w:t>
      </w:r>
      <w:r w:rsidRPr="007F52FA">
        <w:rPr>
          <w:color w:val="000000"/>
          <w:sz w:val="24"/>
        </w:rPr>
        <w:t>2016</w:t>
      </w:r>
      <w:r w:rsidRPr="007F52FA">
        <w:rPr>
          <w:color w:val="000000"/>
          <w:sz w:val="24"/>
        </w:rPr>
        <w:t>年上半年的水平，信用债的杠杆套息价值减弱。就金融机构而言，如何顺应大方向、确保自身资产负债安全稳定的同时，抓住市场情绪波动的投资机会，在波动中更好地改善资产负债结构，也将是</w:t>
      </w:r>
      <w:r w:rsidRPr="007F52FA">
        <w:rPr>
          <w:color w:val="000000"/>
          <w:sz w:val="24"/>
        </w:rPr>
        <w:t>2017</w:t>
      </w:r>
      <w:r w:rsidRPr="007F52FA">
        <w:rPr>
          <w:color w:val="000000"/>
          <w:sz w:val="24"/>
        </w:rPr>
        <w:t>年投资中最值得关注的事情。权益方面，</w:t>
      </w:r>
      <w:r w:rsidRPr="007F52FA">
        <w:rPr>
          <w:color w:val="000000"/>
          <w:sz w:val="24"/>
        </w:rPr>
        <w:t>2017</w:t>
      </w:r>
      <w:r w:rsidRPr="007F52FA">
        <w:rPr>
          <w:color w:val="000000"/>
          <w:sz w:val="24"/>
        </w:rPr>
        <w:t>年一季度我们将主要关注通胀相关板块及混改主题，并逐步布局风险收益比较好的成长股。</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5C388D">
        <w:rPr>
          <w:rFonts w:hint="eastAsia"/>
          <w:color w:val="000000"/>
          <w:sz w:val="24"/>
        </w:rPr>
        <w:t>截至</w:t>
      </w:r>
      <w:r w:rsidRPr="005C388D">
        <w:rPr>
          <w:color w:val="000000"/>
          <w:sz w:val="24"/>
        </w:rPr>
        <w:t>2016</w:t>
      </w:r>
      <w:r w:rsidRPr="005C388D">
        <w:rPr>
          <w:rFonts w:hint="eastAsia"/>
          <w:color w:val="000000"/>
          <w:sz w:val="24"/>
        </w:rPr>
        <w:t>年</w:t>
      </w:r>
      <w:r w:rsidRPr="005C388D">
        <w:rPr>
          <w:color w:val="000000"/>
          <w:sz w:val="24"/>
        </w:rPr>
        <w:t>12</w:t>
      </w:r>
      <w:r w:rsidRPr="005C388D">
        <w:rPr>
          <w:rFonts w:hint="eastAsia"/>
          <w:color w:val="000000"/>
          <w:sz w:val="24"/>
        </w:rPr>
        <w:t>月</w:t>
      </w:r>
      <w:r w:rsidRPr="005C388D">
        <w:rPr>
          <w:color w:val="000000"/>
          <w:sz w:val="24"/>
        </w:rPr>
        <w:t>31</w:t>
      </w:r>
      <w:r w:rsidRPr="005C388D">
        <w:rPr>
          <w:rFonts w:hint="eastAsia"/>
          <w:color w:val="000000"/>
          <w:sz w:val="24"/>
        </w:rPr>
        <w:t>日，交银强化回报债券</w:t>
      </w:r>
      <w:r w:rsidRPr="005C388D">
        <w:rPr>
          <w:color w:val="000000"/>
          <w:sz w:val="24"/>
        </w:rPr>
        <w:t>A/B</w:t>
      </w:r>
      <w:r w:rsidRPr="005C388D">
        <w:rPr>
          <w:rFonts w:hint="eastAsia"/>
          <w:color w:val="000000"/>
          <w:sz w:val="24"/>
        </w:rPr>
        <w:t>份额净值为</w:t>
      </w:r>
      <w:r w:rsidRPr="005C388D">
        <w:rPr>
          <w:color w:val="000000"/>
          <w:sz w:val="24"/>
        </w:rPr>
        <w:t>1.044</w:t>
      </w:r>
      <w:r w:rsidRPr="005C388D">
        <w:rPr>
          <w:rFonts w:hint="eastAsia"/>
          <w:color w:val="000000"/>
          <w:sz w:val="24"/>
        </w:rPr>
        <w:t>元，本报告期份额净值增长率为</w:t>
      </w:r>
      <w:r w:rsidRPr="005C388D">
        <w:rPr>
          <w:color w:val="000000"/>
          <w:sz w:val="24"/>
        </w:rPr>
        <w:t>-3.</w:t>
      </w:r>
      <w:r w:rsidR="000C2129" w:rsidRPr="005C388D">
        <w:rPr>
          <w:color w:val="000000"/>
          <w:sz w:val="24"/>
        </w:rPr>
        <w:t>18</w:t>
      </w:r>
      <w:r w:rsidRPr="005C388D">
        <w:rPr>
          <w:color w:val="000000"/>
          <w:sz w:val="24"/>
        </w:rPr>
        <w:t>%</w:t>
      </w:r>
      <w:r w:rsidRPr="005C388D">
        <w:rPr>
          <w:rFonts w:hint="eastAsia"/>
          <w:color w:val="000000"/>
          <w:sz w:val="24"/>
        </w:rPr>
        <w:t>，同期业绩比较基准增长率为</w:t>
      </w:r>
      <w:r w:rsidRPr="005C388D">
        <w:rPr>
          <w:color w:val="000000"/>
          <w:sz w:val="24"/>
        </w:rPr>
        <w:t>-</w:t>
      </w:r>
      <w:r w:rsidR="000C2129" w:rsidRPr="005C388D">
        <w:rPr>
          <w:color w:val="000000"/>
          <w:sz w:val="24"/>
        </w:rPr>
        <w:t>2.31</w:t>
      </w:r>
      <w:r w:rsidRPr="005C388D">
        <w:rPr>
          <w:color w:val="000000"/>
          <w:sz w:val="24"/>
        </w:rPr>
        <w:t>%</w:t>
      </w:r>
      <w:r w:rsidRPr="005C388D">
        <w:rPr>
          <w:rFonts w:hint="eastAsia"/>
          <w:color w:val="000000"/>
          <w:sz w:val="24"/>
        </w:rPr>
        <w:t>；交银强化回报债券</w:t>
      </w:r>
      <w:r w:rsidRPr="005C388D">
        <w:rPr>
          <w:color w:val="000000"/>
          <w:sz w:val="24"/>
        </w:rPr>
        <w:t>C</w:t>
      </w:r>
      <w:r w:rsidRPr="005C388D">
        <w:rPr>
          <w:rFonts w:hint="eastAsia"/>
          <w:color w:val="000000"/>
          <w:sz w:val="24"/>
        </w:rPr>
        <w:t>份额净值为</w:t>
      </w:r>
      <w:r w:rsidRPr="005C388D">
        <w:rPr>
          <w:color w:val="000000"/>
          <w:sz w:val="24"/>
        </w:rPr>
        <w:t>1.043</w:t>
      </w:r>
      <w:r w:rsidRPr="005C388D">
        <w:rPr>
          <w:rFonts w:hint="eastAsia"/>
          <w:color w:val="000000"/>
          <w:sz w:val="24"/>
        </w:rPr>
        <w:t>元，本报告期份额净值增长率为</w:t>
      </w:r>
      <w:r w:rsidRPr="005C388D">
        <w:rPr>
          <w:color w:val="000000"/>
          <w:sz w:val="24"/>
        </w:rPr>
        <w:t>-3.</w:t>
      </w:r>
      <w:r w:rsidR="000C2129" w:rsidRPr="005C388D">
        <w:rPr>
          <w:color w:val="000000"/>
          <w:sz w:val="24"/>
        </w:rPr>
        <w:t>37</w:t>
      </w:r>
      <w:r w:rsidRPr="005C388D">
        <w:rPr>
          <w:color w:val="000000"/>
          <w:sz w:val="24"/>
        </w:rPr>
        <w:t>%</w:t>
      </w:r>
      <w:r w:rsidRPr="005C388D">
        <w:rPr>
          <w:rFonts w:hint="eastAsia"/>
          <w:color w:val="000000"/>
          <w:sz w:val="24"/>
        </w:rPr>
        <w:t>，同期业绩比较基准增长率为</w:t>
      </w:r>
      <w:r w:rsidRPr="005C388D">
        <w:rPr>
          <w:color w:val="000000"/>
          <w:sz w:val="24"/>
        </w:rPr>
        <w:t>-</w:t>
      </w:r>
      <w:r w:rsidR="000C2129" w:rsidRPr="005C388D">
        <w:rPr>
          <w:color w:val="000000"/>
          <w:sz w:val="24"/>
        </w:rPr>
        <w:t>2.31</w:t>
      </w:r>
      <w:r w:rsidRPr="005C388D">
        <w:rPr>
          <w:color w:val="000000"/>
          <w:sz w:val="24"/>
        </w:rPr>
        <w:t>%</w:t>
      </w:r>
      <w:r w:rsidRPr="005C388D">
        <w:rPr>
          <w:rFonts w:hint="eastAsia"/>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0C2129">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10,824,940.38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10,824,940.38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693,798,169.50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693,798,169.50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20,000,150.00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62,000,858.45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11,943,411.59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798,567,529.92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4,602,000.00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4,143,938.78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2,079,001.60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10,824,940.38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1.40</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lastRenderedPageBreak/>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96875">
        <w:trPr>
          <w:jc w:val="center"/>
        </w:trPr>
        <w:tc>
          <w:tcPr>
            <w:tcW w:w="850" w:type="dxa"/>
            <w:vAlign w:val="center"/>
          </w:tcPr>
          <w:p w:rsidR="00D96875" w:rsidRDefault="009227E7">
            <w:pPr>
              <w:jc w:val="center"/>
            </w:pPr>
            <w:r>
              <w:rPr>
                <w:color w:val="000000"/>
                <w:sz w:val="24"/>
              </w:rPr>
              <w:t>1</w:t>
            </w:r>
          </w:p>
        </w:tc>
        <w:tc>
          <w:tcPr>
            <w:tcW w:w="1327" w:type="dxa"/>
            <w:vAlign w:val="center"/>
          </w:tcPr>
          <w:p w:rsidR="00D96875" w:rsidRDefault="009227E7">
            <w:pPr>
              <w:jc w:val="center"/>
            </w:pPr>
            <w:r>
              <w:rPr>
                <w:color w:val="000000"/>
                <w:sz w:val="24"/>
              </w:rPr>
              <w:t>000821</w:t>
            </w:r>
          </w:p>
        </w:tc>
        <w:tc>
          <w:tcPr>
            <w:tcW w:w="1769" w:type="dxa"/>
            <w:vAlign w:val="center"/>
          </w:tcPr>
          <w:p w:rsidR="00D96875" w:rsidRDefault="009227E7">
            <w:pPr>
              <w:jc w:val="center"/>
            </w:pPr>
            <w:r>
              <w:rPr>
                <w:color w:val="000000"/>
                <w:sz w:val="24"/>
              </w:rPr>
              <w:t>京山轻机</w:t>
            </w:r>
          </w:p>
        </w:tc>
        <w:tc>
          <w:tcPr>
            <w:tcW w:w="1327" w:type="dxa"/>
            <w:vAlign w:val="center"/>
          </w:tcPr>
          <w:p w:rsidR="00D96875" w:rsidRDefault="009227E7">
            <w:pPr>
              <w:jc w:val="right"/>
            </w:pPr>
            <w:r>
              <w:rPr>
                <w:color w:val="000000"/>
                <w:sz w:val="24"/>
              </w:rPr>
              <w:t>300,000</w:t>
            </w:r>
          </w:p>
        </w:tc>
        <w:tc>
          <w:tcPr>
            <w:tcW w:w="1915" w:type="dxa"/>
            <w:vAlign w:val="center"/>
          </w:tcPr>
          <w:p w:rsidR="00D96875" w:rsidRDefault="009227E7">
            <w:pPr>
              <w:jc w:val="right"/>
            </w:pPr>
            <w:r>
              <w:rPr>
                <w:color w:val="000000"/>
                <w:sz w:val="24"/>
              </w:rPr>
              <w:t>4,602,000.00</w:t>
            </w:r>
          </w:p>
        </w:tc>
        <w:tc>
          <w:tcPr>
            <w:tcW w:w="1680" w:type="dxa"/>
            <w:vAlign w:val="center"/>
          </w:tcPr>
          <w:p w:rsidR="00D96875" w:rsidRDefault="009227E7">
            <w:pPr>
              <w:jc w:val="right"/>
            </w:pPr>
            <w:r>
              <w:rPr>
                <w:color w:val="000000"/>
                <w:sz w:val="24"/>
              </w:rPr>
              <w:t>0.60</w:t>
            </w:r>
          </w:p>
        </w:tc>
      </w:tr>
      <w:tr w:rsidR="00D96875">
        <w:trPr>
          <w:jc w:val="center"/>
        </w:trPr>
        <w:tc>
          <w:tcPr>
            <w:tcW w:w="850" w:type="dxa"/>
            <w:vAlign w:val="center"/>
          </w:tcPr>
          <w:p w:rsidR="00D96875" w:rsidRDefault="009227E7">
            <w:pPr>
              <w:jc w:val="center"/>
            </w:pPr>
            <w:r>
              <w:rPr>
                <w:color w:val="000000"/>
                <w:sz w:val="24"/>
              </w:rPr>
              <w:t>2</w:t>
            </w:r>
          </w:p>
        </w:tc>
        <w:tc>
          <w:tcPr>
            <w:tcW w:w="1327" w:type="dxa"/>
            <w:vAlign w:val="center"/>
          </w:tcPr>
          <w:p w:rsidR="00D96875" w:rsidRDefault="009227E7">
            <w:pPr>
              <w:jc w:val="center"/>
            </w:pPr>
            <w:r>
              <w:rPr>
                <w:color w:val="000000"/>
                <w:sz w:val="24"/>
              </w:rPr>
              <w:t>002659</w:t>
            </w:r>
          </w:p>
        </w:tc>
        <w:tc>
          <w:tcPr>
            <w:tcW w:w="1769" w:type="dxa"/>
            <w:vAlign w:val="center"/>
          </w:tcPr>
          <w:p w:rsidR="00D96875" w:rsidRDefault="009227E7">
            <w:pPr>
              <w:jc w:val="center"/>
            </w:pPr>
            <w:r>
              <w:rPr>
                <w:color w:val="000000"/>
                <w:sz w:val="24"/>
              </w:rPr>
              <w:t>中泰桥梁</w:t>
            </w:r>
          </w:p>
        </w:tc>
        <w:tc>
          <w:tcPr>
            <w:tcW w:w="1327" w:type="dxa"/>
            <w:vAlign w:val="center"/>
          </w:tcPr>
          <w:p w:rsidR="00D96875" w:rsidRDefault="009227E7">
            <w:pPr>
              <w:jc w:val="right"/>
            </w:pPr>
            <w:r>
              <w:rPr>
                <w:color w:val="000000"/>
                <w:sz w:val="24"/>
              </w:rPr>
              <w:t>99,954</w:t>
            </w:r>
          </w:p>
        </w:tc>
        <w:tc>
          <w:tcPr>
            <w:tcW w:w="1915" w:type="dxa"/>
            <w:vAlign w:val="center"/>
          </w:tcPr>
          <w:p w:rsidR="00D96875" w:rsidRDefault="009227E7">
            <w:pPr>
              <w:jc w:val="right"/>
            </w:pPr>
            <w:r>
              <w:rPr>
                <w:color w:val="000000"/>
                <w:sz w:val="24"/>
              </w:rPr>
              <w:t>2,305,938.78</w:t>
            </w:r>
          </w:p>
        </w:tc>
        <w:tc>
          <w:tcPr>
            <w:tcW w:w="1680" w:type="dxa"/>
            <w:vAlign w:val="center"/>
          </w:tcPr>
          <w:p w:rsidR="00D96875" w:rsidRDefault="009227E7">
            <w:pPr>
              <w:jc w:val="right"/>
            </w:pPr>
            <w:r>
              <w:rPr>
                <w:color w:val="000000"/>
                <w:sz w:val="24"/>
              </w:rPr>
              <w:t>0.30</w:t>
            </w:r>
          </w:p>
        </w:tc>
      </w:tr>
      <w:tr w:rsidR="00D96875">
        <w:trPr>
          <w:jc w:val="center"/>
        </w:trPr>
        <w:tc>
          <w:tcPr>
            <w:tcW w:w="850" w:type="dxa"/>
            <w:vAlign w:val="center"/>
          </w:tcPr>
          <w:p w:rsidR="00D96875" w:rsidRDefault="009227E7">
            <w:pPr>
              <w:jc w:val="center"/>
            </w:pPr>
            <w:r>
              <w:rPr>
                <w:color w:val="000000"/>
                <w:sz w:val="24"/>
              </w:rPr>
              <w:t>3</w:t>
            </w:r>
          </w:p>
        </w:tc>
        <w:tc>
          <w:tcPr>
            <w:tcW w:w="1327" w:type="dxa"/>
            <w:vAlign w:val="center"/>
          </w:tcPr>
          <w:p w:rsidR="00D96875" w:rsidRDefault="009227E7">
            <w:pPr>
              <w:jc w:val="center"/>
            </w:pPr>
            <w:r>
              <w:rPr>
                <w:color w:val="000000"/>
                <w:sz w:val="24"/>
              </w:rPr>
              <w:t>300284</w:t>
            </w:r>
          </w:p>
        </w:tc>
        <w:tc>
          <w:tcPr>
            <w:tcW w:w="1769" w:type="dxa"/>
            <w:vAlign w:val="center"/>
          </w:tcPr>
          <w:p w:rsidR="00D96875" w:rsidRDefault="009227E7">
            <w:pPr>
              <w:jc w:val="center"/>
            </w:pPr>
            <w:r>
              <w:rPr>
                <w:color w:val="000000"/>
                <w:sz w:val="24"/>
              </w:rPr>
              <w:t>苏交科</w:t>
            </w:r>
          </w:p>
        </w:tc>
        <w:tc>
          <w:tcPr>
            <w:tcW w:w="1327" w:type="dxa"/>
            <w:vAlign w:val="center"/>
          </w:tcPr>
          <w:p w:rsidR="00D96875" w:rsidRDefault="009227E7">
            <w:pPr>
              <w:jc w:val="right"/>
            </w:pPr>
            <w:r>
              <w:rPr>
                <w:color w:val="000000"/>
                <w:sz w:val="24"/>
              </w:rPr>
              <w:t>99,952</w:t>
            </w:r>
          </w:p>
        </w:tc>
        <w:tc>
          <w:tcPr>
            <w:tcW w:w="1915" w:type="dxa"/>
            <w:vAlign w:val="center"/>
          </w:tcPr>
          <w:p w:rsidR="00D96875" w:rsidRDefault="009227E7">
            <w:pPr>
              <w:jc w:val="right"/>
            </w:pPr>
            <w:r>
              <w:rPr>
                <w:color w:val="000000"/>
                <w:sz w:val="24"/>
              </w:rPr>
              <w:t>2,079,001.60</w:t>
            </w:r>
          </w:p>
        </w:tc>
        <w:tc>
          <w:tcPr>
            <w:tcW w:w="1680" w:type="dxa"/>
            <w:vAlign w:val="center"/>
          </w:tcPr>
          <w:p w:rsidR="00D96875" w:rsidRDefault="009227E7">
            <w:pPr>
              <w:jc w:val="right"/>
            </w:pPr>
            <w:r>
              <w:rPr>
                <w:color w:val="000000"/>
                <w:sz w:val="24"/>
              </w:rPr>
              <w:t>0.27</w:t>
            </w:r>
          </w:p>
        </w:tc>
      </w:tr>
      <w:tr w:rsidR="00D96875">
        <w:trPr>
          <w:jc w:val="center"/>
        </w:trPr>
        <w:tc>
          <w:tcPr>
            <w:tcW w:w="850" w:type="dxa"/>
            <w:vAlign w:val="center"/>
          </w:tcPr>
          <w:p w:rsidR="00D96875" w:rsidRDefault="009227E7">
            <w:pPr>
              <w:jc w:val="center"/>
            </w:pPr>
            <w:r>
              <w:rPr>
                <w:color w:val="000000"/>
                <w:sz w:val="24"/>
              </w:rPr>
              <w:t>4</w:t>
            </w:r>
          </w:p>
        </w:tc>
        <w:tc>
          <w:tcPr>
            <w:tcW w:w="1327" w:type="dxa"/>
            <w:vAlign w:val="center"/>
          </w:tcPr>
          <w:p w:rsidR="00D96875" w:rsidRDefault="009227E7">
            <w:pPr>
              <w:jc w:val="center"/>
            </w:pPr>
            <w:r>
              <w:rPr>
                <w:color w:val="000000"/>
                <w:sz w:val="24"/>
              </w:rPr>
              <w:t>600068</w:t>
            </w:r>
          </w:p>
        </w:tc>
        <w:tc>
          <w:tcPr>
            <w:tcW w:w="1769" w:type="dxa"/>
            <w:vAlign w:val="center"/>
          </w:tcPr>
          <w:p w:rsidR="00D96875" w:rsidRDefault="009227E7">
            <w:pPr>
              <w:jc w:val="center"/>
            </w:pPr>
            <w:r>
              <w:rPr>
                <w:color w:val="000000"/>
                <w:sz w:val="24"/>
              </w:rPr>
              <w:t>葛洲坝</w:t>
            </w:r>
          </w:p>
        </w:tc>
        <w:tc>
          <w:tcPr>
            <w:tcW w:w="1327" w:type="dxa"/>
            <w:vAlign w:val="center"/>
          </w:tcPr>
          <w:p w:rsidR="00D96875" w:rsidRDefault="009227E7">
            <w:pPr>
              <w:jc w:val="right"/>
            </w:pPr>
            <w:r>
              <w:rPr>
                <w:color w:val="000000"/>
                <w:sz w:val="24"/>
              </w:rPr>
              <w:t>200,000</w:t>
            </w:r>
          </w:p>
        </w:tc>
        <w:tc>
          <w:tcPr>
            <w:tcW w:w="1915" w:type="dxa"/>
            <w:vAlign w:val="center"/>
          </w:tcPr>
          <w:p w:rsidR="00D96875" w:rsidRDefault="009227E7">
            <w:pPr>
              <w:jc w:val="right"/>
            </w:pPr>
            <w:r>
              <w:rPr>
                <w:color w:val="000000"/>
                <w:sz w:val="24"/>
              </w:rPr>
              <w:t>1,838,000.00</w:t>
            </w:r>
          </w:p>
        </w:tc>
        <w:tc>
          <w:tcPr>
            <w:tcW w:w="1680" w:type="dxa"/>
            <w:vAlign w:val="center"/>
          </w:tcPr>
          <w:p w:rsidR="00D96875" w:rsidRDefault="009227E7">
            <w:pPr>
              <w:jc w:val="right"/>
            </w:pPr>
            <w:r>
              <w:rPr>
                <w:color w:val="000000"/>
                <w:sz w:val="24"/>
              </w:rPr>
              <w:t>0.24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C7154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C7154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4,948,000.00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0.64</w:t>
            </w:r>
          </w:p>
        </w:tc>
      </w:tr>
      <w:tr w:rsidR="00296E4A" w:rsidRPr="007F52FA" w:rsidTr="00C7154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C7154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449,235,000.00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58.20</w:t>
            </w:r>
          </w:p>
        </w:tc>
      </w:tr>
      <w:tr w:rsidR="00296E4A" w:rsidRPr="007F52FA" w:rsidTr="00C71543">
        <w:trPr>
          <w:jc w:val="center"/>
        </w:trPr>
        <w:tc>
          <w:tcPr>
            <w:tcW w:w="850" w:type="dxa"/>
            <w:vAlign w:val="center"/>
          </w:tcPr>
          <w:p w:rsidR="00296E4A" w:rsidRPr="007F52FA" w:rsidRDefault="00296E4A" w:rsidP="007C14DF">
            <w:pPr>
              <w:spacing w:before="29" w:line="288" w:lineRule="auto"/>
              <w:ind w:left="17"/>
              <w:jc w:val="center"/>
              <w:rPr>
                <w:color w:val="000000"/>
                <w:sz w:val="24"/>
              </w:rPr>
            </w:pP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449,235,000.00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58.20</w:t>
            </w:r>
          </w:p>
        </w:tc>
      </w:tr>
      <w:tr w:rsidR="00C71543" w:rsidRPr="007F52FA" w:rsidTr="005C388D">
        <w:trPr>
          <w:jc w:val="center"/>
        </w:trPr>
        <w:tc>
          <w:tcPr>
            <w:tcW w:w="850" w:type="dxa"/>
            <w:vAlign w:val="center"/>
          </w:tcPr>
          <w:p w:rsidR="00C71543" w:rsidRPr="007F52FA" w:rsidRDefault="00C71543" w:rsidP="00C71543">
            <w:pPr>
              <w:spacing w:before="29" w:line="288" w:lineRule="auto"/>
              <w:ind w:left="17"/>
              <w:jc w:val="center"/>
              <w:rPr>
                <w:color w:val="000000"/>
                <w:sz w:val="24"/>
              </w:rPr>
            </w:pPr>
            <w:r w:rsidRPr="007F52FA">
              <w:rPr>
                <w:color w:val="000000"/>
                <w:sz w:val="24"/>
              </w:rPr>
              <w:t>4</w:t>
            </w:r>
          </w:p>
        </w:tc>
        <w:tc>
          <w:tcPr>
            <w:tcW w:w="3390" w:type="dxa"/>
            <w:vAlign w:val="center"/>
          </w:tcPr>
          <w:p w:rsidR="00C71543" w:rsidRPr="007F52FA" w:rsidRDefault="00C71543" w:rsidP="00C71543">
            <w:pPr>
              <w:spacing w:before="29" w:line="288" w:lineRule="auto"/>
              <w:ind w:left="17"/>
              <w:jc w:val="left"/>
              <w:rPr>
                <w:color w:val="000000"/>
                <w:sz w:val="24"/>
              </w:rPr>
            </w:pPr>
            <w:r w:rsidRPr="007F52FA">
              <w:rPr>
                <w:color w:val="000000"/>
                <w:sz w:val="24"/>
              </w:rPr>
              <w:t>企业债券</w:t>
            </w:r>
          </w:p>
        </w:tc>
        <w:tc>
          <w:tcPr>
            <w:tcW w:w="2948" w:type="dxa"/>
          </w:tcPr>
          <w:p w:rsidR="00C71543" w:rsidRPr="007F52FA" w:rsidRDefault="00C71543" w:rsidP="00C71543">
            <w:pPr>
              <w:spacing w:before="29" w:line="288" w:lineRule="auto"/>
              <w:ind w:left="17"/>
              <w:jc w:val="right"/>
              <w:rPr>
                <w:color w:val="000000"/>
                <w:sz w:val="24"/>
              </w:rPr>
            </w:pPr>
            <w:r w:rsidRPr="005C388D">
              <w:rPr>
                <w:color w:val="000000"/>
                <w:sz w:val="24"/>
              </w:rPr>
              <w:t>90,298,739.50</w:t>
            </w:r>
          </w:p>
        </w:tc>
        <w:tc>
          <w:tcPr>
            <w:tcW w:w="1680" w:type="dxa"/>
          </w:tcPr>
          <w:p w:rsidR="00C71543" w:rsidRPr="007F52FA" w:rsidRDefault="00C71543" w:rsidP="00C71543">
            <w:pPr>
              <w:spacing w:before="29" w:line="288" w:lineRule="auto"/>
              <w:ind w:left="17"/>
              <w:jc w:val="right"/>
              <w:rPr>
                <w:color w:val="000000"/>
                <w:sz w:val="24"/>
              </w:rPr>
            </w:pPr>
            <w:r w:rsidRPr="005C388D">
              <w:rPr>
                <w:color w:val="000000"/>
                <w:sz w:val="24"/>
              </w:rPr>
              <w:t>11.70</w:t>
            </w:r>
          </w:p>
        </w:tc>
      </w:tr>
      <w:tr w:rsidR="00296E4A" w:rsidRPr="007F52FA" w:rsidTr="00C7154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C71543">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5,224,500.00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0.68</w:t>
            </w:r>
          </w:p>
        </w:tc>
      </w:tr>
      <w:tr w:rsidR="00686943" w:rsidRPr="007F52FA" w:rsidTr="00C71543">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6,685,930.00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0.87</w:t>
            </w:r>
          </w:p>
        </w:tc>
      </w:tr>
      <w:tr w:rsidR="00514118" w:rsidRPr="007F52FA" w:rsidTr="00C71543">
        <w:trPr>
          <w:jc w:val="center"/>
        </w:trPr>
        <w:tc>
          <w:tcPr>
            <w:tcW w:w="850"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39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80"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C71543" w:rsidRPr="007F52FA" w:rsidTr="00C71543">
        <w:trPr>
          <w:jc w:val="center"/>
        </w:trPr>
        <w:tc>
          <w:tcPr>
            <w:tcW w:w="850" w:type="dxa"/>
            <w:vAlign w:val="center"/>
          </w:tcPr>
          <w:p w:rsidR="00C71543" w:rsidRPr="007F52FA" w:rsidRDefault="00C71543" w:rsidP="00C71543">
            <w:pPr>
              <w:spacing w:before="29" w:line="288" w:lineRule="auto"/>
              <w:ind w:left="17"/>
              <w:jc w:val="center"/>
              <w:rPr>
                <w:color w:val="000000"/>
                <w:sz w:val="24"/>
              </w:rPr>
            </w:pPr>
            <w:r w:rsidRPr="007F52FA">
              <w:rPr>
                <w:color w:val="000000"/>
                <w:sz w:val="24"/>
              </w:rPr>
              <w:t>9</w:t>
            </w:r>
          </w:p>
        </w:tc>
        <w:tc>
          <w:tcPr>
            <w:tcW w:w="3390" w:type="dxa"/>
            <w:vAlign w:val="center"/>
          </w:tcPr>
          <w:p w:rsidR="00C71543" w:rsidRPr="007F52FA" w:rsidRDefault="00C71543" w:rsidP="00C71543">
            <w:pPr>
              <w:spacing w:before="29" w:line="288" w:lineRule="auto"/>
              <w:ind w:left="17"/>
              <w:jc w:val="left"/>
              <w:rPr>
                <w:color w:val="000000"/>
                <w:sz w:val="24"/>
              </w:rPr>
            </w:pPr>
            <w:r w:rsidRPr="007F52FA">
              <w:rPr>
                <w:color w:val="000000"/>
                <w:sz w:val="24"/>
              </w:rPr>
              <w:t>其他</w:t>
            </w:r>
          </w:p>
        </w:tc>
        <w:tc>
          <w:tcPr>
            <w:tcW w:w="2948" w:type="dxa"/>
            <w:vAlign w:val="center"/>
          </w:tcPr>
          <w:p w:rsidR="00C71543" w:rsidRPr="007F52FA" w:rsidRDefault="00C71543" w:rsidP="00C71543">
            <w:pPr>
              <w:spacing w:before="29" w:line="288" w:lineRule="auto"/>
              <w:ind w:left="17"/>
              <w:jc w:val="right"/>
              <w:rPr>
                <w:color w:val="000000"/>
                <w:sz w:val="24"/>
              </w:rPr>
            </w:pPr>
            <w:r w:rsidRPr="005C388D">
              <w:rPr>
                <w:color w:val="000000"/>
                <w:sz w:val="24"/>
              </w:rPr>
              <w:t>137,406,000.00</w:t>
            </w:r>
          </w:p>
        </w:tc>
        <w:tc>
          <w:tcPr>
            <w:tcW w:w="1680" w:type="dxa"/>
            <w:vAlign w:val="center"/>
          </w:tcPr>
          <w:p w:rsidR="00C71543" w:rsidRPr="007F52FA" w:rsidRDefault="00C71543" w:rsidP="00C71543">
            <w:pPr>
              <w:spacing w:before="29" w:line="288" w:lineRule="auto"/>
              <w:ind w:left="17"/>
              <w:jc w:val="right"/>
              <w:rPr>
                <w:color w:val="000000"/>
                <w:sz w:val="24"/>
              </w:rPr>
            </w:pPr>
            <w:r w:rsidRPr="005C388D">
              <w:rPr>
                <w:color w:val="000000"/>
                <w:sz w:val="24"/>
              </w:rPr>
              <w:t>17.80</w:t>
            </w:r>
          </w:p>
        </w:tc>
      </w:tr>
      <w:tr w:rsidR="00686943" w:rsidRPr="007F52FA" w:rsidTr="00C71543">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693,798,169.50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89.89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96875">
        <w:trPr>
          <w:jc w:val="center"/>
        </w:trPr>
        <w:tc>
          <w:tcPr>
            <w:tcW w:w="1075" w:type="dxa"/>
            <w:vAlign w:val="center"/>
          </w:tcPr>
          <w:p w:rsidR="00D96875" w:rsidRDefault="009227E7">
            <w:pPr>
              <w:jc w:val="center"/>
            </w:pPr>
            <w:r>
              <w:rPr>
                <w:color w:val="000000"/>
                <w:sz w:val="24"/>
              </w:rPr>
              <w:t>1</w:t>
            </w:r>
          </w:p>
        </w:tc>
        <w:tc>
          <w:tcPr>
            <w:tcW w:w="1533" w:type="dxa"/>
            <w:vAlign w:val="center"/>
          </w:tcPr>
          <w:p w:rsidR="00D96875" w:rsidRDefault="009227E7">
            <w:pPr>
              <w:jc w:val="center"/>
            </w:pPr>
            <w:r>
              <w:rPr>
                <w:color w:val="000000"/>
                <w:sz w:val="24"/>
              </w:rPr>
              <w:t>160211</w:t>
            </w:r>
          </w:p>
        </w:tc>
        <w:tc>
          <w:tcPr>
            <w:tcW w:w="1533" w:type="dxa"/>
            <w:vAlign w:val="center"/>
          </w:tcPr>
          <w:p w:rsidR="00D96875" w:rsidRDefault="009227E7">
            <w:pPr>
              <w:jc w:val="center"/>
            </w:pPr>
            <w:r>
              <w:rPr>
                <w:color w:val="000000"/>
                <w:sz w:val="24"/>
              </w:rPr>
              <w:t>16</w:t>
            </w:r>
            <w:r>
              <w:rPr>
                <w:color w:val="000000"/>
                <w:sz w:val="24"/>
              </w:rPr>
              <w:t>国开</w:t>
            </w:r>
            <w:r>
              <w:rPr>
                <w:color w:val="000000"/>
                <w:sz w:val="24"/>
              </w:rPr>
              <w:t>11</w:t>
            </w:r>
          </w:p>
        </w:tc>
        <w:tc>
          <w:tcPr>
            <w:tcW w:w="1394" w:type="dxa"/>
            <w:vAlign w:val="center"/>
          </w:tcPr>
          <w:p w:rsidR="00D96875" w:rsidRDefault="009227E7">
            <w:pPr>
              <w:jc w:val="right"/>
            </w:pPr>
            <w:r>
              <w:rPr>
                <w:color w:val="000000"/>
                <w:sz w:val="24"/>
              </w:rPr>
              <w:t>4,500,000</w:t>
            </w:r>
          </w:p>
        </w:tc>
        <w:tc>
          <w:tcPr>
            <w:tcW w:w="1944" w:type="dxa"/>
            <w:vAlign w:val="center"/>
          </w:tcPr>
          <w:p w:rsidR="00D96875" w:rsidRDefault="009227E7">
            <w:pPr>
              <w:jc w:val="right"/>
            </w:pPr>
            <w:r>
              <w:rPr>
                <w:color w:val="000000"/>
                <w:sz w:val="24"/>
              </w:rPr>
              <w:t>449,235,000.00</w:t>
            </w:r>
          </w:p>
        </w:tc>
        <w:tc>
          <w:tcPr>
            <w:tcW w:w="1389" w:type="dxa"/>
            <w:vAlign w:val="center"/>
          </w:tcPr>
          <w:p w:rsidR="00D96875" w:rsidRDefault="009227E7">
            <w:pPr>
              <w:jc w:val="right"/>
            </w:pPr>
            <w:r>
              <w:rPr>
                <w:color w:val="000000"/>
                <w:sz w:val="24"/>
              </w:rPr>
              <w:t>58.20</w:t>
            </w:r>
          </w:p>
        </w:tc>
      </w:tr>
      <w:tr w:rsidR="00D96875">
        <w:trPr>
          <w:jc w:val="center"/>
        </w:trPr>
        <w:tc>
          <w:tcPr>
            <w:tcW w:w="1075" w:type="dxa"/>
            <w:vAlign w:val="center"/>
          </w:tcPr>
          <w:p w:rsidR="00D96875" w:rsidRDefault="009227E7">
            <w:pPr>
              <w:jc w:val="center"/>
            </w:pPr>
            <w:r>
              <w:rPr>
                <w:color w:val="000000"/>
                <w:sz w:val="24"/>
              </w:rPr>
              <w:t>2</w:t>
            </w:r>
          </w:p>
        </w:tc>
        <w:tc>
          <w:tcPr>
            <w:tcW w:w="1533" w:type="dxa"/>
            <w:vAlign w:val="center"/>
          </w:tcPr>
          <w:p w:rsidR="00D96875" w:rsidRDefault="009227E7">
            <w:pPr>
              <w:jc w:val="center"/>
            </w:pPr>
            <w:r>
              <w:rPr>
                <w:color w:val="000000"/>
                <w:sz w:val="24"/>
              </w:rPr>
              <w:t>140090</w:t>
            </w:r>
          </w:p>
        </w:tc>
        <w:tc>
          <w:tcPr>
            <w:tcW w:w="1533" w:type="dxa"/>
            <w:vAlign w:val="center"/>
          </w:tcPr>
          <w:p w:rsidR="00D96875" w:rsidRDefault="009227E7">
            <w:pPr>
              <w:jc w:val="center"/>
            </w:pPr>
            <w:r>
              <w:rPr>
                <w:color w:val="000000"/>
                <w:sz w:val="24"/>
              </w:rPr>
              <w:t>16</w:t>
            </w:r>
            <w:r>
              <w:rPr>
                <w:color w:val="000000"/>
                <w:sz w:val="24"/>
              </w:rPr>
              <w:t>广东</w:t>
            </w:r>
            <w:r>
              <w:rPr>
                <w:color w:val="000000"/>
                <w:sz w:val="24"/>
              </w:rPr>
              <w:t>16</w:t>
            </w:r>
          </w:p>
        </w:tc>
        <w:tc>
          <w:tcPr>
            <w:tcW w:w="1394" w:type="dxa"/>
            <w:vAlign w:val="center"/>
          </w:tcPr>
          <w:p w:rsidR="00D96875" w:rsidRDefault="009227E7">
            <w:pPr>
              <w:jc w:val="right"/>
            </w:pPr>
            <w:r>
              <w:rPr>
                <w:color w:val="000000"/>
                <w:sz w:val="24"/>
              </w:rPr>
              <w:t>600,000</w:t>
            </w:r>
          </w:p>
        </w:tc>
        <w:tc>
          <w:tcPr>
            <w:tcW w:w="1944" w:type="dxa"/>
            <w:vAlign w:val="center"/>
          </w:tcPr>
          <w:p w:rsidR="00D96875" w:rsidRDefault="009227E7">
            <w:pPr>
              <w:jc w:val="right"/>
            </w:pPr>
            <w:r>
              <w:rPr>
                <w:color w:val="000000"/>
                <w:sz w:val="24"/>
              </w:rPr>
              <w:t>59,376,000.00</w:t>
            </w:r>
          </w:p>
        </w:tc>
        <w:tc>
          <w:tcPr>
            <w:tcW w:w="1389" w:type="dxa"/>
            <w:vAlign w:val="center"/>
          </w:tcPr>
          <w:p w:rsidR="00D96875" w:rsidRDefault="009227E7">
            <w:pPr>
              <w:jc w:val="right"/>
            </w:pPr>
            <w:r>
              <w:rPr>
                <w:color w:val="000000"/>
                <w:sz w:val="24"/>
              </w:rPr>
              <w:t>7.69</w:t>
            </w:r>
          </w:p>
        </w:tc>
      </w:tr>
      <w:tr w:rsidR="00D96875">
        <w:trPr>
          <w:jc w:val="center"/>
        </w:trPr>
        <w:tc>
          <w:tcPr>
            <w:tcW w:w="1075" w:type="dxa"/>
            <w:vAlign w:val="center"/>
          </w:tcPr>
          <w:p w:rsidR="00D96875" w:rsidRDefault="009227E7">
            <w:pPr>
              <w:jc w:val="center"/>
            </w:pPr>
            <w:r>
              <w:rPr>
                <w:color w:val="000000"/>
                <w:sz w:val="24"/>
              </w:rPr>
              <w:t>3</w:t>
            </w:r>
          </w:p>
        </w:tc>
        <w:tc>
          <w:tcPr>
            <w:tcW w:w="1533" w:type="dxa"/>
            <w:vAlign w:val="center"/>
          </w:tcPr>
          <w:p w:rsidR="00D96875" w:rsidRDefault="009227E7">
            <w:pPr>
              <w:jc w:val="center"/>
            </w:pPr>
            <w:r>
              <w:rPr>
                <w:color w:val="000000"/>
                <w:sz w:val="24"/>
              </w:rPr>
              <w:t>140035</w:t>
            </w:r>
          </w:p>
        </w:tc>
        <w:tc>
          <w:tcPr>
            <w:tcW w:w="1533" w:type="dxa"/>
            <w:vAlign w:val="center"/>
          </w:tcPr>
          <w:p w:rsidR="00D96875" w:rsidRDefault="009227E7">
            <w:pPr>
              <w:jc w:val="center"/>
            </w:pPr>
            <w:r>
              <w:rPr>
                <w:color w:val="000000"/>
                <w:sz w:val="24"/>
              </w:rPr>
              <w:t>16</w:t>
            </w:r>
            <w:r>
              <w:rPr>
                <w:color w:val="000000"/>
                <w:sz w:val="24"/>
              </w:rPr>
              <w:t>湖北</w:t>
            </w:r>
            <w:r>
              <w:rPr>
                <w:color w:val="000000"/>
                <w:sz w:val="24"/>
              </w:rPr>
              <w:t>12</w:t>
            </w:r>
          </w:p>
        </w:tc>
        <w:tc>
          <w:tcPr>
            <w:tcW w:w="1394" w:type="dxa"/>
            <w:vAlign w:val="center"/>
          </w:tcPr>
          <w:p w:rsidR="00D96875" w:rsidRDefault="009227E7">
            <w:pPr>
              <w:jc w:val="right"/>
            </w:pPr>
            <w:r>
              <w:rPr>
                <w:color w:val="000000"/>
                <w:sz w:val="24"/>
              </w:rPr>
              <w:t>400,000</w:t>
            </w:r>
          </w:p>
        </w:tc>
        <w:tc>
          <w:tcPr>
            <w:tcW w:w="1944" w:type="dxa"/>
            <w:vAlign w:val="center"/>
          </w:tcPr>
          <w:p w:rsidR="00D96875" w:rsidRDefault="009227E7">
            <w:pPr>
              <w:jc w:val="right"/>
            </w:pPr>
            <w:r>
              <w:rPr>
                <w:color w:val="000000"/>
                <w:sz w:val="24"/>
              </w:rPr>
              <w:t>39,616,000.00</w:t>
            </w:r>
          </w:p>
        </w:tc>
        <w:tc>
          <w:tcPr>
            <w:tcW w:w="1389" w:type="dxa"/>
            <w:vAlign w:val="center"/>
          </w:tcPr>
          <w:p w:rsidR="00D96875" w:rsidRDefault="009227E7">
            <w:pPr>
              <w:jc w:val="right"/>
            </w:pPr>
            <w:r>
              <w:rPr>
                <w:color w:val="000000"/>
                <w:sz w:val="24"/>
              </w:rPr>
              <w:t>5.13</w:t>
            </w:r>
          </w:p>
        </w:tc>
      </w:tr>
      <w:tr w:rsidR="00D96875">
        <w:trPr>
          <w:jc w:val="center"/>
        </w:trPr>
        <w:tc>
          <w:tcPr>
            <w:tcW w:w="1075" w:type="dxa"/>
            <w:vAlign w:val="center"/>
          </w:tcPr>
          <w:p w:rsidR="00D96875" w:rsidRDefault="009227E7">
            <w:pPr>
              <w:jc w:val="center"/>
            </w:pPr>
            <w:r>
              <w:rPr>
                <w:color w:val="000000"/>
                <w:sz w:val="24"/>
              </w:rPr>
              <w:t>4</w:t>
            </w:r>
          </w:p>
        </w:tc>
        <w:tc>
          <w:tcPr>
            <w:tcW w:w="1533" w:type="dxa"/>
            <w:vAlign w:val="center"/>
          </w:tcPr>
          <w:p w:rsidR="00D96875" w:rsidRDefault="009227E7">
            <w:pPr>
              <w:jc w:val="center"/>
            </w:pPr>
            <w:r>
              <w:rPr>
                <w:color w:val="000000"/>
                <w:sz w:val="24"/>
              </w:rPr>
              <w:t>124411</w:t>
            </w:r>
          </w:p>
        </w:tc>
        <w:tc>
          <w:tcPr>
            <w:tcW w:w="1533" w:type="dxa"/>
            <w:vAlign w:val="center"/>
          </w:tcPr>
          <w:p w:rsidR="00D96875" w:rsidRDefault="009227E7">
            <w:pPr>
              <w:jc w:val="center"/>
            </w:pPr>
            <w:r>
              <w:rPr>
                <w:color w:val="000000"/>
                <w:sz w:val="24"/>
              </w:rPr>
              <w:t>13</w:t>
            </w:r>
            <w:r>
              <w:rPr>
                <w:color w:val="000000"/>
                <w:sz w:val="24"/>
              </w:rPr>
              <w:t>国网</w:t>
            </w:r>
            <w:r>
              <w:rPr>
                <w:color w:val="000000"/>
                <w:sz w:val="24"/>
              </w:rPr>
              <w:t>04</w:t>
            </w:r>
          </w:p>
        </w:tc>
        <w:tc>
          <w:tcPr>
            <w:tcW w:w="1394" w:type="dxa"/>
            <w:vAlign w:val="center"/>
          </w:tcPr>
          <w:p w:rsidR="00D96875" w:rsidRDefault="009227E7">
            <w:pPr>
              <w:jc w:val="right"/>
            </w:pPr>
            <w:r>
              <w:rPr>
                <w:color w:val="000000"/>
                <w:sz w:val="24"/>
              </w:rPr>
              <w:t>200,000</w:t>
            </w:r>
          </w:p>
        </w:tc>
        <w:tc>
          <w:tcPr>
            <w:tcW w:w="1944" w:type="dxa"/>
            <w:vAlign w:val="center"/>
          </w:tcPr>
          <w:p w:rsidR="00D96875" w:rsidRDefault="009227E7">
            <w:pPr>
              <w:jc w:val="right"/>
            </w:pPr>
            <w:r>
              <w:rPr>
                <w:color w:val="000000"/>
                <w:sz w:val="24"/>
              </w:rPr>
              <w:t>22,822,000.00</w:t>
            </w:r>
          </w:p>
        </w:tc>
        <w:tc>
          <w:tcPr>
            <w:tcW w:w="1389" w:type="dxa"/>
            <w:vAlign w:val="center"/>
          </w:tcPr>
          <w:p w:rsidR="00D96875" w:rsidRDefault="009227E7">
            <w:pPr>
              <w:jc w:val="right"/>
            </w:pPr>
            <w:r>
              <w:rPr>
                <w:color w:val="000000"/>
                <w:sz w:val="24"/>
              </w:rPr>
              <w:t>2.96</w:t>
            </w:r>
          </w:p>
        </w:tc>
      </w:tr>
      <w:tr w:rsidR="00D96875">
        <w:trPr>
          <w:jc w:val="center"/>
        </w:trPr>
        <w:tc>
          <w:tcPr>
            <w:tcW w:w="1075" w:type="dxa"/>
            <w:vAlign w:val="center"/>
          </w:tcPr>
          <w:p w:rsidR="00D96875" w:rsidRDefault="009227E7">
            <w:pPr>
              <w:jc w:val="center"/>
            </w:pPr>
            <w:r>
              <w:rPr>
                <w:color w:val="000000"/>
                <w:sz w:val="24"/>
              </w:rPr>
              <w:t>5</w:t>
            </w:r>
          </w:p>
        </w:tc>
        <w:tc>
          <w:tcPr>
            <w:tcW w:w="1533" w:type="dxa"/>
            <w:vAlign w:val="center"/>
          </w:tcPr>
          <w:p w:rsidR="00D96875" w:rsidRDefault="009227E7">
            <w:pPr>
              <w:jc w:val="center"/>
            </w:pPr>
            <w:r>
              <w:rPr>
                <w:color w:val="000000"/>
                <w:sz w:val="24"/>
              </w:rPr>
              <w:t>127106</w:t>
            </w:r>
          </w:p>
        </w:tc>
        <w:tc>
          <w:tcPr>
            <w:tcW w:w="1533" w:type="dxa"/>
            <w:vAlign w:val="center"/>
          </w:tcPr>
          <w:p w:rsidR="00D96875" w:rsidRDefault="009227E7">
            <w:pPr>
              <w:jc w:val="center"/>
            </w:pPr>
            <w:r>
              <w:rPr>
                <w:color w:val="000000"/>
                <w:sz w:val="24"/>
              </w:rPr>
              <w:t>14</w:t>
            </w:r>
            <w:r>
              <w:rPr>
                <w:color w:val="000000"/>
                <w:sz w:val="24"/>
              </w:rPr>
              <w:t>黑债</w:t>
            </w:r>
            <w:r>
              <w:rPr>
                <w:color w:val="000000"/>
                <w:sz w:val="24"/>
              </w:rPr>
              <w:t>01</w:t>
            </w:r>
          </w:p>
        </w:tc>
        <w:tc>
          <w:tcPr>
            <w:tcW w:w="1394" w:type="dxa"/>
            <w:vAlign w:val="center"/>
          </w:tcPr>
          <w:p w:rsidR="00D96875" w:rsidRDefault="009227E7">
            <w:pPr>
              <w:jc w:val="right"/>
            </w:pPr>
            <w:r>
              <w:rPr>
                <w:color w:val="000000"/>
                <w:sz w:val="24"/>
              </w:rPr>
              <w:t>200,000</w:t>
            </w:r>
          </w:p>
        </w:tc>
        <w:tc>
          <w:tcPr>
            <w:tcW w:w="1944" w:type="dxa"/>
            <w:vAlign w:val="center"/>
          </w:tcPr>
          <w:p w:rsidR="00D96875" w:rsidRDefault="009227E7">
            <w:pPr>
              <w:jc w:val="right"/>
            </w:pPr>
            <w:r>
              <w:rPr>
                <w:color w:val="000000"/>
                <w:sz w:val="24"/>
              </w:rPr>
              <w:t>20,816,000.00</w:t>
            </w:r>
          </w:p>
        </w:tc>
        <w:tc>
          <w:tcPr>
            <w:tcW w:w="1389" w:type="dxa"/>
            <w:vAlign w:val="center"/>
          </w:tcPr>
          <w:p w:rsidR="00D96875" w:rsidRDefault="009227E7">
            <w:pPr>
              <w:jc w:val="right"/>
            </w:pPr>
            <w:r>
              <w:rPr>
                <w:color w:val="000000"/>
                <w:sz w:val="24"/>
              </w:rPr>
              <w:t>2.70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552,911.04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11,384,161.06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6,339.49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11,943,411.59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96875">
        <w:trPr>
          <w:jc w:val="center"/>
        </w:trPr>
        <w:tc>
          <w:tcPr>
            <w:tcW w:w="0" w:type="auto"/>
            <w:vAlign w:val="center"/>
          </w:tcPr>
          <w:p w:rsidR="00D96875" w:rsidRDefault="009227E7">
            <w:pPr>
              <w:jc w:val="center"/>
            </w:pPr>
            <w:r>
              <w:rPr>
                <w:rFonts w:eastAsiaTheme="minorEastAsia"/>
                <w:color w:val="000000"/>
                <w:sz w:val="24"/>
              </w:rPr>
              <w:t>1</w:t>
            </w:r>
          </w:p>
        </w:tc>
        <w:tc>
          <w:tcPr>
            <w:tcW w:w="0" w:type="auto"/>
            <w:vAlign w:val="center"/>
          </w:tcPr>
          <w:p w:rsidR="00D96875" w:rsidRDefault="009227E7">
            <w:pPr>
              <w:jc w:val="center"/>
            </w:pPr>
            <w:r>
              <w:rPr>
                <w:rFonts w:eastAsiaTheme="minorEastAsia"/>
                <w:color w:val="000000"/>
                <w:sz w:val="24"/>
              </w:rPr>
              <w:t>113008</w:t>
            </w:r>
          </w:p>
        </w:tc>
        <w:tc>
          <w:tcPr>
            <w:tcW w:w="0" w:type="auto"/>
            <w:vAlign w:val="center"/>
          </w:tcPr>
          <w:p w:rsidR="00D96875" w:rsidRDefault="009227E7">
            <w:pPr>
              <w:jc w:val="center"/>
            </w:pPr>
            <w:r>
              <w:rPr>
                <w:rFonts w:eastAsiaTheme="minorEastAsia"/>
                <w:color w:val="000000"/>
                <w:sz w:val="24"/>
              </w:rPr>
              <w:t>电气转债</w:t>
            </w:r>
          </w:p>
        </w:tc>
        <w:tc>
          <w:tcPr>
            <w:tcW w:w="0" w:type="auto"/>
            <w:vAlign w:val="center"/>
          </w:tcPr>
          <w:p w:rsidR="00D96875" w:rsidRDefault="009227E7">
            <w:pPr>
              <w:jc w:val="right"/>
            </w:pPr>
            <w:r>
              <w:rPr>
                <w:rFonts w:eastAsiaTheme="minorEastAsia"/>
                <w:color w:val="000000"/>
                <w:sz w:val="24"/>
              </w:rPr>
              <w:t>3,547,330.00</w:t>
            </w:r>
          </w:p>
        </w:tc>
        <w:tc>
          <w:tcPr>
            <w:tcW w:w="0" w:type="auto"/>
            <w:vAlign w:val="center"/>
          </w:tcPr>
          <w:p w:rsidR="00D96875" w:rsidRDefault="009227E7">
            <w:pPr>
              <w:jc w:val="right"/>
            </w:pPr>
            <w:r>
              <w:rPr>
                <w:rFonts w:eastAsiaTheme="minorEastAsia"/>
                <w:color w:val="000000"/>
                <w:sz w:val="24"/>
              </w:rPr>
              <w:t>0.46</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862442" w:rsidRDefault="001D5CD0" w:rsidP="00862442">
      <w:pPr>
        <w:autoSpaceDE w:val="0"/>
        <w:autoSpaceDN w:val="0"/>
        <w:adjustRightInd w:val="0"/>
        <w:spacing w:before="29" w:line="288" w:lineRule="auto"/>
        <w:jc w:val="left"/>
        <w:rPr>
          <w:kern w:val="0"/>
          <w:sz w:val="24"/>
          <w:highlight w:val="yellow"/>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W w:w="8865" w:type="dxa"/>
        <w:jc w:val="center"/>
        <w:tblCellMar>
          <w:left w:w="0" w:type="dxa"/>
          <w:right w:w="0" w:type="dxa"/>
        </w:tblCellMar>
        <w:tblLook w:val="04A0" w:firstRow="1" w:lastRow="0" w:firstColumn="1" w:lastColumn="0" w:noHBand="0" w:noVBand="1"/>
      </w:tblPr>
      <w:tblGrid>
        <w:gridCol w:w="1129"/>
        <w:gridCol w:w="1356"/>
        <w:gridCol w:w="1354"/>
        <w:gridCol w:w="1880"/>
        <w:gridCol w:w="1723"/>
        <w:gridCol w:w="1423"/>
      </w:tblGrid>
      <w:tr w:rsidR="00862442" w:rsidRPr="00862442" w:rsidTr="00862442">
        <w:trPr>
          <w:jc w:val="center"/>
        </w:trPr>
        <w:tc>
          <w:tcPr>
            <w:tcW w:w="1129"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spacing w:before="29" w:line="288" w:lineRule="auto"/>
              <w:ind w:left="17"/>
              <w:jc w:val="center"/>
              <w:rPr>
                <w:color w:val="000000"/>
                <w:sz w:val="24"/>
              </w:rPr>
            </w:pPr>
            <w:r w:rsidRPr="00862442">
              <w:rPr>
                <w:rFonts w:ascii="宋体" w:hAnsi="宋体" w:hint="eastAsia"/>
                <w:color w:val="000000"/>
                <w:sz w:val="24"/>
              </w:rPr>
              <w:t>序号</w:t>
            </w:r>
          </w:p>
        </w:tc>
        <w:tc>
          <w:tcPr>
            <w:tcW w:w="135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spacing w:before="29" w:line="288" w:lineRule="auto"/>
              <w:ind w:left="17"/>
              <w:jc w:val="center"/>
              <w:rPr>
                <w:color w:val="000000"/>
                <w:sz w:val="24"/>
              </w:rPr>
            </w:pPr>
            <w:r w:rsidRPr="00862442">
              <w:rPr>
                <w:rFonts w:ascii="宋体" w:hAnsi="宋体" w:hint="eastAsia"/>
                <w:color w:val="000000"/>
                <w:sz w:val="24"/>
              </w:rPr>
              <w:t>股票代码</w:t>
            </w:r>
          </w:p>
        </w:tc>
        <w:tc>
          <w:tcPr>
            <w:tcW w:w="1355"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spacing w:before="29" w:line="288" w:lineRule="auto"/>
              <w:ind w:left="17"/>
              <w:jc w:val="center"/>
              <w:rPr>
                <w:color w:val="000000"/>
                <w:sz w:val="24"/>
              </w:rPr>
            </w:pPr>
            <w:r w:rsidRPr="00862442">
              <w:rPr>
                <w:rFonts w:ascii="宋体" w:hAnsi="宋体" w:hint="eastAsia"/>
                <w:color w:val="000000"/>
                <w:sz w:val="24"/>
              </w:rPr>
              <w:t>股票名称</w:t>
            </w:r>
          </w:p>
        </w:tc>
        <w:tc>
          <w:tcPr>
            <w:tcW w:w="1880"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spacing w:before="29" w:line="288" w:lineRule="auto"/>
              <w:ind w:left="17"/>
              <w:jc w:val="center"/>
              <w:rPr>
                <w:color w:val="000000"/>
                <w:sz w:val="24"/>
              </w:rPr>
            </w:pPr>
            <w:r w:rsidRPr="00862442">
              <w:rPr>
                <w:rFonts w:ascii="宋体" w:hAnsi="宋体" w:hint="eastAsia"/>
                <w:color w:val="000000"/>
                <w:sz w:val="24"/>
              </w:rPr>
              <w:t>流通受限部分的公允价值</w:t>
            </w:r>
            <w:r w:rsidRPr="00862442">
              <w:rPr>
                <w:color w:val="000000"/>
                <w:sz w:val="24"/>
              </w:rPr>
              <w:t>(</w:t>
            </w:r>
            <w:r w:rsidRPr="00862442">
              <w:rPr>
                <w:rFonts w:ascii="宋体" w:hAnsi="宋体" w:hint="eastAsia"/>
                <w:color w:val="000000"/>
                <w:sz w:val="24"/>
              </w:rPr>
              <w:t>元</w:t>
            </w:r>
            <w:r w:rsidRPr="00862442">
              <w:rPr>
                <w:color w:val="000000"/>
                <w:sz w:val="24"/>
              </w:rPr>
              <w:t>)</w:t>
            </w:r>
          </w:p>
        </w:tc>
        <w:tc>
          <w:tcPr>
            <w:tcW w:w="172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spacing w:before="29" w:line="288" w:lineRule="auto"/>
              <w:ind w:left="17"/>
              <w:jc w:val="center"/>
              <w:rPr>
                <w:color w:val="000000"/>
                <w:sz w:val="24"/>
              </w:rPr>
            </w:pPr>
            <w:r w:rsidRPr="00862442">
              <w:rPr>
                <w:rFonts w:ascii="宋体" w:hAnsi="宋体" w:hint="eastAsia"/>
                <w:color w:val="000000"/>
                <w:sz w:val="24"/>
              </w:rPr>
              <w:t>占基金资产净值比例（％）</w:t>
            </w:r>
          </w:p>
        </w:tc>
        <w:tc>
          <w:tcPr>
            <w:tcW w:w="142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spacing w:before="29" w:line="288" w:lineRule="auto"/>
              <w:ind w:left="17"/>
              <w:jc w:val="center"/>
              <w:rPr>
                <w:color w:val="000000"/>
                <w:sz w:val="24"/>
              </w:rPr>
            </w:pPr>
            <w:r w:rsidRPr="00862442">
              <w:rPr>
                <w:rFonts w:ascii="宋体" w:hAnsi="宋体" w:hint="eastAsia"/>
                <w:color w:val="000000"/>
                <w:sz w:val="24"/>
              </w:rPr>
              <w:t>流通受限情况说明</w:t>
            </w:r>
          </w:p>
        </w:tc>
      </w:tr>
      <w:tr w:rsidR="00862442" w:rsidRPr="00862442" w:rsidTr="00862442">
        <w:trPr>
          <w:jc w:val="center"/>
        </w:trPr>
        <w:tc>
          <w:tcPr>
            <w:tcW w:w="1129"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jc w:val="center"/>
              <w:rPr>
                <w:szCs w:val="21"/>
              </w:rPr>
            </w:pPr>
            <w:r w:rsidRPr="00862442">
              <w:rPr>
                <w:color w:val="000000"/>
                <w:sz w:val="24"/>
              </w:rPr>
              <w:t>1</w:t>
            </w:r>
          </w:p>
        </w:tc>
        <w:tc>
          <w:tcPr>
            <w:tcW w:w="1356" w:type="dxa"/>
            <w:tcBorders>
              <w:top w:val="nil"/>
              <w:left w:val="nil"/>
              <w:bottom w:val="single" w:sz="8" w:space="0" w:color="auto"/>
              <w:right w:val="single" w:sz="8" w:space="0" w:color="auto"/>
            </w:tcBorders>
            <w:tcMar>
              <w:top w:w="57" w:type="dxa"/>
              <w:left w:w="108" w:type="dxa"/>
              <w:bottom w:w="57" w:type="dxa"/>
              <w:right w:w="108" w:type="dxa"/>
            </w:tcMar>
            <w:hideMark/>
          </w:tcPr>
          <w:p w:rsidR="00862442" w:rsidRPr="00862442" w:rsidRDefault="00862442">
            <w:pPr>
              <w:jc w:val="center"/>
              <w:rPr>
                <w:color w:val="000000"/>
                <w:sz w:val="24"/>
              </w:rPr>
            </w:pPr>
            <w:r w:rsidRPr="00862442">
              <w:rPr>
                <w:color w:val="000000"/>
                <w:sz w:val="24"/>
              </w:rPr>
              <w:t>000821</w:t>
            </w:r>
          </w:p>
        </w:tc>
        <w:tc>
          <w:tcPr>
            <w:tcW w:w="1355" w:type="dxa"/>
            <w:tcBorders>
              <w:top w:val="nil"/>
              <w:left w:val="nil"/>
              <w:bottom w:val="single" w:sz="8" w:space="0" w:color="auto"/>
              <w:right w:val="single" w:sz="8" w:space="0" w:color="auto"/>
            </w:tcBorders>
            <w:tcMar>
              <w:top w:w="57" w:type="dxa"/>
              <w:left w:w="108" w:type="dxa"/>
              <w:bottom w:w="57" w:type="dxa"/>
              <w:right w:w="108" w:type="dxa"/>
            </w:tcMar>
            <w:hideMark/>
          </w:tcPr>
          <w:p w:rsidR="00862442" w:rsidRPr="00862442" w:rsidRDefault="00862442">
            <w:pPr>
              <w:jc w:val="center"/>
              <w:rPr>
                <w:color w:val="000000"/>
                <w:sz w:val="24"/>
              </w:rPr>
            </w:pPr>
            <w:r w:rsidRPr="00862442">
              <w:rPr>
                <w:rFonts w:ascii="宋体" w:hAnsi="宋体" w:hint="eastAsia"/>
                <w:color w:val="000000"/>
                <w:sz w:val="24"/>
              </w:rPr>
              <w:t>京山轻机</w:t>
            </w:r>
          </w:p>
        </w:tc>
        <w:tc>
          <w:tcPr>
            <w:tcW w:w="1880" w:type="dxa"/>
            <w:tcBorders>
              <w:top w:val="nil"/>
              <w:left w:val="nil"/>
              <w:bottom w:val="single" w:sz="8" w:space="0" w:color="auto"/>
              <w:right w:val="single" w:sz="8" w:space="0" w:color="auto"/>
            </w:tcBorders>
            <w:tcMar>
              <w:top w:w="57" w:type="dxa"/>
              <w:left w:w="108" w:type="dxa"/>
              <w:bottom w:w="57" w:type="dxa"/>
              <w:right w:w="108" w:type="dxa"/>
            </w:tcMar>
            <w:vAlign w:val="bottom"/>
            <w:hideMark/>
          </w:tcPr>
          <w:p w:rsidR="00862442" w:rsidRPr="00862442" w:rsidRDefault="00862442">
            <w:pPr>
              <w:jc w:val="right"/>
              <w:rPr>
                <w:color w:val="000000"/>
                <w:sz w:val="24"/>
              </w:rPr>
            </w:pPr>
            <w:r w:rsidRPr="00862442">
              <w:rPr>
                <w:color w:val="000000"/>
                <w:sz w:val="24"/>
              </w:rPr>
              <w:t>4,602,000.00</w:t>
            </w:r>
          </w:p>
        </w:tc>
        <w:tc>
          <w:tcPr>
            <w:tcW w:w="1724" w:type="dxa"/>
            <w:tcBorders>
              <w:top w:val="nil"/>
              <w:left w:val="nil"/>
              <w:bottom w:val="single" w:sz="8" w:space="0" w:color="auto"/>
              <w:right w:val="single" w:sz="8" w:space="0" w:color="auto"/>
            </w:tcBorders>
            <w:tcMar>
              <w:top w:w="57" w:type="dxa"/>
              <w:left w:w="108" w:type="dxa"/>
              <w:bottom w:w="57" w:type="dxa"/>
              <w:right w:w="108" w:type="dxa"/>
            </w:tcMar>
            <w:vAlign w:val="bottom"/>
            <w:hideMark/>
          </w:tcPr>
          <w:p w:rsidR="00862442" w:rsidRPr="00862442" w:rsidRDefault="00862442">
            <w:pPr>
              <w:jc w:val="right"/>
              <w:rPr>
                <w:color w:val="000000"/>
                <w:sz w:val="24"/>
              </w:rPr>
            </w:pPr>
            <w:r w:rsidRPr="00862442">
              <w:rPr>
                <w:color w:val="000000"/>
                <w:sz w:val="24"/>
              </w:rPr>
              <w:t>0.60</w:t>
            </w:r>
          </w:p>
        </w:tc>
        <w:tc>
          <w:tcPr>
            <w:tcW w:w="14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jc w:val="right"/>
              <w:rPr>
                <w:szCs w:val="21"/>
              </w:rPr>
            </w:pPr>
            <w:r w:rsidRPr="00862442">
              <w:rPr>
                <w:rFonts w:ascii="宋体" w:hAnsi="宋体" w:hint="eastAsia"/>
                <w:color w:val="000000"/>
                <w:sz w:val="24"/>
              </w:rPr>
              <w:t>重大事项</w:t>
            </w:r>
          </w:p>
        </w:tc>
      </w:tr>
      <w:tr w:rsidR="00862442" w:rsidTr="00862442">
        <w:trPr>
          <w:jc w:val="center"/>
        </w:trPr>
        <w:tc>
          <w:tcPr>
            <w:tcW w:w="1129"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862442" w:rsidRPr="00862442" w:rsidRDefault="00862442">
            <w:pPr>
              <w:jc w:val="center"/>
              <w:rPr>
                <w:color w:val="000000"/>
                <w:sz w:val="24"/>
              </w:rPr>
            </w:pPr>
            <w:r w:rsidRPr="00862442">
              <w:rPr>
                <w:color w:val="000000"/>
                <w:sz w:val="24"/>
              </w:rPr>
              <w:t>2</w:t>
            </w:r>
          </w:p>
        </w:tc>
        <w:tc>
          <w:tcPr>
            <w:tcW w:w="1356" w:type="dxa"/>
            <w:tcBorders>
              <w:top w:val="nil"/>
              <w:left w:val="nil"/>
              <w:bottom w:val="single" w:sz="8" w:space="0" w:color="auto"/>
              <w:right w:val="single" w:sz="8" w:space="0" w:color="auto"/>
            </w:tcBorders>
            <w:tcMar>
              <w:top w:w="57" w:type="dxa"/>
              <w:left w:w="108" w:type="dxa"/>
              <w:bottom w:w="57" w:type="dxa"/>
              <w:right w:w="108" w:type="dxa"/>
            </w:tcMar>
            <w:hideMark/>
          </w:tcPr>
          <w:p w:rsidR="00862442" w:rsidRPr="00862442" w:rsidRDefault="00862442">
            <w:pPr>
              <w:jc w:val="center"/>
              <w:rPr>
                <w:color w:val="000000"/>
                <w:sz w:val="24"/>
              </w:rPr>
            </w:pPr>
            <w:r w:rsidRPr="00862442">
              <w:rPr>
                <w:color w:val="000000"/>
                <w:sz w:val="24"/>
              </w:rPr>
              <w:t>002659</w:t>
            </w:r>
          </w:p>
        </w:tc>
        <w:tc>
          <w:tcPr>
            <w:tcW w:w="1355" w:type="dxa"/>
            <w:tcBorders>
              <w:top w:val="nil"/>
              <w:left w:val="nil"/>
              <w:bottom w:val="single" w:sz="8" w:space="0" w:color="auto"/>
              <w:right w:val="single" w:sz="8" w:space="0" w:color="auto"/>
            </w:tcBorders>
            <w:tcMar>
              <w:top w:w="57" w:type="dxa"/>
              <w:left w:w="108" w:type="dxa"/>
              <w:bottom w:w="57" w:type="dxa"/>
              <w:right w:w="108" w:type="dxa"/>
            </w:tcMar>
            <w:hideMark/>
          </w:tcPr>
          <w:p w:rsidR="00862442" w:rsidRPr="00862442" w:rsidRDefault="00862442">
            <w:pPr>
              <w:jc w:val="center"/>
              <w:rPr>
                <w:color w:val="000000"/>
                <w:sz w:val="24"/>
              </w:rPr>
            </w:pPr>
            <w:r w:rsidRPr="00862442">
              <w:rPr>
                <w:rFonts w:ascii="宋体" w:hAnsi="宋体" w:hint="eastAsia"/>
                <w:color w:val="000000"/>
                <w:sz w:val="24"/>
              </w:rPr>
              <w:t>中泰桥梁</w:t>
            </w:r>
          </w:p>
        </w:tc>
        <w:tc>
          <w:tcPr>
            <w:tcW w:w="1880" w:type="dxa"/>
            <w:tcBorders>
              <w:top w:val="nil"/>
              <w:left w:val="nil"/>
              <w:bottom w:val="single" w:sz="8" w:space="0" w:color="auto"/>
              <w:right w:val="single" w:sz="8" w:space="0" w:color="auto"/>
            </w:tcBorders>
            <w:tcMar>
              <w:top w:w="57" w:type="dxa"/>
              <w:left w:w="108" w:type="dxa"/>
              <w:bottom w:w="57" w:type="dxa"/>
              <w:right w:w="108" w:type="dxa"/>
            </w:tcMar>
            <w:vAlign w:val="bottom"/>
            <w:hideMark/>
          </w:tcPr>
          <w:p w:rsidR="00862442" w:rsidRPr="00862442" w:rsidRDefault="00862442">
            <w:pPr>
              <w:jc w:val="right"/>
              <w:rPr>
                <w:color w:val="000000"/>
                <w:sz w:val="24"/>
              </w:rPr>
            </w:pPr>
            <w:r w:rsidRPr="00862442">
              <w:rPr>
                <w:color w:val="000000"/>
                <w:sz w:val="24"/>
              </w:rPr>
              <w:t>2,305,938.78</w:t>
            </w:r>
          </w:p>
        </w:tc>
        <w:tc>
          <w:tcPr>
            <w:tcW w:w="1724" w:type="dxa"/>
            <w:tcBorders>
              <w:top w:val="nil"/>
              <w:left w:val="nil"/>
              <w:bottom w:val="single" w:sz="8" w:space="0" w:color="auto"/>
              <w:right w:val="single" w:sz="8" w:space="0" w:color="auto"/>
            </w:tcBorders>
            <w:tcMar>
              <w:top w:w="57" w:type="dxa"/>
              <w:left w:w="108" w:type="dxa"/>
              <w:bottom w:w="57" w:type="dxa"/>
              <w:right w:w="108" w:type="dxa"/>
            </w:tcMar>
            <w:vAlign w:val="bottom"/>
            <w:hideMark/>
          </w:tcPr>
          <w:p w:rsidR="00862442" w:rsidRPr="00862442" w:rsidRDefault="00862442">
            <w:pPr>
              <w:jc w:val="right"/>
              <w:rPr>
                <w:color w:val="000000"/>
                <w:sz w:val="24"/>
              </w:rPr>
            </w:pPr>
            <w:r w:rsidRPr="00862442">
              <w:rPr>
                <w:color w:val="000000"/>
                <w:sz w:val="24"/>
              </w:rPr>
              <w:t>0.30</w:t>
            </w:r>
          </w:p>
        </w:tc>
        <w:tc>
          <w:tcPr>
            <w:tcW w:w="14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862442" w:rsidRDefault="00862442">
            <w:pPr>
              <w:jc w:val="right"/>
              <w:rPr>
                <w:color w:val="000000"/>
                <w:sz w:val="24"/>
              </w:rPr>
            </w:pPr>
            <w:r w:rsidRPr="00862442">
              <w:rPr>
                <w:rFonts w:ascii="宋体" w:hAnsi="宋体" w:hint="eastAsia"/>
                <w:color w:val="000000"/>
                <w:sz w:val="24"/>
              </w:rPr>
              <w:t>重大事项</w:t>
            </w:r>
            <w:bookmarkStart w:id="0" w:name="_GoBack"/>
            <w:bookmarkEnd w:id="0"/>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0C212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420,778,204.12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17,768,684.04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1,052,403,996.76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23,278,567.43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744,426,250.09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30,402,693.62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728,755,950.79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10,644,557.85</w:t>
            </w:r>
          </w:p>
        </w:tc>
      </w:tr>
    </w:tbl>
    <w:p w:rsidR="00D96875" w:rsidRDefault="009227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0C2129">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lastRenderedPageBreak/>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C212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96875" w:rsidRDefault="009227E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06" w:rsidRDefault="00B44C06">
      <w:r>
        <w:separator/>
      </w:r>
    </w:p>
  </w:endnote>
  <w:endnote w:type="continuationSeparator" w:id="0">
    <w:p w:rsidR="00B44C06" w:rsidRDefault="00B4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8E5CCB">
      <w:rPr>
        <w:kern w:val="0"/>
        <w:szCs w:val="21"/>
      </w:rPr>
      <w:fldChar w:fldCharType="begin"/>
    </w:r>
    <w:r>
      <w:rPr>
        <w:kern w:val="0"/>
        <w:szCs w:val="21"/>
      </w:rPr>
      <w:instrText xml:space="preserve"> PAGE </w:instrText>
    </w:r>
    <w:r w:rsidR="008E5CCB">
      <w:rPr>
        <w:kern w:val="0"/>
        <w:szCs w:val="21"/>
      </w:rPr>
      <w:fldChar w:fldCharType="separate"/>
    </w:r>
    <w:r w:rsidR="00862442">
      <w:rPr>
        <w:noProof/>
        <w:kern w:val="0"/>
        <w:szCs w:val="21"/>
      </w:rPr>
      <w:t>12</w:t>
    </w:r>
    <w:r w:rsidR="008E5CC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E5CCB">
      <w:rPr>
        <w:kern w:val="0"/>
        <w:szCs w:val="21"/>
      </w:rPr>
      <w:fldChar w:fldCharType="begin"/>
    </w:r>
    <w:r>
      <w:rPr>
        <w:kern w:val="0"/>
        <w:szCs w:val="21"/>
      </w:rPr>
      <w:instrText xml:space="preserve"> NUMPAGES </w:instrText>
    </w:r>
    <w:r w:rsidR="008E5CCB">
      <w:rPr>
        <w:kern w:val="0"/>
        <w:szCs w:val="21"/>
      </w:rPr>
      <w:fldChar w:fldCharType="separate"/>
    </w:r>
    <w:r w:rsidR="00862442">
      <w:rPr>
        <w:noProof/>
        <w:kern w:val="0"/>
        <w:szCs w:val="21"/>
      </w:rPr>
      <w:t>14</w:t>
    </w:r>
    <w:r w:rsidR="008E5CC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8E5CC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06" w:rsidRDefault="00B44C06">
      <w:r>
        <w:separator/>
      </w:r>
    </w:p>
  </w:footnote>
  <w:footnote w:type="continuationSeparator" w:id="0">
    <w:p w:rsidR="00B44C06" w:rsidRDefault="00B4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6244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2129"/>
    <w:rsid w:val="000C3EEF"/>
    <w:rsid w:val="000C45E7"/>
    <w:rsid w:val="000C5956"/>
    <w:rsid w:val="000C757F"/>
    <w:rsid w:val="000C7DD4"/>
    <w:rsid w:val="000D1164"/>
    <w:rsid w:val="000D1BBE"/>
    <w:rsid w:val="000D2415"/>
    <w:rsid w:val="000D3773"/>
    <w:rsid w:val="000D481B"/>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708"/>
    <w:rsid w:val="00273E5C"/>
    <w:rsid w:val="00274444"/>
    <w:rsid w:val="00274803"/>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9BC"/>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88D"/>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2442"/>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CCB"/>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7E7"/>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4C06"/>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1543"/>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6875"/>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4D47"/>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53B"/>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FB0B255-C852-4F67-B5CF-25C91A66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627096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2B0E-3326-4806-8D93-4B6A5D40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14</Pages>
  <Words>1254</Words>
  <Characters>7152</Characters>
  <Application>Microsoft Office Word</Application>
  <DocSecurity>0</DocSecurity>
  <Lines>59</Lines>
  <Paragraphs>16</Paragraphs>
  <ScaleCrop>false</ScaleCrop>
  <Company>TRT. Ltd. Co.</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374</cp:revision>
  <cp:lastPrinted>2007-07-19T00:46:00Z</cp:lastPrinted>
  <dcterms:created xsi:type="dcterms:W3CDTF">2014-01-17T06:19:00Z</dcterms:created>
  <dcterms:modified xsi:type="dcterms:W3CDTF">2017-01-18T06:32:00Z</dcterms:modified>
</cp:coreProperties>
</file>