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F7A4E" w14:textId="77777777"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14:paraId="6643E4F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5B2CCE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76B0A6A"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707B5833"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46F3989C" w14:textId="77777777" w:rsidR="002279D3" w:rsidRDefault="002279D3" w:rsidP="00C15CAC">
      <w:pPr>
        <w:spacing w:before="29" w:line="288" w:lineRule="auto"/>
        <w:jc w:val="center"/>
        <w:rPr>
          <w:b/>
          <w:sz w:val="36"/>
          <w:szCs w:val="36"/>
        </w:rPr>
      </w:pPr>
      <w:r w:rsidRPr="0081286B">
        <w:rPr>
          <w:b/>
          <w:sz w:val="36"/>
          <w:szCs w:val="36"/>
        </w:rPr>
        <w:t>交银施罗德增强收益债券型证券投资基金</w:t>
      </w:r>
    </w:p>
    <w:p w14:paraId="0A326AB9" w14:textId="77777777" w:rsidR="004D55EE" w:rsidRPr="004D55EE" w:rsidRDefault="004D55EE" w:rsidP="004D55EE">
      <w:pPr>
        <w:spacing w:before="29" w:line="288" w:lineRule="auto"/>
        <w:jc w:val="center"/>
        <w:rPr>
          <w:b/>
          <w:sz w:val="36"/>
          <w:szCs w:val="36"/>
        </w:rPr>
      </w:pPr>
      <w:r>
        <w:rPr>
          <w:rFonts w:hint="eastAsia"/>
          <w:b/>
          <w:sz w:val="36"/>
          <w:szCs w:val="36"/>
        </w:rPr>
        <w:t>（</w:t>
      </w:r>
      <w:r w:rsidRPr="004D55EE">
        <w:rPr>
          <w:b/>
          <w:sz w:val="36"/>
          <w:szCs w:val="36"/>
        </w:rPr>
        <w:t>交银施罗德荣泰保本混合型证券投资基金</w:t>
      </w:r>
      <w:r w:rsidRPr="004D55EE">
        <w:rPr>
          <w:rFonts w:hint="eastAsia"/>
          <w:b/>
          <w:sz w:val="36"/>
          <w:szCs w:val="36"/>
        </w:rPr>
        <w:t>）</w:t>
      </w:r>
    </w:p>
    <w:p w14:paraId="4B34EAB6" w14:textId="77777777"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4</w:t>
      </w:r>
      <w:r w:rsidRPr="0081286B">
        <w:rPr>
          <w:b/>
          <w:sz w:val="36"/>
          <w:szCs w:val="36"/>
        </w:rPr>
        <w:t>季度报告</w:t>
      </w:r>
    </w:p>
    <w:p w14:paraId="481D281A" w14:textId="77777777"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14:paraId="21983B13" w14:textId="77777777" w:rsidR="004061AC" w:rsidRPr="00414345" w:rsidRDefault="004061AC" w:rsidP="00C15CAC">
      <w:pPr>
        <w:spacing w:before="29" w:line="288" w:lineRule="auto"/>
        <w:jc w:val="center"/>
        <w:rPr>
          <w:b/>
          <w:bCs/>
          <w:color w:val="000000"/>
          <w:sz w:val="24"/>
          <w:szCs w:val="24"/>
        </w:rPr>
      </w:pPr>
    </w:p>
    <w:p w14:paraId="681F0245" w14:textId="77777777" w:rsidR="004061AC" w:rsidRPr="00414345" w:rsidRDefault="004061AC" w:rsidP="00C15CAC">
      <w:pPr>
        <w:spacing w:before="29" w:line="288" w:lineRule="auto"/>
        <w:jc w:val="center"/>
        <w:rPr>
          <w:b/>
          <w:bCs/>
          <w:color w:val="000000"/>
          <w:sz w:val="24"/>
          <w:szCs w:val="24"/>
        </w:rPr>
      </w:pPr>
    </w:p>
    <w:p w14:paraId="08A6FE04" w14:textId="77777777" w:rsidR="004061AC" w:rsidRPr="00414345" w:rsidRDefault="004061AC" w:rsidP="00C15CAC">
      <w:pPr>
        <w:spacing w:before="29" w:line="288" w:lineRule="auto"/>
        <w:jc w:val="center"/>
        <w:rPr>
          <w:b/>
          <w:bCs/>
          <w:color w:val="000000"/>
          <w:sz w:val="24"/>
          <w:szCs w:val="24"/>
        </w:rPr>
      </w:pPr>
    </w:p>
    <w:p w14:paraId="096B96FB" w14:textId="77777777" w:rsidR="004061AC" w:rsidRPr="00414345" w:rsidRDefault="004061AC" w:rsidP="00C15CAC">
      <w:pPr>
        <w:spacing w:before="29" w:line="288" w:lineRule="auto"/>
        <w:jc w:val="center"/>
        <w:rPr>
          <w:b/>
          <w:bCs/>
          <w:color w:val="000000"/>
          <w:sz w:val="24"/>
          <w:szCs w:val="24"/>
        </w:rPr>
      </w:pPr>
    </w:p>
    <w:p w14:paraId="7F8BBF25" w14:textId="77777777" w:rsidR="004061AC" w:rsidRPr="00414345" w:rsidRDefault="004061AC" w:rsidP="00C15CAC">
      <w:pPr>
        <w:spacing w:before="29" w:line="288" w:lineRule="auto"/>
        <w:jc w:val="center"/>
        <w:rPr>
          <w:b/>
          <w:bCs/>
          <w:color w:val="000000"/>
          <w:sz w:val="24"/>
          <w:szCs w:val="24"/>
        </w:rPr>
      </w:pPr>
    </w:p>
    <w:p w14:paraId="2F30F5D7" w14:textId="77777777" w:rsidR="004061AC" w:rsidRPr="00414345" w:rsidRDefault="004061AC" w:rsidP="00C15CAC">
      <w:pPr>
        <w:spacing w:before="29" w:line="288" w:lineRule="auto"/>
        <w:jc w:val="center"/>
        <w:rPr>
          <w:b/>
          <w:bCs/>
          <w:color w:val="000000"/>
          <w:sz w:val="24"/>
          <w:szCs w:val="24"/>
        </w:rPr>
      </w:pPr>
    </w:p>
    <w:p w14:paraId="0453F547" w14:textId="77777777" w:rsidR="004061AC" w:rsidRPr="00414345" w:rsidRDefault="004061AC" w:rsidP="00C15CAC">
      <w:pPr>
        <w:spacing w:before="29" w:line="288" w:lineRule="auto"/>
        <w:jc w:val="center"/>
        <w:rPr>
          <w:b/>
          <w:bCs/>
          <w:color w:val="000000"/>
          <w:sz w:val="24"/>
          <w:szCs w:val="24"/>
        </w:rPr>
      </w:pPr>
    </w:p>
    <w:p w14:paraId="23F552CD" w14:textId="77777777" w:rsidR="004061AC" w:rsidRPr="00414345" w:rsidRDefault="004061AC" w:rsidP="00C15CAC">
      <w:pPr>
        <w:spacing w:before="29" w:line="288" w:lineRule="auto"/>
        <w:jc w:val="center"/>
        <w:rPr>
          <w:b/>
          <w:bCs/>
          <w:color w:val="000000"/>
          <w:sz w:val="24"/>
          <w:szCs w:val="24"/>
        </w:rPr>
      </w:pPr>
    </w:p>
    <w:p w14:paraId="15764A2F" w14:textId="77777777" w:rsidR="004061AC" w:rsidRPr="00414345" w:rsidRDefault="004061AC" w:rsidP="00C15CAC">
      <w:pPr>
        <w:spacing w:before="29" w:line="288" w:lineRule="auto"/>
        <w:jc w:val="center"/>
        <w:rPr>
          <w:b/>
          <w:bCs/>
          <w:color w:val="000000"/>
          <w:sz w:val="24"/>
          <w:szCs w:val="24"/>
        </w:rPr>
      </w:pPr>
    </w:p>
    <w:p w14:paraId="76089A07" w14:textId="77777777" w:rsidR="004061AC" w:rsidRPr="00414345" w:rsidRDefault="004061AC" w:rsidP="00C15CAC">
      <w:pPr>
        <w:spacing w:before="29" w:line="288" w:lineRule="auto"/>
        <w:jc w:val="center"/>
        <w:rPr>
          <w:b/>
          <w:bCs/>
          <w:color w:val="000000"/>
          <w:sz w:val="24"/>
          <w:szCs w:val="24"/>
        </w:rPr>
      </w:pPr>
    </w:p>
    <w:p w14:paraId="4309FE25" w14:textId="77777777" w:rsidR="004061AC" w:rsidRPr="00414345" w:rsidRDefault="004061AC" w:rsidP="00C15CAC">
      <w:pPr>
        <w:spacing w:before="29" w:line="288" w:lineRule="auto"/>
        <w:jc w:val="center"/>
        <w:rPr>
          <w:b/>
          <w:bCs/>
          <w:color w:val="000000"/>
          <w:sz w:val="24"/>
          <w:szCs w:val="24"/>
        </w:rPr>
      </w:pPr>
    </w:p>
    <w:p w14:paraId="7167B82A" w14:textId="77777777" w:rsidR="004061AC" w:rsidRPr="00414345" w:rsidRDefault="004061AC" w:rsidP="00C15CAC">
      <w:pPr>
        <w:spacing w:before="29" w:line="288" w:lineRule="auto"/>
        <w:jc w:val="center"/>
        <w:rPr>
          <w:b/>
          <w:bCs/>
          <w:color w:val="000000"/>
          <w:sz w:val="24"/>
          <w:szCs w:val="24"/>
        </w:rPr>
      </w:pPr>
    </w:p>
    <w:p w14:paraId="33112496" w14:textId="77777777" w:rsidR="00625BFC" w:rsidRPr="00163C10" w:rsidRDefault="004061AC" w:rsidP="00C15CAC">
      <w:pPr>
        <w:spacing w:before="29" w:line="288" w:lineRule="auto"/>
        <w:ind w:firstLineChars="900" w:firstLine="2168"/>
        <w:rPr>
          <w:rFonts w:ascii="宋体" w:hAnsi="宋体"/>
          <w:b/>
          <w:color w:val="000000"/>
          <w:sz w:val="24"/>
          <w:szCs w:val="24"/>
        </w:rPr>
      </w:pPr>
      <w:r w:rsidRPr="00163C10">
        <w:rPr>
          <w:rFonts w:ascii="宋体" w:hAnsi="宋体"/>
          <w:b/>
          <w:color w:val="000000"/>
          <w:sz w:val="24"/>
          <w:szCs w:val="24"/>
        </w:rPr>
        <w:t>基金管理人：交银施罗德基金管理有限公司</w:t>
      </w:r>
    </w:p>
    <w:p w14:paraId="33B555C0" w14:textId="77777777" w:rsidR="00625BFC" w:rsidRPr="00163C10" w:rsidRDefault="004061AC" w:rsidP="00C15CAC">
      <w:pPr>
        <w:spacing w:before="29" w:line="288" w:lineRule="auto"/>
        <w:ind w:firstLineChars="900" w:firstLine="2168"/>
        <w:rPr>
          <w:rFonts w:ascii="宋体" w:hAnsi="宋体"/>
          <w:b/>
          <w:color w:val="000000"/>
          <w:sz w:val="24"/>
          <w:szCs w:val="24"/>
        </w:rPr>
      </w:pPr>
      <w:r w:rsidRPr="00163C10">
        <w:rPr>
          <w:rFonts w:ascii="宋体" w:hAnsi="宋体"/>
          <w:b/>
          <w:color w:val="000000"/>
          <w:sz w:val="24"/>
          <w:szCs w:val="24"/>
        </w:rPr>
        <w:t>基金托管人：中国建设银行股份有限公司</w:t>
      </w:r>
    </w:p>
    <w:p w14:paraId="4EA7769F" w14:textId="77777777" w:rsidR="004061AC" w:rsidRPr="009414B1" w:rsidRDefault="004061AC" w:rsidP="00C15CAC">
      <w:pPr>
        <w:spacing w:before="29" w:line="288" w:lineRule="auto"/>
        <w:ind w:firstLineChars="900" w:firstLine="2168"/>
        <w:rPr>
          <w:rFonts w:ascii="宋体" w:hAnsi="宋体"/>
          <w:b/>
          <w:color w:val="000000"/>
          <w:sz w:val="24"/>
          <w:szCs w:val="24"/>
        </w:rPr>
        <w:sectPr w:rsidR="004061AC" w:rsidRPr="009414B1" w:rsidSect="00000678">
          <w:headerReference w:type="default" r:id="rId8"/>
          <w:footerReference w:type="default" r:id="rId9"/>
          <w:pgSz w:w="11926" w:h="15840"/>
          <w:pgMar w:top="1418" w:right="1440" w:bottom="851" w:left="1440" w:header="851" w:footer="992" w:gutter="0"/>
          <w:cols w:space="720"/>
          <w:noEndnote/>
        </w:sectPr>
      </w:pPr>
      <w:r w:rsidRPr="009414B1">
        <w:rPr>
          <w:rFonts w:ascii="宋体" w:hAnsi="宋体"/>
          <w:b/>
          <w:color w:val="000000"/>
          <w:sz w:val="24"/>
          <w:szCs w:val="24"/>
        </w:rPr>
        <w:t>报告送出日期：</w:t>
      </w:r>
      <w:r w:rsidR="00F16E3F" w:rsidRPr="009414B1">
        <w:rPr>
          <w:rFonts w:ascii="宋体" w:hAnsi="宋体"/>
          <w:b/>
          <w:color w:val="000000"/>
          <w:sz w:val="24"/>
          <w:szCs w:val="24"/>
        </w:rPr>
        <w:t>二〇一七年一月十九日</w:t>
      </w:r>
    </w:p>
    <w:p w14:paraId="097EA3BB" w14:textId="77777777"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5A5BFAF9" w14:textId="77777777" w:rsidR="001D3B02" w:rsidRDefault="00F1734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15B80B96" w14:textId="77777777" w:rsidR="001D3B02" w:rsidRDefault="00F1734D">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50A126E6" w14:textId="77777777" w:rsidR="001D3B02" w:rsidRDefault="00F1734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515E223E" w14:textId="77777777" w:rsidR="001D3B02" w:rsidRDefault="00F1734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14:paraId="23547273" w14:textId="77777777" w:rsidR="001D3B02" w:rsidRDefault="00F1734D">
      <w:pPr>
        <w:spacing w:before="29" w:line="288" w:lineRule="auto"/>
        <w:ind w:firstLineChars="200" w:firstLine="480"/>
        <w:rPr>
          <w:color w:val="000000"/>
          <w:sz w:val="24"/>
          <w:szCs w:val="24"/>
        </w:rPr>
      </w:pPr>
      <w:r>
        <w:rPr>
          <w:color w:val="000000"/>
          <w:sz w:val="24"/>
          <w:szCs w:val="24"/>
        </w:rPr>
        <w:t>交银施罗德荣泰保本混合型证券投资基金保本周期期限三年，自交银施罗德荣泰保本混合型证券投资基金基金合同生效日（即</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25</w:t>
      </w:r>
      <w:r>
        <w:rPr>
          <w:color w:val="000000"/>
          <w:sz w:val="24"/>
          <w:szCs w:val="24"/>
        </w:rPr>
        <w:t>日）起至三个公历年后对应日止，如该对应日为非工作日，保本周期到期日顺延至下一个工作日，即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26</w:t>
      </w:r>
      <w:r>
        <w:rPr>
          <w:color w:val="000000"/>
          <w:sz w:val="24"/>
          <w:szCs w:val="24"/>
        </w:rPr>
        <w:t>日。交银施罗德荣泰保本混合型证券投资基金保本周期到期后，已按照《交银施罗德荣泰保本混合型证券投资基金基金合同》的约定转型为非保本的混合型基金，即</w:t>
      </w:r>
      <w:r>
        <w:rPr>
          <w:color w:val="000000"/>
          <w:sz w:val="24"/>
          <w:szCs w:val="24"/>
        </w:rPr>
        <w:t>“</w:t>
      </w:r>
      <w:r>
        <w:rPr>
          <w:color w:val="000000"/>
          <w:sz w:val="24"/>
          <w:szCs w:val="24"/>
        </w:rPr>
        <w:t>交银施罗德增强收益债券型证券投资基金</w:t>
      </w:r>
      <w:r>
        <w:rPr>
          <w:color w:val="000000"/>
          <w:sz w:val="24"/>
          <w:szCs w:val="24"/>
        </w:rPr>
        <w:t>”</w:t>
      </w:r>
      <w:r>
        <w:rPr>
          <w:color w:val="000000"/>
          <w:sz w:val="24"/>
          <w:szCs w:val="24"/>
        </w:rPr>
        <w:t>。基金托管人及基金登记机构不变，基金代码亦保持不变为</w:t>
      </w:r>
      <w:r>
        <w:rPr>
          <w:color w:val="000000"/>
          <w:sz w:val="24"/>
          <w:szCs w:val="24"/>
        </w:rPr>
        <w:t>“519729”</w:t>
      </w:r>
      <w:r>
        <w:rPr>
          <w:color w:val="000000"/>
          <w:sz w:val="24"/>
          <w:szCs w:val="24"/>
        </w:rPr>
        <w:t>。</w:t>
      </w:r>
      <w:r>
        <w:rPr>
          <w:color w:val="000000"/>
          <w:sz w:val="24"/>
          <w:szCs w:val="24"/>
        </w:rPr>
        <w:t xml:space="preserve"> </w:t>
      </w:r>
      <w:r>
        <w:rPr>
          <w:color w:val="000000"/>
          <w:sz w:val="24"/>
          <w:szCs w:val="24"/>
        </w:rPr>
        <w:t>转型后基金的投资目标、投资范围、投资策略、投资比例、业绩比较基准、估值方法及基金费率等按照《交银施罗德增强收益债券型证券投资基金基金合同》相关规定进行运作。前述修改变更事项已按照相关法律法规及基金合同的约定履行相关手续。</w:t>
      </w:r>
      <w:r>
        <w:rPr>
          <w:color w:val="000000"/>
          <w:sz w:val="24"/>
          <w:szCs w:val="24"/>
        </w:rPr>
        <w:t xml:space="preserve">     </w:t>
      </w:r>
    </w:p>
    <w:p w14:paraId="79B77C04" w14:textId="77777777" w:rsidR="001D3B02" w:rsidRDefault="00F1734D">
      <w:pPr>
        <w:spacing w:before="29" w:line="288" w:lineRule="auto"/>
        <w:ind w:firstLineChars="200" w:firstLine="480"/>
        <w:rPr>
          <w:color w:val="000000"/>
          <w:sz w:val="24"/>
          <w:szCs w:val="24"/>
        </w:rPr>
      </w:pPr>
      <w:r>
        <w:rPr>
          <w:color w:val="000000"/>
          <w:sz w:val="24"/>
          <w:szCs w:val="24"/>
        </w:rPr>
        <w:t>本报告中财务资料未经审计。</w:t>
      </w:r>
    </w:p>
    <w:p w14:paraId="0F1DA848"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日止。其中，自</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26</w:t>
      </w:r>
      <w:r w:rsidRPr="00414345">
        <w:rPr>
          <w:color w:val="000000"/>
          <w:sz w:val="24"/>
          <w:szCs w:val="24"/>
        </w:rPr>
        <w:t>日（含）起至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29</w:t>
      </w:r>
      <w:r w:rsidRPr="00414345">
        <w:rPr>
          <w:color w:val="000000"/>
          <w:sz w:val="24"/>
          <w:szCs w:val="24"/>
        </w:rPr>
        <w:t>日（含）止为交银施罗德荣泰保本混合型证券投资基金保本周期到期期间，并自</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日起，交银施罗德荣泰保本混合型证券投资基金正式转型为交银施罗德增强收益债券型证券投资基金。本报告按基金转型前后的两个报告期进行编制。其中，基金转型前的报告期间为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29</w:t>
      </w:r>
      <w:r w:rsidRPr="00414345">
        <w:rPr>
          <w:color w:val="000000"/>
          <w:sz w:val="24"/>
          <w:szCs w:val="24"/>
        </w:rPr>
        <w:t>日止，基金转型后的报告期为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 xml:space="preserve"> </w:t>
      </w:r>
    </w:p>
    <w:p w14:paraId="7FCD8B53" w14:textId="77777777" w:rsidR="00627E2D" w:rsidRPr="00414345" w:rsidRDefault="00627E2D" w:rsidP="00C15CAC">
      <w:pPr>
        <w:spacing w:before="29" w:line="288" w:lineRule="auto"/>
        <w:ind w:firstLineChars="200" w:firstLine="480"/>
        <w:rPr>
          <w:color w:val="000000"/>
          <w:sz w:val="24"/>
          <w:szCs w:val="24"/>
        </w:rPr>
      </w:pPr>
    </w:p>
    <w:p w14:paraId="0B66DFB3" w14:textId="77777777" w:rsidR="004061AC"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p w14:paraId="04A082EA" w14:textId="77777777" w:rsidR="00BE7526" w:rsidRPr="00B56C4B" w:rsidRDefault="00BE7526" w:rsidP="00BE7526">
      <w:pPr>
        <w:spacing w:before="29" w:line="288" w:lineRule="auto"/>
        <w:rPr>
          <w:rFonts w:ascii="宋体" w:hAnsi="宋体"/>
          <w:b/>
          <w:sz w:val="24"/>
          <w:szCs w:val="24"/>
        </w:rPr>
      </w:pPr>
      <w:r w:rsidRPr="00B56C4B">
        <w:rPr>
          <w:rFonts w:ascii="宋体" w:hAnsi="宋体" w:hint="eastAsia"/>
          <w:b/>
          <w:sz w:val="24"/>
          <w:szCs w:val="24"/>
        </w:rPr>
        <w:t>2.1</w:t>
      </w:r>
      <w:r w:rsidR="00B56C4B" w:rsidRPr="00B56C4B">
        <w:rPr>
          <w:rFonts w:ascii="宋体" w:hAnsi="宋体"/>
          <w:b/>
          <w:sz w:val="24"/>
          <w:szCs w:val="24"/>
        </w:rPr>
        <w:t>交银施罗德增强收益债券型证券投资基金</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BE7526" w:rsidRPr="00B56C4B" w14:paraId="17D42147" w14:textId="77777777" w:rsidTr="006E6726">
        <w:trPr>
          <w:jc w:val="center"/>
        </w:trPr>
        <w:tc>
          <w:tcPr>
            <w:tcW w:w="3023" w:type="dxa"/>
            <w:vAlign w:val="center"/>
          </w:tcPr>
          <w:p w14:paraId="1CCAF6EB" w14:textId="77777777" w:rsidR="00BE7526" w:rsidRPr="00B56C4B" w:rsidRDefault="00BE7526" w:rsidP="00F1734D">
            <w:pPr>
              <w:adjustRightInd w:val="0"/>
              <w:spacing w:before="29" w:line="288" w:lineRule="auto"/>
              <w:ind w:left="17"/>
              <w:jc w:val="left"/>
              <w:rPr>
                <w:rFonts w:ascii="宋体" w:hAnsi="宋体"/>
                <w:kern w:val="0"/>
                <w:sz w:val="24"/>
                <w:szCs w:val="24"/>
              </w:rPr>
            </w:pPr>
            <w:r w:rsidRPr="00B56C4B">
              <w:rPr>
                <w:rFonts w:ascii="宋体" w:hAnsi="宋体"/>
                <w:kern w:val="0"/>
                <w:sz w:val="24"/>
                <w:szCs w:val="24"/>
              </w:rPr>
              <w:t>基金简称</w:t>
            </w:r>
          </w:p>
        </w:tc>
        <w:tc>
          <w:tcPr>
            <w:tcW w:w="5845" w:type="dxa"/>
            <w:vAlign w:val="center"/>
          </w:tcPr>
          <w:p w14:paraId="316F59C8" w14:textId="77777777" w:rsidR="00BE7526" w:rsidRPr="00B56C4B" w:rsidRDefault="00BE7526" w:rsidP="00B56C4B">
            <w:pPr>
              <w:adjustRightInd w:val="0"/>
              <w:spacing w:before="29" w:line="288" w:lineRule="auto"/>
              <w:ind w:left="17"/>
              <w:jc w:val="left"/>
              <w:rPr>
                <w:rFonts w:ascii="宋体" w:hAnsi="宋体"/>
                <w:color w:val="000000"/>
                <w:kern w:val="0"/>
                <w:sz w:val="24"/>
                <w:szCs w:val="24"/>
              </w:rPr>
            </w:pPr>
            <w:r w:rsidRPr="00B56C4B">
              <w:rPr>
                <w:rFonts w:ascii="宋体" w:hAnsi="宋体"/>
                <w:color w:val="000000"/>
                <w:kern w:val="0"/>
                <w:sz w:val="24"/>
                <w:szCs w:val="24"/>
              </w:rPr>
              <w:t>交银增强收益债券</w:t>
            </w:r>
          </w:p>
        </w:tc>
      </w:tr>
      <w:tr w:rsidR="00BE7526" w:rsidRPr="00B56C4B" w14:paraId="7C1C383F"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400D6F8B" w14:textId="77777777" w:rsidR="00BE7526" w:rsidRPr="00B56C4B" w:rsidRDefault="00BE7526" w:rsidP="00F1734D">
            <w:pPr>
              <w:adjustRightInd w:val="0"/>
              <w:spacing w:before="29" w:line="288" w:lineRule="auto"/>
              <w:ind w:left="17"/>
              <w:jc w:val="left"/>
              <w:rPr>
                <w:rFonts w:ascii="宋体" w:hAnsi="宋体"/>
                <w:kern w:val="0"/>
                <w:sz w:val="24"/>
                <w:szCs w:val="24"/>
              </w:rPr>
            </w:pPr>
            <w:r w:rsidRPr="00B56C4B">
              <w:rPr>
                <w:rFonts w:ascii="宋体" w:hAnsi="宋体"/>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5E7CFDA9" w14:textId="77777777" w:rsidR="00BE7526" w:rsidRPr="00B56C4B" w:rsidRDefault="00BE7526" w:rsidP="00F1734D">
            <w:pPr>
              <w:adjustRightInd w:val="0"/>
              <w:spacing w:before="29" w:line="288" w:lineRule="auto"/>
              <w:ind w:left="17"/>
              <w:jc w:val="left"/>
              <w:rPr>
                <w:rFonts w:ascii="宋体" w:hAnsi="宋体"/>
                <w:color w:val="000000"/>
                <w:kern w:val="0"/>
                <w:sz w:val="24"/>
                <w:szCs w:val="24"/>
              </w:rPr>
            </w:pPr>
            <w:r w:rsidRPr="00B56C4B">
              <w:rPr>
                <w:rFonts w:ascii="宋体" w:hAnsi="宋体"/>
                <w:color w:val="000000"/>
                <w:kern w:val="0"/>
                <w:sz w:val="24"/>
                <w:szCs w:val="24"/>
              </w:rPr>
              <w:t>519729</w:t>
            </w:r>
          </w:p>
        </w:tc>
      </w:tr>
      <w:tr w:rsidR="00BE7526" w:rsidRPr="00B56C4B" w14:paraId="30E2C6D4"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61A6D2C1" w14:textId="77777777" w:rsidR="00BE7526" w:rsidRPr="00B56C4B" w:rsidRDefault="00BE7526" w:rsidP="00F1734D">
            <w:pPr>
              <w:adjustRightInd w:val="0"/>
              <w:spacing w:before="29" w:line="288" w:lineRule="auto"/>
              <w:ind w:left="17"/>
              <w:jc w:val="left"/>
              <w:rPr>
                <w:rFonts w:ascii="宋体" w:hAnsi="宋体"/>
                <w:kern w:val="0"/>
                <w:sz w:val="24"/>
                <w:szCs w:val="24"/>
              </w:rPr>
            </w:pPr>
            <w:r w:rsidRPr="00B56C4B">
              <w:rPr>
                <w:rFonts w:ascii="宋体" w:hAnsi="宋体"/>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57F01858" w14:textId="77777777" w:rsidR="00BE7526" w:rsidRPr="00B56C4B" w:rsidRDefault="00BE7526" w:rsidP="00F1734D">
            <w:pPr>
              <w:adjustRightInd w:val="0"/>
              <w:spacing w:before="29" w:line="288" w:lineRule="auto"/>
              <w:ind w:left="17"/>
              <w:jc w:val="left"/>
              <w:rPr>
                <w:rFonts w:ascii="宋体" w:hAnsi="宋体"/>
                <w:color w:val="000000"/>
                <w:kern w:val="0"/>
                <w:sz w:val="24"/>
                <w:szCs w:val="24"/>
              </w:rPr>
            </w:pPr>
            <w:r w:rsidRPr="00B56C4B">
              <w:rPr>
                <w:rFonts w:ascii="宋体" w:hAnsi="宋体"/>
                <w:kern w:val="0"/>
                <w:sz w:val="24"/>
              </w:rPr>
              <w:t>519729</w:t>
            </w:r>
          </w:p>
        </w:tc>
      </w:tr>
      <w:tr w:rsidR="00BE7526" w:rsidRPr="00B56C4B" w14:paraId="409ABA3B" w14:textId="77777777" w:rsidTr="006E6726">
        <w:trPr>
          <w:jc w:val="center"/>
        </w:trPr>
        <w:tc>
          <w:tcPr>
            <w:tcW w:w="3023" w:type="dxa"/>
            <w:vAlign w:val="center"/>
          </w:tcPr>
          <w:p w14:paraId="06F28B36"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lastRenderedPageBreak/>
              <w:t>基金运作方式</w:t>
            </w:r>
          </w:p>
        </w:tc>
        <w:tc>
          <w:tcPr>
            <w:tcW w:w="5845" w:type="dxa"/>
            <w:vAlign w:val="center"/>
          </w:tcPr>
          <w:p w14:paraId="21D34214"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契约型开放式</w:t>
            </w:r>
          </w:p>
        </w:tc>
      </w:tr>
      <w:tr w:rsidR="00BE7526" w:rsidRPr="00B56C4B" w14:paraId="0A696FD0" w14:textId="77777777" w:rsidTr="006E6726">
        <w:trPr>
          <w:jc w:val="center"/>
        </w:trPr>
        <w:tc>
          <w:tcPr>
            <w:tcW w:w="3023" w:type="dxa"/>
            <w:vAlign w:val="center"/>
          </w:tcPr>
          <w:p w14:paraId="0AE72F6C"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基金合同生效日</w:t>
            </w:r>
          </w:p>
        </w:tc>
        <w:tc>
          <w:tcPr>
            <w:tcW w:w="5845" w:type="dxa"/>
            <w:vAlign w:val="center"/>
          </w:tcPr>
          <w:p w14:paraId="6212E85F"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2016年12月30日</w:t>
            </w:r>
          </w:p>
        </w:tc>
      </w:tr>
      <w:tr w:rsidR="00BE7526" w:rsidRPr="00B56C4B" w14:paraId="5895629A" w14:textId="77777777" w:rsidTr="006E6726">
        <w:trPr>
          <w:jc w:val="center"/>
        </w:trPr>
        <w:tc>
          <w:tcPr>
            <w:tcW w:w="3023" w:type="dxa"/>
            <w:vAlign w:val="center"/>
          </w:tcPr>
          <w:p w14:paraId="09F3363D"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报告期末基金份额总额</w:t>
            </w:r>
          </w:p>
        </w:tc>
        <w:tc>
          <w:tcPr>
            <w:tcW w:w="5845" w:type="dxa"/>
            <w:vAlign w:val="center"/>
          </w:tcPr>
          <w:p w14:paraId="52747410" w14:textId="77777777" w:rsidR="00BE7526" w:rsidRPr="00B56C4B" w:rsidRDefault="000F7FCA"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78,679,121.31</w:t>
            </w:r>
            <w:r w:rsidR="00BE7526" w:rsidRPr="00B56C4B">
              <w:rPr>
                <w:rFonts w:ascii="宋体" w:hAnsi="宋体"/>
                <w:color w:val="000000"/>
                <w:kern w:val="0"/>
                <w:sz w:val="24"/>
                <w:szCs w:val="24"/>
              </w:rPr>
              <w:t>份</w:t>
            </w:r>
          </w:p>
        </w:tc>
      </w:tr>
      <w:tr w:rsidR="00BE7526" w:rsidRPr="00B56C4B" w14:paraId="0F6B431A" w14:textId="77777777" w:rsidTr="006E6726">
        <w:trPr>
          <w:jc w:val="center"/>
        </w:trPr>
        <w:tc>
          <w:tcPr>
            <w:tcW w:w="3023" w:type="dxa"/>
            <w:vAlign w:val="center"/>
          </w:tcPr>
          <w:p w14:paraId="75F49126"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投资目标</w:t>
            </w:r>
          </w:p>
        </w:tc>
        <w:tc>
          <w:tcPr>
            <w:tcW w:w="5845" w:type="dxa"/>
            <w:vAlign w:val="center"/>
          </w:tcPr>
          <w:p w14:paraId="42714B87"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在严格控制投资风险的基础上，力争实现基金资产的长期稳定增值。</w:t>
            </w:r>
          </w:p>
        </w:tc>
      </w:tr>
      <w:tr w:rsidR="00BE7526" w:rsidRPr="00B56C4B" w14:paraId="554E4198" w14:textId="77777777" w:rsidTr="006E6726">
        <w:trPr>
          <w:jc w:val="center"/>
        </w:trPr>
        <w:tc>
          <w:tcPr>
            <w:tcW w:w="3023" w:type="dxa"/>
            <w:vAlign w:val="center"/>
          </w:tcPr>
          <w:p w14:paraId="20F9F3BF"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投资策略</w:t>
            </w:r>
          </w:p>
        </w:tc>
        <w:tc>
          <w:tcPr>
            <w:tcW w:w="5845" w:type="dxa"/>
            <w:vAlign w:val="center"/>
          </w:tcPr>
          <w:p w14:paraId="30089BD0"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BE7526" w:rsidRPr="00B56C4B" w14:paraId="5BB7B6B7" w14:textId="77777777" w:rsidTr="006E6726">
        <w:trPr>
          <w:jc w:val="center"/>
        </w:trPr>
        <w:tc>
          <w:tcPr>
            <w:tcW w:w="3023" w:type="dxa"/>
            <w:vAlign w:val="center"/>
          </w:tcPr>
          <w:p w14:paraId="3637458D"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业绩比较基准</w:t>
            </w:r>
          </w:p>
        </w:tc>
        <w:tc>
          <w:tcPr>
            <w:tcW w:w="5845" w:type="dxa"/>
            <w:vAlign w:val="center"/>
          </w:tcPr>
          <w:p w14:paraId="01740A31"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90%×中证综合债券指数收益率+10%×沪深300指数收益率</w:t>
            </w:r>
          </w:p>
        </w:tc>
      </w:tr>
      <w:tr w:rsidR="00BE7526" w:rsidRPr="00B56C4B" w14:paraId="66EF5BBF" w14:textId="77777777" w:rsidTr="006E6726">
        <w:trPr>
          <w:jc w:val="center"/>
        </w:trPr>
        <w:tc>
          <w:tcPr>
            <w:tcW w:w="3023" w:type="dxa"/>
            <w:vAlign w:val="center"/>
          </w:tcPr>
          <w:p w14:paraId="31E97E2C"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风险收益特征</w:t>
            </w:r>
          </w:p>
        </w:tc>
        <w:tc>
          <w:tcPr>
            <w:tcW w:w="5845" w:type="dxa"/>
            <w:vAlign w:val="center"/>
          </w:tcPr>
          <w:p w14:paraId="659A2E4E"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本基金为债券型证券投资基金，其长期平均的预期收益和风险高于货币市场基金，低于混合型基金和股票型基金，属于证券投资基金中中等风险品种。</w:t>
            </w:r>
          </w:p>
        </w:tc>
      </w:tr>
      <w:tr w:rsidR="00BE7526" w:rsidRPr="00B56C4B" w14:paraId="01C6EF1A" w14:textId="77777777" w:rsidTr="006E6726">
        <w:trPr>
          <w:jc w:val="center"/>
        </w:trPr>
        <w:tc>
          <w:tcPr>
            <w:tcW w:w="3023" w:type="dxa"/>
            <w:vAlign w:val="center"/>
          </w:tcPr>
          <w:p w14:paraId="079FA06E"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基金管理人</w:t>
            </w:r>
          </w:p>
        </w:tc>
        <w:tc>
          <w:tcPr>
            <w:tcW w:w="5845" w:type="dxa"/>
            <w:vAlign w:val="center"/>
          </w:tcPr>
          <w:p w14:paraId="11DA60F9"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交银施罗德基金管理有限公司</w:t>
            </w:r>
          </w:p>
        </w:tc>
      </w:tr>
      <w:tr w:rsidR="00BE7526" w:rsidRPr="00B56C4B" w14:paraId="3E8A2C7C" w14:textId="77777777" w:rsidTr="006E6726">
        <w:trPr>
          <w:jc w:val="center"/>
        </w:trPr>
        <w:tc>
          <w:tcPr>
            <w:tcW w:w="3023" w:type="dxa"/>
            <w:vAlign w:val="center"/>
          </w:tcPr>
          <w:p w14:paraId="47CF663A" w14:textId="77777777" w:rsidR="00BE7526" w:rsidRPr="00B56C4B" w:rsidRDefault="00BE7526" w:rsidP="00F1734D">
            <w:pPr>
              <w:adjustRightInd w:val="0"/>
              <w:spacing w:before="29" w:line="288" w:lineRule="auto"/>
              <w:ind w:left="17"/>
              <w:jc w:val="left"/>
              <w:rPr>
                <w:rFonts w:ascii="宋体" w:hAnsi="宋体"/>
                <w:sz w:val="24"/>
                <w:szCs w:val="24"/>
              </w:rPr>
            </w:pPr>
            <w:r w:rsidRPr="00B56C4B">
              <w:rPr>
                <w:rFonts w:ascii="宋体" w:hAnsi="宋体"/>
                <w:kern w:val="0"/>
                <w:sz w:val="24"/>
                <w:szCs w:val="24"/>
              </w:rPr>
              <w:t>基金托管人</w:t>
            </w:r>
          </w:p>
        </w:tc>
        <w:tc>
          <w:tcPr>
            <w:tcW w:w="5845" w:type="dxa"/>
            <w:vAlign w:val="center"/>
          </w:tcPr>
          <w:p w14:paraId="7A91983C" w14:textId="77777777" w:rsidR="00BE7526" w:rsidRPr="00B56C4B" w:rsidRDefault="00BE7526"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中国建设银行股份有限公司</w:t>
            </w:r>
          </w:p>
        </w:tc>
      </w:tr>
    </w:tbl>
    <w:p w14:paraId="55D96018" w14:textId="77777777" w:rsidR="001D3B02" w:rsidRDefault="00F1734D">
      <w:pPr>
        <w:autoSpaceDE w:val="0"/>
        <w:autoSpaceDN w:val="0"/>
        <w:adjustRightInd w:val="0"/>
        <w:spacing w:before="29" w:line="288" w:lineRule="auto"/>
        <w:jc w:val="left"/>
        <w:rPr>
          <w:rFonts w:ascii="宋体" w:hAnsi="宋体"/>
          <w:color w:val="000000"/>
          <w:sz w:val="24"/>
          <w:szCs w:val="24"/>
        </w:rPr>
      </w:pPr>
      <w:r>
        <w:rPr>
          <w:rFonts w:ascii="宋体" w:hAnsi="宋体"/>
          <w:color w:val="000000"/>
          <w:sz w:val="24"/>
          <w:szCs w:val="24"/>
        </w:rPr>
        <w:t>注：1、上表中“报告期末”指2016年12月31日。</w:t>
      </w:r>
    </w:p>
    <w:p w14:paraId="0F486AC3" w14:textId="77777777" w:rsidR="004061AC" w:rsidRPr="00B56C4B" w:rsidRDefault="004061AC" w:rsidP="00C15CAC">
      <w:pPr>
        <w:autoSpaceDE w:val="0"/>
        <w:autoSpaceDN w:val="0"/>
        <w:adjustRightInd w:val="0"/>
        <w:spacing w:before="29" w:line="288" w:lineRule="auto"/>
        <w:jc w:val="left"/>
        <w:rPr>
          <w:rFonts w:ascii="宋体" w:hAnsi="宋体"/>
          <w:color w:val="000000"/>
          <w:sz w:val="24"/>
          <w:szCs w:val="24"/>
        </w:rPr>
      </w:pPr>
      <w:r w:rsidRPr="00B56C4B">
        <w:rPr>
          <w:rFonts w:ascii="宋体" w:hAnsi="宋体"/>
          <w:color w:val="000000"/>
          <w:sz w:val="24"/>
          <w:szCs w:val="24"/>
        </w:rPr>
        <w:t xml:space="preserve">    2、本基金于2016年12月30日由交银施罗德荣泰保本混合型证券投资基金转型为交银施罗德增强收益债券型证券投资基金基金，新基金合同及托管协议即日起生效。</w:t>
      </w:r>
    </w:p>
    <w:p w14:paraId="68347FD9" w14:textId="77777777" w:rsidR="00BE7526" w:rsidRPr="00BE7526" w:rsidRDefault="00BE7526" w:rsidP="00C15CAC">
      <w:pPr>
        <w:autoSpaceDE w:val="0"/>
        <w:autoSpaceDN w:val="0"/>
        <w:adjustRightInd w:val="0"/>
        <w:spacing w:before="29" w:line="288" w:lineRule="auto"/>
        <w:jc w:val="left"/>
        <w:rPr>
          <w:color w:val="000000"/>
          <w:sz w:val="24"/>
          <w:szCs w:val="24"/>
        </w:rPr>
      </w:pPr>
    </w:p>
    <w:p w14:paraId="41198CD6" w14:textId="77777777" w:rsidR="00BE7526" w:rsidRPr="00A8244A" w:rsidRDefault="00BE7526" w:rsidP="00BE7526">
      <w:pPr>
        <w:pStyle w:val="a0"/>
        <w:ind w:firstLineChars="0" w:firstLine="0"/>
        <w:rPr>
          <w:rFonts w:ascii="宋体" w:hAnsi="宋体"/>
          <w:b/>
          <w:color w:val="000000" w:themeColor="text1"/>
          <w:sz w:val="24"/>
          <w:szCs w:val="24"/>
          <w:shd w:val="clear" w:color="auto" w:fill="FFFFFF"/>
        </w:rPr>
      </w:pPr>
      <w:r w:rsidRPr="00A8244A">
        <w:rPr>
          <w:rFonts w:ascii="宋体" w:hAnsi="宋体" w:hint="eastAsia"/>
          <w:b/>
          <w:sz w:val="24"/>
        </w:rPr>
        <w:t>2.2</w:t>
      </w:r>
      <w:r w:rsidR="00805C55" w:rsidRPr="00A8244A">
        <w:rPr>
          <w:rFonts w:ascii="宋体" w:hAnsi="宋体" w:hint="eastAsia"/>
          <w:b/>
          <w:sz w:val="24"/>
        </w:rPr>
        <w:t xml:space="preserve"> </w:t>
      </w:r>
      <w:r w:rsidR="00805C55" w:rsidRPr="00A8244A">
        <w:rPr>
          <w:rFonts w:ascii="宋体" w:hAnsi="宋体" w:cs="Arial"/>
          <w:b/>
          <w:color w:val="000000"/>
          <w:kern w:val="0"/>
          <w:sz w:val="24"/>
        </w:rPr>
        <w:t>交银施罗德荣泰保本混合型证券投资基金</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BE7526" w:rsidRPr="00A8244A" w14:paraId="6529D22B" w14:textId="77777777" w:rsidTr="00F1734D">
        <w:trPr>
          <w:jc w:val="center"/>
        </w:trPr>
        <w:tc>
          <w:tcPr>
            <w:tcW w:w="3023" w:type="dxa"/>
            <w:vAlign w:val="center"/>
          </w:tcPr>
          <w:p w14:paraId="0C3CC1E4" w14:textId="77777777" w:rsidR="00BE7526" w:rsidRPr="00A8244A" w:rsidRDefault="00BE7526" w:rsidP="00F1734D">
            <w:pPr>
              <w:adjustRightInd w:val="0"/>
              <w:spacing w:before="29" w:line="288" w:lineRule="auto"/>
              <w:ind w:left="17"/>
              <w:jc w:val="left"/>
              <w:rPr>
                <w:rFonts w:ascii="宋体" w:hAnsi="宋体"/>
                <w:kern w:val="0"/>
                <w:sz w:val="24"/>
                <w:szCs w:val="24"/>
              </w:rPr>
            </w:pPr>
            <w:r w:rsidRPr="00A8244A">
              <w:rPr>
                <w:rFonts w:ascii="宋体" w:hAnsi="宋体"/>
                <w:kern w:val="0"/>
                <w:sz w:val="24"/>
                <w:szCs w:val="24"/>
              </w:rPr>
              <w:t>基金简称</w:t>
            </w:r>
          </w:p>
        </w:tc>
        <w:tc>
          <w:tcPr>
            <w:tcW w:w="5845" w:type="dxa"/>
            <w:vAlign w:val="center"/>
          </w:tcPr>
          <w:p w14:paraId="11E6FAA2" w14:textId="77777777" w:rsidR="00BE7526" w:rsidRPr="00A8244A" w:rsidRDefault="00BE7526" w:rsidP="00F1734D">
            <w:pPr>
              <w:adjustRightInd w:val="0"/>
              <w:spacing w:before="29" w:line="288" w:lineRule="auto"/>
              <w:ind w:left="17"/>
              <w:jc w:val="left"/>
              <w:rPr>
                <w:rFonts w:ascii="宋体" w:hAnsi="宋体"/>
                <w:color w:val="000000"/>
                <w:kern w:val="0"/>
                <w:sz w:val="24"/>
                <w:szCs w:val="24"/>
              </w:rPr>
            </w:pPr>
            <w:r w:rsidRPr="00A8244A">
              <w:rPr>
                <w:rFonts w:ascii="宋体" w:hAnsi="宋体"/>
                <w:color w:val="000000"/>
                <w:kern w:val="0"/>
                <w:sz w:val="24"/>
                <w:szCs w:val="24"/>
              </w:rPr>
              <w:t>交银荣泰保本混合</w:t>
            </w:r>
          </w:p>
        </w:tc>
      </w:tr>
      <w:tr w:rsidR="00BE7526" w:rsidRPr="00A8244A" w14:paraId="521C490E" w14:textId="77777777" w:rsidTr="00F1734D">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070BA1A" w14:textId="77777777" w:rsidR="00BE7526" w:rsidRPr="00A8244A" w:rsidRDefault="00BE7526" w:rsidP="00F1734D">
            <w:pPr>
              <w:adjustRightInd w:val="0"/>
              <w:spacing w:before="29" w:line="288" w:lineRule="auto"/>
              <w:ind w:left="17"/>
              <w:jc w:val="left"/>
              <w:rPr>
                <w:rFonts w:ascii="宋体" w:hAnsi="宋体"/>
                <w:kern w:val="0"/>
                <w:sz w:val="24"/>
                <w:szCs w:val="24"/>
              </w:rPr>
            </w:pPr>
            <w:r w:rsidRPr="00A8244A">
              <w:rPr>
                <w:rFonts w:ascii="宋体" w:hAnsi="宋体"/>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4FA0424C" w14:textId="77777777" w:rsidR="00BE7526" w:rsidRPr="00A8244A" w:rsidRDefault="00BE7526" w:rsidP="00F1734D">
            <w:pPr>
              <w:adjustRightInd w:val="0"/>
              <w:spacing w:before="29" w:line="288" w:lineRule="auto"/>
              <w:ind w:left="17"/>
              <w:jc w:val="left"/>
              <w:rPr>
                <w:rFonts w:ascii="宋体" w:hAnsi="宋体"/>
                <w:color w:val="000000"/>
                <w:kern w:val="0"/>
                <w:sz w:val="24"/>
                <w:szCs w:val="24"/>
              </w:rPr>
            </w:pPr>
            <w:r w:rsidRPr="00A8244A">
              <w:rPr>
                <w:rFonts w:ascii="宋体" w:hAnsi="宋体"/>
                <w:color w:val="000000"/>
                <w:kern w:val="0"/>
                <w:sz w:val="24"/>
                <w:szCs w:val="24"/>
              </w:rPr>
              <w:t>519729</w:t>
            </w:r>
          </w:p>
        </w:tc>
      </w:tr>
      <w:tr w:rsidR="00BE7526" w:rsidRPr="00A8244A" w14:paraId="1AE2C880" w14:textId="77777777" w:rsidTr="00F1734D">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222B8A0F" w14:textId="77777777" w:rsidR="00BE7526" w:rsidRPr="00A8244A" w:rsidRDefault="00BE7526" w:rsidP="00F1734D">
            <w:pPr>
              <w:adjustRightInd w:val="0"/>
              <w:spacing w:before="29" w:line="288" w:lineRule="auto"/>
              <w:ind w:left="17"/>
              <w:jc w:val="left"/>
              <w:rPr>
                <w:rFonts w:ascii="宋体" w:hAnsi="宋体"/>
                <w:kern w:val="0"/>
                <w:sz w:val="24"/>
                <w:szCs w:val="24"/>
              </w:rPr>
            </w:pPr>
            <w:r w:rsidRPr="00A8244A">
              <w:rPr>
                <w:rFonts w:ascii="宋体" w:hAnsi="宋体"/>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7B5C3178" w14:textId="77777777" w:rsidR="00BE7526" w:rsidRPr="00A8244A" w:rsidRDefault="00BE7526" w:rsidP="00F1734D">
            <w:pPr>
              <w:adjustRightInd w:val="0"/>
              <w:spacing w:before="29" w:line="288" w:lineRule="auto"/>
              <w:ind w:left="17"/>
              <w:jc w:val="left"/>
              <w:rPr>
                <w:rFonts w:ascii="宋体" w:hAnsi="宋体"/>
                <w:color w:val="000000"/>
                <w:kern w:val="0"/>
                <w:sz w:val="24"/>
                <w:szCs w:val="24"/>
              </w:rPr>
            </w:pPr>
            <w:r w:rsidRPr="00A8244A">
              <w:rPr>
                <w:rFonts w:ascii="宋体" w:hAnsi="宋体"/>
                <w:kern w:val="0"/>
                <w:sz w:val="24"/>
              </w:rPr>
              <w:t>519729</w:t>
            </w:r>
          </w:p>
        </w:tc>
      </w:tr>
      <w:tr w:rsidR="00BE7526" w:rsidRPr="00A8244A" w14:paraId="7AB3B0A9" w14:textId="77777777" w:rsidTr="00F1734D">
        <w:trPr>
          <w:jc w:val="center"/>
        </w:trPr>
        <w:tc>
          <w:tcPr>
            <w:tcW w:w="3023" w:type="dxa"/>
            <w:vAlign w:val="center"/>
          </w:tcPr>
          <w:p w14:paraId="09328C61"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基金运作方式</w:t>
            </w:r>
          </w:p>
        </w:tc>
        <w:tc>
          <w:tcPr>
            <w:tcW w:w="5845" w:type="dxa"/>
            <w:vAlign w:val="center"/>
          </w:tcPr>
          <w:p w14:paraId="7340095A"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契约型开放式</w:t>
            </w:r>
          </w:p>
        </w:tc>
      </w:tr>
      <w:tr w:rsidR="00BE7526" w:rsidRPr="00A8244A" w14:paraId="3B76F038" w14:textId="77777777" w:rsidTr="00F1734D">
        <w:trPr>
          <w:jc w:val="center"/>
        </w:trPr>
        <w:tc>
          <w:tcPr>
            <w:tcW w:w="3023" w:type="dxa"/>
            <w:vAlign w:val="center"/>
          </w:tcPr>
          <w:p w14:paraId="5A8D440C"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基金合同生效日</w:t>
            </w:r>
          </w:p>
        </w:tc>
        <w:tc>
          <w:tcPr>
            <w:tcW w:w="5845" w:type="dxa"/>
            <w:vAlign w:val="center"/>
          </w:tcPr>
          <w:p w14:paraId="7878558D"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2013年12月25日</w:t>
            </w:r>
          </w:p>
        </w:tc>
      </w:tr>
      <w:tr w:rsidR="00BE7526" w:rsidRPr="00A8244A" w14:paraId="73CC4E74" w14:textId="77777777" w:rsidTr="00F1734D">
        <w:trPr>
          <w:jc w:val="center"/>
        </w:trPr>
        <w:tc>
          <w:tcPr>
            <w:tcW w:w="3023" w:type="dxa"/>
            <w:vAlign w:val="center"/>
          </w:tcPr>
          <w:p w14:paraId="5CEA60B2"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报告期末基金份额总额</w:t>
            </w:r>
          </w:p>
        </w:tc>
        <w:tc>
          <w:tcPr>
            <w:tcW w:w="5845" w:type="dxa"/>
            <w:vAlign w:val="center"/>
          </w:tcPr>
          <w:p w14:paraId="268C6A07" w14:textId="77777777" w:rsidR="00BE7526" w:rsidRPr="00A8244A" w:rsidRDefault="000F7FCA" w:rsidP="00F1734D">
            <w:pPr>
              <w:adjustRightInd w:val="0"/>
              <w:spacing w:before="29" w:line="288" w:lineRule="auto"/>
              <w:ind w:left="17"/>
              <w:jc w:val="left"/>
              <w:rPr>
                <w:rFonts w:ascii="宋体" w:hAnsi="宋体"/>
                <w:color w:val="000000"/>
                <w:sz w:val="24"/>
                <w:szCs w:val="24"/>
              </w:rPr>
            </w:pPr>
            <w:r w:rsidRPr="00B56C4B">
              <w:rPr>
                <w:rFonts w:ascii="宋体" w:hAnsi="宋体"/>
                <w:color w:val="000000"/>
                <w:kern w:val="0"/>
                <w:sz w:val="24"/>
                <w:szCs w:val="24"/>
              </w:rPr>
              <w:t>83,494,667.24</w:t>
            </w:r>
            <w:r w:rsidR="00BE7526" w:rsidRPr="00A8244A">
              <w:rPr>
                <w:rFonts w:ascii="宋体" w:hAnsi="宋体"/>
                <w:color w:val="000000"/>
                <w:kern w:val="0"/>
                <w:sz w:val="24"/>
                <w:szCs w:val="24"/>
              </w:rPr>
              <w:t>份</w:t>
            </w:r>
          </w:p>
        </w:tc>
      </w:tr>
      <w:tr w:rsidR="00BE7526" w:rsidRPr="00A8244A" w14:paraId="76596F6E" w14:textId="77777777" w:rsidTr="00F1734D">
        <w:trPr>
          <w:jc w:val="center"/>
        </w:trPr>
        <w:tc>
          <w:tcPr>
            <w:tcW w:w="3023" w:type="dxa"/>
            <w:vAlign w:val="center"/>
          </w:tcPr>
          <w:p w14:paraId="7FEAB604"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投资目标</w:t>
            </w:r>
          </w:p>
        </w:tc>
        <w:tc>
          <w:tcPr>
            <w:tcW w:w="5845" w:type="dxa"/>
            <w:vAlign w:val="center"/>
          </w:tcPr>
          <w:p w14:paraId="6A55BDA6"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本基金在追求保本周期到期时本金安全的基础上，通过稳健资产与风险资产的动态配置和有效的组合管理，力争实现基金资产的稳定增长</w:t>
            </w:r>
          </w:p>
        </w:tc>
      </w:tr>
      <w:tr w:rsidR="00BE7526" w:rsidRPr="00A8244A" w14:paraId="0BC93452" w14:textId="77777777" w:rsidTr="00F1734D">
        <w:trPr>
          <w:jc w:val="center"/>
        </w:trPr>
        <w:tc>
          <w:tcPr>
            <w:tcW w:w="3023" w:type="dxa"/>
            <w:vAlign w:val="center"/>
          </w:tcPr>
          <w:p w14:paraId="6014BEE7"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投资策略</w:t>
            </w:r>
          </w:p>
        </w:tc>
        <w:tc>
          <w:tcPr>
            <w:tcW w:w="5845" w:type="dxa"/>
            <w:vAlign w:val="center"/>
          </w:tcPr>
          <w:p w14:paraId="16EC8C25"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本基金运用恒定比例组合保险（CPPI，Constant Proportion Portfolio Insurance）原理，动态调整</w:t>
            </w:r>
            <w:r w:rsidRPr="00A8244A">
              <w:rPr>
                <w:rFonts w:ascii="宋体" w:hAnsi="宋体"/>
                <w:color w:val="000000"/>
                <w:kern w:val="0"/>
                <w:sz w:val="24"/>
                <w:szCs w:val="24"/>
              </w:rPr>
              <w:lastRenderedPageBreak/>
              <w:t>稳健资产与风险资产在基金组合中的投资比例，以确保本基金在保本周期到期时的本金安全，并实现基金资产在保本基础上的保值增值目的。</w:t>
            </w:r>
          </w:p>
        </w:tc>
      </w:tr>
      <w:tr w:rsidR="00BE7526" w:rsidRPr="00A8244A" w14:paraId="3FE18EEE" w14:textId="77777777" w:rsidTr="00F1734D">
        <w:trPr>
          <w:jc w:val="center"/>
        </w:trPr>
        <w:tc>
          <w:tcPr>
            <w:tcW w:w="3023" w:type="dxa"/>
            <w:vAlign w:val="center"/>
          </w:tcPr>
          <w:p w14:paraId="40E8EF34"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lastRenderedPageBreak/>
              <w:t>业绩比较基准</w:t>
            </w:r>
          </w:p>
        </w:tc>
        <w:tc>
          <w:tcPr>
            <w:tcW w:w="5845" w:type="dxa"/>
            <w:vAlign w:val="center"/>
          </w:tcPr>
          <w:p w14:paraId="432D6752"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三年期银行定期存款税后收益率</w:t>
            </w:r>
          </w:p>
        </w:tc>
      </w:tr>
      <w:tr w:rsidR="00BE7526" w:rsidRPr="00A8244A" w14:paraId="74E70D8E" w14:textId="77777777" w:rsidTr="00F1734D">
        <w:trPr>
          <w:jc w:val="center"/>
        </w:trPr>
        <w:tc>
          <w:tcPr>
            <w:tcW w:w="3023" w:type="dxa"/>
            <w:vAlign w:val="center"/>
          </w:tcPr>
          <w:p w14:paraId="4B3507A4"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风险收益特征</w:t>
            </w:r>
          </w:p>
        </w:tc>
        <w:tc>
          <w:tcPr>
            <w:tcW w:w="5845" w:type="dxa"/>
            <w:vAlign w:val="center"/>
          </w:tcPr>
          <w:p w14:paraId="4C730DD9"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本基金是一只保本混合型基金，在证券投资基金中属于低风险品种。</w:t>
            </w:r>
          </w:p>
        </w:tc>
      </w:tr>
      <w:tr w:rsidR="00BE7526" w:rsidRPr="00A8244A" w14:paraId="7EB7A674" w14:textId="77777777" w:rsidTr="00F1734D">
        <w:trPr>
          <w:jc w:val="center"/>
        </w:trPr>
        <w:tc>
          <w:tcPr>
            <w:tcW w:w="3023" w:type="dxa"/>
            <w:vAlign w:val="center"/>
          </w:tcPr>
          <w:p w14:paraId="5EFFE49D"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基金管理人</w:t>
            </w:r>
          </w:p>
        </w:tc>
        <w:tc>
          <w:tcPr>
            <w:tcW w:w="5845" w:type="dxa"/>
            <w:vAlign w:val="center"/>
          </w:tcPr>
          <w:p w14:paraId="19F247C2"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交银施罗德基金管理有限公司</w:t>
            </w:r>
          </w:p>
        </w:tc>
      </w:tr>
      <w:tr w:rsidR="00BE7526" w:rsidRPr="00A8244A" w14:paraId="54AE7A6E" w14:textId="77777777" w:rsidTr="00F1734D">
        <w:trPr>
          <w:jc w:val="center"/>
        </w:trPr>
        <w:tc>
          <w:tcPr>
            <w:tcW w:w="3023" w:type="dxa"/>
            <w:vAlign w:val="center"/>
          </w:tcPr>
          <w:p w14:paraId="6679AD32"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基金托管人</w:t>
            </w:r>
          </w:p>
        </w:tc>
        <w:tc>
          <w:tcPr>
            <w:tcW w:w="5845" w:type="dxa"/>
            <w:vAlign w:val="center"/>
          </w:tcPr>
          <w:p w14:paraId="64F63725"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中国建设银行股份有限公司</w:t>
            </w:r>
          </w:p>
        </w:tc>
      </w:tr>
      <w:tr w:rsidR="00BE7526" w:rsidRPr="00A8244A" w14:paraId="732EB3C5" w14:textId="77777777" w:rsidTr="00F1734D">
        <w:trPr>
          <w:jc w:val="center"/>
        </w:trPr>
        <w:tc>
          <w:tcPr>
            <w:tcW w:w="3023" w:type="dxa"/>
            <w:vAlign w:val="center"/>
          </w:tcPr>
          <w:p w14:paraId="449BAEB2" w14:textId="77777777" w:rsidR="00BE7526" w:rsidRPr="00A8244A" w:rsidRDefault="00BE7526" w:rsidP="00F1734D">
            <w:pPr>
              <w:adjustRightInd w:val="0"/>
              <w:spacing w:before="29" w:line="288" w:lineRule="auto"/>
              <w:ind w:left="17"/>
              <w:jc w:val="left"/>
              <w:rPr>
                <w:rFonts w:ascii="宋体" w:hAnsi="宋体"/>
                <w:sz w:val="24"/>
                <w:szCs w:val="24"/>
              </w:rPr>
            </w:pPr>
            <w:r w:rsidRPr="00A8244A">
              <w:rPr>
                <w:rFonts w:ascii="宋体" w:hAnsi="宋体"/>
                <w:kern w:val="0"/>
                <w:sz w:val="24"/>
                <w:szCs w:val="24"/>
              </w:rPr>
              <w:t>基金保证人</w:t>
            </w:r>
          </w:p>
        </w:tc>
        <w:tc>
          <w:tcPr>
            <w:tcW w:w="5845" w:type="dxa"/>
            <w:vAlign w:val="center"/>
          </w:tcPr>
          <w:p w14:paraId="2389A940" w14:textId="77777777" w:rsidR="00BE7526" w:rsidRPr="00A8244A" w:rsidRDefault="00BE7526" w:rsidP="00F1734D">
            <w:pPr>
              <w:adjustRightInd w:val="0"/>
              <w:spacing w:before="29" w:line="288" w:lineRule="auto"/>
              <w:ind w:left="17"/>
              <w:jc w:val="left"/>
              <w:rPr>
                <w:rFonts w:ascii="宋体" w:hAnsi="宋体"/>
                <w:color w:val="000000"/>
                <w:sz w:val="24"/>
                <w:szCs w:val="24"/>
              </w:rPr>
            </w:pPr>
            <w:r w:rsidRPr="00A8244A">
              <w:rPr>
                <w:rFonts w:ascii="宋体" w:hAnsi="宋体"/>
                <w:color w:val="000000"/>
                <w:kern w:val="0"/>
                <w:sz w:val="24"/>
                <w:szCs w:val="24"/>
              </w:rPr>
              <w:t>中国投融资担保股份有限公司</w:t>
            </w:r>
          </w:p>
        </w:tc>
      </w:tr>
    </w:tbl>
    <w:p w14:paraId="61B37D42" w14:textId="77777777" w:rsidR="00A8244A" w:rsidRPr="00B56C4B" w:rsidRDefault="00A8244A" w:rsidP="00A8244A">
      <w:pPr>
        <w:autoSpaceDE w:val="0"/>
        <w:autoSpaceDN w:val="0"/>
        <w:adjustRightInd w:val="0"/>
        <w:spacing w:before="29" w:line="288" w:lineRule="auto"/>
        <w:jc w:val="left"/>
        <w:rPr>
          <w:rFonts w:ascii="宋体" w:hAnsi="宋体"/>
          <w:color w:val="000000"/>
          <w:sz w:val="24"/>
          <w:szCs w:val="24"/>
        </w:rPr>
      </w:pPr>
      <w:r w:rsidRPr="00B56C4B">
        <w:rPr>
          <w:rFonts w:ascii="宋体" w:hAnsi="宋体"/>
          <w:color w:val="000000"/>
          <w:sz w:val="24"/>
          <w:szCs w:val="24"/>
        </w:rPr>
        <w:t>注：上表中“报告期末”指2016年12月29日。</w:t>
      </w:r>
    </w:p>
    <w:p w14:paraId="3DD92E02" w14:textId="77777777" w:rsidR="005910BF" w:rsidRPr="00A8244A" w:rsidRDefault="005910BF" w:rsidP="00C15CAC">
      <w:pPr>
        <w:autoSpaceDE w:val="0"/>
        <w:autoSpaceDN w:val="0"/>
        <w:adjustRightInd w:val="0"/>
        <w:spacing w:before="29" w:line="288" w:lineRule="auto"/>
        <w:jc w:val="left"/>
        <w:rPr>
          <w:color w:val="000000"/>
          <w:kern w:val="0"/>
          <w:sz w:val="24"/>
          <w:szCs w:val="24"/>
        </w:rPr>
      </w:pPr>
    </w:p>
    <w:p w14:paraId="4FC6E52F"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1C53097A"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389F5926"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2706"/>
        <w:gridCol w:w="2555"/>
      </w:tblGrid>
      <w:tr w:rsidR="00C21520" w:rsidRPr="00C07FC5" w14:paraId="771BB42A" w14:textId="77777777" w:rsidTr="00BD0031">
        <w:trPr>
          <w:jc w:val="center"/>
        </w:trPr>
        <w:tc>
          <w:tcPr>
            <w:tcW w:w="3402" w:type="dxa"/>
            <w:vAlign w:val="center"/>
          </w:tcPr>
          <w:p w14:paraId="542BD9C0" w14:textId="77777777" w:rsidR="00C21520" w:rsidRPr="00C07FC5" w:rsidRDefault="00C21520" w:rsidP="00C15CAC">
            <w:pPr>
              <w:adjustRightInd w:val="0"/>
              <w:spacing w:before="29" w:line="288" w:lineRule="auto"/>
              <w:ind w:left="17"/>
              <w:jc w:val="center"/>
              <w:rPr>
                <w:rFonts w:ascii="宋体" w:hAnsi="宋体"/>
                <w:kern w:val="0"/>
                <w:sz w:val="24"/>
                <w:szCs w:val="24"/>
              </w:rPr>
            </w:pPr>
            <w:r w:rsidRPr="00C07FC5">
              <w:rPr>
                <w:rFonts w:ascii="宋体" w:hAnsi="宋体"/>
                <w:kern w:val="0"/>
                <w:sz w:val="24"/>
                <w:szCs w:val="24"/>
              </w:rPr>
              <w:t>主要财务指标</w:t>
            </w:r>
          </w:p>
        </w:tc>
        <w:tc>
          <w:tcPr>
            <w:tcW w:w="2552" w:type="dxa"/>
            <w:vAlign w:val="center"/>
          </w:tcPr>
          <w:p w14:paraId="314D7783" w14:textId="77777777" w:rsidR="00C21520" w:rsidRPr="00C07FC5" w:rsidRDefault="00C07FC5" w:rsidP="00C07FC5">
            <w:pPr>
              <w:adjustRightInd w:val="0"/>
              <w:spacing w:before="29" w:line="288" w:lineRule="auto"/>
              <w:ind w:left="17"/>
              <w:jc w:val="center"/>
              <w:rPr>
                <w:rFonts w:ascii="宋体" w:hAnsi="宋体"/>
                <w:color w:val="000000"/>
                <w:sz w:val="24"/>
                <w:szCs w:val="24"/>
              </w:rPr>
            </w:pPr>
            <w:r w:rsidRPr="00C07FC5">
              <w:rPr>
                <w:rFonts w:ascii="宋体" w:hAnsi="宋体" w:cs="Arial" w:hint="eastAsia"/>
                <w:color w:val="000000"/>
                <w:kern w:val="0"/>
                <w:sz w:val="24"/>
                <w:szCs w:val="24"/>
              </w:rPr>
              <w:t>报告期：2016年12月30日-2016年12月31日</w:t>
            </w:r>
          </w:p>
        </w:tc>
        <w:tc>
          <w:tcPr>
            <w:tcW w:w="2410" w:type="dxa"/>
            <w:vAlign w:val="center"/>
          </w:tcPr>
          <w:p w14:paraId="03EEB17D" w14:textId="77777777" w:rsidR="00C21520" w:rsidRPr="00C07FC5" w:rsidRDefault="00C07FC5" w:rsidP="00C15CAC">
            <w:pPr>
              <w:adjustRightInd w:val="0"/>
              <w:spacing w:before="29" w:line="288" w:lineRule="auto"/>
              <w:ind w:left="17"/>
              <w:jc w:val="center"/>
              <w:rPr>
                <w:rFonts w:ascii="宋体" w:hAnsi="宋体"/>
                <w:color w:val="000000"/>
                <w:sz w:val="24"/>
                <w:szCs w:val="24"/>
              </w:rPr>
            </w:pPr>
            <w:r w:rsidRPr="00C07FC5">
              <w:rPr>
                <w:rFonts w:ascii="宋体" w:hAnsi="宋体" w:cs="Arial" w:hint="eastAsia"/>
                <w:color w:val="000000"/>
                <w:kern w:val="0"/>
                <w:sz w:val="24"/>
                <w:szCs w:val="24"/>
              </w:rPr>
              <w:t>报告期：2016年10月1日-2016年12月29日</w:t>
            </w:r>
          </w:p>
        </w:tc>
      </w:tr>
      <w:tr w:rsidR="00C21520" w:rsidRPr="00C07FC5" w14:paraId="0003AAC8" w14:textId="77777777" w:rsidTr="00BD0031">
        <w:trPr>
          <w:jc w:val="center"/>
        </w:trPr>
        <w:tc>
          <w:tcPr>
            <w:tcW w:w="3402" w:type="dxa"/>
            <w:vAlign w:val="center"/>
          </w:tcPr>
          <w:p w14:paraId="7CDBB274" w14:textId="77777777" w:rsidR="00C21520" w:rsidRPr="00C07FC5" w:rsidRDefault="00C21520" w:rsidP="00C15CAC">
            <w:pPr>
              <w:adjustRightInd w:val="0"/>
              <w:spacing w:before="29" w:line="288" w:lineRule="auto"/>
              <w:ind w:left="17"/>
              <w:rPr>
                <w:rFonts w:ascii="宋体" w:hAnsi="宋体"/>
                <w:kern w:val="0"/>
                <w:sz w:val="24"/>
                <w:szCs w:val="24"/>
              </w:rPr>
            </w:pPr>
            <w:r w:rsidRPr="00C07FC5">
              <w:rPr>
                <w:rFonts w:ascii="宋体" w:hAnsi="宋体"/>
                <w:kern w:val="0"/>
                <w:sz w:val="24"/>
                <w:szCs w:val="24"/>
              </w:rPr>
              <w:t>1.本期已实现收益</w:t>
            </w:r>
          </w:p>
        </w:tc>
        <w:tc>
          <w:tcPr>
            <w:tcW w:w="2552" w:type="dxa"/>
            <w:vAlign w:val="center"/>
          </w:tcPr>
          <w:p w14:paraId="135A0E72" w14:textId="77777777" w:rsidR="00C21520" w:rsidRPr="00C07FC5" w:rsidRDefault="00F1734D" w:rsidP="00C15CAC">
            <w:pPr>
              <w:adjustRightInd w:val="0"/>
              <w:spacing w:before="29" w:line="288" w:lineRule="auto"/>
              <w:ind w:left="17"/>
              <w:jc w:val="right"/>
              <w:rPr>
                <w:rFonts w:ascii="宋体" w:hAnsi="宋体"/>
                <w:color w:val="000000"/>
                <w:sz w:val="24"/>
                <w:szCs w:val="24"/>
              </w:rPr>
            </w:pPr>
            <w:r w:rsidRPr="00F1734D">
              <w:rPr>
                <w:rFonts w:ascii="宋体" w:hAnsi="宋体"/>
                <w:color w:val="000000"/>
                <w:sz w:val="24"/>
                <w:szCs w:val="24"/>
              </w:rPr>
              <w:t>22</w:t>
            </w:r>
            <w:r>
              <w:rPr>
                <w:rFonts w:ascii="宋体" w:hAnsi="宋体"/>
                <w:color w:val="000000"/>
                <w:sz w:val="24"/>
                <w:szCs w:val="24"/>
              </w:rPr>
              <w:t>,</w:t>
            </w:r>
            <w:r w:rsidRPr="00F1734D">
              <w:rPr>
                <w:rFonts w:ascii="宋体" w:hAnsi="宋体"/>
                <w:color w:val="000000"/>
                <w:sz w:val="24"/>
                <w:szCs w:val="24"/>
              </w:rPr>
              <w:t>493.85</w:t>
            </w:r>
          </w:p>
        </w:tc>
        <w:tc>
          <w:tcPr>
            <w:tcW w:w="2410" w:type="dxa"/>
            <w:vAlign w:val="center"/>
          </w:tcPr>
          <w:p w14:paraId="00E8DA19" w14:textId="77777777" w:rsidR="00C21520" w:rsidRPr="00C07FC5" w:rsidRDefault="00460F82" w:rsidP="00C15CAC">
            <w:pPr>
              <w:adjustRightInd w:val="0"/>
              <w:spacing w:before="29" w:line="288" w:lineRule="auto"/>
              <w:ind w:left="17"/>
              <w:jc w:val="right"/>
              <w:rPr>
                <w:rFonts w:ascii="宋体" w:hAnsi="宋体"/>
                <w:color w:val="000000"/>
                <w:sz w:val="24"/>
                <w:szCs w:val="24"/>
              </w:rPr>
            </w:pPr>
            <w:r w:rsidRPr="00460F82">
              <w:rPr>
                <w:rFonts w:ascii="宋体" w:hAnsi="宋体"/>
                <w:color w:val="000000"/>
                <w:sz w:val="24"/>
                <w:szCs w:val="24"/>
              </w:rPr>
              <w:t>4</w:t>
            </w:r>
            <w:r w:rsidR="00F1734D">
              <w:rPr>
                <w:rFonts w:ascii="宋体" w:hAnsi="宋体"/>
                <w:color w:val="000000"/>
                <w:sz w:val="24"/>
                <w:szCs w:val="24"/>
              </w:rPr>
              <w:t>,</w:t>
            </w:r>
            <w:r w:rsidRPr="00460F82">
              <w:rPr>
                <w:rFonts w:ascii="宋体" w:hAnsi="宋体"/>
                <w:color w:val="000000"/>
                <w:sz w:val="24"/>
                <w:szCs w:val="24"/>
              </w:rPr>
              <w:t>783</w:t>
            </w:r>
            <w:r w:rsidR="00F1734D">
              <w:rPr>
                <w:rFonts w:ascii="宋体" w:hAnsi="宋体"/>
                <w:color w:val="000000"/>
                <w:sz w:val="24"/>
                <w:szCs w:val="24"/>
              </w:rPr>
              <w:t>,</w:t>
            </w:r>
            <w:r w:rsidRPr="00460F82">
              <w:rPr>
                <w:rFonts w:ascii="宋体" w:hAnsi="宋体"/>
                <w:color w:val="000000"/>
                <w:sz w:val="24"/>
                <w:szCs w:val="24"/>
              </w:rPr>
              <w:t>488.46</w:t>
            </w:r>
          </w:p>
        </w:tc>
      </w:tr>
      <w:tr w:rsidR="00C21520" w:rsidRPr="00C07FC5" w14:paraId="1E2995EB" w14:textId="77777777" w:rsidTr="00BD0031">
        <w:trPr>
          <w:jc w:val="center"/>
        </w:trPr>
        <w:tc>
          <w:tcPr>
            <w:tcW w:w="3402" w:type="dxa"/>
            <w:vAlign w:val="center"/>
          </w:tcPr>
          <w:p w14:paraId="27BB68E4" w14:textId="77777777" w:rsidR="00C21520" w:rsidRPr="00C07FC5" w:rsidRDefault="00C21520" w:rsidP="00C15CAC">
            <w:pPr>
              <w:adjustRightInd w:val="0"/>
              <w:spacing w:before="29" w:line="288" w:lineRule="auto"/>
              <w:ind w:left="17"/>
              <w:rPr>
                <w:rFonts w:ascii="宋体" w:hAnsi="宋体"/>
                <w:kern w:val="0"/>
                <w:sz w:val="24"/>
                <w:szCs w:val="24"/>
              </w:rPr>
            </w:pPr>
            <w:r w:rsidRPr="00C07FC5">
              <w:rPr>
                <w:rFonts w:ascii="宋体" w:hAnsi="宋体"/>
                <w:kern w:val="0"/>
                <w:sz w:val="24"/>
                <w:szCs w:val="24"/>
              </w:rPr>
              <w:t>2.本期利润</w:t>
            </w:r>
          </w:p>
        </w:tc>
        <w:tc>
          <w:tcPr>
            <w:tcW w:w="2552" w:type="dxa"/>
            <w:vAlign w:val="center"/>
          </w:tcPr>
          <w:p w14:paraId="5BB3B493" w14:textId="77777777" w:rsidR="00C21520" w:rsidRPr="00C07FC5" w:rsidRDefault="00F1734D" w:rsidP="00C15CAC">
            <w:pPr>
              <w:adjustRightInd w:val="0"/>
              <w:spacing w:before="29" w:line="288" w:lineRule="auto"/>
              <w:ind w:left="17"/>
              <w:jc w:val="right"/>
              <w:rPr>
                <w:rFonts w:ascii="宋体" w:hAnsi="宋体"/>
                <w:color w:val="000000"/>
                <w:sz w:val="24"/>
                <w:szCs w:val="24"/>
              </w:rPr>
            </w:pPr>
            <w:r w:rsidRPr="00F1734D">
              <w:rPr>
                <w:rFonts w:ascii="宋体" w:hAnsi="宋体"/>
                <w:color w:val="000000"/>
                <w:sz w:val="24"/>
                <w:szCs w:val="24"/>
              </w:rPr>
              <w:t>26</w:t>
            </w:r>
            <w:r>
              <w:rPr>
                <w:rFonts w:ascii="宋体" w:hAnsi="宋体"/>
                <w:color w:val="000000"/>
                <w:sz w:val="24"/>
                <w:szCs w:val="24"/>
              </w:rPr>
              <w:t>,</w:t>
            </w:r>
            <w:r w:rsidRPr="00F1734D">
              <w:rPr>
                <w:rFonts w:ascii="宋体" w:hAnsi="宋体"/>
                <w:color w:val="000000"/>
                <w:sz w:val="24"/>
                <w:szCs w:val="24"/>
              </w:rPr>
              <w:t>493.85</w:t>
            </w:r>
          </w:p>
        </w:tc>
        <w:tc>
          <w:tcPr>
            <w:tcW w:w="2410" w:type="dxa"/>
            <w:vAlign w:val="center"/>
          </w:tcPr>
          <w:p w14:paraId="182352BB" w14:textId="77777777" w:rsidR="00C21520" w:rsidRPr="00C07FC5" w:rsidRDefault="00460F82" w:rsidP="00C15CAC">
            <w:pPr>
              <w:adjustRightInd w:val="0"/>
              <w:spacing w:before="29" w:line="288" w:lineRule="auto"/>
              <w:ind w:left="17"/>
              <w:jc w:val="right"/>
              <w:rPr>
                <w:rFonts w:ascii="宋体" w:hAnsi="宋体"/>
                <w:color w:val="000000"/>
                <w:sz w:val="24"/>
                <w:szCs w:val="24"/>
              </w:rPr>
            </w:pPr>
            <w:r w:rsidRPr="00460F82">
              <w:rPr>
                <w:rFonts w:ascii="宋体" w:hAnsi="宋体"/>
                <w:color w:val="000000"/>
                <w:sz w:val="24"/>
                <w:szCs w:val="24"/>
              </w:rPr>
              <w:t>2</w:t>
            </w:r>
            <w:r w:rsidR="00F1734D">
              <w:rPr>
                <w:rFonts w:ascii="宋体" w:hAnsi="宋体"/>
                <w:color w:val="000000"/>
                <w:sz w:val="24"/>
                <w:szCs w:val="24"/>
              </w:rPr>
              <w:t>,</w:t>
            </w:r>
            <w:r w:rsidRPr="00460F82">
              <w:rPr>
                <w:rFonts w:ascii="宋体" w:hAnsi="宋体"/>
                <w:color w:val="000000"/>
                <w:sz w:val="24"/>
                <w:szCs w:val="24"/>
              </w:rPr>
              <w:t>374</w:t>
            </w:r>
            <w:r w:rsidR="00F1734D">
              <w:rPr>
                <w:rFonts w:ascii="宋体" w:hAnsi="宋体"/>
                <w:color w:val="000000"/>
                <w:sz w:val="24"/>
                <w:szCs w:val="24"/>
              </w:rPr>
              <w:t>,</w:t>
            </w:r>
            <w:r w:rsidRPr="00460F82">
              <w:rPr>
                <w:rFonts w:ascii="宋体" w:hAnsi="宋体"/>
                <w:color w:val="000000"/>
                <w:sz w:val="24"/>
                <w:szCs w:val="24"/>
              </w:rPr>
              <w:t>747.23</w:t>
            </w:r>
          </w:p>
        </w:tc>
      </w:tr>
      <w:tr w:rsidR="00C21520" w:rsidRPr="00C07FC5" w14:paraId="52E7A290" w14:textId="77777777" w:rsidTr="00BD0031">
        <w:trPr>
          <w:jc w:val="center"/>
        </w:trPr>
        <w:tc>
          <w:tcPr>
            <w:tcW w:w="3402" w:type="dxa"/>
            <w:vAlign w:val="center"/>
          </w:tcPr>
          <w:p w14:paraId="3C6924E0" w14:textId="77777777" w:rsidR="00C21520" w:rsidRPr="00C07FC5" w:rsidRDefault="00C21520" w:rsidP="00C15CAC">
            <w:pPr>
              <w:adjustRightInd w:val="0"/>
              <w:spacing w:before="29" w:line="288" w:lineRule="auto"/>
              <w:ind w:left="17"/>
              <w:rPr>
                <w:rFonts w:ascii="宋体" w:hAnsi="宋体"/>
                <w:kern w:val="0"/>
                <w:sz w:val="24"/>
                <w:szCs w:val="24"/>
              </w:rPr>
            </w:pPr>
            <w:r w:rsidRPr="00C07FC5">
              <w:rPr>
                <w:rFonts w:ascii="宋体" w:hAnsi="宋体"/>
                <w:kern w:val="0"/>
                <w:sz w:val="24"/>
                <w:szCs w:val="24"/>
              </w:rPr>
              <w:t>3.加权平均基金份额本期利润</w:t>
            </w:r>
          </w:p>
        </w:tc>
        <w:tc>
          <w:tcPr>
            <w:tcW w:w="2552" w:type="dxa"/>
            <w:vAlign w:val="center"/>
          </w:tcPr>
          <w:p w14:paraId="28B86A50" w14:textId="77777777" w:rsidR="00C21520" w:rsidRPr="00C07FC5" w:rsidRDefault="00F1734D" w:rsidP="00C15CAC">
            <w:pPr>
              <w:adjustRightInd w:val="0"/>
              <w:spacing w:before="29" w:line="288" w:lineRule="auto"/>
              <w:ind w:left="17"/>
              <w:jc w:val="right"/>
              <w:rPr>
                <w:rFonts w:ascii="宋体" w:hAnsi="宋体"/>
                <w:color w:val="000000"/>
                <w:sz w:val="24"/>
                <w:szCs w:val="24"/>
              </w:rPr>
            </w:pPr>
            <w:r w:rsidRPr="00F1734D">
              <w:rPr>
                <w:rFonts w:ascii="宋体" w:hAnsi="宋体"/>
                <w:color w:val="000000"/>
                <w:sz w:val="24"/>
                <w:szCs w:val="24"/>
              </w:rPr>
              <w:t>0.0003</w:t>
            </w:r>
          </w:p>
        </w:tc>
        <w:tc>
          <w:tcPr>
            <w:tcW w:w="2410" w:type="dxa"/>
            <w:vAlign w:val="center"/>
          </w:tcPr>
          <w:p w14:paraId="45D336BC" w14:textId="77777777" w:rsidR="00C21520" w:rsidRPr="00C07FC5" w:rsidRDefault="00460F82" w:rsidP="00C15CAC">
            <w:pPr>
              <w:adjustRightInd w:val="0"/>
              <w:spacing w:before="29" w:line="288" w:lineRule="auto"/>
              <w:ind w:left="17"/>
              <w:jc w:val="right"/>
              <w:rPr>
                <w:rFonts w:ascii="宋体" w:hAnsi="宋体"/>
                <w:color w:val="000000"/>
                <w:sz w:val="24"/>
                <w:szCs w:val="24"/>
              </w:rPr>
            </w:pPr>
            <w:r w:rsidRPr="00460F82">
              <w:rPr>
                <w:rFonts w:ascii="宋体" w:hAnsi="宋体"/>
                <w:color w:val="000000"/>
                <w:sz w:val="24"/>
                <w:szCs w:val="24"/>
              </w:rPr>
              <w:t>0.0204</w:t>
            </w:r>
          </w:p>
        </w:tc>
      </w:tr>
      <w:tr w:rsidR="00C21520" w:rsidRPr="00C07FC5" w14:paraId="5529B986" w14:textId="77777777" w:rsidTr="00BD0031">
        <w:trPr>
          <w:jc w:val="center"/>
        </w:trPr>
        <w:tc>
          <w:tcPr>
            <w:tcW w:w="3402" w:type="dxa"/>
            <w:vAlign w:val="center"/>
          </w:tcPr>
          <w:p w14:paraId="1B54471B" w14:textId="77777777" w:rsidR="00C21520" w:rsidRPr="00C07FC5" w:rsidRDefault="00C21520" w:rsidP="00C15CAC">
            <w:pPr>
              <w:adjustRightInd w:val="0"/>
              <w:spacing w:before="29" w:line="288" w:lineRule="auto"/>
              <w:ind w:left="17"/>
              <w:rPr>
                <w:rFonts w:ascii="宋体" w:hAnsi="宋体"/>
                <w:kern w:val="0"/>
                <w:sz w:val="24"/>
                <w:szCs w:val="24"/>
              </w:rPr>
            </w:pPr>
            <w:r w:rsidRPr="00C07FC5">
              <w:rPr>
                <w:rFonts w:ascii="宋体" w:hAnsi="宋体"/>
                <w:kern w:val="0"/>
                <w:sz w:val="24"/>
                <w:szCs w:val="24"/>
              </w:rPr>
              <w:t>4.期末基金资产净值</w:t>
            </w:r>
          </w:p>
        </w:tc>
        <w:tc>
          <w:tcPr>
            <w:tcW w:w="2552" w:type="dxa"/>
            <w:vAlign w:val="center"/>
          </w:tcPr>
          <w:p w14:paraId="0B3893A7" w14:textId="77777777" w:rsidR="00C21520" w:rsidRPr="00C07FC5" w:rsidRDefault="00C21520" w:rsidP="00C15CAC">
            <w:pPr>
              <w:adjustRightInd w:val="0"/>
              <w:spacing w:before="29" w:line="288" w:lineRule="auto"/>
              <w:ind w:left="17"/>
              <w:jc w:val="right"/>
              <w:rPr>
                <w:rFonts w:ascii="宋体" w:hAnsi="宋体"/>
                <w:color w:val="000000"/>
                <w:sz w:val="24"/>
                <w:szCs w:val="24"/>
              </w:rPr>
            </w:pPr>
            <w:r w:rsidRPr="00C07FC5">
              <w:rPr>
                <w:rFonts w:ascii="宋体" w:hAnsi="宋体"/>
                <w:color w:val="000000"/>
                <w:sz w:val="24"/>
                <w:szCs w:val="24"/>
              </w:rPr>
              <w:t>99,968,966.85</w:t>
            </w:r>
          </w:p>
        </w:tc>
        <w:tc>
          <w:tcPr>
            <w:tcW w:w="2410" w:type="dxa"/>
            <w:vAlign w:val="center"/>
          </w:tcPr>
          <w:p w14:paraId="14853407" w14:textId="77777777" w:rsidR="00FB4BC0" w:rsidRPr="00C07FC5" w:rsidRDefault="00FB4BC0" w:rsidP="00FB4BC0">
            <w:pPr>
              <w:adjustRightInd w:val="0"/>
              <w:spacing w:before="29" w:line="288" w:lineRule="auto"/>
              <w:ind w:left="17"/>
              <w:jc w:val="right"/>
              <w:rPr>
                <w:rFonts w:ascii="宋体" w:hAnsi="宋体"/>
                <w:color w:val="000000"/>
                <w:sz w:val="24"/>
                <w:szCs w:val="24"/>
              </w:rPr>
            </w:pPr>
            <w:r>
              <w:rPr>
                <w:rFonts w:ascii="宋体" w:hAnsi="宋体"/>
                <w:color w:val="000000"/>
                <w:sz w:val="24"/>
                <w:szCs w:val="24"/>
              </w:rPr>
              <w:t>106,058,216.36</w:t>
            </w:r>
          </w:p>
        </w:tc>
      </w:tr>
      <w:tr w:rsidR="00C21520" w:rsidRPr="00C07FC5" w14:paraId="51C2ACAE" w14:textId="77777777" w:rsidTr="00BD0031">
        <w:trPr>
          <w:trHeight w:val="158"/>
          <w:jc w:val="center"/>
        </w:trPr>
        <w:tc>
          <w:tcPr>
            <w:tcW w:w="3402" w:type="dxa"/>
            <w:vAlign w:val="center"/>
          </w:tcPr>
          <w:p w14:paraId="3CBF205F" w14:textId="77777777" w:rsidR="00C21520" w:rsidRPr="00C07FC5" w:rsidRDefault="00C21520" w:rsidP="00C15CAC">
            <w:pPr>
              <w:adjustRightInd w:val="0"/>
              <w:spacing w:before="29" w:line="288" w:lineRule="auto"/>
              <w:ind w:left="17"/>
              <w:rPr>
                <w:rFonts w:ascii="宋体" w:hAnsi="宋体"/>
                <w:kern w:val="0"/>
                <w:sz w:val="24"/>
                <w:szCs w:val="24"/>
              </w:rPr>
            </w:pPr>
            <w:r w:rsidRPr="00C07FC5">
              <w:rPr>
                <w:rFonts w:ascii="宋体" w:hAnsi="宋体"/>
                <w:kern w:val="0"/>
                <w:sz w:val="24"/>
                <w:szCs w:val="24"/>
              </w:rPr>
              <w:t>5.期末基金份额净值</w:t>
            </w:r>
          </w:p>
        </w:tc>
        <w:tc>
          <w:tcPr>
            <w:tcW w:w="2552" w:type="dxa"/>
            <w:vAlign w:val="center"/>
          </w:tcPr>
          <w:p w14:paraId="0B49BC6C" w14:textId="77777777" w:rsidR="00C21520" w:rsidRPr="00C07FC5" w:rsidRDefault="00C21520" w:rsidP="00C15CAC">
            <w:pPr>
              <w:adjustRightInd w:val="0"/>
              <w:spacing w:before="29" w:line="288" w:lineRule="auto"/>
              <w:ind w:left="17"/>
              <w:jc w:val="right"/>
              <w:rPr>
                <w:rFonts w:ascii="宋体" w:hAnsi="宋体"/>
                <w:color w:val="000000"/>
                <w:sz w:val="24"/>
                <w:szCs w:val="24"/>
              </w:rPr>
            </w:pPr>
            <w:r w:rsidRPr="00C07FC5">
              <w:rPr>
                <w:rFonts w:ascii="宋体" w:hAnsi="宋体"/>
                <w:color w:val="000000"/>
                <w:sz w:val="24"/>
                <w:szCs w:val="24"/>
              </w:rPr>
              <w:t>1.271</w:t>
            </w:r>
          </w:p>
        </w:tc>
        <w:tc>
          <w:tcPr>
            <w:tcW w:w="2410" w:type="dxa"/>
            <w:vAlign w:val="center"/>
          </w:tcPr>
          <w:p w14:paraId="26CE41E5" w14:textId="77777777" w:rsidR="00C21520" w:rsidRPr="00C07FC5" w:rsidRDefault="006A7AF1" w:rsidP="00FB4BC0">
            <w:pPr>
              <w:adjustRightInd w:val="0"/>
              <w:spacing w:before="29" w:line="288" w:lineRule="auto"/>
              <w:ind w:left="17"/>
              <w:jc w:val="right"/>
              <w:rPr>
                <w:rFonts w:ascii="宋体" w:hAnsi="宋体"/>
                <w:color w:val="000000"/>
                <w:sz w:val="24"/>
                <w:szCs w:val="24"/>
              </w:rPr>
            </w:pPr>
            <w:r w:rsidRPr="00C07FC5">
              <w:rPr>
                <w:rFonts w:ascii="宋体" w:hAnsi="宋体"/>
                <w:color w:val="000000"/>
                <w:sz w:val="24"/>
                <w:szCs w:val="24"/>
              </w:rPr>
              <w:t>1.27</w:t>
            </w:r>
            <w:r w:rsidR="00FB4BC0">
              <w:rPr>
                <w:rFonts w:ascii="宋体" w:hAnsi="宋体"/>
                <w:color w:val="000000"/>
                <w:sz w:val="24"/>
                <w:szCs w:val="24"/>
              </w:rPr>
              <w:t>0</w:t>
            </w:r>
          </w:p>
        </w:tc>
      </w:tr>
    </w:tbl>
    <w:p w14:paraId="34677BC8" w14:textId="77777777" w:rsidR="001D3B02" w:rsidRDefault="00F1734D">
      <w:pPr>
        <w:autoSpaceDE w:val="0"/>
        <w:autoSpaceDN w:val="0"/>
        <w:adjustRightInd w:val="0"/>
        <w:spacing w:before="29" w:line="288" w:lineRule="auto"/>
        <w:jc w:val="left"/>
        <w:rPr>
          <w:rFonts w:ascii="宋体" w:hAnsi="宋体"/>
          <w:color w:val="000000"/>
          <w:sz w:val="24"/>
          <w:szCs w:val="24"/>
        </w:rPr>
      </w:pPr>
      <w:r>
        <w:rPr>
          <w:rFonts w:ascii="宋体" w:hAnsi="宋体"/>
          <w:color w:val="000000"/>
          <w:sz w:val="24"/>
          <w:szCs w:val="24"/>
        </w:rPr>
        <w:t xml:space="preserve">注：1、上述基金业绩指标不包括持有人认购或交易基金的各项费用，计入费用后的实际收益水平要低于所列数字。  </w:t>
      </w:r>
    </w:p>
    <w:p w14:paraId="01048911" w14:textId="77777777" w:rsidR="001D3B02" w:rsidRDefault="00F1734D">
      <w:pPr>
        <w:autoSpaceDE w:val="0"/>
        <w:autoSpaceDN w:val="0"/>
        <w:adjustRightInd w:val="0"/>
        <w:spacing w:before="29" w:line="288" w:lineRule="auto"/>
        <w:jc w:val="left"/>
        <w:rPr>
          <w:rFonts w:ascii="宋体" w:hAnsi="宋体"/>
          <w:color w:val="000000"/>
          <w:sz w:val="24"/>
          <w:szCs w:val="24"/>
        </w:rPr>
      </w:pPr>
      <w:r>
        <w:rPr>
          <w:rFonts w:ascii="宋体" w:hAnsi="宋体"/>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14:paraId="260B09C0" w14:textId="77777777" w:rsidR="004061AC" w:rsidRPr="00C07FC5" w:rsidRDefault="004061AC" w:rsidP="00C15CAC">
      <w:pPr>
        <w:autoSpaceDE w:val="0"/>
        <w:autoSpaceDN w:val="0"/>
        <w:adjustRightInd w:val="0"/>
        <w:spacing w:before="29" w:line="288" w:lineRule="auto"/>
        <w:jc w:val="left"/>
        <w:rPr>
          <w:rFonts w:ascii="宋体" w:hAnsi="宋体"/>
          <w:color w:val="000000"/>
          <w:sz w:val="24"/>
          <w:szCs w:val="24"/>
        </w:rPr>
      </w:pPr>
      <w:r w:rsidRPr="00C07FC5">
        <w:rPr>
          <w:rFonts w:ascii="宋体" w:hAnsi="宋体"/>
          <w:color w:val="000000"/>
          <w:sz w:val="24"/>
          <w:szCs w:val="24"/>
        </w:rPr>
        <w:t xml:space="preserve">    3、交银施罗德荣泰保本混合型证券投资基金从2016年12月30日起正式转型为交银施罗德增强收益债券型证券投资基金。</w:t>
      </w:r>
    </w:p>
    <w:p w14:paraId="1081C38D"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D37AB0F" w14:textId="77777777" w:rsidR="004061AC" w:rsidRPr="009557D0" w:rsidRDefault="004061AC" w:rsidP="00B575F8">
      <w:pPr>
        <w:autoSpaceDE w:val="0"/>
        <w:autoSpaceDN w:val="0"/>
        <w:adjustRightInd w:val="0"/>
        <w:spacing w:before="29" w:line="288" w:lineRule="auto"/>
        <w:jc w:val="left"/>
        <w:rPr>
          <w:rFonts w:ascii="宋体" w:hAnsi="宋体"/>
          <w:b/>
          <w:bCs/>
          <w:color w:val="000000"/>
          <w:kern w:val="0"/>
          <w:sz w:val="24"/>
          <w:szCs w:val="24"/>
        </w:rPr>
      </w:pPr>
      <w:r w:rsidRPr="009557D0">
        <w:rPr>
          <w:rFonts w:ascii="宋体" w:hAnsi="宋体"/>
          <w:b/>
          <w:bCs/>
          <w:color w:val="000000"/>
          <w:kern w:val="0"/>
          <w:sz w:val="24"/>
          <w:szCs w:val="24"/>
        </w:rPr>
        <w:t>3.2 基金净值表现</w:t>
      </w:r>
    </w:p>
    <w:p w14:paraId="3BAA54CD" w14:textId="77777777" w:rsidR="00CF6572" w:rsidRPr="009557D0" w:rsidRDefault="004061AC" w:rsidP="00B575F8">
      <w:pPr>
        <w:pStyle w:val="a0"/>
        <w:ind w:firstLineChars="0" w:firstLine="0"/>
        <w:jc w:val="left"/>
        <w:rPr>
          <w:rFonts w:ascii="宋体" w:hAnsi="宋体" w:cs="Arial"/>
          <w:b/>
          <w:color w:val="000000"/>
          <w:kern w:val="0"/>
          <w:sz w:val="24"/>
        </w:rPr>
      </w:pPr>
      <w:r w:rsidRPr="009557D0">
        <w:rPr>
          <w:rFonts w:ascii="宋体" w:hAnsi="宋体"/>
          <w:b/>
          <w:bCs/>
          <w:color w:val="000000"/>
          <w:kern w:val="0"/>
          <w:sz w:val="24"/>
          <w:szCs w:val="24"/>
        </w:rPr>
        <w:t xml:space="preserve">3.2.1 </w:t>
      </w:r>
      <w:r w:rsidR="00AA0900" w:rsidRPr="009557D0">
        <w:rPr>
          <w:rFonts w:ascii="宋体" w:hAnsi="宋体" w:cs="Arial"/>
          <w:b/>
          <w:color w:val="000000"/>
          <w:kern w:val="0"/>
          <w:sz w:val="24"/>
        </w:rPr>
        <w:t>交银施罗德增强收益债券型证券投资基金</w:t>
      </w:r>
    </w:p>
    <w:p w14:paraId="1083FF50" w14:textId="77777777" w:rsidR="00906801" w:rsidRPr="009557D0" w:rsidRDefault="00906801" w:rsidP="00B575F8">
      <w:pPr>
        <w:autoSpaceDE w:val="0"/>
        <w:autoSpaceDN w:val="0"/>
        <w:adjustRightInd w:val="0"/>
        <w:spacing w:before="29" w:line="288" w:lineRule="auto"/>
        <w:ind w:left="15"/>
        <w:jc w:val="left"/>
        <w:rPr>
          <w:rFonts w:ascii="宋体" w:hAnsi="宋体" w:cs="Arial"/>
          <w:b/>
          <w:color w:val="000000"/>
          <w:kern w:val="0"/>
          <w:sz w:val="24"/>
          <w:szCs w:val="24"/>
        </w:rPr>
      </w:pPr>
      <w:r w:rsidRPr="009557D0">
        <w:rPr>
          <w:rFonts w:ascii="宋体" w:hAnsi="宋体" w:cs="Arial" w:hint="eastAsia"/>
          <w:b/>
          <w:color w:val="000000"/>
          <w:kern w:val="0"/>
          <w:sz w:val="24"/>
          <w:szCs w:val="24"/>
        </w:rPr>
        <w:t>（报告期：2016年12月30日-2016年12月31日）</w:t>
      </w:r>
    </w:p>
    <w:p w14:paraId="32E65470" w14:textId="77777777" w:rsidR="00906801" w:rsidRPr="009557D0" w:rsidRDefault="00906801" w:rsidP="00906801">
      <w:pPr>
        <w:autoSpaceDE w:val="0"/>
        <w:autoSpaceDN w:val="0"/>
        <w:adjustRightInd w:val="0"/>
        <w:spacing w:before="29" w:line="288" w:lineRule="auto"/>
        <w:ind w:left="15"/>
        <w:jc w:val="left"/>
        <w:rPr>
          <w:rFonts w:ascii="宋体" w:hAnsi="宋体"/>
          <w:b/>
          <w:color w:val="000000"/>
          <w:kern w:val="0"/>
          <w:sz w:val="24"/>
        </w:rPr>
      </w:pPr>
      <w:r w:rsidRPr="009557D0">
        <w:rPr>
          <w:rFonts w:ascii="宋体" w:hAnsi="宋体" w:cs="Arial"/>
          <w:b/>
          <w:color w:val="000000"/>
          <w:kern w:val="0"/>
          <w:sz w:val="24"/>
        </w:rPr>
        <w:t>3.2.1</w:t>
      </w:r>
      <w:r w:rsidRPr="009557D0">
        <w:rPr>
          <w:rFonts w:ascii="宋体" w:hAnsi="宋体" w:cs="Arial" w:hint="eastAsia"/>
          <w:b/>
          <w:color w:val="000000"/>
          <w:kern w:val="0"/>
          <w:sz w:val="24"/>
        </w:rPr>
        <w:t>.1</w:t>
      </w:r>
      <w:r w:rsidRPr="009557D0">
        <w:rPr>
          <w:rFonts w:ascii="宋体" w:hAnsi="宋体" w:cs="Arial"/>
          <w:b/>
          <w:color w:val="000000"/>
          <w:kern w:val="0"/>
          <w:sz w:val="24"/>
        </w:rPr>
        <w:t xml:space="preserve"> </w:t>
      </w:r>
      <w:r w:rsidRPr="009557D0">
        <w:rPr>
          <w:rFonts w:ascii="宋体" w:hAnsi="宋体" w:cs="Arial" w:hint="eastAsia"/>
          <w:b/>
          <w:color w:val="000000"/>
          <w:kern w:val="0"/>
          <w:sz w:val="24"/>
        </w:rPr>
        <w:t>本报告期基金份额净值增长率及其与同期业绩比较基准收益率的比较</w:t>
      </w:r>
    </w:p>
    <w:tbl>
      <w:tblPr>
        <w:tblStyle w:val="af7"/>
        <w:tblW w:w="9086"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116"/>
      </w:tblGrid>
      <w:tr w:rsidR="00EF6FA5" w:rsidRPr="009557D0" w14:paraId="2CB683CA" w14:textId="77777777" w:rsidTr="00440517">
        <w:trPr>
          <w:jc w:val="center"/>
        </w:trPr>
        <w:tc>
          <w:tcPr>
            <w:tcW w:w="1701" w:type="dxa"/>
            <w:vAlign w:val="center"/>
          </w:tcPr>
          <w:p w14:paraId="49422541"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阶段</w:t>
            </w:r>
          </w:p>
        </w:tc>
        <w:tc>
          <w:tcPr>
            <w:tcW w:w="1045" w:type="dxa"/>
            <w:vAlign w:val="center"/>
          </w:tcPr>
          <w:p w14:paraId="099BFCEB"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净值增长率①</w:t>
            </w:r>
          </w:p>
        </w:tc>
        <w:tc>
          <w:tcPr>
            <w:tcW w:w="1344" w:type="dxa"/>
            <w:vAlign w:val="center"/>
          </w:tcPr>
          <w:p w14:paraId="40426FBB"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净值增长率标准差②</w:t>
            </w:r>
          </w:p>
        </w:tc>
        <w:tc>
          <w:tcPr>
            <w:tcW w:w="1194" w:type="dxa"/>
            <w:vAlign w:val="center"/>
          </w:tcPr>
          <w:p w14:paraId="4FC520CA"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业绩比较基准收益率③</w:t>
            </w:r>
          </w:p>
        </w:tc>
        <w:tc>
          <w:tcPr>
            <w:tcW w:w="1492" w:type="dxa"/>
            <w:vAlign w:val="center"/>
          </w:tcPr>
          <w:p w14:paraId="5887C6A3"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业绩比较基准收益率标准差④</w:t>
            </w:r>
          </w:p>
        </w:tc>
        <w:tc>
          <w:tcPr>
            <w:tcW w:w="1194" w:type="dxa"/>
            <w:vAlign w:val="center"/>
          </w:tcPr>
          <w:p w14:paraId="6BDC5293"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①-③</w:t>
            </w:r>
          </w:p>
        </w:tc>
        <w:tc>
          <w:tcPr>
            <w:tcW w:w="1116" w:type="dxa"/>
            <w:vAlign w:val="center"/>
          </w:tcPr>
          <w:p w14:paraId="7E58B8CD" w14:textId="77777777" w:rsidR="00154BE1" w:rsidRPr="009557D0" w:rsidRDefault="00154BE1" w:rsidP="00C15CAC">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②-④</w:t>
            </w:r>
          </w:p>
        </w:tc>
      </w:tr>
      <w:tr w:rsidR="001D3B02" w14:paraId="5A255E1A" w14:textId="77777777" w:rsidTr="00440517">
        <w:trPr>
          <w:jc w:val="center"/>
        </w:trPr>
        <w:tc>
          <w:tcPr>
            <w:tcW w:w="1701" w:type="dxa"/>
            <w:vAlign w:val="center"/>
          </w:tcPr>
          <w:p w14:paraId="70EAA4D6" w14:textId="77777777" w:rsidR="001D3B02" w:rsidRDefault="00F1734D">
            <w:pPr>
              <w:jc w:val="left"/>
            </w:pPr>
            <w:r>
              <w:rPr>
                <w:rFonts w:ascii="宋体" w:hAnsi="宋体"/>
                <w:color w:val="000000"/>
                <w:sz w:val="24"/>
                <w:szCs w:val="24"/>
              </w:rPr>
              <w:t>2016年12月30日-2016年12月31日</w:t>
            </w:r>
          </w:p>
        </w:tc>
        <w:tc>
          <w:tcPr>
            <w:tcW w:w="1045" w:type="dxa"/>
            <w:vAlign w:val="center"/>
          </w:tcPr>
          <w:p w14:paraId="74C29861" w14:textId="77777777" w:rsidR="001D3B02" w:rsidRDefault="00F1734D">
            <w:pPr>
              <w:jc w:val="center"/>
            </w:pPr>
            <w:r>
              <w:rPr>
                <w:rFonts w:ascii="宋体" w:hAnsi="宋体"/>
                <w:color w:val="000000"/>
                <w:sz w:val="24"/>
                <w:szCs w:val="24"/>
              </w:rPr>
              <w:t>0.08%</w:t>
            </w:r>
          </w:p>
        </w:tc>
        <w:tc>
          <w:tcPr>
            <w:tcW w:w="1344" w:type="dxa"/>
            <w:vAlign w:val="center"/>
          </w:tcPr>
          <w:p w14:paraId="685CBE24" w14:textId="77777777" w:rsidR="001D3B02" w:rsidRDefault="00F1734D" w:rsidP="00440517">
            <w:pPr>
              <w:jc w:val="center"/>
            </w:pPr>
            <w:r>
              <w:rPr>
                <w:rFonts w:ascii="宋体" w:hAnsi="宋体"/>
                <w:color w:val="000000"/>
                <w:sz w:val="24"/>
                <w:szCs w:val="24"/>
              </w:rPr>
              <w:t>0.</w:t>
            </w:r>
            <w:r w:rsidR="00440517">
              <w:rPr>
                <w:rFonts w:ascii="宋体" w:hAnsi="宋体"/>
                <w:color w:val="000000"/>
                <w:sz w:val="24"/>
                <w:szCs w:val="24"/>
              </w:rPr>
              <w:t>06</w:t>
            </w:r>
            <w:r>
              <w:rPr>
                <w:rFonts w:ascii="宋体" w:hAnsi="宋体"/>
                <w:color w:val="000000"/>
                <w:sz w:val="24"/>
                <w:szCs w:val="24"/>
              </w:rPr>
              <w:t>%</w:t>
            </w:r>
          </w:p>
        </w:tc>
        <w:tc>
          <w:tcPr>
            <w:tcW w:w="1194" w:type="dxa"/>
            <w:vAlign w:val="center"/>
          </w:tcPr>
          <w:p w14:paraId="48F7637D" w14:textId="77777777" w:rsidR="001D3B02" w:rsidRDefault="00F1734D" w:rsidP="00440517">
            <w:pPr>
              <w:jc w:val="center"/>
            </w:pPr>
            <w:r>
              <w:rPr>
                <w:rFonts w:ascii="宋体" w:hAnsi="宋体"/>
                <w:color w:val="000000"/>
                <w:sz w:val="24"/>
                <w:szCs w:val="24"/>
              </w:rPr>
              <w:t>0.</w:t>
            </w:r>
            <w:r w:rsidR="00440517">
              <w:rPr>
                <w:rFonts w:ascii="宋体" w:hAnsi="宋体"/>
                <w:color w:val="000000"/>
                <w:sz w:val="24"/>
                <w:szCs w:val="24"/>
              </w:rPr>
              <w:t>2</w:t>
            </w:r>
            <w:r w:rsidR="00C33637">
              <w:rPr>
                <w:rFonts w:ascii="宋体" w:hAnsi="宋体"/>
                <w:color w:val="000000"/>
                <w:sz w:val="24"/>
                <w:szCs w:val="24"/>
              </w:rPr>
              <w:t>1</w:t>
            </w:r>
            <w:r>
              <w:rPr>
                <w:rFonts w:ascii="宋体" w:hAnsi="宋体"/>
                <w:color w:val="000000"/>
                <w:sz w:val="24"/>
                <w:szCs w:val="24"/>
              </w:rPr>
              <w:t>%</w:t>
            </w:r>
          </w:p>
        </w:tc>
        <w:tc>
          <w:tcPr>
            <w:tcW w:w="1492" w:type="dxa"/>
            <w:vAlign w:val="center"/>
          </w:tcPr>
          <w:p w14:paraId="55B08847" w14:textId="77777777" w:rsidR="001D3B02" w:rsidRDefault="00C33637" w:rsidP="00440517">
            <w:pPr>
              <w:jc w:val="center"/>
            </w:pPr>
            <w:r>
              <w:rPr>
                <w:rFonts w:ascii="宋体" w:hAnsi="宋体"/>
                <w:color w:val="000000"/>
                <w:sz w:val="24"/>
                <w:szCs w:val="24"/>
              </w:rPr>
              <w:t>0.</w:t>
            </w:r>
            <w:r w:rsidR="00440517">
              <w:rPr>
                <w:rFonts w:ascii="宋体" w:hAnsi="宋体"/>
                <w:color w:val="000000"/>
                <w:sz w:val="24"/>
                <w:szCs w:val="24"/>
              </w:rPr>
              <w:t>15</w:t>
            </w:r>
            <w:r w:rsidR="00F1734D">
              <w:rPr>
                <w:rFonts w:ascii="宋体" w:hAnsi="宋体"/>
                <w:color w:val="000000"/>
                <w:sz w:val="24"/>
                <w:szCs w:val="24"/>
              </w:rPr>
              <w:t>%</w:t>
            </w:r>
          </w:p>
        </w:tc>
        <w:tc>
          <w:tcPr>
            <w:tcW w:w="1194" w:type="dxa"/>
            <w:vAlign w:val="center"/>
          </w:tcPr>
          <w:p w14:paraId="7068EBC6" w14:textId="77777777" w:rsidR="001D3B02" w:rsidRDefault="00440517" w:rsidP="00440517">
            <w:pPr>
              <w:jc w:val="center"/>
            </w:pPr>
            <w:r>
              <w:rPr>
                <w:rFonts w:ascii="宋体" w:hAnsi="宋体"/>
                <w:color w:val="000000"/>
                <w:sz w:val="24"/>
                <w:szCs w:val="24"/>
              </w:rPr>
              <w:t>-</w:t>
            </w:r>
            <w:r w:rsidR="00F1734D">
              <w:rPr>
                <w:rFonts w:ascii="宋体" w:hAnsi="宋体"/>
                <w:color w:val="000000"/>
                <w:sz w:val="24"/>
                <w:szCs w:val="24"/>
              </w:rPr>
              <w:t>0.</w:t>
            </w:r>
            <w:r>
              <w:rPr>
                <w:rFonts w:ascii="宋体" w:hAnsi="宋体"/>
                <w:color w:val="000000"/>
                <w:sz w:val="24"/>
                <w:szCs w:val="24"/>
              </w:rPr>
              <w:t>13</w:t>
            </w:r>
            <w:r w:rsidR="00F1734D">
              <w:rPr>
                <w:rFonts w:ascii="宋体" w:hAnsi="宋体"/>
                <w:color w:val="000000"/>
                <w:sz w:val="24"/>
                <w:szCs w:val="24"/>
              </w:rPr>
              <w:t>%</w:t>
            </w:r>
          </w:p>
        </w:tc>
        <w:tc>
          <w:tcPr>
            <w:tcW w:w="1116" w:type="dxa"/>
            <w:vAlign w:val="center"/>
          </w:tcPr>
          <w:p w14:paraId="0429FEEC" w14:textId="77777777" w:rsidR="001D3B02" w:rsidRDefault="00440517" w:rsidP="00440517">
            <w:pPr>
              <w:jc w:val="center"/>
            </w:pPr>
            <w:r>
              <w:rPr>
                <w:rFonts w:ascii="宋体" w:hAnsi="宋体"/>
                <w:color w:val="000000"/>
                <w:sz w:val="24"/>
                <w:szCs w:val="24"/>
              </w:rPr>
              <w:t>-</w:t>
            </w:r>
            <w:r w:rsidR="00F1734D">
              <w:rPr>
                <w:rFonts w:ascii="宋体" w:hAnsi="宋体"/>
                <w:color w:val="000000"/>
                <w:sz w:val="24"/>
                <w:szCs w:val="24"/>
              </w:rPr>
              <w:t>0.</w:t>
            </w:r>
            <w:r>
              <w:rPr>
                <w:rFonts w:ascii="宋体" w:hAnsi="宋体"/>
                <w:color w:val="000000"/>
                <w:sz w:val="24"/>
                <w:szCs w:val="24"/>
              </w:rPr>
              <w:t>09</w:t>
            </w:r>
            <w:r w:rsidR="00F1734D">
              <w:rPr>
                <w:rFonts w:ascii="宋体" w:hAnsi="宋体"/>
                <w:color w:val="000000"/>
                <w:sz w:val="24"/>
                <w:szCs w:val="24"/>
              </w:rPr>
              <w:t>%</w:t>
            </w:r>
          </w:p>
        </w:tc>
      </w:tr>
    </w:tbl>
    <w:p w14:paraId="6697F864" w14:textId="77777777" w:rsidR="004061AC" w:rsidRPr="009557D0" w:rsidRDefault="004061AC" w:rsidP="00C15CAC">
      <w:pPr>
        <w:autoSpaceDE w:val="0"/>
        <w:autoSpaceDN w:val="0"/>
        <w:adjustRightInd w:val="0"/>
        <w:spacing w:before="29" w:line="288" w:lineRule="auto"/>
        <w:jc w:val="left"/>
        <w:rPr>
          <w:rFonts w:ascii="宋体" w:hAnsi="宋体"/>
          <w:color w:val="000000"/>
          <w:sz w:val="24"/>
          <w:szCs w:val="24"/>
        </w:rPr>
      </w:pPr>
      <w:r w:rsidRPr="009557D0">
        <w:rPr>
          <w:rFonts w:ascii="宋体" w:hAnsi="宋体"/>
          <w:color w:val="000000"/>
          <w:sz w:val="24"/>
          <w:szCs w:val="24"/>
        </w:rPr>
        <w:t>注：交银施罗德荣泰保本混合型证券投资基金从2016年12月30日起正式转型为交银施罗德增强收益债券型证券投资基金，本表列示的是本报告期基金转型后的基金净值表现，转型后基金的业绩比较基准为90%×中证综合债券指数收益率+10%×沪深300指数收益率。</w:t>
      </w:r>
    </w:p>
    <w:p w14:paraId="6F20F23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DF8F24F" w14:textId="77777777" w:rsidR="004061AC" w:rsidRPr="001027B9" w:rsidRDefault="004061AC" w:rsidP="00C15CAC">
      <w:pPr>
        <w:autoSpaceDE w:val="0"/>
        <w:autoSpaceDN w:val="0"/>
        <w:adjustRightInd w:val="0"/>
        <w:spacing w:before="29" w:line="288" w:lineRule="auto"/>
        <w:jc w:val="left"/>
        <w:rPr>
          <w:rFonts w:ascii="宋体" w:hAnsi="宋体"/>
          <w:b/>
          <w:bCs/>
          <w:color w:val="000000"/>
          <w:kern w:val="0"/>
          <w:sz w:val="24"/>
          <w:szCs w:val="24"/>
        </w:rPr>
      </w:pPr>
      <w:r w:rsidRPr="001027B9">
        <w:rPr>
          <w:rFonts w:ascii="宋体" w:hAnsi="宋体"/>
          <w:b/>
          <w:bCs/>
          <w:color w:val="000000"/>
          <w:kern w:val="0"/>
          <w:sz w:val="24"/>
          <w:szCs w:val="24"/>
        </w:rPr>
        <w:t>3.2.</w:t>
      </w:r>
      <w:r w:rsidR="00CE0BA5">
        <w:rPr>
          <w:rFonts w:ascii="宋体" w:hAnsi="宋体"/>
          <w:b/>
          <w:bCs/>
          <w:color w:val="000000"/>
          <w:kern w:val="0"/>
          <w:sz w:val="24"/>
          <w:szCs w:val="24"/>
        </w:rPr>
        <w:t>1.</w:t>
      </w:r>
      <w:r w:rsidRPr="001027B9">
        <w:rPr>
          <w:rFonts w:ascii="宋体" w:hAnsi="宋体"/>
          <w:b/>
          <w:bCs/>
          <w:color w:val="000000"/>
          <w:kern w:val="0"/>
          <w:sz w:val="24"/>
          <w:szCs w:val="24"/>
        </w:rPr>
        <w:t>2</w:t>
      </w:r>
      <w:r w:rsidR="000B1EB7" w:rsidRPr="001027B9">
        <w:rPr>
          <w:rFonts w:ascii="宋体" w:hAnsi="宋体" w:hint="eastAsia"/>
          <w:b/>
          <w:bCs/>
          <w:color w:val="000000"/>
          <w:kern w:val="0"/>
          <w:sz w:val="24"/>
          <w:szCs w:val="24"/>
        </w:rPr>
        <w:t xml:space="preserve"> </w:t>
      </w:r>
      <w:r w:rsidR="00F81917" w:rsidRPr="001027B9">
        <w:rPr>
          <w:rFonts w:ascii="宋体" w:hAnsi="宋体" w:hint="eastAsia"/>
          <w:b/>
          <w:bCs/>
          <w:color w:val="000000"/>
          <w:kern w:val="0"/>
          <w:sz w:val="24"/>
          <w:szCs w:val="24"/>
        </w:rPr>
        <w:t xml:space="preserve"> </w:t>
      </w:r>
      <w:r w:rsidR="000824E7" w:rsidRPr="001027B9">
        <w:rPr>
          <w:rFonts w:ascii="宋体" w:hAnsi="宋体" w:hint="eastAsia"/>
          <w:b/>
          <w:bCs/>
          <w:color w:val="000000"/>
          <w:kern w:val="0"/>
          <w:sz w:val="24"/>
          <w:szCs w:val="24"/>
        </w:rPr>
        <w:t>自基金转型以来</w:t>
      </w:r>
      <w:r w:rsidR="00C6002A" w:rsidRPr="001027B9">
        <w:rPr>
          <w:rFonts w:ascii="宋体" w:hAnsi="宋体"/>
          <w:b/>
          <w:bCs/>
          <w:color w:val="000000"/>
          <w:kern w:val="0"/>
          <w:sz w:val="24"/>
          <w:szCs w:val="24"/>
        </w:rPr>
        <w:t>基</w:t>
      </w:r>
      <w:r w:rsidR="00C6002A" w:rsidRPr="001027B9">
        <w:rPr>
          <w:rFonts w:ascii="宋体" w:hAnsi="宋体"/>
          <w:b/>
          <w:bCs/>
          <w:color w:val="000000"/>
          <w:sz w:val="24"/>
        </w:rPr>
        <w:t>金份额累计净值增长率变动及其与同期业绩比较基准收益率变动的比较</w:t>
      </w:r>
    </w:p>
    <w:p w14:paraId="3274A1BC" w14:textId="77777777" w:rsidR="008606B6" w:rsidRPr="001027B9" w:rsidRDefault="008606B6" w:rsidP="00C15CAC">
      <w:pPr>
        <w:spacing w:before="29" w:line="288" w:lineRule="auto"/>
        <w:jc w:val="center"/>
        <w:rPr>
          <w:rFonts w:ascii="宋体" w:hAnsi="宋体"/>
          <w:color w:val="000000"/>
          <w:sz w:val="24"/>
          <w:szCs w:val="24"/>
        </w:rPr>
      </w:pPr>
      <w:r w:rsidRPr="001027B9">
        <w:rPr>
          <w:rFonts w:ascii="宋体" w:hAnsi="宋体"/>
          <w:color w:val="000000"/>
          <w:sz w:val="24"/>
          <w:szCs w:val="24"/>
        </w:rPr>
        <w:t>交银施罗德增强收益债券型证券投资基金</w:t>
      </w:r>
    </w:p>
    <w:p w14:paraId="3F6D6564" w14:textId="77777777" w:rsidR="004061AC" w:rsidRPr="001027B9" w:rsidRDefault="00B56F53" w:rsidP="00C15CAC">
      <w:pPr>
        <w:pStyle w:val="a5"/>
        <w:snapToGrid w:val="0"/>
        <w:spacing w:before="29" w:line="288" w:lineRule="auto"/>
        <w:jc w:val="center"/>
        <w:rPr>
          <w:rFonts w:hAnsi="宋体" w:cs="Times New Roman"/>
          <w:color w:val="000000"/>
          <w:sz w:val="24"/>
          <w:szCs w:val="24"/>
        </w:rPr>
      </w:pPr>
      <w:r w:rsidRPr="001027B9">
        <w:rPr>
          <w:rFonts w:hAnsi="宋体" w:cs="Times New Roman"/>
          <w:color w:val="000000"/>
          <w:sz w:val="24"/>
          <w:szCs w:val="24"/>
        </w:rPr>
        <w:t>份额累计净值增长率与业绩比较基准收益率历史走势对比图</w:t>
      </w:r>
    </w:p>
    <w:p w14:paraId="62D77ABA" w14:textId="77777777" w:rsidR="00AE7962" w:rsidRPr="001027B9" w:rsidRDefault="00DE4B43" w:rsidP="00C15CAC">
      <w:pPr>
        <w:pStyle w:val="a5"/>
        <w:snapToGrid w:val="0"/>
        <w:spacing w:before="29" w:line="288" w:lineRule="auto"/>
        <w:ind w:firstLine="480"/>
        <w:jc w:val="center"/>
        <w:rPr>
          <w:rFonts w:hAnsi="宋体" w:cs="Times New Roman"/>
          <w:sz w:val="24"/>
          <w:szCs w:val="24"/>
        </w:rPr>
      </w:pPr>
      <w:r w:rsidRPr="001027B9">
        <w:rPr>
          <w:rFonts w:hAnsi="宋体" w:cs="Times New Roman"/>
          <w:color w:val="000000"/>
          <w:sz w:val="24"/>
          <w:szCs w:val="24"/>
        </w:rPr>
        <w:t>（</w:t>
      </w:r>
      <w:r w:rsidR="001027B9" w:rsidRPr="001027B9">
        <w:rPr>
          <w:rFonts w:hAnsi="宋体" w:hint="eastAsia"/>
          <w:color w:val="000000"/>
          <w:sz w:val="24"/>
          <w:szCs w:val="24"/>
        </w:rPr>
        <w:t>2016年12月30日-2016年12月31日</w:t>
      </w:r>
      <w:r w:rsidRPr="001027B9">
        <w:rPr>
          <w:rFonts w:hAnsi="宋体" w:cs="Times New Roman"/>
          <w:color w:val="000000"/>
          <w:sz w:val="24"/>
          <w:szCs w:val="24"/>
        </w:rPr>
        <w:t>）</w:t>
      </w:r>
    </w:p>
    <w:p w14:paraId="7F8C23C2" w14:textId="77777777" w:rsidR="004061AC" w:rsidRPr="00414345" w:rsidRDefault="006978F9"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4C8D5FC5" wp14:editId="669FD5D1">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3E44C2C9" w14:textId="77777777" w:rsidR="001027B9" w:rsidRDefault="004061AC" w:rsidP="00C15CAC">
      <w:pPr>
        <w:autoSpaceDE w:val="0"/>
        <w:autoSpaceDN w:val="0"/>
        <w:adjustRightInd w:val="0"/>
        <w:spacing w:before="29" w:line="288" w:lineRule="auto"/>
        <w:jc w:val="left"/>
        <w:rPr>
          <w:rFonts w:ascii="宋体" w:hAnsi="宋体"/>
          <w:color w:val="000000"/>
          <w:sz w:val="24"/>
          <w:szCs w:val="24"/>
        </w:rPr>
      </w:pPr>
      <w:r w:rsidRPr="001027B9">
        <w:rPr>
          <w:rFonts w:ascii="宋体" w:hAnsi="宋体"/>
          <w:color w:val="000000"/>
          <w:sz w:val="24"/>
          <w:szCs w:val="24"/>
        </w:rPr>
        <w:t>注：本基金由交银施罗德荣泰保本混合型证券投资基金转型而来。基金转型日为2016年12月30日，基金转型日至报告期期末，本基金转型时间未满一年。本基金的投资转型期为交银施罗德荣泰保本混合型证券投资基金保本周期到期期间截止日的次日（即2016年12月30日）起的3个月。截至2016年12月31日，本基金尚处于投资转型期。</w:t>
      </w:r>
    </w:p>
    <w:p w14:paraId="6EF175DA" w14:textId="77777777" w:rsidR="001027B9" w:rsidRPr="001027B9" w:rsidRDefault="001027B9" w:rsidP="00C15CAC">
      <w:pPr>
        <w:autoSpaceDE w:val="0"/>
        <w:autoSpaceDN w:val="0"/>
        <w:adjustRightInd w:val="0"/>
        <w:spacing w:before="29" w:line="288" w:lineRule="auto"/>
        <w:jc w:val="left"/>
        <w:rPr>
          <w:rFonts w:ascii="宋体" w:hAnsi="宋体"/>
          <w:color w:val="000000"/>
          <w:sz w:val="24"/>
          <w:szCs w:val="24"/>
        </w:rPr>
      </w:pPr>
    </w:p>
    <w:p w14:paraId="40432E6C" w14:textId="77777777" w:rsidR="001027B9" w:rsidRPr="00BA2A3C" w:rsidRDefault="001027B9" w:rsidP="00B575F8">
      <w:pPr>
        <w:pStyle w:val="a0"/>
        <w:ind w:firstLineChars="0" w:firstLine="0"/>
        <w:jc w:val="left"/>
        <w:rPr>
          <w:rFonts w:ascii="宋体" w:hAnsi="宋体" w:cs="Arial"/>
          <w:b/>
          <w:color w:val="000000"/>
          <w:kern w:val="0"/>
          <w:sz w:val="24"/>
        </w:rPr>
      </w:pPr>
      <w:r w:rsidRPr="00BA2A3C">
        <w:rPr>
          <w:rFonts w:ascii="宋体" w:hAnsi="宋体"/>
          <w:b/>
          <w:bCs/>
          <w:color w:val="000000"/>
          <w:kern w:val="0"/>
          <w:sz w:val="24"/>
          <w:szCs w:val="24"/>
        </w:rPr>
        <w:t>3.2.</w:t>
      </w:r>
      <w:r w:rsidRPr="00BA2A3C">
        <w:rPr>
          <w:rFonts w:ascii="宋体" w:hAnsi="宋体" w:hint="eastAsia"/>
          <w:b/>
          <w:bCs/>
          <w:color w:val="000000"/>
          <w:kern w:val="0"/>
          <w:sz w:val="24"/>
          <w:szCs w:val="24"/>
        </w:rPr>
        <w:t>2</w:t>
      </w:r>
      <w:r w:rsidRPr="00BA2A3C">
        <w:rPr>
          <w:rFonts w:ascii="宋体" w:hAnsi="宋体"/>
          <w:b/>
          <w:bCs/>
          <w:color w:val="000000"/>
          <w:kern w:val="0"/>
          <w:sz w:val="24"/>
          <w:szCs w:val="24"/>
        </w:rPr>
        <w:t xml:space="preserve"> </w:t>
      </w:r>
      <w:r w:rsidRPr="00BA2A3C">
        <w:rPr>
          <w:rFonts w:ascii="宋体" w:hAnsi="宋体" w:cs="Arial"/>
          <w:b/>
          <w:color w:val="000000"/>
          <w:kern w:val="0"/>
          <w:sz w:val="24"/>
        </w:rPr>
        <w:t>交银施罗德荣泰保本混合型证券投资基金</w:t>
      </w:r>
    </w:p>
    <w:p w14:paraId="6C58B362" w14:textId="77777777" w:rsidR="001027B9" w:rsidRPr="00BA2A3C" w:rsidRDefault="001027B9" w:rsidP="00B575F8">
      <w:pPr>
        <w:autoSpaceDE w:val="0"/>
        <w:autoSpaceDN w:val="0"/>
        <w:adjustRightInd w:val="0"/>
        <w:spacing w:before="29" w:line="288" w:lineRule="auto"/>
        <w:ind w:left="15"/>
        <w:jc w:val="left"/>
        <w:rPr>
          <w:rFonts w:ascii="宋体" w:hAnsi="宋体" w:cs="Arial"/>
          <w:b/>
          <w:color w:val="000000"/>
          <w:kern w:val="0"/>
          <w:sz w:val="24"/>
          <w:szCs w:val="24"/>
        </w:rPr>
      </w:pPr>
      <w:r w:rsidRPr="00BA2A3C">
        <w:rPr>
          <w:rFonts w:ascii="宋体" w:hAnsi="宋体" w:cs="Arial" w:hint="eastAsia"/>
          <w:b/>
          <w:color w:val="000000"/>
          <w:kern w:val="0"/>
          <w:sz w:val="24"/>
          <w:szCs w:val="24"/>
        </w:rPr>
        <w:t>（报告期：2016年10月1日-2016年12月29日）</w:t>
      </w:r>
    </w:p>
    <w:p w14:paraId="21E6A1C0" w14:textId="77777777" w:rsidR="001027B9" w:rsidRPr="00BA2A3C" w:rsidRDefault="001027B9" w:rsidP="00B575F8">
      <w:pPr>
        <w:autoSpaceDE w:val="0"/>
        <w:autoSpaceDN w:val="0"/>
        <w:adjustRightInd w:val="0"/>
        <w:spacing w:before="29" w:line="288" w:lineRule="auto"/>
        <w:ind w:left="15"/>
        <w:jc w:val="left"/>
        <w:rPr>
          <w:rFonts w:ascii="宋体" w:hAnsi="宋体"/>
          <w:b/>
          <w:color w:val="000000"/>
          <w:kern w:val="0"/>
          <w:sz w:val="24"/>
        </w:rPr>
      </w:pPr>
      <w:r w:rsidRPr="00BA2A3C">
        <w:rPr>
          <w:rFonts w:ascii="宋体" w:hAnsi="宋体" w:cs="Arial"/>
          <w:b/>
          <w:color w:val="000000"/>
          <w:kern w:val="0"/>
          <w:sz w:val="24"/>
        </w:rPr>
        <w:t>3.2.</w:t>
      </w:r>
      <w:r w:rsidRPr="00BA2A3C">
        <w:rPr>
          <w:rFonts w:ascii="宋体" w:hAnsi="宋体" w:cs="Arial" w:hint="eastAsia"/>
          <w:b/>
          <w:color w:val="000000"/>
          <w:kern w:val="0"/>
          <w:sz w:val="24"/>
        </w:rPr>
        <w:t>2.1</w:t>
      </w:r>
      <w:r w:rsidRPr="00BA2A3C">
        <w:rPr>
          <w:rFonts w:ascii="宋体" w:hAnsi="宋体" w:cs="Arial"/>
          <w:b/>
          <w:color w:val="000000"/>
          <w:kern w:val="0"/>
          <w:sz w:val="24"/>
        </w:rPr>
        <w:t xml:space="preserve"> </w:t>
      </w:r>
      <w:r w:rsidRPr="00BA2A3C">
        <w:rPr>
          <w:rFonts w:ascii="宋体" w:hAnsi="宋体" w:cs="Arial" w:hint="eastAsia"/>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1027B9" w:rsidRPr="009557D0" w14:paraId="306D1287" w14:textId="77777777" w:rsidTr="00F1734D">
        <w:trPr>
          <w:jc w:val="center"/>
        </w:trPr>
        <w:tc>
          <w:tcPr>
            <w:tcW w:w="1614" w:type="dxa"/>
            <w:vAlign w:val="center"/>
          </w:tcPr>
          <w:p w14:paraId="27D81300"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阶段</w:t>
            </w:r>
          </w:p>
        </w:tc>
        <w:tc>
          <w:tcPr>
            <w:tcW w:w="992" w:type="dxa"/>
            <w:vAlign w:val="center"/>
          </w:tcPr>
          <w:p w14:paraId="275DAF15"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净值增长率①</w:t>
            </w:r>
          </w:p>
        </w:tc>
        <w:tc>
          <w:tcPr>
            <w:tcW w:w="1276" w:type="dxa"/>
            <w:vAlign w:val="center"/>
          </w:tcPr>
          <w:p w14:paraId="5012886D"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净值增长率标准差②</w:t>
            </w:r>
          </w:p>
        </w:tc>
        <w:tc>
          <w:tcPr>
            <w:tcW w:w="1134" w:type="dxa"/>
            <w:vAlign w:val="center"/>
          </w:tcPr>
          <w:p w14:paraId="7208A898"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业绩比较基准收益率③</w:t>
            </w:r>
          </w:p>
        </w:tc>
        <w:tc>
          <w:tcPr>
            <w:tcW w:w="1417" w:type="dxa"/>
            <w:vAlign w:val="center"/>
          </w:tcPr>
          <w:p w14:paraId="5138B7BE"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业绩比较基准收益率标准差④</w:t>
            </w:r>
          </w:p>
        </w:tc>
        <w:tc>
          <w:tcPr>
            <w:tcW w:w="1134" w:type="dxa"/>
            <w:vAlign w:val="center"/>
          </w:tcPr>
          <w:p w14:paraId="07EDDCDA"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①-③</w:t>
            </w:r>
          </w:p>
        </w:tc>
        <w:tc>
          <w:tcPr>
            <w:tcW w:w="853" w:type="dxa"/>
            <w:vAlign w:val="center"/>
          </w:tcPr>
          <w:p w14:paraId="4B3E4F17" w14:textId="77777777" w:rsidR="001027B9" w:rsidRPr="009557D0" w:rsidRDefault="001027B9" w:rsidP="00F1734D">
            <w:pPr>
              <w:autoSpaceDE w:val="0"/>
              <w:autoSpaceDN w:val="0"/>
              <w:adjustRightInd w:val="0"/>
              <w:spacing w:before="29" w:line="288" w:lineRule="auto"/>
              <w:ind w:left="17"/>
              <w:jc w:val="center"/>
              <w:rPr>
                <w:rFonts w:ascii="宋体" w:hAnsi="宋体"/>
                <w:color w:val="000000"/>
                <w:sz w:val="24"/>
                <w:szCs w:val="24"/>
              </w:rPr>
            </w:pPr>
            <w:r w:rsidRPr="009557D0">
              <w:rPr>
                <w:rFonts w:ascii="宋体" w:hAnsi="宋体"/>
                <w:color w:val="000000"/>
                <w:sz w:val="24"/>
                <w:szCs w:val="24"/>
              </w:rPr>
              <w:t>②-④</w:t>
            </w:r>
          </w:p>
        </w:tc>
      </w:tr>
      <w:tr w:rsidR="001D3B02" w14:paraId="31375AFD" w14:textId="77777777">
        <w:trPr>
          <w:jc w:val="center"/>
        </w:trPr>
        <w:tc>
          <w:tcPr>
            <w:tcW w:w="1701" w:type="dxa"/>
            <w:vAlign w:val="center"/>
          </w:tcPr>
          <w:p w14:paraId="636C9178" w14:textId="77777777" w:rsidR="001D3B02" w:rsidRDefault="00F1734D">
            <w:pPr>
              <w:jc w:val="left"/>
            </w:pPr>
            <w:r>
              <w:rPr>
                <w:rFonts w:ascii="宋体" w:hAnsi="宋体"/>
                <w:color w:val="000000"/>
                <w:sz w:val="24"/>
                <w:szCs w:val="24"/>
              </w:rPr>
              <w:t>2016年10月1日-2016年12月29日</w:t>
            </w:r>
          </w:p>
        </w:tc>
        <w:tc>
          <w:tcPr>
            <w:tcW w:w="1045" w:type="dxa"/>
            <w:vAlign w:val="center"/>
          </w:tcPr>
          <w:p w14:paraId="57158CEC" w14:textId="77777777" w:rsidR="001D3B02" w:rsidRDefault="00F1734D">
            <w:pPr>
              <w:jc w:val="center"/>
            </w:pPr>
            <w:r>
              <w:rPr>
                <w:rFonts w:ascii="宋体" w:hAnsi="宋体"/>
                <w:color w:val="000000"/>
                <w:sz w:val="24"/>
                <w:szCs w:val="24"/>
              </w:rPr>
              <w:t>1.60%</w:t>
            </w:r>
          </w:p>
        </w:tc>
        <w:tc>
          <w:tcPr>
            <w:tcW w:w="1344" w:type="dxa"/>
            <w:vAlign w:val="center"/>
          </w:tcPr>
          <w:p w14:paraId="70CC1BE3" w14:textId="77777777" w:rsidR="001D3B02" w:rsidRDefault="00F1734D">
            <w:pPr>
              <w:jc w:val="center"/>
            </w:pPr>
            <w:r>
              <w:rPr>
                <w:rFonts w:ascii="宋体" w:hAnsi="宋体"/>
                <w:color w:val="000000"/>
                <w:sz w:val="24"/>
                <w:szCs w:val="24"/>
              </w:rPr>
              <w:t>0.12%</w:t>
            </w:r>
          </w:p>
        </w:tc>
        <w:tc>
          <w:tcPr>
            <w:tcW w:w="1194" w:type="dxa"/>
            <w:vAlign w:val="center"/>
          </w:tcPr>
          <w:p w14:paraId="6156D1B8" w14:textId="77777777" w:rsidR="001D3B02" w:rsidRDefault="00F1734D">
            <w:pPr>
              <w:jc w:val="center"/>
            </w:pPr>
            <w:r>
              <w:rPr>
                <w:rFonts w:ascii="宋体" w:hAnsi="宋体"/>
                <w:color w:val="000000"/>
                <w:sz w:val="24"/>
                <w:szCs w:val="24"/>
              </w:rPr>
              <w:t>0.69%</w:t>
            </w:r>
          </w:p>
        </w:tc>
        <w:tc>
          <w:tcPr>
            <w:tcW w:w="1492" w:type="dxa"/>
            <w:vAlign w:val="center"/>
          </w:tcPr>
          <w:p w14:paraId="5AB85C3B" w14:textId="77777777" w:rsidR="001D3B02" w:rsidRDefault="00F1734D">
            <w:pPr>
              <w:jc w:val="center"/>
            </w:pPr>
            <w:r>
              <w:rPr>
                <w:rFonts w:ascii="宋体" w:hAnsi="宋体"/>
                <w:color w:val="000000"/>
                <w:sz w:val="24"/>
                <w:szCs w:val="24"/>
              </w:rPr>
              <w:t>0.01%</w:t>
            </w:r>
          </w:p>
        </w:tc>
        <w:tc>
          <w:tcPr>
            <w:tcW w:w="1194" w:type="dxa"/>
            <w:vAlign w:val="center"/>
          </w:tcPr>
          <w:p w14:paraId="6DB71BD9" w14:textId="77777777" w:rsidR="001D3B02" w:rsidRDefault="00F1734D">
            <w:pPr>
              <w:jc w:val="center"/>
            </w:pPr>
            <w:r>
              <w:rPr>
                <w:rFonts w:ascii="宋体" w:hAnsi="宋体"/>
                <w:color w:val="000000"/>
                <w:sz w:val="24"/>
                <w:szCs w:val="24"/>
              </w:rPr>
              <w:t>0.91%</w:t>
            </w:r>
          </w:p>
        </w:tc>
        <w:tc>
          <w:tcPr>
            <w:tcW w:w="898" w:type="dxa"/>
            <w:vAlign w:val="center"/>
          </w:tcPr>
          <w:p w14:paraId="24B43A90" w14:textId="77777777" w:rsidR="001D3B02" w:rsidRDefault="00F1734D">
            <w:pPr>
              <w:jc w:val="center"/>
            </w:pPr>
            <w:r>
              <w:rPr>
                <w:rFonts w:ascii="宋体" w:hAnsi="宋体"/>
                <w:color w:val="000000"/>
                <w:sz w:val="24"/>
                <w:szCs w:val="24"/>
              </w:rPr>
              <w:t>0.11%</w:t>
            </w:r>
          </w:p>
        </w:tc>
      </w:tr>
    </w:tbl>
    <w:p w14:paraId="33AA69FD" w14:textId="7707F9D6" w:rsidR="00957594" w:rsidRDefault="001027B9" w:rsidP="00C15CAC">
      <w:pPr>
        <w:tabs>
          <w:tab w:val="left" w:pos="1800"/>
        </w:tabs>
        <w:spacing w:before="29" w:line="288" w:lineRule="auto"/>
        <w:rPr>
          <w:rFonts w:ascii="宋体" w:hAnsi="宋体"/>
          <w:color w:val="000000"/>
          <w:sz w:val="24"/>
          <w:szCs w:val="24"/>
        </w:rPr>
      </w:pPr>
      <w:r w:rsidRPr="009557D0">
        <w:rPr>
          <w:rFonts w:ascii="宋体" w:hAnsi="宋体"/>
          <w:color w:val="000000"/>
          <w:sz w:val="24"/>
          <w:szCs w:val="24"/>
        </w:rPr>
        <w:t>注：交银施罗德荣泰保本混合型证券投资基金从2016年12月30日起正式转型为交银施罗德增强收益债券型证券投资基金，本表列示的是本报告期基金转型</w:t>
      </w:r>
      <w:r w:rsidR="00CE0BA5">
        <w:rPr>
          <w:rFonts w:ascii="宋体" w:hAnsi="宋体" w:hint="eastAsia"/>
          <w:color w:val="000000"/>
          <w:sz w:val="24"/>
          <w:szCs w:val="24"/>
        </w:rPr>
        <w:t>前</w:t>
      </w:r>
      <w:r w:rsidRPr="009557D0">
        <w:rPr>
          <w:rFonts w:ascii="宋体" w:hAnsi="宋体"/>
          <w:color w:val="000000"/>
          <w:sz w:val="24"/>
          <w:szCs w:val="24"/>
        </w:rPr>
        <w:t>的基金净值表现，转型前基金的业绩比较基准为三年期银行定期存款税后收益率。</w:t>
      </w:r>
    </w:p>
    <w:p w14:paraId="2BB0CCBA" w14:textId="77777777" w:rsidR="001027B9" w:rsidRDefault="001027B9" w:rsidP="00C15CAC">
      <w:pPr>
        <w:tabs>
          <w:tab w:val="left" w:pos="1800"/>
        </w:tabs>
        <w:spacing w:before="29" w:line="288" w:lineRule="auto"/>
        <w:rPr>
          <w:rFonts w:ascii="宋体" w:hAnsi="宋体"/>
          <w:color w:val="000000"/>
          <w:sz w:val="24"/>
          <w:szCs w:val="24"/>
        </w:rPr>
      </w:pPr>
    </w:p>
    <w:p w14:paraId="38AACFCA" w14:textId="080881B4" w:rsidR="001027B9" w:rsidRPr="001027B9" w:rsidRDefault="001027B9" w:rsidP="001027B9">
      <w:pPr>
        <w:autoSpaceDE w:val="0"/>
        <w:autoSpaceDN w:val="0"/>
        <w:adjustRightInd w:val="0"/>
        <w:spacing w:before="29" w:line="288" w:lineRule="auto"/>
        <w:jc w:val="left"/>
        <w:rPr>
          <w:rFonts w:ascii="宋体" w:hAnsi="宋体"/>
          <w:b/>
          <w:bCs/>
          <w:color w:val="000000"/>
          <w:kern w:val="0"/>
          <w:sz w:val="24"/>
          <w:szCs w:val="24"/>
        </w:rPr>
      </w:pPr>
      <w:r w:rsidRPr="001027B9">
        <w:rPr>
          <w:rFonts w:ascii="宋体" w:hAnsi="宋体"/>
          <w:b/>
          <w:bCs/>
          <w:color w:val="000000"/>
          <w:kern w:val="0"/>
          <w:sz w:val="24"/>
          <w:szCs w:val="24"/>
        </w:rPr>
        <w:t>3.2.2</w:t>
      </w:r>
      <w:r w:rsidR="00CE0BA5">
        <w:rPr>
          <w:rFonts w:ascii="宋体" w:hAnsi="宋体" w:hint="eastAsia"/>
          <w:b/>
          <w:bCs/>
          <w:color w:val="000000"/>
          <w:kern w:val="0"/>
          <w:sz w:val="24"/>
          <w:szCs w:val="24"/>
        </w:rPr>
        <w:t>.2</w:t>
      </w:r>
      <w:r w:rsidRPr="001027B9">
        <w:rPr>
          <w:rFonts w:ascii="宋体" w:hAnsi="宋体" w:hint="eastAsia"/>
          <w:b/>
          <w:bCs/>
          <w:color w:val="000000"/>
          <w:kern w:val="0"/>
          <w:sz w:val="24"/>
          <w:szCs w:val="24"/>
        </w:rPr>
        <w:t xml:space="preserve">  自</w:t>
      </w:r>
      <w:r w:rsidR="003A53EB">
        <w:rPr>
          <w:rFonts w:ascii="宋体" w:hAnsi="宋体" w:hint="eastAsia"/>
          <w:b/>
          <w:bCs/>
          <w:color w:val="000000"/>
          <w:kern w:val="0"/>
          <w:sz w:val="24"/>
          <w:szCs w:val="24"/>
        </w:rPr>
        <w:t>基金</w:t>
      </w:r>
      <w:r w:rsidR="00CE0BA5" w:rsidRPr="009C68DC">
        <w:rPr>
          <w:rFonts w:ascii="宋体" w:hAnsi="宋体" w:hint="eastAsia"/>
          <w:b/>
          <w:bCs/>
          <w:color w:val="000000"/>
          <w:sz w:val="24"/>
        </w:rPr>
        <w:t>合同生效</w:t>
      </w:r>
      <w:r w:rsidRPr="001027B9">
        <w:rPr>
          <w:rFonts w:ascii="宋体" w:hAnsi="宋体" w:hint="eastAsia"/>
          <w:b/>
          <w:bCs/>
          <w:color w:val="000000"/>
          <w:kern w:val="0"/>
          <w:sz w:val="24"/>
          <w:szCs w:val="24"/>
        </w:rPr>
        <w:t>以来</w:t>
      </w:r>
      <w:r w:rsidRPr="001027B9">
        <w:rPr>
          <w:rFonts w:ascii="宋体" w:hAnsi="宋体"/>
          <w:b/>
          <w:bCs/>
          <w:color w:val="000000"/>
          <w:kern w:val="0"/>
          <w:sz w:val="24"/>
          <w:szCs w:val="24"/>
        </w:rPr>
        <w:t>基</w:t>
      </w:r>
      <w:r w:rsidRPr="001027B9">
        <w:rPr>
          <w:rFonts w:ascii="宋体" w:hAnsi="宋体"/>
          <w:b/>
          <w:bCs/>
          <w:color w:val="000000"/>
          <w:sz w:val="24"/>
        </w:rPr>
        <w:t>金份额累计净值增长率变动及其与同期业绩比较基准收益率变动的比较</w:t>
      </w:r>
    </w:p>
    <w:p w14:paraId="0BF25885" w14:textId="77777777" w:rsidR="001027B9" w:rsidRPr="001027B9" w:rsidRDefault="001027B9" w:rsidP="001027B9">
      <w:pPr>
        <w:spacing w:before="29" w:line="288" w:lineRule="auto"/>
        <w:jc w:val="center"/>
        <w:rPr>
          <w:rFonts w:ascii="宋体" w:hAnsi="宋体"/>
          <w:color w:val="000000"/>
          <w:sz w:val="24"/>
          <w:szCs w:val="24"/>
        </w:rPr>
      </w:pPr>
      <w:r w:rsidRPr="001027B9">
        <w:rPr>
          <w:rFonts w:ascii="宋体" w:hAnsi="宋体"/>
          <w:color w:val="000000"/>
          <w:sz w:val="24"/>
          <w:szCs w:val="24"/>
        </w:rPr>
        <w:t>交银施罗德荣泰保本混合型证券投资基金</w:t>
      </w:r>
    </w:p>
    <w:p w14:paraId="6B3A9B83" w14:textId="77777777" w:rsidR="001027B9" w:rsidRPr="001027B9" w:rsidRDefault="001027B9" w:rsidP="001027B9">
      <w:pPr>
        <w:pStyle w:val="a5"/>
        <w:snapToGrid w:val="0"/>
        <w:spacing w:before="29" w:line="288" w:lineRule="auto"/>
        <w:jc w:val="center"/>
        <w:rPr>
          <w:rFonts w:hAnsi="宋体" w:cs="Times New Roman"/>
          <w:color w:val="000000"/>
          <w:sz w:val="24"/>
          <w:szCs w:val="24"/>
        </w:rPr>
      </w:pPr>
      <w:r w:rsidRPr="001027B9">
        <w:rPr>
          <w:rFonts w:hAnsi="宋体" w:cs="Times New Roman"/>
          <w:color w:val="000000"/>
          <w:sz w:val="24"/>
          <w:szCs w:val="24"/>
        </w:rPr>
        <w:t>份额累计净值增长率与业绩比较基准收益率历史走势对比图</w:t>
      </w:r>
    </w:p>
    <w:p w14:paraId="426CEF72" w14:textId="49648CB7" w:rsidR="001027B9" w:rsidRDefault="001027B9" w:rsidP="00BA2A3C">
      <w:pPr>
        <w:tabs>
          <w:tab w:val="left" w:pos="1800"/>
        </w:tabs>
        <w:spacing w:before="29" w:line="288" w:lineRule="auto"/>
        <w:jc w:val="center"/>
        <w:rPr>
          <w:rFonts w:ascii="宋体" w:hAnsi="宋体"/>
          <w:color w:val="000000"/>
          <w:sz w:val="24"/>
          <w:szCs w:val="24"/>
        </w:rPr>
      </w:pPr>
      <w:r w:rsidRPr="001027B9">
        <w:rPr>
          <w:rFonts w:ascii="宋体" w:hAnsi="宋体"/>
          <w:color w:val="000000"/>
          <w:sz w:val="24"/>
          <w:szCs w:val="24"/>
        </w:rPr>
        <w:t>（</w:t>
      </w:r>
      <w:r w:rsidR="00CE0BA5" w:rsidRPr="001027B9">
        <w:rPr>
          <w:rFonts w:ascii="宋体" w:hAnsi="宋体" w:hint="eastAsia"/>
          <w:color w:val="000000"/>
          <w:sz w:val="24"/>
          <w:szCs w:val="24"/>
        </w:rPr>
        <w:t>201</w:t>
      </w:r>
      <w:r w:rsidR="00CE0BA5">
        <w:rPr>
          <w:rFonts w:ascii="宋体" w:hAnsi="宋体"/>
          <w:color w:val="000000"/>
          <w:sz w:val="24"/>
          <w:szCs w:val="24"/>
        </w:rPr>
        <w:t>3</w:t>
      </w:r>
      <w:r w:rsidRPr="001027B9">
        <w:rPr>
          <w:rFonts w:ascii="宋体" w:hAnsi="宋体" w:hint="eastAsia"/>
          <w:color w:val="000000"/>
          <w:sz w:val="24"/>
          <w:szCs w:val="24"/>
        </w:rPr>
        <w:t>年</w:t>
      </w:r>
      <w:r w:rsidR="0051517C">
        <w:rPr>
          <w:rFonts w:ascii="宋体" w:hAnsi="宋体"/>
          <w:color w:val="000000"/>
          <w:sz w:val="24"/>
          <w:szCs w:val="24"/>
        </w:rPr>
        <w:t>12</w:t>
      </w:r>
      <w:r w:rsidRPr="001027B9">
        <w:rPr>
          <w:rFonts w:ascii="宋体" w:hAnsi="宋体" w:hint="eastAsia"/>
          <w:color w:val="000000"/>
          <w:sz w:val="24"/>
          <w:szCs w:val="24"/>
        </w:rPr>
        <w:t>月</w:t>
      </w:r>
      <w:r w:rsidR="0051517C">
        <w:rPr>
          <w:rFonts w:ascii="宋体" w:hAnsi="宋体"/>
          <w:color w:val="000000"/>
          <w:sz w:val="24"/>
          <w:szCs w:val="24"/>
        </w:rPr>
        <w:t>25</w:t>
      </w:r>
      <w:r w:rsidRPr="001027B9">
        <w:rPr>
          <w:rFonts w:ascii="宋体" w:hAnsi="宋体" w:hint="eastAsia"/>
          <w:color w:val="000000"/>
          <w:sz w:val="24"/>
          <w:szCs w:val="24"/>
        </w:rPr>
        <w:t>日-2016年12月29日</w:t>
      </w:r>
      <w:r w:rsidRPr="001027B9">
        <w:rPr>
          <w:rFonts w:ascii="宋体" w:hAnsi="宋体"/>
          <w:color w:val="000000"/>
          <w:sz w:val="24"/>
          <w:szCs w:val="24"/>
        </w:rPr>
        <w:t>）</w:t>
      </w:r>
    </w:p>
    <w:p w14:paraId="682AAFD2" w14:textId="77777777" w:rsidR="00F0261D" w:rsidRDefault="00022D2A" w:rsidP="00022D2A">
      <w:pPr>
        <w:jc w:val="center"/>
        <w:rPr>
          <w:rFonts w:ascii="宋体" w:hAnsi="宋体"/>
        </w:rPr>
      </w:pPr>
      <w:r>
        <w:rPr>
          <w:rFonts w:asciiTheme="minorEastAsia" w:eastAsiaTheme="minorEastAsia" w:hAnsiTheme="minorEastAsia" w:hint="eastAsia"/>
          <w:noProof/>
          <w:color w:val="000000" w:themeColor="text1"/>
          <w:sz w:val="24"/>
          <w:szCs w:val="24"/>
        </w:rPr>
        <w:drawing>
          <wp:inline distT="0" distB="0" distL="0" distR="0" wp14:anchorId="1CDA972F" wp14:editId="08E69AE7">
            <wp:extent cx="5276850" cy="3086100"/>
            <wp:effectExtent l="0" t="0" r="0" b="0"/>
            <wp:docPr id="4" name="图片 4"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48A7E919" w14:textId="77777777" w:rsidR="00F0261D" w:rsidRPr="00F0261D" w:rsidRDefault="00F0261D" w:rsidP="00F0261D">
      <w:pPr>
        <w:autoSpaceDE w:val="0"/>
        <w:autoSpaceDN w:val="0"/>
        <w:adjustRightInd w:val="0"/>
        <w:spacing w:before="29" w:line="288" w:lineRule="auto"/>
        <w:jc w:val="left"/>
        <w:rPr>
          <w:rFonts w:ascii="宋体" w:hAnsi="宋体"/>
          <w:color w:val="000000"/>
          <w:sz w:val="24"/>
          <w:szCs w:val="24"/>
        </w:rPr>
      </w:pPr>
      <w:r w:rsidRPr="001027B9">
        <w:rPr>
          <w:rFonts w:ascii="宋体" w:hAnsi="宋体"/>
          <w:color w:val="000000"/>
          <w:sz w:val="24"/>
          <w:szCs w:val="24"/>
        </w:rPr>
        <w:t>注：本基金建仓期为自基金合同生效日起的6个月。截至建仓期结束，本基金各项资产配置比例符合基金合同及招募说明书有关投资比例的约定。</w:t>
      </w:r>
    </w:p>
    <w:p w14:paraId="4303BCFD" w14:textId="77777777" w:rsidR="00693843" w:rsidRPr="00022D2A" w:rsidRDefault="00693843" w:rsidP="00C15CAC">
      <w:pPr>
        <w:tabs>
          <w:tab w:val="left" w:pos="1800"/>
        </w:tabs>
        <w:spacing w:before="29" w:line="288" w:lineRule="auto"/>
        <w:rPr>
          <w:rFonts w:ascii="宋体" w:hAnsi="宋体"/>
          <w:color w:val="000000"/>
          <w:sz w:val="24"/>
          <w:szCs w:val="24"/>
        </w:rPr>
      </w:pPr>
    </w:p>
    <w:p w14:paraId="01761825"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2A88FBF0"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16225A96" w14:textId="77777777" w:rsidTr="006A10AB">
        <w:trPr>
          <w:trHeight w:val="292"/>
          <w:jc w:val="center"/>
        </w:trPr>
        <w:tc>
          <w:tcPr>
            <w:tcW w:w="851" w:type="dxa"/>
            <w:vMerge w:val="restart"/>
            <w:vAlign w:val="center"/>
          </w:tcPr>
          <w:p w14:paraId="6435FE61"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066CAC91"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1224DFE4"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2BADDD8F"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48198579"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45B7B7FE" w14:textId="77777777" w:rsidTr="006A10AB">
        <w:trPr>
          <w:jc w:val="center"/>
        </w:trPr>
        <w:tc>
          <w:tcPr>
            <w:tcW w:w="851" w:type="dxa"/>
            <w:vMerge/>
            <w:vAlign w:val="center"/>
          </w:tcPr>
          <w:p w14:paraId="3EF9E7FC"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144590EE"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4BD5C0E5"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6255E123"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13AAF4A7"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20786497" w14:textId="77777777" w:rsidR="004061AC" w:rsidRPr="00414345" w:rsidRDefault="004061AC" w:rsidP="00C15CAC">
            <w:pPr>
              <w:widowControl/>
              <w:spacing w:before="29" w:line="288" w:lineRule="auto"/>
              <w:jc w:val="left"/>
              <w:rPr>
                <w:color w:val="000000"/>
                <w:kern w:val="0"/>
                <w:sz w:val="24"/>
                <w:szCs w:val="24"/>
              </w:rPr>
            </w:pPr>
          </w:p>
        </w:tc>
      </w:tr>
      <w:tr w:rsidR="001D3B02" w14:paraId="518BB482" w14:textId="77777777">
        <w:trPr>
          <w:jc w:val="center"/>
        </w:trPr>
        <w:tc>
          <w:tcPr>
            <w:tcW w:w="846" w:type="dxa"/>
            <w:vAlign w:val="center"/>
          </w:tcPr>
          <w:p w14:paraId="341A5B86" w14:textId="77777777" w:rsidR="001D3B02" w:rsidRDefault="00F1734D">
            <w:pPr>
              <w:jc w:val="center"/>
            </w:pPr>
            <w:r>
              <w:rPr>
                <w:color w:val="000000"/>
                <w:sz w:val="24"/>
                <w:szCs w:val="24"/>
              </w:rPr>
              <w:t>孙超</w:t>
            </w:r>
          </w:p>
        </w:tc>
        <w:tc>
          <w:tcPr>
            <w:tcW w:w="845" w:type="dxa"/>
            <w:vAlign w:val="center"/>
          </w:tcPr>
          <w:p w14:paraId="7235EBC2" w14:textId="77777777" w:rsidR="001D3B02" w:rsidRDefault="00F1734D">
            <w:pPr>
              <w:jc w:val="center"/>
            </w:pPr>
            <w:r>
              <w:rPr>
                <w:color w:val="000000"/>
                <w:sz w:val="24"/>
                <w:szCs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549" w:type="dxa"/>
            <w:vAlign w:val="center"/>
          </w:tcPr>
          <w:p w14:paraId="19A267A4" w14:textId="77777777" w:rsidR="001D3B02" w:rsidRDefault="00F1734D">
            <w:pPr>
              <w:jc w:val="center"/>
            </w:pPr>
            <w:r>
              <w:rPr>
                <w:color w:val="000000"/>
                <w:sz w:val="24"/>
                <w:szCs w:val="24"/>
              </w:rPr>
              <w:t>2015-11-07</w:t>
            </w:r>
          </w:p>
        </w:tc>
        <w:tc>
          <w:tcPr>
            <w:tcW w:w="1548" w:type="dxa"/>
            <w:vAlign w:val="center"/>
          </w:tcPr>
          <w:p w14:paraId="066EC34B" w14:textId="77777777" w:rsidR="001D3B02" w:rsidRDefault="00F1734D">
            <w:pPr>
              <w:jc w:val="center"/>
            </w:pPr>
            <w:r>
              <w:rPr>
                <w:color w:val="000000"/>
                <w:sz w:val="24"/>
                <w:szCs w:val="24"/>
              </w:rPr>
              <w:t>-</w:t>
            </w:r>
          </w:p>
        </w:tc>
        <w:tc>
          <w:tcPr>
            <w:tcW w:w="1407" w:type="dxa"/>
            <w:vAlign w:val="center"/>
          </w:tcPr>
          <w:p w14:paraId="6246B703" w14:textId="77777777" w:rsidR="001D3B02" w:rsidRDefault="00F1734D">
            <w:pPr>
              <w:jc w:val="center"/>
            </w:pPr>
            <w:r>
              <w:rPr>
                <w:color w:val="000000"/>
                <w:sz w:val="24"/>
                <w:szCs w:val="24"/>
              </w:rPr>
              <w:t>5</w:t>
            </w:r>
            <w:r>
              <w:rPr>
                <w:color w:val="000000"/>
                <w:sz w:val="24"/>
                <w:szCs w:val="24"/>
              </w:rPr>
              <w:t>年</w:t>
            </w:r>
          </w:p>
        </w:tc>
        <w:tc>
          <w:tcPr>
            <w:tcW w:w="2673" w:type="dxa"/>
            <w:vAlign w:val="center"/>
          </w:tcPr>
          <w:p w14:paraId="4DE7D2B8" w14:textId="77777777" w:rsidR="001D3B02" w:rsidRDefault="00F1734D">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w:t>
            </w:r>
            <w:r w:rsidR="00CE0BA5">
              <w:rPr>
                <w:color w:val="000000"/>
                <w:sz w:val="24"/>
                <w:szCs w:val="24"/>
              </w:rPr>
              <w:t>基金经理</w:t>
            </w:r>
            <w:r>
              <w:rPr>
                <w:color w:val="000000"/>
                <w:sz w:val="24"/>
                <w:szCs w:val="24"/>
              </w:rPr>
              <w:t>。</w:t>
            </w:r>
          </w:p>
        </w:tc>
      </w:tr>
      <w:tr w:rsidR="001D3B02" w14:paraId="620C67C5" w14:textId="77777777">
        <w:trPr>
          <w:jc w:val="center"/>
        </w:trPr>
        <w:tc>
          <w:tcPr>
            <w:tcW w:w="846" w:type="dxa"/>
            <w:vAlign w:val="center"/>
          </w:tcPr>
          <w:p w14:paraId="7798CCFE" w14:textId="77777777" w:rsidR="001D3B02" w:rsidRDefault="00F1734D">
            <w:pPr>
              <w:jc w:val="center"/>
            </w:pPr>
            <w:r>
              <w:rPr>
                <w:color w:val="000000"/>
                <w:sz w:val="24"/>
                <w:szCs w:val="24"/>
              </w:rPr>
              <w:t>章妍</w:t>
            </w:r>
          </w:p>
        </w:tc>
        <w:tc>
          <w:tcPr>
            <w:tcW w:w="845" w:type="dxa"/>
            <w:vAlign w:val="center"/>
          </w:tcPr>
          <w:p w14:paraId="3BFD3073" w14:textId="77777777" w:rsidR="001D3B02" w:rsidRDefault="00F1734D">
            <w:pPr>
              <w:jc w:val="center"/>
            </w:pPr>
            <w:r>
              <w:rPr>
                <w:color w:val="000000"/>
                <w:sz w:val="24"/>
                <w:szCs w:val="24"/>
              </w:rPr>
              <w:t>交银荣祥保本混合、交银增强收益债券、交银裕通纯债债券、交银裕兴纯债债券、交银裕盈纯债债券、交银裕利纯债债券的基金经理</w:t>
            </w:r>
          </w:p>
        </w:tc>
        <w:tc>
          <w:tcPr>
            <w:tcW w:w="1549" w:type="dxa"/>
            <w:vAlign w:val="center"/>
          </w:tcPr>
          <w:p w14:paraId="7B386F22" w14:textId="77777777" w:rsidR="001D3B02" w:rsidRDefault="00F1734D">
            <w:pPr>
              <w:jc w:val="center"/>
            </w:pPr>
            <w:r>
              <w:rPr>
                <w:color w:val="000000"/>
                <w:sz w:val="24"/>
                <w:szCs w:val="24"/>
              </w:rPr>
              <w:t>2015-11-21</w:t>
            </w:r>
          </w:p>
        </w:tc>
        <w:tc>
          <w:tcPr>
            <w:tcW w:w="1548" w:type="dxa"/>
            <w:vAlign w:val="center"/>
          </w:tcPr>
          <w:p w14:paraId="3F0C76DE" w14:textId="77777777" w:rsidR="001D3B02" w:rsidRDefault="00F1734D">
            <w:pPr>
              <w:jc w:val="center"/>
            </w:pPr>
            <w:r>
              <w:rPr>
                <w:color w:val="000000"/>
                <w:sz w:val="24"/>
                <w:szCs w:val="24"/>
              </w:rPr>
              <w:t>-</w:t>
            </w:r>
          </w:p>
        </w:tc>
        <w:tc>
          <w:tcPr>
            <w:tcW w:w="1407" w:type="dxa"/>
            <w:vAlign w:val="center"/>
          </w:tcPr>
          <w:p w14:paraId="5C3904E1" w14:textId="77777777" w:rsidR="001D3B02" w:rsidRDefault="00F1734D">
            <w:pPr>
              <w:jc w:val="center"/>
            </w:pPr>
            <w:r>
              <w:rPr>
                <w:color w:val="000000"/>
                <w:sz w:val="24"/>
                <w:szCs w:val="24"/>
              </w:rPr>
              <w:t>1</w:t>
            </w:r>
            <w:r>
              <w:rPr>
                <w:color w:val="000000"/>
                <w:sz w:val="24"/>
                <w:szCs w:val="24"/>
              </w:rPr>
              <w:t>年</w:t>
            </w:r>
          </w:p>
        </w:tc>
        <w:tc>
          <w:tcPr>
            <w:tcW w:w="2673" w:type="dxa"/>
            <w:vAlign w:val="center"/>
          </w:tcPr>
          <w:p w14:paraId="127D0A9A" w14:textId="31771668" w:rsidR="001D3B02" w:rsidRDefault="00F1734D" w:rsidP="00CE0BA5">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w:t>
            </w:r>
            <w:r w:rsidR="00CE0BA5">
              <w:rPr>
                <w:color w:val="000000"/>
                <w:sz w:val="24"/>
                <w:szCs w:val="24"/>
              </w:rPr>
              <w:t>基金经理</w:t>
            </w:r>
            <w:r>
              <w:rPr>
                <w:color w:val="000000"/>
                <w:sz w:val="24"/>
                <w:szCs w:val="24"/>
              </w:rPr>
              <w:t>。</w:t>
            </w:r>
          </w:p>
        </w:tc>
      </w:tr>
    </w:tbl>
    <w:p w14:paraId="10F5E8C1" w14:textId="77777777" w:rsidR="001D3B02" w:rsidRDefault="00F1734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、孙超先生自</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日担任交银施罗德荣泰保本混合型证券投资基金基金经理，并自</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30</w:t>
      </w:r>
      <w:r>
        <w:rPr>
          <w:color w:val="000000"/>
          <w:sz w:val="24"/>
          <w:szCs w:val="24"/>
        </w:rPr>
        <w:t>日起继续担任转型后的交银施罗德增强收益债券型证券投资基金基金经理至今。</w:t>
      </w:r>
    </w:p>
    <w:p w14:paraId="44EEF513" w14:textId="77777777" w:rsidR="001D3B02" w:rsidRDefault="00F1734D">
      <w:pPr>
        <w:autoSpaceDE w:val="0"/>
        <w:autoSpaceDN w:val="0"/>
        <w:adjustRightInd w:val="0"/>
        <w:spacing w:before="29" w:line="288" w:lineRule="auto"/>
        <w:jc w:val="left"/>
        <w:rPr>
          <w:color w:val="000000"/>
          <w:sz w:val="24"/>
          <w:szCs w:val="24"/>
        </w:rPr>
      </w:pPr>
      <w:r>
        <w:rPr>
          <w:color w:val="000000"/>
          <w:sz w:val="24"/>
          <w:szCs w:val="24"/>
        </w:rPr>
        <w:t xml:space="preserve">   </w:t>
      </w:r>
      <w:r>
        <w:rPr>
          <w:color w:val="000000"/>
          <w:sz w:val="24"/>
          <w:szCs w:val="24"/>
        </w:rPr>
        <w:t>章妍女士于</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日担任交银施罗德荣泰保本混合型证券投资基金基金经理，并自</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30</w:t>
      </w:r>
      <w:r>
        <w:rPr>
          <w:color w:val="000000"/>
          <w:sz w:val="24"/>
          <w:szCs w:val="24"/>
        </w:rPr>
        <w:t>日起继续担任转型后的交银施罗德增强收益债券型证券投资基金基金经理至今。</w:t>
      </w:r>
    </w:p>
    <w:p w14:paraId="1E3CC640"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、基金经理（或基金经理小组）期后变动（如有）敬请关注基金管理人发布的相关公告。</w:t>
      </w:r>
    </w:p>
    <w:p w14:paraId="1C8E51C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AE31E0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1604906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48244AF5"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35C71CC"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C865BF3"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498265FF" w14:textId="77777777" w:rsidR="001D3B02" w:rsidRDefault="00F1734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2A8FD70F" w14:textId="77777777" w:rsidR="001D3B02" w:rsidRDefault="00F1734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6B3A11BE" w14:textId="77777777" w:rsidR="001D3B02" w:rsidRDefault="00F1734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DC7A82D"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5F8B8D74"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07BE8372"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14:paraId="32C559E6" w14:textId="77777777" w:rsidR="004061AC" w:rsidRPr="00414345" w:rsidRDefault="004061AC" w:rsidP="00C15CAC">
      <w:pPr>
        <w:spacing w:before="29" w:line="288" w:lineRule="auto"/>
        <w:ind w:firstLineChars="200" w:firstLine="480"/>
        <w:rPr>
          <w:color w:val="000000"/>
          <w:sz w:val="24"/>
          <w:szCs w:val="24"/>
        </w:rPr>
      </w:pPr>
    </w:p>
    <w:p w14:paraId="581689D8"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73B313A2" w14:textId="77777777" w:rsidR="001D3B02" w:rsidRDefault="00F1734D">
      <w:pPr>
        <w:spacing w:before="29" w:line="288" w:lineRule="auto"/>
        <w:ind w:firstLineChars="200" w:firstLine="480"/>
        <w:rPr>
          <w:color w:val="000000"/>
          <w:sz w:val="24"/>
          <w:szCs w:val="24"/>
        </w:rPr>
      </w:pPr>
      <w:r>
        <w:rPr>
          <w:color w:val="000000"/>
          <w:sz w:val="24"/>
          <w:szCs w:val="24"/>
        </w:rPr>
        <w:t>本报告期内，受央行收紧流动性、美国加息等多重利空因素影响，债券市场呈现大幅调整格局，收益率上行至</w:t>
      </w:r>
      <w:r>
        <w:rPr>
          <w:color w:val="000000"/>
          <w:sz w:val="24"/>
          <w:szCs w:val="24"/>
        </w:rPr>
        <w:t>2015</w:t>
      </w:r>
      <w:r>
        <w:rPr>
          <w:color w:val="000000"/>
          <w:sz w:val="24"/>
          <w:szCs w:val="24"/>
        </w:rPr>
        <w:t>年三季度之前的水平。</w:t>
      </w:r>
    </w:p>
    <w:p w14:paraId="38052AD5" w14:textId="77777777" w:rsidR="001D3B02" w:rsidRDefault="00F1734D">
      <w:pPr>
        <w:spacing w:before="29" w:line="288" w:lineRule="auto"/>
        <w:ind w:firstLineChars="200" w:firstLine="480"/>
        <w:rPr>
          <w:color w:val="000000"/>
          <w:sz w:val="24"/>
          <w:szCs w:val="24"/>
        </w:rPr>
      </w:pPr>
      <w:r>
        <w:rPr>
          <w:color w:val="000000"/>
          <w:sz w:val="24"/>
          <w:szCs w:val="24"/>
        </w:rPr>
        <w:t>2016</w:t>
      </w:r>
      <w:r>
        <w:rPr>
          <w:color w:val="000000"/>
          <w:sz w:val="24"/>
          <w:szCs w:val="24"/>
        </w:rPr>
        <w:t>年四季度</w:t>
      </w:r>
      <w:r>
        <w:rPr>
          <w:color w:val="000000"/>
          <w:sz w:val="24"/>
          <w:szCs w:val="24"/>
        </w:rPr>
        <w:t>A</w:t>
      </w:r>
      <w:r>
        <w:rPr>
          <w:color w:val="000000"/>
          <w:sz w:val="24"/>
          <w:szCs w:val="24"/>
        </w:rPr>
        <w:t>股市场先涨后跌，总体小幅上涨。低估值蓝筹股表现较好。</w:t>
      </w:r>
    </w:p>
    <w:p w14:paraId="39490652" w14:textId="77777777" w:rsidR="001D3B02" w:rsidRDefault="00F1734D">
      <w:pPr>
        <w:spacing w:before="29" w:line="288" w:lineRule="auto"/>
        <w:ind w:firstLineChars="200" w:firstLine="480"/>
        <w:rPr>
          <w:color w:val="000000"/>
          <w:sz w:val="24"/>
          <w:szCs w:val="24"/>
        </w:rPr>
      </w:pPr>
      <w:r>
        <w:rPr>
          <w:color w:val="000000"/>
          <w:sz w:val="24"/>
          <w:szCs w:val="24"/>
        </w:rPr>
        <w:t>本基金在</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26</w:t>
      </w:r>
      <w:r>
        <w:rPr>
          <w:color w:val="000000"/>
          <w:sz w:val="24"/>
          <w:szCs w:val="24"/>
        </w:rPr>
        <w:t>日结束保本周期，在本报告期内以短久期期限匹配固定收益产品为主，配合中性股票仓位，并在</w:t>
      </w:r>
      <w:r>
        <w:rPr>
          <w:color w:val="000000"/>
          <w:sz w:val="24"/>
          <w:szCs w:val="24"/>
        </w:rPr>
        <w:t>12</w:t>
      </w:r>
      <w:r>
        <w:rPr>
          <w:color w:val="000000"/>
          <w:sz w:val="24"/>
          <w:szCs w:val="24"/>
        </w:rPr>
        <w:t>月初逐步降低股票仓位至</w:t>
      </w:r>
      <w:r>
        <w:rPr>
          <w:color w:val="000000"/>
          <w:sz w:val="24"/>
          <w:szCs w:val="24"/>
        </w:rPr>
        <w:t>0</w:t>
      </w:r>
      <w:r>
        <w:rPr>
          <w:color w:val="000000"/>
          <w:sz w:val="24"/>
          <w:szCs w:val="24"/>
        </w:rPr>
        <w:t>。因此本基金受</w:t>
      </w:r>
      <w:r>
        <w:rPr>
          <w:color w:val="000000"/>
          <w:sz w:val="24"/>
          <w:szCs w:val="24"/>
        </w:rPr>
        <w:t>2016</w:t>
      </w:r>
      <w:r>
        <w:rPr>
          <w:color w:val="000000"/>
          <w:sz w:val="24"/>
          <w:szCs w:val="24"/>
        </w:rPr>
        <w:t>年</w:t>
      </w:r>
      <w:r>
        <w:rPr>
          <w:color w:val="000000"/>
          <w:sz w:val="24"/>
          <w:szCs w:val="24"/>
        </w:rPr>
        <w:t>12</w:t>
      </w:r>
      <w:r>
        <w:rPr>
          <w:color w:val="000000"/>
          <w:sz w:val="24"/>
          <w:szCs w:val="24"/>
        </w:rPr>
        <w:t>月股票和债券市场下跌的影响不大。</w:t>
      </w:r>
    </w:p>
    <w:p w14:paraId="41844291"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2017</w:t>
      </w:r>
      <w:r w:rsidRPr="00414345">
        <w:rPr>
          <w:color w:val="000000"/>
          <w:sz w:val="24"/>
          <w:szCs w:val="24"/>
        </w:rPr>
        <w:t>年一季度，债券市场预计仍以震荡格局为主，受制于房价、去杠杆和全球流动性收紧预期，叠加春节及季末因素，资金面仍将保持中性偏紧。在汇率和地产调控的风险阶段性的化解及流动性紧张缓解后，</w:t>
      </w:r>
      <w:r w:rsidRPr="00414345">
        <w:rPr>
          <w:color w:val="000000"/>
          <w:sz w:val="24"/>
          <w:szCs w:val="24"/>
        </w:rPr>
        <w:t>A</w:t>
      </w:r>
      <w:r w:rsidRPr="00414345">
        <w:rPr>
          <w:color w:val="000000"/>
          <w:sz w:val="24"/>
          <w:szCs w:val="24"/>
        </w:rPr>
        <w:t>股市场有望改变弱势。本基金仍将以稳健思路操作，计划重点参与固定收益资产，以期累计一定收益，并择机逐步提高权益仓位，同时尽力控制权益仓位带来的回撤。</w:t>
      </w:r>
    </w:p>
    <w:p w14:paraId="09FA9929" w14:textId="77777777" w:rsidR="00627E2D" w:rsidRPr="00414345" w:rsidRDefault="00627E2D" w:rsidP="00C15CAC">
      <w:pPr>
        <w:spacing w:before="29" w:line="288" w:lineRule="auto"/>
        <w:ind w:firstLineChars="200" w:firstLine="480"/>
        <w:rPr>
          <w:color w:val="000000"/>
          <w:sz w:val="24"/>
          <w:szCs w:val="24"/>
        </w:rPr>
      </w:pPr>
    </w:p>
    <w:p w14:paraId="6DD25D42"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3A50A2FD" w14:textId="77777777" w:rsidR="00233BBD" w:rsidRPr="00233BBD" w:rsidRDefault="00233BBD" w:rsidP="00233BBD">
      <w:pPr>
        <w:spacing w:before="29" w:line="288" w:lineRule="auto"/>
        <w:ind w:firstLineChars="200" w:firstLine="480"/>
        <w:rPr>
          <w:color w:val="000000"/>
          <w:sz w:val="24"/>
          <w:szCs w:val="24"/>
        </w:rPr>
      </w:pPr>
      <w:r w:rsidRPr="00233BBD">
        <w:rPr>
          <w:rFonts w:hint="eastAsia"/>
          <w:color w:val="000000"/>
          <w:sz w:val="24"/>
          <w:szCs w:val="24"/>
        </w:rPr>
        <w:t>截至</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12</w:t>
      </w:r>
      <w:r w:rsidRPr="00233BBD">
        <w:rPr>
          <w:rFonts w:hint="eastAsia"/>
          <w:color w:val="000000"/>
          <w:sz w:val="24"/>
          <w:szCs w:val="24"/>
        </w:rPr>
        <w:t>月</w:t>
      </w:r>
      <w:r w:rsidRPr="00233BBD">
        <w:rPr>
          <w:rFonts w:hint="eastAsia"/>
          <w:color w:val="000000"/>
          <w:sz w:val="24"/>
          <w:szCs w:val="24"/>
        </w:rPr>
        <w:t>31</w:t>
      </w:r>
      <w:r w:rsidRPr="00233BBD">
        <w:rPr>
          <w:rFonts w:hint="eastAsia"/>
          <w:color w:val="000000"/>
          <w:sz w:val="24"/>
          <w:szCs w:val="24"/>
        </w:rPr>
        <w:t>日，交银施罗德增强收益债券型证券投资基金份额净值为</w:t>
      </w:r>
      <w:r w:rsidRPr="00233BBD">
        <w:rPr>
          <w:rFonts w:hint="eastAsia"/>
          <w:color w:val="000000"/>
          <w:sz w:val="24"/>
          <w:szCs w:val="24"/>
        </w:rPr>
        <w:t>1.271</w:t>
      </w:r>
      <w:r w:rsidRPr="00233BBD">
        <w:rPr>
          <w:rFonts w:hint="eastAsia"/>
          <w:color w:val="000000"/>
          <w:sz w:val="24"/>
          <w:szCs w:val="24"/>
        </w:rPr>
        <w:t>元，自</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12</w:t>
      </w:r>
      <w:r w:rsidRPr="00233BBD">
        <w:rPr>
          <w:rFonts w:hint="eastAsia"/>
          <w:color w:val="000000"/>
          <w:sz w:val="24"/>
          <w:szCs w:val="24"/>
        </w:rPr>
        <w:t>月</w:t>
      </w:r>
      <w:r w:rsidRPr="00233BBD">
        <w:rPr>
          <w:rFonts w:hint="eastAsia"/>
          <w:color w:val="000000"/>
          <w:sz w:val="24"/>
          <w:szCs w:val="24"/>
        </w:rPr>
        <w:t>30</w:t>
      </w:r>
      <w:r w:rsidRPr="00233BBD">
        <w:rPr>
          <w:rFonts w:hint="eastAsia"/>
          <w:color w:val="000000"/>
          <w:sz w:val="24"/>
          <w:szCs w:val="24"/>
        </w:rPr>
        <w:t>日至</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12</w:t>
      </w:r>
      <w:r w:rsidRPr="00233BBD">
        <w:rPr>
          <w:rFonts w:hint="eastAsia"/>
          <w:color w:val="000000"/>
          <w:sz w:val="24"/>
          <w:szCs w:val="24"/>
        </w:rPr>
        <w:t>月</w:t>
      </w:r>
      <w:r w:rsidRPr="00233BBD">
        <w:rPr>
          <w:rFonts w:hint="eastAsia"/>
          <w:color w:val="000000"/>
          <w:sz w:val="24"/>
          <w:szCs w:val="24"/>
        </w:rPr>
        <w:t>31</w:t>
      </w:r>
      <w:r w:rsidRPr="00233BBD">
        <w:rPr>
          <w:rFonts w:hint="eastAsia"/>
          <w:color w:val="000000"/>
          <w:sz w:val="24"/>
          <w:szCs w:val="24"/>
        </w:rPr>
        <w:t>日其份额净值增长率为</w:t>
      </w:r>
      <w:r w:rsidRPr="00233BBD">
        <w:rPr>
          <w:rFonts w:hint="eastAsia"/>
          <w:color w:val="000000"/>
          <w:sz w:val="24"/>
          <w:szCs w:val="24"/>
        </w:rPr>
        <w:t>0.08%</w:t>
      </w:r>
      <w:r w:rsidRPr="00233BBD">
        <w:rPr>
          <w:rFonts w:hint="eastAsia"/>
          <w:color w:val="000000"/>
          <w:sz w:val="24"/>
          <w:szCs w:val="24"/>
        </w:rPr>
        <w:t>，同期业绩比较基准增长率为</w:t>
      </w:r>
      <w:r w:rsidRPr="00233BBD">
        <w:rPr>
          <w:rFonts w:hint="eastAsia"/>
          <w:color w:val="000000"/>
          <w:sz w:val="24"/>
          <w:szCs w:val="24"/>
        </w:rPr>
        <w:t>0.21%</w:t>
      </w:r>
      <w:r w:rsidRPr="00233BBD">
        <w:rPr>
          <w:rFonts w:hint="eastAsia"/>
          <w:color w:val="000000"/>
          <w:sz w:val="24"/>
          <w:szCs w:val="24"/>
        </w:rPr>
        <w:t>。</w:t>
      </w:r>
    </w:p>
    <w:p w14:paraId="4289A10C" w14:textId="77777777" w:rsidR="009C5186" w:rsidRDefault="00233BBD" w:rsidP="00233BBD">
      <w:pPr>
        <w:spacing w:before="29" w:line="288" w:lineRule="auto"/>
        <w:ind w:firstLineChars="200" w:firstLine="480"/>
        <w:rPr>
          <w:color w:val="000000"/>
          <w:sz w:val="24"/>
          <w:szCs w:val="24"/>
        </w:rPr>
      </w:pPr>
      <w:r w:rsidRPr="00233BBD">
        <w:rPr>
          <w:rFonts w:hint="eastAsia"/>
          <w:color w:val="000000"/>
          <w:sz w:val="24"/>
          <w:szCs w:val="24"/>
        </w:rPr>
        <w:t>截至</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12</w:t>
      </w:r>
      <w:r w:rsidRPr="00233BBD">
        <w:rPr>
          <w:rFonts w:hint="eastAsia"/>
          <w:color w:val="000000"/>
          <w:sz w:val="24"/>
          <w:szCs w:val="24"/>
        </w:rPr>
        <w:t>月</w:t>
      </w:r>
      <w:r w:rsidRPr="00233BBD">
        <w:rPr>
          <w:rFonts w:hint="eastAsia"/>
          <w:color w:val="000000"/>
          <w:sz w:val="24"/>
          <w:szCs w:val="24"/>
        </w:rPr>
        <w:t>29</w:t>
      </w:r>
      <w:r w:rsidRPr="00233BBD">
        <w:rPr>
          <w:rFonts w:hint="eastAsia"/>
          <w:color w:val="000000"/>
          <w:sz w:val="24"/>
          <w:szCs w:val="24"/>
        </w:rPr>
        <w:t>日，交银施罗德荣泰保本混合型证券投资基金份额净值为</w:t>
      </w:r>
      <w:r w:rsidRPr="00233BBD">
        <w:rPr>
          <w:rFonts w:hint="eastAsia"/>
          <w:color w:val="000000"/>
          <w:sz w:val="24"/>
          <w:szCs w:val="24"/>
        </w:rPr>
        <w:t>1.270</w:t>
      </w:r>
      <w:r w:rsidRPr="00233BBD">
        <w:rPr>
          <w:rFonts w:hint="eastAsia"/>
          <w:color w:val="000000"/>
          <w:sz w:val="24"/>
          <w:szCs w:val="24"/>
        </w:rPr>
        <w:t>元，自</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10</w:t>
      </w:r>
      <w:r w:rsidRPr="00233BBD">
        <w:rPr>
          <w:rFonts w:hint="eastAsia"/>
          <w:color w:val="000000"/>
          <w:sz w:val="24"/>
          <w:szCs w:val="24"/>
        </w:rPr>
        <w:t>月</w:t>
      </w:r>
      <w:r w:rsidRPr="00233BBD">
        <w:rPr>
          <w:rFonts w:hint="eastAsia"/>
          <w:color w:val="000000"/>
          <w:sz w:val="24"/>
          <w:szCs w:val="24"/>
        </w:rPr>
        <w:t>1</w:t>
      </w:r>
      <w:r w:rsidRPr="00233BBD">
        <w:rPr>
          <w:rFonts w:hint="eastAsia"/>
          <w:color w:val="000000"/>
          <w:sz w:val="24"/>
          <w:szCs w:val="24"/>
        </w:rPr>
        <w:t>日至</w:t>
      </w:r>
      <w:r w:rsidRPr="00233BBD">
        <w:rPr>
          <w:rFonts w:hint="eastAsia"/>
          <w:color w:val="000000"/>
          <w:sz w:val="24"/>
          <w:szCs w:val="24"/>
        </w:rPr>
        <w:t>2016</w:t>
      </w:r>
      <w:r w:rsidRPr="00233BBD">
        <w:rPr>
          <w:rFonts w:hint="eastAsia"/>
          <w:color w:val="000000"/>
          <w:sz w:val="24"/>
          <w:szCs w:val="24"/>
        </w:rPr>
        <w:t>年</w:t>
      </w:r>
      <w:r w:rsidRPr="00233BBD">
        <w:rPr>
          <w:rFonts w:hint="eastAsia"/>
          <w:color w:val="000000"/>
          <w:sz w:val="24"/>
          <w:szCs w:val="24"/>
        </w:rPr>
        <w:t>12</w:t>
      </w:r>
      <w:r w:rsidRPr="00233BBD">
        <w:rPr>
          <w:rFonts w:hint="eastAsia"/>
          <w:color w:val="000000"/>
          <w:sz w:val="24"/>
          <w:szCs w:val="24"/>
        </w:rPr>
        <w:t>月</w:t>
      </w:r>
      <w:r w:rsidRPr="00233BBD">
        <w:rPr>
          <w:rFonts w:hint="eastAsia"/>
          <w:color w:val="000000"/>
          <w:sz w:val="24"/>
          <w:szCs w:val="24"/>
        </w:rPr>
        <w:t>29</w:t>
      </w:r>
      <w:r w:rsidRPr="00233BBD">
        <w:rPr>
          <w:rFonts w:hint="eastAsia"/>
          <w:color w:val="000000"/>
          <w:sz w:val="24"/>
          <w:szCs w:val="24"/>
        </w:rPr>
        <w:t>日其份额净值增长率为</w:t>
      </w:r>
      <w:r w:rsidRPr="00233BBD">
        <w:rPr>
          <w:rFonts w:hint="eastAsia"/>
          <w:color w:val="000000"/>
          <w:sz w:val="24"/>
          <w:szCs w:val="24"/>
        </w:rPr>
        <w:t>1.60%</w:t>
      </w:r>
      <w:r w:rsidRPr="00233BBD">
        <w:rPr>
          <w:rFonts w:hint="eastAsia"/>
          <w:color w:val="000000"/>
          <w:sz w:val="24"/>
          <w:szCs w:val="24"/>
        </w:rPr>
        <w:t>，同期业绩比较基准增长率为</w:t>
      </w:r>
      <w:r w:rsidRPr="00233BBD">
        <w:rPr>
          <w:rFonts w:hint="eastAsia"/>
          <w:color w:val="000000"/>
          <w:sz w:val="24"/>
          <w:szCs w:val="24"/>
        </w:rPr>
        <w:t>0.69%</w:t>
      </w:r>
      <w:r w:rsidRPr="00233BBD">
        <w:rPr>
          <w:rFonts w:hint="eastAsia"/>
          <w:color w:val="000000"/>
          <w:sz w:val="24"/>
          <w:szCs w:val="24"/>
        </w:rPr>
        <w:t>。</w:t>
      </w:r>
    </w:p>
    <w:p w14:paraId="34F41ABC" w14:textId="77777777" w:rsidR="00CE0BA5" w:rsidRDefault="00CE0BA5" w:rsidP="00233BBD">
      <w:pPr>
        <w:spacing w:before="29" w:line="288" w:lineRule="auto"/>
        <w:ind w:firstLineChars="200" w:firstLine="480"/>
        <w:rPr>
          <w:color w:val="000000"/>
          <w:sz w:val="24"/>
          <w:szCs w:val="24"/>
        </w:rPr>
      </w:pPr>
    </w:p>
    <w:p w14:paraId="13B25BD1" w14:textId="77777777" w:rsidR="00CE0BA5" w:rsidRPr="001404EE" w:rsidRDefault="00CE0BA5" w:rsidP="00CE0BA5">
      <w:pPr>
        <w:spacing w:line="288" w:lineRule="auto"/>
        <w:rPr>
          <w:rFonts w:cs="Arial"/>
          <w:b/>
          <w:color w:val="000000"/>
          <w:kern w:val="0"/>
          <w:sz w:val="24"/>
        </w:rPr>
      </w:pPr>
      <w:r w:rsidRPr="001404EE">
        <w:rPr>
          <w:rFonts w:cs="Arial"/>
          <w:b/>
          <w:color w:val="000000"/>
          <w:kern w:val="0"/>
          <w:sz w:val="24"/>
        </w:rPr>
        <w:t>4.</w:t>
      </w:r>
      <w:r w:rsidRPr="001404EE">
        <w:rPr>
          <w:rFonts w:cs="Arial" w:hint="eastAsia"/>
          <w:b/>
          <w:color w:val="000000"/>
          <w:kern w:val="0"/>
          <w:sz w:val="24"/>
        </w:rPr>
        <w:t>6</w:t>
      </w:r>
      <w:r w:rsidRPr="001404EE">
        <w:rPr>
          <w:rFonts w:cs="Arial" w:hint="eastAsia"/>
          <w:b/>
          <w:color w:val="000000"/>
          <w:kern w:val="0"/>
          <w:sz w:val="24"/>
        </w:rPr>
        <w:t>报告期内基金持有人数或基金资产净值预警说明</w:t>
      </w:r>
    </w:p>
    <w:p w14:paraId="6D960427" w14:textId="77777777" w:rsidR="001642F8" w:rsidRPr="001404EE" w:rsidRDefault="001642F8" w:rsidP="001642F8">
      <w:pPr>
        <w:spacing w:line="360" w:lineRule="auto"/>
        <w:ind w:firstLineChars="200" w:firstLine="480"/>
        <w:rPr>
          <w:color w:val="000000"/>
          <w:sz w:val="24"/>
        </w:rPr>
      </w:pPr>
      <w:r w:rsidRPr="001404EE">
        <w:rPr>
          <w:color w:val="000000"/>
          <w:sz w:val="24"/>
        </w:rPr>
        <w:t>本基金本报告期内无需预警说明。</w:t>
      </w:r>
    </w:p>
    <w:p w14:paraId="3C791946" w14:textId="77777777" w:rsidR="00CE0BA5" w:rsidRPr="001642F8" w:rsidRDefault="00CE0BA5" w:rsidP="00233BBD">
      <w:pPr>
        <w:spacing w:before="29" w:line="288" w:lineRule="auto"/>
        <w:ind w:firstLineChars="200" w:firstLine="480"/>
        <w:rPr>
          <w:color w:val="000000"/>
          <w:sz w:val="24"/>
          <w:szCs w:val="24"/>
        </w:rPr>
      </w:pPr>
    </w:p>
    <w:p w14:paraId="0CCB5CB0" w14:textId="77777777"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14:paraId="70AF7FA3" w14:textId="77777777" w:rsidR="00022D2A" w:rsidRPr="009557D0" w:rsidRDefault="004061AC" w:rsidP="00F1734D">
      <w:pPr>
        <w:pStyle w:val="a0"/>
        <w:ind w:firstLineChars="0" w:firstLine="0"/>
        <w:rPr>
          <w:rFonts w:ascii="宋体" w:hAnsi="宋体" w:cs="Arial"/>
          <w:b/>
          <w:color w:val="000000"/>
          <w:kern w:val="0"/>
          <w:sz w:val="24"/>
        </w:rPr>
      </w:pPr>
      <w:r w:rsidRPr="00414345">
        <w:rPr>
          <w:b/>
          <w:bCs/>
          <w:color w:val="000000"/>
          <w:kern w:val="0"/>
          <w:sz w:val="24"/>
          <w:szCs w:val="24"/>
        </w:rPr>
        <w:t>5.1</w:t>
      </w:r>
      <w:r w:rsidR="00022D2A" w:rsidRPr="009557D0">
        <w:rPr>
          <w:rFonts w:ascii="宋体" w:hAnsi="宋体" w:cs="Arial"/>
          <w:b/>
          <w:color w:val="000000"/>
          <w:kern w:val="0"/>
          <w:sz w:val="24"/>
        </w:rPr>
        <w:t>交银施罗德增强收益债券型证券投资基金</w:t>
      </w:r>
    </w:p>
    <w:p w14:paraId="17C076CB" w14:textId="77777777" w:rsidR="00022D2A" w:rsidRDefault="00022D2A" w:rsidP="00022D2A">
      <w:pPr>
        <w:autoSpaceDE w:val="0"/>
        <w:autoSpaceDN w:val="0"/>
        <w:adjustRightInd w:val="0"/>
        <w:spacing w:before="29" w:line="288" w:lineRule="auto"/>
        <w:ind w:left="15"/>
        <w:jc w:val="left"/>
        <w:rPr>
          <w:rFonts w:ascii="宋体" w:hAnsi="宋体" w:cs="Arial"/>
          <w:b/>
          <w:color w:val="000000"/>
          <w:kern w:val="0"/>
          <w:sz w:val="24"/>
          <w:szCs w:val="24"/>
        </w:rPr>
      </w:pPr>
      <w:r w:rsidRPr="009557D0">
        <w:rPr>
          <w:rFonts w:ascii="宋体" w:hAnsi="宋体" w:cs="Arial" w:hint="eastAsia"/>
          <w:b/>
          <w:color w:val="000000"/>
          <w:kern w:val="0"/>
          <w:sz w:val="24"/>
          <w:szCs w:val="24"/>
        </w:rPr>
        <w:t>（报告期：2016年12月30日-2016年12月31日）</w:t>
      </w:r>
    </w:p>
    <w:p w14:paraId="4D9A16D9" w14:textId="77777777" w:rsidR="00DB0734" w:rsidRDefault="00DB0734" w:rsidP="00022D2A">
      <w:pPr>
        <w:autoSpaceDE w:val="0"/>
        <w:autoSpaceDN w:val="0"/>
        <w:adjustRightInd w:val="0"/>
        <w:spacing w:before="29" w:line="288" w:lineRule="auto"/>
        <w:ind w:left="15"/>
        <w:jc w:val="left"/>
        <w:rPr>
          <w:b/>
          <w:color w:val="000000"/>
          <w:kern w:val="0"/>
          <w:sz w:val="24"/>
        </w:rPr>
      </w:pPr>
      <w:r>
        <w:rPr>
          <w:rFonts w:ascii="宋体" w:hAnsi="宋体" w:cs="Arial" w:hint="eastAsia"/>
          <w:b/>
          <w:color w:val="000000"/>
          <w:kern w:val="0"/>
          <w:sz w:val="24"/>
          <w:szCs w:val="24"/>
        </w:rPr>
        <w:t>5.1.1</w:t>
      </w:r>
      <w:r w:rsidR="00A84EB5">
        <w:rPr>
          <w:rFonts w:ascii="宋体" w:hAnsi="宋体" w:cs="Arial" w:hint="eastAsia"/>
          <w:b/>
          <w:color w:val="000000"/>
          <w:kern w:val="0"/>
          <w:sz w:val="24"/>
          <w:szCs w:val="24"/>
        </w:rPr>
        <w:t xml:space="preserve"> </w:t>
      </w:r>
      <w:r w:rsidR="00444D44" w:rsidRPr="0036023B">
        <w:rPr>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E0076E" w:rsidRPr="00FD685A" w14:paraId="193CA0DB" w14:textId="77777777" w:rsidTr="007405B9">
        <w:trPr>
          <w:jc w:val="center"/>
        </w:trPr>
        <w:tc>
          <w:tcPr>
            <w:tcW w:w="720" w:type="dxa"/>
            <w:vAlign w:val="center"/>
          </w:tcPr>
          <w:p w14:paraId="2B6B5927"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序号</w:t>
            </w:r>
          </w:p>
        </w:tc>
        <w:tc>
          <w:tcPr>
            <w:tcW w:w="3357" w:type="dxa"/>
            <w:vAlign w:val="center"/>
          </w:tcPr>
          <w:p w14:paraId="5047EA3C"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项目</w:t>
            </w:r>
          </w:p>
        </w:tc>
        <w:tc>
          <w:tcPr>
            <w:tcW w:w="2977" w:type="dxa"/>
            <w:vAlign w:val="center"/>
          </w:tcPr>
          <w:p w14:paraId="71F1DB0F"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金额(元)</w:t>
            </w:r>
          </w:p>
        </w:tc>
        <w:tc>
          <w:tcPr>
            <w:tcW w:w="1843" w:type="dxa"/>
            <w:vAlign w:val="center"/>
          </w:tcPr>
          <w:p w14:paraId="666DB16D"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占基金总资产的比例(</w:t>
            </w:r>
            <w:r w:rsidRPr="00FD685A">
              <w:rPr>
                <w:rFonts w:ascii="宋体" w:hAnsi="宋体" w:cs="Arial"/>
                <w:color w:val="000000"/>
                <w:sz w:val="24"/>
                <w:szCs w:val="24"/>
              </w:rPr>
              <w:t>%</w:t>
            </w:r>
            <w:r w:rsidRPr="00FD685A">
              <w:rPr>
                <w:rFonts w:ascii="宋体" w:hAnsi="宋体" w:cs="Arial" w:hint="eastAsia"/>
                <w:color w:val="000000"/>
                <w:sz w:val="24"/>
                <w:szCs w:val="24"/>
              </w:rPr>
              <w:t>)</w:t>
            </w:r>
          </w:p>
        </w:tc>
      </w:tr>
      <w:tr w:rsidR="00E0076E" w:rsidRPr="00FD685A" w14:paraId="1C006D3A" w14:textId="77777777" w:rsidTr="007405B9">
        <w:trPr>
          <w:jc w:val="center"/>
        </w:trPr>
        <w:tc>
          <w:tcPr>
            <w:tcW w:w="720" w:type="dxa"/>
            <w:vAlign w:val="center"/>
          </w:tcPr>
          <w:p w14:paraId="45F3A782"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1</w:t>
            </w:r>
          </w:p>
        </w:tc>
        <w:tc>
          <w:tcPr>
            <w:tcW w:w="3357" w:type="dxa"/>
            <w:vAlign w:val="center"/>
          </w:tcPr>
          <w:p w14:paraId="2F6DF7AD"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权益投资</w:t>
            </w:r>
          </w:p>
        </w:tc>
        <w:tc>
          <w:tcPr>
            <w:tcW w:w="2977" w:type="dxa"/>
            <w:vAlign w:val="center"/>
          </w:tcPr>
          <w:p w14:paraId="28C36C55"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6C1FD377"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7E8B9DC1" w14:textId="77777777" w:rsidTr="007405B9">
        <w:trPr>
          <w:jc w:val="center"/>
        </w:trPr>
        <w:tc>
          <w:tcPr>
            <w:tcW w:w="720" w:type="dxa"/>
            <w:vAlign w:val="center"/>
          </w:tcPr>
          <w:p w14:paraId="576AFA40"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p>
        </w:tc>
        <w:tc>
          <w:tcPr>
            <w:tcW w:w="3357" w:type="dxa"/>
            <w:vAlign w:val="center"/>
          </w:tcPr>
          <w:p w14:paraId="3E0F3B39"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其中：股票</w:t>
            </w:r>
          </w:p>
        </w:tc>
        <w:tc>
          <w:tcPr>
            <w:tcW w:w="2977" w:type="dxa"/>
            <w:vAlign w:val="center"/>
          </w:tcPr>
          <w:p w14:paraId="695FC89B"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1A9FC66A"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7ABCBD85" w14:textId="77777777" w:rsidTr="007405B9">
        <w:trPr>
          <w:jc w:val="center"/>
        </w:trPr>
        <w:tc>
          <w:tcPr>
            <w:tcW w:w="720" w:type="dxa"/>
            <w:vAlign w:val="center"/>
          </w:tcPr>
          <w:p w14:paraId="4D2FFFBB"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2</w:t>
            </w:r>
          </w:p>
        </w:tc>
        <w:tc>
          <w:tcPr>
            <w:tcW w:w="3357" w:type="dxa"/>
            <w:vAlign w:val="center"/>
          </w:tcPr>
          <w:p w14:paraId="45728445"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固定收益投资</w:t>
            </w:r>
          </w:p>
        </w:tc>
        <w:tc>
          <w:tcPr>
            <w:tcW w:w="2977" w:type="dxa"/>
            <w:vAlign w:val="center"/>
          </w:tcPr>
          <w:p w14:paraId="55493504"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9,957,000.00</w:t>
            </w:r>
          </w:p>
        </w:tc>
        <w:tc>
          <w:tcPr>
            <w:tcW w:w="1843" w:type="dxa"/>
            <w:vAlign w:val="center"/>
          </w:tcPr>
          <w:p w14:paraId="7483AE25"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9.35</w:t>
            </w:r>
          </w:p>
        </w:tc>
      </w:tr>
      <w:tr w:rsidR="00E0076E" w:rsidRPr="00FD685A" w14:paraId="14CA571C" w14:textId="77777777" w:rsidTr="007405B9">
        <w:trPr>
          <w:jc w:val="center"/>
        </w:trPr>
        <w:tc>
          <w:tcPr>
            <w:tcW w:w="720" w:type="dxa"/>
            <w:vAlign w:val="center"/>
          </w:tcPr>
          <w:p w14:paraId="35BF8FBA"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p>
        </w:tc>
        <w:tc>
          <w:tcPr>
            <w:tcW w:w="3357" w:type="dxa"/>
            <w:vAlign w:val="center"/>
          </w:tcPr>
          <w:p w14:paraId="10F9A884"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其中：债券</w:t>
            </w:r>
          </w:p>
        </w:tc>
        <w:tc>
          <w:tcPr>
            <w:tcW w:w="2977" w:type="dxa"/>
            <w:vAlign w:val="center"/>
          </w:tcPr>
          <w:p w14:paraId="54C2908A"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9,957,000.00</w:t>
            </w:r>
          </w:p>
        </w:tc>
        <w:tc>
          <w:tcPr>
            <w:tcW w:w="1843" w:type="dxa"/>
            <w:vAlign w:val="center"/>
          </w:tcPr>
          <w:p w14:paraId="472FEE00"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9.35</w:t>
            </w:r>
          </w:p>
        </w:tc>
      </w:tr>
      <w:tr w:rsidR="00E0076E" w:rsidRPr="00FD685A" w14:paraId="792B1CF8" w14:textId="77777777" w:rsidTr="007405B9">
        <w:trPr>
          <w:jc w:val="center"/>
        </w:trPr>
        <w:tc>
          <w:tcPr>
            <w:tcW w:w="720" w:type="dxa"/>
            <w:vAlign w:val="center"/>
          </w:tcPr>
          <w:p w14:paraId="317C903C"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p>
        </w:tc>
        <w:tc>
          <w:tcPr>
            <w:tcW w:w="3357" w:type="dxa"/>
            <w:vAlign w:val="center"/>
          </w:tcPr>
          <w:p w14:paraId="12B61714" w14:textId="77777777" w:rsidR="00E0076E" w:rsidRPr="00FD685A" w:rsidRDefault="00E0076E" w:rsidP="007405B9">
            <w:pPr>
              <w:autoSpaceDE w:val="0"/>
              <w:autoSpaceDN w:val="0"/>
              <w:adjustRightInd w:val="0"/>
              <w:spacing w:before="29" w:line="288" w:lineRule="auto"/>
              <w:ind w:left="15" w:firstLineChars="250" w:firstLine="600"/>
              <w:jc w:val="left"/>
              <w:rPr>
                <w:rFonts w:ascii="宋体" w:hAnsi="宋体" w:cs="Arial"/>
                <w:color w:val="000000"/>
                <w:sz w:val="24"/>
                <w:szCs w:val="24"/>
              </w:rPr>
            </w:pPr>
            <w:r w:rsidRPr="00FD685A">
              <w:rPr>
                <w:rFonts w:ascii="宋体" w:hAnsi="宋体" w:cs="Arial" w:hint="eastAsia"/>
                <w:color w:val="000000"/>
                <w:sz w:val="24"/>
                <w:szCs w:val="24"/>
              </w:rPr>
              <w:t>资产支持证券</w:t>
            </w:r>
          </w:p>
        </w:tc>
        <w:tc>
          <w:tcPr>
            <w:tcW w:w="2977" w:type="dxa"/>
            <w:vAlign w:val="center"/>
          </w:tcPr>
          <w:p w14:paraId="6EA02677"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10F09905"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671C7905" w14:textId="77777777" w:rsidTr="007405B9">
        <w:trPr>
          <w:jc w:val="center"/>
        </w:trPr>
        <w:tc>
          <w:tcPr>
            <w:tcW w:w="720" w:type="dxa"/>
            <w:vAlign w:val="center"/>
          </w:tcPr>
          <w:p w14:paraId="0603533A"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3</w:t>
            </w:r>
          </w:p>
        </w:tc>
        <w:tc>
          <w:tcPr>
            <w:tcW w:w="3357" w:type="dxa"/>
            <w:vAlign w:val="center"/>
          </w:tcPr>
          <w:p w14:paraId="489C98BC" w14:textId="77777777" w:rsidR="00E0076E" w:rsidRPr="00FD685A" w:rsidRDefault="00E0076E" w:rsidP="007405B9">
            <w:pPr>
              <w:autoSpaceDE w:val="0"/>
              <w:autoSpaceDN w:val="0"/>
              <w:adjustRightInd w:val="0"/>
              <w:spacing w:before="29" w:line="288" w:lineRule="auto"/>
              <w:rPr>
                <w:rFonts w:ascii="宋体" w:hAnsi="宋体" w:cs="Arial"/>
                <w:color w:val="000000"/>
                <w:sz w:val="24"/>
                <w:szCs w:val="24"/>
              </w:rPr>
            </w:pPr>
            <w:r w:rsidRPr="00FD685A">
              <w:rPr>
                <w:rFonts w:ascii="宋体" w:hAnsi="宋体" w:cs="Arial" w:hint="eastAsia"/>
                <w:color w:val="000000"/>
                <w:sz w:val="24"/>
                <w:szCs w:val="24"/>
              </w:rPr>
              <w:t>贵金属投资</w:t>
            </w:r>
          </w:p>
        </w:tc>
        <w:tc>
          <w:tcPr>
            <w:tcW w:w="2977" w:type="dxa"/>
            <w:vAlign w:val="center"/>
          </w:tcPr>
          <w:p w14:paraId="3A9C34C5"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15A1468E"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65C6A3E3" w14:textId="77777777" w:rsidTr="007405B9">
        <w:trPr>
          <w:jc w:val="center"/>
        </w:trPr>
        <w:tc>
          <w:tcPr>
            <w:tcW w:w="720" w:type="dxa"/>
            <w:vAlign w:val="center"/>
          </w:tcPr>
          <w:p w14:paraId="4A5BA0F0"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4</w:t>
            </w:r>
          </w:p>
        </w:tc>
        <w:tc>
          <w:tcPr>
            <w:tcW w:w="3357" w:type="dxa"/>
            <w:vAlign w:val="center"/>
          </w:tcPr>
          <w:p w14:paraId="3839F526"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金融衍生品投资</w:t>
            </w:r>
          </w:p>
        </w:tc>
        <w:tc>
          <w:tcPr>
            <w:tcW w:w="2977" w:type="dxa"/>
            <w:vAlign w:val="center"/>
          </w:tcPr>
          <w:p w14:paraId="227E841B"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6A9EB65B"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0E3DA0C9" w14:textId="77777777" w:rsidTr="007405B9">
        <w:trPr>
          <w:jc w:val="center"/>
        </w:trPr>
        <w:tc>
          <w:tcPr>
            <w:tcW w:w="720" w:type="dxa"/>
            <w:vAlign w:val="center"/>
          </w:tcPr>
          <w:p w14:paraId="108A2BB6"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5</w:t>
            </w:r>
          </w:p>
        </w:tc>
        <w:tc>
          <w:tcPr>
            <w:tcW w:w="3357" w:type="dxa"/>
            <w:vAlign w:val="center"/>
          </w:tcPr>
          <w:p w14:paraId="1FBB9C57"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买入返售金融资产</w:t>
            </w:r>
          </w:p>
        </w:tc>
        <w:tc>
          <w:tcPr>
            <w:tcW w:w="2977" w:type="dxa"/>
            <w:vAlign w:val="center"/>
          </w:tcPr>
          <w:p w14:paraId="7B698A6C"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87,000,000.00</w:t>
            </w:r>
          </w:p>
        </w:tc>
        <w:tc>
          <w:tcPr>
            <w:tcW w:w="1843" w:type="dxa"/>
            <w:vAlign w:val="center"/>
          </w:tcPr>
          <w:p w14:paraId="1AF042C1"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81.73</w:t>
            </w:r>
          </w:p>
        </w:tc>
      </w:tr>
      <w:tr w:rsidR="00E0076E" w:rsidRPr="00FD685A" w14:paraId="196F8AB6" w14:textId="77777777" w:rsidTr="007405B9">
        <w:trPr>
          <w:jc w:val="center"/>
        </w:trPr>
        <w:tc>
          <w:tcPr>
            <w:tcW w:w="720" w:type="dxa"/>
            <w:vAlign w:val="center"/>
          </w:tcPr>
          <w:p w14:paraId="6D4DFB1C"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p>
        </w:tc>
        <w:tc>
          <w:tcPr>
            <w:tcW w:w="3357" w:type="dxa"/>
            <w:vAlign w:val="center"/>
          </w:tcPr>
          <w:p w14:paraId="63A754EF"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其中：买断式回购的买入返售金融资产</w:t>
            </w:r>
          </w:p>
        </w:tc>
        <w:tc>
          <w:tcPr>
            <w:tcW w:w="2977" w:type="dxa"/>
            <w:vAlign w:val="center"/>
          </w:tcPr>
          <w:p w14:paraId="25724718"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843" w:type="dxa"/>
            <w:vAlign w:val="center"/>
          </w:tcPr>
          <w:p w14:paraId="2C1E1745"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E0076E" w:rsidRPr="00FD685A" w14:paraId="4DAAAC5B" w14:textId="77777777" w:rsidTr="007405B9">
        <w:trPr>
          <w:jc w:val="center"/>
        </w:trPr>
        <w:tc>
          <w:tcPr>
            <w:tcW w:w="720" w:type="dxa"/>
            <w:vAlign w:val="center"/>
          </w:tcPr>
          <w:p w14:paraId="67291705"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6</w:t>
            </w:r>
          </w:p>
        </w:tc>
        <w:tc>
          <w:tcPr>
            <w:tcW w:w="3357" w:type="dxa"/>
            <w:vAlign w:val="center"/>
          </w:tcPr>
          <w:p w14:paraId="2E650FC8" w14:textId="77777777" w:rsidR="00E0076E" w:rsidRPr="00FD685A" w:rsidRDefault="00E0076E" w:rsidP="007405B9">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银行存款和结算备付金合计</w:t>
            </w:r>
          </w:p>
        </w:tc>
        <w:tc>
          <w:tcPr>
            <w:tcW w:w="2977" w:type="dxa"/>
            <w:vAlign w:val="center"/>
          </w:tcPr>
          <w:p w14:paraId="761B33E2"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6,366,611.05</w:t>
            </w:r>
          </w:p>
        </w:tc>
        <w:tc>
          <w:tcPr>
            <w:tcW w:w="1843" w:type="dxa"/>
            <w:vAlign w:val="center"/>
          </w:tcPr>
          <w:p w14:paraId="0CA26934" w14:textId="77777777" w:rsidR="00E0076E" w:rsidRPr="00FD685A" w:rsidRDefault="00E0076E" w:rsidP="007405B9">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5.98</w:t>
            </w:r>
          </w:p>
        </w:tc>
      </w:tr>
      <w:tr w:rsidR="00E0076E" w:rsidRPr="00FD685A" w14:paraId="6C2197CC" w14:textId="77777777" w:rsidTr="007405B9">
        <w:trPr>
          <w:jc w:val="center"/>
        </w:trPr>
        <w:tc>
          <w:tcPr>
            <w:tcW w:w="720" w:type="dxa"/>
            <w:vAlign w:val="center"/>
          </w:tcPr>
          <w:p w14:paraId="27A30F4E"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7</w:t>
            </w:r>
          </w:p>
        </w:tc>
        <w:tc>
          <w:tcPr>
            <w:tcW w:w="3357" w:type="dxa"/>
            <w:vAlign w:val="center"/>
          </w:tcPr>
          <w:p w14:paraId="358EDA8F" w14:textId="77777777" w:rsidR="00E0076E" w:rsidRPr="00FD685A" w:rsidRDefault="00E0076E" w:rsidP="007405B9">
            <w:pPr>
              <w:autoSpaceDE w:val="0"/>
              <w:autoSpaceDN w:val="0"/>
              <w:adjustRightInd w:val="0"/>
              <w:spacing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其他各项资产</w:t>
            </w:r>
          </w:p>
        </w:tc>
        <w:tc>
          <w:tcPr>
            <w:tcW w:w="2977" w:type="dxa"/>
            <w:vAlign w:val="center"/>
          </w:tcPr>
          <w:p w14:paraId="446374C5" w14:textId="77777777" w:rsidR="00E0076E" w:rsidRPr="00FD685A" w:rsidRDefault="00E0076E" w:rsidP="007405B9">
            <w:pPr>
              <w:autoSpaceDE w:val="0"/>
              <w:autoSpaceDN w:val="0"/>
              <w:adjustRightInd w:val="0"/>
              <w:spacing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3,121,609.68</w:t>
            </w:r>
          </w:p>
        </w:tc>
        <w:tc>
          <w:tcPr>
            <w:tcW w:w="1843" w:type="dxa"/>
            <w:vAlign w:val="center"/>
          </w:tcPr>
          <w:p w14:paraId="368374B8" w14:textId="77777777" w:rsidR="00E0076E" w:rsidRPr="00FD685A" w:rsidRDefault="00E0076E" w:rsidP="007405B9">
            <w:pPr>
              <w:autoSpaceDE w:val="0"/>
              <w:autoSpaceDN w:val="0"/>
              <w:adjustRightInd w:val="0"/>
              <w:spacing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2.93</w:t>
            </w:r>
          </w:p>
        </w:tc>
      </w:tr>
      <w:tr w:rsidR="00E0076E" w:rsidRPr="00FD685A" w14:paraId="45E08F55" w14:textId="77777777" w:rsidTr="007405B9">
        <w:trPr>
          <w:jc w:val="center"/>
        </w:trPr>
        <w:tc>
          <w:tcPr>
            <w:tcW w:w="720" w:type="dxa"/>
            <w:vAlign w:val="center"/>
          </w:tcPr>
          <w:p w14:paraId="5FC96EF5" w14:textId="77777777" w:rsidR="00E0076E" w:rsidRPr="00FD685A" w:rsidRDefault="00E0076E" w:rsidP="007405B9">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8</w:t>
            </w:r>
          </w:p>
        </w:tc>
        <w:tc>
          <w:tcPr>
            <w:tcW w:w="3357" w:type="dxa"/>
            <w:vAlign w:val="center"/>
          </w:tcPr>
          <w:p w14:paraId="4DB2A4F7" w14:textId="77777777" w:rsidR="00E0076E" w:rsidRPr="00FD685A" w:rsidRDefault="00E0076E" w:rsidP="007405B9">
            <w:pPr>
              <w:autoSpaceDE w:val="0"/>
              <w:autoSpaceDN w:val="0"/>
              <w:adjustRightInd w:val="0"/>
              <w:spacing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合计</w:t>
            </w:r>
          </w:p>
        </w:tc>
        <w:tc>
          <w:tcPr>
            <w:tcW w:w="2977" w:type="dxa"/>
            <w:vAlign w:val="center"/>
          </w:tcPr>
          <w:p w14:paraId="596F6A26" w14:textId="77777777" w:rsidR="00E0076E" w:rsidRPr="00FD685A" w:rsidRDefault="00E0076E" w:rsidP="007405B9">
            <w:pPr>
              <w:autoSpaceDE w:val="0"/>
              <w:autoSpaceDN w:val="0"/>
              <w:adjustRightInd w:val="0"/>
              <w:spacing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106,445,220.73</w:t>
            </w:r>
          </w:p>
        </w:tc>
        <w:tc>
          <w:tcPr>
            <w:tcW w:w="1843" w:type="dxa"/>
            <w:vAlign w:val="center"/>
          </w:tcPr>
          <w:p w14:paraId="22482C84" w14:textId="77777777" w:rsidR="00E0076E" w:rsidRPr="00FD685A" w:rsidRDefault="00E0076E" w:rsidP="007405B9">
            <w:pPr>
              <w:autoSpaceDE w:val="0"/>
              <w:autoSpaceDN w:val="0"/>
              <w:adjustRightInd w:val="0"/>
              <w:spacing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100.00</w:t>
            </w:r>
          </w:p>
        </w:tc>
      </w:tr>
    </w:tbl>
    <w:p w14:paraId="2971C232" w14:textId="77777777" w:rsidR="007405B9" w:rsidRDefault="007405B9" w:rsidP="00C15CAC">
      <w:pPr>
        <w:autoSpaceDE w:val="0"/>
        <w:autoSpaceDN w:val="0"/>
        <w:adjustRightInd w:val="0"/>
        <w:spacing w:before="29" w:line="288" w:lineRule="auto"/>
        <w:jc w:val="left"/>
        <w:rPr>
          <w:rFonts w:ascii="宋体" w:hAnsi="宋体"/>
          <w:b/>
          <w:bCs/>
          <w:color w:val="000000"/>
          <w:kern w:val="0"/>
          <w:sz w:val="24"/>
          <w:szCs w:val="24"/>
        </w:rPr>
      </w:pPr>
    </w:p>
    <w:p w14:paraId="52E77F61" w14:textId="77777777" w:rsidR="004061AC" w:rsidRPr="00B9146C" w:rsidRDefault="004061AC" w:rsidP="00C15CAC">
      <w:pPr>
        <w:autoSpaceDE w:val="0"/>
        <w:autoSpaceDN w:val="0"/>
        <w:adjustRightInd w:val="0"/>
        <w:spacing w:before="29" w:line="288" w:lineRule="auto"/>
        <w:jc w:val="left"/>
        <w:rPr>
          <w:rFonts w:ascii="宋体" w:hAnsi="宋体"/>
          <w:b/>
          <w:bCs/>
          <w:color w:val="000000"/>
          <w:kern w:val="0"/>
          <w:sz w:val="24"/>
          <w:szCs w:val="24"/>
        </w:rPr>
      </w:pPr>
      <w:r w:rsidRPr="00B9146C">
        <w:rPr>
          <w:rFonts w:ascii="宋体" w:hAnsi="宋体"/>
          <w:b/>
          <w:bCs/>
          <w:color w:val="000000"/>
          <w:kern w:val="0"/>
          <w:sz w:val="24"/>
          <w:szCs w:val="24"/>
        </w:rPr>
        <w:t>5</w:t>
      </w:r>
      <w:r w:rsidR="00A00F8E" w:rsidRPr="00B9146C">
        <w:rPr>
          <w:rFonts w:ascii="宋体" w:hAnsi="宋体" w:hint="eastAsia"/>
          <w:b/>
          <w:bCs/>
          <w:color w:val="000000"/>
          <w:kern w:val="0"/>
          <w:sz w:val="24"/>
          <w:szCs w:val="24"/>
        </w:rPr>
        <w:t>.1</w:t>
      </w:r>
      <w:r w:rsidRPr="00B9146C">
        <w:rPr>
          <w:rFonts w:ascii="宋体" w:hAnsi="宋体"/>
          <w:b/>
          <w:bCs/>
          <w:color w:val="000000"/>
          <w:kern w:val="0"/>
          <w:sz w:val="24"/>
          <w:szCs w:val="24"/>
        </w:rPr>
        <w:t>.2 报告期末按行业分类的股票投资组合</w:t>
      </w:r>
    </w:p>
    <w:p w14:paraId="160E7B5E" w14:textId="77777777" w:rsidR="00F51C4E" w:rsidRPr="00B9146C" w:rsidRDefault="00F51C4E" w:rsidP="00F51C4E">
      <w:pPr>
        <w:rPr>
          <w:rFonts w:ascii="宋体" w:hAnsi="宋体"/>
          <w:b/>
          <w:sz w:val="24"/>
          <w:szCs w:val="24"/>
        </w:rPr>
      </w:pPr>
      <w:r w:rsidRPr="00B9146C">
        <w:rPr>
          <w:rFonts w:ascii="宋体" w:hAnsi="宋体" w:hint="eastAsia"/>
          <w:b/>
          <w:color w:val="000000" w:themeColor="text1"/>
          <w:kern w:val="0"/>
          <w:sz w:val="24"/>
          <w:szCs w:val="24"/>
        </w:rPr>
        <w:t>5.</w:t>
      </w:r>
      <w:r w:rsidR="00BC6696" w:rsidRPr="00B9146C">
        <w:rPr>
          <w:rFonts w:ascii="宋体" w:hAnsi="宋体" w:hint="eastAsia"/>
          <w:b/>
          <w:color w:val="000000" w:themeColor="text1"/>
          <w:kern w:val="0"/>
          <w:sz w:val="24"/>
          <w:szCs w:val="24"/>
        </w:rPr>
        <w:t>1</w:t>
      </w:r>
      <w:r w:rsidRPr="00B9146C">
        <w:rPr>
          <w:rFonts w:ascii="宋体" w:hAnsi="宋体" w:hint="eastAsia"/>
          <w:b/>
          <w:color w:val="000000" w:themeColor="text1"/>
          <w:kern w:val="0"/>
          <w:sz w:val="24"/>
          <w:szCs w:val="24"/>
        </w:rPr>
        <w:t>.</w:t>
      </w:r>
      <w:r w:rsidR="00BC6696" w:rsidRPr="00B9146C">
        <w:rPr>
          <w:rFonts w:ascii="宋体" w:hAnsi="宋体" w:hint="eastAsia"/>
          <w:b/>
          <w:color w:val="000000" w:themeColor="text1"/>
          <w:kern w:val="0"/>
          <w:sz w:val="24"/>
          <w:szCs w:val="24"/>
        </w:rPr>
        <w:t>2.1</w:t>
      </w:r>
      <w:r w:rsidR="00DD4ED0" w:rsidRPr="00B9146C">
        <w:rPr>
          <w:rFonts w:ascii="宋体" w:hAnsi="宋体" w:hint="eastAsia"/>
          <w:b/>
          <w:color w:val="000000" w:themeColor="text1"/>
          <w:kern w:val="0"/>
          <w:sz w:val="24"/>
          <w:szCs w:val="24"/>
        </w:rPr>
        <w:t xml:space="preserve"> </w:t>
      </w:r>
      <w:r w:rsidRPr="00B9146C">
        <w:rPr>
          <w:rFonts w:ascii="宋体" w:hAnsi="宋体" w:hint="eastAsia"/>
          <w:b/>
          <w:color w:val="000000" w:themeColor="text1"/>
          <w:kern w:val="0"/>
          <w:sz w:val="24"/>
          <w:szCs w:val="24"/>
        </w:rPr>
        <w:t>报告期末按行业分类的境内股票投资组合</w:t>
      </w:r>
    </w:p>
    <w:p w14:paraId="449F716E" w14:textId="77777777" w:rsidR="004061AC" w:rsidRDefault="004061AC" w:rsidP="00C15CAC">
      <w:pPr>
        <w:autoSpaceDE w:val="0"/>
        <w:autoSpaceDN w:val="0"/>
        <w:adjustRightInd w:val="0"/>
        <w:spacing w:before="29" w:line="288" w:lineRule="auto"/>
        <w:jc w:val="left"/>
        <w:rPr>
          <w:rFonts w:ascii="宋体" w:hAnsi="宋体"/>
          <w:color w:val="000000"/>
          <w:sz w:val="24"/>
          <w:szCs w:val="24"/>
        </w:rPr>
      </w:pPr>
      <w:r w:rsidRPr="00B9146C">
        <w:rPr>
          <w:rFonts w:ascii="宋体" w:hAnsi="宋体"/>
          <w:color w:val="000000"/>
          <w:sz w:val="24"/>
          <w:szCs w:val="24"/>
        </w:rPr>
        <w:t>本基金本报告期末未持有股票。</w:t>
      </w:r>
    </w:p>
    <w:p w14:paraId="0C33C33F" w14:textId="77777777" w:rsidR="007405B9" w:rsidRDefault="007405B9" w:rsidP="00C15CAC">
      <w:pPr>
        <w:autoSpaceDE w:val="0"/>
        <w:autoSpaceDN w:val="0"/>
        <w:adjustRightInd w:val="0"/>
        <w:spacing w:before="29" w:line="288" w:lineRule="auto"/>
        <w:jc w:val="left"/>
        <w:rPr>
          <w:rFonts w:ascii="宋体" w:hAnsi="宋体"/>
          <w:color w:val="000000"/>
          <w:sz w:val="24"/>
          <w:szCs w:val="24"/>
        </w:rPr>
      </w:pPr>
    </w:p>
    <w:p w14:paraId="3810ACFF" w14:textId="642349AF" w:rsidR="00FF53B4" w:rsidRPr="008A409E" w:rsidRDefault="00FF53B4" w:rsidP="00FF53B4">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w:t>
      </w:r>
      <w:r w:rsidR="007405B9">
        <w:rPr>
          <w:rFonts w:asciiTheme="minorEastAsia" w:eastAsiaTheme="minorEastAsia" w:hAnsiTheme="minorEastAsia"/>
          <w:b/>
          <w:bCs/>
          <w:color w:val="000000" w:themeColor="text1"/>
          <w:kern w:val="0"/>
          <w:sz w:val="24"/>
        </w:rPr>
        <w:t>1.</w:t>
      </w:r>
      <w:r w:rsidRPr="008A409E">
        <w:rPr>
          <w:rFonts w:asciiTheme="minorEastAsia" w:eastAsiaTheme="minorEastAsia" w:hAnsiTheme="minorEastAsia" w:hint="eastAsia"/>
          <w:b/>
          <w:bCs/>
          <w:color w:val="000000" w:themeColor="text1"/>
          <w:kern w:val="0"/>
          <w:sz w:val="24"/>
        </w:rPr>
        <w:t>2.2报告期末按行业分类的沪港通投资股票投资组合</w:t>
      </w:r>
    </w:p>
    <w:p w14:paraId="72C98342" w14:textId="77777777" w:rsidR="00FF53B4" w:rsidRDefault="00FF53B4" w:rsidP="00FF53B4">
      <w:pPr>
        <w:spacing w:before="29" w:line="360" w:lineRule="auto"/>
        <w:ind w:left="17"/>
        <w:rPr>
          <w:color w:val="000000"/>
          <w:sz w:val="24"/>
        </w:rPr>
      </w:pPr>
      <w:r w:rsidRPr="00FF0BBF">
        <w:rPr>
          <w:color w:val="000000"/>
          <w:sz w:val="24"/>
        </w:rPr>
        <w:t>本基金本报告期末未持有通过沪港通投资的股票。</w:t>
      </w:r>
    </w:p>
    <w:p w14:paraId="38D5FB83" w14:textId="77777777" w:rsidR="007405B9" w:rsidRDefault="007405B9" w:rsidP="00FF53B4">
      <w:pPr>
        <w:spacing w:before="29" w:line="360" w:lineRule="auto"/>
        <w:ind w:left="17"/>
        <w:rPr>
          <w:color w:val="000000"/>
          <w:sz w:val="24"/>
        </w:rPr>
      </w:pPr>
    </w:p>
    <w:p w14:paraId="37BD65E6" w14:textId="77777777" w:rsidR="004061AC" w:rsidRPr="009330DB" w:rsidRDefault="007B422E" w:rsidP="00C15CAC">
      <w:pPr>
        <w:autoSpaceDE w:val="0"/>
        <w:autoSpaceDN w:val="0"/>
        <w:adjustRightInd w:val="0"/>
        <w:spacing w:before="29" w:line="288" w:lineRule="auto"/>
        <w:jc w:val="left"/>
        <w:rPr>
          <w:rFonts w:ascii="宋体" w:hAnsi="宋体"/>
          <w:b/>
          <w:bCs/>
          <w:color w:val="000000"/>
          <w:kern w:val="0"/>
          <w:sz w:val="24"/>
          <w:szCs w:val="24"/>
        </w:rPr>
      </w:pPr>
      <w:r>
        <w:rPr>
          <w:rFonts w:ascii="宋体" w:hAnsi="宋体" w:cs="Arial"/>
          <w:b/>
          <w:color w:val="000000"/>
          <w:kern w:val="0"/>
          <w:sz w:val="24"/>
          <w:szCs w:val="24"/>
        </w:rPr>
        <w:t>5</w:t>
      </w:r>
      <w:r>
        <w:rPr>
          <w:rFonts w:hint="eastAsia"/>
          <w:b/>
          <w:bCs/>
          <w:color w:val="000000"/>
          <w:kern w:val="0"/>
          <w:sz w:val="24"/>
          <w:szCs w:val="24"/>
        </w:rPr>
        <w:t>.1</w:t>
      </w:r>
      <w:r>
        <w:rPr>
          <w:b/>
          <w:bCs/>
          <w:color w:val="000000"/>
          <w:kern w:val="0"/>
          <w:sz w:val="24"/>
          <w:szCs w:val="24"/>
        </w:rPr>
        <w:t>.</w:t>
      </w:r>
      <w:r>
        <w:rPr>
          <w:rFonts w:hint="eastAsia"/>
          <w:b/>
          <w:bCs/>
          <w:color w:val="000000"/>
          <w:kern w:val="0"/>
          <w:sz w:val="24"/>
          <w:szCs w:val="24"/>
        </w:rPr>
        <w:t>3</w:t>
      </w:r>
      <w:r w:rsidR="0080552D" w:rsidRPr="009330DB">
        <w:rPr>
          <w:rFonts w:ascii="宋体" w:hAnsi="宋体" w:cs="Arial" w:hint="eastAsia"/>
          <w:b/>
          <w:color w:val="000000"/>
          <w:kern w:val="0"/>
          <w:sz w:val="24"/>
          <w:szCs w:val="24"/>
        </w:rPr>
        <w:t xml:space="preserve"> </w:t>
      </w:r>
      <w:r w:rsidR="004061AC" w:rsidRPr="009330DB">
        <w:rPr>
          <w:rFonts w:ascii="宋体" w:hAnsi="宋体"/>
          <w:b/>
          <w:bCs/>
          <w:color w:val="000000"/>
          <w:kern w:val="0"/>
          <w:sz w:val="24"/>
          <w:szCs w:val="24"/>
        </w:rPr>
        <w:t>报告期末按公允价值占基金资产净值比例大小排序的前十名股票投资明细</w:t>
      </w:r>
    </w:p>
    <w:p w14:paraId="77FB0A2F" w14:textId="77777777" w:rsidR="004061AC" w:rsidRPr="009330DB" w:rsidRDefault="004061AC" w:rsidP="00C15CAC">
      <w:pPr>
        <w:autoSpaceDE w:val="0"/>
        <w:autoSpaceDN w:val="0"/>
        <w:adjustRightInd w:val="0"/>
        <w:spacing w:before="29" w:line="288" w:lineRule="auto"/>
        <w:jc w:val="left"/>
        <w:rPr>
          <w:rFonts w:ascii="宋体" w:hAnsi="宋体"/>
          <w:color w:val="000000"/>
          <w:sz w:val="24"/>
          <w:szCs w:val="24"/>
        </w:rPr>
      </w:pPr>
      <w:r w:rsidRPr="009330DB">
        <w:rPr>
          <w:rFonts w:ascii="宋体" w:hAnsi="宋体"/>
          <w:color w:val="000000"/>
          <w:sz w:val="24"/>
          <w:szCs w:val="24"/>
        </w:rPr>
        <w:t>本基金本报告期末未持有股票。</w:t>
      </w:r>
    </w:p>
    <w:p w14:paraId="74C2A0E9" w14:textId="77777777" w:rsidR="004061AC" w:rsidRPr="00941760" w:rsidRDefault="004061AC" w:rsidP="00C15CAC">
      <w:pPr>
        <w:autoSpaceDE w:val="0"/>
        <w:autoSpaceDN w:val="0"/>
        <w:adjustRightInd w:val="0"/>
        <w:spacing w:before="29" w:line="288" w:lineRule="auto"/>
        <w:jc w:val="left"/>
        <w:rPr>
          <w:b/>
          <w:bCs/>
          <w:color w:val="000000"/>
          <w:kern w:val="0"/>
          <w:sz w:val="24"/>
          <w:szCs w:val="24"/>
        </w:rPr>
      </w:pPr>
    </w:p>
    <w:p w14:paraId="69A403F4"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47592">
        <w:rPr>
          <w:rFonts w:hint="eastAsia"/>
          <w:b/>
          <w:bCs/>
          <w:color w:val="000000"/>
          <w:kern w:val="0"/>
          <w:sz w:val="24"/>
          <w:szCs w:val="24"/>
        </w:rPr>
        <w:t>.1</w:t>
      </w:r>
      <w:r w:rsidRPr="00414345">
        <w:rPr>
          <w:b/>
          <w:bCs/>
          <w:color w:val="000000"/>
          <w:kern w:val="0"/>
          <w:sz w:val="24"/>
          <w:szCs w:val="24"/>
        </w:rPr>
        <w:t xml:space="preserve">.4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5A16C7" w14:paraId="1C9027E1" w14:textId="77777777" w:rsidTr="00F323FF">
        <w:trPr>
          <w:jc w:val="center"/>
        </w:trPr>
        <w:tc>
          <w:tcPr>
            <w:tcW w:w="828" w:type="dxa"/>
            <w:vAlign w:val="center"/>
          </w:tcPr>
          <w:p w14:paraId="5438847A"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序号</w:t>
            </w:r>
          </w:p>
        </w:tc>
        <w:tc>
          <w:tcPr>
            <w:tcW w:w="3302" w:type="dxa"/>
            <w:vAlign w:val="center"/>
          </w:tcPr>
          <w:p w14:paraId="173F182F"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债券品种</w:t>
            </w:r>
          </w:p>
        </w:tc>
        <w:tc>
          <w:tcPr>
            <w:tcW w:w="2987" w:type="dxa"/>
            <w:vAlign w:val="center"/>
          </w:tcPr>
          <w:p w14:paraId="6A8F9113"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公允价值</w:t>
            </w:r>
            <w:r w:rsidR="00C47163" w:rsidRPr="005A16C7">
              <w:rPr>
                <w:rFonts w:ascii="宋体" w:hAnsi="宋体"/>
                <w:color w:val="000000"/>
                <w:sz w:val="24"/>
                <w:szCs w:val="24"/>
              </w:rPr>
              <w:t>（元）</w:t>
            </w:r>
          </w:p>
        </w:tc>
        <w:tc>
          <w:tcPr>
            <w:tcW w:w="1751" w:type="dxa"/>
            <w:vAlign w:val="center"/>
          </w:tcPr>
          <w:p w14:paraId="20BD631E"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占基金资产净值比例</w:t>
            </w:r>
            <w:r w:rsidR="00C47163" w:rsidRPr="005A16C7">
              <w:rPr>
                <w:rFonts w:ascii="宋体" w:hAnsi="宋体"/>
                <w:color w:val="000000"/>
                <w:sz w:val="24"/>
                <w:szCs w:val="24"/>
              </w:rPr>
              <w:t>（％）</w:t>
            </w:r>
          </w:p>
        </w:tc>
      </w:tr>
      <w:tr w:rsidR="00AC592E" w:rsidRPr="005A16C7" w14:paraId="047788C1" w14:textId="77777777" w:rsidTr="00F323FF">
        <w:trPr>
          <w:jc w:val="center"/>
        </w:trPr>
        <w:tc>
          <w:tcPr>
            <w:tcW w:w="828" w:type="dxa"/>
            <w:vAlign w:val="center"/>
          </w:tcPr>
          <w:p w14:paraId="61569C22"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1</w:t>
            </w:r>
          </w:p>
        </w:tc>
        <w:tc>
          <w:tcPr>
            <w:tcW w:w="3302" w:type="dxa"/>
            <w:vAlign w:val="center"/>
          </w:tcPr>
          <w:p w14:paraId="52B0A36F"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国家债券</w:t>
            </w:r>
          </w:p>
        </w:tc>
        <w:tc>
          <w:tcPr>
            <w:tcW w:w="2987" w:type="dxa"/>
            <w:vAlign w:val="center"/>
          </w:tcPr>
          <w:p w14:paraId="5D7AC66B"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4A1AE2B1"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0C076F18" w14:textId="77777777" w:rsidTr="00F323FF">
        <w:trPr>
          <w:jc w:val="center"/>
        </w:trPr>
        <w:tc>
          <w:tcPr>
            <w:tcW w:w="828" w:type="dxa"/>
            <w:vAlign w:val="center"/>
          </w:tcPr>
          <w:p w14:paraId="78C60F87"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2</w:t>
            </w:r>
          </w:p>
        </w:tc>
        <w:tc>
          <w:tcPr>
            <w:tcW w:w="3302" w:type="dxa"/>
            <w:vAlign w:val="center"/>
          </w:tcPr>
          <w:p w14:paraId="614EAFD1"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央行票据</w:t>
            </w:r>
          </w:p>
        </w:tc>
        <w:tc>
          <w:tcPr>
            <w:tcW w:w="2987" w:type="dxa"/>
            <w:vAlign w:val="center"/>
          </w:tcPr>
          <w:p w14:paraId="22BBD5D8"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1B078F0C"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38115BE0" w14:textId="77777777" w:rsidTr="00F323FF">
        <w:trPr>
          <w:jc w:val="center"/>
        </w:trPr>
        <w:tc>
          <w:tcPr>
            <w:tcW w:w="828" w:type="dxa"/>
            <w:vAlign w:val="center"/>
          </w:tcPr>
          <w:p w14:paraId="143D93E2"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3</w:t>
            </w:r>
          </w:p>
        </w:tc>
        <w:tc>
          <w:tcPr>
            <w:tcW w:w="3302" w:type="dxa"/>
            <w:vAlign w:val="center"/>
          </w:tcPr>
          <w:p w14:paraId="195F065E"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金融债券</w:t>
            </w:r>
          </w:p>
        </w:tc>
        <w:tc>
          <w:tcPr>
            <w:tcW w:w="2987" w:type="dxa"/>
            <w:vAlign w:val="center"/>
          </w:tcPr>
          <w:p w14:paraId="6D83FFA4"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7BF318F5"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2DC23E94" w14:textId="77777777" w:rsidTr="00F323FF">
        <w:trPr>
          <w:jc w:val="center"/>
        </w:trPr>
        <w:tc>
          <w:tcPr>
            <w:tcW w:w="828" w:type="dxa"/>
            <w:vAlign w:val="center"/>
          </w:tcPr>
          <w:p w14:paraId="0CFE775F" w14:textId="77777777" w:rsidR="00AC592E" w:rsidRPr="005A16C7" w:rsidRDefault="00AC592E" w:rsidP="00C15CAC">
            <w:pPr>
              <w:spacing w:before="29" w:line="288" w:lineRule="auto"/>
              <w:ind w:left="17"/>
              <w:jc w:val="center"/>
              <w:rPr>
                <w:rFonts w:ascii="宋体" w:hAnsi="宋体"/>
                <w:color w:val="000000"/>
                <w:sz w:val="24"/>
                <w:szCs w:val="24"/>
              </w:rPr>
            </w:pPr>
          </w:p>
        </w:tc>
        <w:tc>
          <w:tcPr>
            <w:tcW w:w="3302" w:type="dxa"/>
            <w:vAlign w:val="center"/>
          </w:tcPr>
          <w:p w14:paraId="19362692"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其中：政策性金融债</w:t>
            </w:r>
          </w:p>
        </w:tc>
        <w:tc>
          <w:tcPr>
            <w:tcW w:w="2987" w:type="dxa"/>
            <w:vAlign w:val="center"/>
          </w:tcPr>
          <w:p w14:paraId="4D726536" w14:textId="77777777" w:rsidR="00AC592E" w:rsidRPr="005A16C7" w:rsidRDefault="00AC592E" w:rsidP="00C15CAC">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38A1AEF8"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74ED4F76" w14:textId="77777777" w:rsidTr="00F323FF">
        <w:trPr>
          <w:jc w:val="center"/>
        </w:trPr>
        <w:tc>
          <w:tcPr>
            <w:tcW w:w="828" w:type="dxa"/>
            <w:vAlign w:val="center"/>
          </w:tcPr>
          <w:p w14:paraId="0FE78F7B"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4</w:t>
            </w:r>
          </w:p>
        </w:tc>
        <w:tc>
          <w:tcPr>
            <w:tcW w:w="3302" w:type="dxa"/>
            <w:vAlign w:val="center"/>
          </w:tcPr>
          <w:p w14:paraId="417821BF"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企业债券</w:t>
            </w:r>
          </w:p>
        </w:tc>
        <w:tc>
          <w:tcPr>
            <w:tcW w:w="2987" w:type="dxa"/>
            <w:vAlign w:val="center"/>
          </w:tcPr>
          <w:p w14:paraId="38B381D7"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5988ECB2"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3EF48930" w14:textId="77777777" w:rsidTr="00F323FF">
        <w:trPr>
          <w:jc w:val="center"/>
        </w:trPr>
        <w:tc>
          <w:tcPr>
            <w:tcW w:w="828" w:type="dxa"/>
            <w:vAlign w:val="center"/>
          </w:tcPr>
          <w:p w14:paraId="4F0E6A29" w14:textId="77777777" w:rsidR="00AC592E" w:rsidRPr="005A16C7" w:rsidRDefault="00AC592E"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5</w:t>
            </w:r>
          </w:p>
        </w:tc>
        <w:tc>
          <w:tcPr>
            <w:tcW w:w="3302" w:type="dxa"/>
            <w:vAlign w:val="center"/>
          </w:tcPr>
          <w:p w14:paraId="770B9051"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企业短期融资</w:t>
            </w:r>
            <w:r w:rsidR="00963F40" w:rsidRPr="005A16C7">
              <w:rPr>
                <w:rFonts w:ascii="宋体" w:hAnsi="宋体"/>
                <w:color w:val="000000"/>
                <w:sz w:val="24"/>
                <w:szCs w:val="24"/>
              </w:rPr>
              <w:t>券</w:t>
            </w:r>
          </w:p>
        </w:tc>
        <w:tc>
          <w:tcPr>
            <w:tcW w:w="2987" w:type="dxa"/>
            <w:vAlign w:val="center"/>
          </w:tcPr>
          <w:p w14:paraId="11AC6312"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9,957,000.00</w:t>
            </w:r>
          </w:p>
        </w:tc>
        <w:tc>
          <w:tcPr>
            <w:tcW w:w="1751" w:type="dxa"/>
            <w:vAlign w:val="center"/>
          </w:tcPr>
          <w:p w14:paraId="1D6175E5"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9.96</w:t>
            </w:r>
          </w:p>
        </w:tc>
      </w:tr>
      <w:tr w:rsidR="00FB41D3" w:rsidRPr="005A16C7" w14:paraId="47E590EA" w14:textId="77777777" w:rsidTr="00F323FF">
        <w:trPr>
          <w:jc w:val="center"/>
        </w:trPr>
        <w:tc>
          <w:tcPr>
            <w:tcW w:w="828" w:type="dxa"/>
            <w:vAlign w:val="center"/>
          </w:tcPr>
          <w:p w14:paraId="463FDCB7" w14:textId="77777777" w:rsidR="00FB41D3" w:rsidRPr="005A16C7" w:rsidRDefault="00FB41D3"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6</w:t>
            </w:r>
          </w:p>
        </w:tc>
        <w:tc>
          <w:tcPr>
            <w:tcW w:w="3302" w:type="dxa"/>
            <w:vAlign w:val="center"/>
          </w:tcPr>
          <w:p w14:paraId="1B033000" w14:textId="77777777" w:rsidR="00FB41D3" w:rsidRPr="005A16C7" w:rsidRDefault="00FB41D3"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中期票据</w:t>
            </w:r>
          </w:p>
        </w:tc>
        <w:tc>
          <w:tcPr>
            <w:tcW w:w="2987" w:type="dxa"/>
            <w:vAlign w:val="center"/>
          </w:tcPr>
          <w:p w14:paraId="64552978" w14:textId="77777777" w:rsidR="00FB41D3" w:rsidRPr="005A16C7" w:rsidRDefault="00FB41D3"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3224C6A6" w14:textId="77777777" w:rsidR="00FB41D3" w:rsidRPr="005A16C7" w:rsidRDefault="00FB41D3"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16CA8615" w14:textId="77777777" w:rsidTr="00F323FF">
        <w:trPr>
          <w:jc w:val="center"/>
        </w:trPr>
        <w:tc>
          <w:tcPr>
            <w:tcW w:w="828" w:type="dxa"/>
            <w:vAlign w:val="center"/>
          </w:tcPr>
          <w:p w14:paraId="4CF54D34" w14:textId="77777777" w:rsidR="00AC592E" w:rsidRPr="005A16C7" w:rsidRDefault="00FB41D3" w:rsidP="00C15CAC">
            <w:pPr>
              <w:spacing w:before="29" w:line="288" w:lineRule="auto"/>
              <w:ind w:left="17"/>
              <w:jc w:val="center"/>
              <w:rPr>
                <w:rFonts w:ascii="宋体" w:hAnsi="宋体"/>
                <w:color w:val="000000"/>
                <w:sz w:val="24"/>
                <w:szCs w:val="24"/>
              </w:rPr>
            </w:pPr>
            <w:r w:rsidRPr="005A16C7">
              <w:rPr>
                <w:rFonts w:ascii="宋体" w:hAnsi="宋体"/>
                <w:color w:val="000000"/>
                <w:sz w:val="24"/>
                <w:szCs w:val="24"/>
              </w:rPr>
              <w:t>7</w:t>
            </w:r>
          </w:p>
        </w:tc>
        <w:tc>
          <w:tcPr>
            <w:tcW w:w="3302" w:type="dxa"/>
            <w:vAlign w:val="center"/>
          </w:tcPr>
          <w:p w14:paraId="799FA8D1"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可转债</w:t>
            </w:r>
            <w:r w:rsidR="00AB6E79" w:rsidRPr="005A16C7">
              <w:rPr>
                <w:rFonts w:ascii="宋体" w:hAnsi="宋体" w:hint="eastAsia"/>
                <w:sz w:val="24"/>
                <w:szCs w:val="24"/>
              </w:rPr>
              <w:t>（可交换债）</w:t>
            </w:r>
          </w:p>
        </w:tc>
        <w:tc>
          <w:tcPr>
            <w:tcW w:w="2987" w:type="dxa"/>
            <w:vAlign w:val="center"/>
          </w:tcPr>
          <w:p w14:paraId="7D1C4D76"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41D4ABAB"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F323FF" w:rsidRPr="005A16C7" w14:paraId="5610C637" w14:textId="77777777" w:rsidTr="00F1734D">
        <w:trPr>
          <w:jc w:val="center"/>
        </w:trPr>
        <w:tc>
          <w:tcPr>
            <w:tcW w:w="828" w:type="dxa"/>
            <w:vAlign w:val="center"/>
          </w:tcPr>
          <w:p w14:paraId="728687A0" w14:textId="77777777" w:rsidR="00F323FF" w:rsidRPr="005A16C7" w:rsidRDefault="00F323FF" w:rsidP="00F1734D">
            <w:pPr>
              <w:spacing w:before="29" w:line="288" w:lineRule="auto"/>
              <w:ind w:left="17"/>
              <w:jc w:val="center"/>
              <w:rPr>
                <w:rFonts w:ascii="宋体" w:hAnsi="宋体"/>
                <w:color w:val="000000"/>
                <w:sz w:val="24"/>
                <w:szCs w:val="24"/>
              </w:rPr>
            </w:pPr>
            <w:r w:rsidRPr="005A16C7">
              <w:rPr>
                <w:rFonts w:ascii="宋体" w:hAnsi="宋体" w:hint="eastAsia"/>
                <w:color w:val="000000"/>
                <w:sz w:val="24"/>
                <w:szCs w:val="24"/>
              </w:rPr>
              <w:t>8</w:t>
            </w:r>
          </w:p>
        </w:tc>
        <w:tc>
          <w:tcPr>
            <w:tcW w:w="3302" w:type="dxa"/>
            <w:vAlign w:val="center"/>
          </w:tcPr>
          <w:p w14:paraId="2E0E0794" w14:textId="77777777" w:rsidR="00F323FF" w:rsidRPr="005A16C7" w:rsidRDefault="00F323FF" w:rsidP="00F1734D">
            <w:pPr>
              <w:spacing w:before="29" w:line="288" w:lineRule="auto"/>
              <w:ind w:left="17"/>
              <w:jc w:val="left"/>
              <w:rPr>
                <w:rFonts w:ascii="宋体" w:hAnsi="宋体"/>
                <w:color w:val="000000"/>
                <w:sz w:val="24"/>
                <w:szCs w:val="24"/>
              </w:rPr>
            </w:pPr>
            <w:r w:rsidRPr="005A16C7">
              <w:rPr>
                <w:rFonts w:ascii="宋体" w:hAnsi="宋体" w:hint="eastAsia"/>
                <w:color w:val="000000"/>
                <w:sz w:val="24"/>
                <w:szCs w:val="24"/>
              </w:rPr>
              <w:t>同业存单</w:t>
            </w:r>
          </w:p>
        </w:tc>
        <w:tc>
          <w:tcPr>
            <w:tcW w:w="2987" w:type="dxa"/>
            <w:vAlign w:val="center"/>
          </w:tcPr>
          <w:p w14:paraId="6B457561" w14:textId="77777777" w:rsidR="00F323FF" w:rsidRPr="005A16C7" w:rsidRDefault="00F323FF" w:rsidP="00C77D34">
            <w:pPr>
              <w:spacing w:before="29" w:line="288" w:lineRule="auto"/>
              <w:ind w:left="17"/>
              <w:jc w:val="right"/>
              <w:rPr>
                <w:rFonts w:ascii="宋体" w:hAnsi="宋体"/>
                <w:color w:val="000000"/>
                <w:sz w:val="24"/>
                <w:szCs w:val="24"/>
              </w:rPr>
            </w:pPr>
            <w:r w:rsidRPr="005A16C7">
              <w:rPr>
                <w:rFonts w:ascii="宋体" w:hAnsi="宋体" w:hint="eastAsia"/>
                <w:color w:val="000000"/>
                <w:sz w:val="24"/>
                <w:szCs w:val="24"/>
              </w:rPr>
              <w:t>-</w:t>
            </w:r>
          </w:p>
        </w:tc>
        <w:tc>
          <w:tcPr>
            <w:tcW w:w="1751" w:type="dxa"/>
            <w:vAlign w:val="center"/>
          </w:tcPr>
          <w:p w14:paraId="62B5086A" w14:textId="77777777" w:rsidR="00F323FF" w:rsidRPr="005A16C7" w:rsidRDefault="00F323FF" w:rsidP="00C77D34">
            <w:pPr>
              <w:spacing w:before="29" w:line="288" w:lineRule="auto"/>
              <w:ind w:left="17"/>
              <w:jc w:val="right"/>
              <w:rPr>
                <w:rFonts w:ascii="宋体" w:hAnsi="宋体"/>
                <w:color w:val="000000"/>
                <w:sz w:val="24"/>
                <w:szCs w:val="24"/>
              </w:rPr>
            </w:pPr>
            <w:r w:rsidRPr="005A16C7">
              <w:rPr>
                <w:rFonts w:ascii="宋体" w:hAnsi="宋体" w:hint="eastAsia"/>
                <w:color w:val="000000"/>
                <w:sz w:val="24"/>
                <w:szCs w:val="24"/>
              </w:rPr>
              <w:t>-</w:t>
            </w:r>
          </w:p>
        </w:tc>
      </w:tr>
      <w:tr w:rsidR="00AC592E" w:rsidRPr="005A16C7" w14:paraId="6581992F" w14:textId="77777777" w:rsidTr="00F323FF">
        <w:trPr>
          <w:jc w:val="center"/>
        </w:trPr>
        <w:tc>
          <w:tcPr>
            <w:tcW w:w="828" w:type="dxa"/>
            <w:vAlign w:val="center"/>
          </w:tcPr>
          <w:p w14:paraId="5C91018C" w14:textId="77777777" w:rsidR="00AC592E" w:rsidRPr="005A16C7" w:rsidRDefault="00AC592E" w:rsidP="00F323FF">
            <w:pPr>
              <w:spacing w:before="29" w:line="288" w:lineRule="auto"/>
              <w:ind w:left="17"/>
              <w:jc w:val="center"/>
              <w:rPr>
                <w:rFonts w:ascii="宋体" w:hAnsi="宋体"/>
                <w:color w:val="000000"/>
                <w:sz w:val="24"/>
                <w:szCs w:val="24"/>
              </w:rPr>
            </w:pPr>
            <w:r w:rsidRPr="005A16C7">
              <w:rPr>
                <w:rFonts w:ascii="宋体" w:hAnsi="宋体"/>
                <w:color w:val="000000"/>
                <w:sz w:val="24"/>
                <w:szCs w:val="24"/>
              </w:rPr>
              <w:t>9</w:t>
            </w:r>
          </w:p>
        </w:tc>
        <w:tc>
          <w:tcPr>
            <w:tcW w:w="3302" w:type="dxa"/>
            <w:vAlign w:val="center"/>
          </w:tcPr>
          <w:p w14:paraId="41F54255"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其他</w:t>
            </w:r>
          </w:p>
        </w:tc>
        <w:tc>
          <w:tcPr>
            <w:tcW w:w="2987" w:type="dxa"/>
            <w:vAlign w:val="center"/>
          </w:tcPr>
          <w:p w14:paraId="78FE94FC"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c>
          <w:tcPr>
            <w:tcW w:w="1751" w:type="dxa"/>
            <w:vAlign w:val="center"/>
          </w:tcPr>
          <w:p w14:paraId="59A68D25"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w:t>
            </w:r>
          </w:p>
        </w:tc>
      </w:tr>
      <w:tr w:rsidR="00AC592E" w:rsidRPr="005A16C7" w14:paraId="285E9806" w14:textId="77777777" w:rsidTr="00F323FF">
        <w:trPr>
          <w:jc w:val="center"/>
        </w:trPr>
        <w:tc>
          <w:tcPr>
            <w:tcW w:w="828" w:type="dxa"/>
            <w:vAlign w:val="center"/>
          </w:tcPr>
          <w:p w14:paraId="37DE8AA0" w14:textId="77777777" w:rsidR="00AC592E" w:rsidRPr="005A16C7" w:rsidRDefault="00AC592E" w:rsidP="00F323FF">
            <w:pPr>
              <w:spacing w:before="29" w:line="288" w:lineRule="auto"/>
              <w:ind w:left="17"/>
              <w:jc w:val="center"/>
              <w:rPr>
                <w:rFonts w:ascii="宋体" w:hAnsi="宋体"/>
                <w:color w:val="000000"/>
                <w:sz w:val="24"/>
                <w:szCs w:val="24"/>
              </w:rPr>
            </w:pPr>
            <w:r w:rsidRPr="005A16C7">
              <w:rPr>
                <w:rFonts w:ascii="宋体" w:hAnsi="宋体"/>
                <w:color w:val="000000"/>
                <w:sz w:val="24"/>
                <w:szCs w:val="24"/>
              </w:rPr>
              <w:t>10</w:t>
            </w:r>
          </w:p>
        </w:tc>
        <w:tc>
          <w:tcPr>
            <w:tcW w:w="3302" w:type="dxa"/>
            <w:vAlign w:val="center"/>
          </w:tcPr>
          <w:p w14:paraId="6F78DAD6" w14:textId="77777777" w:rsidR="00AC592E" w:rsidRPr="005A16C7" w:rsidRDefault="00AC592E" w:rsidP="00C15CAC">
            <w:pPr>
              <w:spacing w:before="29" w:line="288" w:lineRule="auto"/>
              <w:ind w:left="17"/>
              <w:jc w:val="left"/>
              <w:rPr>
                <w:rFonts w:ascii="宋体" w:hAnsi="宋体"/>
                <w:color w:val="000000"/>
                <w:sz w:val="24"/>
                <w:szCs w:val="24"/>
              </w:rPr>
            </w:pPr>
            <w:r w:rsidRPr="005A16C7">
              <w:rPr>
                <w:rFonts w:ascii="宋体" w:hAnsi="宋体"/>
                <w:color w:val="000000"/>
                <w:sz w:val="24"/>
                <w:szCs w:val="24"/>
              </w:rPr>
              <w:t>合计</w:t>
            </w:r>
          </w:p>
        </w:tc>
        <w:tc>
          <w:tcPr>
            <w:tcW w:w="2987" w:type="dxa"/>
            <w:vAlign w:val="center"/>
          </w:tcPr>
          <w:p w14:paraId="0A704539"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9,957,000.00</w:t>
            </w:r>
          </w:p>
        </w:tc>
        <w:tc>
          <w:tcPr>
            <w:tcW w:w="1751" w:type="dxa"/>
            <w:vAlign w:val="center"/>
          </w:tcPr>
          <w:p w14:paraId="101C4A64" w14:textId="77777777" w:rsidR="00AC592E" w:rsidRPr="005A16C7" w:rsidRDefault="00AC592E" w:rsidP="00C77D34">
            <w:pPr>
              <w:spacing w:before="29" w:line="288" w:lineRule="auto"/>
              <w:ind w:left="17"/>
              <w:jc w:val="right"/>
              <w:rPr>
                <w:rFonts w:ascii="宋体" w:hAnsi="宋体"/>
                <w:color w:val="000000"/>
                <w:sz w:val="24"/>
                <w:szCs w:val="24"/>
              </w:rPr>
            </w:pPr>
            <w:r w:rsidRPr="005A16C7">
              <w:rPr>
                <w:rFonts w:ascii="宋体" w:hAnsi="宋体"/>
                <w:color w:val="000000"/>
                <w:sz w:val="24"/>
                <w:szCs w:val="24"/>
              </w:rPr>
              <w:t>9.96</w:t>
            </w:r>
          </w:p>
        </w:tc>
      </w:tr>
    </w:tbl>
    <w:p w14:paraId="4FFAF2C6" w14:textId="77777777" w:rsidR="004061AC" w:rsidRPr="001D175D" w:rsidRDefault="004061AC" w:rsidP="00C15CAC">
      <w:pPr>
        <w:autoSpaceDE w:val="0"/>
        <w:autoSpaceDN w:val="0"/>
        <w:adjustRightInd w:val="0"/>
        <w:spacing w:before="29" w:line="288" w:lineRule="auto"/>
        <w:jc w:val="left"/>
        <w:rPr>
          <w:rFonts w:ascii="宋体" w:hAnsi="宋体"/>
          <w:color w:val="000000"/>
          <w:kern w:val="0"/>
          <w:sz w:val="24"/>
          <w:szCs w:val="24"/>
        </w:rPr>
      </w:pPr>
    </w:p>
    <w:p w14:paraId="6940728A" w14:textId="77777777" w:rsidR="004061AC" w:rsidRPr="001D175D" w:rsidRDefault="005A16C7" w:rsidP="00C15CAC">
      <w:pPr>
        <w:autoSpaceDE w:val="0"/>
        <w:autoSpaceDN w:val="0"/>
        <w:adjustRightInd w:val="0"/>
        <w:spacing w:before="29" w:line="288" w:lineRule="auto"/>
        <w:jc w:val="left"/>
        <w:rPr>
          <w:rFonts w:ascii="宋体" w:hAnsi="宋体"/>
          <w:b/>
          <w:bCs/>
          <w:color w:val="000000"/>
          <w:kern w:val="0"/>
          <w:sz w:val="24"/>
          <w:szCs w:val="24"/>
        </w:rPr>
      </w:pPr>
      <w:r w:rsidRPr="001D175D">
        <w:rPr>
          <w:rFonts w:ascii="宋体" w:hAnsi="宋体"/>
          <w:b/>
          <w:bCs/>
          <w:color w:val="000000"/>
          <w:kern w:val="0"/>
          <w:sz w:val="24"/>
          <w:szCs w:val="24"/>
        </w:rPr>
        <w:t>5</w:t>
      </w:r>
      <w:r w:rsidRPr="001D175D">
        <w:rPr>
          <w:rFonts w:ascii="宋体" w:hAnsi="宋体" w:hint="eastAsia"/>
          <w:b/>
          <w:bCs/>
          <w:color w:val="000000"/>
          <w:kern w:val="0"/>
          <w:sz w:val="24"/>
          <w:szCs w:val="24"/>
        </w:rPr>
        <w:t>.1</w:t>
      </w:r>
      <w:r w:rsidRPr="001D175D">
        <w:rPr>
          <w:rFonts w:ascii="宋体" w:hAnsi="宋体"/>
          <w:b/>
          <w:bCs/>
          <w:color w:val="000000"/>
          <w:kern w:val="0"/>
          <w:sz w:val="24"/>
          <w:szCs w:val="24"/>
        </w:rPr>
        <w:t>.</w:t>
      </w:r>
      <w:r w:rsidRPr="001D175D">
        <w:rPr>
          <w:rFonts w:ascii="宋体" w:hAnsi="宋体" w:hint="eastAsia"/>
          <w:b/>
          <w:bCs/>
          <w:color w:val="000000"/>
          <w:kern w:val="0"/>
          <w:sz w:val="24"/>
          <w:szCs w:val="24"/>
        </w:rPr>
        <w:t>5</w:t>
      </w:r>
      <w:r w:rsidR="004061AC" w:rsidRPr="001D175D">
        <w:rPr>
          <w:rFonts w:ascii="宋体" w:hAnsi="宋体"/>
          <w:b/>
          <w:bCs/>
          <w:color w:val="000000"/>
          <w:kern w:val="0"/>
          <w:sz w:val="24"/>
          <w:szCs w:val="24"/>
        </w:rPr>
        <w:t xml:space="preserve"> 报告期末按公允价值占基金资产净值比例大小排</w:t>
      </w:r>
      <w:r w:rsidR="00336EAF" w:rsidRPr="001D175D">
        <w:rPr>
          <w:rFonts w:ascii="宋体" w:hAnsi="宋体"/>
          <w:b/>
          <w:bCs/>
          <w:color w:val="000000"/>
          <w:kern w:val="0"/>
          <w:sz w:val="24"/>
          <w:szCs w:val="24"/>
        </w:rPr>
        <w:t>序</w:t>
      </w:r>
      <w:r w:rsidR="004061AC" w:rsidRPr="001D175D">
        <w:rPr>
          <w:rFonts w:ascii="宋体" w:hAnsi="宋体"/>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1D175D" w14:paraId="277B21B9" w14:textId="77777777" w:rsidTr="00A324F4">
        <w:trPr>
          <w:jc w:val="center"/>
        </w:trPr>
        <w:tc>
          <w:tcPr>
            <w:tcW w:w="817" w:type="dxa"/>
            <w:vAlign w:val="center"/>
          </w:tcPr>
          <w:p w14:paraId="68770573"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序号</w:t>
            </w:r>
          </w:p>
        </w:tc>
        <w:tc>
          <w:tcPr>
            <w:tcW w:w="1418" w:type="dxa"/>
            <w:vAlign w:val="center"/>
          </w:tcPr>
          <w:p w14:paraId="39190D81"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债券代码</w:t>
            </w:r>
          </w:p>
        </w:tc>
        <w:tc>
          <w:tcPr>
            <w:tcW w:w="1701" w:type="dxa"/>
            <w:vAlign w:val="center"/>
          </w:tcPr>
          <w:p w14:paraId="1127E9F4"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债券名称</w:t>
            </w:r>
          </w:p>
        </w:tc>
        <w:tc>
          <w:tcPr>
            <w:tcW w:w="1334" w:type="dxa"/>
            <w:vAlign w:val="center"/>
          </w:tcPr>
          <w:p w14:paraId="4346F22F"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数量</w:t>
            </w:r>
            <w:r w:rsidR="00D2061C" w:rsidRPr="001D175D">
              <w:rPr>
                <w:rFonts w:ascii="宋体" w:hAnsi="宋体"/>
                <w:color w:val="000000"/>
                <w:sz w:val="24"/>
              </w:rPr>
              <w:t>（张）</w:t>
            </w:r>
          </w:p>
        </w:tc>
        <w:tc>
          <w:tcPr>
            <w:tcW w:w="2068" w:type="dxa"/>
            <w:vAlign w:val="center"/>
          </w:tcPr>
          <w:p w14:paraId="13C5C5ED"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公允价值(元)</w:t>
            </w:r>
          </w:p>
        </w:tc>
        <w:tc>
          <w:tcPr>
            <w:tcW w:w="1190" w:type="dxa"/>
            <w:vAlign w:val="center"/>
          </w:tcPr>
          <w:p w14:paraId="2546C833" w14:textId="77777777" w:rsidR="003E62FB" w:rsidRPr="001D175D" w:rsidRDefault="003E62FB" w:rsidP="00C15CAC">
            <w:pPr>
              <w:spacing w:before="29" w:line="288" w:lineRule="auto"/>
              <w:ind w:left="17"/>
              <w:jc w:val="center"/>
              <w:rPr>
                <w:rFonts w:ascii="宋体" w:hAnsi="宋体"/>
                <w:color w:val="000000"/>
                <w:sz w:val="24"/>
                <w:szCs w:val="24"/>
              </w:rPr>
            </w:pPr>
            <w:r w:rsidRPr="001D175D">
              <w:rPr>
                <w:rFonts w:ascii="宋体" w:hAnsi="宋体"/>
                <w:color w:val="000000"/>
                <w:sz w:val="24"/>
                <w:szCs w:val="24"/>
              </w:rPr>
              <w:t>占基金资产净值比例</w:t>
            </w:r>
            <w:r w:rsidR="003B3494" w:rsidRPr="001D175D">
              <w:rPr>
                <w:rFonts w:ascii="宋体" w:hAnsi="宋体"/>
                <w:color w:val="000000"/>
                <w:sz w:val="24"/>
              </w:rPr>
              <w:t>（％）</w:t>
            </w:r>
          </w:p>
        </w:tc>
      </w:tr>
      <w:tr w:rsidR="001D3B02" w14:paraId="57BDFF1A" w14:textId="77777777">
        <w:trPr>
          <w:jc w:val="center"/>
        </w:trPr>
        <w:tc>
          <w:tcPr>
            <w:tcW w:w="850" w:type="dxa"/>
            <w:vAlign w:val="center"/>
          </w:tcPr>
          <w:p w14:paraId="39C97DD7" w14:textId="77777777" w:rsidR="001D3B02" w:rsidRDefault="00F1734D">
            <w:pPr>
              <w:jc w:val="center"/>
            </w:pPr>
            <w:r>
              <w:rPr>
                <w:rFonts w:ascii="宋体" w:hAnsi="宋体"/>
                <w:color w:val="000000"/>
                <w:sz w:val="24"/>
                <w:szCs w:val="24"/>
              </w:rPr>
              <w:t>1</w:t>
            </w:r>
          </w:p>
        </w:tc>
        <w:tc>
          <w:tcPr>
            <w:tcW w:w="1475" w:type="dxa"/>
            <w:vAlign w:val="center"/>
          </w:tcPr>
          <w:p w14:paraId="01ED6D76" w14:textId="77777777" w:rsidR="001D3B02" w:rsidRDefault="00F1734D">
            <w:pPr>
              <w:jc w:val="center"/>
            </w:pPr>
            <w:r>
              <w:rPr>
                <w:rFonts w:ascii="宋体" w:hAnsi="宋体"/>
                <w:color w:val="000000"/>
                <w:sz w:val="24"/>
                <w:szCs w:val="24"/>
              </w:rPr>
              <w:t>011698470</w:t>
            </w:r>
          </w:p>
        </w:tc>
        <w:tc>
          <w:tcPr>
            <w:tcW w:w="1769" w:type="dxa"/>
            <w:vAlign w:val="center"/>
          </w:tcPr>
          <w:p w14:paraId="0C8CFEDE" w14:textId="77777777" w:rsidR="001D3B02" w:rsidRDefault="00F1734D">
            <w:pPr>
              <w:jc w:val="center"/>
            </w:pPr>
            <w:r>
              <w:rPr>
                <w:rFonts w:ascii="宋体" w:hAnsi="宋体"/>
                <w:color w:val="000000"/>
                <w:sz w:val="24"/>
                <w:szCs w:val="24"/>
              </w:rPr>
              <w:t>16南航股SCP009</w:t>
            </w:r>
          </w:p>
        </w:tc>
        <w:tc>
          <w:tcPr>
            <w:tcW w:w="1387" w:type="dxa"/>
            <w:vAlign w:val="center"/>
          </w:tcPr>
          <w:p w14:paraId="181A4A91" w14:textId="77777777" w:rsidR="001D3B02" w:rsidRDefault="00F1734D">
            <w:pPr>
              <w:jc w:val="right"/>
            </w:pPr>
            <w:r>
              <w:rPr>
                <w:rFonts w:ascii="宋体" w:hAnsi="宋体"/>
                <w:color w:val="000000"/>
                <w:sz w:val="24"/>
                <w:szCs w:val="24"/>
              </w:rPr>
              <w:t>100,000</w:t>
            </w:r>
          </w:p>
        </w:tc>
        <w:tc>
          <w:tcPr>
            <w:tcW w:w="2150" w:type="dxa"/>
            <w:vAlign w:val="center"/>
          </w:tcPr>
          <w:p w14:paraId="43AB64D3" w14:textId="77777777" w:rsidR="001D3B02" w:rsidRDefault="00F1734D">
            <w:pPr>
              <w:jc w:val="right"/>
            </w:pPr>
            <w:r>
              <w:rPr>
                <w:rFonts w:ascii="宋体" w:hAnsi="宋体"/>
                <w:color w:val="000000"/>
                <w:sz w:val="24"/>
                <w:szCs w:val="24"/>
              </w:rPr>
              <w:t>9,957,000.00</w:t>
            </w:r>
          </w:p>
        </w:tc>
        <w:tc>
          <w:tcPr>
            <w:tcW w:w="1237" w:type="dxa"/>
            <w:vAlign w:val="center"/>
          </w:tcPr>
          <w:p w14:paraId="2147BA2C" w14:textId="77777777" w:rsidR="001D3B02" w:rsidRDefault="00F1734D">
            <w:pPr>
              <w:jc w:val="right"/>
            </w:pPr>
            <w:r>
              <w:rPr>
                <w:rFonts w:ascii="宋体" w:hAnsi="宋体"/>
                <w:color w:val="000000"/>
                <w:sz w:val="24"/>
                <w:szCs w:val="24"/>
              </w:rPr>
              <w:t>9.96</w:t>
            </w:r>
          </w:p>
        </w:tc>
      </w:tr>
    </w:tbl>
    <w:p w14:paraId="2EF06F7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58F1456E" w14:textId="77777777" w:rsidR="004061AC" w:rsidRPr="001D175D" w:rsidRDefault="004061AC" w:rsidP="00C15CAC">
      <w:pPr>
        <w:autoSpaceDE w:val="0"/>
        <w:autoSpaceDN w:val="0"/>
        <w:adjustRightInd w:val="0"/>
        <w:spacing w:before="29" w:line="288" w:lineRule="auto"/>
        <w:jc w:val="left"/>
        <w:rPr>
          <w:rFonts w:ascii="宋体" w:hAnsi="宋体"/>
          <w:b/>
          <w:bCs/>
          <w:color w:val="000000"/>
          <w:kern w:val="0"/>
          <w:sz w:val="24"/>
          <w:szCs w:val="24"/>
        </w:rPr>
      </w:pPr>
      <w:r w:rsidRPr="001D175D">
        <w:rPr>
          <w:rFonts w:ascii="宋体" w:hAnsi="宋体"/>
          <w:b/>
          <w:bCs/>
          <w:color w:val="000000"/>
          <w:kern w:val="0"/>
          <w:sz w:val="24"/>
          <w:szCs w:val="24"/>
        </w:rPr>
        <w:t>5</w:t>
      </w:r>
      <w:r w:rsidR="001D175D" w:rsidRPr="001D175D">
        <w:rPr>
          <w:rFonts w:ascii="宋体" w:hAnsi="宋体" w:hint="eastAsia"/>
          <w:b/>
          <w:bCs/>
          <w:color w:val="000000"/>
          <w:kern w:val="0"/>
          <w:sz w:val="24"/>
          <w:szCs w:val="24"/>
        </w:rPr>
        <w:t>.1</w:t>
      </w:r>
      <w:r w:rsidRPr="001D175D">
        <w:rPr>
          <w:rFonts w:ascii="宋体" w:hAnsi="宋体"/>
          <w:b/>
          <w:bCs/>
          <w:color w:val="000000"/>
          <w:kern w:val="0"/>
          <w:sz w:val="24"/>
          <w:szCs w:val="24"/>
        </w:rPr>
        <w:t xml:space="preserve">.6 </w:t>
      </w:r>
      <w:r w:rsidR="00470334">
        <w:rPr>
          <w:rFonts w:ascii="宋体" w:hAnsi="宋体" w:hint="eastAsia"/>
          <w:b/>
          <w:bCs/>
          <w:color w:val="000000"/>
          <w:kern w:val="0"/>
          <w:sz w:val="24"/>
          <w:szCs w:val="24"/>
        </w:rPr>
        <w:t xml:space="preserve"> </w:t>
      </w:r>
      <w:r w:rsidRPr="001D175D">
        <w:rPr>
          <w:rFonts w:ascii="宋体" w:hAnsi="宋体"/>
          <w:b/>
          <w:bCs/>
          <w:color w:val="000000"/>
          <w:kern w:val="0"/>
          <w:sz w:val="24"/>
          <w:szCs w:val="24"/>
        </w:rPr>
        <w:t>报告期末按公允价值占基金资产净值比例大小排</w:t>
      </w:r>
      <w:r w:rsidR="00336EAF" w:rsidRPr="001D175D">
        <w:rPr>
          <w:rFonts w:ascii="宋体" w:hAnsi="宋体"/>
          <w:b/>
          <w:bCs/>
          <w:color w:val="000000"/>
          <w:kern w:val="0"/>
          <w:sz w:val="24"/>
          <w:szCs w:val="24"/>
        </w:rPr>
        <w:t>序</w:t>
      </w:r>
      <w:r w:rsidRPr="001D175D">
        <w:rPr>
          <w:rFonts w:ascii="宋体" w:hAnsi="宋体"/>
          <w:b/>
          <w:bCs/>
          <w:color w:val="000000"/>
          <w:kern w:val="0"/>
          <w:sz w:val="24"/>
          <w:szCs w:val="24"/>
        </w:rPr>
        <w:t>的前十名资产支持证券投资明细</w:t>
      </w:r>
    </w:p>
    <w:p w14:paraId="3B0169F3" w14:textId="77777777" w:rsidR="004061AC" w:rsidRPr="001D175D" w:rsidRDefault="004061AC" w:rsidP="00C15CAC">
      <w:pPr>
        <w:autoSpaceDE w:val="0"/>
        <w:autoSpaceDN w:val="0"/>
        <w:adjustRightInd w:val="0"/>
        <w:spacing w:before="29" w:line="288" w:lineRule="auto"/>
        <w:jc w:val="left"/>
        <w:rPr>
          <w:rFonts w:ascii="宋体" w:hAnsi="宋体"/>
          <w:color w:val="000000"/>
          <w:sz w:val="24"/>
          <w:szCs w:val="24"/>
        </w:rPr>
      </w:pPr>
      <w:r w:rsidRPr="001D175D">
        <w:rPr>
          <w:rFonts w:ascii="宋体" w:hAnsi="宋体"/>
          <w:color w:val="000000"/>
          <w:sz w:val="24"/>
          <w:szCs w:val="24"/>
        </w:rPr>
        <w:t>本基金本报告期末未持有资产支持证券。</w:t>
      </w:r>
    </w:p>
    <w:p w14:paraId="404A52B7" w14:textId="77777777" w:rsidR="00A54C7D" w:rsidRDefault="00A54C7D" w:rsidP="00C15CAC">
      <w:pPr>
        <w:autoSpaceDE w:val="0"/>
        <w:autoSpaceDN w:val="0"/>
        <w:adjustRightInd w:val="0"/>
        <w:spacing w:before="29" w:line="288" w:lineRule="auto"/>
        <w:jc w:val="left"/>
        <w:rPr>
          <w:color w:val="000000"/>
          <w:sz w:val="24"/>
          <w:szCs w:val="24"/>
        </w:rPr>
      </w:pPr>
    </w:p>
    <w:p w14:paraId="7CE4247D" w14:textId="070D15BF" w:rsidR="007405B9" w:rsidRPr="00414345" w:rsidRDefault="007405B9" w:rsidP="007405B9">
      <w:pPr>
        <w:autoSpaceDE w:val="0"/>
        <w:autoSpaceDN w:val="0"/>
        <w:adjustRightInd w:val="0"/>
        <w:spacing w:before="29" w:line="288" w:lineRule="auto"/>
        <w:jc w:val="left"/>
        <w:rPr>
          <w:color w:val="000000"/>
          <w:kern w:val="0"/>
          <w:sz w:val="24"/>
          <w:szCs w:val="24"/>
        </w:rPr>
      </w:pPr>
      <w:r w:rsidRPr="00F370C2">
        <w:rPr>
          <w:rFonts w:ascii="宋体" w:hAnsi="宋体"/>
          <w:b/>
          <w:color w:val="000000"/>
          <w:kern w:val="0"/>
          <w:sz w:val="24"/>
        </w:rPr>
        <w:t>5.</w:t>
      </w:r>
      <w:r>
        <w:rPr>
          <w:rFonts w:ascii="宋体" w:hAnsi="宋体" w:hint="eastAsia"/>
          <w:b/>
          <w:color w:val="000000"/>
          <w:kern w:val="0"/>
          <w:sz w:val="24"/>
        </w:rPr>
        <w:t>1.7</w:t>
      </w:r>
      <w:r>
        <w:rPr>
          <w:rFonts w:ascii="宋体" w:hAnsi="宋体"/>
          <w:b/>
          <w:color w:val="000000"/>
          <w:kern w:val="0"/>
          <w:sz w:val="24"/>
        </w:rPr>
        <w:t xml:space="preserve">  </w:t>
      </w:r>
      <w:r w:rsidRPr="00414345">
        <w:rPr>
          <w:rFonts w:hAnsi="宋体"/>
          <w:b/>
          <w:bCs/>
          <w:color w:val="000000"/>
          <w:kern w:val="0"/>
          <w:sz w:val="24"/>
          <w:szCs w:val="24"/>
        </w:rPr>
        <w:t>报告期末按公允价值占基金资产净值比例大小排序的前五名贵金属投资明细</w:t>
      </w:r>
    </w:p>
    <w:p w14:paraId="5758DC6D" w14:textId="77777777" w:rsidR="007405B9" w:rsidRDefault="007405B9" w:rsidP="007405B9">
      <w:pPr>
        <w:autoSpaceDE w:val="0"/>
        <w:autoSpaceDN w:val="0"/>
        <w:adjustRightInd w:val="0"/>
        <w:spacing w:before="29" w:line="288" w:lineRule="auto"/>
        <w:jc w:val="left"/>
        <w:rPr>
          <w:rFonts w:ascii="宋体" w:hAnsi="宋体"/>
          <w:b/>
          <w:bCs/>
          <w:color w:val="000000"/>
          <w:kern w:val="0"/>
          <w:sz w:val="24"/>
          <w:szCs w:val="24"/>
        </w:rPr>
      </w:pPr>
      <w:r w:rsidRPr="00414345">
        <w:rPr>
          <w:sz w:val="24"/>
          <w:szCs w:val="24"/>
        </w:rPr>
        <w:t>本基金本报告期末未持有贵金属</w:t>
      </w:r>
      <w:r>
        <w:rPr>
          <w:rFonts w:ascii="宋体" w:hAnsi="宋体" w:hint="eastAsia"/>
          <w:b/>
          <w:bCs/>
          <w:color w:val="000000"/>
          <w:kern w:val="0"/>
          <w:sz w:val="24"/>
          <w:szCs w:val="24"/>
        </w:rPr>
        <w:t>。</w:t>
      </w:r>
    </w:p>
    <w:p w14:paraId="36232235" w14:textId="77777777" w:rsidR="007405B9" w:rsidRPr="007405B9" w:rsidRDefault="007405B9" w:rsidP="00C15CAC">
      <w:pPr>
        <w:autoSpaceDE w:val="0"/>
        <w:autoSpaceDN w:val="0"/>
        <w:adjustRightInd w:val="0"/>
        <w:spacing w:before="29" w:line="288" w:lineRule="auto"/>
        <w:jc w:val="left"/>
        <w:rPr>
          <w:color w:val="000000"/>
          <w:sz w:val="24"/>
          <w:szCs w:val="24"/>
        </w:rPr>
      </w:pPr>
    </w:p>
    <w:p w14:paraId="7E53FC3C" w14:textId="77777777" w:rsidR="004061AC" w:rsidRPr="00414345" w:rsidRDefault="000A6812" w:rsidP="00C15CAC">
      <w:pPr>
        <w:autoSpaceDE w:val="0"/>
        <w:autoSpaceDN w:val="0"/>
        <w:adjustRightInd w:val="0"/>
        <w:spacing w:before="29" w:line="288" w:lineRule="auto"/>
        <w:jc w:val="left"/>
        <w:rPr>
          <w:b/>
          <w:bCs/>
          <w:color w:val="000000"/>
          <w:kern w:val="0"/>
          <w:sz w:val="24"/>
          <w:szCs w:val="24"/>
        </w:rPr>
      </w:pPr>
      <w:r w:rsidRPr="000A6812">
        <w:rPr>
          <w:rFonts w:ascii="宋体" w:hAnsi="宋体"/>
          <w:b/>
          <w:bCs/>
          <w:color w:val="000000"/>
          <w:kern w:val="0"/>
          <w:sz w:val="24"/>
          <w:szCs w:val="24"/>
        </w:rPr>
        <w:t>5</w:t>
      </w:r>
      <w:r w:rsidRPr="000A6812">
        <w:rPr>
          <w:rFonts w:ascii="宋体" w:hAnsi="宋体" w:hint="eastAsia"/>
          <w:b/>
          <w:bCs/>
          <w:color w:val="000000"/>
          <w:kern w:val="0"/>
          <w:sz w:val="24"/>
          <w:szCs w:val="24"/>
        </w:rPr>
        <w:t>.1</w:t>
      </w:r>
      <w:r w:rsidRPr="000A6812">
        <w:rPr>
          <w:rFonts w:ascii="宋体" w:hAnsi="宋体"/>
          <w:b/>
          <w:bCs/>
          <w:color w:val="000000"/>
          <w:kern w:val="0"/>
          <w:sz w:val="24"/>
          <w:szCs w:val="24"/>
        </w:rPr>
        <w:t>.</w:t>
      </w:r>
      <w:r>
        <w:rPr>
          <w:rFonts w:ascii="宋体" w:hAnsi="宋体" w:hint="eastAsia"/>
          <w:b/>
          <w:bCs/>
          <w:color w:val="000000"/>
          <w:kern w:val="0"/>
          <w:sz w:val="24"/>
          <w:szCs w:val="24"/>
        </w:rPr>
        <w:t xml:space="preserve">8 </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77008E1E" w14:textId="77777777" w:rsidR="004061AC" w:rsidRPr="00414345" w:rsidRDefault="004061AC" w:rsidP="00C15CAC">
      <w:pPr>
        <w:autoSpaceDE w:val="0"/>
        <w:autoSpaceDN w:val="0"/>
        <w:adjustRightInd w:val="0"/>
        <w:spacing w:before="29" w:line="288" w:lineRule="auto"/>
        <w:jc w:val="left"/>
        <w:rPr>
          <w:color w:val="000000"/>
          <w:sz w:val="24"/>
          <w:szCs w:val="24"/>
        </w:rPr>
      </w:pPr>
      <w:r w:rsidRPr="007B1AA7">
        <w:rPr>
          <w:rFonts w:ascii="宋体" w:hAnsi="宋体"/>
          <w:color w:val="000000"/>
          <w:sz w:val="24"/>
          <w:szCs w:val="24"/>
        </w:rPr>
        <w:t>本基金本报告期末未持有权证。</w:t>
      </w:r>
    </w:p>
    <w:p w14:paraId="6B590CB5"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24966AD" w14:textId="77777777" w:rsidR="00275745" w:rsidRPr="00F7710F" w:rsidRDefault="007B1AA7" w:rsidP="00C15CAC">
      <w:pPr>
        <w:autoSpaceDE w:val="0"/>
        <w:autoSpaceDN w:val="0"/>
        <w:adjustRightInd w:val="0"/>
        <w:spacing w:before="29" w:line="288" w:lineRule="auto"/>
        <w:jc w:val="left"/>
        <w:rPr>
          <w:rFonts w:ascii="宋体" w:hAnsi="宋体"/>
          <w:b/>
          <w:bCs/>
          <w:color w:val="000000"/>
          <w:kern w:val="0"/>
          <w:sz w:val="24"/>
          <w:szCs w:val="24"/>
        </w:rPr>
      </w:pPr>
      <w:r w:rsidRPr="00F7710F">
        <w:rPr>
          <w:rFonts w:ascii="宋体" w:hAnsi="宋体" w:cs="Arial" w:hint="eastAsia"/>
          <w:b/>
          <w:color w:val="000000"/>
          <w:kern w:val="0"/>
          <w:sz w:val="24"/>
          <w:szCs w:val="24"/>
        </w:rPr>
        <w:t xml:space="preserve">5.1.9 </w:t>
      </w:r>
      <w:r w:rsidR="00275745" w:rsidRPr="00F7710F">
        <w:rPr>
          <w:rFonts w:ascii="宋体" w:hAnsi="宋体"/>
          <w:b/>
          <w:bCs/>
          <w:color w:val="000000"/>
          <w:kern w:val="0"/>
          <w:sz w:val="24"/>
          <w:szCs w:val="24"/>
        </w:rPr>
        <w:t>报告期末本基金投资的股指期货交易情况说明</w:t>
      </w:r>
    </w:p>
    <w:p w14:paraId="64F4DC7A" w14:textId="77777777" w:rsidR="00275745" w:rsidRPr="00F7710F" w:rsidRDefault="00AA3A38" w:rsidP="00C15CAC">
      <w:pPr>
        <w:autoSpaceDE w:val="0"/>
        <w:autoSpaceDN w:val="0"/>
        <w:adjustRightInd w:val="0"/>
        <w:spacing w:before="29" w:line="288" w:lineRule="auto"/>
        <w:jc w:val="left"/>
        <w:rPr>
          <w:rFonts w:ascii="宋体" w:hAnsi="宋体"/>
          <w:color w:val="000000"/>
          <w:sz w:val="24"/>
          <w:szCs w:val="24"/>
        </w:rPr>
      </w:pPr>
      <w:r w:rsidRPr="00F7710F">
        <w:rPr>
          <w:rFonts w:ascii="宋体" w:hAnsi="宋体"/>
          <w:color w:val="000000"/>
          <w:sz w:val="24"/>
          <w:szCs w:val="24"/>
        </w:rPr>
        <w:t>本基金本报告期末未持有股指期货。</w:t>
      </w:r>
    </w:p>
    <w:p w14:paraId="20BB2829" w14:textId="77777777" w:rsidR="00AA3A38" w:rsidRPr="00414345" w:rsidRDefault="00AA3A38" w:rsidP="00C15CAC">
      <w:pPr>
        <w:adjustRightInd w:val="0"/>
        <w:snapToGrid w:val="0"/>
        <w:spacing w:before="29" w:line="288" w:lineRule="auto"/>
        <w:rPr>
          <w:sz w:val="24"/>
          <w:szCs w:val="24"/>
        </w:rPr>
      </w:pPr>
    </w:p>
    <w:p w14:paraId="47007FB1" w14:textId="77777777" w:rsidR="00A669FC" w:rsidRPr="00A670C7" w:rsidRDefault="00B243C3" w:rsidP="00C15CAC">
      <w:pPr>
        <w:autoSpaceDE w:val="0"/>
        <w:autoSpaceDN w:val="0"/>
        <w:adjustRightInd w:val="0"/>
        <w:spacing w:before="29" w:line="288" w:lineRule="auto"/>
        <w:jc w:val="left"/>
        <w:rPr>
          <w:rFonts w:ascii="宋体" w:hAnsi="宋体"/>
          <w:b/>
          <w:bCs/>
          <w:color w:val="000000"/>
          <w:kern w:val="0"/>
          <w:sz w:val="24"/>
          <w:szCs w:val="24"/>
        </w:rPr>
      </w:pPr>
      <w:r w:rsidRPr="00A670C7">
        <w:rPr>
          <w:rFonts w:ascii="宋体" w:hAnsi="宋体" w:cs="Arial" w:hint="eastAsia"/>
          <w:b/>
          <w:color w:val="000000"/>
          <w:kern w:val="0"/>
          <w:sz w:val="24"/>
          <w:szCs w:val="24"/>
        </w:rPr>
        <w:t>5.1.10</w:t>
      </w:r>
      <w:r w:rsidR="0004308C" w:rsidRPr="00A670C7">
        <w:rPr>
          <w:rFonts w:ascii="宋体" w:hAnsi="宋体"/>
          <w:b/>
          <w:bCs/>
          <w:color w:val="000000"/>
          <w:kern w:val="0"/>
          <w:sz w:val="24"/>
          <w:szCs w:val="24"/>
        </w:rPr>
        <w:t xml:space="preserve"> </w:t>
      </w:r>
      <w:r w:rsidR="00312A9F" w:rsidRPr="00A670C7">
        <w:rPr>
          <w:rFonts w:ascii="宋体" w:hAnsi="宋体"/>
          <w:b/>
          <w:bCs/>
          <w:color w:val="000000"/>
          <w:kern w:val="0"/>
          <w:sz w:val="24"/>
          <w:szCs w:val="24"/>
        </w:rPr>
        <w:t>报告期末本基金投资的国债期货交易情况说明</w:t>
      </w:r>
    </w:p>
    <w:p w14:paraId="792F781F" w14:textId="77777777" w:rsidR="00312A9F" w:rsidRPr="002C1955" w:rsidRDefault="00312A9F" w:rsidP="00C15CAC">
      <w:pPr>
        <w:autoSpaceDE w:val="0"/>
        <w:autoSpaceDN w:val="0"/>
        <w:adjustRightInd w:val="0"/>
        <w:spacing w:before="29" w:line="288" w:lineRule="auto"/>
        <w:jc w:val="left"/>
        <w:rPr>
          <w:rFonts w:ascii="宋体" w:hAnsi="宋体"/>
          <w:color w:val="000000"/>
          <w:sz w:val="24"/>
          <w:szCs w:val="24"/>
        </w:rPr>
      </w:pPr>
      <w:r w:rsidRPr="002C1955">
        <w:rPr>
          <w:rFonts w:ascii="宋体" w:hAnsi="宋体"/>
          <w:color w:val="000000"/>
          <w:sz w:val="24"/>
          <w:szCs w:val="24"/>
        </w:rPr>
        <w:t>本基金本报告期末未持有国债期货。</w:t>
      </w:r>
    </w:p>
    <w:p w14:paraId="2D2040C3"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49614A49" w14:textId="77777777" w:rsidR="004061AC" w:rsidRPr="0020214F" w:rsidRDefault="00340F1D" w:rsidP="00C15CAC">
      <w:pPr>
        <w:autoSpaceDE w:val="0"/>
        <w:autoSpaceDN w:val="0"/>
        <w:adjustRightInd w:val="0"/>
        <w:spacing w:before="29" w:line="288" w:lineRule="auto"/>
        <w:jc w:val="left"/>
        <w:rPr>
          <w:rFonts w:ascii="宋体" w:hAnsi="宋体"/>
          <w:b/>
          <w:bCs/>
          <w:color w:val="000000"/>
          <w:kern w:val="0"/>
          <w:sz w:val="24"/>
          <w:szCs w:val="24"/>
        </w:rPr>
      </w:pPr>
      <w:r w:rsidRPr="0020214F">
        <w:rPr>
          <w:rFonts w:ascii="宋体" w:hAnsi="宋体" w:cs="Arial" w:hint="eastAsia"/>
          <w:b/>
          <w:color w:val="000000"/>
          <w:kern w:val="0"/>
          <w:sz w:val="24"/>
          <w:szCs w:val="24"/>
        </w:rPr>
        <w:t>5.1.11</w:t>
      </w:r>
      <w:r w:rsidR="0004308C" w:rsidRPr="0020214F">
        <w:rPr>
          <w:rFonts w:ascii="宋体" w:hAnsi="宋体"/>
          <w:b/>
          <w:bCs/>
          <w:color w:val="000000"/>
          <w:kern w:val="0"/>
          <w:sz w:val="24"/>
          <w:szCs w:val="24"/>
        </w:rPr>
        <w:t xml:space="preserve"> </w:t>
      </w:r>
      <w:r w:rsidR="004061AC" w:rsidRPr="0020214F">
        <w:rPr>
          <w:rFonts w:ascii="宋体" w:hAnsi="宋体"/>
          <w:b/>
          <w:bCs/>
          <w:color w:val="000000"/>
          <w:kern w:val="0"/>
          <w:sz w:val="24"/>
          <w:szCs w:val="24"/>
        </w:rPr>
        <w:t>投资组合报告附注</w:t>
      </w:r>
    </w:p>
    <w:p w14:paraId="346BBD5E" w14:textId="77777777" w:rsidR="00BE5388" w:rsidRPr="0020214F" w:rsidRDefault="00E478B4" w:rsidP="00E40D31">
      <w:pPr>
        <w:autoSpaceDE w:val="0"/>
        <w:autoSpaceDN w:val="0"/>
        <w:adjustRightInd w:val="0"/>
        <w:spacing w:before="29" w:line="288" w:lineRule="auto"/>
        <w:jc w:val="left"/>
        <w:rPr>
          <w:rFonts w:ascii="宋体" w:hAnsi="宋体"/>
          <w:bCs/>
          <w:color w:val="000000"/>
          <w:kern w:val="0"/>
          <w:sz w:val="24"/>
          <w:szCs w:val="24"/>
        </w:rPr>
      </w:pPr>
      <w:r w:rsidRPr="0020214F">
        <w:rPr>
          <w:rFonts w:ascii="宋体" w:hAnsi="宋体" w:cs="宋体" w:hint="eastAsia"/>
          <w:bCs/>
          <w:color w:val="000000"/>
          <w:sz w:val="24"/>
          <w:szCs w:val="24"/>
        </w:rPr>
        <w:t>5.1.11.1</w:t>
      </w:r>
      <w:r w:rsidR="00BE5388" w:rsidRPr="0020214F">
        <w:rPr>
          <w:rFonts w:ascii="宋体" w:hAnsi="宋体"/>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44C99BD" w14:textId="77777777" w:rsidR="00BE5388" w:rsidRPr="0020214F" w:rsidRDefault="00A57D3E" w:rsidP="00E40D31">
      <w:pPr>
        <w:autoSpaceDE w:val="0"/>
        <w:autoSpaceDN w:val="0"/>
        <w:adjustRightInd w:val="0"/>
        <w:spacing w:before="29" w:line="288" w:lineRule="auto"/>
        <w:jc w:val="left"/>
        <w:rPr>
          <w:rFonts w:ascii="宋体" w:hAnsi="宋体"/>
          <w:bCs/>
          <w:color w:val="000000"/>
          <w:kern w:val="0"/>
          <w:sz w:val="24"/>
          <w:szCs w:val="24"/>
        </w:rPr>
      </w:pPr>
      <w:r w:rsidRPr="0020214F">
        <w:rPr>
          <w:rFonts w:ascii="宋体" w:hAnsi="宋体" w:cs="宋体" w:hint="eastAsia"/>
          <w:bCs/>
          <w:color w:val="000000"/>
          <w:sz w:val="24"/>
          <w:szCs w:val="24"/>
        </w:rPr>
        <w:t>5.1.11.2</w:t>
      </w:r>
      <w:r w:rsidR="00BE5388" w:rsidRPr="0020214F">
        <w:rPr>
          <w:rFonts w:ascii="宋体" w:hAnsi="宋体"/>
          <w:bCs/>
          <w:color w:val="000000"/>
          <w:kern w:val="0"/>
          <w:sz w:val="24"/>
          <w:szCs w:val="24"/>
        </w:rPr>
        <w:t>本基金投资的前十名股票中，没有超出基金合同规定的备选股票库之外的股票。</w:t>
      </w:r>
    </w:p>
    <w:p w14:paraId="29B2B24A" w14:textId="77777777" w:rsidR="004061AC" w:rsidRPr="0020214F" w:rsidRDefault="0028121F" w:rsidP="00C15CAC">
      <w:pPr>
        <w:autoSpaceDE w:val="0"/>
        <w:autoSpaceDN w:val="0"/>
        <w:adjustRightInd w:val="0"/>
        <w:spacing w:before="29" w:line="288" w:lineRule="auto"/>
        <w:jc w:val="left"/>
        <w:rPr>
          <w:rFonts w:ascii="宋体" w:hAnsi="宋体"/>
          <w:b/>
          <w:bCs/>
          <w:color w:val="000000"/>
          <w:kern w:val="0"/>
          <w:sz w:val="24"/>
          <w:szCs w:val="24"/>
        </w:rPr>
      </w:pPr>
      <w:r w:rsidRPr="0020214F">
        <w:rPr>
          <w:rFonts w:ascii="宋体" w:hAnsi="宋体" w:cs="Arial" w:hint="eastAsia"/>
          <w:b/>
          <w:color w:val="000000"/>
          <w:kern w:val="0"/>
          <w:sz w:val="24"/>
          <w:szCs w:val="24"/>
        </w:rPr>
        <w:t>5.1.11.3</w:t>
      </w:r>
      <w:r w:rsidR="0004308C" w:rsidRPr="0020214F">
        <w:rPr>
          <w:rFonts w:ascii="宋体" w:hAnsi="宋体"/>
          <w:b/>
          <w:bCs/>
          <w:color w:val="000000"/>
          <w:kern w:val="0"/>
          <w:sz w:val="24"/>
          <w:szCs w:val="24"/>
        </w:rPr>
        <w:t xml:space="preserve"> </w:t>
      </w:r>
      <w:r w:rsidR="0035383E" w:rsidRPr="0020214F">
        <w:rPr>
          <w:rFonts w:ascii="宋体" w:hAnsi="宋体"/>
          <w:b/>
          <w:bCs/>
          <w:color w:val="000000"/>
          <w:kern w:val="0"/>
          <w:sz w:val="24"/>
          <w:szCs w:val="24"/>
        </w:rPr>
        <w:t>其他</w:t>
      </w:r>
      <w:r w:rsidR="004061AC" w:rsidRPr="0020214F">
        <w:rPr>
          <w:rFonts w:ascii="宋体" w:hAnsi="宋体"/>
          <w:b/>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892E1B" w14:paraId="4594005E" w14:textId="77777777" w:rsidTr="000243BD">
        <w:trPr>
          <w:jc w:val="center"/>
        </w:trPr>
        <w:tc>
          <w:tcPr>
            <w:tcW w:w="1235" w:type="dxa"/>
            <w:vAlign w:val="center"/>
          </w:tcPr>
          <w:p w14:paraId="476E976D" w14:textId="77777777" w:rsidR="004C0914" w:rsidRPr="00892E1B" w:rsidRDefault="004C0914" w:rsidP="00C15CAC">
            <w:pPr>
              <w:autoSpaceDE w:val="0"/>
              <w:autoSpaceDN w:val="0"/>
              <w:adjustRightInd w:val="0"/>
              <w:spacing w:before="29" w:line="288" w:lineRule="auto"/>
              <w:ind w:left="17"/>
              <w:jc w:val="center"/>
              <w:rPr>
                <w:rFonts w:ascii="宋体" w:hAnsi="宋体"/>
                <w:color w:val="000000"/>
                <w:sz w:val="24"/>
                <w:szCs w:val="24"/>
              </w:rPr>
            </w:pPr>
            <w:r w:rsidRPr="00892E1B">
              <w:rPr>
                <w:rFonts w:ascii="宋体" w:hAnsi="宋体"/>
                <w:color w:val="000000"/>
                <w:sz w:val="24"/>
                <w:szCs w:val="24"/>
              </w:rPr>
              <w:t>序号</w:t>
            </w:r>
          </w:p>
        </w:tc>
        <w:tc>
          <w:tcPr>
            <w:tcW w:w="2470" w:type="dxa"/>
            <w:vAlign w:val="center"/>
          </w:tcPr>
          <w:p w14:paraId="78B40291" w14:textId="77777777" w:rsidR="004C0914" w:rsidRPr="00892E1B" w:rsidRDefault="004C0914" w:rsidP="00C15CAC">
            <w:pPr>
              <w:autoSpaceDE w:val="0"/>
              <w:autoSpaceDN w:val="0"/>
              <w:adjustRightInd w:val="0"/>
              <w:spacing w:before="29" w:line="288" w:lineRule="auto"/>
              <w:ind w:left="17"/>
              <w:jc w:val="center"/>
              <w:rPr>
                <w:rFonts w:ascii="宋体" w:hAnsi="宋体"/>
                <w:color w:val="000000"/>
                <w:sz w:val="24"/>
                <w:szCs w:val="24"/>
              </w:rPr>
            </w:pPr>
            <w:r w:rsidRPr="00892E1B">
              <w:rPr>
                <w:rFonts w:ascii="宋体" w:hAnsi="宋体"/>
                <w:color w:val="000000"/>
                <w:sz w:val="24"/>
                <w:szCs w:val="24"/>
              </w:rPr>
              <w:t>名称</w:t>
            </w:r>
          </w:p>
        </w:tc>
        <w:tc>
          <w:tcPr>
            <w:tcW w:w="4808" w:type="dxa"/>
            <w:vAlign w:val="center"/>
          </w:tcPr>
          <w:p w14:paraId="2CD369F1" w14:textId="77777777" w:rsidR="004C0914" w:rsidRPr="00892E1B" w:rsidRDefault="004C0914" w:rsidP="00C15CAC">
            <w:pPr>
              <w:autoSpaceDE w:val="0"/>
              <w:autoSpaceDN w:val="0"/>
              <w:adjustRightInd w:val="0"/>
              <w:spacing w:before="29" w:line="288" w:lineRule="auto"/>
              <w:ind w:left="17"/>
              <w:jc w:val="center"/>
              <w:rPr>
                <w:rFonts w:ascii="宋体" w:hAnsi="宋体"/>
                <w:color w:val="000000"/>
                <w:sz w:val="24"/>
                <w:szCs w:val="24"/>
              </w:rPr>
            </w:pPr>
            <w:r w:rsidRPr="00892E1B">
              <w:rPr>
                <w:rFonts w:ascii="宋体" w:hAnsi="宋体"/>
                <w:color w:val="000000"/>
                <w:sz w:val="24"/>
                <w:szCs w:val="24"/>
              </w:rPr>
              <w:t>金额</w:t>
            </w:r>
            <w:r w:rsidRPr="00892E1B">
              <w:rPr>
                <w:rFonts w:ascii="宋体" w:hAnsi="宋体"/>
                <w:color w:val="000000"/>
                <w:sz w:val="24"/>
              </w:rPr>
              <w:t>（元）</w:t>
            </w:r>
          </w:p>
        </w:tc>
      </w:tr>
      <w:tr w:rsidR="004C0914" w:rsidRPr="00892E1B" w14:paraId="75311455" w14:textId="77777777" w:rsidTr="000243BD">
        <w:trPr>
          <w:jc w:val="center"/>
        </w:trPr>
        <w:tc>
          <w:tcPr>
            <w:tcW w:w="1235" w:type="dxa"/>
            <w:vAlign w:val="center"/>
          </w:tcPr>
          <w:p w14:paraId="59DEEA5E"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1</w:t>
            </w:r>
          </w:p>
        </w:tc>
        <w:tc>
          <w:tcPr>
            <w:tcW w:w="2470" w:type="dxa"/>
            <w:vAlign w:val="center"/>
          </w:tcPr>
          <w:p w14:paraId="57D1F848"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存出保证金</w:t>
            </w:r>
          </w:p>
        </w:tc>
        <w:tc>
          <w:tcPr>
            <w:tcW w:w="4808" w:type="dxa"/>
            <w:vAlign w:val="center"/>
          </w:tcPr>
          <w:p w14:paraId="2D2EBDB8"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39,639.09</w:t>
            </w:r>
          </w:p>
        </w:tc>
      </w:tr>
      <w:tr w:rsidR="004C0914" w:rsidRPr="00892E1B" w14:paraId="0B3426E0" w14:textId="77777777" w:rsidTr="000243BD">
        <w:trPr>
          <w:jc w:val="center"/>
        </w:trPr>
        <w:tc>
          <w:tcPr>
            <w:tcW w:w="1235" w:type="dxa"/>
            <w:vAlign w:val="center"/>
          </w:tcPr>
          <w:p w14:paraId="76E5EE92"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2</w:t>
            </w:r>
          </w:p>
        </w:tc>
        <w:tc>
          <w:tcPr>
            <w:tcW w:w="2470" w:type="dxa"/>
            <w:vAlign w:val="center"/>
          </w:tcPr>
          <w:p w14:paraId="6DFE543E"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应收证券清算款</w:t>
            </w:r>
          </w:p>
        </w:tc>
        <w:tc>
          <w:tcPr>
            <w:tcW w:w="4808" w:type="dxa"/>
            <w:vAlign w:val="center"/>
          </w:tcPr>
          <w:p w14:paraId="50F2BC71"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3,015,722.20</w:t>
            </w:r>
          </w:p>
        </w:tc>
      </w:tr>
      <w:tr w:rsidR="004C0914" w:rsidRPr="00892E1B" w14:paraId="5F8DE145" w14:textId="77777777" w:rsidTr="000243BD">
        <w:trPr>
          <w:jc w:val="center"/>
        </w:trPr>
        <w:tc>
          <w:tcPr>
            <w:tcW w:w="1235" w:type="dxa"/>
            <w:vAlign w:val="center"/>
          </w:tcPr>
          <w:p w14:paraId="6AC42176"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3</w:t>
            </w:r>
          </w:p>
        </w:tc>
        <w:tc>
          <w:tcPr>
            <w:tcW w:w="2470" w:type="dxa"/>
            <w:vAlign w:val="center"/>
          </w:tcPr>
          <w:p w14:paraId="01448DA7"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应收股利</w:t>
            </w:r>
          </w:p>
        </w:tc>
        <w:tc>
          <w:tcPr>
            <w:tcW w:w="4808" w:type="dxa"/>
            <w:vAlign w:val="center"/>
          </w:tcPr>
          <w:p w14:paraId="3DFAF4CB"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w:t>
            </w:r>
          </w:p>
        </w:tc>
      </w:tr>
      <w:tr w:rsidR="004C0914" w:rsidRPr="00892E1B" w14:paraId="62C9E939" w14:textId="77777777" w:rsidTr="000243BD">
        <w:trPr>
          <w:jc w:val="center"/>
        </w:trPr>
        <w:tc>
          <w:tcPr>
            <w:tcW w:w="1235" w:type="dxa"/>
            <w:vAlign w:val="center"/>
          </w:tcPr>
          <w:p w14:paraId="6107EAFB"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4</w:t>
            </w:r>
          </w:p>
        </w:tc>
        <w:tc>
          <w:tcPr>
            <w:tcW w:w="2470" w:type="dxa"/>
            <w:vAlign w:val="center"/>
          </w:tcPr>
          <w:p w14:paraId="07CE9400"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应收利息</w:t>
            </w:r>
          </w:p>
        </w:tc>
        <w:tc>
          <w:tcPr>
            <w:tcW w:w="4808" w:type="dxa"/>
            <w:vAlign w:val="center"/>
          </w:tcPr>
          <w:p w14:paraId="1B107E4C"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66,248.39</w:t>
            </w:r>
          </w:p>
        </w:tc>
      </w:tr>
      <w:tr w:rsidR="004C0914" w:rsidRPr="00892E1B" w14:paraId="6EA0D14E" w14:textId="77777777" w:rsidTr="000243BD">
        <w:trPr>
          <w:jc w:val="center"/>
        </w:trPr>
        <w:tc>
          <w:tcPr>
            <w:tcW w:w="1235" w:type="dxa"/>
            <w:vAlign w:val="center"/>
          </w:tcPr>
          <w:p w14:paraId="770511B6"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5</w:t>
            </w:r>
          </w:p>
        </w:tc>
        <w:tc>
          <w:tcPr>
            <w:tcW w:w="2470" w:type="dxa"/>
            <w:vAlign w:val="center"/>
          </w:tcPr>
          <w:p w14:paraId="18856370"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应收申购款</w:t>
            </w:r>
          </w:p>
        </w:tc>
        <w:tc>
          <w:tcPr>
            <w:tcW w:w="4808" w:type="dxa"/>
            <w:vAlign w:val="center"/>
          </w:tcPr>
          <w:p w14:paraId="50447DF4"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w:t>
            </w:r>
          </w:p>
        </w:tc>
      </w:tr>
      <w:tr w:rsidR="004C0914" w:rsidRPr="00892E1B" w14:paraId="09A5774F" w14:textId="77777777" w:rsidTr="000243BD">
        <w:trPr>
          <w:jc w:val="center"/>
        </w:trPr>
        <w:tc>
          <w:tcPr>
            <w:tcW w:w="1235" w:type="dxa"/>
            <w:vAlign w:val="center"/>
          </w:tcPr>
          <w:p w14:paraId="2A8A8B1C"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6</w:t>
            </w:r>
          </w:p>
        </w:tc>
        <w:tc>
          <w:tcPr>
            <w:tcW w:w="2470" w:type="dxa"/>
            <w:vAlign w:val="center"/>
          </w:tcPr>
          <w:p w14:paraId="200768B2"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其他应收款</w:t>
            </w:r>
          </w:p>
        </w:tc>
        <w:tc>
          <w:tcPr>
            <w:tcW w:w="4808" w:type="dxa"/>
            <w:vAlign w:val="center"/>
          </w:tcPr>
          <w:p w14:paraId="57483EFE"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w:t>
            </w:r>
          </w:p>
        </w:tc>
      </w:tr>
      <w:tr w:rsidR="004C0914" w:rsidRPr="00892E1B" w14:paraId="56F144CC" w14:textId="77777777" w:rsidTr="000243BD">
        <w:trPr>
          <w:jc w:val="center"/>
        </w:trPr>
        <w:tc>
          <w:tcPr>
            <w:tcW w:w="1235" w:type="dxa"/>
            <w:vAlign w:val="center"/>
          </w:tcPr>
          <w:p w14:paraId="2BDECDCB"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7</w:t>
            </w:r>
          </w:p>
        </w:tc>
        <w:tc>
          <w:tcPr>
            <w:tcW w:w="2470" w:type="dxa"/>
            <w:vAlign w:val="center"/>
          </w:tcPr>
          <w:p w14:paraId="1D89B226"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待摊费用</w:t>
            </w:r>
          </w:p>
        </w:tc>
        <w:tc>
          <w:tcPr>
            <w:tcW w:w="4808" w:type="dxa"/>
            <w:vAlign w:val="center"/>
          </w:tcPr>
          <w:p w14:paraId="468427A2"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w:t>
            </w:r>
          </w:p>
        </w:tc>
      </w:tr>
      <w:tr w:rsidR="004C0914" w:rsidRPr="00892E1B" w14:paraId="3599F6C2" w14:textId="77777777" w:rsidTr="000243BD">
        <w:trPr>
          <w:jc w:val="center"/>
        </w:trPr>
        <w:tc>
          <w:tcPr>
            <w:tcW w:w="1235" w:type="dxa"/>
            <w:vAlign w:val="center"/>
          </w:tcPr>
          <w:p w14:paraId="00E922E0"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8</w:t>
            </w:r>
          </w:p>
        </w:tc>
        <w:tc>
          <w:tcPr>
            <w:tcW w:w="2470" w:type="dxa"/>
            <w:vAlign w:val="center"/>
          </w:tcPr>
          <w:p w14:paraId="0AEB99E9"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其他</w:t>
            </w:r>
          </w:p>
        </w:tc>
        <w:tc>
          <w:tcPr>
            <w:tcW w:w="4808" w:type="dxa"/>
            <w:vAlign w:val="center"/>
          </w:tcPr>
          <w:p w14:paraId="0B7C2B68"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w:t>
            </w:r>
          </w:p>
        </w:tc>
      </w:tr>
      <w:tr w:rsidR="004C0914" w:rsidRPr="00892E1B" w14:paraId="7422CF59" w14:textId="77777777" w:rsidTr="000243BD">
        <w:trPr>
          <w:jc w:val="center"/>
        </w:trPr>
        <w:tc>
          <w:tcPr>
            <w:tcW w:w="1235" w:type="dxa"/>
            <w:vAlign w:val="center"/>
          </w:tcPr>
          <w:p w14:paraId="6E9C349F" w14:textId="77777777" w:rsidR="004C0914" w:rsidRPr="00892E1B" w:rsidRDefault="004C0914" w:rsidP="00C15CAC">
            <w:pPr>
              <w:autoSpaceDE w:val="0"/>
              <w:autoSpaceDN w:val="0"/>
              <w:adjustRightInd w:val="0"/>
              <w:spacing w:before="29" w:line="288" w:lineRule="auto"/>
              <w:ind w:left="15"/>
              <w:jc w:val="center"/>
              <w:rPr>
                <w:rFonts w:ascii="宋体" w:hAnsi="宋体"/>
                <w:color w:val="000000"/>
                <w:sz w:val="24"/>
                <w:szCs w:val="24"/>
              </w:rPr>
            </w:pPr>
            <w:r w:rsidRPr="00892E1B">
              <w:rPr>
                <w:rFonts w:ascii="宋体" w:hAnsi="宋体"/>
                <w:color w:val="000000"/>
                <w:sz w:val="24"/>
                <w:szCs w:val="24"/>
              </w:rPr>
              <w:t>9</w:t>
            </w:r>
          </w:p>
        </w:tc>
        <w:tc>
          <w:tcPr>
            <w:tcW w:w="2470" w:type="dxa"/>
            <w:vAlign w:val="center"/>
          </w:tcPr>
          <w:p w14:paraId="799BAC7F" w14:textId="77777777" w:rsidR="004C0914" w:rsidRPr="00892E1B" w:rsidRDefault="004C0914" w:rsidP="00C15CAC">
            <w:pPr>
              <w:autoSpaceDE w:val="0"/>
              <w:autoSpaceDN w:val="0"/>
              <w:adjustRightInd w:val="0"/>
              <w:spacing w:before="29" w:line="288" w:lineRule="auto"/>
              <w:ind w:left="15"/>
              <w:jc w:val="left"/>
              <w:rPr>
                <w:rFonts w:ascii="宋体" w:hAnsi="宋体"/>
                <w:color w:val="000000"/>
                <w:sz w:val="24"/>
                <w:szCs w:val="24"/>
              </w:rPr>
            </w:pPr>
            <w:r w:rsidRPr="00892E1B">
              <w:rPr>
                <w:rFonts w:ascii="宋体" w:hAnsi="宋体"/>
                <w:color w:val="000000"/>
                <w:sz w:val="24"/>
                <w:szCs w:val="24"/>
              </w:rPr>
              <w:t>合计</w:t>
            </w:r>
          </w:p>
        </w:tc>
        <w:tc>
          <w:tcPr>
            <w:tcW w:w="4808" w:type="dxa"/>
            <w:vAlign w:val="center"/>
          </w:tcPr>
          <w:p w14:paraId="64358456" w14:textId="77777777" w:rsidR="004C0914" w:rsidRPr="00892E1B" w:rsidRDefault="004C0914" w:rsidP="00C77D34">
            <w:pPr>
              <w:autoSpaceDE w:val="0"/>
              <w:autoSpaceDN w:val="0"/>
              <w:adjustRightInd w:val="0"/>
              <w:spacing w:before="29" w:line="288" w:lineRule="auto"/>
              <w:ind w:left="15"/>
              <w:jc w:val="right"/>
              <w:rPr>
                <w:rFonts w:ascii="宋体" w:hAnsi="宋体"/>
                <w:color w:val="000000"/>
                <w:sz w:val="24"/>
                <w:szCs w:val="24"/>
              </w:rPr>
            </w:pPr>
            <w:r w:rsidRPr="00892E1B">
              <w:rPr>
                <w:rFonts w:ascii="宋体" w:hAnsi="宋体"/>
                <w:color w:val="000000"/>
                <w:sz w:val="24"/>
                <w:szCs w:val="24"/>
              </w:rPr>
              <w:t>3,121,609.68</w:t>
            </w:r>
          </w:p>
        </w:tc>
      </w:tr>
    </w:tbl>
    <w:p w14:paraId="7679900D" w14:textId="77777777" w:rsidR="002918E3" w:rsidRPr="00414345" w:rsidRDefault="002918E3" w:rsidP="00C15CAC">
      <w:pPr>
        <w:autoSpaceDE w:val="0"/>
        <w:autoSpaceDN w:val="0"/>
        <w:adjustRightInd w:val="0"/>
        <w:spacing w:before="29" w:line="288" w:lineRule="auto"/>
        <w:rPr>
          <w:color w:val="000000"/>
          <w:sz w:val="24"/>
          <w:szCs w:val="24"/>
        </w:rPr>
      </w:pPr>
    </w:p>
    <w:p w14:paraId="30983357" w14:textId="77777777" w:rsidR="008B4FD3" w:rsidRPr="00FB35FB" w:rsidRDefault="008B4FD3" w:rsidP="008B4FD3">
      <w:pPr>
        <w:autoSpaceDE w:val="0"/>
        <w:autoSpaceDN w:val="0"/>
        <w:adjustRightInd w:val="0"/>
        <w:spacing w:before="29" w:line="288" w:lineRule="auto"/>
        <w:ind w:left="15"/>
        <w:jc w:val="left"/>
        <w:rPr>
          <w:rFonts w:ascii="宋体" w:hAnsi="宋体" w:cs="Arial"/>
          <w:b/>
          <w:color w:val="000000"/>
          <w:kern w:val="0"/>
          <w:sz w:val="24"/>
          <w:szCs w:val="24"/>
        </w:rPr>
      </w:pPr>
      <w:r w:rsidRPr="00FB35FB">
        <w:rPr>
          <w:rFonts w:ascii="宋体" w:hAnsi="宋体" w:cs="Arial" w:hint="eastAsia"/>
          <w:b/>
          <w:color w:val="000000"/>
          <w:kern w:val="0"/>
          <w:sz w:val="24"/>
          <w:szCs w:val="24"/>
        </w:rPr>
        <w:t>5.1.11.4</w:t>
      </w:r>
      <w:r w:rsidR="007117C4" w:rsidRPr="00FB35FB">
        <w:rPr>
          <w:rFonts w:ascii="宋体" w:hAnsi="宋体" w:cs="Arial" w:hint="eastAsia"/>
          <w:b/>
          <w:color w:val="000000"/>
          <w:kern w:val="0"/>
          <w:sz w:val="24"/>
          <w:szCs w:val="24"/>
        </w:rPr>
        <w:t xml:space="preserve"> </w:t>
      </w:r>
      <w:r w:rsidRPr="00FB35FB">
        <w:rPr>
          <w:rFonts w:ascii="宋体" w:hAnsi="宋体" w:cs="Arial" w:hint="eastAsia"/>
          <w:b/>
          <w:color w:val="000000"/>
          <w:kern w:val="0"/>
          <w:sz w:val="24"/>
          <w:szCs w:val="24"/>
        </w:rPr>
        <w:t>报告期末持有的处于转股期的可转换债券明细</w:t>
      </w:r>
    </w:p>
    <w:p w14:paraId="59F66ABE" w14:textId="77777777" w:rsidR="004061AC" w:rsidRPr="00FB35FB" w:rsidRDefault="004061AC" w:rsidP="00C15CAC">
      <w:pPr>
        <w:autoSpaceDE w:val="0"/>
        <w:autoSpaceDN w:val="0"/>
        <w:adjustRightInd w:val="0"/>
        <w:spacing w:before="29" w:line="288" w:lineRule="auto"/>
        <w:jc w:val="left"/>
        <w:rPr>
          <w:rFonts w:ascii="宋体" w:hAnsi="宋体"/>
          <w:color w:val="000000"/>
          <w:sz w:val="24"/>
          <w:szCs w:val="24"/>
        </w:rPr>
      </w:pPr>
      <w:r w:rsidRPr="00FB35FB">
        <w:rPr>
          <w:rFonts w:ascii="宋体" w:hAnsi="宋体"/>
          <w:color w:val="000000"/>
          <w:sz w:val="24"/>
          <w:szCs w:val="24"/>
        </w:rPr>
        <w:t>本基金本报告期末未持有处于转股期的可转换债券。</w:t>
      </w:r>
    </w:p>
    <w:p w14:paraId="5D69E891" w14:textId="77777777" w:rsidR="002918E3" w:rsidRPr="00414345" w:rsidRDefault="002918E3" w:rsidP="00C15CAC">
      <w:pPr>
        <w:autoSpaceDE w:val="0"/>
        <w:autoSpaceDN w:val="0"/>
        <w:adjustRightInd w:val="0"/>
        <w:spacing w:before="29" w:line="288" w:lineRule="auto"/>
        <w:rPr>
          <w:color w:val="000000"/>
          <w:sz w:val="24"/>
          <w:szCs w:val="24"/>
        </w:rPr>
      </w:pPr>
    </w:p>
    <w:p w14:paraId="430BF1F2" w14:textId="77777777" w:rsidR="004061AC" w:rsidRPr="00E4600F" w:rsidRDefault="003860D1" w:rsidP="00C15CAC">
      <w:pPr>
        <w:autoSpaceDE w:val="0"/>
        <w:autoSpaceDN w:val="0"/>
        <w:adjustRightInd w:val="0"/>
        <w:spacing w:before="29" w:line="288" w:lineRule="auto"/>
        <w:jc w:val="left"/>
        <w:rPr>
          <w:rFonts w:ascii="宋体" w:hAnsi="宋体"/>
          <w:bCs/>
          <w:color w:val="000000"/>
          <w:kern w:val="0"/>
          <w:sz w:val="24"/>
          <w:szCs w:val="24"/>
        </w:rPr>
      </w:pPr>
      <w:r w:rsidRPr="00E4600F">
        <w:rPr>
          <w:rFonts w:ascii="宋体" w:hAnsi="宋体" w:cs="Arial" w:hint="eastAsia"/>
          <w:b/>
          <w:color w:val="000000"/>
          <w:kern w:val="0"/>
          <w:sz w:val="24"/>
          <w:szCs w:val="24"/>
        </w:rPr>
        <w:t xml:space="preserve">5.1.11.5 </w:t>
      </w:r>
      <w:r w:rsidR="004B155C" w:rsidRPr="00E4600F">
        <w:rPr>
          <w:rFonts w:ascii="宋体" w:hAnsi="宋体" w:cs="Arial" w:hint="eastAsia"/>
          <w:b/>
          <w:color w:val="000000"/>
          <w:kern w:val="0"/>
          <w:sz w:val="24"/>
          <w:szCs w:val="24"/>
        </w:rPr>
        <w:t>报告期末前十名股票中存在流通受限情况的说明</w:t>
      </w:r>
    </w:p>
    <w:p w14:paraId="3C4DA0A3" w14:textId="77777777" w:rsidR="004061AC" w:rsidRDefault="004061AC" w:rsidP="00C15CAC">
      <w:pPr>
        <w:autoSpaceDE w:val="0"/>
        <w:autoSpaceDN w:val="0"/>
        <w:adjustRightInd w:val="0"/>
        <w:spacing w:before="29" w:line="288" w:lineRule="auto"/>
        <w:jc w:val="left"/>
        <w:rPr>
          <w:rFonts w:ascii="宋体" w:hAnsi="宋体"/>
          <w:color w:val="000000"/>
          <w:sz w:val="24"/>
          <w:szCs w:val="24"/>
        </w:rPr>
      </w:pPr>
      <w:r w:rsidRPr="00E4600F">
        <w:rPr>
          <w:rFonts w:ascii="宋体" w:hAnsi="宋体"/>
          <w:color w:val="000000"/>
          <w:sz w:val="24"/>
          <w:szCs w:val="24"/>
        </w:rPr>
        <w:t>本基金本报告期末前十名股票中不存在流通受限情况。</w:t>
      </w:r>
    </w:p>
    <w:p w14:paraId="0918713F" w14:textId="77777777" w:rsidR="00FF53B4" w:rsidRDefault="00FF53B4" w:rsidP="00C15CAC">
      <w:pPr>
        <w:autoSpaceDE w:val="0"/>
        <w:autoSpaceDN w:val="0"/>
        <w:adjustRightInd w:val="0"/>
        <w:spacing w:before="29" w:line="288" w:lineRule="auto"/>
        <w:jc w:val="left"/>
        <w:rPr>
          <w:rFonts w:ascii="宋体" w:hAnsi="宋体"/>
          <w:color w:val="000000"/>
          <w:sz w:val="24"/>
          <w:szCs w:val="24"/>
        </w:rPr>
      </w:pPr>
    </w:p>
    <w:p w14:paraId="09BD442C" w14:textId="77777777" w:rsidR="00FF53B4" w:rsidRPr="00FF53B4" w:rsidRDefault="00FF53B4" w:rsidP="00FF53B4">
      <w:pPr>
        <w:autoSpaceDE w:val="0"/>
        <w:autoSpaceDN w:val="0"/>
        <w:adjustRightInd w:val="0"/>
        <w:spacing w:before="29" w:line="288" w:lineRule="auto"/>
        <w:ind w:left="15"/>
        <w:jc w:val="left"/>
        <w:rPr>
          <w:rFonts w:ascii="宋体" w:hAnsi="宋体" w:cs="Arial"/>
          <w:b/>
          <w:color w:val="000000"/>
          <w:kern w:val="0"/>
          <w:sz w:val="24"/>
          <w:szCs w:val="24"/>
        </w:rPr>
      </w:pPr>
      <w:r w:rsidRPr="00FF53B4">
        <w:rPr>
          <w:rFonts w:ascii="宋体" w:hAnsi="宋体" w:cs="Arial"/>
          <w:b/>
          <w:color w:val="000000"/>
          <w:kern w:val="0"/>
          <w:sz w:val="24"/>
          <w:szCs w:val="24"/>
        </w:rPr>
        <w:t>5.</w:t>
      </w:r>
      <w:r>
        <w:rPr>
          <w:rFonts w:ascii="宋体" w:hAnsi="宋体" w:cs="Arial"/>
          <w:b/>
          <w:color w:val="000000"/>
          <w:kern w:val="0"/>
          <w:sz w:val="24"/>
          <w:szCs w:val="24"/>
        </w:rPr>
        <w:t>1</w:t>
      </w:r>
      <w:r w:rsidRPr="00FF53B4">
        <w:rPr>
          <w:rFonts w:ascii="宋体" w:hAnsi="宋体" w:cs="Arial"/>
          <w:b/>
          <w:color w:val="000000"/>
          <w:kern w:val="0"/>
          <w:sz w:val="24"/>
          <w:szCs w:val="24"/>
        </w:rPr>
        <w:t>.11.6 投资组合报告附注的其他文字描述部分</w:t>
      </w:r>
    </w:p>
    <w:p w14:paraId="3CED0DFF" w14:textId="77777777" w:rsidR="00FF53B4" w:rsidRPr="00414345" w:rsidRDefault="00FF53B4" w:rsidP="00FF53B4">
      <w:pPr>
        <w:spacing w:before="29" w:line="288" w:lineRule="auto"/>
        <w:rPr>
          <w:color w:val="000000"/>
          <w:sz w:val="24"/>
          <w:szCs w:val="24"/>
        </w:rPr>
      </w:pPr>
      <w:r w:rsidRPr="00414345">
        <w:rPr>
          <w:color w:val="000000"/>
          <w:sz w:val="24"/>
          <w:szCs w:val="24"/>
        </w:rPr>
        <w:t>由于四舍五入的原因，分项之和与合计项之间可能存在尾差。</w:t>
      </w:r>
    </w:p>
    <w:p w14:paraId="1CE97D50" w14:textId="77777777" w:rsidR="002918E3" w:rsidRPr="00414345" w:rsidRDefault="002918E3" w:rsidP="00C15CAC">
      <w:pPr>
        <w:autoSpaceDE w:val="0"/>
        <w:autoSpaceDN w:val="0"/>
        <w:adjustRightInd w:val="0"/>
        <w:spacing w:before="29" w:line="288" w:lineRule="auto"/>
        <w:rPr>
          <w:color w:val="000000"/>
          <w:sz w:val="24"/>
          <w:szCs w:val="24"/>
        </w:rPr>
      </w:pPr>
    </w:p>
    <w:p w14:paraId="44793051" w14:textId="77777777" w:rsidR="0045249B" w:rsidRPr="00FD685A" w:rsidRDefault="0045249B" w:rsidP="0045249B">
      <w:pPr>
        <w:autoSpaceDE w:val="0"/>
        <w:autoSpaceDN w:val="0"/>
        <w:adjustRightInd w:val="0"/>
        <w:spacing w:before="29" w:line="288" w:lineRule="auto"/>
        <w:jc w:val="left"/>
        <w:rPr>
          <w:rFonts w:ascii="宋体" w:hAnsi="宋体"/>
          <w:b/>
          <w:color w:val="000000"/>
          <w:kern w:val="0"/>
          <w:sz w:val="24"/>
          <w:szCs w:val="24"/>
        </w:rPr>
      </w:pPr>
      <w:r w:rsidRPr="00FD685A">
        <w:rPr>
          <w:rFonts w:ascii="宋体" w:hAnsi="宋体" w:hint="eastAsia"/>
          <w:b/>
          <w:color w:val="000000"/>
          <w:kern w:val="0"/>
          <w:sz w:val="24"/>
          <w:szCs w:val="24"/>
        </w:rPr>
        <w:t>5.</w:t>
      </w:r>
      <w:r w:rsidR="00FD685A">
        <w:rPr>
          <w:rFonts w:ascii="宋体" w:hAnsi="宋体" w:hint="eastAsia"/>
          <w:b/>
          <w:color w:val="000000"/>
          <w:kern w:val="0"/>
          <w:sz w:val="24"/>
          <w:szCs w:val="24"/>
        </w:rPr>
        <w:t xml:space="preserve">2 </w:t>
      </w:r>
      <w:r w:rsidRPr="00FD685A">
        <w:rPr>
          <w:rFonts w:ascii="宋体" w:hAnsi="宋体"/>
          <w:b/>
          <w:color w:val="000000"/>
          <w:kern w:val="0"/>
          <w:sz w:val="24"/>
          <w:szCs w:val="24"/>
        </w:rPr>
        <w:t>交银施罗德荣泰保本混合型证券投资基金</w:t>
      </w:r>
    </w:p>
    <w:p w14:paraId="783F6D7D" w14:textId="77777777" w:rsidR="0045249B" w:rsidRPr="00FD685A" w:rsidRDefault="0045249B" w:rsidP="0045249B">
      <w:pPr>
        <w:autoSpaceDE w:val="0"/>
        <w:autoSpaceDN w:val="0"/>
        <w:adjustRightInd w:val="0"/>
        <w:spacing w:before="29" w:line="288" w:lineRule="auto"/>
        <w:jc w:val="left"/>
        <w:rPr>
          <w:rFonts w:ascii="宋体" w:hAnsi="宋体" w:cs="Arial"/>
          <w:b/>
          <w:color w:val="000000"/>
          <w:kern w:val="0"/>
          <w:sz w:val="24"/>
          <w:szCs w:val="24"/>
        </w:rPr>
      </w:pPr>
      <w:r w:rsidRPr="00FD685A">
        <w:rPr>
          <w:rFonts w:ascii="宋体" w:hAnsi="宋体" w:cs="Arial" w:hint="eastAsia"/>
          <w:b/>
          <w:color w:val="000000"/>
          <w:kern w:val="0"/>
          <w:sz w:val="24"/>
          <w:szCs w:val="24"/>
        </w:rPr>
        <w:t>（报告期：2016年10月1日-2016年12月29日）</w:t>
      </w:r>
    </w:p>
    <w:p w14:paraId="34583AFD"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Pr="00FD685A">
        <w:rPr>
          <w:rFonts w:ascii="宋体" w:hAnsi="宋体" w:cs="Arial" w:hint="eastAsia"/>
          <w:b/>
          <w:color w:val="000000"/>
          <w:kern w:val="0"/>
          <w:sz w:val="24"/>
          <w:szCs w:val="24"/>
        </w:rPr>
        <w:t>2.1</w:t>
      </w:r>
      <w:r w:rsidRPr="00FD685A">
        <w:rPr>
          <w:rFonts w:ascii="宋体" w:hAnsi="宋体" w:cs="Arial"/>
          <w:b/>
          <w:color w:val="000000"/>
          <w:kern w:val="0"/>
          <w:sz w:val="24"/>
          <w:szCs w:val="24"/>
        </w:rPr>
        <w:t xml:space="preserve"> </w:t>
      </w:r>
      <w:r w:rsidRPr="00FD685A">
        <w:rPr>
          <w:rFonts w:ascii="宋体" w:hAnsi="宋体" w:cs="Arial" w:hint="eastAsia"/>
          <w:b/>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E0076E" w:rsidRPr="007D35CC" w14:paraId="5EFF0BDE" w14:textId="77777777" w:rsidTr="007405B9">
        <w:trPr>
          <w:jc w:val="center"/>
        </w:trPr>
        <w:tc>
          <w:tcPr>
            <w:tcW w:w="718" w:type="dxa"/>
            <w:vAlign w:val="center"/>
          </w:tcPr>
          <w:p w14:paraId="37DBC903"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序号</w:t>
            </w:r>
          </w:p>
        </w:tc>
        <w:tc>
          <w:tcPr>
            <w:tcW w:w="3346" w:type="dxa"/>
            <w:vAlign w:val="center"/>
          </w:tcPr>
          <w:p w14:paraId="05BB4E69"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项目</w:t>
            </w:r>
          </w:p>
        </w:tc>
        <w:tc>
          <w:tcPr>
            <w:tcW w:w="2967" w:type="dxa"/>
            <w:vAlign w:val="center"/>
          </w:tcPr>
          <w:p w14:paraId="7DBBCF35"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金额（元）</w:t>
            </w:r>
          </w:p>
        </w:tc>
        <w:tc>
          <w:tcPr>
            <w:tcW w:w="1837" w:type="dxa"/>
            <w:vAlign w:val="center"/>
          </w:tcPr>
          <w:p w14:paraId="290925E2"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占基金总资产的比例（％）</w:t>
            </w:r>
          </w:p>
        </w:tc>
      </w:tr>
      <w:tr w:rsidR="00E0076E" w:rsidRPr="007D35CC" w14:paraId="69BFBA2E" w14:textId="77777777" w:rsidTr="007405B9">
        <w:trPr>
          <w:jc w:val="center"/>
        </w:trPr>
        <w:tc>
          <w:tcPr>
            <w:tcW w:w="718" w:type="dxa"/>
            <w:vAlign w:val="center"/>
          </w:tcPr>
          <w:p w14:paraId="79772966"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1</w:t>
            </w:r>
          </w:p>
        </w:tc>
        <w:tc>
          <w:tcPr>
            <w:tcW w:w="3346" w:type="dxa"/>
            <w:vAlign w:val="center"/>
          </w:tcPr>
          <w:p w14:paraId="6B7C2184"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权益投资</w:t>
            </w:r>
          </w:p>
        </w:tc>
        <w:tc>
          <w:tcPr>
            <w:tcW w:w="2967" w:type="dxa"/>
            <w:vAlign w:val="center"/>
          </w:tcPr>
          <w:p w14:paraId="141EC1B6"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7AFA2739"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561E3329" w14:textId="77777777" w:rsidTr="007405B9">
        <w:trPr>
          <w:jc w:val="center"/>
        </w:trPr>
        <w:tc>
          <w:tcPr>
            <w:tcW w:w="718" w:type="dxa"/>
            <w:vAlign w:val="center"/>
          </w:tcPr>
          <w:p w14:paraId="7B5655F1" w14:textId="77777777" w:rsidR="00E0076E" w:rsidRPr="007D35CC" w:rsidRDefault="00E0076E" w:rsidP="007405B9">
            <w:pPr>
              <w:spacing w:before="29" w:line="288" w:lineRule="auto"/>
              <w:ind w:left="17"/>
              <w:jc w:val="center"/>
              <w:rPr>
                <w:rFonts w:ascii="宋体" w:hAnsi="宋体"/>
                <w:color w:val="000000"/>
                <w:sz w:val="24"/>
                <w:szCs w:val="24"/>
              </w:rPr>
            </w:pPr>
          </w:p>
        </w:tc>
        <w:tc>
          <w:tcPr>
            <w:tcW w:w="3346" w:type="dxa"/>
            <w:vAlign w:val="center"/>
          </w:tcPr>
          <w:p w14:paraId="3A2BF995"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其中：股票</w:t>
            </w:r>
          </w:p>
        </w:tc>
        <w:tc>
          <w:tcPr>
            <w:tcW w:w="2967" w:type="dxa"/>
            <w:vAlign w:val="center"/>
          </w:tcPr>
          <w:p w14:paraId="4412ACDC"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1B7E44B2"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17D73D9A" w14:textId="77777777" w:rsidTr="007405B9">
        <w:trPr>
          <w:jc w:val="center"/>
        </w:trPr>
        <w:tc>
          <w:tcPr>
            <w:tcW w:w="718" w:type="dxa"/>
            <w:vAlign w:val="center"/>
          </w:tcPr>
          <w:p w14:paraId="5F9D8535"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2</w:t>
            </w:r>
          </w:p>
        </w:tc>
        <w:tc>
          <w:tcPr>
            <w:tcW w:w="3346" w:type="dxa"/>
            <w:vAlign w:val="center"/>
          </w:tcPr>
          <w:p w14:paraId="390C2FE0"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固定收益投资</w:t>
            </w:r>
          </w:p>
        </w:tc>
        <w:tc>
          <w:tcPr>
            <w:tcW w:w="2967" w:type="dxa"/>
            <w:vAlign w:val="center"/>
          </w:tcPr>
          <w:p w14:paraId="23957440"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9,95</w:t>
            </w:r>
            <w:r>
              <w:rPr>
                <w:rFonts w:ascii="宋体" w:hAnsi="宋体"/>
                <w:color w:val="000000"/>
                <w:sz w:val="24"/>
                <w:szCs w:val="24"/>
              </w:rPr>
              <w:t>3</w:t>
            </w:r>
            <w:r w:rsidRPr="007D35CC">
              <w:rPr>
                <w:rFonts w:ascii="宋体" w:hAnsi="宋体"/>
                <w:color w:val="000000"/>
                <w:sz w:val="24"/>
                <w:szCs w:val="24"/>
              </w:rPr>
              <w:t>,000.00</w:t>
            </w:r>
          </w:p>
        </w:tc>
        <w:tc>
          <w:tcPr>
            <w:tcW w:w="1837" w:type="dxa"/>
            <w:vAlign w:val="center"/>
          </w:tcPr>
          <w:p w14:paraId="379986DA"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8.94</w:t>
            </w:r>
          </w:p>
        </w:tc>
      </w:tr>
      <w:tr w:rsidR="00E0076E" w:rsidRPr="007D35CC" w14:paraId="52848A04" w14:textId="77777777" w:rsidTr="007405B9">
        <w:trPr>
          <w:jc w:val="center"/>
        </w:trPr>
        <w:tc>
          <w:tcPr>
            <w:tcW w:w="718" w:type="dxa"/>
            <w:vAlign w:val="center"/>
          </w:tcPr>
          <w:p w14:paraId="3762FFB5" w14:textId="77777777" w:rsidR="00E0076E" w:rsidRPr="007D35CC" w:rsidRDefault="00E0076E" w:rsidP="007405B9">
            <w:pPr>
              <w:spacing w:before="29" w:line="288" w:lineRule="auto"/>
              <w:ind w:left="17"/>
              <w:jc w:val="center"/>
              <w:rPr>
                <w:rFonts w:ascii="宋体" w:hAnsi="宋体"/>
                <w:color w:val="000000"/>
                <w:sz w:val="24"/>
                <w:szCs w:val="24"/>
              </w:rPr>
            </w:pPr>
          </w:p>
        </w:tc>
        <w:tc>
          <w:tcPr>
            <w:tcW w:w="3346" w:type="dxa"/>
            <w:vAlign w:val="center"/>
          </w:tcPr>
          <w:p w14:paraId="6BF89685"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其中：债券</w:t>
            </w:r>
          </w:p>
        </w:tc>
        <w:tc>
          <w:tcPr>
            <w:tcW w:w="2967" w:type="dxa"/>
            <w:vAlign w:val="center"/>
          </w:tcPr>
          <w:p w14:paraId="3AB36F5E"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9,95</w:t>
            </w:r>
            <w:r>
              <w:rPr>
                <w:rFonts w:ascii="宋体" w:hAnsi="宋体"/>
                <w:color w:val="000000"/>
                <w:sz w:val="24"/>
                <w:szCs w:val="24"/>
              </w:rPr>
              <w:t>3</w:t>
            </w:r>
            <w:r w:rsidRPr="007D35CC">
              <w:rPr>
                <w:rFonts w:ascii="宋体" w:hAnsi="宋体"/>
                <w:color w:val="000000"/>
                <w:sz w:val="24"/>
                <w:szCs w:val="24"/>
              </w:rPr>
              <w:t>,000.00</w:t>
            </w:r>
          </w:p>
        </w:tc>
        <w:tc>
          <w:tcPr>
            <w:tcW w:w="1837" w:type="dxa"/>
            <w:vAlign w:val="center"/>
          </w:tcPr>
          <w:p w14:paraId="10C43727"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8.94</w:t>
            </w:r>
          </w:p>
        </w:tc>
      </w:tr>
      <w:tr w:rsidR="00E0076E" w:rsidRPr="007D35CC" w14:paraId="380D8A8D" w14:textId="77777777" w:rsidTr="007405B9">
        <w:trPr>
          <w:jc w:val="center"/>
        </w:trPr>
        <w:tc>
          <w:tcPr>
            <w:tcW w:w="718" w:type="dxa"/>
            <w:vAlign w:val="center"/>
          </w:tcPr>
          <w:p w14:paraId="41AF93CB" w14:textId="77777777" w:rsidR="00E0076E" w:rsidRPr="007D35CC" w:rsidRDefault="00E0076E" w:rsidP="007405B9">
            <w:pPr>
              <w:spacing w:before="29" w:line="288" w:lineRule="auto"/>
              <w:ind w:left="17"/>
              <w:jc w:val="center"/>
              <w:rPr>
                <w:rFonts w:ascii="宋体" w:hAnsi="宋体"/>
                <w:color w:val="000000"/>
                <w:sz w:val="24"/>
                <w:szCs w:val="24"/>
              </w:rPr>
            </w:pPr>
          </w:p>
        </w:tc>
        <w:tc>
          <w:tcPr>
            <w:tcW w:w="3346" w:type="dxa"/>
            <w:vAlign w:val="center"/>
          </w:tcPr>
          <w:p w14:paraId="07C5B282" w14:textId="77777777" w:rsidR="00E0076E" w:rsidRPr="007D35CC" w:rsidRDefault="00E0076E" w:rsidP="007405B9">
            <w:pPr>
              <w:autoSpaceDE w:val="0"/>
              <w:autoSpaceDN w:val="0"/>
              <w:adjustRightInd w:val="0"/>
              <w:spacing w:before="29" w:line="288" w:lineRule="auto"/>
              <w:ind w:leftChars="8" w:left="17" w:firstLineChars="300" w:firstLine="720"/>
              <w:jc w:val="left"/>
              <w:rPr>
                <w:rFonts w:ascii="宋体" w:hAnsi="宋体"/>
                <w:color w:val="000000"/>
                <w:sz w:val="24"/>
                <w:szCs w:val="24"/>
              </w:rPr>
            </w:pPr>
            <w:r w:rsidRPr="007D35CC">
              <w:rPr>
                <w:rFonts w:ascii="宋体" w:hAnsi="宋体"/>
                <w:color w:val="000000"/>
                <w:sz w:val="24"/>
                <w:szCs w:val="24"/>
              </w:rPr>
              <w:t>资产支持证券</w:t>
            </w:r>
          </w:p>
        </w:tc>
        <w:tc>
          <w:tcPr>
            <w:tcW w:w="2967" w:type="dxa"/>
            <w:vAlign w:val="center"/>
          </w:tcPr>
          <w:p w14:paraId="465DDDF2"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1A187A03"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3815128D" w14:textId="77777777" w:rsidTr="007405B9">
        <w:trPr>
          <w:jc w:val="center"/>
        </w:trPr>
        <w:tc>
          <w:tcPr>
            <w:tcW w:w="718" w:type="dxa"/>
            <w:vAlign w:val="center"/>
          </w:tcPr>
          <w:p w14:paraId="7A89054E"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3</w:t>
            </w:r>
          </w:p>
        </w:tc>
        <w:tc>
          <w:tcPr>
            <w:tcW w:w="3346" w:type="dxa"/>
            <w:vAlign w:val="center"/>
          </w:tcPr>
          <w:p w14:paraId="759D897A" w14:textId="77777777" w:rsidR="00E0076E" w:rsidRPr="007D35CC" w:rsidRDefault="00E0076E" w:rsidP="007405B9">
            <w:pPr>
              <w:spacing w:before="29" w:line="288" w:lineRule="auto"/>
              <w:ind w:left="17"/>
              <w:jc w:val="left"/>
              <w:rPr>
                <w:rFonts w:ascii="宋体" w:hAnsi="宋体"/>
                <w:color w:val="000000"/>
                <w:sz w:val="24"/>
                <w:szCs w:val="24"/>
              </w:rPr>
            </w:pPr>
            <w:r w:rsidRPr="007D35CC">
              <w:rPr>
                <w:rFonts w:ascii="宋体" w:hAnsi="宋体"/>
                <w:color w:val="000000"/>
                <w:sz w:val="24"/>
                <w:szCs w:val="24"/>
              </w:rPr>
              <w:t>贵金属投资</w:t>
            </w:r>
          </w:p>
        </w:tc>
        <w:tc>
          <w:tcPr>
            <w:tcW w:w="2967" w:type="dxa"/>
            <w:vAlign w:val="center"/>
          </w:tcPr>
          <w:p w14:paraId="37B00F2C"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7842DC94"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66FB3FDC" w14:textId="77777777" w:rsidTr="007405B9">
        <w:trPr>
          <w:jc w:val="center"/>
        </w:trPr>
        <w:tc>
          <w:tcPr>
            <w:tcW w:w="718" w:type="dxa"/>
            <w:vAlign w:val="center"/>
          </w:tcPr>
          <w:p w14:paraId="1B757D92"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4</w:t>
            </w:r>
          </w:p>
        </w:tc>
        <w:tc>
          <w:tcPr>
            <w:tcW w:w="3346" w:type="dxa"/>
            <w:vAlign w:val="center"/>
          </w:tcPr>
          <w:p w14:paraId="055F156C"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金融衍生品投资</w:t>
            </w:r>
          </w:p>
        </w:tc>
        <w:tc>
          <w:tcPr>
            <w:tcW w:w="2967" w:type="dxa"/>
            <w:vAlign w:val="center"/>
          </w:tcPr>
          <w:p w14:paraId="2BC5795F"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51CE00A3"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6F55EDF2" w14:textId="77777777" w:rsidTr="007405B9">
        <w:trPr>
          <w:jc w:val="center"/>
        </w:trPr>
        <w:tc>
          <w:tcPr>
            <w:tcW w:w="718" w:type="dxa"/>
            <w:vAlign w:val="center"/>
          </w:tcPr>
          <w:p w14:paraId="4FCDC22C"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5</w:t>
            </w:r>
          </w:p>
        </w:tc>
        <w:tc>
          <w:tcPr>
            <w:tcW w:w="3346" w:type="dxa"/>
            <w:vAlign w:val="center"/>
          </w:tcPr>
          <w:p w14:paraId="239EF75D"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买入返售金融资产</w:t>
            </w:r>
          </w:p>
        </w:tc>
        <w:tc>
          <w:tcPr>
            <w:tcW w:w="2967" w:type="dxa"/>
            <w:vAlign w:val="center"/>
          </w:tcPr>
          <w:p w14:paraId="24847B69"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90</w:t>
            </w:r>
            <w:r w:rsidRPr="007D35CC">
              <w:rPr>
                <w:rFonts w:ascii="宋体" w:hAnsi="宋体"/>
                <w:color w:val="000000"/>
                <w:sz w:val="24"/>
                <w:szCs w:val="24"/>
              </w:rPr>
              <w:t>,000,000.00</w:t>
            </w:r>
          </w:p>
        </w:tc>
        <w:tc>
          <w:tcPr>
            <w:tcW w:w="1837" w:type="dxa"/>
            <w:vAlign w:val="center"/>
          </w:tcPr>
          <w:p w14:paraId="097F2FB5"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80.88</w:t>
            </w:r>
          </w:p>
        </w:tc>
      </w:tr>
      <w:tr w:rsidR="00E0076E" w:rsidRPr="007D35CC" w14:paraId="2080A945" w14:textId="77777777" w:rsidTr="007405B9">
        <w:trPr>
          <w:jc w:val="center"/>
        </w:trPr>
        <w:tc>
          <w:tcPr>
            <w:tcW w:w="718" w:type="dxa"/>
            <w:vAlign w:val="center"/>
          </w:tcPr>
          <w:p w14:paraId="4E9649C9" w14:textId="77777777" w:rsidR="00E0076E" w:rsidRPr="007D35CC" w:rsidRDefault="00E0076E" w:rsidP="007405B9">
            <w:pPr>
              <w:spacing w:before="29" w:line="288" w:lineRule="auto"/>
              <w:ind w:left="17"/>
              <w:jc w:val="center"/>
              <w:rPr>
                <w:rFonts w:ascii="宋体" w:hAnsi="宋体"/>
                <w:color w:val="000000"/>
                <w:sz w:val="24"/>
                <w:szCs w:val="24"/>
              </w:rPr>
            </w:pPr>
          </w:p>
        </w:tc>
        <w:tc>
          <w:tcPr>
            <w:tcW w:w="3346" w:type="dxa"/>
            <w:vAlign w:val="center"/>
          </w:tcPr>
          <w:p w14:paraId="76997B02"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其中：买断式回购的买入返售金融资产</w:t>
            </w:r>
          </w:p>
        </w:tc>
        <w:tc>
          <w:tcPr>
            <w:tcW w:w="2967" w:type="dxa"/>
            <w:vAlign w:val="center"/>
          </w:tcPr>
          <w:p w14:paraId="7910F781"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c>
          <w:tcPr>
            <w:tcW w:w="1837" w:type="dxa"/>
            <w:vAlign w:val="center"/>
          </w:tcPr>
          <w:p w14:paraId="1AF412C4" w14:textId="77777777" w:rsidR="00E0076E" w:rsidRPr="007D35CC" w:rsidRDefault="00E0076E" w:rsidP="007405B9">
            <w:pPr>
              <w:spacing w:before="29" w:line="288" w:lineRule="auto"/>
              <w:ind w:left="17"/>
              <w:jc w:val="right"/>
              <w:rPr>
                <w:rFonts w:ascii="宋体" w:hAnsi="宋体"/>
                <w:color w:val="000000"/>
                <w:sz w:val="24"/>
                <w:szCs w:val="24"/>
              </w:rPr>
            </w:pPr>
            <w:r w:rsidRPr="007D35CC">
              <w:rPr>
                <w:rFonts w:ascii="宋体" w:hAnsi="宋体"/>
                <w:color w:val="000000"/>
                <w:sz w:val="24"/>
                <w:szCs w:val="24"/>
              </w:rPr>
              <w:t>-</w:t>
            </w:r>
          </w:p>
        </w:tc>
      </w:tr>
      <w:tr w:rsidR="00E0076E" w:rsidRPr="007D35CC" w14:paraId="1A520A8B" w14:textId="77777777" w:rsidTr="007405B9">
        <w:trPr>
          <w:jc w:val="center"/>
        </w:trPr>
        <w:tc>
          <w:tcPr>
            <w:tcW w:w="718" w:type="dxa"/>
            <w:vAlign w:val="center"/>
          </w:tcPr>
          <w:p w14:paraId="02EA7B29"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6</w:t>
            </w:r>
          </w:p>
        </w:tc>
        <w:tc>
          <w:tcPr>
            <w:tcW w:w="3346" w:type="dxa"/>
            <w:vAlign w:val="center"/>
          </w:tcPr>
          <w:p w14:paraId="7883851F" w14:textId="77777777" w:rsidR="00E0076E" w:rsidRPr="007D35CC" w:rsidRDefault="00E0076E" w:rsidP="007405B9">
            <w:pPr>
              <w:spacing w:before="29" w:line="288" w:lineRule="auto"/>
              <w:ind w:left="17"/>
              <w:jc w:val="left"/>
              <w:rPr>
                <w:rFonts w:ascii="宋体" w:hAnsi="宋体"/>
                <w:sz w:val="24"/>
                <w:szCs w:val="24"/>
              </w:rPr>
            </w:pPr>
            <w:r w:rsidRPr="007D35CC">
              <w:rPr>
                <w:rFonts w:ascii="宋体" w:hAnsi="宋体"/>
                <w:color w:val="000000"/>
                <w:sz w:val="24"/>
                <w:szCs w:val="24"/>
              </w:rPr>
              <w:t>银行存款和结算备付金合计</w:t>
            </w:r>
          </w:p>
        </w:tc>
        <w:tc>
          <w:tcPr>
            <w:tcW w:w="2967" w:type="dxa"/>
            <w:vAlign w:val="center"/>
          </w:tcPr>
          <w:p w14:paraId="6896DD10"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2</w:t>
            </w:r>
            <w:r w:rsidRPr="007D35CC">
              <w:rPr>
                <w:rFonts w:ascii="宋体" w:hAnsi="宋体"/>
                <w:color w:val="000000"/>
                <w:sz w:val="24"/>
                <w:szCs w:val="24"/>
              </w:rPr>
              <w:t>,</w:t>
            </w:r>
            <w:r>
              <w:rPr>
                <w:rFonts w:ascii="宋体" w:hAnsi="宋体"/>
                <w:color w:val="000000"/>
                <w:sz w:val="24"/>
                <w:szCs w:val="24"/>
              </w:rPr>
              <w:t>189</w:t>
            </w:r>
            <w:r w:rsidRPr="007D35CC">
              <w:rPr>
                <w:rFonts w:ascii="宋体" w:hAnsi="宋体"/>
                <w:color w:val="000000"/>
                <w:sz w:val="24"/>
                <w:szCs w:val="24"/>
              </w:rPr>
              <w:t>,</w:t>
            </w:r>
            <w:r>
              <w:rPr>
                <w:rFonts w:ascii="宋体" w:hAnsi="宋体"/>
                <w:color w:val="000000"/>
                <w:sz w:val="24"/>
                <w:szCs w:val="24"/>
              </w:rPr>
              <w:t>008</w:t>
            </w:r>
            <w:r w:rsidRPr="007D35CC">
              <w:rPr>
                <w:rFonts w:ascii="宋体" w:hAnsi="宋体"/>
                <w:color w:val="000000"/>
                <w:sz w:val="24"/>
                <w:szCs w:val="24"/>
              </w:rPr>
              <w:t>.</w:t>
            </w:r>
            <w:r>
              <w:rPr>
                <w:rFonts w:ascii="宋体" w:hAnsi="宋体"/>
                <w:color w:val="000000"/>
                <w:sz w:val="24"/>
                <w:szCs w:val="24"/>
              </w:rPr>
              <w:t>23</w:t>
            </w:r>
          </w:p>
        </w:tc>
        <w:tc>
          <w:tcPr>
            <w:tcW w:w="1837" w:type="dxa"/>
            <w:vAlign w:val="center"/>
          </w:tcPr>
          <w:p w14:paraId="7EABA7D1" w14:textId="77777777" w:rsidR="00E0076E" w:rsidRPr="007D35CC" w:rsidRDefault="00E0076E" w:rsidP="007405B9">
            <w:pPr>
              <w:spacing w:before="29" w:line="288" w:lineRule="auto"/>
              <w:ind w:left="17"/>
              <w:jc w:val="right"/>
              <w:rPr>
                <w:rFonts w:ascii="宋体" w:hAnsi="宋体"/>
                <w:color w:val="000000"/>
                <w:sz w:val="24"/>
                <w:szCs w:val="24"/>
              </w:rPr>
            </w:pPr>
            <w:r>
              <w:rPr>
                <w:rFonts w:ascii="宋体" w:hAnsi="宋体"/>
                <w:color w:val="000000"/>
                <w:sz w:val="24"/>
                <w:szCs w:val="24"/>
              </w:rPr>
              <w:t>1</w:t>
            </w:r>
            <w:r w:rsidRPr="007D35CC">
              <w:rPr>
                <w:rFonts w:ascii="宋体" w:hAnsi="宋体"/>
                <w:color w:val="000000"/>
                <w:sz w:val="24"/>
                <w:szCs w:val="24"/>
              </w:rPr>
              <w:t>.</w:t>
            </w:r>
            <w:r>
              <w:rPr>
                <w:rFonts w:ascii="宋体" w:hAnsi="宋体"/>
                <w:color w:val="000000"/>
                <w:sz w:val="24"/>
                <w:szCs w:val="24"/>
              </w:rPr>
              <w:t>97</w:t>
            </w:r>
          </w:p>
        </w:tc>
      </w:tr>
      <w:tr w:rsidR="00E0076E" w:rsidRPr="007D35CC" w14:paraId="0B57FF8D" w14:textId="77777777" w:rsidTr="007405B9">
        <w:trPr>
          <w:jc w:val="center"/>
        </w:trPr>
        <w:tc>
          <w:tcPr>
            <w:tcW w:w="718" w:type="dxa"/>
            <w:vAlign w:val="center"/>
          </w:tcPr>
          <w:p w14:paraId="586B35A9"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7</w:t>
            </w:r>
          </w:p>
        </w:tc>
        <w:tc>
          <w:tcPr>
            <w:tcW w:w="3346" w:type="dxa"/>
            <w:vAlign w:val="center"/>
          </w:tcPr>
          <w:p w14:paraId="23F672F5" w14:textId="77777777" w:rsidR="00E0076E" w:rsidRPr="007D35CC" w:rsidRDefault="00E0076E" w:rsidP="007405B9">
            <w:pPr>
              <w:spacing w:before="29" w:line="288" w:lineRule="auto"/>
              <w:jc w:val="left"/>
              <w:rPr>
                <w:rFonts w:ascii="宋体" w:hAnsi="宋体"/>
                <w:sz w:val="24"/>
                <w:szCs w:val="24"/>
              </w:rPr>
            </w:pPr>
            <w:r w:rsidRPr="007D35CC">
              <w:rPr>
                <w:rFonts w:ascii="宋体" w:hAnsi="宋体"/>
                <w:color w:val="000000"/>
                <w:sz w:val="24"/>
                <w:szCs w:val="24"/>
              </w:rPr>
              <w:t>其他资产</w:t>
            </w:r>
          </w:p>
        </w:tc>
        <w:tc>
          <w:tcPr>
            <w:tcW w:w="2967" w:type="dxa"/>
            <w:vAlign w:val="center"/>
          </w:tcPr>
          <w:p w14:paraId="40A4DD52" w14:textId="77777777" w:rsidR="00E0076E" w:rsidRPr="007D35CC" w:rsidRDefault="00E0076E" w:rsidP="007405B9">
            <w:pPr>
              <w:spacing w:before="29" w:line="288" w:lineRule="auto"/>
              <w:jc w:val="right"/>
              <w:rPr>
                <w:rFonts w:ascii="宋体" w:hAnsi="宋体"/>
                <w:color w:val="000000"/>
                <w:sz w:val="24"/>
                <w:szCs w:val="24"/>
              </w:rPr>
            </w:pPr>
            <w:r>
              <w:rPr>
                <w:rFonts w:ascii="宋体" w:hAnsi="宋体"/>
                <w:color w:val="000000"/>
                <w:sz w:val="24"/>
                <w:szCs w:val="24"/>
              </w:rPr>
              <w:t>9</w:t>
            </w:r>
            <w:r w:rsidRPr="007D35CC">
              <w:rPr>
                <w:rFonts w:ascii="宋体" w:hAnsi="宋体"/>
                <w:color w:val="000000"/>
                <w:sz w:val="24"/>
                <w:szCs w:val="24"/>
              </w:rPr>
              <w:t>,1</w:t>
            </w:r>
            <w:r>
              <w:rPr>
                <w:rFonts w:ascii="宋体" w:hAnsi="宋体"/>
                <w:color w:val="000000"/>
                <w:sz w:val="24"/>
                <w:szCs w:val="24"/>
              </w:rPr>
              <w:t>36</w:t>
            </w:r>
            <w:r w:rsidRPr="007D35CC">
              <w:rPr>
                <w:rFonts w:ascii="宋体" w:hAnsi="宋体"/>
                <w:color w:val="000000"/>
                <w:sz w:val="24"/>
                <w:szCs w:val="24"/>
              </w:rPr>
              <w:t>,</w:t>
            </w:r>
            <w:r>
              <w:rPr>
                <w:rFonts w:ascii="宋体" w:hAnsi="宋体"/>
                <w:color w:val="000000"/>
                <w:sz w:val="24"/>
                <w:szCs w:val="24"/>
              </w:rPr>
              <w:t>076</w:t>
            </w:r>
            <w:r w:rsidRPr="007D35CC">
              <w:rPr>
                <w:rFonts w:ascii="宋体" w:hAnsi="宋体"/>
                <w:color w:val="000000"/>
                <w:sz w:val="24"/>
                <w:szCs w:val="24"/>
              </w:rPr>
              <w:t>.</w:t>
            </w:r>
            <w:r>
              <w:rPr>
                <w:rFonts w:ascii="宋体" w:hAnsi="宋体"/>
                <w:color w:val="000000"/>
                <w:sz w:val="24"/>
                <w:szCs w:val="24"/>
              </w:rPr>
              <w:t>53</w:t>
            </w:r>
          </w:p>
        </w:tc>
        <w:tc>
          <w:tcPr>
            <w:tcW w:w="1837" w:type="dxa"/>
            <w:vAlign w:val="center"/>
          </w:tcPr>
          <w:p w14:paraId="0FCB7519" w14:textId="77777777" w:rsidR="00E0076E" w:rsidRPr="007D35CC" w:rsidRDefault="00E0076E" w:rsidP="007405B9">
            <w:pPr>
              <w:spacing w:before="29" w:line="288" w:lineRule="auto"/>
              <w:jc w:val="right"/>
              <w:rPr>
                <w:rFonts w:ascii="宋体" w:hAnsi="宋体"/>
                <w:color w:val="000000"/>
                <w:sz w:val="24"/>
                <w:szCs w:val="24"/>
              </w:rPr>
            </w:pPr>
            <w:r>
              <w:rPr>
                <w:rFonts w:ascii="宋体" w:hAnsi="宋体"/>
                <w:color w:val="000000"/>
                <w:sz w:val="24"/>
                <w:szCs w:val="24"/>
              </w:rPr>
              <w:t>8</w:t>
            </w:r>
            <w:r w:rsidRPr="007D35CC">
              <w:rPr>
                <w:rFonts w:ascii="宋体" w:hAnsi="宋体"/>
                <w:color w:val="000000"/>
                <w:sz w:val="24"/>
                <w:szCs w:val="24"/>
              </w:rPr>
              <w:t>.</w:t>
            </w:r>
            <w:r>
              <w:rPr>
                <w:rFonts w:ascii="宋体" w:hAnsi="宋体"/>
                <w:color w:val="000000"/>
                <w:sz w:val="24"/>
                <w:szCs w:val="24"/>
              </w:rPr>
              <w:t>21</w:t>
            </w:r>
          </w:p>
        </w:tc>
      </w:tr>
      <w:tr w:rsidR="00E0076E" w:rsidRPr="007D35CC" w14:paraId="0EC1456D" w14:textId="77777777" w:rsidTr="007405B9">
        <w:trPr>
          <w:jc w:val="center"/>
        </w:trPr>
        <w:tc>
          <w:tcPr>
            <w:tcW w:w="718" w:type="dxa"/>
            <w:vAlign w:val="center"/>
          </w:tcPr>
          <w:p w14:paraId="49F371EE" w14:textId="77777777" w:rsidR="00E0076E" w:rsidRPr="007D35CC" w:rsidRDefault="00E0076E" w:rsidP="007405B9">
            <w:pPr>
              <w:spacing w:before="29" w:line="288" w:lineRule="auto"/>
              <w:ind w:left="17"/>
              <w:jc w:val="center"/>
              <w:rPr>
                <w:rFonts w:ascii="宋体" w:hAnsi="宋体"/>
                <w:color w:val="000000"/>
                <w:sz w:val="24"/>
                <w:szCs w:val="24"/>
              </w:rPr>
            </w:pPr>
            <w:r w:rsidRPr="007D35CC">
              <w:rPr>
                <w:rFonts w:ascii="宋体" w:hAnsi="宋体"/>
                <w:color w:val="000000"/>
                <w:sz w:val="24"/>
                <w:szCs w:val="24"/>
              </w:rPr>
              <w:t>8</w:t>
            </w:r>
          </w:p>
        </w:tc>
        <w:tc>
          <w:tcPr>
            <w:tcW w:w="3346" w:type="dxa"/>
            <w:vAlign w:val="center"/>
          </w:tcPr>
          <w:p w14:paraId="1B6689A9" w14:textId="77777777" w:rsidR="00E0076E" w:rsidRPr="007D35CC" w:rsidRDefault="00E0076E" w:rsidP="007405B9">
            <w:pPr>
              <w:spacing w:before="29" w:line="288" w:lineRule="auto"/>
              <w:jc w:val="left"/>
              <w:rPr>
                <w:rFonts w:ascii="宋体" w:hAnsi="宋体"/>
                <w:sz w:val="24"/>
                <w:szCs w:val="24"/>
              </w:rPr>
            </w:pPr>
            <w:r w:rsidRPr="007D35CC">
              <w:rPr>
                <w:rFonts w:ascii="宋体" w:hAnsi="宋体"/>
                <w:color w:val="000000"/>
                <w:sz w:val="24"/>
                <w:szCs w:val="24"/>
              </w:rPr>
              <w:t>合计</w:t>
            </w:r>
          </w:p>
        </w:tc>
        <w:tc>
          <w:tcPr>
            <w:tcW w:w="2967" w:type="dxa"/>
            <w:vAlign w:val="center"/>
          </w:tcPr>
          <w:p w14:paraId="47BBD5D6" w14:textId="77777777" w:rsidR="00E0076E" w:rsidRPr="007D35CC" w:rsidRDefault="00E0076E" w:rsidP="007405B9">
            <w:pPr>
              <w:spacing w:before="29" w:line="288" w:lineRule="auto"/>
              <w:jc w:val="right"/>
              <w:rPr>
                <w:rFonts w:ascii="宋体" w:hAnsi="宋体"/>
                <w:color w:val="000000"/>
                <w:sz w:val="24"/>
                <w:szCs w:val="24"/>
              </w:rPr>
            </w:pPr>
            <w:r w:rsidRPr="007D35CC">
              <w:rPr>
                <w:rFonts w:ascii="宋体" w:hAnsi="宋体"/>
                <w:color w:val="000000"/>
                <w:sz w:val="24"/>
                <w:szCs w:val="24"/>
              </w:rPr>
              <w:t>1</w:t>
            </w:r>
            <w:r>
              <w:rPr>
                <w:rFonts w:ascii="宋体" w:hAnsi="宋体"/>
                <w:color w:val="000000"/>
                <w:sz w:val="24"/>
                <w:szCs w:val="24"/>
              </w:rPr>
              <w:t>11,278</w:t>
            </w:r>
            <w:r w:rsidRPr="007D35CC">
              <w:rPr>
                <w:rFonts w:ascii="宋体" w:hAnsi="宋体"/>
                <w:color w:val="000000"/>
                <w:sz w:val="24"/>
                <w:szCs w:val="24"/>
              </w:rPr>
              <w:t>,</w:t>
            </w:r>
            <w:r>
              <w:rPr>
                <w:rFonts w:ascii="宋体" w:hAnsi="宋体"/>
                <w:color w:val="000000"/>
                <w:sz w:val="24"/>
                <w:szCs w:val="24"/>
              </w:rPr>
              <w:t>084</w:t>
            </w:r>
            <w:r w:rsidRPr="007D35CC">
              <w:rPr>
                <w:rFonts w:ascii="宋体" w:hAnsi="宋体"/>
                <w:color w:val="000000"/>
                <w:sz w:val="24"/>
                <w:szCs w:val="24"/>
              </w:rPr>
              <w:t>.7</w:t>
            </w:r>
            <w:r>
              <w:rPr>
                <w:rFonts w:ascii="宋体" w:hAnsi="宋体"/>
                <w:color w:val="000000"/>
                <w:sz w:val="24"/>
                <w:szCs w:val="24"/>
              </w:rPr>
              <w:t>6</w:t>
            </w:r>
          </w:p>
        </w:tc>
        <w:tc>
          <w:tcPr>
            <w:tcW w:w="1837" w:type="dxa"/>
            <w:vAlign w:val="center"/>
          </w:tcPr>
          <w:p w14:paraId="0C074A7D" w14:textId="77777777" w:rsidR="00E0076E" w:rsidRPr="007D35CC" w:rsidRDefault="00E0076E" w:rsidP="007405B9">
            <w:pPr>
              <w:spacing w:before="29" w:line="288" w:lineRule="auto"/>
              <w:jc w:val="right"/>
              <w:rPr>
                <w:rFonts w:ascii="宋体" w:hAnsi="宋体"/>
                <w:color w:val="000000"/>
                <w:sz w:val="24"/>
                <w:szCs w:val="24"/>
              </w:rPr>
            </w:pPr>
            <w:r w:rsidRPr="007D35CC">
              <w:rPr>
                <w:rFonts w:ascii="宋体" w:hAnsi="宋体"/>
                <w:color w:val="000000"/>
                <w:sz w:val="24"/>
                <w:szCs w:val="24"/>
              </w:rPr>
              <w:t>100.00</w:t>
            </w:r>
          </w:p>
        </w:tc>
      </w:tr>
    </w:tbl>
    <w:p w14:paraId="6D50C4C5" w14:textId="77777777" w:rsidR="00B228DB" w:rsidRDefault="00B228DB" w:rsidP="0045249B">
      <w:pPr>
        <w:autoSpaceDE w:val="0"/>
        <w:autoSpaceDN w:val="0"/>
        <w:adjustRightInd w:val="0"/>
        <w:spacing w:before="29" w:line="288" w:lineRule="auto"/>
        <w:ind w:left="15"/>
        <w:jc w:val="left"/>
        <w:rPr>
          <w:rFonts w:ascii="宋体" w:hAnsi="宋体" w:cs="Arial"/>
          <w:b/>
          <w:color w:val="000000"/>
          <w:kern w:val="0"/>
          <w:sz w:val="24"/>
          <w:szCs w:val="24"/>
        </w:rPr>
      </w:pPr>
    </w:p>
    <w:p w14:paraId="279119ED" w14:textId="758126F5"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00B228DB">
        <w:rPr>
          <w:rFonts w:ascii="宋体" w:hAnsi="宋体" w:cs="Arial"/>
          <w:b/>
          <w:color w:val="000000"/>
          <w:kern w:val="0"/>
          <w:sz w:val="24"/>
          <w:szCs w:val="24"/>
        </w:rPr>
        <w:t>2</w:t>
      </w:r>
      <w:r w:rsidRPr="00FD685A">
        <w:rPr>
          <w:rFonts w:ascii="宋体" w:hAnsi="宋体" w:cs="Arial" w:hint="eastAsia"/>
          <w:b/>
          <w:color w:val="000000"/>
          <w:kern w:val="0"/>
          <w:sz w:val="24"/>
          <w:szCs w:val="24"/>
        </w:rPr>
        <w:t>.</w:t>
      </w:r>
      <w:r w:rsidRPr="00FD685A">
        <w:rPr>
          <w:rFonts w:ascii="宋体" w:hAnsi="宋体" w:cs="Arial"/>
          <w:b/>
          <w:color w:val="000000"/>
          <w:kern w:val="0"/>
          <w:sz w:val="24"/>
          <w:szCs w:val="24"/>
        </w:rPr>
        <w:t xml:space="preserve">2 </w:t>
      </w:r>
      <w:r w:rsidRPr="00FD685A">
        <w:rPr>
          <w:rFonts w:ascii="宋体" w:hAnsi="宋体" w:cs="Arial" w:hint="eastAsia"/>
          <w:b/>
          <w:color w:val="000000"/>
          <w:kern w:val="0"/>
          <w:sz w:val="24"/>
          <w:szCs w:val="24"/>
        </w:rPr>
        <w:t>报告期末按行业分类的股票投资组合</w:t>
      </w:r>
    </w:p>
    <w:p w14:paraId="049C5CD6" w14:textId="76C08DF8" w:rsidR="0045249B" w:rsidRPr="00FD685A" w:rsidRDefault="0045249B" w:rsidP="0045249B">
      <w:pPr>
        <w:rPr>
          <w:rFonts w:ascii="宋体" w:hAnsi="宋体"/>
          <w:b/>
          <w:sz w:val="24"/>
          <w:szCs w:val="24"/>
        </w:rPr>
      </w:pPr>
      <w:r w:rsidRPr="00FD685A">
        <w:rPr>
          <w:rFonts w:ascii="宋体" w:hAnsi="宋体" w:hint="eastAsia"/>
          <w:b/>
          <w:color w:val="000000" w:themeColor="text1"/>
          <w:kern w:val="0"/>
          <w:sz w:val="24"/>
          <w:szCs w:val="24"/>
        </w:rPr>
        <w:t>5.</w:t>
      </w:r>
      <w:r w:rsidR="00B228DB">
        <w:rPr>
          <w:rFonts w:ascii="宋体" w:hAnsi="宋体"/>
          <w:b/>
          <w:color w:val="000000" w:themeColor="text1"/>
          <w:kern w:val="0"/>
          <w:sz w:val="24"/>
          <w:szCs w:val="24"/>
        </w:rPr>
        <w:t>2</w:t>
      </w:r>
      <w:r w:rsidRPr="00FD685A">
        <w:rPr>
          <w:rFonts w:ascii="宋体" w:hAnsi="宋体" w:hint="eastAsia"/>
          <w:b/>
          <w:color w:val="000000" w:themeColor="text1"/>
          <w:kern w:val="0"/>
          <w:sz w:val="24"/>
          <w:szCs w:val="24"/>
        </w:rPr>
        <w:t>.2.1报告期末按行业分类的境内股票投资组合</w:t>
      </w:r>
    </w:p>
    <w:p w14:paraId="7DA23902" w14:textId="77777777" w:rsidR="0045249B"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本基金本报告期末未持有股票。</w:t>
      </w:r>
    </w:p>
    <w:p w14:paraId="497D65B4" w14:textId="77777777" w:rsidR="00B228DB" w:rsidRDefault="00B228DB" w:rsidP="0045249B">
      <w:pPr>
        <w:autoSpaceDE w:val="0"/>
        <w:autoSpaceDN w:val="0"/>
        <w:adjustRightInd w:val="0"/>
        <w:spacing w:before="29" w:line="288" w:lineRule="auto"/>
        <w:ind w:left="15"/>
        <w:jc w:val="left"/>
        <w:rPr>
          <w:rFonts w:ascii="宋体" w:hAnsi="宋体" w:cs="STSong-Light"/>
          <w:color w:val="000000"/>
          <w:sz w:val="24"/>
          <w:szCs w:val="24"/>
        </w:rPr>
      </w:pPr>
    </w:p>
    <w:p w14:paraId="55E68E9F" w14:textId="1C56D02F" w:rsidR="00AC3E77" w:rsidRPr="008A409E" w:rsidRDefault="00AC3E77" w:rsidP="00AC3E77">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w:t>
      </w:r>
      <w:r w:rsidR="00B228DB">
        <w:rPr>
          <w:rFonts w:asciiTheme="minorEastAsia" w:eastAsiaTheme="minorEastAsia" w:hAnsiTheme="minorEastAsia"/>
          <w:b/>
          <w:bCs/>
          <w:color w:val="000000" w:themeColor="text1"/>
          <w:kern w:val="0"/>
          <w:sz w:val="24"/>
        </w:rPr>
        <w:t>.2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14:paraId="08FA4687" w14:textId="77777777" w:rsidR="00AC3E77" w:rsidRDefault="00AC3E77" w:rsidP="00AC3E77">
      <w:pPr>
        <w:spacing w:before="29" w:line="360" w:lineRule="auto"/>
        <w:ind w:left="17"/>
        <w:rPr>
          <w:color w:val="000000"/>
          <w:sz w:val="24"/>
        </w:rPr>
      </w:pPr>
      <w:r w:rsidRPr="00FF0BBF">
        <w:rPr>
          <w:color w:val="000000"/>
          <w:sz w:val="24"/>
        </w:rPr>
        <w:t>本基金本报告期末未持有通过沪港通投资的股票。</w:t>
      </w:r>
    </w:p>
    <w:p w14:paraId="37644278" w14:textId="77777777" w:rsidR="00B228DB" w:rsidRDefault="00B228DB" w:rsidP="00AC3E77">
      <w:pPr>
        <w:spacing w:before="29" w:line="360" w:lineRule="auto"/>
        <w:ind w:left="17"/>
        <w:rPr>
          <w:color w:val="000000"/>
          <w:sz w:val="24"/>
        </w:rPr>
      </w:pPr>
    </w:p>
    <w:p w14:paraId="04705794"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w:t>
      </w:r>
      <w:r w:rsidRPr="00FD685A">
        <w:rPr>
          <w:rFonts w:ascii="宋体" w:hAnsi="宋体" w:cs="Arial"/>
          <w:b/>
          <w:color w:val="000000"/>
          <w:kern w:val="0"/>
          <w:sz w:val="24"/>
          <w:szCs w:val="24"/>
        </w:rPr>
        <w:t xml:space="preserve">3 </w:t>
      </w:r>
      <w:r w:rsidRPr="00FD685A">
        <w:rPr>
          <w:rFonts w:ascii="宋体" w:hAnsi="宋体" w:cs="Arial" w:hint="eastAsia"/>
          <w:b/>
          <w:color w:val="000000"/>
          <w:kern w:val="0"/>
          <w:sz w:val="24"/>
          <w:szCs w:val="24"/>
        </w:rPr>
        <w:t>报告期末按公允价值占基金资产净值比例大小排序的前十名股票投资明细</w:t>
      </w:r>
    </w:p>
    <w:p w14:paraId="64DC7486" w14:textId="77777777" w:rsidR="0045249B" w:rsidRPr="00FD685A"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本基金本报告期末未持有股票。</w:t>
      </w:r>
    </w:p>
    <w:p w14:paraId="786F1583" w14:textId="77777777" w:rsidR="0045249B" w:rsidRPr="00FD685A" w:rsidRDefault="0045249B" w:rsidP="0045249B">
      <w:pPr>
        <w:autoSpaceDE w:val="0"/>
        <w:autoSpaceDN w:val="0"/>
        <w:adjustRightInd w:val="0"/>
        <w:spacing w:line="360" w:lineRule="auto"/>
        <w:jc w:val="left"/>
        <w:rPr>
          <w:rFonts w:ascii="宋体" w:hAnsi="宋体"/>
          <w:b/>
          <w:bCs/>
          <w:color w:val="000000" w:themeColor="text1"/>
          <w:kern w:val="0"/>
          <w:sz w:val="24"/>
          <w:szCs w:val="24"/>
        </w:rPr>
      </w:pPr>
    </w:p>
    <w:p w14:paraId="589944D0"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w:t>
      </w:r>
      <w:r w:rsidRPr="00FD685A">
        <w:rPr>
          <w:rFonts w:ascii="宋体" w:hAnsi="宋体" w:cs="Arial"/>
          <w:b/>
          <w:color w:val="000000"/>
          <w:kern w:val="0"/>
          <w:sz w:val="24"/>
          <w:szCs w:val="24"/>
        </w:rPr>
        <w:t xml:space="preserve">4 </w:t>
      </w:r>
      <w:r w:rsidRPr="00FD685A">
        <w:rPr>
          <w:rFonts w:ascii="宋体" w:hAnsi="宋体" w:cs="Arial" w:hint="eastAsia"/>
          <w:b/>
          <w:color w:val="000000"/>
          <w:kern w:val="0"/>
          <w:sz w:val="24"/>
          <w:szCs w:val="24"/>
        </w:rPr>
        <w:t>报告期末按债券品种分类的债券投资组合</w:t>
      </w:r>
    </w:p>
    <w:tbl>
      <w:tblPr>
        <w:tblStyle w:val="af7"/>
        <w:tblW w:w="8890" w:type="dxa"/>
        <w:jc w:val="center"/>
        <w:tblLayout w:type="fixed"/>
        <w:tblLook w:val="04A0" w:firstRow="1" w:lastRow="0" w:firstColumn="1" w:lastColumn="0" w:noHBand="0" w:noVBand="1"/>
      </w:tblPr>
      <w:tblGrid>
        <w:gridCol w:w="952"/>
        <w:gridCol w:w="3260"/>
        <w:gridCol w:w="2949"/>
        <w:gridCol w:w="1729"/>
      </w:tblGrid>
      <w:tr w:rsidR="0045249B" w:rsidRPr="00FD685A" w14:paraId="11537C06" w14:textId="77777777" w:rsidTr="00B575F8">
        <w:trPr>
          <w:jc w:val="center"/>
        </w:trPr>
        <w:tc>
          <w:tcPr>
            <w:tcW w:w="952" w:type="dxa"/>
            <w:vAlign w:val="center"/>
          </w:tcPr>
          <w:p w14:paraId="0AF1D414"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序号</w:t>
            </w:r>
          </w:p>
        </w:tc>
        <w:tc>
          <w:tcPr>
            <w:tcW w:w="3260" w:type="dxa"/>
            <w:vAlign w:val="center"/>
          </w:tcPr>
          <w:p w14:paraId="7A61C80C"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债券品种</w:t>
            </w:r>
          </w:p>
        </w:tc>
        <w:tc>
          <w:tcPr>
            <w:tcW w:w="2949" w:type="dxa"/>
            <w:vAlign w:val="center"/>
          </w:tcPr>
          <w:p w14:paraId="14446AD3"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公允价值(元)</w:t>
            </w:r>
          </w:p>
        </w:tc>
        <w:tc>
          <w:tcPr>
            <w:tcW w:w="1729" w:type="dxa"/>
            <w:vAlign w:val="center"/>
          </w:tcPr>
          <w:p w14:paraId="1FC2DAE0"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占基金资产净值比例(％)</w:t>
            </w:r>
          </w:p>
        </w:tc>
      </w:tr>
      <w:tr w:rsidR="0045249B" w:rsidRPr="00FD685A" w14:paraId="58A51D5E" w14:textId="77777777" w:rsidTr="00B575F8">
        <w:trPr>
          <w:jc w:val="center"/>
        </w:trPr>
        <w:tc>
          <w:tcPr>
            <w:tcW w:w="952" w:type="dxa"/>
            <w:vAlign w:val="center"/>
          </w:tcPr>
          <w:p w14:paraId="4AC9B1F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1</w:t>
            </w:r>
          </w:p>
        </w:tc>
        <w:tc>
          <w:tcPr>
            <w:tcW w:w="3260" w:type="dxa"/>
            <w:vAlign w:val="center"/>
          </w:tcPr>
          <w:p w14:paraId="36BC5A7F"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国家债券</w:t>
            </w:r>
          </w:p>
        </w:tc>
        <w:tc>
          <w:tcPr>
            <w:tcW w:w="2949" w:type="dxa"/>
            <w:vAlign w:val="center"/>
          </w:tcPr>
          <w:p w14:paraId="72E87BD9"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5BE41922"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29F6F5AD" w14:textId="77777777" w:rsidTr="00B575F8">
        <w:trPr>
          <w:jc w:val="center"/>
        </w:trPr>
        <w:tc>
          <w:tcPr>
            <w:tcW w:w="952" w:type="dxa"/>
            <w:vAlign w:val="center"/>
          </w:tcPr>
          <w:p w14:paraId="51648E3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2</w:t>
            </w:r>
          </w:p>
        </w:tc>
        <w:tc>
          <w:tcPr>
            <w:tcW w:w="3260" w:type="dxa"/>
            <w:vAlign w:val="center"/>
          </w:tcPr>
          <w:p w14:paraId="19AFCEFC"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央行票据</w:t>
            </w:r>
          </w:p>
        </w:tc>
        <w:tc>
          <w:tcPr>
            <w:tcW w:w="2949" w:type="dxa"/>
            <w:vAlign w:val="center"/>
          </w:tcPr>
          <w:p w14:paraId="08A46394"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258CE9ED"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0110230E" w14:textId="77777777" w:rsidTr="00B575F8">
        <w:trPr>
          <w:jc w:val="center"/>
        </w:trPr>
        <w:tc>
          <w:tcPr>
            <w:tcW w:w="952" w:type="dxa"/>
            <w:vAlign w:val="center"/>
          </w:tcPr>
          <w:p w14:paraId="023BB9C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3</w:t>
            </w:r>
          </w:p>
        </w:tc>
        <w:tc>
          <w:tcPr>
            <w:tcW w:w="3260" w:type="dxa"/>
            <w:vAlign w:val="center"/>
          </w:tcPr>
          <w:p w14:paraId="4851D4AA"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金融债券</w:t>
            </w:r>
          </w:p>
        </w:tc>
        <w:tc>
          <w:tcPr>
            <w:tcW w:w="2949" w:type="dxa"/>
            <w:vAlign w:val="center"/>
          </w:tcPr>
          <w:p w14:paraId="06585667"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05F77354"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40BA3DB1" w14:textId="77777777" w:rsidTr="00B575F8">
        <w:trPr>
          <w:jc w:val="center"/>
        </w:trPr>
        <w:tc>
          <w:tcPr>
            <w:tcW w:w="952" w:type="dxa"/>
            <w:vAlign w:val="center"/>
          </w:tcPr>
          <w:p w14:paraId="631D72C7"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p>
        </w:tc>
        <w:tc>
          <w:tcPr>
            <w:tcW w:w="3260" w:type="dxa"/>
            <w:vAlign w:val="center"/>
          </w:tcPr>
          <w:p w14:paraId="7BC919F4"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其中：政策性金融债</w:t>
            </w:r>
          </w:p>
        </w:tc>
        <w:tc>
          <w:tcPr>
            <w:tcW w:w="2949" w:type="dxa"/>
            <w:vAlign w:val="center"/>
          </w:tcPr>
          <w:p w14:paraId="6CF58CE4"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232AEC5C"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377043F3" w14:textId="77777777" w:rsidTr="00B575F8">
        <w:trPr>
          <w:jc w:val="center"/>
        </w:trPr>
        <w:tc>
          <w:tcPr>
            <w:tcW w:w="952" w:type="dxa"/>
            <w:vAlign w:val="center"/>
          </w:tcPr>
          <w:p w14:paraId="43DD98F3"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4</w:t>
            </w:r>
          </w:p>
        </w:tc>
        <w:tc>
          <w:tcPr>
            <w:tcW w:w="3260" w:type="dxa"/>
            <w:vAlign w:val="center"/>
          </w:tcPr>
          <w:p w14:paraId="27418077"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企业债券</w:t>
            </w:r>
          </w:p>
        </w:tc>
        <w:tc>
          <w:tcPr>
            <w:tcW w:w="2949" w:type="dxa"/>
            <w:vAlign w:val="center"/>
          </w:tcPr>
          <w:p w14:paraId="16EA1512"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2D372417"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2C6D33B8" w14:textId="77777777" w:rsidTr="00B575F8">
        <w:trPr>
          <w:jc w:val="center"/>
        </w:trPr>
        <w:tc>
          <w:tcPr>
            <w:tcW w:w="952" w:type="dxa"/>
            <w:vAlign w:val="center"/>
          </w:tcPr>
          <w:p w14:paraId="68EB8097"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5</w:t>
            </w:r>
          </w:p>
        </w:tc>
        <w:tc>
          <w:tcPr>
            <w:tcW w:w="3260" w:type="dxa"/>
            <w:vAlign w:val="center"/>
          </w:tcPr>
          <w:p w14:paraId="2DB10D5A"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企业短期融资券</w:t>
            </w:r>
          </w:p>
        </w:tc>
        <w:tc>
          <w:tcPr>
            <w:tcW w:w="2949" w:type="dxa"/>
            <w:vAlign w:val="center"/>
          </w:tcPr>
          <w:p w14:paraId="7C5A1021" w14:textId="77777777" w:rsidR="0045249B" w:rsidRPr="00FD685A" w:rsidRDefault="00E0076E" w:rsidP="00F1734D">
            <w:pPr>
              <w:autoSpaceDE w:val="0"/>
              <w:autoSpaceDN w:val="0"/>
              <w:adjustRightInd w:val="0"/>
              <w:spacing w:before="29" w:line="288" w:lineRule="auto"/>
              <w:ind w:left="15"/>
              <w:jc w:val="right"/>
              <w:rPr>
                <w:rFonts w:ascii="宋体" w:hAnsi="宋体" w:cs="Arial"/>
                <w:color w:val="000000"/>
                <w:sz w:val="24"/>
                <w:szCs w:val="24"/>
              </w:rPr>
            </w:pPr>
            <w:r w:rsidRPr="007D35CC">
              <w:rPr>
                <w:rFonts w:ascii="宋体" w:hAnsi="宋体"/>
                <w:color w:val="000000"/>
                <w:sz w:val="24"/>
                <w:szCs w:val="24"/>
              </w:rPr>
              <w:t>9,95</w:t>
            </w:r>
            <w:r>
              <w:rPr>
                <w:rFonts w:ascii="宋体" w:hAnsi="宋体"/>
                <w:color w:val="000000"/>
                <w:sz w:val="24"/>
                <w:szCs w:val="24"/>
              </w:rPr>
              <w:t>3</w:t>
            </w:r>
            <w:r w:rsidRPr="007D35CC">
              <w:rPr>
                <w:rFonts w:ascii="宋体" w:hAnsi="宋体"/>
                <w:color w:val="000000"/>
                <w:sz w:val="24"/>
                <w:szCs w:val="24"/>
              </w:rPr>
              <w:t>,000.00</w:t>
            </w:r>
          </w:p>
        </w:tc>
        <w:tc>
          <w:tcPr>
            <w:tcW w:w="1729" w:type="dxa"/>
            <w:vAlign w:val="center"/>
          </w:tcPr>
          <w:p w14:paraId="2629CB69" w14:textId="5893C53A" w:rsidR="0045249B" w:rsidRPr="00FD685A" w:rsidRDefault="00115B33">
            <w:pPr>
              <w:autoSpaceDE w:val="0"/>
              <w:autoSpaceDN w:val="0"/>
              <w:adjustRightInd w:val="0"/>
              <w:spacing w:before="29" w:line="288" w:lineRule="auto"/>
              <w:ind w:left="15"/>
              <w:jc w:val="right"/>
              <w:rPr>
                <w:rFonts w:ascii="宋体" w:hAnsi="宋体" w:cs="Arial"/>
                <w:color w:val="000000"/>
                <w:sz w:val="24"/>
                <w:szCs w:val="24"/>
              </w:rPr>
            </w:pPr>
            <w:r>
              <w:rPr>
                <w:rFonts w:ascii="宋体" w:hAnsi="宋体"/>
                <w:color w:val="000000"/>
                <w:sz w:val="24"/>
                <w:szCs w:val="24"/>
              </w:rPr>
              <w:t>9.</w:t>
            </w:r>
            <w:r w:rsidR="0090513E">
              <w:rPr>
                <w:rFonts w:ascii="宋体" w:hAnsi="宋体"/>
                <w:color w:val="000000"/>
                <w:sz w:val="24"/>
                <w:szCs w:val="24"/>
              </w:rPr>
              <w:t>39</w:t>
            </w:r>
          </w:p>
        </w:tc>
      </w:tr>
      <w:tr w:rsidR="0045249B" w:rsidRPr="00FD685A" w14:paraId="652F1D32" w14:textId="77777777" w:rsidTr="00B575F8">
        <w:trPr>
          <w:jc w:val="center"/>
        </w:trPr>
        <w:tc>
          <w:tcPr>
            <w:tcW w:w="952" w:type="dxa"/>
            <w:vAlign w:val="center"/>
          </w:tcPr>
          <w:p w14:paraId="7465D2A3"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6</w:t>
            </w:r>
          </w:p>
        </w:tc>
        <w:tc>
          <w:tcPr>
            <w:tcW w:w="3260" w:type="dxa"/>
            <w:vAlign w:val="center"/>
          </w:tcPr>
          <w:p w14:paraId="014EAB48"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中期票据</w:t>
            </w:r>
          </w:p>
        </w:tc>
        <w:tc>
          <w:tcPr>
            <w:tcW w:w="2949" w:type="dxa"/>
            <w:vAlign w:val="center"/>
          </w:tcPr>
          <w:p w14:paraId="420DAA92"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c>
          <w:tcPr>
            <w:tcW w:w="1729" w:type="dxa"/>
            <w:vAlign w:val="center"/>
          </w:tcPr>
          <w:p w14:paraId="21556C79" w14:textId="77777777" w:rsidR="0045249B" w:rsidRPr="00FD685A" w:rsidRDefault="0045249B" w:rsidP="00F1734D">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45249B" w:rsidRPr="00FD685A" w14:paraId="09E5A515" w14:textId="77777777" w:rsidTr="00B575F8">
        <w:trPr>
          <w:jc w:val="center"/>
        </w:trPr>
        <w:tc>
          <w:tcPr>
            <w:tcW w:w="952" w:type="dxa"/>
            <w:vAlign w:val="center"/>
          </w:tcPr>
          <w:p w14:paraId="5B7FECB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7</w:t>
            </w:r>
          </w:p>
        </w:tc>
        <w:tc>
          <w:tcPr>
            <w:tcW w:w="3260" w:type="dxa"/>
            <w:vAlign w:val="center"/>
          </w:tcPr>
          <w:p w14:paraId="55A820DC"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可转债（可交换债）</w:t>
            </w:r>
          </w:p>
        </w:tc>
        <w:tc>
          <w:tcPr>
            <w:tcW w:w="2949" w:type="dxa"/>
            <w:vAlign w:val="center"/>
          </w:tcPr>
          <w:p w14:paraId="2E017A9B"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09C94841"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47E36454" w14:textId="77777777" w:rsidTr="00B575F8">
        <w:trPr>
          <w:jc w:val="center"/>
        </w:trPr>
        <w:tc>
          <w:tcPr>
            <w:tcW w:w="952" w:type="dxa"/>
            <w:vAlign w:val="center"/>
          </w:tcPr>
          <w:p w14:paraId="49FAC456"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8</w:t>
            </w:r>
          </w:p>
        </w:tc>
        <w:tc>
          <w:tcPr>
            <w:tcW w:w="3260" w:type="dxa"/>
            <w:vAlign w:val="center"/>
          </w:tcPr>
          <w:p w14:paraId="344AE971"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其他</w:t>
            </w:r>
          </w:p>
        </w:tc>
        <w:tc>
          <w:tcPr>
            <w:tcW w:w="2949" w:type="dxa"/>
            <w:vAlign w:val="center"/>
          </w:tcPr>
          <w:p w14:paraId="38EA517E"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c>
          <w:tcPr>
            <w:tcW w:w="1729" w:type="dxa"/>
            <w:vAlign w:val="center"/>
          </w:tcPr>
          <w:p w14:paraId="10452685"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32DF8B41" w14:textId="77777777" w:rsidTr="00B575F8">
        <w:trPr>
          <w:jc w:val="center"/>
        </w:trPr>
        <w:tc>
          <w:tcPr>
            <w:tcW w:w="952" w:type="dxa"/>
            <w:vAlign w:val="center"/>
          </w:tcPr>
          <w:p w14:paraId="798CC434"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9</w:t>
            </w:r>
          </w:p>
        </w:tc>
        <w:tc>
          <w:tcPr>
            <w:tcW w:w="3260" w:type="dxa"/>
            <w:vAlign w:val="center"/>
          </w:tcPr>
          <w:p w14:paraId="284FE8FE" w14:textId="77777777" w:rsidR="0045249B" w:rsidRPr="00FD685A" w:rsidRDefault="0045249B" w:rsidP="00F1734D">
            <w:pPr>
              <w:autoSpaceDE w:val="0"/>
              <w:autoSpaceDN w:val="0"/>
              <w:adjustRightInd w:val="0"/>
              <w:spacing w:before="29" w:line="288" w:lineRule="auto"/>
              <w:ind w:left="15"/>
              <w:jc w:val="left"/>
              <w:rPr>
                <w:rFonts w:ascii="宋体" w:hAnsi="宋体" w:cs="Arial"/>
                <w:color w:val="000000"/>
                <w:sz w:val="24"/>
                <w:szCs w:val="24"/>
              </w:rPr>
            </w:pPr>
            <w:r w:rsidRPr="00FD685A">
              <w:rPr>
                <w:rFonts w:ascii="宋体" w:hAnsi="宋体" w:cs="Arial" w:hint="eastAsia"/>
                <w:color w:val="000000"/>
                <w:sz w:val="24"/>
                <w:szCs w:val="24"/>
              </w:rPr>
              <w:t>合计</w:t>
            </w:r>
          </w:p>
        </w:tc>
        <w:tc>
          <w:tcPr>
            <w:tcW w:w="2949" w:type="dxa"/>
            <w:vAlign w:val="center"/>
          </w:tcPr>
          <w:p w14:paraId="1CAA138B" w14:textId="77777777" w:rsidR="0045249B" w:rsidRPr="00FD685A" w:rsidRDefault="00E0076E" w:rsidP="00CE224B">
            <w:pPr>
              <w:autoSpaceDE w:val="0"/>
              <w:autoSpaceDN w:val="0"/>
              <w:adjustRightInd w:val="0"/>
              <w:spacing w:before="29" w:line="288" w:lineRule="auto"/>
              <w:ind w:left="15"/>
              <w:jc w:val="right"/>
              <w:rPr>
                <w:rFonts w:ascii="宋体" w:hAnsi="宋体" w:cs="Arial"/>
                <w:color w:val="000000"/>
                <w:sz w:val="24"/>
                <w:szCs w:val="24"/>
              </w:rPr>
            </w:pPr>
            <w:r w:rsidRPr="007D35CC">
              <w:rPr>
                <w:rFonts w:ascii="宋体" w:hAnsi="宋体"/>
                <w:color w:val="000000"/>
                <w:sz w:val="24"/>
                <w:szCs w:val="24"/>
              </w:rPr>
              <w:t>9,95</w:t>
            </w:r>
            <w:r>
              <w:rPr>
                <w:rFonts w:ascii="宋体" w:hAnsi="宋体"/>
                <w:color w:val="000000"/>
                <w:sz w:val="24"/>
                <w:szCs w:val="24"/>
              </w:rPr>
              <w:t>3</w:t>
            </w:r>
            <w:r w:rsidRPr="007D35CC">
              <w:rPr>
                <w:rFonts w:ascii="宋体" w:hAnsi="宋体"/>
                <w:color w:val="000000"/>
                <w:sz w:val="24"/>
                <w:szCs w:val="24"/>
              </w:rPr>
              <w:t>,000.00</w:t>
            </w:r>
          </w:p>
        </w:tc>
        <w:tc>
          <w:tcPr>
            <w:tcW w:w="1729" w:type="dxa"/>
            <w:vAlign w:val="center"/>
          </w:tcPr>
          <w:p w14:paraId="43BC88F9" w14:textId="38023A08" w:rsidR="00115B33" w:rsidRPr="00115B33" w:rsidRDefault="00115B33">
            <w:pPr>
              <w:autoSpaceDE w:val="0"/>
              <w:autoSpaceDN w:val="0"/>
              <w:adjustRightInd w:val="0"/>
              <w:spacing w:before="29" w:line="288" w:lineRule="auto"/>
              <w:ind w:left="15"/>
              <w:jc w:val="right"/>
              <w:rPr>
                <w:rFonts w:ascii="宋体" w:hAnsi="宋体"/>
                <w:color w:val="000000"/>
                <w:sz w:val="24"/>
                <w:szCs w:val="24"/>
              </w:rPr>
            </w:pPr>
            <w:r>
              <w:rPr>
                <w:rFonts w:ascii="宋体" w:hAnsi="宋体"/>
                <w:color w:val="000000"/>
                <w:sz w:val="24"/>
                <w:szCs w:val="24"/>
              </w:rPr>
              <w:t>9.</w:t>
            </w:r>
            <w:r w:rsidR="0090513E">
              <w:rPr>
                <w:rFonts w:ascii="宋体" w:hAnsi="宋体"/>
                <w:color w:val="000000"/>
                <w:sz w:val="24"/>
                <w:szCs w:val="24"/>
              </w:rPr>
              <w:t>39</w:t>
            </w:r>
          </w:p>
        </w:tc>
      </w:tr>
    </w:tbl>
    <w:p w14:paraId="44EE0B70" w14:textId="77777777" w:rsidR="0045249B" w:rsidRPr="00FD685A" w:rsidRDefault="0045249B" w:rsidP="0045249B">
      <w:pPr>
        <w:autoSpaceDE w:val="0"/>
        <w:autoSpaceDN w:val="0"/>
        <w:adjustRightInd w:val="0"/>
        <w:spacing w:line="360" w:lineRule="auto"/>
        <w:jc w:val="left"/>
        <w:rPr>
          <w:rFonts w:ascii="宋体" w:hAnsi="宋体"/>
          <w:color w:val="000000" w:themeColor="text1"/>
          <w:kern w:val="0"/>
          <w:sz w:val="24"/>
          <w:szCs w:val="24"/>
        </w:rPr>
      </w:pPr>
    </w:p>
    <w:p w14:paraId="7B39A4D2"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w:t>
      </w:r>
      <w:r w:rsidRPr="00FD685A">
        <w:rPr>
          <w:rFonts w:ascii="宋体" w:hAnsi="宋体" w:cs="Arial"/>
          <w:b/>
          <w:color w:val="000000"/>
          <w:kern w:val="0"/>
          <w:sz w:val="24"/>
          <w:szCs w:val="24"/>
        </w:rPr>
        <w:t xml:space="preserve">5 </w:t>
      </w:r>
      <w:r w:rsidRPr="00FD685A">
        <w:rPr>
          <w:rFonts w:ascii="宋体" w:hAnsi="宋体" w:cs="Arial" w:hint="eastAsia"/>
          <w:b/>
          <w:color w:val="000000"/>
          <w:kern w:val="0"/>
          <w:sz w:val="24"/>
          <w:szCs w:val="24"/>
        </w:rPr>
        <w:t>报告期末按公允价值占基金资产净值比例大小排序的前五名债券投资明细</w:t>
      </w:r>
    </w:p>
    <w:tbl>
      <w:tblPr>
        <w:tblStyle w:val="af7"/>
        <w:tblW w:w="0" w:type="auto"/>
        <w:tblInd w:w="108" w:type="dxa"/>
        <w:tblLayout w:type="fixed"/>
        <w:tblLook w:val="04A0" w:firstRow="1" w:lastRow="0" w:firstColumn="1" w:lastColumn="0" w:noHBand="0" w:noVBand="1"/>
      </w:tblPr>
      <w:tblGrid>
        <w:gridCol w:w="851"/>
        <w:gridCol w:w="1417"/>
        <w:gridCol w:w="1276"/>
        <w:gridCol w:w="1418"/>
        <w:gridCol w:w="1846"/>
        <w:gridCol w:w="2123"/>
      </w:tblGrid>
      <w:tr w:rsidR="0045249B" w:rsidRPr="00FD685A" w14:paraId="1F222C48" w14:textId="77777777" w:rsidTr="00B575F8">
        <w:tc>
          <w:tcPr>
            <w:tcW w:w="851" w:type="dxa"/>
            <w:vAlign w:val="center"/>
          </w:tcPr>
          <w:p w14:paraId="6D750406"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序号</w:t>
            </w:r>
          </w:p>
        </w:tc>
        <w:tc>
          <w:tcPr>
            <w:tcW w:w="1417" w:type="dxa"/>
            <w:vAlign w:val="center"/>
          </w:tcPr>
          <w:p w14:paraId="3D283E36"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债券代码</w:t>
            </w:r>
          </w:p>
        </w:tc>
        <w:tc>
          <w:tcPr>
            <w:tcW w:w="1276" w:type="dxa"/>
            <w:vAlign w:val="center"/>
          </w:tcPr>
          <w:p w14:paraId="4BE763F9"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债券名称</w:t>
            </w:r>
          </w:p>
        </w:tc>
        <w:tc>
          <w:tcPr>
            <w:tcW w:w="1418" w:type="dxa"/>
            <w:vAlign w:val="center"/>
          </w:tcPr>
          <w:p w14:paraId="06F336CE"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数量(张)</w:t>
            </w:r>
          </w:p>
        </w:tc>
        <w:tc>
          <w:tcPr>
            <w:tcW w:w="1846" w:type="dxa"/>
            <w:vAlign w:val="center"/>
          </w:tcPr>
          <w:p w14:paraId="3B8A2D2A"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公允价值</w:t>
            </w:r>
            <w:r w:rsidRPr="00FD685A">
              <w:rPr>
                <w:rFonts w:ascii="宋体" w:hAnsi="宋体" w:cs="Arial"/>
                <w:color w:val="000000"/>
                <w:sz w:val="24"/>
                <w:szCs w:val="24"/>
              </w:rPr>
              <w:t>(</w:t>
            </w:r>
            <w:r w:rsidRPr="00FD685A">
              <w:rPr>
                <w:rFonts w:ascii="宋体" w:hAnsi="宋体" w:cs="Arial" w:hint="eastAsia"/>
                <w:color w:val="000000"/>
                <w:sz w:val="24"/>
                <w:szCs w:val="24"/>
              </w:rPr>
              <w:t>元</w:t>
            </w:r>
            <w:r w:rsidRPr="00FD685A">
              <w:rPr>
                <w:rFonts w:ascii="宋体" w:hAnsi="宋体" w:cs="Arial"/>
                <w:color w:val="000000"/>
                <w:sz w:val="24"/>
                <w:szCs w:val="24"/>
              </w:rPr>
              <w:t>)</w:t>
            </w:r>
          </w:p>
        </w:tc>
        <w:tc>
          <w:tcPr>
            <w:tcW w:w="2123" w:type="dxa"/>
            <w:vAlign w:val="center"/>
          </w:tcPr>
          <w:p w14:paraId="3EF3842B"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占基金资产净值比例(％)</w:t>
            </w:r>
          </w:p>
        </w:tc>
      </w:tr>
      <w:tr w:rsidR="001D3B02" w14:paraId="1495076C" w14:textId="77777777" w:rsidTr="00B575F8">
        <w:tc>
          <w:tcPr>
            <w:tcW w:w="851" w:type="dxa"/>
            <w:vAlign w:val="center"/>
          </w:tcPr>
          <w:p w14:paraId="7D0984A5" w14:textId="77777777" w:rsidR="001D3B02" w:rsidRDefault="00F1734D">
            <w:pPr>
              <w:jc w:val="center"/>
            </w:pPr>
            <w:r>
              <w:rPr>
                <w:rFonts w:ascii="宋体" w:hAnsi="宋体" w:cs="Arial"/>
                <w:color w:val="000000"/>
                <w:sz w:val="24"/>
                <w:szCs w:val="24"/>
              </w:rPr>
              <w:t>1</w:t>
            </w:r>
          </w:p>
        </w:tc>
        <w:tc>
          <w:tcPr>
            <w:tcW w:w="1417" w:type="dxa"/>
            <w:vAlign w:val="center"/>
          </w:tcPr>
          <w:p w14:paraId="71329A83" w14:textId="77777777" w:rsidR="001D3B02" w:rsidRDefault="00F1734D">
            <w:pPr>
              <w:jc w:val="center"/>
            </w:pPr>
            <w:r>
              <w:rPr>
                <w:rFonts w:ascii="宋体" w:hAnsi="宋体" w:cs="Arial"/>
                <w:color w:val="000000"/>
                <w:sz w:val="24"/>
                <w:szCs w:val="24"/>
              </w:rPr>
              <w:t>011698470</w:t>
            </w:r>
          </w:p>
        </w:tc>
        <w:tc>
          <w:tcPr>
            <w:tcW w:w="1276" w:type="dxa"/>
            <w:vAlign w:val="center"/>
          </w:tcPr>
          <w:p w14:paraId="3D5E7512" w14:textId="77777777" w:rsidR="001D3B02" w:rsidRDefault="00F1734D">
            <w:pPr>
              <w:jc w:val="center"/>
            </w:pPr>
            <w:r>
              <w:rPr>
                <w:rFonts w:ascii="宋体" w:hAnsi="宋体" w:cs="Arial"/>
                <w:color w:val="000000"/>
                <w:sz w:val="24"/>
                <w:szCs w:val="24"/>
              </w:rPr>
              <w:t>16南航股SCP009</w:t>
            </w:r>
          </w:p>
        </w:tc>
        <w:tc>
          <w:tcPr>
            <w:tcW w:w="1418" w:type="dxa"/>
            <w:vAlign w:val="center"/>
          </w:tcPr>
          <w:p w14:paraId="6BBE1984" w14:textId="77777777" w:rsidR="001D3B02" w:rsidRDefault="00F1734D">
            <w:pPr>
              <w:jc w:val="right"/>
            </w:pPr>
            <w:r>
              <w:rPr>
                <w:rFonts w:ascii="宋体" w:hAnsi="宋体" w:cs="Arial"/>
                <w:color w:val="000000"/>
                <w:sz w:val="24"/>
                <w:szCs w:val="24"/>
              </w:rPr>
              <w:t>100,000</w:t>
            </w:r>
          </w:p>
        </w:tc>
        <w:tc>
          <w:tcPr>
            <w:tcW w:w="1846" w:type="dxa"/>
            <w:vAlign w:val="center"/>
          </w:tcPr>
          <w:p w14:paraId="76E5BEF5" w14:textId="77777777" w:rsidR="001D3B02" w:rsidRDefault="00E0076E">
            <w:pPr>
              <w:jc w:val="right"/>
            </w:pPr>
            <w:r w:rsidRPr="007D35CC">
              <w:rPr>
                <w:rFonts w:ascii="宋体" w:hAnsi="宋体"/>
                <w:color w:val="000000"/>
                <w:sz w:val="24"/>
                <w:szCs w:val="24"/>
              </w:rPr>
              <w:t>9,95</w:t>
            </w:r>
            <w:r>
              <w:rPr>
                <w:rFonts w:ascii="宋体" w:hAnsi="宋体"/>
                <w:color w:val="000000"/>
                <w:sz w:val="24"/>
                <w:szCs w:val="24"/>
              </w:rPr>
              <w:t>3</w:t>
            </w:r>
            <w:r w:rsidRPr="007D35CC">
              <w:rPr>
                <w:rFonts w:ascii="宋体" w:hAnsi="宋体"/>
                <w:color w:val="000000"/>
                <w:sz w:val="24"/>
                <w:szCs w:val="24"/>
              </w:rPr>
              <w:t>,000.00</w:t>
            </w:r>
          </w:p>
        </w:tc>
        <w:tc>
          <w:tcPr>
            <w:tcW w:w="2123" w:type="dxa"/>
            <w:vAlign w:val="center"/>
          </w:tcPr>
          <w:p w14:paraId="66DBAD52" w14:textId="48791754" w:rsidR="001D3B02" w:rsidRDefault="00115B33">
            <w:pPr>
              <w:jc w:val="right"/>
            </w:pPr>
            <w:r>
              <w:rPr>
                <w:rFonts w:ascii="宋体" w:hAnsi="宋体"/>
                <w:color w:val="000000"/>
                <w:sz w:val="24"/>
                <w:szCs w:val="24"/>
              </w:rPr>
              <w:t>9.</w:t>
            </w:r>
            <w:r w:rsidR="0090513E">
              <w:rPr>
                <w:rFonts w:ascii="宋体" w:hAnsi="宋体"/>
                <w:color w:val="000000"/>
                <w:sz w:val="24"/>
                <w:szCs w:val="24"/>
              </w:rPr>
              <w:t>39</w:t>
            </w:r>
          </w:p>
        </w:tc>
      </w:tr>
    </w:tbl>
    <w:p w14:paraId="344A6B8A" w14:textId="77777777" w:rsidR="0045249B" w:rsidRPr="00FD685A" w:rsidRDefault="0045249B" w:rsidP="0045249B">
      <w:pPr>
        <w:autoSpaceDE w:val="0"/>
        <w:autoSpaceDN w:val="0"/>
        <w:adjustRightInd w:val="0"/>
        <w:spacing w:line="360" w:lineRule="auto"/>
        <w:jc w:val="left"/>
        <w:rPr>
          <w:rFonts w:ascii="宋体" w:hAnsi="宋体"/>
          <w:b/>
          <w:bCs/>
          <w:color w:val="000000" w:themeColor="text1"/>
          <w:kern w:val="0"/>
          <w:sz w:val="24"/>
          <w:szCs w:val="24"/>
        </w:rPr>
      </w:pPr>
    </w:p>
    <w:p w14:paraId="260C548B"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w:t>
      </w:r>
      <w:r w:rsidRPr="00FD685A">
        <w:rPr>
          <w:rFonts w:ascii="宋体" w:hAnsi="宋体" w:cs="Arial"/>
          <w:b/>
          <w:color w:val="000000"/>
          <w:kern w:val="0"/>
          <w:sz w:val="24"/>
          <w:szCs w:val="24"/>
        </w:rPr>
        <w:t xml:space="preserve">6 </w:t>
      </w:r>
      <w:r w:rsidRPr="00FD685A">
        <w:rPr>
          <w:rFonts w:ascii="宋体" w:hAnsi="宋体" w:cs="Arial" w:hint="eastAsia"/>
          <w:b/>
          <w:color w:val="000000"/>
          <w:kern w:val="0"/>
          <w:sz w:val="24"/>
          <w:szCs w:val="24"/>
        </w:rPr>
        <w:t>报告期末按公允价值占基金资产净值比例大小排序的前十名资产支持证券投资明细</w:t>
      </w:r>
    </w:p>
    <w:p w14:paraId="42140FF1" w14:textId="77777777" w:rsidR="0045249B" w:rsidRPr="00FD685A"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本基金本报告期末未持有资产支持证券。</w:t>
      </w:r>
    </w:p>
    <w:p w14:paraId="16B47A47" w14:textId="77777777" w:rsidR="0045249B" w:rsidRPr="00FD685A" w:rsidRDefault="0045249B" w:rsidP="0045249B">
      <w:pPr>
        <w:autoSpaceDE w:val="0"/>
        <w:autoSpaceDN w:val="0"/>
        <w:adjustRightInd w:val="0"/>
        <w:spacing w:line="360" w:lineRule="auto"/>
        <w:jc w:val="left"/>
        <w:rPr>
          <w:rFonts w:ascii="宋体" w:hAnsi="宋体"/>
          <w:color w:val="000000" w:themeColor="text1"/>
          <w:sz w:val="24"/>
          <w:szCs w:val="24"/>
        </w:rPr>
      </w:pPr>
    </w:p>
    <w:p w14:paraId="2BBC38F9" w14:textId="1F10E5A3" w:rsidR="00B228DB" w:rsidRPr="00414345" w:rsidRDefault="00B228DB" w:rsidP="00B228DB">
      <w:pPr>
        <w:autoSpaceDE w:val="0"/>
        <w:autoSpaceDN w:val="0"/>
        <w:adjustRightInd w:val="0"/>
        <w:spacing w:before="29" w:line="288" w:lineRule="auto"/>
        <w:jc w:val="left"/>
        <w:rPr>
          <w:color w:val="000000"/>
          <w:kern w:val="0"/>
          <w:sz w:val="24"/>
          <w:szCs w:val="24"/>
        </w:rPr>
      </w:pPr>
      <w:r w:rsidRPr="00F370C2">
        <w:rPr>
          <w:rFonts w:ascii="宋体" w:hAnsi="宋体"/>
          <w:b/>
          <w:color w:val="000000"/>
          <w:kern w:val="0"/>
          <w:sz w:val="24"/>
        </w:rPr>
        <w:t>5.</w:t>
      </w:r>
      <w:r>
        <w:rPr>
          <w:rFonts w:ascii="宋体" w:hAnsi="宋体" w:hint="eastAsia"/>
          <w:b/>
          <w:color w:val="000000"/>
          <w:kern w:val="0"/>
          <w:sz w:val="24"/>
        </w:rPr>
        <w:t>2.7</w:t>
      </w:r>
      <w:r>
        <w:rPr>
          <w:rFonts w:ascii="宋体" w:hAnsi="宋体"/>
          <w:b/>
          <w:color w:val="000000"/>
          <w:kern w:val="0"/>
          <w:sz w:val="24"/>
        </w:rPr>
        <w:t xml:space="preserve"> </w:t>
      </w:r>
      <w:r w:rsidRPr="00414345">
        <w:rPr>
          <w:rFonts w:hAnsi="宋体"/>
          <w:b/>
          <w:bCs/>
          <w:color w:val="000000"/>
          <w:kern w:val="0"/>
          <w:sz w:val="24"/>
          <w:szCs w:val="24"/>
        </w:rPr>
        <w:t>报告期末按公允价值占基金资产净值比例大小排序的前五名贵金属投资明细</w:t>
      </w:r>
    </w:p>
    <w:p w14:paraId="6EE27AF4" w14:textId="77777777" w:rsidR="00B228DB" w:rsidRDefault="00B228DB" w:rsidP="00B228DB">
      <w:pPr>
        <w:autoSpaceDE w:val="0"/>
        <w:autoSpaceDN w:val="0"/>
        <w:adjustRightInd w:val="0"/>
        <w:spacing w:before="29" w:line="288" w:lineRule="auto"/>
        <w:jc w:val="left"/>
        <w:rPr>
          <w:rFonts w:ascii="宋体" w:hAnsi="宋体"/>
          <w:b/>
          <w:bCs/>
          <w:color w:val="000000"/>
          <w:kern w:val="0"/>
          <w:sz w:val="24"/>
          <w:szCs w:val="24"/>
        </w:rPr>
      </w:pPr>
      <w:r w:rsidRPr="00414345">
        <w:rPr>
          <w:sz w:val="24"/>
          <w:szCs w:val="24"/>
        </w:rPr>
        <w:t>本基金本报告期末未持有贵金属</w:t>
      </w:r>
      <w:r>
        <w:rPr>
          <w:rFonts w:ascii="宋体" w:hAnsi="宋体" w:hint="eastAsia"/>
          <w:b/>
          <w:bCs/>
          <w:color w:val="000000"/>
          <w:kern w:val="0"/>
          <w:sz w:val="24"/>
          <w:szCs w:val="24"/>
        </w:rPr>
        <w:t>。</w:t>
      </w:r>
    </w:p>
    <w:p w14:paraId="0193D2F6" w14:textId="77777777" w:rsidR="00B228DB" w:rsidRDefault="00B228DB" w:rsidP="0045249B">
      <w:pPr>
        <w:autoSpaceDE w:val="0"/>
        <w:autoSpaceDN w:val="0"/>
        <w:adjustRightInd w:val="0"/>
        <w:spacing w:before="29" w:line="288" w:lineRule="auto"/>
        <w:ind w:left="15"/>
        <w:jc w:val="left"/>
        <w:rPr>
          <w:rFonts w:ascii="宋体" w:hAnsi="宋体" w:cs="Arial"/>
          <w:b/>
          <w:color w:val="000000"/>
          <w:kern w:val="0"/>
          <w:sz w:val="24"/>
          <w:szCs w:val="24"/>
        </w:rPr>
      </w:pPr>
    </w:p>
    <w:p w14:paraId="24C3B496"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.8</w:t>
      </w:r>
      <w:r w:rsidRPr="00FD685A">
        <w:rPr>
          <w:rFonts w:ascii="宋体" w:hAnsi="宋体" w:cs="Arial"/>
          <w:b/>
          <w:color w:val="000000"/>
          <w:kern w:val="0"/>
          <w:sz w:val="24"/>
          <w:szCs w:val="24"/>
        </w:rPr>
        <w:t xml:space="preserve"> </w:t>
      </w:r>
      <w:r w:rsidRPr="00FD685A">
        <w:rPr>
          <w:rFonts w:ascii="宋体" w:hAnsi="宋体" w:cs="Arial" w:hint="eastAsia"/>
          <w:b/>
          <w:color w:val="000000"/>
          <w:kern w:val="0"/>
          <w:sz w:val="24"/>
          <w:szCs w:val="24"/>
        </w:rPr>
        <w:t>报告期末按公允价值占基金资产净值比例大小排序的前五名权证投资明细</w:t>
      </w:r>
    </w:p>
    <w:p w14:paraId="02F39A37" w14:textId="77777777" w:rsidR="0045249B" w:rsidRPr="00FD685A"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本基金本报告期末未持有权证。</w:t>
      </w:r>
    </w:p>
    <w:p w14:paraId="566FDA8A" w14:textId="77777777" w:rsidR="0045249B" w:rsidRPr="00FD685A" w:rsidRDefault="0045249B" w:rsidP="0045249B">
      <w:pPr>
        <w:autoSpaceDE w:val="0"/>
        <w:autoSpaceDN w:val="0"/>
        <w:adjustRightInd w:val="0"/>
        <w:spacing w:line="360" w:lineRule="auto"/>
        <w:jc w:val="left"/>
        <w:rPr>
          <w:rFonts w:ascii="宋体" w:hAnsi="宋体"/>
          <w:color w:val="000000" w:themeColor="text1"/>
          <w:kern w:val="0"/>
          <w:sz w:val="24"/>
          <w:szCs w:val="24"/>
        </w:rPr>
      </w:pPr>
    </w:p>
    <w:p w14:paraId="1C1FC092"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.9 报告期末本基金投资的股指期货交易情况说明</w:t>
      </w:r>
    </w:p>
    <w:p w14:paraId="092B62C1" w14:textId="77777777" w:rsidR="0045249B"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本基金本报告期末未持有股指期货。</w:t>
      </w:r>
    </w:p>
    <w:p w14:paraId="66464F84" w14:textId="77777777" w:rsidR="00B228DB" w:rsidRPr="00FD685A" w:rsidRDefault="00B228DB" w:rsidP="0045249B">
      <w:pPr>
        <w:autoSpaceDE w:val="0"/>
        <w:autoSpaceDN w:val="0"/>
        <w:adjustRightInd w:val="0"/>
        <w:spacing w:before="29" w:line="288" w:lineRule="auto"/>
        <w:ind w:left="15"/>
        <w:jc w:val="left"/>
        <w:rPr>
          <w:rFonts w:ascii="宋体" w:hAnsi="宋体" w:cs="STSong-Light"/>
          <w:color w:val="000000"/>
          <w:sz w:val="24"/>
          <w:szCs w:val="24"/>
        </w:rPr>
      </w:pPr>
    </w:p>
    <w:p w14:paraId="6078450D" w14:textId="66307AEC"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.10</w:t>
      </w:r>
      <w:r w:rsidR="001642F8">
        <w:rPr>
          <w:rFonts w:ascii="宋体" w:hAnsi="宋体" w:cs="Arial"/>
          <w:b/>
          <w:color w:val="000000"/>
          <w:kern w:val="0"/>
          <w:sz w:val="24"/>
          <w:szCs w:val="24"/>
        </w:rPr>
        <w:t xml:space="preserve"> </w:t>
      </w:r>
      <w:r w:rsidRPr="00FD685A">
        <w:rPr>
          <w:rFonts w:ascii="宋体" w:hAnsi="宋体" w:cs="Arial" w:hint="eastAsia"/>
          <w:b/>
          <w:color w:val="000000"/>
          <w:kern w:val="0"/>
          <w:sz w:val="24"/>
          <w:szCs w:val="24"/>
        </w:rPr>
        <w:t>报告期末本基金投资的国债期货交易情况说明</w:t>
      </w:r>
    </w:p>
    <w:p w14:paraId="00FDF3BF" w14:textId="77777777" w:rsidR="0045249B"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本基金本报告期末未持有国债期货。</w:t>
      </w:r>
    </w:p>
    <w:p w14:paraId="3265743A" w14:textId="77777777" w:rsidR="00B228DB" w:rsidRPr="00FD685A" w:rsidRDefault="00B228DB" w:rsidP="0045249B">
      <w:pPr>
        <w:autoSpaceDE w:val="0"/>
        <w:autoSpaceDN w:val="0"/>
        <w:adjustRightInd w:val="0"/>
        <w:spacing w:before="29" w:line="288" w:lineRule="auto"/>
        <w:ind w:left="15"/>
        <w:jc w:val="left"/>
        <w:rPr>
          <w:rFonts w:ascii="宋体" w:hAnsi="宋体" w:cs="STSong-Light"/>
          <w:color w:val="000000"/>
          <w:sz w:val="24"/>
          <w:szCs w:val="24"/>
        </w:rPr>
      </w:pPr>
    </w:p>
    <w:p w14:paraId="297C88B5"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.11</w:t>
      </w:r>
      <w:r w:rsidRPr="00FD685A">
        <w:rPr>
          <w:rFonts w:ascii="宋体" w:hAnsi="宋体" w:cs="Arial"/>
          <w:b/>
          <w:color w:val="000000"/>
          <w:kern w:val="0"/>
          <w:sz w:val="24"/>
          <w:szCs w:val="24"/>
        </w:rPr>
        <w:t xml:space="preserve"> </w:t>
      </w:r>
      <w:r w:rsidRPr="00FD685A">
        <w:rPr>
          <w:rFonts w:ascii="宋体" w:hAnsi="宋体" w:cs="Arial" w:hint="eastAsia"/>
          <w:b/>
          <w:color w:val="000000"/>
          <w:kern w:val="0"/>
          <w:sz w:val="24"/>
          <w:szCs w:val="24"/>
        </w:rPr>
        <w:t>投资组合报告附注</w:t>
      </w:r>
    </w:p>
    <w:p w14:paraId="29954293" w14:textId="77777777" w:rsidR="0045249B" w:rsidRPr="00FD685A" w:rsidRDefault="0045249B" w:rsidP="0045249B">
      <w:pPr>
        <w:adjustRightInd w:val="0"/>
        <w:spacing w:before="29" w:line="288" w:lineRule="auto"/>
        <w:rPr>
          <w:rFonts w:ascii="宋体" w:hAnsi="宋体" w:cs="宋体"/>
          <w:bCs/>
          <w:color w:val="000000"/>
          <w:sz w:val="24"/>
          <w:szCs w:val="24"/>
        </w:rPr>
      </w:pPr>
      <w:r w:rsidRPr="00FD685A">
        <w:rPr>
          <w:rFonts w:ascii="宋体" w:hAnsi="宋体" w:cs="宋体" w:hint="eastAsia"/>
          <w:bCs/>
          <w:color w:val="000000"/>
          <w:sz w:val="24"/>
          <w:szCs w:val="24"/>
        </w:rPr>
        <w:t>5.</w:t>
      </w:r>
      <w:r w:rsidR="00FD685A">
        <w:rPr>
          <w:rFonts w:ascii="宋体" w:hAnsi="宋体" w:cs="宋体" w:hint="eastAsia"/>
          <w:bCs/>
          <w:color w:val="000000"/>
          <w:sz w:val="24"/>
          <w:szCs w:val="24"/>
        </w:rPr>
        <w:t>2</w:t>
      </w:r>
      <w:r w:rsidRPr="00FD685A">
        <w:rPr>
          <w:rFonts w:ascii="宋体" w:hAnsi="宋体" w:cs="宋体" w:hint="eastAsia"/>
          <w:bCs/>
          <w:color w:val="000000"/>
          <w:sz w:val="24"/>
          <w:szCs w:val="24"/>
        </w:rPr>
        <w:t>.11.1</w:t>
      </w:r>
      <w:r w:rsidRPr="00FD685A">
        <w:rPr>
          <w:rFonts w:ascii="宋体" w:hAnsi="宋体" w:cs="宋体"/>
          <w:bCs/>
          <w:color w:val="000000"/>
          <w:sz w:val="24"/>
          <w:szCs w:val="24"/>
        </w:rPr>
        <w:t>报告期内本基金投资的前十名证券的发行主体未被监管部门立案调查，在本报告编制日前一年内本基金投资的前十名证券的发行主体未受到公开谴责和处罚。</w:t>
      </w:r>
    </w:p>
    <w:p w14:paraId="5E27D6EE" w14:textId="77777777" w:rsidR="0045249B" w:rsidRPr="00FD685A" w:rsidRDefault="0045249B" w:rsidP="0045249B">
      <w:pPr>
        <w:adjustRightInd w:val="0"/>
        <w:spacing w:before="29" w:line="288" w:lineRule="auto"/>
        <w:rPr>
          <w:rFonts w:ascii="宋体" w:hAnsi="宋体" w:cs="宋体"/>
          <w:bCs/>
          <w:color w:val="000000"/>
          <w:sz w:val="24"/>
          <w:szCs w:val="24"/>
        </w:rPr>
      </w:pPr>
      <w:r w:rsidRPr="00FD685A">
        <w:rPr>
          <w:rFonts w:ascii="宋体" w:hAnsi="宋体" w:cs="宋体" w:hint="eastAsia"/>
          <w:bCs/>
          <w:color w:val="000000"/>
          <w:sz w:val="24"/>
          <w:szCs w:val="24"/>
        </w:rPr>
        <w:t>5.</w:t>
      </w:r>
      <w:r w:rsidR="00FD685A">
        <w:rPr>
          <w:rFonts w:ascii="宋体" w:hAnsi="宋体" w:cs="宋体" w:hint="eastAsia"/>
          <w:bCs/>
          <w:color w:val="000000"/>
          <w:sz w:val="24"/>
          <w:szCs w:val="24"/>
        </w:rPr>
        <w:t>2</w:t>
      </w:r>
      <w:r w:rsidRPr="00FD685A">
        <w:rPr>
          <w:rFonts w:ascii="宋体" w:hAnsi="宋体" w:cs="宋体" w:hint="eastAsia"/>
          <w:bCs/>
          <w:color w:val="000000"/>
          <w:sz w:val="24"/>
          <w:szCs w:val="24"/>
        </w:rPr>
        <w:t>.11.2</w:t>
      </w:r>
      <w:r w:rsidRPr="00FD685A">
        <w:rPr>
          <w:rFonts w:ascii="宋体" w:hAnsi="宋体" w:cs="宋体"/>
          <w:bCs/>
          <w:color w:val="000000"/>
          <w:sz w:val="24"/>
          <w:szCs w:val="24"/>
        </w:rPr>
        <w:t>本基金投资的前十名股票中，没有超出基金合同规定的备选股票库之外的股票。</w:t>
      </w:r>
    </w:p>
    <w:p w14:paraId="396D62A2"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.11.3其他资产构成</w:t>
      </w:r>
    </w:p>
    <w:tbl>
      <w:tblPr>
        <w:tblStyle w:val="af7"/>
        <w:tblW w:w="0" w:type="auto"/>
        <w:tblInd w:w="15" w:type="dxa"/>
        <w:tblLook w:val="04A0" w:firstRow="1" w:lastRow="0" w:firstColumn="1" w:lastColumn="0" w:noHBand="0" w:noVBand="1"/>
      </w:tblPr>
      <w:tblGrid>
        <w:gridCol w:w="1235"/>
        <w:gridCol w:w="2470"/>
        <w:gridCol w:w="4808"/>
      </w:tblGrid>
      <w:tr w:rsidR="0045249B" w:rsidRPr="00FD685A" w14:paraId="0E15968A" w14:textId="77777777" w:rsidTr="00F1734D">
        <w:tc>
          <w:tcPr>
            <w:tcW w:w="1235" w:type="dxa"/>
            <w:vAlign w:val="center"/>
          </w:tcPr>
          <w:p w14:paraId="346DADE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序号</w:t>
            </w:r>
          </w:p>
        </w:tc>
        <w:tc>
          <w:tcPr>
            <w:tcW w:w="2470" w:type="dxa"/>
            <w:vAlign w:val="center"/>
          </w:tcPr>
          <w:p w14:paraId="6EB46016"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名称</w:t>
            </w:r>
          </w:p>
        </w:tc>
        <w:tc>
          <w:tcPr>
            <w:tcW w:w="4808" w:type="dxa"/>
            <w:vAlign w:val="center"/>
          </w:tcPr>
          <w:p w14:paraId="18D7138C"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金额(元)</w:t>
            </w:r>
          </w:p>
        </w:tc>
      </w:tr>
      <w:tr w:rsidR="0045249B" w:rsidRPr="00FD685A" w14:paraId="1ED929B0" w14:textId="77777777" w:rsidTr="00F1734D">
        <w:tc>
          <w:tcPr>
            <w:tcW w:w="1235" w:type="dxa"/>
            <w:vAlign w:val="center"/>
          </w:tcPr>
          <w:p w14:paraId="6D3CD3D8"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1</w:t>
            </w:r>
          </w:p>
        </w:tc>
        <w:tc>
          <w:tcPr>
            <w:tcW w:w="2470" w:type="dxa"/>
            <w:vAlign w:val="center"/>
          </w:tcPr>
          <w:p w14:paraId="5197E9A6"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存出保证金</w:t>
            </w:r>
          </w:p>
        </w:tc>
        <w:tc>
          <w:tcPr>
            <w:tcW w:w="4808" w:type="dxa"/>
            <w:vAlign w:val="center"/>
          </w:tcPr>
          <w:p w14:paraId="4BEB5999"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39,639.09</w:t>
            </w:r>
          </w:p>
        </w:tc>
      </w:tr>
      <w:tr w:rsidR="0045249B" w:rsidRPr="00FD685A" w14:paraId="22B8DF2F" w14:textId="77777777" w:rsidTr="00F1734D">
        <w:tc>
          <w:tcPr>
            <w:tcW w:w="1235" w:type="dxa"/>
            <w:vAlign w:val="center"/>
          </w:tcPr>
          <w:p w14:paraId="0C20F605"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2</w:t>
            </w:r>
          </w:p>
        </w:tc>
        <w:tc>
          <w:tcPr>
            <w:tcW w:w="2470" w:type="dxa"/>
            <w:vAlign w:val="center"/>
          </w:tcPr>
          <w:p w14:paraId="678AD051"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应收证券清算款</w:t>
            </w:r>
          </w:p>
        </w:tc>
        <w:tc>
          <w:tcPr>
            <w:tcW w:w="4808" w:type="dxa"/>
            <w:vAlign w:val="center"/>
          </w:tcPr>
          <w:p w14:paraId="53669D99" w14:textId="77777777" w:rsidR="0045249B" w:rsidRPr="00FD685A" w:rsidRDefault="00115B33" w:rsidP="00115B33">
            <w:pPr>
              <w:autoSpaceDE w:val="0"/>
              <w:autoSpaceDN w:val="0"/>
              <w:adjustRightInd w:val="0"/>
              <w:spacing w:before="29" w:line="288" w:lineRule="auto"/>
              <w:ind w:left="15"/>
              <w:jc w:val="right"/>
              <w:rPr>
                <w:rFonts w:ascii="宋体" w:hAnsi="宋体" w:cs="Arial"/>
                <w:color w:val="000000"/>
                <w:sz w:val="24"/>
                <w:szCs w:val="24"/>
              </w:rPr>
            </w:pPr>
            <w:r>
              <w:rPr>
                <w:rFonts w:ascii="宋体" w:hAnsi="宋体" w:cs="Arial"/>
                <w:color w:val="000000"/>
                <w:sz w:val="24"/>
                <w:szCs w:val="24"/>
              </w:rPr>
              <w:t>9</w:t>
            </w:r>
            <w:r w:rsidR="0045249B" w:rsidRPr="00FD685A">
              <w:rPr>
                <w:rFonts w:ascii="宋体" w:hAnsi="宋体" w:cs="Arial"/>
                <w:color w:val="000000"/>
                <w:sz w:val="24"/>
                <w:szCs w:val="24"/>
              </w:rPr>
              <w:t>,0</w:t>
            </w:r>
            <w:r>
              <w:rPr>
                <w:rFonts w:ascii="宋体" w:hAnsi="宋体" w:cs="Arial"/>
                <w:color w:val="000000"/>
                <w:sz w:val="24"/>
                <w:szCs w:val="24"/>
              </w:rPr>
              <w:t>34</w:t>
            </w:r>
            <w:r w:rsidR="0045249B" w:rsidRPr="00FD685A">
              <w:rPr>
                <w:rFonts w:ascii="宋体" w:hAnsi="宋体" w:cs="Arial"/>
                <w:color w:val="000000"/>
                <w:sz w:val="24"/>
                <w:szCs w:val="24"/>
              </w:rPr>
              <w:t>,</w:t>
            </w:r>
            <w:r>
              <w:rPr>
                <w:rFonts w:ascii="宋体" w:hAnsi="宋体" w:cs="Arial"/>
                <w:color w:val="000000"/>
                <w:sz w:val="24"/>
                <w:szCs w:val="24"/>
              </w:rPr>
              <w:t>136</w:t>
            </w:r>
            <w:r w:rsidR="0045249B" w:rsidRPr="00FD685A">
              <w:rPr>
                <w:rFonts w:ascii="宋体" w:hAnsi="宋体" w:cs="Arial"/>
                <w:color w:val="000000"/>
                <w:sz w:val="24"/>
                <w:szCs w:val="24"/>
              </w:rPr>
              <w:t>.</w:t>
            </w:r>
            <w:r>
              <w:rPr>
                <w:rFonts w:ascii="宋体" w:hAnsi="宋体" w:cs="Arial"/>
                <w:color w:val="000000"/>
                <w:sz w:val="24"/>
                <w:szCs w:val="24"/>
              </w:rPr>
              <w:t>11</w:t>
            </w:r>
          </w:p>
        </w:tc>
      </w:tr>
      <w:tr w:rsidR="0045249B" w:rsidRPr="00FD685A" w14:paraId="5257A690" w14:textId="77777777" w:rsidTr="00F1734D">
        <w:tc>
          <w:tcPr>
            <w:tcW w:w="1235" w:type="dxa"/>
            <w:vAlign w:val="center"/>
          </w:tcPr>
          <w:p w14:paraId="2956D76E"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3</w:t>
            </w:r>
          </w:p>
        </w:tc>
        <w:tc>
          <w:tcPr>
            <w:tcW w:w="2470" w:type="dxa"/>
            <w:vAlign w:val="center"/>
          </w:tcPr>
          <w:p w14:paraId="03936A23"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应收股利</w:t>
            </w:r>
          </w:p>
        </w:tc>
        <w:tc>
          <w:tcPr>
            <w:tcW w:w="4808" w:type="dxa"/>
            <w:vAlign w:val="center"/>
          </w:tcPr>
          <w:p w14:paraId="495B65A7"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7D29CE84" w14:textId="77777777" w:rsidTr="00F1734D">
        <w:tc>
          <w:tcPr>
            <w:tcW w:w="1235" w:type="dxa"/>
            <w:vAlign w:val="center"/>
          </w:tcPr>
          <w:p w14:paraId="079DB590"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4</w:t>
            </w:r>
          </w:p>
        </w:tc>
        <w:tc>
          <w:tcPr>
            <w:tcW w:w="2470" w:type="dxa"/>
            <w:vAlign w:val="center"/>
          </w:tcPr>
          <w:p w14:paraId="484B0138"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应收利息</w:t>
            </w:r>
          </w:p>
        </w:tc>
        <w:tc>
          <w:tcPr>
            <w:tcW w:w="4808" w:type="dxa"/>
            <w:vAlign w:val="center"/>
          </w:tcPr>
          <w:p w14:paraId="007AAC1F" w14:textId="77777777" w:rsidR="0045249B" w:rsidRPr="00FD685A" w:rsidRDefault="0045249B" w:rsidP="00115B33">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6</w:t>
            </w:r>
            <w:r w:rsidR="00115B33">
              <w:rPr>
                <w:rFonts w:ascii="宋体" w:hAnsi="宋体" w:cs="Arial"/>
                <w:color w:val="000000"/>
                <w:sz w:val="24"/>
                <w:szCs w:val="24"/>
              </w:rPr>
              <w:t>2</w:t>
            </w:r>
            <w:r w:rsidRPr="00FD685A">
              <w:rPr>
                <w:rFonts w:ascii="宋体" w:hAnsi="宋体" w:cs="Arial"/>
                <w:color w:val="000000"/>
                <w:sz w:val="24"/>
                <w:szCs w:val="24"/>
              </w:rPr>
              <w:t>,</w:t>
            </w:r>
            <w:r w:rsidR="00115B33">
              <w:rPr>
                <w:rFonts w:ascii="宋体" w:hAnsi="宋体" w:cs="Arial"/>
                <w:color w:val="000000"/>
                <w:sz w:val="24"/>
                <w:szCs w:val="24"/>
              </w:rPr>
              <w:t>301</w:t>
            </w:r>
            <w:r w:rsidRPr="00FD685A">
              <w:rPr>
                <w:rFonts w:ascii="宋体" w:hAnsi="宋体" w:cs="Arial"/>
                <w:color w:val="000000"/>
                <w:sz w:val="24"/>
                <w:szCs w:val="24"/>
              </w:rPr>
              <w:t>.3</w:t>
            </w:r>
            <w:r w:rsidR="00115B33">
              <w:rPr>
                <w:rFonts w:ascii="宋体" w:hAnsi="宋体" w:cs="Arial"/>
                <w:color w:val="000000"/>
                <w:sz w:val="24"/>
                <w:szCs w:val="24"/>
              </w:rPr>
              <w:t>3</w:t>
            </w:r>
          </w:p>
        </w:tc>
      </w:tr>
      <w:tr w:rsidR="0045249B" w:rsidRPr="00FD685A" w14:paraId="70AF516C" w14:textId="77777777" w:rsidTr="00F1734D">
        <w:tc>
          <w:tcPr>
            <w:tcW w:w="1235" w:type="dxa"/>
            <w:vAlign w:val="center"/>
          </w:tcPr>
          <w:p w14:paraId="47E4931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5</w:t>
            </w:r>
          </w:p>
        </w:tc>
        <w:tc>
          <w:tcPr>
            <w:tcW w:w="2470" w:type="dxa"/>
            <w:vAlign w:val="center"/>
          </w:tcPr>
          <w:p w14:paraId="26EAD4F6"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应收申购款</w:t>
            </w:r>
          </w:p>
        </w:tc>
        <w:tc>
          <w:tcPr>
            <w:tcW w:w="4808" w:type="dxa"/>
            <w:vAlign w:val="center"/>
          </w:tcPr>
          <w:p w14:paraId="19F8966B"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458CB1CA" w14:textId="77777777" w:rsidTr="00F1734D">
        <w:tc>
          <w:tcPr>
            <w:tcW w:w="1235" w:type="dxa"/>
            <w:vAlign w:val="center"/>
          </w:tcPr>
          <w:p w14:paraId="10D3922D"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color w:val="000000"/>
                <w:sz w:val="24"/>
                <w:szCs w:val="24"/>
              </w:rPr>
              <w:t>6</w:t>
            </w:r>
          </w:p>
        </w:tc>
        <w:tc>
          <w:tcPr>
            <w:tcW w:w="2470" w:type="dxa"/>
            <w:vAlign w:val="center"/>
          </w:tcPr>
          <w:p w14:paraId="1F9B783B"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其他应收款</w:t>
            </w:r>
          </w:p>
        </w:tc>
        <w:tc>
          <w:tcPr>
            <w:tcW w:w="4808" w:type="dxa"/>
            <w:vAlign w:val="center"/>
          </w:tcPr>
          <w:p w14:paraId="2A602589"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7B588895" w14:textId="77777777" w:rsidTr="00F1734D">
        <w:tc>
          <w:tcPr>
            <w:tcW w:w="1235" w:type="dxa"/>
            <w:vAlign w:val="center"/>
          </w:tcPr>
          <w:p w14:paraId="418D74FD"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7</w:t>
            </w:r>
          </w:p>
        </w:tc>
        <w:tc>
          <w:tcPr>
            <w:tcW w:w="2470" w:type="dxa"/>
            <w:vAlign w:val="center"/>
          </w:tcPr>
          <w:p w14:paraId="6ACDE93F"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待摊费用</w:t>
            </w:r>
          </w:p>
        </w:tc>
        <w:tc>
          <w:tcPr>
            <w:tcW w:w="4808" w:type="dxa"/>
            <w:vAlign w:val="center"/>
          </w:tcPr>
          <w:p w14:paraId="7879FFD5"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hint="eastAsia"/>
                <w:color w:val="000000"/>
                <w:sz w:val="24"/>
                <w:szCs w:val="24"/>
              </w:rPr>
              <w:t>-</w:t>
            </w:r>
          </w:p>
        </w:tc>
      </w:tr>
      <w:tr w:rsidR="0045249B" w:rsidRPr="00FD685A" w14:paraId="696E15EA" w14:textId="77777777" w:rsidTr="00F1734D">
        <w:tc>
          <w:tcPr>
            <w:tcW w:w="1235" w:type="dxa"/>
            <w:vAlign w:val="center"/>
          </w:tcPr>
          <w:p w14:paraId="0E7CC63A"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8</w:t>
            </w:r>
          </w:p>
        </w:tc>
        <w:tc>
          <w:tcPr>
            <w:tcW w:w="2470" w:type="dxa"/>
            <w:vAlign w:val="center"/>
          </w:tcPr>
          <w:p w14:paraId="63CD498E"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其他</w:t>
            </w:r>
          </w:p>
        </w:tc>
        <w:tc>
          <w:tcPr>
            <w:tcW w:w="4808" w:type="dxa"/>
            <w:vAlign w:val="center"/>
          </w:tcPr>
          <w:p w14:paraId="558BA60D" w14:textId="77777777" w:rsidR="0045249B" w:rsidRPr="00FD685A" w:rsidRDefault="0045249B" w:rsidP="00CE224B">
            <w:pPr>
              <w:autoSpaceDE w:val="0"/>
              <w:autoSpaceDN w:val="0"/>
              <w:adjustRightInd w:val="0"/>
              <w:spacing w:before="29" w:line="288" w:lineRule="auto"/>
              <w:ind w:left="15"/>
              <w:jc w:val="right"/>
              <w:rPr>
                <w:rFonts w:ascii="宋体" w:hAnsi="宋体" w:cs="Arial"/>
                <w:color w:val="000000"/>
                <w:sz w:val="24"/>
                <w:szCs w:val="24"/>
              </w:rPr>
            </w:pPr>
            <w:r w:rsidRPr="00FD685A">
              <w:rPr>
                <w:rFonts w:ascii="宋体" w:hAnsi="宋体" w:cs="Arial"/>
                <w:color w:val="000000"/>
                <w:sz w:val="24"/>
                <w:szCs w:val="24"/>
              </w:rPr>
              <w:t>-</w:t>
            </w:r>
          </w:p>
        </w:tc>
      </w:tr>
      <w:tr w:rsidR="0045249B" w:rsidRPr="00FD685A" w14:paraId="7EF3C561" w14:textId="77777777" w:rsidTr="00F1734D">
        <w:tc>
          <w:tcPr>
            <w:tcW w:w="1235" w:type="dxa"/>
            <w:vAlign w:val="center"/>
          </w:tcPr>
          <w:p w14:paraId="3F4BA001" w14:textId="77777777" w:rsidR="0045249B" w:rsidRPr="00FD685A" w:rsidRDefault="0045249B" w:rsidP="00F1734D">
            <w:pPr>
              <w:autoSpaceDE w:val="0"/>
              <w:autoSpaceDN w:val="0"/>
              <w:adjustRightInd w:val="0"/>
              <w:spacing w:before="29" w:line="288" w:lineRule="auto"/>
              <w:ind w:left="15"/>
              <w:jc w:val="center"/>
              <w:rPr>
                <w:rFonts w:ascii="宋体" w:hAnsi="宋体" w:cs="Arial"/>
                <w:color w:val="000000"/>
                <w:sz w:val="24"/>
                <w:szCs w:val="24"/>
              </w:rPr>
            </w:pPr>
            <w:r w:rsidRPr="00FD685A">
              <w:rPr>
                <w:rFonts w:ascii="宋体" w:hAnsi="宋体" w:cs="Arial" w:hint="eastAsia"/>
                <w:color w:val="000000"/>
                <w:sz w:val="24"/>
                <w:szCs w:val="24"/>
              </w:rPr>
              <w:t>9</w:t>
            </w:r>
          </w:p>
        </w:tc>
        <w:tc>
          <w:tcPr>
            <w:tcW w:w="2470" w:type="dxa"/>
            <w:vAlign w:val="center"/>
          </w:tcPr>
          <w:p w14:paraId="534612B7" w14:textId="77777777" w:rsidR="0045249B" w:rsidRPr="00FD685A" w:rsidRDefault="0045249B" w:rsidP="00F1734D">
            <w:pPr>
              <w:autoSpaceDE w:val="0"/>
              <w:autoSpaceDN w:val="0"/>
              <w:adjustRightInd w:val="0"/>
              <w:spacing w:before="29" w:line="288" w:lineRule="auto"/>
              <w:ind w:left="15"/>
              <w:rPr>
                <w:rFonts w:ascii="宋体" w:hAnsi="宋体" w:cs="Arial"/>
                <w:color w:val="000000"/>
                <w:sz w:val="24"/>
                <w:szCs w:val="24"/>
              </w:rPr>
            </w:pPr>
            <w:r w:rsidRPr="00FD685A">
              <w:rPr>
                <w:rFonts w:ascii="宋体" w:hAnsi="宋体" w:cs="Arial" w:hint="eastAsia"/>
                <w:color w:val="000000"/>
                <w:sz w:val="24"/>
                <w:szCs w:val="24"/>
              </w:rPr>
              <w:t>合计</w:t>
            </w:r>
          </w:p>
        </w:tc>
        <w:tc>
          <w:tcPr>
            <w:tcW w:w="4808" w:type="dxa"/>
            <w:vAlign w:val="center"/>
          </w:tcPr>
          <w:p w14:paraId="4248D3D7" w14:textId="77777777" w:rsidR="0045249B" w:rsidRPr="00FD685A" w:rsidRDefault="00115B33" w:rsidP="00115B33">
            <w:pPr>
              <w:autoSpaceDE w:val="0"/>
              <w:autoSpaceDN w:val="0"/>
              <w:adjustRightInd w:val="0"/>
              <w:spacing w:before="29" w:line="288" w:lineRule="auto"/>
              <w:ind w:left="15"/>
              <w:jc w:val="right"/>
              <w:rPr>
                <w:rFonts w:ascii="宋体" w:hAnsi="宋体" w:cs="Arial"/>
                <w:color w:val="000000"/>
                <w:sz w:val="24"/>
                <w:szCs w:val="24"/>
              </w:rPr>
            </w:pPr>
            <w:r>
              <w:rPr>
                <w:rFonts w:ascii="宋体" w:hAnsi="宋体" w:cs="Arial"/>
                <w:color w:val="000000"/>
                <w:sz w:val="24"/>
                <w:szCs w:val="24"/>
              </w:rPr>
              <w:t>9</w:t>
            </w:r>
            <w:r w:rsidR="0045249B" w:rsidRPr="00FD685A">
              <w:rPr>
                <w:rFonts w:ascii="宋体" w:hAnsi="宋体" w:cs="Arial"/>
                <w:color w:val="000000"/>
                <w:sz w:val="24"/>
                <w:szCs w:val="24"/>
              </w:rPr>
              <w:t>,1</w:t>
            </w:r>
            <w:r>
              <w:rPr>
                <w:rFonts w:ascii="宋体" w:hAnsi="宋体" w:cs="Arial"/>
                <w:color w:val="000000"/>
                <w:sz w:val="24"/>
                <w:szCs w:val="24"/>
              </w:rPr>
              <w:t>36</w:t>
            </w:r>
            <w:r w:rsidR="0045249B" w:rsidRPr="00FD685A">
              <w:rPr>
                <w:rFonts w:ascii="宋体" w:hAnsi="宋体" w:cs="Arial"/>
                <w:color w:val="000000"/>
                <w:sz w:val="24"/>
                <w:szCs w:val="24"/>
              </w:rPr>
              <w:t>,</w:t>
            </w:r>
            <w:r>
              <w:rPr>
                <w:rFonts w:ascii="宋体" w:hAnsi="宋体" w:cs="Arial"/>
                <w:color w:val="000000"/>
                <w:sz w:val="24"/>
                <w:szCs w:val="24"/>
              </w:rPr>
              <w:t>076</w:t>
            </w:r>
            <w:r w:rsidR="0045249B" w:rsidRPr="00FD685A">
              <w:rPr>
                <w:rFonts w:ascii="宋体" w:hAnsi="宋体" w:cs="Arial"/>
                <w:color w:val="000000"/>
                <w:sz w:val="24"/>
                <w:szCs w:val="24"/>
              </w:rPr>
              <w:t>.</w:t>
            </w:r>
            <w:r>
              <w:rPr>
                <w:rFonts w:ascii="宋体" w:hAnsi="宋体" w:cs="Arial"/>
                <w:color w:val="000000"/>
                <w:sz w:val="24"/>
                <w:szCs w:val="24"/>
              </w:rPr>
              <w:t>53</w:t>
            </w:r>
          </w:p>
        </w:tc>
      </w:tr>
    </w:tbl>
    <w:p w14:paraId="68E8181E" w14:textId="77777777" w:rsidR="0045249B" w:rsidRPr="00FD685A" w:rsidRDefault="0045249B" w:rsidP="0045249B">
      <w:pPr>
        <w:autoSpaceDE w:val="0"/>
        <w:autoSpaceDN w:val="0"/>
        <w:adjustRightInd w:val="0"/>
        <w:spacing w:line="360" w:lineRule="auto"/>
        <w:rPr>
          <w:rFonts w:ascii="宋体" w:hAnsi="宋体"/>
          <w:color w:val="000000" w:themeColor="text1"/>
          <w:sz w:val="24"/>
          <w:szCs w:val="24"/>
        </w:rPr>
      </w:pPr>
    </w:p>
    <w:p w14:paraId="2AF216BC"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.11.4报告期末持有的处于转股期的可转换债券明细</w:t>
      </w:r>
    </w:p>
    <w:p w14:paraId="245EE9FD" w14:textId="77777777" w:rsidR="0045249B" w:rsidRPr="00FD685A" w:rsidRDefault="0045249B" w:rsidP="0045249B">
      <w:pPr>
        <w:autoSpaceDE w:val="0"/>
        <w:autoSpaceDN w:val="0"/>
        <w:adjustRightInd w:val="0"/>
        <w:spacing w:before="29" w:line="288" w:lineRule="auto"/>
        <w:ind w:left="15"/>
        <w:jc w:val="left"/>
        <w:rPr>
          <w:rFonts w:ascii="宋体" w:hAnsi="宋体" w:cs="STSong-Light"/>
          <w:color w:val="000000"/>
          <w:sz w:val="24"/>
          <w:szCs w:val="24"/>
        </w:rPr>
      </w:pPr>
      <w:r w:rsidRPr="00FD685A">
        <w:rPr>
          <w:rFonts w:ascii="宋体" w:hAnsi="宋体" w:cs="STSong-Light"/>
          <w:color w:val="000000"/>
          <w:sz w:val="24"/>
          <w:szCs w:val="24"/>
        </w:rPr>
        <w:t>本基金本报告期末未持有处于转股期的可转换债券。</w:t>
      </w:r>
    </w:p>
    <w:p w14:paraId="68435185" w14:textId="77777777" w:rsidR="0045249B" w:rsidRPr="00FD685A" w:rsidRDefault="0045249B" w:rsidP="0045249B">
      <w:pPr>
        <w:autoSpaceDE w:val="0"/>
        <w:autoSpaceDN w:val="0"/>
        <w:adjustRightInd w:val="0"/>
        <w:spacing w:line="360" w:lineRule="auto"/>
        <w:rPr>
          <w:rFonts w:ascii="宋体" w:hAnsi="宋体"/>
          <w:color w:val="000000" w:themeColor="text1"/>
          <w:sz w:val="24"/>
          <w:szCs w:val="24"/>
        </w:rPr>
      </w:pPr>
    </w:p>
    <w:p w14:paraId="799B4782" w14:textId="77777777" w:rsidR="0045249B" w:rsidRPr="00FD685A" w:rsidRDefault="0045249B" w:rsidP="0045249B">
      <w:pPr>
        <w:autoSpaceDE w:val="0"/>
        <w:autoSpaceDN w:val="0"/>
        <w:adjustRightInd w:val="0"/>
        <w:spacing w:before="29" w:line="288" w:lineRule="auto"/>
        <w:ind w:left="15"/>
        <w:jc w:val="left"/>
        <w:rPr>
          <w:rFonts w:ascii="宋体" w:hAnsi="宋体" w:cs="Arial"/>
          <w:b/>
          <w:color w:val="000000"/>
          <w:kern w:val="0"/>
          <w:sz w:val="24"/>
          <w:szCs w:val="24"/>
        </w:rPr>
      </w:pPr>
      <w:r w:rsidRPr="00FD685A">
        <w:rPr>
          <w:rFonts w:ascii="宋体" w:hAnsi="宋体" w:cs="Arial" w:hint="eastAsia"/>
          <w:b/>
          <w:color w:val="000000"/>
          <w:kern w:val="0"/>
          <w:sz w:val="24"/>
          <w:szCs w:val="24"/>
        </w:rPr>
        <w:t>5.</w:t>
      </w:r>
      <w:r w:rsidR="00FD685A">
        <w:rPr>
          <w:rFonts w:ascii="宋体" w:hAnsi="宋体" w:cs="Arial" w:hint="eastAsia"/>
          <w:b/>
          <w:color w:val="000000"/>
          <w:kern w:val="0"/>
          <w:sz w:val="24"/>
          <w:szCs w:val="24"/>
        </w:rPr>
        <w:t>2</w:t>
      </w:r>
      <w:r w:rsidRPr="00FD685A">
        <w:rPr>
          <w:rFonts w:ascii="宋体" w:hAnsi="宋体" w:cs="Arial" w:hint="eastAsia"/>
          <w:b/>
          <w:color w:val="000000"/>
          <w:kern w:val="0"/>
          <w:sz w:val="24"/>
          <w:szCs w:val="24"/>
        </w:rPr>
        <w:t>.11.5报告期末前十名股票中存在流通受限情况的说明</w:t>
      </w:r>
    </w:p>
    <w:p w14:paraId="55135184" w14:textId="77777777" w:rsidR="0045249B" w:rsidRDefault="0045249B" w:rsidP="0045249B">
      <w:pPr>
        <w:autoSpaceDE w:val="0"/>
        <w:autoSpaceDN w:val="0"/>
        <w:adjustRightInd w:val="0"/>
        <w:spacing w:line="360" w:lineRule="auto"/>
        <w:jc w:val="left"/>
        <w:rPr>
          <w:rFonts w:ascii="宋体" w:hAnsi="宋体"/>
          <w:color w:val="000000" w:themeColor="text1"/>
          <w:sz w:val="24"/>
          <w:szCs w:val="24"/>
        </w:rPr>
      </w:pPr>
      <w:r w:rsidRPr="00FD685A">
        <w:rPr>
          <w:rFonts w:ascii="宋体" w:hAnsi="宋体"/>
          <w:color w:val="000000" w:themeColor="text1"/>
          <w:sz w:val="24"/>
          <w:szCs w:val="24"/>
        </w:rPr>
        <w:t>本基金本报告期末前十名股票中不存在流通受限情况。</w:t>
      </w:r>
    </w:p>
    <w:p w14:paraId="612B2891" w14:textId="77777777" w:rsidR="00FF53B4" w:rsidRDefault="00FF53B4" w:rsidP="0045249B">
      <w:pPr>
        <w:autoSpaceDE w:val="0"/>
        <w:autoSpaceDN w:val="0"/>
        <w:adjustRightInd w:val="0"/>
        <w:spacing w:line="360" w:lineRule="auto"/>
        <w:jc w:val="left"/>
        <w:rPr>
          <w:rFonts w:ascii="宋体" w:hAnsi="宋体"/>
          <w:color w:val="000000" w:themeColor="text1"/>
          <w:sz w:val="24"/>
          <w:szCs w:val="24"/>
        </w:rPr>
      </w:pPr>
    </w:p>
    <w:p w14:paraId="4FC026EE" w14:textId="77777777" w:rsidR="00FF53B4" w:rsidRPr="00FF53B4" w:rsidRDefault="00FF53B4" w:rsidP="00FF53B4">
      <w:pPr>
        <w:autoSpaceDE w:val="0"/>
        <w:autoSpaceDN w:val="0"/>
        <w:adjustRightInd w:val="0"/>
        <w:spacing w:before="29" w:line="288" w:lineRule="auto"/>
        <w:ind w:left="15"/>
        <w:jc w:val="left"/>
        <w:rPr>
          <w:rFonts w:ascii="宋体" w:hAnsi="宋体" w:cs="Arial"/>
          <w:b/>
          <w:color w:val="000000"/>
          <w:kern w:val="0"/>
          <w:sz w:val="24"/>
          <w:szCs w:val="24"/>
        </w:rPr>
      </w:pPr>
      <w:r w:rsidRPr="00FF53B4">
        <w:rPr>
          <w:rFonts w:ascii="宋体" w:hAnsi="宋体" w:cs="Arial"/>
          <w:b/>
          <w:color w:val="000000"/>
          <w:kern w:val="0"/>
          <w:sz w:val="24"/>
          <w:szCs w:val="24"/>
        </w:rPr>
        <w:t>5.2.11.6 投资组合报告附注的其他文字描述部分</w:t>
      </w:r>
    </w:p>
    <w:p w14:paraId="19A253A7" w14:textId="77777777" w:rsidR="00FF53B4" w:rsidRPr="00414345" w:rsidRDefault="00FF53B4" w:rsidP="00FF53B4">
      <w:pPr>
        <w:spacing w:before="29" w:line="288" w:lineRule="auto"/>
        <w:rPr>
          <w:color w:val="000000"/>
          <w:sz w:val="24"/>
          <w:szCs w:val="24"/>
        </w:rPr>
      </w:pPr>
      <w:r w:rsidRPr="00414345">
        <w:rPr>
          <w:color w:val="000000"/>
          <w:sz w:val="24"/>
          <w:szCs w:val="24"/>
        </w:rPr>
        <w:t>由于四舍五入的原因，分项之和与合计项之间可能存在尾差。</w:t>
      </w:r>
    </w:p>
    <w:p w14:paraId="7670765C" w14:textId="77777777" w:rsidR="0045249B" w:rsidRPr="00FD685A" w:rsidRDefault="0045249B" w:rsidP="0045249B">
      <w:pPr>
        <w:autoSpaceDE w:val="0"/>
        <w:autoSpaceDN w:val="0"/>
        <w:adjustRightInd w:val="0"/>
        <w:spacing w:line="360" w:lineRule="auto"/>
        <w:rPr>
          <w:rFonts w:ascii="宋体" w:hAnsi="宋体"/>
          <w:color w:val="000000" w:themeColor="text1"/>
          <w:sz w:val="24"/>
          <w:szCs w:val="24"/>
        </w:rPr>
      </w:pPr>
    </w:p>
    <w:p w14:paraId="5379A2C1" w14:textId="77777777" w:rsidR="004061AC" w:rsidRDefault="004061AC" w:rsidP="00C15CAC">
      <w:pPr>
        <w:spacing w:before="29" w:line="288" w:lineRule="auto"/>
        <w:ind w:firstLineChars="200" w:firstLine="482"/>
        <w:jc w:val="center"/>
        <w:rPr>
          <w:b/>
          <w:color w:val="000000"/>
          <w:kern w:val="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7C659F59" w14:textId="77777777" w:rsidR="00287AE8" w:rsidRPr="00414345" w:rsidRDefault="00287AE8" w:rsidP="00C15CAC">
      <w:pPr>
        <w:spacing w:before="29" w:line="288" w:lineRule="auto"/>
        <w:ind w:firstLineChars="200" w:firstLine="482"/>
        <w:jc w:val="center"/>
        <w:rPr>
          <w:b/>
          <w:color w:val="000000"/>
          <w:sz w:val="24"/>
          <w:szCs w:val="24"/>
        </w:rPr>
      </w:pPr>
    </w:p>
    <w:p w14:paraId="619F2658" w14:textId="77777777" w:rsidR="00287AE8" w:rsidRDefault="00287AE8" w:rsidP="003C6275">
      <w:pPr>
        <w:autoSpaceDE w:val="0"/>
        <w:autoSpaceDN w:val="0"/>
        <w:adjustRightInd w:val="0"/>
        <w:spacing w:before="29" w:line="288" w:lineRule="auto"/>
        <w:jc w:val="left"/>
        <w:rPr>
          <w:rFonts w:ascii="宋体" w:hAnsi="宋体" w:cs="Arial"/>
          <w:b/>
          <w:color w:val="000000"/>
          <w:kern w:val="0"/>
          <w:sz w:val="24"/>
          <w:szCs w:val="24"/>
        </w:rPr>
      </w:pPr>
      <w:r w:rsidRPr="00287AE8">
        <w:rPr>
          <w:rFonts w:ascii="宋体" w:hAnsi="宋体" w:cs="Arial" w:hint="eastAsia"/>
          <w:b/>
          <w:color w:val="000000"/>
          <w:kern w:val="0"/>
          <w:sz w:val="24"/>
          <w:szCs w:val="24"/>
        </w:rPr>
        <w:t>6.</w:t>
      </w:r>
      <w:r w:rsidR="00721321">
        <w:rPr>
          <w:rFonts w:ascii="宋体" w:hAnsi="宋体" w:cs="Arial" w:hint="eastAsia"/>
          <w:b/>
          <w:color w:val="000000"/>
          <w:kern w:val="0"/>
          <w:sz w:val="24"/>
          <w:szCs w:val="24"/>
        </w:rPr>
        <w:t>1</w:t>
      </w:r>
      <w:r w:rsidRPr="00287AE8">
        <w:rPr>
          <w:rFonts w:ascii="宋体" w:hAnsi="宋体" w:cs="Arial" w:hint="eastAsia"/>
          <w:b/>
          <w:color w:val="000000"/>
          <w:kern w:val="0"/>
          <w:sz w:val="24"/>
          <w:szCs w:val="24"/>
        </w:rPr>
        <w:t xml:space="preserve"> </w:t>
      </w:r>
      <w:r w:rsidRPr="00287AE8">
        <w:rPr>
          <w:rFonts w:ascii="宋体" w:hAnsi="宋体" w:cs="Arial"/>
          <w:b/>
          <w:color w:val="000000"/>
          <w:kern w:val="0"/>
          <w:sz w:val="24"/>
          <w:szCs w:val="24"/>
        </w:rPr>
        <w:t>交银施罗德增强收益债券型证券投资基金</w:t>
      </w:r>
    </w:p>
    <w:p w14:paraId="54DF397C" w14:textId="77777777" w:rsidR="00287AE8" w:rsidRPr="00CD7C85" w:rsidRDefault="00287AE8" w:rsidP="00470BEF">
      <w:pPr>
        <w:autoSpaceDE w:val="0"/>
        <w:autoSpaceDN w:val="0"/>
        <w:adjustRightInd w:val="0"/>
        <w:spacing w:before="29" w:line="360" w:lineRule="auto"/>
        <w:ind w:left="15" w:right="240"/>
        <w:jc w:val="right"/>
        <w:rPr>
          <w:rFonts w:ascii="宋体" w:hAnsi="宋体" w:cs="STSong-Light"/>
          <w:color w:val="000000"/>
          <w:sz w:val="24"/>
          <w:szCs w:val="24"/>
        </w:rPr>
      </w:pPr>
      <w:r w:rsidRPr="00CD7C85">
        <w:rPr>
          <w:rFonts w:ascii="宋体" w:hAnsi="宋体" w:cs="STSong-Light" w:hint="eastAsia"/>
          <w:color w:val="000000"/>
          <w:sz w:val="24"/>
          <w:szCs w:val="24"/>
        </w:rPr>
        <w:t>单位：份</w:t>
      </w:r>
    </w:p>
    <w:tbl>
      <w:tblPr>
        <w:tblW w:w="0" w:type="auto"/>
        <w:jc w:val="center"/>
        <w:tblLayout w:type="fixed"/>
        <w:tblLook w:val="0000" w:firstRow="0" w:lastRow="0" w:firstColumn="0" w:lastColumn="0" w:noHBand="0" w:noVBand="0"/>
      </w:tblPr>
      <w:tblGrid>
        <w:gridCol w:w="4805"/>
        <w:gridCol w:w="4025"/>
      </w:tblGrid>
      <w:tr w:rsidR="00287AE8" w:rsidRPr="00470BEF" w14:paraId="22159494" w14:textId="77777777" w:rsidTr="00B575F8">
        <w:trPr>
          <w:jc w:val="center"/>
        </w:trPr>
        <w:tc>
          <w:tcPr>
            <w:tcW w:w="4805" w:type="dxa"/>
            <w:tcBorders>
              <w:top w:val="single" w:sz="8" w:space="0" w:color="000000"/>
              <w:left w:val="single" w:sz="8" w:space="0" w:color="000000"/>
              <w:bottom w:val="single" w:sz="8" w:space="0" w:color="000000"/>
              <w:right w:val="single" w:sz="8" w:space="0" w:color="000000"/>
            </w:tcBorders>
            <w:vAlign w:val="center"/>
          </w:tcPr>
          <w:p w14:paraId="12AD29BC" w14:textId="77777777" w:rsidR="00287AE8" w:rsidRPr="00470BEF" w:rsidRDefault="00287AE8"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826C30D" w14:textId="77777777" w:rsidR="00287AE8" w:rsidRPr="00470BEF" w:rsidRDefault="007A751F" w:rsidP="00E22AE1">
            <w:pPr>
              <w:autoSpaceDE w:val="0"/>
              <w:autoSpaceDN w:val="0"/>
              <w:adjustRightInd w:val="0"/>
              <w:spacing w:before="29" w:line="360" w:lineRule="auto"/>
              <w:ind w:left="17"/>
              <w:jc w:val="right"/>
              <w:rPr>
                <w:rFonts w:ascii="宋体" w:hAnsi="宋体" w:cs="STSong-Light"/>
                <w:color w:val="000000"/>
                <w:sz w:val="24"/>
                <w:szCs w:val="24"/>
              </w:rPr>
            </w:pPr>
            <w:r w:rsidRPr="00470BEF">
              <w:rPr>
                <w:rFonts w:ascii="宋体" w:hAnsi="宋体" w:cs="STSong-Light" w:hint="eastAsia"/>
                <w:color w:val="000000"/>
                <w:sz w:val="24"/>
                <w:szCs w:val="24"/>
              </w:rPr>
              <w:t>83,494,667.24</w:t>
            </w:r>
          </w:p>
        </w:tc>
      </w:tr>
      <w:tr w:rsidR="00287AE8" w:rsidRPr="00470BEF" w14:paraId="647344DC" w14:textId="77777777" w:rsidTr="00B575F8">
        <w:trPr>
          <w:jc w:val="center"/>
        </w:trPr>
        <w:tc>
          <w:tcPr>
            <w:tcW w:w="4805" w:type="dxa"/>
            <w:tcBorders>
              <w:top w:val="single" w:sz="8" w:space="0" w:color="000000"/>
              <w:left w:val="single" w:sz="8" w:space="0" w:color="000000"/>
              <w:bottom w:val="single" w:sz="8" w:space="0" w:color="000000"/>
              <w:right w:val="single" w:sz="8" w:space="0" w:color="000000"/>
            </w:tcBorders>
            <w:vAlign w:val="center"/>
          </w:tcPr>
          <w:p w14:paraId="30F1B6DA" w14:textId="77777777" w:rsidR="00287AE8" w:rsidRPr="00470BEF" w:rsidRDefault="00287AE8"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color w:val="000000"/>
                <w:sz w:val="24"/>
                <w:szCs w:val="24"/>
              </w:rPr>
              <w:t>基金合同生效日起至报告期期末</w:t>
            </w:r>
            <w:r w:rsidRPr="00470BEF">
              <w:rPr>
                <w:rFonts w:ascii="宋体" w:hAnsi="宋体" w:cs="STSong-Light" w:hint="eastAsia"/>
                <w:color w:val="00000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4008ECE" w14:textId="77777777" w:rsidR="00287AE8" w:rsidRPr="00470BEF" w:rsidRDefault="00287AE8" w:rsidP="00115AE2">
            <w:pPr>
              <w:autoSpaceDE w:val="0"/>
              <w:autoSpaceDN w:val="0"/>
              <w:adjustRightInd w:val="0"/>
              <w:spacing w:before="29" w:line="360" w:lineRule="auto"/>
              <w:ind w:left="17"/>
              <w:jc w:val="right"/>
              <w:rPr>
                <w:rFonts w:ascii="宋体" w:hAnsi="宋体" w:cs="STSong-Light"/>
                <w:color w:val="000000"/>
                <w:sz w:val="24"/>
                <w:szCs w:val="24"/>
              </w:rPr>
            </w:pPr>
            <w:r w:rsidRPr="00470BEF">
              <w:rPr>
                <w:rFonts w:ascii="宋体" w:hAnsi="宋体" w:cs="STSong-Light"/>
                <w:color w:val="000000"/>
                <w:sz w:val="24"/>
                <w:szCs w:val="24"/>
              </w:rPr>
              <w:t>-</w:t>
            </w:r>
          </w:p>
        </w:tc>
      </w:tr>
      <w:tr w:rsidR="00287AE8" w:rsidRPr="00470BEF" w14:paraId="266EE26B" w14:textId="77777777" w:rsidTr="00B575F8">
        <w:trPr>
          <w:jc w:val="center"/>
        </w:trPr>
        <w:tc>
          <w:tcPr>
            <w:tcW w:w="4805" w:type="dxa"/>
            <w:tcBorders>
              <w:top w:val="single" w:sz="8" w:space="0" w:color="000000"/>
              <w:left w:val="single" w:sz="8" w:space="0" w:color="000000"/>
              <w:bottom w:val="single" w:sz="8" w:space="0" w:color="000000"/>
              <w:right w:val="single" w:sz="8" w:space="0" w:color="000000"/>
            </w:tcBorders>
            <w:vAlign w:val="center"/>
          </w:tcPr>
          <w:p w14:paraId="35258576" w14:textId="77777777" w:rsidR="00287AE8" w:rsidRPr="00470BEF" w:rsidRDefault="00287AE8"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减：</w:t>
            </w:r>
            <w:r w:rsidRPr="00470BEF">
              <w:rPr>
                <w:rFonts w:ascii="宋体" w:hAnsi="宋体" w:cs="STSong-Light"/>
                <w:color w:val="000000"/>
                <w:sz w:val="24"/>
                <w:szCs w:val="24"/>
              </w:rPr>
              <w:t>基金合同生效日起至报告期期末</w:t>
            </w:r>
            <w:r w:rsidRPr="00470BEF">
              <w:rPr>
                <w:rFonts w:ascii="宋体" w:hAnsi="宋体" w:cs="STSong-Light" w:hint="eastAsia"/>
                <w:color w:val="00000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7B7DDC07" w14:textId="77777777" w:rsidR="00287AE8" w:rsidRPr="00470BEF" w:rsidRDefault="007A751F" w:rsidP="00115AE2">
            <w:pPr>
              <w:autoSpaceDE w:val="0"/>
              <w:autoSpaceDN w:val="0"/>
              <w:adjustRightInd w:val="0"/>
              <w:spacing w:before="29" w:line="360" w:lineRule="auto"/>
              <w:ind w:left="17"/>
              <w:jc w:val="right"/>
              <w:rPr>
                <w:rFonts w:ascii="宋体" w:hAnsi="宋体" w:cs="STSong-Light"/>
                <w:color w:val="000000"/>
                <w:sz w:val="24"/>
                <w:szCs w:val="24"/>
              </w:rPr>
            </w:pPr>
            <w:r w:rsidRPr="007A751F">
              <w:rPr>
                <w:rFonts w:ascii="宋体" w:hAnsi="宋体" w:cs="STSong-Light"/>
                <w:color w:val="000000"/>
                <w:sz w:val="24"/>
                <w:szCs w:val="24"/>
              </w:rPr>
              <w:t>4</w:t>
            </w:r>
            <w:r>
              <w:rPr>
                <w:rFonts w:ascii="宋体" w:hAnsi="宋体" w:cs="STSong-Light"/>
                <w:color w:val="000000"/>
                <w:sz w:val="24"/>
                <w:szCs w:val="24"/>
              </w:rPr>
              <w:t>,</w:t>
            </w:r>
            <w:r w:rsidRPr="007A751F">
              <w:rPr>
                <w:rFonts w:ascii="宋体" w:hAnsi="宋体" w:cs="STSong-Light"/>
                <w:color w:val="000000"/>
                <w:sz w:val="24"/>
                <w:szCs w:val="24"/>
              </w:rPr>
              <w:t>815</w:t>
            </w:r>
            <w:r>
              <w:rPr>
                <w:rFonts w:ascii="宋体" w:hAnsi="宋体" w:cs="STSong-Light"/>
                <w:color w:val="000000"/>
                <w:sz w:val="24"/>
                <w:szCs w:val="24"/>
              </w:rPr>
              <w:t>,</w:t>
            </w:r>
            <w:r w:rsidRPr="007A751F">
              <w:rPr>
                <w:rFonts w:ascii="宋体" w:hAnsi="宋体" w:cs="STSong-Light"/>
                <w:color w:val="000000"/>
                <w:sz w:val="24"/>
                <w:szCs w:val="24"/>
              </w:rPr>
              <w:t>545.93</w:t>
            </w:r>
          </w:p>
        </w:tc>
      </w:tr>
      <w:tr w:rsidR="00287AE8" w:rsidRPr="00470BEF" w14:paraId="598B5CCC" w14:textId="77777777" w:rsidTr="00B575F8">
        <w:trPr>
          <w:jc w:val="center"/>
        </w:trPr>
        <w:tc>
          <w:tcPr>
            <w:tcW w:w="4805" w:type="dxa"/>
            <w:tcBorders>
              <w:top w:val="single" w:sz="8" w:space="0" w:color="000000"/>
              <w:left w:val="single" w:sz="8" w:space="0" w:color="000000"/>
              <w:bottom w:val="single" w:sz="8" w:space="0" w:color="000000"/>
              <w:right w:val="single" w:sz="8" w:space="0" w:color="000000"/>
            </w:tcBorders>
            <w:vAlign w:val="center"/>
          </w:tcPr>
          <w:p w14:paraId="06F0EFAD" w14:textId="2E45DBBF" w:rsidR="00287AE8" w:rsidRPr="00470BEF" w:rsidRDefault="00287AE8"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color w:val="000000"/>
                <w:sz w:val="24"/>
                <w:szCs w:val="24"/>
              </w:rPr>
              <w:t>基金合同生效日起至报告期期末</w:t>
            </w:r>
            <w:r w:rsidRPr="00470BEF">
              <w:rPr>
                <w:rFonts w:ascii="宋体" w:hAnsi="宋体" w:cs="STSong-Light" w:hint="eastAsia"/>
                <w:color w:val="000000"/>
                <w:sz w:val="24"/>
                <w:szCs w:val="24"/>
              </w:rPr>
              <w:t>基金拆分变动份额</w:t>
            </w:r>
            <w:r w:rsidR="00B228DB" w:rsidRPr="006664D2">
              <w:rPr>
                <w:rFonts w:hint="eastAsia"/>
                <w:color w:val="000000"/>
                <w:kern w:val="0"/>
                <w:sz w:val="24"/>
              </w:rPr>
              <w:t>（份额减少以</w:t>
            </w:r>
            <w:r w:rsidR="00B228DB" w:rsidRPr="004D5D71">
              <w:rPr>
                <w:color w:val="000000"/>
              </w:rPr>
              <w:t>“-”</w:t>
            </w:r>
            <w:r w:rsidR="00B228DB"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64277A4A" w14:textId="77777777" w:rsidR="00287AE8" w:rsidRPr="00470BEF" w:rsidRDefault="00287AE8" w:rsidP="00115AE2">
            <w:pPr>
              <w:autoSpaceDE w:val="0"/>
              <w:autoSpaceDN w:val="0"/>
              <w:adjustRightInd w:val="0"/>
              <w:spacing w:before="29" w:line="360" w:lineRule="auto"/>
              <w:ind w:left="17"/>
              <w:jc w:val="right"/>
              <w:rPr>
                <w:rFonts w:ascii="宋体" w:hAnsi="宋体" w:cs="STSong-Light"/>
                <w:color w:val="000000"/>
                <w:sz w:val="24"/>
                <w:szCs w:val="24"/>
              </w:rPr>
            </w:pPr>
            <w:r w:rsidRPr="00470BEF">
              <w:rPr>
                <w:rFonts w:ascii="宋体" w:hAnsi="宋体" w:cs="STSong-Light"/>
                <w:color w:val="000000"/>
                <w:sz w:val="24"/>
                <w:szCs w:val="24"/>
              </w:rPr>
              <w:t>-</w:t>
            </w:r>
          </w:p>
        </w:tc>
      </w:tr>
      <w:tr w:rsidR="00287AE8" w:rsidRPr="00470BEF" w14:paraId="083E17C8" w14:textId="77777777" w:rsidTr="00B575F8">
        <w:trPr>
          <w:jc w:val="center"/>
        </w:trPr>
        <w:tc>
          <w:tcPr>
            <w:tcW w:w="4805" w:type="dxa"/>
            <w:tcBorders>
              <w:top w:val="single" w:sz="8" w:space="0" w:color="000000"/>
              <w:left w:val="single" w:sz="8" w:space="0" w:color="000000"/>
              <w:bottom w:val="single" w:sz="8" w:space="0" w:color="000000"/>
              <w:right w:val="single" w:sz="8" w:space="0" w:color="000000"/>
            </w:tcBorders>
            <w:vAlign w:val="center"/>
          </w:tcPr>
          <w:p w14:paraId="5273D7DF" w14:textId="77777777" w:rsidR="00287AE8" w:rsidRPr="00470BEF" w:rsidRDefault="00287AE8"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412D7714" w14:textId="77777777" w:rsidR="00287AE8" w:rsidRPr="00470BEF" w:rsidRDefault="007A751F" w:rsidP="00115AE2">
            <w:pPr>
              <w:autoSpaceDE w:val="0"/>
              <w:autoSpaceDN w:val="0"/>
              <w:adjustRightInd w:val="0"/>
              <w:spacing w:before="29" w:line="360" w:lineRule="auto"/>
              <w:ind w:left="17"/>
              <w:jc w:val="right"/>
              <w:rPr>
                <w:rFonts w:ascii="宋体" w:hAnsi="宋体" w:cs="STSong-Light"/>
                <w:color w:val="000000"/>
                <w:sz w:val="24"/>
                <w:szCs w:val="24"/>
              </w:rPr>
            </w:pPr>
            <w:r w:rsidRPr="007A751F">
              <w:rPr>
                <w:rFonts w:ascii="宋体" w:hAnsi="宋体" w:cs="STSong-Light"/>
                <w:color w:val="000000"/>
                <w:sz w:val="24"/>
                <w:szCs w:val="24"/>
              </w:rPr>
              <w:t>78</w:t>
            </w:r>
            <w:r>
              <w:rPr>
                <w:rFonts w:ascii="宋体" w:hAnsi="宋体" w:cs="STSong-Light"/>
                <w:color w:val="000000"/>
                <w:sz w:val="24"/>
                <w:szCs w:val="24"/>
              </w:rPr>
              <w:t>,</w:t>
            </w:r>
            <w:r w:rsidRPr="007A751F">
              <w:rPr>
                <w:rFonts w:ascii="宋体" w:hAnsi="宋体" w:cs="STSong-Light"/>
                <w:color w:val="000000"/>
                <w:sz w:val="24"/>
                <w:szCs w:val="24"/>
              </w:rPr>
              <w:t>679</w:t>
            </w:r>
            <w:r>
              <w:rPr>
                <w:rFonts w:ascii="宋体" w:hAnsi="宋体" w:cs="STSong-Light"/>
                <w:color w:val="000000"/>
                <w:sz w:val="24"/>
                <w:szCs w:val="24"/>
              </w:rPr>
              <w:t>,</w:t>
            </w:r>
            <w:r w:rsidRPr="007A751F">
              <w:rPr>
                <w:rFonts w:ascii="宋体" w:hAnsi="宋体" w:cs="STSong-Light"/>
                <w:color w:val="000000"/>
                <w:sz w:val="24"/>
                <w:szCs w:val="24"/>
              </w:rPr>
              <w:t>121.31</w:t>
            </w:r>
          </w:p>
        </w:tc>
      </w:tr>
    </w:tbl>
    <w:p w14:paraId="5122FB25" w14:textId="77777777" w:rsidR="001D3B02" w:rsidRDefault="00F1734D" w:rsidP="006A209B">
      <w:pPr>
        <w:autoSpaceDE w:val="0"/>
        <w:autoSpaceDN w:val="0"/>
        <w:adjustRightInd w:val="0"/>
        <w:spacing w:before="29" w:line="288" w:lineRule="auto"/>
        <w:ind w:left="15" w:firstLineChars="50" w:firstLine="120"/>
        <w:jc w:val="left"/>
        <w:rPr>
          <w:rFonts w:ascii="宋体" w:hAnsi="宋体" w:cs="STSong-Light"/>
          <w:color w:val="000000"/>
          <w:sz w:val="24"/>
          <w:szCs w:val="24"/>
        </w:rPr>
      </w:pPr>
      <w:r>
        <w:rPr>
          <w:rFonts w:ascii="宋体" w:hAnsi="宋体" w:cs="STSong-Light"/>
          <w:color w:val="000000"/>
          <w:sz w:val="24"/>
          <w:szCs w:val="24"/>
        </w:rPr>
        <w:t>注：1、上表中“报告期”指2016年12月30日至2016年12月31日；</w:t>
      </w:r>
    </w:p>
    <w:p w14:paraId="460989B7" w14:textId="77777777" w:rsidR="001D3B02" w:rsidRDefault="00F1734D" w:rsidP="006A209B">
      <w:pPr>
        <w:autoSpaceDE w:val="0"/>
        <w:autoSpaceDN w:val="0"/>
        <w:adjustRightInd w:val="0"/>
        <w:spacing w:before="29" w:line="288" w:lineRule="auto"/>
        <w:ind w:left="15" w:firstLineChars="250" w:firstLine="600"/>
        <w:jc w:val="left"/>
        <w:rPr>
          <w:rFonts w:ascii="宋体" w:hAnsi="宋体" w:cs="STSong-Light"/>
          <w:color w:val="000000"/>
          <w:sz w:val="24"/>
          <w:szCs w:val="24"/>
        </w:rPr>
      </w:pPr>
      <w:r>
        <w:rPr>
          <w:rFonts w:ascii="宋体" w:hAnsi="宋体" w:cs="STSong-Light"/>
          <w:color w:val="000000"/>
          <w:sz w:val="24"/>
          <w:szCs w:val="24"/>
        </w:rPr>
        <w:t xml:space="preserve">2、如果本报告期间发生转换入、红利再投业务，则总申购份额中包含该业务； </w:t>
      </w:r>
    </w:p>
    <w:p w14:paraId="76F5120F" w14:textId="77777777" w:rsidR="00287AE8" w:rsidRDefault="00287AE8" w:rsidP="006A209B">
      <w:pPr>
        <w:autoSpaceDE w:val="0"/>
        <w:autoSpaceDN w:val="0"/>
        <w:adjustRightInd w:val="0"/>
        <w:spacing w:before="29" w:line="288" w:lineRule="auto"/>
        <w:ind w:left="15" w:firstLineChars="250" w:firstLine="600"/>
        <w:jc w:val="left"/>
        <w:rPr>
          <w:rFonts w:ascii="宋体" w:hAnsi="宋体" w:cs="STSong-Light"/>
          <w:color w:val="000000"/>
          <w:sz w:val="24"/>
          <w:szCs w:val="24"/>
        </w:rPr>
      </w:pPr>
      <w:r w:rsidRPr="00470BEF">
        <w:rPr>
          <w:rFonts w:ascii="宋体" w:hAnsi="宋体" w:cs="STSong-Light"/>
          <w:color w:val="000000"/>
          <w:sz w:val="24"/>
          <w:szCs w:val="24"/>
        </w:rPr>
        <w:t>3、如果本报告期间发生转换出业务，则总赎回份额中包含该业务。</w:t>
      </w:r>
    </w:p>
    <w:p w14:paraId="32C2CED3" w14:textId="77777777" w:rsidR="00470BEF" w:rsidRDefault="00470BEF" w:rsidP="00287AE8">
      <w:pPr>
        <w:autoSpaceDE w:val="0"/>
        <w:autoSpaceDN w:val="0"/>
        <w:adjustRightInd w:val="0"/>
        <w:spacing w:before="29" w:line="288" w:lineRule="auto"/>
        <w:ind w:left="15"/>
        <w:jc w:val="left"/>
        <w:rPr>
          <w:rFonts w:ascii="宋体" w:hAnsi="宋体" w:cs="STSong-Light"/>
          <w:color w:val="000000"/>
          <w:sz w:val="24"/>
          <w:szCs w:val="24"/>
        </w:rPr>
      </w:pPr>
    </w:p>
    <w:p w14:paraId="7685346A" w14:textId="77777777" w:rsidR="00470BEF" w:rsidRPr="00287AE8" w:rsidRDefault="00470BEF" w:rsidP="00470BEF">
      <w:pPr>
        <w:autoSpaceDE w:val="0"/>
        <w:autoSpaceDN w:val="0"/>
        <w:adjustRightInd w:val="0"/>
        <w:spacing w:before="29" w:line="288" w:lineRule="auto"/>
        <w:ind w:leftChars="7" w:left="15" w:firstLineChars="100" w:firstLine="241"/>
        <w:jc w:val="left"/>
        <w:rPr>
          <w:rFonts w:ascii="宋体" w:hAnsi="宋体" w:cs="Arial"/>
          <w:b/>
          <w:color w:val="000000"/>
          <w:kern w:val="0"/>
          <w:sz w:val="24"/>
          <w:szCs w:val="24"/>
        </w:rPr>
      </w:pPr>
      <w:r w:rsidRPr="00287AE8">
        <w:rPr>
          <w:rFonts w:ascii="宋体" w:hAnsi="宋体" w:cs="Arial" w:hint="eastAsia"/>
          <w:b/>
          <w:color w:val="000000"/>
          <w:kern w:val="0"/>
          <w:sz w:val="24"/>
          <w:szCs w:val="24"/>
        </w:rPr>
        <w:t xml:space="preserve">6.2 </w:t>
      </w:r>
      <w:r w:rsidRPr="00287AE8">
        <w:rPr>
          <w:rFonts w:ascii="宋体" w:hAnsi="宋体" w:cs="Arial"/>
          <w:b/>
          <w:color w:val="000000"/>
          <w:kern w:val="0"/>
          <w:sz w:val="24"/>
          <w:szCs w:val="24"/>
        </w:rPr>
        <w:t>交银施罗德荣泰保本混合型证券投资基金</w:t>
      </w:r>
    </w:p>
    <w:p w14:paraId="6F38B673" w14:textId="77777777" w:rsidR="00470BEF" w:rsidRPr="00CD7C85" w:rsidRDefault="00470BEF" w:rsidP="00470BEF">
      <w:pPr>
        <w:autoSpaceDE w:val="0"/>
        <w:autoSpaceDN w:val="0"/>
        <w:adjustRightInd w:val="0"/>
        <w:spacing w:before="29" w:line="360" w:lineRule="auto"/>
        <w:ind w:left="15" w:right="240"/>
        <w:jc w:val="right"/>
        <w:rPr>
          <w:rFonts w:ascii="宋体" w:hAnsi="宋体" w:cs="STSong-Light"/>
          <w:color w:val="000000"/>
          <w:sz w:val="24"/>
          <w:szCs w:val="24"/>
        </w:rPr>
      </w:pPr>
      <w:r w:rsidRPr="00CD7C85">
        <w:rPr>
          <w:rFonts w:ascii="宋体" w:hAnsi="宋体" w:cs="STSong-Light" w:hint="eastAsia"/>
          <w:color w:val="000000"/>
          <w:sz w:val="24"/>
          <w:szCs w:val="24"/>
        </w:rPr>
        <w:t>单位：份</w:t>
      </w:r>
    </w:p>
    <w:tbl>
      <w:tblPr>
        <w:tblW w:w="0" w:type="auto"/>
        <w:jc w:val="center"/>
        <w:tblLayout w:type="fixed"/>
        <w:tblLook w:val="0000" w:firstRow="0" w:lastRow="0" w:firstColumn="0" w:lastColumn="0" w:noHBand="0" w:noVBand="0"/>
      </w:tblPr>
      <w:tblGrid>
        <w:gridCol w:w="4609"/>
        <w:gridCol w:w="4025"/>
      </w:tblGrid>
      <w:tr w:rsidR="00470BEF" w:rsidRPr="00470BEF" w14:paraId="3E6904E2" w14:textId="77777777" w:rsidTr="00F1734D">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DBC4200" w14:textId="77777777" w:rsidR="00470BEF" w:rsidRPr="00470BEF" w:rsidRDefault="00470BEF"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A3CED50" w14:textId="77777777" w:rsidR="00470BEF" w:rsidRPr="00470BEF" w:rsidRDefault="007A751F" w:rsidP="006E245F">
            <w:pPr>
              <w:autoSpaceDE w:val="0"/>
              <w:autoSpaceDN w:val="0"/>
              <w:adjustRightInd w:val="0"/>
              <w:spacing w:before="29" w:line="360" w:lineRule="auto"/>
              <w:ind w:left="17"/>
              <w:jc w:val="right"/>
              <w:rPr>
                <w:rFonts w:ascii="宋体" w:hAnsi="宋体" w:cs="STSong-Light"/>
                <w:color w:val="000000"/>
                <w:sz w:val="24"/>
                <w:szCs w:val="24"/>
              </w:rPr>
            </w:pPr>
            <w:r w:rsidRPr="007A751F">
              <w:rPr>
                <w:rFonts w:ascii="宋体" w:hAnsi="宋体" w:cs="STSong-Light"/>
                <w:color w:val="000000"/>
                <w:sz w:val="24"/>
                <w:szCs w:val="24"/>
              </w:rPr>
              <w:t>120</w:t>
            </w:r>
            <w:r>
              <w:rPr>
                <w:rFonts w:ascii="宋体" w:hAnsi="宋体" w:cs="STSong-Light"/>
                <w:color w:val="000000"/>
                <w:sz w:val="24"/>
                <w:szCs w:val="24"/>
              </w:rPr>
              <w:t>,</w:t>
            </w:r>
            <w:r w:rsidRPr="007A751F">
              <w:rPr>
                <w:rFonts w:ascii="宋体" w:hAnsi="宋体" w:cs="STSong-Light"/>
                <w:color w:val="000000"/>
                <w:sz w:val="24"/>
                <w:szCs w:val="24"/>
              </w:rPr>
              <w:t>335</w:t>
            </w:r>
            <w:r>
              <w:rPr>
                <w:rFonts w:ascii="宋体" w:hAnsi="宋体" w:cs="STSong-Light"/>
                <w:color w:val="000000"/>
                <w:sz w:val="24"/>
                <w:szCs w:val="24"/>
              </w:rPr>
              <w:t>,</w:t>
            </w:r>
            <w:r w:rsidRPr="007A751F">
              <w:rPr>
                <w:rFonts w:ascii="宋体" w:hAnsi="宋体" w:cs="STSong-Light"/>
                <w:color w:val="000000"/>
                <w:sz w:val="24"/>
                <w:szCs w:val="24"/>
              </w:rPr>
              <w:t>230.83</w:t>
            </w:r>
          </w:p>
        </w:tc>
      </w:tr>
      <w:tr w:rsidR="00470BEF" w:rsidRPr="00470BEF" w14:paraId="34831BE3" w14:textId="77777777" w:rsidTr="00F1734D">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DED1E61" w14:textId="6880C3DC" w:rsidR="00470BEF" w:rsidRPr="00470BEF" w:rsidRDefault="00D849DD" w:rsidP="00F1734D">
            <w:pPr>
              <w:autoSpaceDE w:val="0"/>
              <w:autoSpaceDN w:val="0"/>
              <w:adjustRightInd w:val="0"/>
              <w:spacing w:before="29" w:line="360" w:lineRule="auto"/>
              <w:ind w:left="17"/>
              <w:rPr>
                <w:rFonts w:ascii="宋体" w:hAnsi="宋体" w:cs="STSong-Light"/>
                <w:color w:val="000000"/>
                <w:sz w:val="24"/>
                <w:szCs w:val="24"/>
              </w:rPr>
            </w:pPr>
            <w:r w:rsidRPr="00D909BA">
              <w:rPr>
                <w:rFonts w:ascii="宋体" w:hAnsi="宋体" w:cs="STSong-Light"/>
                <w:color w:val="000000"/>
                <w:sz w:val="24"/>
                <w:szCs w:val="24"/>
              </w:rPr>
              <w:t>本报告期</w:t>
            </w:r>
            <w:r w:rsidRPr="00D909BA">
              <w:rPr>
                <w:rFonts w:ascii="宋体" w:hAnsi="宋体" w:cs="STSong-Light" w:hint="eastAsia"/>
                <w:color w:val="000000"/>
                <w:sz w:val="24"/>
                <w:szCs w:val="24"/>
              </w:rPr>
              <w:t>期间</w:t>
            </w:r>
            <w:r w:rsidR="00470BEF" w:rsidRPr="00470BEF">
              <w:rPr>
                <w:rFonts w:ascii="宋体" w:hAnsi="宋体" w:cs="STSong-Light" w:hint="eastAsia"/>
                <w:color w:val="00000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CB345A1" w14:textId="77777777" w:rsidR="00470BEF" w:rsidRPr="00470BEF" w:rsidRDefault="00470BEF" w:rsidP="008A7365">
            <w:pPr>
              <w:autoSpaceDE w:val="0"/>
              <w:autoSpaceDN w:val="0"/>
              <w:adjustRightInd w:val="0"/>
              <w:spacing w:before="29" w:line="360" w:lineRule="auto"/>
              <w:ind w:left="17"/>
              <w:jc w:val="right"/>
              <w:rPr>
                <w:rFonts w:ascii="宋体" w:hAnsi="宋体" w:cs="STSong-Light"/>
                <w:color w:val="000000"/>
                <w:sz w:val="24"/>
                <w:szCs w:val="24"/>
              </w:rPr>
            </w:pPr>
            <w:r w:rsidRPr="00470BEF">
              <w:rPr>
                <w:rFonts w:ascii="宋体" w:hAnsi="宋体" w:cs="STSong-Light"/>
                <w:color w:val="000000"/>
                <w:sz w:val="24"/>
                <w:szCs w:val="24"/>
              </w:rPr>
              <w:t>-</w:t>
            </w:r>
          </w:p>
        </w:tc>
      </w:tr>
      <w:tr w:rsidR="00470BEF" w:rsidRPr="00470BEF" w14:paraId="5CB3510D" w14:textId="77777777" w:rsidTr="006A209B">
        <w:trPr>
          <w:trHeight w:val="433"/>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24D1AA9C" w14:textId="2EE6C0AA" w:rsidR="00470BEF" w:rsidRPr="00470BEF" w:rsidRDefault="00470BEF"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减：</w:t>
            </w:r>
            <w:r w:rsidR="00D849DD" w:rsidRPr="00D909BA">
              <w:rPr>
                <w:rFonts w:ascii="宋体" w:hAnsi="宋体" w:cs="STSong-Light"/>
                <w:color w:val="000000"/>
                <w:sz w:val="24"/>
                <w:szCs w:val="24"/>
              </w:rPr>
              <w:t>本报告期</w:t>
            </w:r>
            <w:r w:rsidR="00D849DD" w:rsidRPr="00D909BA">
              <w:rPr>
                <w:rFonts w:ascii="宋体" w:hAnsi="宋体" w:cs="STSong-Light" w:hint="eastAsia"/>
                <w:color w:val="000000"/>
                <w:sz w:val="24"/>
                <w:szCs w:val="24"/>
              </w:rPr>
              <w:t>期间</w:t>
            </w:r>
            <w:r w:rsidRPr="00470BEF">
              <w:rPr>
                <w:rFonts w:ascii="宋体" w:hAnsi="宋体" w:cs="STSong-Light" w:hint="eastAsia"/>
                <w:color w:val="00000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A8ADFAB" w14:textId="77777777" w:rsidR="00470BEF" w:rsidRPr="00470BEF" w:rsidRDefault="007A751F" w:rsidP="007A751F">
            <w:pPr>
              <w:autoSpaceDE w:val="0"/>
              <w:autoSpaceDN w:val="0"/>
              <w:adjustRightInd w:val="0"/>
              <w:spacing w:before="29" w:line="360" w:lineRule="auto"/>
              <w:ind w:left="17"/>
              <w:jc w:val="right"/>
              <w:rPr>
                <w:rFonts w:ascii="宋体" w:hAnsi="宋体" w:cs="STSong-Light"/>
                <w:color w:val="000000"/>
                <w:sz w:val="24"/>
                <w:szCs w:val="24"/>
              </w:rPr>
            </w:pPr>
            <w:r w:rsidRPr="007A751F">
              <w:rPr>
                <w:rFonts w:ascii="宋体" w:hAnsi="宋体" w:cs="STSong-Light"/>
                <w:color w:val="000000"/>
                <w:sz w:val="24"/>
                <w:szCs w:val="24"/>
              </w:rPr>
              <w:t>36</w:t>
            </w:r>
            <w:r>
              <w:rPr>
                <w:rFonts w:ascii="宋体" w:hAnsi="宋体" w:cs="STSong-Light"/>
                <w:color w:val="000000"/>
                <w:sz w:val="24"/>
                <w:szCs w:val="24"/>
              </w:rPr>
              <w:t>,</w:t>
            </w:r>
            <w:r w:rsidRPr="007A751F">
              <w:rPr>
                <w:rFonts w:ascii="宋体" w:hAnsi="宋体" w:cs="STSong-Light"/>
                <w:color w:val="000000"/>
                <w:sz w:val="24"/>
                <w:szCs w:val="24"/>
              </w:rPr>
              <w:t>840</w:t>
            </w:r>
            <w:r>
              <w:rPr>
                <w:rFonts w:ascii="宋体" w:hAnsi="宋体" w:cs="STSong-Light"/>
                <w:color w:val="000000"/>
                <w:sz w:val="24"/>
                <w:szCs w:val="24"/>
              </w:rPr>
              <w:t>,</w:t>
            </w:r>
            <w:r w:rsidRPr="007A751F">
              <w:rPr>
                <w:rFonts w:ascii="宋体" w:hAnsi="宋体" w:cs="STSong-Light"/>
                <w:color w:val="000000"/>
                <w:sz w:val="24"/>
                <w:szCs w:val="24"/>
              </w:rPr>
              <w:t>563.59</w:t>
            </w:r>
          </w:p>
        </w:tc>
      </w:tr>
      <w:tr w:rsidR="00470BEF" w:rsidRPr="00470BEF" w14:paraId="59614595" w14:textId="77777777" w:rsidTr="00F1734D">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63946D2" w14:textId="657A0941" w:rsidR="00470BEF" w:rsidRPr="00470BEF" w:rsidRDefault="00D849DD" w:rsidP="00F1734D">
            <w:pPr>
              <w:autoSpaceDE w:val="0"/>
              <w:autoSpaceDN w:val="0"/>
              <w:adjustRightInd w:val="0"/>
              <w:spacing w:before="29" w:line="360" w:lineRule="auto"/>
              <w:ind w:left="17"/>
              <w:rPr>
                <w:rFonts w:ascii="宋体" w:hAnsi="宋体" w:cs="STSong-Light"/>
                <w:color w:val="000000"/>
                <w:sz w:val="24"/>
                <w:szCs w:val="24"/>
              </w:rPr>
            </w:pPr>
            <w:r w:rsidRPr="00D909BA">
              <w:rPr>
                <w:rFonts w:ascii="宋体" w:hAnsi="宋体" w:cs="STSong-Light"/>
                <w:color w:val="000000"/>
                <w:sz w:val="24"/>
                <w:szCs w:val="24"/>
              </w:rPr>
              <w:t>本报告期</w:t>
            </w:r>
            <w:r w:rsidRPr="00D909BA">
              <w:rPr>
                <w:rFonts w:ascii="宋体" w:hAnsi="宋体" w:cs="STSong-Light" w:hint="eastAsia"/>
                <w:color w:val="000000"/>
                <w:sz w:val="24"/>
                <w:szCs w:val="24"/>
              </w:rPr>
              <w:t>期间</w:t>
            </w:r>
            <w:r w:rsidR="00470BEF" w:rsidRPr="00470BEF">
              <w:rPr>
                <w:rFonts w:ascii="宋体" w:hAnsi="宋体" w:cs="STSong-Light" w:hint="eastAsia"/>
                <w:color w:val="000000"/>
                <w:sz w:val="24"/>
                <w:szCs w:val="24"/>
              </w:rPr>
              <w:t>基金拆分变动份额</w:t>
            </w:r>
            <w:r w:rsidR="00B228DB" w:rsidRPr="006664D2">
              <w:rPr>
                <w:rFonts w:hint="eastAsia"/>
                <w:color w:val="000000"/>
                <w:kern w:val="0"/>
                <w:sz w:val="24"/>
              </w:rPr>
              <w:t>（份额减少以</w:t>
            </w:r>
            <w:r w:rsidR="00B228DB" w:rsidRPr="004D5D71">
              <w:rPr>
                <w:color w:val="000000"/>
              </w:rPr>
              <w:t>“-”</w:t>
            </w:r>
            <w:r w:rsidR="00B228DB"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3E5EE418" w14:textId="77777777" w:rsidR="00470BEF" w:rsidRPr="00470BEF" w:rsidRDefault="00470BEF" w:rsidP="008A7365">
            <w:pPr>
              <w:autoSpaceDE w:val="0"/>
              <w:autoSpaceDN w:val="0"/>
              <w:adjustRightInd w:val="0"/>
              <w:spacing w:before="29" w:line="360" w:lineRule="auto"/>
              <w:ind w:left="17"/>
              <w:jc w:val="right"/>
              <w:rPr>
                <w:rFonts w:ascii="宋体" w:hAnsi="宋体" w:cs="STSong-Light"/>
                <w:color w:val="000000"/>
                <w:sz w:val="24"/>
                <w:szCs w:val="24"/>
              </w:rPr>
            </w:pPr>
            <w:r w:rsidRPr="00470BEF">
              <w:rPr>
                <w:rFonts w:ascii="宋体" w:hAnsi="宋体" w:cs="STSong-Light"/>
                <w:color w:val="000000"/>
                <w:sz w:val="24"/>
                <w:szCs w:val="24"/>
              </w:rPr>
              <w:t>-</w:t>
            </w:r>
          </w:p>
        </w:tc>
      </w:tr>
      <w:tr w:rsidR="00470BEF" w:rsidRPr="00470BEF" w14:paraId="453041C2" w14:textId="77777777" w:rsidTr="00F1734D">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03B74F4E" w14:textId="77777777" w:rsidR="00470BEF" w:rsidRPr="00470BEF" w:rsidRDefault="00470BEF" w:rsidP="00F1734D">
            <w:pPr>
              <w:autoSpaceDE w:val="0"/>
              <w:autoSpaceDN w:val="0"/>
              <w:adjustRightInd w:val="0"/>
              <w:spacing w:before="29" w:line="360" w:lineRule="auto"/>
              <w:ind w:left="17"/>
              <w:rPr>
                <w:rFonts w:ascii="宋体" w:hAnsi="宋体" w:cs="STSong-Light"/>
                <w:color w:val="000000"/>
                <w:sz w:val="24"/>
                <w:szCs w:val="24"/>
              </w:rPr>
            </w:pPr>
            <w:r w:rsidRPr="00470BEF">
              <w:rPr>
                <w:rFonts w:ascii="宋体" w:hAnsi="宋体" w:cs="STSong-Light" w:hint="eastAsia"/>
                <w:color w:val="00000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A6A2593" w14:textId="77777777" w:rsidR="00470BEF" w:rsidRPr="00470BEF" w:rsidRDefault="007A751F" w:rsidP="007D1BB9">
            <w:pPr>
              <w:autoSpaceDE w:val="0"/>
              <w:autoSpaceDN w:val="0"/>
              <w:adjustRightInd w:val="0"/>
              <w:spacing w:before="29" w:line="360" w:lineRule="auto"/>
              <w:ind w:left="17"/>
              <w:jc w:val="right"/>
              <w:rPr>
                <w:rFonts w:ascii="宋体" w:hAnsi="宋体" w:cs="STSong-Light"/>
                <w:color w:val="000000"/>
                <w:sz w:val="24"/>
                <w:szCs w:val="24"/>
              </w:rPr>
            </w:pPr>
            <w:r w:rsidRPr="007A751F">
              <w:rPr>
                <w:rFonts w:ascii="宋体" w:hAnsi="宋体" w:cs="STSong-Light"/>
                <w:color w:val="000000"/>
                <w:sz w:val="24"/>
                <w:szCs w:val="24"/>
              </w:rPr>
              <w:t>83</w:t>
            </w:r>
            <w:r>
              <w:rPr>
                <w:rFonts w:ascii="宋体" w:hAnsi="宋体" w:cs="STSong-Light"/>
                <w:color w:val="000000"/>
                <w:sz w:val="24"/>
                <w:szCs w:val="24"/>
              </w:rPr>
              <w:t>,</w:t>
            </w:r>
            <w:r w:rsidRPr="007A751F">
              <w:rPr>
                <w:rFonts w:ascii="宋体" w:hAnsi="宋体" w:cs="STSong-Light"/>
                <w:color w:val="000000"/>
                <w:sz w:val="24"/>
                <w:szCs w:val="24"/>
              </w:rPr>
              <w:t>494</w:t>
            </w:r>
            <w:r>
              <w:rPr>
                <w:rFonts w:ascii="宋体" w:hAnsi="宋体" w:cs="STSong-Light"/>
                <w:color w:val="000000"/>
                <w:sz w:val="24"/>
                <w:szCs w:val="24"/>
              </w:rPr>
              <w:t>,</w:t>
            </w:r>
            <w:r w:rsidRPr="007A751F">
              <w:rPr>
                <w:rFonts w:ascii="宋体" w:hAnsi="宋体" w:cs="STSong-Light"/>
                <w:color w:val="000000"/>
                <w:sz w:val="24"/>
                <w:szCs w:val="24"/>
              </w:rPr>
              <w:t>667.24</w:t>
            </w:r>
          </w:p>
        </w:tc>
      </w:tr>
    </w:tbl>
    <w:p w14:paraId="675782A5" w14:textId="77777777" w:rsidR="001D3B02" w:rsidRDefault="00F1734D" w:rsidP="006A209B">
      <w:pPr>
        <w:autoSpaceDE w:val="0"/>
        <w:autoSpaceDN w:val="0"/>
        <w:adjustRightInd w:val="0"/>
        <w:spacing w:before="29" w:line="288" w:lineRule="auto"/>
        <w:ind w:left="15" w:firstLineChars="50" w:firstLine="120"/>
        <w:jc w:val="left"/>
        <w:rPr>
          <w:rFonts w:ascii="宋体" w:hAnsi="宋体" w:cs="STSong-Light"/>
          <w:color w:val="000000"/>
          <w:sz w:val="24"/>
          <w:szCs w:val="24"/>
        </w:rPr>
      </w:pPr>
      <w:r>
        <w:rPr>
          <w:rFonts w:ascii="宋体" w:hAnsi="宋体" w:cs="STSong-Light"/>
          <w:color w:val="000000"/>
          <w:sz w:val="24"/>
          <w:szCs w:val="24"/>
        </w:rPr>
        <w:t>注：1、上表中“报告期”指2016年10月1日至2016年12月29日；</w:t>
      </w:r>
    </w:p>
    <w:p w14:paraId="233BE59C" w14:textId="77777777" w:rsidR="001D3B02" w:rsidRDefault="00F1734D" w:rsidP="006A209B">
      <w:pPr>
        <w:autoSpaceDE w:val="0"/>
        <w:autoSpaceDN w:val="0"/>
        <w:adjustRightInd w:val="0"/>
        <w:spacing w:before="29" w:line="288" w:lineRule="auto"/>
        <w:ind w:left="15" w:firstLineChars="250" w:firstLine="600"/>
        <w:jc w:val="left"/>
        <w:rPr>
          <w:rFonts w:ascii="宋体" w:hAnsi="宋体" w:cs="STSong-Light"/>
          <w:color w:val="000000"/>
          <w:sz w:val="24"/>
          <w:szCs w:val="24"/>
        </w:rPr>
      </w:pPr>
      <w:r>
        <w:rPr>
          <w:rFonts w:ascii="宋体" w:hAnsi="宋体" w:cs="STSong-Light"/>
          <w:color w:val="000000"/>
          <w:sz w:val="24"/>
          <w:szCs w:val="24"/>
        </w:rPr>
        <w:t xml:space="preserve">2、如果本报告期间发生转换入、红利再投业务，则总申购份额中包含该业务； </w:t>
      </w:r>
    </w:p>
    <w:p w14:paraId="4BE45A34" w14:textId="77777777" w:rsidR="00470BEF" w:rsidRPr="00470BEF" w:rsidRDefault="00470BEF" w:rsidP="006A209B">
      <w:pPr>
        <w:autoSpaceDE w:val="0"/>
        <w:autoSpaceDN w:val="0"/>
        <w:adjustRightInd w:val="0"/>
        <w:spacing w:before="29" w:line="288" w:lineRule="auto"/>
        <w:ind w:left="15" w:firstLineChars="250" w:firstLine="600"/>
        <w:jc w:val="left"/>
        <w:rPr>
          <w:rFonts w:ascii="宋体" w:hAnsi="宋体" w:cs="STSong-Light"/>
          <w:color w:val="000000"/>
          <w:sz w:val="24"/>
          <w:szCs w:val="24"/>
        </w:rPr>
      </w:pPr>
      <w:r w:rsidRPr="00470BEF">
        <w:rPr>
          <w:rFonts w:ascii="宋体" w:hAnsi="宋体" w:cs="STSong-Light"/>
          <w:color w:val="000000"/>
          <w:sz w:val="24"/>
          <w:szCs w:val="24"/>
        </w:rPr>
        <w:t>3、如果本报告期间发生转换出业务，则总赎回份额中包含该业务。</w:t>
      </w:r>
    </w:p>
    <w:p w14:paraId="12655024" w14:textId="77777777" w:rsidR="00470BEF" w:rsidRPr="00470BEF" w:rsidRDefault="00470BEF" w:rsidP="00287AE8">
      <w:pPr>
        <w:autoSpaceDE w:val="0"/>
        <w:autoSpaceDN w:val="0"/>
        <w:adjustRightInd w:val="0"/>
        <w:spacing w:before="29" w:line="288" w:lineRule="auto"/>
        <w:ind w:left="15"/>
        <w:jc w:val="left"/>
        <w:rPr>
          <w:rFonts w:ascii="宋体" w:hAnsi="宋体" w:cs="STSong-Light"/>
          <w:color w:val="000000"/>
          <w:sz w:val="24"/>
          <w:szCs w:val="24"/>
        </w:rPr>
      </w:pPr>
    </w:p>
    <w:p w14:paraId="7E8DD2C0" w14:textId="77777777" w:rsidR="007418EC" w:rsidRDefault="007418EC" w:rsidP="007418EC">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Pr>
          <w:rFonts w:eastAsiaTheme="minorEastAsia"/>
          <w:color w:val="000000"/>
          <w:kern w:val="0"/>
          <w:sz w:val="24"/>
          <w:szCs w:val="24"/>
        </w:rPr>
        <w:t xml:space="preserve">7 </w:t>
      </w:r>
      <w:r w:rsidRPr="00ED2620">
        <w:rPr>
          <w:sz w:val="24"/>
          <w:szCs w:val="24"/>
        </w:rPr>
        <w:t>基金管理人运用固有资金投资本基金情况</w:t>
      </w:r>
    </w:p>
    <w:p w14:paraId="21DB17AC" w14:textId="77777777" w:rsidR="007418EC" w:rsidRPr="00ED2620" w:rsidRDefault="007418EC" w:rsidP="007418EC">
      <w:pPr>
        <w:spacing w:line="288" w:lineRule="auto"/>
        <w:jc w:val="left"/>
        <w:rPr>
          <w:sz w:val="24"/>
          <w:szCs w:val="24"/>
        </w:rPr>
      </w:pPr>
      <w:r w:rsidRPr="00ED2620">
        <w:rPr>
          <w:b/>
          <w:sz w:val="24"/>
        </w:rPr>
        <w:t xml:space="preserve">7.1 </w:t>
      </w:r>
      <w:r w:rsidRPr="00ED2620">
        <w:rPr>
          <w:b/>
          <w:sz w:val="24"/>
        </w:rPr>
        <w:t>基金管理人持有本基金份额变动情况</w:t>
      </w:r>
    </w:p>
    <w:p w14:paraId="6D27E824" w14:textId="77777777" w:rsidR="007418EC" w:rsidRDefault="007418EC" w:rsidP="007418E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2F0191EF" w14:textId="77777777" w:rsidR="007418EC" w:rsidRDefault="007418EC" w:rsidP="007418EC">
      <w:pPr>
        <w:autoSpaceDE w:val="0"/>
        <w:autoSpaceDN w:val="0"/>
        <w:adjustRightInd w:val="0"/>
        <w:spacing w:before="29" w:line="288" w:lineRule="auto"/>
        <w:jc w:val="left"/>
        <w:rPr>
          <w:rFonts w:eastAsiaTheme="minorEastAsia"/>
          <w:color w:val="000000"/>
          <w:sz w:val="24"/>
        </w:rPr>
      </w:pPr>
    </w:p>
    <w:p w14:paraId="6A48442E" w14:textId="77777777" w:rsidR="007418EC" w:rsidRPr="00BB5E0E" w:rsidRDefault="007418EC" w:rsidP="007418EC">
      <w:pPr>
        <w:spacing w:line="288" w:lineRule="auto"/>
        <w:jc w:val="left"/>
        <w:rPr>
          <w:b/>
          <w:sz w:val="24"/>
        </w:rPr>
      </w:pPr>
      <w:r w:rsidRPr="00410630">
        <w:rPr>
          <w:b/>
          <w:sz w:val="24"/>
        </w:rPr>
        <w:t>7.2</w:t>
      </w:r>
      <w:r>
        <w:rPr>
          <w:rFonts w:hint="eastAsia"/>
          <w:b/>
          <w:sz w:val="24"/>
        </w:rPr>
        <w:t xml:space="preserve"> </w:t>
      </w:r>
      <w:r w:rsidRPr="00410630">
        <w:rPr>
          <w:rFonts w:hint="eastAsia"/>
          <w:b/>
          <w:sz w:val="24"/>
        </w:rPr>
        <w:t>基金管理人运用固有资金投资本基金交易明细</w:t>
      </w:r>
    </w:p>
    <w:p w14:paraId="53B5BFD9" w14:textId="716C880D" w:rsidR="007418EC" w:rsidRDefault="007418EC" w:rsidP="00524285">
      <w:pPr>
        <w:autoSpaceDE w:val="0"/>
        <w:autoSpaceDN w:val="0"/>
        <w:adjustRightInd w:val="0"/>
        <w:spacing w:before="29" w:line="288" w:lineRule="auto"/>
        <w:jc w:val="left"/>
        <w:rPr>
          <w:rFonts w:eastAsiaTheme="minorEastAsia"/>
          <w:color w:val="000000"/>
          <w:sz w:val="24"/>
        </w:rPr>
      </w:pPr>
      <w:r w:rsidRPr="00B575F8">
        <w:rPr>
          <w:rFonts w:eastAsiaTheme="minorEastAsia" w:hint="eastAsia"/>
          <w:color w:val="000000"/>
          <w:sz w:val="24"/>
        </w:rPr>
        <w:t>本基金管理人本报告期内未进行本基金的申购、赎回、红利再投等。</w:t>
      </w:r>
    </w:p>
    <w:p w14:paraId="08AF4B7A" w14:textId="77777777" w:rsidR="007418EC" w:rsidRPr="00B575F8" w:rsidRDefault="007418EC" w:rsidP="00524285">
      <w:pPr>
        <w:autoSpaceDE w:val="0"/>
        <w:autoSpaceDN w:val="0"/>
        <w:adjustRightInd w:val="0"/>
        <w:spacing w:before="29" w:line="288" w:lineRule="auto"/>
        <w:jc w:val="left"/>
        <w:rPr>
          <w:rFonts w:eastAsiaTheme="minorEastAsia"/>
          <w:color w:val="000000"/>
          <w:sz w:val="24"/>
        </w:rPr>
      </w:pPr>
    </w:p>
    <w:p w14:paraId="53C020FC" w14:textId="15C1F81B" w:rsidR="004061AC" w:rsidRPr="00843D59" w:rsidRDefault="004061AC" w:rsidP="00AB6E79">
      <w:pPr>
        <w:pStyle w:val="1"/>
        <w:spacing w:beforeLines="100" w:before="312" w:afterLines="100" w:after="312" w:line="288" w:lineRule="auto"/>
        <w:jc w:val="center"/>
        <w:rPr>
          <w:rFonts w:ascii="宋体" w:hAnsi="宋体"/>
          <w:color w:val="000000"/>
          <w:kern w:val="0"/>
          <w:sz w:val="24"/>
          <w:szCs w:val="24"/>
        </w:rPr>
      </w:pPr>
      <w:r w:rsidRPr="00843D59">
        <w:rPr>
          <w:rFonts w:ascii="宋体" w:hAnsi="宋体"/>
          <w:color w:val="000000"/>
          <w:kern w:val="0"/>
          <w:sz w:val="24"/>
          <w:szCs w:val="24"/>
        </w:rPr>
        <w:t>§</w:t>
      </w:r>
      <w:r w:rsidR="007418EC">
        <w:rPr>
          <w:rFonts w:ascii="宋体" w:hAnsi="宋体"/>
          <w:color w:val="000000"/>
          <w:kern w:val="0"/>
          <w:sz w:val="24"/>
          <w:szCs w:val="24"/>
        </w:rPr>
        <w:t>8</w:t>
      </w:r>
      <w:r w:rsidR="00A3030E" w:rsidRPr="00843D59">
        <w:rPr>
          <w:rFonts w:ascii="宋体" w:hAnsi="宋体"/>
          <w:color w:val="000000"/>
          <w:kern w:val="0"/>
          <w:sz w:val="24"/>
          <w:szCs w:val="24"/>
        </w:rPr>
        <w:t xml:space="preserve"> </w:t>
      </w:r>
      <w:r w:rsidRPr="00843D59">
        <w:rPr>
          <w:rFonts w:ascii="宋体" w:hAnsi="宋体"/>
          <w:color w:val="000000"/>
          <w:kern w:val="0"/>
          <w:sz w:val="24"/>
          <w:szCs w:val="24"/>
        </w:rPr>
        <w:t>影响投资者决策的其他重要信息</w:t>
      </w:r>
    </w:p>
    <w:p w14:paraId="0CBE4E53" w14:textId="28BBA42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交银施罗德荣泰保本混合型证券投资基金保本周期期限三年，自交银施罗德荣泰保本混合型证券投资基金基金合同生效日（即2013年12月25日）起至三个公历年后对应日止，如该对应日为非工作日，保本周期到期日顺延至下一个工作日，即2016年12月26日。交银施罗德荣泰保本混合型证券投资基金保本周期到期后，已按照《交银施罗德荣泰保本混合型证券投资基金基金合同》的约定转型为非保本的混合型基金，即“交银施罗德增强收益债券型证券投资基金”。基金托管人及基金登记机构不变，基金代码亦保持不变为“519729”。转型后基金的投资目标、投资范围、投资策略、投资比例、业绩比较基准、估值方法及基金费率等按照《交银施罗德增强收益债券型证券投资基金基金合同》相关规定进行运作。前述修改变更事项已按照相关法律法规及基金合同的约定履行相关手续。</w:t>
      </w:r>
    </w:p>
    <w:p w14:paraId="7BCF7368" w14:textId="77777777" w:rsidR="004061AC" w:rsidRPr="00843D59" w:rsidRDefault="004061AC" w:rsidP="00C15CAC">
      <w:pPr>
        <w:spacing w:before="29" w:line="288" w:lineRule="auto"/>
        <w:ind w:firstLineChars="200" w:firstLine="480"/>
        <w:rPr>
          <w:rFonts w:ascii="宋体" w:hAnsi="宋体"/>
          <w:color w:val="000000"/>
          <w:sz w:val="24"/>
          <w:szCs w:val="24"/>
        </w:rPr>
      </w:pPr>
      <w:r w:rsidRPr="00843D59">
        <w:rPr>
          <w:rFonts w:ascii="宋体" w:hAnsi="宋体"/>
          <w:color w:val="000000"/>
          <w:sz w:val="24"/>
          <w:szCs w:val="24"/>
        </w:rPr>
        <w:t>交银施罗德荣泰保本混合型证券投资基金保本周期到期安排及交银施罗德增强收益债券型证券投资基金转型后运作相关业务规则详情请查阅本基金管理人于2016年12月19日发布的《交银施罗德荣泰保本混合型证券投资基金保本周期到期安排及交银施罗德增强收益债券型证券投资基金转型后运作相关业务规则的公告》及刊登在2016年12月19日《中国证券报》、2016年12月20日《上海证券报》和2016年12月21日《证券时报》上的交银施罗德增强收益债券型证券投资基金的《基金合同摘要》、《招募说明书》等。投资者亦可通过本基金管理人网站或相关销售机构查阅交银施罗德增强收益债券型证券投资基金的相关基金法律文件。</w:t>
      </w:r>
    </w:p>
    <w:p w14:paraId="608B51E4" w14:textId="77777777" w:rsidR="00ED6E80" w:rsidRPr="00843D59" w:rsidRDefault="00ED6E80" w:rsidP="00C15CAC">
      <w:pPr>
        <w:spacing w:before="29" w:line="288" w:lineRule="auto"/>
        <w:ind w:firstLineChars="200" w:firstLine="480"/>
        <w:rPr>
          <w:rFonts w:ascii="宋体" w:hAnsi="宋体"/>
          <w:color w:val="000000"/>
          <w:sz w:val="24"/>
          <w:szCs w:val="24"/>
        </w:rPr>
      </w:pPr>
    </w:p>
    <w:p w14:paraId="5BD1946F" w14:textId="3CD6E99B" w:rsidR="00B22DEE" w:rsidRPr="00843D59" w:rsidRDefault="004061AC" w:rsidP="00AB6E79">
      <w:pPr>
        <w:pStyle w:val="1"/>
        <w:spacing w:beforeLines="100" w:before="312" w:afterLines="100" w:after="312" w:line="288" w:lineRule="auto"/>
        <w:jc w:val="center"/>
        <w:rPr>
          <w:rFonts w:ascii="宋体" w:hAnsi="宋体"/>
          <w:color w:val="000000"/>
          <w:kern w:val="0"/>
          <w:sz w:val="24"/>
          <w:szCs w:val="24"/>
        </w:rPr>
      </w:pPr>
      <w:r w:rsidRPr="00843D59">
        <w:rPr>
          <w:rFonts w:ascii="宋体" w:hAnsi="宋体"/>
          <w:color w:val="000000"/>
          <w:kern w:val="0"/>
          <w:sz w:val="24"/>
          <w:szCs w:val="24"/>
        </w:rPr>
        <w:t>§</w:t>
      </w:r>
      <w:r w:rsidR="007418EC">
        <w:rPr>
          <w:rFonts w:ascii="宋体" w:hAnsi="宋体"/>
          <w:color w:val="000000"/>
          <w:kern w:val="0"/>
          <w:sz w:val="24"/>
          <w:szCs w:val="24"/>
        </w:rPr>
        <w:t>9</w:t>
      </w:r>
      <w:r w:rsidR="007418EC" w:rsidRPr="00843D59">
        <w:rPr>
          <w:rFonts w:ascii="宋体" w:hAnsi="宋体"/>
          <w:color w:val="000000"/>
          <w:kern w:val="0"/>
          <w:sz w:val="24"/>
          <w:szCs w:val="24"/>
        </w:rPr>
        <w:t xml:space="preserve"> </w:t>
      </w:r>
      <w:r w:rsidRPr="00843D59">
        <w:rPr>
          <w:rFonts w:ascii="宋体" w:hAnsi="宋体"/>
          <w:color w:val="000000"/>
          <w:kern w:val="0"/>
          <w:sz w:val="24"/>
          <w:szCs w:val="24"/>
        </w:rPr>
        <w:t>备查文件目录</w:t>
      </w:r>
    </w:p>
    <w:p w14:paraId="123842CA" w14:textId="1BCCC4B0" w:rsidR="004061AC" w:rsidRPr="00843D59" w:rsidRDefault="007418EC" w:rsidP="00C15CAC">
      <w:pPr>
        <w:autoSpaceDE w:val="0"/>
        <w:autoSpaceDN w:val="0"/>
        <w:adjustRightInd w:val="0"/>
        <w:spacing w:before="29" w:line="288" w:lineRule="auto"/>
        <w:jc w:val="left"/>
        <w:rPr>
          <w:rFonts w:ascii="宋体" w:hAnsi="宋体"/>
          <w:b/>
          <w:bCs/>
          <w:color w:val="000000"/>
          <w:kern w:val="0"/>
          <w:sz w:val="24"/>
          <w:szCs w:val="24"/>
        </w:rPr>
      </w:pPr>
      <w:r>
        <w:rPr>
          <w:rFonts w:ascii="宋体" w:hAnsi="宋体"/>
          <w:b/>
          <w:bCs/>
          <w:color w:val="000000"/>
          <w:kern w:val="0"/>
          <w:sz w:val="24"/>
          <w:szCs w:val="24"/>
        </w:rPr>
        <w:t>9</w:t>
      </w:r>
      <w:r w:rsidR="004061AC" w:rsidRPr="00843D59">
        <w:rPr>
          <w:rFonts w:ascii="宋体" w:hAnsi="宋体"/>
          <w:b/>
          <w:bCs/>
          <w:color w:val="000000"/>
          <w:kern w:val="0"/>
          <w:sz w:val="24"/>
          <w:szCs w:val="24"/>
        </w:rPr>
        <w:t>.</w:t>
      </w:r>
      <w:r w:rsidR="00676095" w:rsidRPr="00843D59">
        <w:rPr>
          <w:rFonts w:ascii="宋体" w:hAnsi="宋体"/>
          <w:b/>
          <w:bCs/>
          <w:color w:val="000000"/>
          <w:kern w:val="0"/>
          <w:sz w:val="24"/>
          <w:szCs w:val="24"/>
        </w:rPr>
        <w:t>1</w:t>
      </w:r>
      <w:r w:rsidR="00E705CC" w:rsidRPr="00843D59">
        <w:rPr>
          <w:rFonts w:ascii="宋体" w:hAnsi="宋体"/>
          <w:b/>
          <w:bCs/>
          <w:color w:val="000000"/>
          <w:kern w:val="0"/>
          <w:sz w:val="24"/>
          <w:szCs w:val="24"/>
        </w:rPr>
        <w:t xml:space="preserve"> </w:t>
      </w:r>
      <w:r w:rsidR="004061AC" w:rsidRPr="00843D59">
        <w:rPr>
          <w:rFonts w:ascii="宋体" w:hAnsi="宋体"/>
          <w:b/>
          <w:bCs/>
          <w:color w:val="000000"/>
          <w:kern w:val="0"/>
          <w:sz w:val="24"/>
          <w:szCs w:val="24"/>
        </w:rPr>
        <w:t>备查文件目录</w:t>
      </w:r>
    </w:p>
    <w:p w14:paraId="1366F868"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 xml:space="preserve">1、中国证监会批准交银施罗德荣泰保本混合型证券投资基金募集的文件； </w:t>
      </w:r>
    </w:p>
    <w:p w14:paraId="70546A05"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2、《交银施罗德增强收益债券型证券投资基金基金合同》；</w:t>
      </w:r>
    </w:p>
    <w:p w14:paraId="71744384"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3、《交银施罗德增强收益债券型证券投资基金招募说明书》；</w:t>
      </w:r>
    </w:p>
    <w:p w14:paraId="144F08FB"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4、《交银施罗德增强收益债券型证券投资基金托管协议》；</w:t>
      </w:r>
    </w:p>
    <w:p w14:paraId="3718398F"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5、《交银施罗德荣泰保本混合型证券投资基金基金合同》；</w:t>
      </w:r>
    </w:p>
    <w:p w14:paraId="3764FB84"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6、《交银施罗德荣泰保本混合型证券投资基金招募说明书》；</w:t>
      </w:r>
    </w:p>
    <w:p w14:paraId="3811C541"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7、《交银施罗德荣泰保本混合型证券投资基金托管协议》；</w:t>
      </w:r>
    </w:p>
    <w:p w14:paraId="1CC92156"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 xml:space="preserve">8、《交银施罗德荣泰保本混合型证券投资基金保证合同》； </w:t>
      </w:r>
    </w:p>
    <w:p w14:paraId="6B10A819"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9、基金管理人业务资格批件、营业执照；</w:t>
      </w:r>
    </w:p>
    <w:p w14:paraId="790DA856"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10、基金托管人业务资格批件、营业执照；</w:t>
      </w:r>
    </w:p>
    <w:p w14:paraId="1BFFE2C1"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11、关于申请募集交银施罗德荣泰保本混合型证券投资基金之法律意见书；</w:t>
      </w:r>
    </w:p>
    <w:p w14:paraId="42AAD52A"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12、关于交银施罗德荣泰保本混合型证券投资基金保本周期到期转型及基金合同修改的法律意见；</w:t>
      </w:r>
    </w:p>
    <w:p w14:paraId="2EC077F0" w14:textId="77777777" w:rsidR="004061AC" w:rsidRPr="00843D59" w:rsidRDefault="006D7FF8" w:rsidP="00C15CAC">
      <w:pPr>
        <w:spacing w:before="29" w:line="288" w:lineRule="auto"/>
        <w:ind w:firstLineChars="200" w:firstLine="480"/>
        <w:rPr>
          <w:rFonts w:ascii="宋体" w:hAnsi="宋体"/>
          <w:color w:val="000000"/>
          <w:sz w:val="24"/>
          <w:szCs w:val="24"/>
        </w:rPr>
      </w:pPr>
      <w:r w:rsidRPr="00843D59">
        <w:rPr>
          <w:rFonts w:ascii="宋体" w:hAnsi="宋体"/>
          <w:color w:val="000000"/>
          <w:sz w:val="24"/>
          <w:szCs w:val="24"/>
        </w:rPr>
        <w:t>13、报告期内交银施罗德增强收益债券型证券投资基金、交银施罗德荣泰保本混合型证券投资基金在指定报刊上各项公告的原稿。</w:t>
      </w:r>
    </w:p>
    <w:p w14:paraId="28C5F733" w14:textId="77777777" w:rsidR="006A48FD" w:rsidRPr="00843D59" w:rsidRDefault="006A48FD" w:rsidP="00C15CAC">
      <w:pPr>
        <w:spacing w:before="29" w:line="288" w:lineRule="auto"/>
        <w:ind w:firstLineChars="200" w:firstLine="480"/>
        <w:rPr>
          <w:rFonts w:ascii="宋体" w:hAnsi="宋体"/>
          <w:color w:val="000000"/>
          <w:sz w:val="24"/>
          <w:szCs w:val="24"/>
        </w:rPr>
      </w:pPr>
    </w:p>
    <w:p w14:paraId="4DA91E2B" w14:textId="19A26490" w:rsidR="004061AC" w:rsidRPr="00843D59" w:rsidRDefault="007418EC" w:rsidP="00C15CAC">
      <w:pPr>
        <w:autoSpaceDE w:val="0"/>
        <w:autoSpaceDN w:val="0"/>
        <w:adjustRightInd w:val="0"/>
        <w:spacing w:before="29" w:line="288" w:lineRule="auto"/>
        <w:jc w:val="left"/>
        <w:rPr>
          <w:rFonts w:ascii="宋体" w:hAnsi="宋体"/>
          <w:b/>
          <w:bCs/>
          <w:color w:val="000000"/>
          <w:kern w:val="0"/>
          <w:sz w:val="24"/>
          <w:szCs w:val="24"/>
        </w:rPr>
      </w:pPr>
      <w:r>
        <w:rPr>
          <w:rFonts w:ascii="宋体" w:hAnsi="宋体"/>
          <w:b/>
          <w:bCs/>
          <w:color w:val="000000"/>
          <w:kern w:val="0"/>
          <w:sz w:val="24"/>
          <w:szCs w:val="24"/>
        </w:rPr>
        <w:t>9</w:t>
      </w:r>
      <w:r w:rsidR="004061AC" w:rsidRPr="00843D59">
        <w:rPr>
          <w:rFonts w:ascii="宋体" w:hAnsi="宋体"/>
          <w:b/>
          <w:bCs/>
          <w:color w:val="000000"/>
          <w:kern w:val="0"/>
          <w:sz w:val="24"/>
          <w:szCs w:val="24"/>
        </w:rPr>
        <w:t>.</w:t>
      </w:r>
      <w:r w:rsidR="00676095" w:rsidRPr="00843D59">
        <w:rPr>
          <w:rFonts w:ascii="宋体" w:hAnsi="宋体"/>
          <w:b/>
          <w:bCs/>
          <w:color w:val="000000"/>
          <w:kern w:val="0"/>
          <w:sz w:val="24"/>
          <w:szCs w:val="24"/>
        </w:rPr>
        <w:t>2</w:t>
      </w:r>
      <w:r w:rsidR="00E705CC" w:rsidRPr="00843D59">
        <w:rPr>
          <w:rFonts w:ascii="宋体" w:hAnsi="宋体"/>
          <w:b/>
          <w:bCs/>
          <w:color w:val="000000"/>
          <w:kern w:val="0"/>
          <w:sz w:val="24"/>
          <w:szCs w:val="24"/>
        </w:rPr>
        <w:t xml:space="preserve"> </w:t>
      </w:r>
      <w:r w:rsidR="004061AC" w:rsidRPr="00843D59">
        <w:rPr>
          <w:rFonts w:ascii="宋体" w:hAnsi="宋体"/>
          <w:b/>
          <w:bCs/>
          <w:color w:val="000000"/>
          <w:kern w:val="0"/>
          <w:sz w:val="24"/>
          <w:szCs w:val="24"/>
        </w:rPr>
        <w:t>存放地点</w:t>
      </w:r>
    </w:p>
    <w:p w14:paraId="6BF72BC3" w14:textId="77777777" w:rsidR="004061AC" w:rsidRPr="00843D59" w:rsidRDefault="006D7FF8" w:rsidP="00C15CAC">
      <w:pPr>
        <w:spacing w:before="29" w:line="288" w:lineRule="auto"/>
        <w:ind w:firstLineChars="200" w:firstLine="480"/>
        <w:rPr>
          <w:rFonts w:ascii="宋体" w:hAnsi="宋体"/>
          <w:color w:val="000000"/>
          <w:sz w:val="24"/>
          <w:szCs w:val="24"/>
        </w:rPr>
      </w:pPr>
      <w:r w:rsidRPr="00843D59">
        <w:rPr>
          <w:rFonts w:ascii="宋体" w:hAnsi="宋体"/>
          <w:color w:val="000000"/>
          <w:sz w:val="24"/>
          <w:szCs w:val="24"/>
        </w:rPr>
        <w:t>备查文件存放于基金管理人的办公场所。</w:t>
      </w:r>
    </w:p>
    <w:p w14:paraId="0456D75F" w14:textId="77777777" w:rsidR="006A48FD" w:rsidRPr="00843D59" w:rsidRDefault="006A48FD" w:rsidP="00C15CAC">
      <w:pPr>
        <w:spacing w:before="29" w:line="288" w:lineRule="auto"/>
        <w:ind w:firstLineChars="200" w:firstLine="480"/>
        <w:rPr>
          <w:rFonts w:ascii="宋体" w:hAnsi="宋体"/>
          <w:color w:val="000000"/>
          <w:sz w:val="24"/>
          <w:szCs w:val="24"/>
        </w:rPr>
      </w:pPr>
    </w:p>
    <w:p w14:paraId="129110FC" w14:textId="05F8ACE0" w:rsidR="004061AC" w:rsidRPr="00843D59" w:rsidRDefault="007418EC" w:rsidP="00C15CAC">
      <w:pPr>
        <w:autoSpaceDE w:val="0"/>
        <w:autoSpaceDN w:val="0"/>
        <w:adjustRightInd w:val="0"/>
        <w:spacing w:before="29" w:line="288" w:lineRule="auto"/>
        <w:jc w:val="left"/>
        <w:rPr>
          <w:rFonts w:ascii="宋体" w:hAnsi="宋体"/>
          <w:b/>
          <w:bCs/>
          <w:color w:val="000000"/>
          <w:kern w:val="0"/>
          <w:sz w:val="24"/>
          <w:szCs w:val="24"/>
        </w:rPr>
      </w:pPr>
      <w:r>
        <w:rPr>
          <w:rFonts w:ascii="宋体" w:hAnsi="宋体"/>
          <w:b/>
          <w:bCs/>
          <w:color w:val="000000"/>
          <w:kern w:val="0"/>
          <w:sz w:val="24"/>
          <w:szCs w:val="24"/>
        </w:rPr>
        <w:t>9</w:t>
      </w:r>
      <w:r w:rsidR="004061AC" w:rsidRPr="00843D59">
        <w:rPr>
          <w:rFonts w:ascii="宋体" w:hAnsi="宋体"/>
          <w:b/>
          <w:bCs/>
          <w:color w:val="000000"/>
          <w:kern w:val="0"/>
          <w:sz w:val="24"/>
          <w:szCs w:val="24"/>
        </w:rPr>
        <w:t>.</w:t>
      </w:r>
      <w:r w:rsidR="00676095" w:rsidRPr="00843D59">
        <w:rPr>
          <w:rFonts w:ascii="宋体" w:hAnsi="宋体"/>
          <w:b/>
          <w:bCs/>
          <w:color w:val="000000"/>
          <w:kern w:val="0"/>
          <w:sz w:val="24"/>
          <w:szCs w:val="24"/>
        </w:rPr>
        <w:t>3</w:t>
      </w:r>
      <w:r w:rsidR="00E705CC" w:rsidRPr="00843D59">
        <w:rPr>
          <w:rFonts w:ascii="宋体" w:hAnsi="宋体"/>
          <w:b/>
          <w:bCs/>
          <w:color w:val="000000"/>
          <w:kern w:val="0"/>
          <w:sz w:val="24"/>
          <w:szCs w:val="24"/>
        </w:rPr>
        <w:t xml:space="preserve"> </w:t>
      </w:r>
      <w:r w:rsidR="004061AC" w:rsidRPr="00843D59">
        <w:rPr>
          <w:rFonts w:ascii="宋体" w:hAnsi="宋体"/>
          <w:b/>
          <w:bCs/>
          <w:color w:val="000000"/>
          <w:kern w:val="0"/>
          <w:sz w:val="24"/>
          <w:szCs w:val="24"/>
        </w:rPr>
        <w:t>查阅方式</w:t>
      </w:r>
    </w:p>
    <w:p w14:paraId="6245533C" w14:textId="77777777" w:rsidR="001D3B02" w:rsidRDefault="00F1734D">
      <w:pPr>
        <w:spacing w:before="29" w:line="288" w:lineRule="auto"/>
        <w:ind w:firstLineChars="200" w:firstLine="480"/>
        <w:rPr>
          <w:rFonts w:ascii="宋体" w:hAnsi="宋体"/>
          <w:color w:val="000000"/>
          <w:sz w:val="24"/>
          <w:szCs w:val="24"/>
        </w:rPr>
      </w:pPr>
      <w:r>
        <w:rPr>
          <w:rFonts w:ascii="宋体" w:hAnsi="宋体"/>
          <w:color w:val="000000"/>
          <w:sz w:val="24"/>
          <w:szCs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14:paraId="18970DC6" w14:textId="77777777" w:rsidR="00A90049" w:rsidRPr="00843D59" w:rsidRDefault="006D7FF8" w:rsidP="00C15CAC">
      <w:pPr>
        <w:spacing w:before="29" w:line="288" w:lineRule="auto"/>
        <w:ind w:firstLineChars="200" w:firstLine="480"/>
        <w:rPr>
          <w:rFonts w:ascii="宋体" w:hAnsi="宋体"/>
          <w:color w:val="000000"/>
          <w:sz w:val="24"/>
          <w:szCs w:val="24"/>
        </w:rPr>
      </w:pPr>
      <w:r w:rsidRPr="00843D59">
        <w:rPr>
          <w:rFonts w:ascii="宋体" w:hAnsi="宋体"/>
          <w:color w:val="000000"/>
          <w:sz w:val="24"/>
          <w:szCs w:val="24"/>
        </w:rPr>
        <w:t>投资者对本报告书如有疑问，可咨询本基金管理人交银施罗德基金管理有限公司。本公司客户服务中心电话：400-700-5000（免长途话费），021-61055000，电子邮件：services@jysld.com。</w:t>
      </w:r>
    </w:p>
    <w:p w14:paraId="75F82AC3" w14:textId="77777777" w:rsidR="002C3C7A" w:rsidRPr="00843D59" w:rsidRDefault="002C3C7A" w:rsidP="00C15CAC">
      <w:pPr>
        <w:spacing w:before="29" w:line="288" w:lineRule="auto"/>
        <w:ind w:firstLineChars="200" w:firstLine="480"/>
        <w:rPr>
          <w:rFonts w:ascii="宋体" w:hAnsi="宋体"/>
          <w:color w:val="000000"/>
          <w:sz w:val="24"/>
          <w:szCs w:val="24"/>
        </w:rPr>
      </w:pPr>
    </w:p>
    <w:sectPr w:rsidR="002C3C7A" w:rsidRPr="00843D59"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68C28" w14:textId="77777777" w:rsidR="00A31B38" w:rsidRDefault="00A31B38" w:rsidP="00876D65">
      <w:r>
        <w:separator/>
      </w:r>
    </w:p>
  </w:endnote>
  <w:endnote w:type="continuationSeparator" w:id="0">
    <w:p w14:paraId="46ED3C37" w14:textId="77777777" w:rsidR="00A31B38" w:rsidRDefault="00A31B3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STSong-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E2BB6" w14:textId="77777777" w:rsidR="003A53EB" w:rsidRPr="001D0DB0" w:rsidRDefault="003A53EB" w:rsidP="004D340C">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575F8">
      <w:rPr>
        <w:noProof/>
        <w:kern w:val="0"/>
        <w:szCs w:val="21"/>
      </w:rPr>
      <w:t>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575F8">
      <w:rPr>
        <w:noProof/>
        <w:kern w:val="0"/>
        <w:szCs w:val="21"/>
      </w:rPr>
      <w:t>18</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7E031" w14:textId="77777777" w:rsidR="00A31B38" w:rsidRDefault="00A31B38" w:rsidP="00876D65">
      <w:r>
        <w:separator/>
      </w:r>
    </w:p>
  </w:footnote>
  <w:footnote w:type="continuationSeparator" w:id="0">
    <w:p w14:paraId="5E3C1883" w14:textId="77777777" w:rsidR="00A31B38" w:rsidRDefault="00A31B3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F43EC" w14:textId="77777777" w:rsidR="003A53EB" w:rsidRPr="00CA574C" w:rsidRDefault="003A53EB"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4558B974" wp14:editId="77CF727A">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4312"/>
    <w:rsid w:val="00014099"/>
    <w:rsid w:val="00015B21"/>
    <w:rsid w:val="00015FBF"/>
    <w:rsid w:val="000160C5"/>
    <w:rsid w:val="000210E7"/>
    <w:rsid w:val="00022D2A"/>
    <w:rsid w:val="000243BD"/>
    <w:rsid w:val="0002461E"/>
    <w:rsid w:val="00024F7F"/>
    <w:rsid w:val="00031EBB"/>
    <w:rsid w:val="00033B8D"/>
    <w:rsid w:val="0004217B"/>
    <w:rsid w:val="0004308C"/>
    <w:rsid w:val="00043852"/>
    <w:rsid w:val="000450DD"/>
    <w:rsid w:val="00045357"/>
    <w:rsid w:val="000463DE"/>
    <w:rsid w:val="0005154B"/>
    <w:rsid w:val="0006147E"/>
    <w:rsid w:val="000625ED"/>
    <w:rsid w:val="00064D40"/>
    <w:rsid w:val="00072E23"/>
    <w:rsid w:val="00081340"/>
    <w:rsid w:val="000815C0"/>
    <w:rsid w:val="000824E7"/>
    <w:rsid w:val="0008313A"/>
    <w:rsid w:val="000851A4"/>
    <w:rsid w:val="00085E78"/>
    <w:rsid w:val="0008689B"/>
    <w:rsid w:val="00086D4E"/>
    <w:rsid w:val="000907D2"/>
    <w:rsid w:val="00090A26"/>
    <w:rsid w:val="000A2B53"/>
    <w:rsid w:val="000A2FC0"/>
    <w:rsid w:val="000A4173"/>
    <w:rsid w:val="000A6812"/>
    <w:rsid w:val="000A727D"/>
    <w:rsid w:val="000B1D21"/>
    <w:rsid w:val="000B1EB7"/>
    <w:rsid w:val="000B4B30"/>
    <w:rsid w:val="000B5C78"/>
    <w:rsid w:val="000B624F"/>
    <w:rsid w:val="000B73C6"/>
    <w:rsid w:val="000C190B"/>
    <w:rsid w:val="000C1E17"/>
    <w:rsid w:val="000C5216"/>
    <w:rsid w:val="000D0E6C"/>
    <w:rsid w:val="000D11DE"/>
    <w:rsid w:val="000D3ED4"/>
    <w:rsid w:val="000E436D"/>
    <w:rsid w:val="000E7E5E"/>
    <w:rsid w:val="000F3B79"/>
    <w:rsid w:val="000F6CC8"/>
    <w:rsid w:val="000F7FCA"/>
    <w:rsid w:val="001027B9"/>
    <w:rsid w:val="0010676B"/>
    <w:rsid w:val="00111261"/>
    <w:rsid w:val="00114B97"/>
    <w:rsid w:val="00115AE2"/>
    <w:rsid w:val="00115B33"/>
    <w:rsid w:val="00126BCF"/>
    <w:rsid w:val="00133015"/>
    <w:rsid w:val="00137452"/>
    <w:rsid w:val="00137B31"/>
    <w:rsid w:val="0014401F"/>
    <w:rsid w:val="00144F93"/>
    <w:rsid w:val="00147376"/>
    <w:rsid w:val="0015450B"/>
    <w:rsid w:val="00154BE1"/>
    <w:rsid w:val="0015710B"/>
    <w:rsid w:val="00160EDC"/>
    <w:rsid w:val="00162D61"/>
    <w:rsid w:val="00163777"/>
    <w:rsid w:val="00163C10"/>
    <w:rsid w:val="001642F8"/>
    <w:rsid w:val="001645CD"/>
    <w:rsid w:val="00164BD7"/>
    <w:rsid w:val="001675CD"/>
    <w:rsid w:val="001717D5"/>
    <w:rsid w:val="00171EF0"/>
    <w:rsid w:val="00173D61"/>
    <w:rsid w:val="001761D2"/>
    <w:rsid w:val="00176C21"/>
    <w:rsid w:val="00182B26"/>
    <w:rsid w:val="001830D7"/>
    <w:rsid w:val="00185A34"/>
    <w:rsid w:val="001934F6"/>
    <w:rsid w:val="00195D0D"/>
    <w:rsid w:val="00196E6C"/>
    <w:rsid w:val="001A73E8"/>
    <w:rsid w:val="001B0A62"/>
    <w:rsid w:val="001B2F35"/>
    <w:rsid w:val="001B4DD6"/>
    <w:rsid w:val="001B5607"/>
    <w:rsid w:val="001C0993"/>
    <w:rsid w:val="001C79F2"/>
    <w:rsid w:val="001D175D"/>
    <w:rsid w:val="001D338E"/>
    <w:rsid w:val="001D3B02"/>
    <w:rsid w:val="001D4ABB"/>
    <w:rsid w:val="001D6A4B"/>
    <w:rsid w:val="001E0FDC"/>
    <w:rsid w:val="001E4630"/>
    <w:rsid w:val="001E5C6C"/>
    <w:rsid w:val="001E7E62"/>
    <w:rsid w:val="001F0964"/>
    <w:rsid w:val="001F30DA"/>
    <w:rsid w:val="001F5DC5"/>
    <w:rsid w:val="00200FAB"/>
    <w:rsid w:val="0020214F"/>
    <w:rsid w:val="00213821"/>
    <w:rsid w:val="00213DFB"/>
    <w:rsid w:val="00217B92"/>
    <w:rsid w:val="0022309F"/>
    <w:rsid w:val="00224294"/>
    <w:rsid w:val="002279D3"/>
    <w:rsid w:val="00233290"/>
    <w:rsid w:val="00233BBD"/>
    <w:rsid w:val="00240248"/>
    <w:rsid w:val="002434D2"/>
    <w:rsid w:val="0024363B"/>
    <w:rsid w:val="00246049"/>
    <w:rsid w:val="00247332"/>
    <w:rsid w:val="00253578"/>
    <w:rsid w:val="00261111"/>
    <w:rsid w:val="00264E55"/>
    <w:rsid w:val="00270744"/>
    <w:rsid w:val="002731EC"/>
    <w:rsid w:val="00275745"/>
    <w:rsid w:val="0027688F"/>
    <w:rsid w:val="00276C64"/>
    <w:rsid w:val="00276E44"/>
    <w:rsid w:val="0028121F"/>
    <w:rsid w:val="00285DB3"/>
    <w:rsid w:val="00285F38"/>
    <w:rsid w:val="00286BEF"/>
    <w:rsid w:val="00286FA2"/>
    <w:rsid w:val="00287AE8"/>
    <w:rsid w:val="00290217"/>
    <w:rsid w:val="002902E9"/>
    <w:rsid w:val="002918E3"/>
    <w:rsid w:val="002931D8"/>
    <w:rsid w:val="00295CD0"/>
    <w:rsid w:val="002973A9"/>
    <w:rsid w:val="002A2205"/>
    <w:rsid w:val="002B1D1A"/>
    <w:rsid w:val="002C1955"/>
    <w:rsid w:val="002C2834"/>
    <w:rsid w:val="002C3C7A"/>
    <w:rsid w:val="002C5F95"/>
    <w:rsid w:val="002C657A"/>
    <w:rsid w:val="002D3785"/>
    <w:rsid w:val="002D6872"/>
    <w:rsid w:val="002D6FB6"/>
    <w:rsid w:val="002E3B09"/>
    <w:rsid w:val="002E52B3"/>
    <w:rsid w:val="002F0154"/>
    <w:rsid w:val="002F12A0"/>
    <w:rsid w:val="00301559"/>
    <w:rsid w:val="00302816"/>
    <w:rsid w:val="00303ADF"/>
    <w:rsid w:val="00304A12"/>
    <w:rsid w:val="00305636"/>
    <w:rsid w:val="00311662"/>
    <w:rsid w:val="00312A9F"/>
    <w:rsid w:val="00315D5D"/>
    <w:rsid w:val="00316484"/>
    <w:rsid w:val="00316E01"/>
    <w:rsid w:val="00320300"/>
    <w:rsid w:val="00320E90"/>
    <w:rsid w:val="003216D0"/>
    <w:rsid w:val="00324508"/>
    <w:rsid w:val="0032574C"/>
    <w:rsid w:val="003259C8"/>
    <w:rsid w:val="003307FE"/>
    <w:rsid w:val="00333AD0"/>
    <w:rsid w:val="00336EAF"/>
    <w:rsid w:val="00340F1D"/>
    <w:rsid w:val="003470E2"/>
    <w:rsid w:val="0035076C"/>
    <w:rsid w:val="00352719"/>
    <w:rsid w:val="0035383E"/>
    <w:rsid w:val="00355364"/>
    <w:rsid w:val="00356652"/>
    <w:rsid w:val="00364CCB"/>
    <w:rsid w:val="00365798"/>
    <w:rsid w:val="00375525"/>
    <w:rsid w:val="003860D1"/>
    <w:rsid w:val="0039085F"/>
    <w:rsid w:val="00394069"/>
    <w:rsid w:val="00396809"/>
    <w:rsid w:val="003A0BFC"/>
    <w:rsid w:val="003A53EB"/>
    <w:rsid w:val="003A6061"/>
    <w:rsid w:val="003B1FDA"/>
    <w:rsid w:val="003B3494"/>
    <w:rsid w:val="003B5E08"/>
    <w:rsid w:val="003B6FBC"/>
    <w:rsid w:val="003C38F5"/>
    <w:rsid w:val="003C6275"/>
    <w:rsid w:val="003D742E"/>
    <w:rsid w:val="003E62FB"/>
    <w:rsid w:val="003E6867"/>
    <w:rsid w:val="003F09B5"/>
    <w:rsid w:val="003F1ECB"/>
    <w:rsid w:val="003F39DF"/>
    <w:rsid w:val="003F63BE"/>
    <w:rsid w:val="003F6593"/>
    <w:rsid w:val="004003F8"/>
    <w:rsid w:val="004033ED"/>
    <w:rsid w:val="004061AC"/>
    <w:rsid w:val="00410630"/>
    <w:rsid w:val="00414345"/>
    <w:rsid w:val="004149AC"/>
    <w:rsid w:val="0042009D"/>
    <w:rsid w:val="004216D2"/>
    <w:rsid w:val="004218B7"/>
    <w:rsid w:val="00421CD2"/>
    <w:rsid w:val="00422557"/>
    <w:rsid w:val="00426096"/>
    <w:rsid w:val="00427C53"/>
    <w:rsid w:val="00427F58"/>
    <w:rsid w:val="004331B4"/>
    <w:rsid w:val="00433805"/>
    <w:rsid w:val="00440517"/>
    <w:rsid w:val="00442BDF"/>
    <w:rsid w:val="00443869"/>
    <w:rsid w:val="00443ABF"/>
    <w:rsid w:val="00444D44"/>
    <w:rsid w:val="00445494"/>
    <w:rsid w:val="0044732E"/>
    <w:rsid w:val="0045065A"/>
    <w:rsid w:val="004523F3"/>
    <w:rsid w:val="0045249B"/>
    <w:rsid w:val="0045367E"/>
    <w:rsid w:val="00460352"/>
    <w:rsid w:val="00460575"/>
    <w:rsid w:val="00460F82"/>
    <w:rsid w:val="00462E93"/>
    <w:rsid w:val="00463EC0"/>
    <w:rsid w:val="00464787"/>
    <w:rsid w:val="00470334"/>
    <w:rsid w:val="00470BEF"/>
    <w:rsid w:val="00471408"/>
    <w:rsid w:val="004740A4"/>
    <w:rsid w:val="00480B35"/>
    <w:rsid w:val="004858E0"/>
    <w:rsid w:val="00491C81"/>
    <w:rsid w:val="004934E9"/>
    <w:rsid w:val="004943C2"/>
    <w:rsid w:val="004949F3"/>
    <w:rsid w:val="004A11A7"/>
    <w:rsid w:val="004A459C"/>
    <w:rsid w:val="004A7B1D"/>
    <w:rsid w:val="004B155C"/>
    <w:rsid w:val="004B4A24"/>
    <w:rsid w:val="004C0914"/>
    <w:rsid w:val="004C26B5"/>
    <w:rsid w:val="004C702F"/>
    <w:rsid w:val="004D01D4"/>
    <w:rsid w:val="004D340C"/>
    <w:rsid w:val="004D377C"/>
    <w:rsid w:val="004D495A"/>
    <w:rsid w:val="004D55EE"/>
    <w:rsid w:val="004E4FB6"/>
    <w:rsid w:val="004E5975"/>
    <w:rsid w:val="004E790A"/>
    <w:rsid w:val="004F1A4E"/>
    <w:rsid w:val="004F50FD"/>
    <w:rsid w:val="00500A03"/>
    <w:rsid w:val="00511006"/>
    <w:rsid w:val="00511F7C"/>
    <w:rsid w:val="00512200"/>
    <w:rsid w:val="005125D2"/>
    <w:rsid w:val="005143CD"/>
    <w:rsid w:val="005144F2"/>
    <w:rsid w:val="00514702"/>
    <w:rsid w:val="0051517C"/>
    <w:rsid w:val="00516618"/>
    <w:rsid w:val="00517989"/>
    <w:rsid w:val="00524285"/>
    <w:rsid w:val="005242A5"/>
    <w:rsid w:val="005249DD"/>
    <w:rsid w:val="00524D96"/>
    <w:rsid w:val="00524F61"/>
    <w:rsid w:val="00530ABE"/>
    <w:rsid w:val="00531BA5"/>
    <w:rsid w:val="00531F10"/>
    <w:rsid w:val="00532E86"/>
    <w:rsid w:val="00536432"/>
    <w:rsid w:val="005401DB"/>
    <w:rsid w:val="00540818"/>
    <w:rsid w:val="00540F17"/>
    <w:rsid w:val="00541863"/>
    <w:rsid w:val="00542434"/>
    <w:rsid w:val="00542470"/>
    <w:rsid w:val="00542546"/>
    <w:rsid w:val="005454FB"/>
    <w:rsid w:val="00547592"/>
    <w:rsid w:val="00550B6D"/>
    <w:rsid w:val="005608EF"/>
    <w:rsid w:val="00563CAB"/>
    <w:rsid w:val="00565075"/>
    <w:rsid w:val="005659E4"/>
    <w:rsid w:val="00570842"/>
    <w:rsid w:val="0057154C"/>
    <w:rsid w:val="00571BFC"/>
    <w:rsid w:val="00572784"/>
    <w:rsid w:val="00572D9F"/>
    <w:rsid w:val="00573097"/>
    <w:rsid w:val="005761EE"/>
    <w:rsid w:val="00582D99"/>
    <w:rsid w:val="00585263"/>
    <w:rsid w:val="005866D3"/>
    <w:rsid w:val="00586C52"/>
    <w:rsid w:val="0059076B"/>
    <w:rsid w:val="005910BF"/>
    <w:rsid w:val="005A0F1F"/>
    <w:rsid w:val="005A15A7"/>
    <w:rsid w:val="005A16C7"/>
    <w:rsid w:val="005A6675"/>
    <w:rsid w:val="005B09FA"/>
    <w:rsid w:val="005B146B"/>
    <w:rsid w:val="005B2E9C"/>
    <w:rsid w:val="005B3CC0"/>
    <w:rsid w:val="005B4F93"/>
    <w:rsid w:val="005B6B65"/>
    <w:rsid w:val="005B70E0"/>
    <w:rsid w:val="005B73D2"/>
    <w:rsid w:val="005C4038"/>
    <w:rsid w:val="005D2B36"/>
    <w:rsid w:val="005D30CC"/>
    <w:rsid w:val="005D3E08"/>
    <w:rsid w:val="005D5673"/>
    <w:rsid w:val="005E475E"/>
    <w:rsid w:val="005F118D"/>
    <w:rsid w:val="005F3996"/>
    <w:rsid w:val="005F6AF6"/>
    <w:rsid w:val="00604E50"/>
    <w:rsid w:val="006054CF"/>
    <w:rsid w:val="00605A52"/>
    <w:rsid w:val="006066D2"/>
    <w:rsid w:val="006075E6"/>
    <w:rsid w:val="0061286A"/>
    <w:rsid w:val="00613BB8"/>
    <w:rsid w:val="00614CC4"/>
    <w:rsid w:val="0062025E"/>
    <w:rsid w:val="00621768"/>
    <w:rsid w:val="00625BFC"/>
    <w:rsid w:val="00626998"/>
    <w:rsid w:val="006269FB"/>
    <w:rsid w:val="00627E2D"/>
    <w:rsid w:val="00627EDE"/>
    <w:rsid w:val="00631551"/>
    <w:rsid w:val="00631ED8"/>
    <w:rsid w:val="006326E3"/>
    <w:rsid w:val="00632B0F"/>
    <w:rsid w:val="00636DB7"/>
    <w:rsid w:val="0063783A"/>
    <w:rsid w:val="00641048"/>
    <w:rsid w:val="006423B9"/>
    <w:rsid w:val="00642FA0"/>
    <w:rsid w:val="00651F65"/>
    <w:rsid w:val="00653458"/>
    <w:rsid w:val="00654B0D"/>
    <w:rsid w:val="00654D68"/>
    <w:rsid w:val="0065599B"/>
    <w:rsid w:val="00655CD8"/>
    <w:rsid w:val="00655E1C"/>
    <w:rsid w:val="006571DC"/>
    <w:rsid w:val="00660D3B"/>
    <w:rsid w:val="00660D4B"/>
    <w:rsid w:val="00664ECC"/>
    <w:rsid w:val="00670547"/>
    <w:rsid w:val="00670989"/>
    <w:rsid w:val="00672A26"/>
    <w:rsid w:val="006742DC"/>
    <w:rsid w:val="006757DC"/>
    <w:rsid w:val="00676095"/>
    <w:rsid w:val="006823C3"/>
    <w:rsid w:val="006928F1"/>
    <w:rsid w:val="00693843"/>
    <w:rsid w:val="0069426C"/>
    <w:rsid w:val="00694DFB"/>
    <w:rsid w:val="006978F9"/>
    <w:rsid w:val="006A0893"/>
    <w:rsid w:val="006A10AB"/>
    <w:rsid w:val="006A1C62"/>
    <w:rsid w:val="006A1F96"/>
    <w:rsid w:val="006A209B"/>
    <w:rsid w:val="006A48FD"/>
    <w:rsid w:val="006A5D8F"/>
    <w:rsid w:val="006A5EA9"/>
    <w:rsid w:val="006A61EE"/>
    <w:rsid w:val="006A67F8"/>
    <w:rsid w:val="006A76C5"/>
    <w:rsid w:val="006A7AF1"/>
    <w:rsid w:val="006B11BB"/>
    <w:rsid w:val="006B2FF6"/>
    <w:rsid w:val="006B5457"/>
    <w:rsid w:val="006C12B8"/>
    <w:rsid w:val="006C1AFC"/>
    <w:rsid w:val="006C2C1B"/>
    <w:rsid w:val="006C37FC"/>
    <w:rsid w:val="006C7DFD"/>
    <w:rsid w:val="006C7EA3"/>
    <w:rsid w:val="006D1C81"/>
    <w:rsid w:val="006D2F96"/>
    <w:rsid w:val="006D2FC9"/>
    <w:rsid w:val="006D3656"/>
    <w:rsid w:val="006D39E9"/>
    <w:rsid w:val="006D3BE3"/>
    <w:rsid w:val="006D7004"/>
    <w:rsid w:val="006D789D"/>
    <w:rsid w:val="006D7FF8"/>
    <w:rsid w:val="006E042A"/>
    <w:rsid w:val="006E245F"/>
    <w:rsid w:val="006E6726"/>
    <w:rsid w:val="006F5E68"/>
    <w:rsid w:val="00701814"/>
    <w:rsid w:val="00706D60"/>
    <w:rsid w:val="007075E3"/>
    <w:rsid w:val="00707F66"/>
    <w:rsid w:val="007100CF"/>
    <w:rsid w:val="00710AE0"/>
    <w:rsid w:val="007117C4"/>
    <w:rsid w:val="00713A1A"/>
    <w:rsid w:val="00713B5F"/>
    <w:rsid w:val="00717E38"/>
    <w:rsid w:val="00720D28"/>
    <w:rsid w:val="00721321"/>
    <w:rsid w:val="00722509"/>
    <w:rsid w:val="00723CB2"/>
    <w:rsid w:val="00727DD8"/>
    <w:rsid w:val="00727FCD"/>
    <w:rsid w:val="00730657"/>
    <w:rsid w:val="007311DB"/>
    <w:rsid w:val="007338B9"/>
    <w:rsid w:val="00733900"/>
    <w:rsid w:val="00733DDD"/>
    <w:rsid w:val="007405B9"/>
    <w:rsid w:val="007418EC"/>
    <w:rsid w:val="00750CDF"/>
    <w:rsid w:val="00752BA5"/>
    <w:rsid w:val="00755483"/>
    <w:rsid w:val="00755BDE"/>
    <w:rsid w:val="00755D86"/>
    <w:rsid w:val="007570FE"/>
    <w:rsid w:val="00763184"/>
    <w:rsid w:val="00767C98"/>
    <w:rsid w:val="00770971"/>
    <w:rsid w:val="00772547"/>
    <w:rsid w:val="00775B61"/>
    <w:rsid w:val="007815D8"/>
    <w:rsid w:val="00781D5D"/>
    <w:rsid w:val="00794090"/>
    <w:rsid w:val="007963A7"/>
    <w:rsid w:val="00796CA8"/>
    <w:rsid w:val="007972F5"/>
    <w:rsid w:val="00797305"/>
    <w:rsid w:val="007A0693"/>
    <w:rsid w:val="007A093F"/>
    <w:rsid w:val="007A4143"/>
    <w:rsid w:val="007A751F"/>
    <w:rsid w:val="007B035B"/>
    <w:rsid w:val="007B1AA7"/>
    <w:rsid w:val="007B422E"/>
    <w:rsid w:val="007B4C04"/>
    <w:rsid w:val="007B5AFB"/>
    <w:rsid w:val="007B5BE1"/>
    <w:rsid w:val="007C395A"/>
    <w:rsid w:val="007C5862"/>
    <w:rsid w:val="007C5DAF"/>
    <w:rsid w:val="007D0922"/>
    <w:rsid w:val="007D100C"/>
    <w:rsid w:val="007D1BB9"/>
    <w:rsid w:val="007D35CC"/>
    <w:rsid w:val="007D73EE"/>
    <w:rsid w:val="007E2686"/>
    <w:rsid w:val="007E31CB"/>
    <w:rsid w:val="007E4665"/>
    <w:rsid w:val="007E57C0"/>
    <w:rsid w:val="007E5D9D"/>
    <w:rsid w:val="007E6580"/>
    <w:rsid w:val="007E7747"/>
    <w:rsid w:val="007F29B1"/>
    <w:rsid w:val="007F7F0B"/>
    <w:rsid w:val="008014F9"/>
    <w:rsid w:val="0080358B"/>
    <w:rsid w:val="0080552D"/>
    <w:rsid w:val="008059BD"/>
    <w:rsid w:val="00805C55"/>
    <w:rsid w:val="0081286B"/>
    <w:rsid w:val="00812D46"/>
    <w:rsid w:val="008148E0"/>
    <w:rsid w:val="00815769"/>
    <w:rsid w:val="00815A38"/>
    <w:rsid w:val="0082103F"/>
    <w:rsid w:val="00821235"/>
    <w:rsid w:val="00824239"/>
    <w:rsid w:val="008279FE"/>
    <w:rsid w:val="00830E0D"/>
    <w:rsid w:val="00831259"/>
    <w:rsid w:val="0083208A"/>
    <w:rsid w:val="0083218A"/>
    <w:rsid w:val="00832692"/>
    <w:rsid w:val="00832A00"/>
    <w:rsid w:val="00832D5C"/>
    <w:rsid w:val="00837845"/>
    <w:rsid w:val="00837F42"/>
    <w:rsid w:val="00840F2D"/>
    <w:rsid w:val="00841597"/>
    <w:rsid w:val="0084309C"/>
    <w:rsid w:val="00843D59"/>
    <w:rsid w:val="008442C4"/>
    <w:rsid w:val="00844DB2"/>
    <w:rsid w:val="00844EE2"/>
    <w:rsid w:val="00846739"/>
    <w:rsid w:val="00853140"/>
    <w:rsid w:val="00853B09"/>
    <w:rsid w:val="00854537"/>
    <w:rsid w:val="00855F31"/>
    <w:rsid w:val="008606B6"/>
    <w:rsid w:val="00861E6D"/>
    <w:rsid w:val="008700EC"/>
    <w:rsid w:val="008749A7"/>
    <w:rsid w:val="00875DAC"/>
    <w:rsid w:val="00876D65"/>
    <w:rsid w:val="00877782"/>
    <w:rsid w:val="008837D3"/>
    <w:rsid w:val="00883B3C"/>
    <w:rsid w:val="00883D7C"/>
    <w:rsid w:val="00890AEA"/>
    <w:rsid w:val="00891261"/>
    <w:rsid w:val="00892E1B"/>
    <w:rsid w:val="008A21B2"/>
    <w:rsid w:val="008A3DAA"/>
    <w:rsid w:val="008A5B20"/>
    <w:rsid w:val="008A7365"/>
    <w:rsid w:val="008B2FDD"/>
    <w:rsid w:val="008B3C7E"/>
    <w:rsid w:val="008B4A75"/>
    <w:rsid w:val="008B4FD3"/>
    <w:rsid w:val="008C632C"/>
    <w:rsid w:val="008C75E7"/>
    <w:rsid w:val="008C7B36"/>
    <w:rsid w:val="008C7CA8"/>
    <w:rsid w:val="008C7FFA"/>
    <w:rsid w:val="008D09EC"/>
    <w:rsid w:val="008D7CBF"/>
    <w:rsid w:val="008E07EB"/>
    <w:rsid w:val="008E1D74"/>
    <w:rsid w:val="008E2DCB"/>
    <w:rsid w:val="008E326D"/>
    <w:rsid w:val="008E35F0"/>
    <w:rsid w:val="008F0903"/>
    <w:rsid w:val="008F3B64"/>
    <w:rsid w:val="008F5F67"/>
    <w:rsid w:val="008F60F2"/>
    <w:rsid w:val="00901ACC"/>
    <w:rsid w:val="0090217D"/>
    <w:rsid w:val="0090513E"/>
    <w:rsid w:val="00905C5E"/>
    <w:rsid w:val="00906801"/>
    <w:rsid w:val="009078DC"/>
    <w:rsid w:val="00910EEC"/>
    <w:rsid w:val="00913DA6"/>
    <w:rsid w:val="009175E4"/>
    <w:rsid w:val="00921735"/>
    <w:rsid w:val="00921AC7"/>
    <w:rsid w:val="00924582"/>
    <w:rsid w:val="009252CB"/>
    <w:rsid w:val="00931291"/>
    <w:rsid w:val="009330DB"/>
    <w:rsid w:val="0093367D"/>
    <w:rsid w:val="00933E30"/>
    <w:rsid w:val="0094120A"/>
    <w:rsid w:val="009414B1"/>
    <w:rsid w:val="00941760"/>
    <w:rsid w:val="0094240E"/>
    <w:rsid w:val="009431FA"/>
    <w:rsid w:val="00945AF6"/>
    <w:rsid w:val="009550BE"/>
    <w:rsid w:val="0095536B"/>
    <w:rsid w:val="00955531"/>
    <w:rsid w:val="009557D0"/>
    <w:rsid w:val="00955BE8"/>
    <w:rsid w:val="00957594"/>
    <w:rsid w:val="00963F40"/>
    <w:rsid w:val="009730B8"/>
    <w:rsid w:val="009734BB"/>
    <w:rsid w:val="009737F9"/>
    <w:rsid w:val="0097424F"/>
    <w:rsid w:val="00980D74"/>
    <w:rsid w:val="0098122D"/>
    <w:rsid w:val="00983A56"/>
    <w:rsid w:val="00986596"/>
    <w:rsid w:val="0098789C"/>
    <w:rsid w:val="00990685"/>
    <w:rsid w:val="009A0ABE"/>
    <w:rsid w:val="009A2679"/>
    <w:rsid w:val="009A39A3"/>
    <w:rsid w:val="009A432C"/>
    <w:rsid w:val="009A4E5D"/>
    <w:rsid w:val="009B2D4B"/>
    <w:rsid w:val="009C5186"/>
    <w:rsid w:val="009C60F7"/>
    <w:rsid w:val="009D0952"/>
    <w:rsid w:val="009D1871"/>
    <w:rsid w:val="009D46BA"/>
    <w:rsid w:val="009E19A9"/>
    <w:rsid w:val="009E31DA"/>
    <w:rsid w:val="009E402C"/>
    <w:rsid w:val="009E463C"/>
    <w:rsid w:val="009E7C6A"/>
    <w:rsid w:val="009F1C20"/>
    <w:rsid w:val="009F3659"/>
    <w:rsid w:val="009F4861"/>
    <w:rsid w:val="009F61BE"/>
    <w:rsid w:val="009F7ED4"/>
    <w:rsid w:val="00A00F8E"/>
    <w:rsid w:val="00A03AAC"/>
    <w:rsid w:val="00A047D1"/>
    <w:rsid w:val="00A21300"/>
    <w:rsid w:val="00A22AD0"/>
    <w:rsid w:val="00A22DA8"/>
    <w:rsid w:val="00A26C92"/>
    <w:rsid w:val="00A3030E"/>
    <w:rsid w:val="00A31574"/>
    <w:rsid w:val="00A31671"/>
    <w:rsid w:val="00A31B38"/>
    <w:rsid w:val="00A324F4"/>
    <w:rsid w:val="00A36930"/>
    <w:rsid w:val="00A45320"/>
    <w:rsid w:val="00A5007B"/>
    <w:rsid w:val="00A504C9"/>
    <w:rsid w:val="00A532FB"/>
    <w:rsid w:val="00A54C7D"/>
    <w:rsid w:val="00A5612C"/>
    <w:rsid w:val="00A5689C"/>
    <w:rsid w:val="00A57AE4"/>
    <w:rsid w:val="00A57D3E"/>
    <w:rsid w:val="00A63A97"/>
    <w:rsid w:val="00A63F19"/>
    <w:rsid w:val="00A669B5"/>
    <w:rsid w:val="00A669FC"/>
    <w:rsid w:val="00A66F42"/>
    <w:rsid w:val="00A670C7"/>
    <w:rsid w:val="00A76625"/>
    <w:rsid w:val="00A76B26"/>
    <w:rsid w:val="00A77F02"/>
    <w:rsid w:val="00A81F53"/>
    <w:rsid w:val="00A8244A"/>
    <w:rsid w:val="00A83500"/>
    <w:rsid w:val="00A84EB5"/>
    <w:rsid w:val="00A8721A"/>
    <w:rsid w:val="00A90049"/>
    <w:rsid w:val="00A917BF"/>
    <w:rsid w:val="00A95DE5"/>
    <w:rsid w:val="00A96A94"/>
    <w:rsid w:val="00AA035E"/>
    <w:rsid w:val="00AA0900"/>
    <w:rsid w:val="00AA0D55"/>
    <w:rsid w:val="00AA3A38"/>
    <w:rsid w:val="00AA4F94"/>
    <w:rsid w:val="00AA6513"/>
    <w:rsid w:val="00AB047E"/>
    <w:rsid w:val="00AB4DB6"/>
    <w:rsid w:val="00AB6E79"/>
    <w:rsid w:val="00AC063D"/>
    <w:rsid w:val="00AC2A9E"/>
    <w:rsid w:val="00AC3E77"/>
    <w:rsid w:val="00AC592E"/>
    <w:rsid w:val="00AC6C10"/>
    <w:rsid w:val="00AC7BC6"/>
    <w:rsid w:val="00AD24AA"/>
    <w:rsid w:val="00AD42B8"/>
    <w:rsid w:val="00AE4BCA"/>
    <w:rsid w:val="00AE7962"/>
    <w:rsid w:val="00AF0A7F"/>
    <w:rsid w:val="00AF1D1C"/>
    <w:rsid w:val="00AF3AB2"/>
    <w:rsid w:val="00B11A78"/>
    <w:rsid w:val="00B11BE5"/>
    <w:rsid w:val="00B12B7D"/>
    <w:rsid w:val="00B132A1"/>
    <w:rsid w:val="00B1686A"/>
    <w:rsid w:val="00B16985"/>
    <w:rsid w:val="00B16FCE"/>
    <w:rsid w:val="00B17562"/>
    <w:rsid w:val="00B228DB"/>
    <w:rsid w:val="00B22DEE"/>
    <w:rsid w:val="00B243C3"/>
    <w:rsid w:val="00B27479"/>
    <w:rsid w:val="00B327E2"/>
    <w:rsid w:val="00B32AA7"/>
    <w:rsid w:val="00B34678"/>
    <w:rsid w:val="00B35024"/>
    <w:rsid w:val="00B371B4"/>
    <w:rsid w:val="00B40F64"/>
    <w:rsid w:val="00B42A76"/>
    <w:rsid w:val="00B464C4"/>
    <w:rsid w:val="00B47982"/>
    <w:rsid w:val="00B56C4B"/>
    <w:rsid w:val="00B56F53"/>
    <w:rsid w:val="00B575F8"/>
    <w:rsid w:val="00B62AC1"/>
    <w:rsid w:val="00B64723"/>
    <w:rsid w:val="00B7378D"/>
    <w:rsid w:val="00B7444D"/>
    <w:rsid w:val="00B816A7"/>
    <w:rsid w:val="00B82413"/>
    <w:rsid w:val="00B846EE"/>
    <w:rsid w:val="00B85352"/>
    <w:rsid w:val="00B86CD8"/>
    <w:rsid w:val="00B87214"/>
    <w:rsid w:val="00B87AB3"/>
    <w:rsid w:val="00B9146C"/>
    <w:rsid w:val="00B92FF5"/>
    <w:rsid w:val="00B93611"/>
    <w:rsid w:val="00B94493"/>
    <w:rsid w:val="00B950F0"/>
    <w:rsid w:val="00B959E6"/>
    <w:rsid w:val="00BA0A88"/>
    <w:rsid w:val="00BA0B06"/>
    <w:rsid w:val="00BA2A3C"/>
    <w:rsid w:val="00BA310A"/>
    <w:rsid w:val="00BA36F8"/>
    <w:rsid w:val="00BA604D"/>
    <w:rsid w:val="00BB5DA7"/>
    <w:rsid w:val="00BB5E0E"/>
    <w:rsid w:val="00BC14B3"/>
    <w:rsid w:val="00BC216C"/>
    <w:rsid w:val="00BC4585"/>
    <w:rsid w:val="00BC50F1"/>
    <w:rsid w:val="00BC6696"/>
    <w:rsid w:val="00BC73E5"/>
    <w:rsid w:val="00BD0031"/>
    <w:rsid w:val="00BD70E0"/>
    <w:rsid w:val="00BD7473"/>
    <w:rsid w:val="00BD7703"/>
    <w:rsid w:val="00BE14ED"/>
    <w:rsid w:val="00BE3232"/>
    <w:rsid w:val="00BE420D"/>
    <w:rsid w:val="00BE5388"/>
    <w:rsid w:val="00BE7526"/>
    <w:rsid w:val="00BF19F4"/>
    <w:rsid w:val="00BF7867"/>
    <w:rsid w:val="00C012F9"/>
    <w:rsid w:val="00C07556"/>
    <w:rsid w:val="00C07FC5"/>
    <w:rsid w:val="00C102E6"/>
    <w:rsid w:val="00C15CAC"/>
    <w:rsid w:val="00C166A6"/>
    <w:rsid w:val="00C21520"/>
    <w:rsid w:val="00C222B2"/>
    <w:rsid w:val="00C225FB"/>
    <w:rsid w:val="00C23547"/>
    <w:rsid w:val="00C2499B"/>
    <w:rsid w:val="00C30412"/>
    <w:rsid w:val="00C33637"/>
    <w:rsid w:val="00C451A3"/>
    <w:rsid w:val="00C46B88"/>
    <w:rsid w:val="00C47163"/>
    <w:rsid w:val="00C51B4A"/>
    <w:rsid w:val="00C5218C"/>
    <w:rsid w:val="00C52191"/>
    <w:rsid w:val="00C53472"/>
    <w:rsid w:val="00C53D1B"/>
    <w:rsid w:val="00C5642F"/>
    <w:rsid w:val="00C56ED4"/>
    <w:rsid w:val="00C56F86"/>
    <w:rsid w:val="00C6002A"/>
    <w:rsid w:val="00C6209F"/>
    <w:rsid w:val="00C629B1"/>
    <w:rsid w:val="00C63554"/>
    <w:rsid w:val="00C639E2"/>
    <w:rsid w:val="00C678B0"/>
    <w:rsid w:val="00C7047C"/>
    <w:rsid w:val="00C70AC4"/>
    <w:rsid w:val="00C71497"/>
    <w:rsid w:val="00C729F1"/>
    <w:rsid w:val="00C72F5B"/>
    <w:rsid w:val="00C73BCD"/>
    <w:rsid w:val="00C74284"/>
    <w:rsid w:val="00C74E5E"/>
    <w:rsid w:val="00C77AEF"/>
    <w:rsid w:val="00C77D34"/>
    <w:rsid w:val="00C85A6E"/>
    <w:rsid w:val="00C87129"/>
    <w:rsid w:val="00C91E1B"/>
    <w:rsid w:val="00C9613D"/>
    <w:rsid w:val="00C9690F"/>
    <w:rsid w:val="00CA25FE"/>
    <w:rsid w:val="00CA5641"/>
    <w:rsid w:val="00CA574C"/>
    <w:rsid w:val="00CA5FD5"/>
    <w:rsid w:val="00CA7703"/>
    <w:rsid w:val="00CB0F92"/>
    <w:rsid w:val="00CC4EE5"/>
    <w:rsid w:val="00CD2E55"/>
    <w:rsid w:val="00CD2F88"/>
    <w:rsid w:val="00CD4E6D"/>
    <w:rsid w:val="00CD4F19"/>
    <w:rsid w:val="00CD5707"/>
    <w:rsid w:val="00CD7702"/>
    <w:rsid w:val="00CE0BA5"/>
    <w:rsid w:val="00CE224B"/>
    <w:rsid w:val="00CE29EA"/>
    <w:rsid w:val="00CE473F"/>
    <w:rsid w:val="00CE6191"/>
    <w:rsid w:val="00CF04CF"/>
    <w:rsid w:val="00CF1D5C"/>
    <w:rsid w:val="00CF2D3E"/>
    <w:rsid w:val="00CF6572"/>
    <w:rsid w:val="00D00B67"/>
    <w:rsid w:val="00D01FE6"/>
    <w:rsid w:val="00D02347"/>
    <w:rsid w:val="00D046DB"/>
    <w:rsid w:val="00D04755"/>
    <w:rsid w:val="00D1116B"/>
    <w:rsid w:val="00D13737"/>
    <w:rsid w:val="00D1638E"/>
    <w:rsid w:val="00D2061C"/>
    <w:rsid w:val="00D21FFF"/>
    <w:rsid w:val="00D2206B"/>
    <w:rsid w:val="00D26DA6"/>
    <w:rsid w:val="00D272A5"/>
    <w:rsid w:val="00D346D9"/>
    <w:rsid w:val="00D416DF"/>
    <w:rsid w:val="00D43AFB"/>
    <w:rsid w:val="00D44EE8"/>
    <w:rsid w:val="00D57B7C"/>
    <w:rsid w:val="00D65B44"/>
    <w:rsid w:val="00D75E69"/>
    <w:rsid w:val="00D8099B"/>
    <w:rsid w:val="00D849DD"/>
    <w:rsid w:val="00D84A03"/>
    <w:rsid w:val="00D866A8"/>
    <w:rsid w:val="00D8746F"/>
    <w:rsid w:val="00D91E06"/>
    <w:rsid w:val="00D9241B"/>
    <w:rsid w:val="00D94B8D"/>
    <w:rsid w:val="00D96C8D"/>
    <w:rsid w:val="00D974EF"/>
    <w:rsid w:val="00DA0C61"/>
    <w:rsid w:val="00DA14B0"/>
    <w:rsid w:val="00DA2876"/>
    <w:rsid w:val="00DA415A"/>
    <w:rsid w:val="00DA66D0"/>
    <w:rsid w:val="00DB0734"/>
    <w:rsid w:val="00DC0B51"/>
    <w:rsid w:val="00DC141F"/>
    <w:rsid w:val="00DC28F1"/>
    <w:rsid w:val="00DC6B55"/>
    <w:rsid w:val="00DD4ED0"/>
    <w:rsid w:val="00DE27F7"/>
    <w:rsid w:val="00DE4B43"/>
    <w:rsid w:val="00DF332B"/>
    <w:rsid w:val="00E0076E"/>
    <w:rsid w:val="00E02660"/>
    <w:rsid w:val="00E204CB"/>
    <w:rsid w:val="00E215BA"/>
    <w:rsid w:val="00E22AE1"/>
    <w:rsid w:val="00E358B1"/>
    <w:rsid w:val="00E36549"/>
    <w:rsid w:val="00E40D31"/>
    <w:rsid w:val="00E41260"/>
    <w:rsid w:val="00E436CD"/>
    <w:rsid w:val="00E44E18"/>
    <w:rsid w:val="00E45575"/>
    <w:rsid w:val="00E4600F"/>
    <w:rsid w:val="00E478B4"/>
    <w:rsid w:val="00E52DBC"/>
    <w:rsid w:val="00E54301"/>
    <w:rsid w:val="00E54BF5"/>
    <w:rsid w:val="00E554A1"/>
    <w:rsid w:val="00E55ABD"/>
    <w:rsid w:val="00E60817"/>
    <w:rsid w:val="00E62DE5"/>
    <w:rsid w:val="00E64504"/>
    <w:rsid w:val="00E705CC"/>
    <w:rsid w:val="00E709A1"/>
    <w:rsid w:val="00E736FD"/>
    <w:rsid w:val="00E84C7E"/>
    <w:rsid w:val="00E85E4B"/>
    <w:rsid w:val="00E8670B"/>
    <w:rsid w:val="00E912DD"/>
    <w:rsid w:val="00E94F4B"/>
    <w:rsid w:val="00E97A95"/>
    <w:rsid w:val="00EA158A"/>
    <w:rsid w:val="00EA70F1"/>
    <w:rsid w:val="00EB2516"/>
    <w:rsid w:val="00EB2C07"/>
    <w:rsid w:val="00EB572B"/>
    <w:rsid w:val="00EC14ED"/>
    <w:rsid w:val="00EC1E04"/>
    <w:rsid w:val="00EC21C9"/>
    <w:rsid w:val="00EC4275"/>
    <w:rsid w:val="00ED0328"/>
    <w:rsid w:val="00ED0A55"/>
    <w:rsid w:val="00ED14D5"/>
    <w:rsid w:val="00ED2620"/>
    <w:rsid w:val="00ED3038"/>
    <w:rsid w:val="00ED4D47"/>
    <w:rsid w:val="00ED62BE"/>
    <w:rsid w:val="00ED6E80"/>
    <w:rsid w:val="00ED7B83"/>
    <w:rsid w:val="00EE1EEB"/>
    <w:rsid w:val="00EE2369"/>
    <w:rsid w:val="00EE3BC8"/>
    <w:rsid w:val="00EF0ABE"/>
    <w:rsid w:val="00EF17AB"/>
    <w:rsid w:val="00EF6FA5"/>
    <w:rsid w:val="00F00A32"/>
    <w:rsid w:val="00F0261D"/>
    <w:rsid w:val="00F03CC4"/>
    <w:rsid w:val="00F11104"/>
    <w:rsid w:val="00F11BB5"/>
    <w:rsid w:val="00F16E3F"/>
    <w:rsid w:val="00F1734D"/>
    <w:rsid w:val="00F2070B"/>
    <w:rsid w:val="00F223FA"/>
    <w:rsid w:val="00F22499"/>
    <w:rsid w:val="00F22B0F"/>
    <w:rsid w:val="00F22CCA"/>
    <w:rsid w:val="00F24B42"/>
    <w:rsid w:val="00F24F73"/>
    <w:rsid w:val="00F26CC8"/>
    <w:rsid w:val="00F27299"/>
    <w:rsid w:val="00F31B0C"/>
    <w:rsid w:val="00F31F6E"/>
    <w:rsid w:val="00F323FF"/>
    <w:rsid w:val="00F32952"/>
    <w:rsid w:val="00F3389C"/>
    <w:rsid w:val="00F375F2"/>
    <w:rsid w:val="00F45C47"/>
    <w:rsid w:val="00F51C4E"/>
    <w:rsid w:val="00F53F5F"/>
    <w:rsid w:val="00F54EAE"/>
    <w:rsid w:val="00F62087"/>
    <w:rsid w:val="00F64B7D"/>
    <w:rsid w:val="00F66A51"/>
    <w:rsid w:val="00F71057"/>
    <w:rsid w:val="00F71A4B"/>
    <w:rsid w:val="00F728CF"/>
    <w:rsid w:val="00F74373"/>
    <w:rsid w:val="00F743D4"/>
    <w:rsid w:val="00F7710F"/>
    <w:rsid w:val="00F80AC3"/>
    <w:rsid w:val="00F81917"/>
    <w:rsid w:val="00F83B17"/>
    <w:rsid w:val="00F87EDA"/>
    <w:rsid w:val="00F959E3"/>
    <w:rsid w:val="00F970EE"/>
    <w:rsid w:val="00FA775C"/>
    <w:rsid w:val="00FB0BC9"/>
    <w:rsid w:val="00FB35FB"/>
    <w:rsid w:val="00FB41D3"/>
    <w:rsid w:val="00FB4BC0"/>
    <w:rsid w:val="00FB4F70"/>
    <w:rsid w:val="00FB5EFC"/>
    <w:rsid w:val="00FB77BB"/>
    <w:rsid w:val="00FC15AA"/>
    <w:rsid w:val="00FC2922"/>
    <w:rsid w:val="00FC6C12"/>
    <w:rsid w:val="00FC7DF3"/>
    <w:rsid w:val="00FC7FBA"/>
    <w:rsid w:val="00FD1375"/>
    <w:rsid w:val="00FD2629"/>
    <w:rsid w:val="00FD359E"/>
    <w:rsid w:val="00FD5F37"/>
    <w:rsid w:val="00FD685A"/>
    <w:rsid w:val="00FD6B92"/>
    <w:rsid w:val="00FE0A17"/>
    <w:rsid w:val="00FE179F"/>
    <w:rsid w:val="00FE1A3B"/>
    <w:rsid w:val="00FF213A"/>
    <w:rsid w:val="00FF2D19"/>
    <w:rsid w:val="00FF3F27"/>
    <w:rsid w:val="00FF469F"/>
    <w:rsid w:val="00FF4B2B"/>
    <w:rsid w:val="00FF5196"/>
    <w:rsid w:val="00FF53B4"/>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250FA5"/>
  <w15:docId w15:val="{C348DDB0-0F67-42FD-9027-B62A67DC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uiPriority w:val="99"/>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1F6F-279A-4066-BE86-D493D6D1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2355</TotalTime>
  <Pages>18</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895</cp:revision>
  <dcterms:created xsi:type="dcterms:W3CDTF">2012-10-16T06:07:00Z</dcterms:created>
  <dcterms:modified xsi:type="dcterms:W3CDTF">2017-01-17T10:33:00Z</dcterms:modified>
</cp:coreProperties>
</file>