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交银施罗德定期支付双息平衡混合型证券投资基金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二〇一七年一月十九日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CB1A94" w:rsidRDefault="004C5FEC">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18</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交银定期支付双息平衡混合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519732</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9</w:t>
            </w:r>
            <w:r w:rsidRPr="00414345">
              <w:rPr>
                <w:color w:val="000000"/>
                <w:kern w:val="0"/>
                <w:sz w:val="24"/>
                <w:szCs w:val="24"/>
              </w:rPr>
              <w:t>月</w:t>
            </w:r>
            <w:r w:rsidRPr="00414345">
              <w:rPr>
                <w:color w:val="000000"/>
                <w:kern w:val="0"/>
                <w:sz w:val="24"/>
                <w:szCs w:val="24"/>
              </w:rPr>
              <w:t>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44,481,269.20</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本基金精选具有长期增长潜力和较好分红能力的股票，以及具有较高息票率的债券，力争实现基金资产的长期增值。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50%×</w:t>
            </w:r>
            <w:r w:rsidRPr="00414345">
              <w:rPr>
                <w:color w:val="000000"/>
                <w:kern w:val="0"/>
                <w:sz w:val="24"/>
                <w:szCs w:val="24"/>
              </w:rPr>
              <w:t>中证红利指数收益率</w:t>
            </w:r>
            <w:r w:rsidRPr="00414345">
              <w:rPr>
                <w:color w:val="000000"/>
                <w:kern w:val="0"/>
                <w:sz w:val="24"/>
                <w:szCs w:val="24"/>
              </w:rPr>
              <w:t>+50%×</w:t>
            </w:r>
            <w:r w:rsidRPr="00414345">
              <w:rPr>
                <w:color w:val="000000"/>
                <w:kern w:val="0"/>
                <w:sz w:val="24"/>
                <w:szCs w:val="24"/>
              </w:rPr>
              <w:t>中债综合全价指数收益率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本基金是一只混合型基金，在证券投资基金中属于较高风险的品种，其长期平均风险和预期收益高于货币</w:t>
            </w:r>
            <w:r w:rsidRPr="00414345">
              <w:rPr>
                <w:color w:val="000000"/>
                <w:kern w:val="0"/>
                <w:sz w:val="24"/>
                <w:szCs w:val="24"/>
              </w:rPr>
              <w:lastRenderedPageBreak/>
              <w:t>市场基金和债券型基金，低于股票型基金。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4C5FEC" w:rsidRPr="00414345" w:rsidTr="004C5FEC">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4C5FEC" w:rsidRPr="00414345" w:rsidTr="004C5FEC">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4,927,880.57</w:t>
            </w:r>
          </w:p>
        </w:tc>
      </w:tr>
      <w:tr w:rsidR="004C5FEC" w:rsidRPr="00414345" w:rsidTr="004C5FEC">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3,382,262.81</w:t>
            </w:r>
          </w:p>
        </w:tc>
      </w:tr>
      <w:tr w:rsidR="004C5FEC" w:rsidRPr="00414345" w:rsidTr="004C5FEC">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0.0737</w:t>
            </w:r>
          </w:p>
        </w:tc>
      </w:tr>
      <w:tr w:rsidR="004C5FEC" w:rsidRPr="00414345" w:rsidTr="004C5FEC">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92,378,580.54</w:t>
            </w:r>
          </w:p>
        </w:tc>
      </w:tr>
      <w:tr w:rsidR="004C5FEC" w:rsidRPr="00414345" w:rsidTr="004C5FEC">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2.077</w:t>
            </w:r>
          </w:p>
        </w:tc>
      </w:tr>
    </w:tbl>
    <w:p w:rsidR="00CB1A94" w:rsidRDefault="004C5FEC">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CB1A94">
        <w:trPr>
          <w:jc w:val="center"/>
        </w:trPr>
        <w:tc>
          <w:tcPr>
            <w:tcW w:w="1701" w:type="dxa"/>
            <w:vAlign w:val="center"/>
          </w:tcPr>
          <w:p w:rsidR="00CB1A94" w:rsidRDefault="004C5FEC">
            <w:pPr>
              <w:jc w:val="left"/>
            </w:pPr>
            <w:r>
              <w:rPr>
                <w:color w:val="000000"/>
                <w:sz w:val="24"/>
                <w:szCs w:val="24"/>
              </w:rPr>
              <w:t>过去三个月</w:t>
            </w:r>
          </w:p>
        </w:tc>
        <w:tc>
          <w:tcPr>
            <w:tcW w:w="1045" w:type="dxa"/>
            <w:vAlign w:val="center"/>
          </w:tcPr>
          <w:p w:rsidR="00CB1A94" w:rsidRDefault="004C5FEC">
            <w:pPr>
              <w:jc w:val="center"/>
            </w:pPr>
            <w:r>
              <w:rPr>
                <w:color w:val="000000"/>
                <w:sz w:val="24"/>
                <w:szCs w:val="24"/>
              </w:rPr>
              <w:t>3.69%</w:t>
            </w:r>
          </w:p>
        </w:tc>
        <w:tc>
          <w:tcPr>
            <w:tcW w:w="1344" w:type="dxa"/>
            <w:vAlign w:val="center"/>
          </w:tcPr>
          <w:p w:rsidR="00CB1A94" w:rsidRDefault="004C5FEC" w:rsidP="004C5FEC">
            <w:pPr>
              <w:jc w:val="center"/>
            </w:pPr>
            <w:r>
              <w:rPr>
                <w:color w:val="000000"/>
                <w:sz w:val="24"/>
                <w:szCs w:val="24"/>
              </w:rPr>
              <w:t>0.78%</w:t>
            </w:r>
          </w:p>
        </w:tc>
        <w:tc>
          <w:tcPr>
            <w:tcW w:w="1194" w:type="dxa"/>
            <w:vAlign w:val="center"/>
          </w:tcPr>
          <w:p w:rsidR="00CB1A94" w:rsidRDefault="004C5FEC" w:rsidP="004C5FEC">
            <w:pPr>
              <w:jc w:val="center"/>
            </w:pPr>
            <w:r>
              <w:rPr>
                <w:color w:val="000000"/>
                <w:sz w:val="24"/>
                <w:szCs w:val="24"/>
              </w:rPr>
              <w:t>0.32%</w:t>
            </w:r>
          </w:p>
        </w:tc>
        <w:tc>
          <w:tcPr>
            <w:tcW w:w="1492" w:type="dxa"/>
            <w:vAlign w:val="center"/>
          </w:tcPr>
          <w:p w:rsidR="00CB1A94" w:rsidRDefault="004C5FEC">
            <w:pPr>
              <w:jc w:val="center"/>
            </w:pPr>
            <w:r>
              <w:rPr>
                <w:color w:val="000000"/>
                <w:sz w:val="24"/>
                <w:szCs w:val="24"/>
              </w:rPr>
              <w:t>0.39%</w:t>
            </w:r>
          </w:p>
        </w:tc>
        <w:tc>
          <w:tcPr>
            <w:tcW w:w="1194" w:type="dxa"/>
            <w:vAlign w:val="center"/>
          </w:tcPr>
          <w:p w:rsidR="00CB1A94" w:rsidRDefault="004C5FEC" w:rsidP="004C5FEC">
            <w:pPr>
              <w:jc w:val="center"/>
            </w:pPr>
            <w:r>
              <w:rPr>
                <w:color w:val="000000"/>
                <w:sz w:val="24"/>
                <w:szCs w:val="24"/>
              </w:rPr>
              <w:t>3.37%</w:t>
            </w:r>
          </w:p>
        </w:tc>
        <w:tc>
          <w:tcPr>
            <w:tcW w:w="898" w:type="dxa"/>
            <w:vAlign w:val="center"/>
          </w:tcPr>
          <w:p w:rsidR="00CB1A94" w:rsidRDefault="004C5FEC" w:rsidP="004C5FEC">
            <w:pPr>
              <w:jc w:val="center"/>
            </w:pPr>
            <w:r>
              <w:rPr>
                <w:color w:val="000000"/>
                <w:sz w:val="24"/>
                <w:szCs w:val="24"/>
              </w:rPr>
              <w:t>0.39%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交银施罗德定期支付双息平衡混合型证券投资基金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4C5FEC"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14:anchorId="1D7F1747" wp14:editId="2FACC394">
            <wp:extent cx="5731510" cy="3356610"/>
            <wp:effectExtent l="0" t="0" r="0" b="0"/>
            <wp:docPr id="1"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CB1A94">
        <w:trPr>
          <w:jc w:val="center"/>
        </w:trPr>
        <w:tc>
          <w:tcPr>
            <w:tcW w:w="846" w:type="dxa"/>
            <w:vAlign w:val="center"/>
          </w:tcPr>
          <w:p w:rsidR="00CB1A94" w:rsidRDefault="004C5FEC">
            <w:pPr>
              <w:jc w:val="center"/>
            </w:pPr>
            <w:r>
              <w:rPr>
                <w:color w:val="000000"/>
                <w:sz w:val="24"/>
                <w:szCs w:val="24"/>
              </w:rPr>
              <w:t>杨浩</w:t>
            </w:r>
          </w:p>
        </w:tc>
        <w:tc>
          <w:tcPr>
            <w:tcW w:w="845" w:type="dxa"/>
            <w:vAlign w:val="center"/>
          </w:tcPr>
          <w:p w:rsidR="00CB1A94" w:rsidRDefault="004C5FEC">
            <w:pPr>
              <w:jc w:val="center"/>
            </w:pPr>
            <w:r>
              <w:rPr>
                <w:color w:val="000000"/>
                <w:sz w:val="24"/>
                <w:szCs w:val="24"/>
              </w:rPr>
              <w:t>交银定期支付双息平衡混合、交银新生活力灵活配置混合的基金经理</w:t>
            </w:r>
          </w:p>
        </w:tc>
        <w:tc>
          <w:tcPr>
            <w:tcW w:w="1549" w:type="dxa"/>
            <w:vAlign w:val="center"/>
          </w:tcPr>
          <w:p w:rsidR="00CB1A94" w:rsidRDefault="004C5FEC">
            <w:pPr>
              <w:jc w:val="center"/>
            </w:pPr>
            <w:r>
              <w:rPr>
                <w:color w:val="000000"/>
                <w:sz w:val="24"/>
                <w:szCs w:val="24"/>
              </w:rPr>
              <w:t>2015-08-15</w:t>
            </w:r>
          </w:p>
        </w:tc>
        <w:tc>
          <w:tcPr>
            <w:tcW w:w="1548" w:type="dxa"/>
            <w:vAlign w:val="center"/>
          </w:tcPr>
          <w:p w:rsidR="00CB1A94" w:rsidRDefault="004C5FEC">
            <w:pPr>
              <w:jc w:val="center"/>
            </w:pPr>
            <w:r>
              <w:rPr>
                <w:color w:val="000000"/>
                <w:sz w:val="24"/>
                <w:szCs w:val="24"/>
              </w:rPr>
              <w:t>-</w:t>
            </w:r>
          </w:p>
        </w:tc>
        <w:tc>
          <w:tcPr>
            <w:tcW w:w="1407" w:type="dxa"/>
            <w:vAlign w:val="center"/>
          </w:tcPr>
          <w:p w:rsidR="00CB1A94" w:rsidRDefault="004C5FEC">
            <w:pPr>
              <w:jc w:val="center"/>
            </w:pPr>
            <w:r>
              <w:rPr>
                <w:color w:val="000000"/>
                <w:sz w:val="24"/>
                <w:szCs w:val="24"/>
              </w:rPr>
              <w:t>6</w:t>
            </w:r>
            <w:r>
              <w:rPr>
                <w:color w:val="000000"/>
                <w:sz w:val="24"/>
                <w:szCs w:val="24"/>
              </w:rPr>
              <w:t>年</w:t>
            </w:r>
          </w:p>
        </w:tc>
        <w:tc>
          <w:tcPr>
            <w:tcW w:w="2673" w:type="dxa"/>
            <w:vAlign w:val="center"/>
          </w:tcPr>
          <w:p w:rsidR="00CB1A94" w:rsidRDefault="004C5FEC">
            <w:r>
              <w:rPr>
                <w:color w:val="000000"/>
                <w:sz w:val="24"/>
                <w:szCs w:val="24"/>
              </w:rPr>
              <w:t>杨浩先生，北京邮电大学通信与信息系统专业硕士。</w:t>
            </w:r>
            <w:r>
              <w:rPr>
                <w:color w:val="000000"/>
                <w:sz w:val="24"/>
                <w:szCs w:val="24"/>
              </w:rPr>
              <w:t>2010</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CB1A94" w:rsidRDefault="004C5FEC">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CB1A94" w:rsidRDefault="004C5FEC">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CB1A94" w:rsidRDefault="004C5FEC">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CB1A94" w:rsidRDefault="004C5FEC">
      <w:pPr>
        <w:spacing w:before="29" w:line="288" w:lineRule="auto"/>
        <w:ind w:firstLineChars="200" w:firstLine="480"/>
        <w:rPr>
          <w:color w:val="000000"/>
          <w:sz w:val="24"/>
          <w:szCs w:val="24"/>
        </w:rPr>
      </w:pPr>
      <w:r>
        <w:rPr>
          <w:color w:val="000000"/>
          <w:sz w:val="24"/>
          <w:szCs w:val="24"/>
        </w:rPr>
        <w:t>2016</w:t>
      </w:r>
      <w:r>
        <w:rPr>
          <w:color w:val="000000"/>
          <w:sz w:val="24"/>
          <w:szCs w:val="24"/>
        </w:rPr>
        <w:t>年四季度市场先扬后抑。国庆期间的高强度地产调控政策对资金的挤出效应，保险资金的举牌效应，拉动上半段市场走强。但随着全球无风险利率的持续上行，阶段性的贬值压力，以及金融监管的持续深化，市场在后半段出现了持续的资金紧张。整体而言，中小板、创业板明显跑输主板。体制改革和部分具有绝对意义的行业龙头表现优秀，而过去盛于资本泡沫的行业与公司，也衰于此。</w:t>
      </w:r>
    </w:p>
    <w:p w:rsidR="00CB1A94" w:rsidRDefault="004C5FEC">
      <w:pPr>
        <w:spacing w:before="29" w:line="288" w:lineRule="auto"/>
        <w:ind w:firstLineChars="200" w:firstLine="480"/>
        <w:rPr>
          <w:color w:val="000000"/>
          <w:sz w:val="24"/>
          <w:szCs w:val="24"/>
        </w:rPr>
      </w:pPr>
      <w:r>
        <w:rPr>
          <w:color w:val="000000"/>
          <w:sz w:val="24"/>
          <w:szCs w:val="24"/>
        </w:rPr>
        <w:t>本基金</w:t>
      </w:r>
      <w:r>
        <w:rPr>
          <w:color w:val="000000"/>
          <w:sz w:val="24"/>
          <w:szCs w:val="24"/>
        </w:rPr>
        <w:t>2016</w:t>
      </w:r>
      <w:r>
        <w:rPr>
          <w:color w:val="000000"/>
          <w:sz w:val="24"/>
          <w:szCs w:val="24"/>
        </w:rPr>
        <w:t>年四季度权益部分保持较高仓位，债券部分仓位较低，整体跑赢业绩比较基准。主要源于，增加了物流、通信、化工、军工、零售等行业的配置，增加了对体制改革和行业龙头的持仓比重，对竞争激烈、依赖金融资本弯道超车的中小创公司进一步减持。</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2017</w:t>
      </w:r>
      <w:r w:rsidRPr="00414345">
        <w:rPr>
          <w:color w:val="000000"/>
          <w:sz w:val="24"/>
          <w:szCs w:val="24"/>
        </w:rPr>
        <w:t>年一季度，我们认为虽然市场的流动性仍然较为紧张，但预期已经有了较为充分的反应，有望整体重回升势。但同时我们认为新的生产力技术尚不清晰，金融去杠杆的趋势仍在，产业资本减持压力较大的情况仍然对品种的选择有比较高的要求。本基金重点关注体制改革、供需关系向好的绝对行业龙头、科技基础设施等相关领域。</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w:t>
      </w:r>
      <w:r w:rsidR="004C5FEC">
        <w:rPr>
          <w:color w:val="000000"/>
          <w:sz w:val="24"/>
          <w:szCs w:val="24"/>
        </w:rPr>
        <w:t>1</w:t>
      </w:r>
      <w:r w:rsidRPr="00414345">
        <w:rPr>
          <w:color w:val="000000"/>
          <w:sz w:val="24"/>
          <w:szCs w:val="24"/>
        </w:rPr>
        <w:t>日，本基金份额净值为</w:t>
      </w:r>
      <w:r w:rsidRPr="00414345">
        <w:rPr>
          <w:color w:val="000000"/>
          <w:sz w:val="24"/>
          <w:szCs w:val="24"/>
        </w:rPr>
        <w:t>2.077</w:t>
      </w:r>
      <w:r w:rsidRPr="00414345">
        <w:rPr>
          <w:color w:val="000000"/>
          <w:sz w:val="24"/>
          <w:szCs w:val="24"/>
        </w:rPr>
        <w:t>元，本报告期份额净值增长率为</w:t>
      </w:r>
      <w:r w:rsidRPr="00414345">
        <w:rPr>
          <w:color w:val="000000"/>
          <w:sz w:val="24"/>
          <w:szCs w:val="24"/>
        </w:rPr>
        <w:t>3.69%</w:t>
      </w:r>
      <w:r w:rsidRPr="00414345">
        <w:rPr>
          <w:color w:val="000000"/>
          <w:sz w:val="24"/>
          <w:szCs w:val="24"/>
        </w:rPr>
        <w:t>，同期业绩比较基准增长率为</w:t>
      </w:r>
      <w:r w:rsidR="00342684">
        <w:rPr>
          <w:color w:val="000000"/>
          <w:sz w:val="24"/>
          <w:szCs w:val="24"/>
        </w:rPr>
        <w:t>0.32%</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62,027,023.71</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66.83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62,027,023.71</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66.83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10,046,000.00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10.82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10,046,000.00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10.82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20,244,234.06</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21.81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495,053.71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0.53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92,812,311.48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59,248,790.95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64.14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2,778,232.76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62,027,023.71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67.14</w:t>
            </w:r>
          </w:p>
        </w:tc>
      </w:tr>
    </w:tbl>
    <w:p w:rsidR="00342684" w:rsidRDefault="00342684"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BF3814">
        <w:rPr>
          <w:b/>
          <w:bCs/>
          <w:color w:val="000000"/>
          <w:kern w:val="0"/>
          <w:sz w:val="24"/>
          <w:szCs w:val="24"/>
        </w:rPr>
        <w:t>5.2.2</w:t>
      </w:r>
      <w:r w:rsidRPr="008A409E">
        <w:rPr>
          <w:rFonts w:asciiTheme="minorEastAsia" w:eastAsiaTheme="minorEastAsia" w:hAnsiTheme="minorEastAsia" w:hint="eastAsia"/>
          <w:b/>
          <w:bCs/>
          <w:color w:val="000000" w:themeColor="text1"/>
          <w:kern w:val="0"/>
          <w:sz w:val="24"/>
        </w:rPr>
        <w:t>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CB1A94">
        <w:trPr>
          <w:jc w:val="center"/>
        </w:trPr>
        <w:tc>
          <w:tcPr>
            <w:tcW w:w="855" w:type="dxa"/>
            <w:vAlign w:val="center"/>
          </w:tcPr>
          <w:p w:rsidR="00CB1A94" w:rsidRDefault="004C5FEC">
            <w:pPr>
              <w:jc w:val="center"/>
            </w:pPr>
            <w:r>
              <w:rPr>
                <w:color w:val="000000"/>
                <w:sz w:val="24"/>
                <w:szCs w:val="24"/>
              </w:rPr>
              <w:t>1</w:t>
            </w:r>
          </w:p>
        </w:tc>
        <w:tc>
          <w:tcPr>
            <w:tcW w:w="1334" w:type="dxa"/>
            <w:vAlign w:val="center"/>
          </w:tcPr>
          <w:p w:rsidR="00CB1A94" w:rsidRDefault="004C5FEC">
            <w:pPr>
              <w:jc w:val="center"/>
            </w:pPr>
            <w:r>
              <w:rPr>
                <w:color w:val="000000"/>
                <w:sz w:val="24"/>
                <w:szCs w:val="24"/>
              </w:rPr>
              <w:t>002583</w:t>
            </w:r>
          </w:p>
        </w:tc>
        <w:tc>
          <w:tcPr>
            <w:tcW w:w="1777" w:type="dxa"/>
            <w:vAlign w:val="center"/>
          </w:tcPr>
          <w:p w:rsidR="00CB1A94" w:rsidRDefault="004C5FEC">
            <w:pPr>
              <w:jc w:val="center"/>
            </w:pPr>
            <w:r>
              <w:rPr>
                <w:color w:val="000000"/>
                <w:sz w:val="24"/>
                <w:szCs w:val="24"/>
              </w:rPr>
              <w:t>海能达</w:t>
            </w:r>
          </w:p>
        </w:tc>
        <w:tc>
          <w:tcPr>
            <w:tcW w:w="1334" w:type="dxa"/>
            <w:vAlign w:val="center"/>
          </w:tcPr>
          <w:p w:rsidR="00CB1A94" w:rsidRDefault="004C5FEC">
            <w:pPr>
              <w:jc w:val="right"/>
            </w:pPr>
            <w:r>
              <w:rPr>
                <w:color w:val="000000"/>
                <w:sz w:val="24"/>
                <w:szCs w:val="24"/>
              </w:rPr>
              <w:t>497,200</w:t>
            </w:r>
          </w:p>
        </w:tc>
        <w:tc>
          <w:tcPr>
            <w:tcW w:w="1924" w:type="dxa"/>
            <w:vAlign w:val="center"/>
          </w:tcPr>
          <w:p w:rsidR="00CB1A94" w:rsidRDefault="004C5FEC">
            <w:pPr>
              <w:jc w:val="right"/>
            </w:pPr>
            <w:r>
              <w:rPr>
                <w:color w:val="000000"/>
                <w:sz w:val="24"/>
                <w:szCs w:val="24"/>
              </w:rPr>
              <w:t>6,568,012.00</w:t>
            </w:r>
          </w:p>
        </w:tc>
        <w:tc>
          <w:tcPr>
            <w:tcW w:w="1644" w:type="dxa"/>
            <w:vAlign w:val="center"/>
          </w:tcPr>
          <w:p w:rsidR="00CB1A94" w:rsidRDefault="004C5FEC">
            <w:pPr>
              <w:jc w:val="right"/>
            </w:pPr>
            <w:r>
              <w:rPr>
                <w:color w:val="000000"/>
                <w:sz w:val="24"/>
                <w:szCs w:val="24"/>
              </w:rPr>
              <w:t>7.11</w:t>
            </w:r>
          </w:p>
        </w:tc>
      </w:tr>
      <w:tr w:rsidR="00CB1A94">
        <w:trPr>
          <w:jc w:val="center"/>
        </w:trPr>
        <w:tc>
          <w:tcPr>
            <w:tcW w:w="855" w:type="dxa"/>
            <w:vAlign w:val="center"/>
          </w:tcPr>
          <w:p w:rsidR="00CB1A94" w:rsidRDefault="004C5FEC">
            <w:pPr>
              <w:jc w:val="center"/>
            </w:pPr>
            <w:r>
              <w:rPr>
                <w:color w:val="000000"/>
                <w:sz w:val="24"/>
                <w:szCs w:val="24"/>
              </w:rPr>
              <w:t>2</w:t>
            </w:r>
          </w:p>
        </w:tc>
        <w:tc>
          <w:tcPr>
            <w:tcW w:w="1334" w:type="dxa"/>
            <w:vAlign w:val="center"/>
          </w:tcPr>
          <w:p w:rsidR="00CB1A94" w:rsidRDefault="004C5FEC">
            <w:pPr>
              <w:jc w:val="center"/>
            </w:pPr>
            <w:r>
              <w:rPr>
                <w:color w:val="000000"/>
                <w:sz w:val="24"/>
                <w:szCs w:val="24"/>
              </w:rPr>
              <w:t>000821</w:t>
            </w:r>
          </w:p>
        </w:tc>
        <w:tc>
          <w:tcPr>
            <w:tcW w:w="1777" w:type="dxa"/>
            <w:vAlign w:val="center"/>
          </w:tcPr>
          <w:p w:rsidR="00CB1A94" w:rsidRDefault="004C5FEC">
            <w:pPr>
              <w:jc w:val="center"/>
            </w:pPr>
            <w:r>
              <w:rPr>
                <w:color w:val="000000"/>
                <w:sz w:val="24"/>
                <w:szCs w:val="24"/>
              </w:rPr>
              <w:t>京山轻机</w:t>
            </w:r>
          </w:p>
        </w:tc>
        <w:tc>
          <w:tcPr>
            <w:tcW w:w="1334" w:type="dxa"/>
            <w:vAlign w:val="center"/>
          </w:tcPr>
          <w:p w:rsidR="00CB1A94" w:rsidRDefault="004C5FEC">
            <w:pPr>
              <w:jc w:val="right"/>
            </w:pPr>
            <w:r>
              <w:rPr>
                <w:color w:val="000000"/>
                <w:sz w:val="24"/>
                <w:szCs w:val="24"/>
              </w:rPr>
              <w:t>342,100</w:t>
            </w:r>
          </w:p>
        </w:tc>
        <w:tc>
          <w:tcPr>
            <w:tcW w:w="1924" w:type="dxa"/>
            <w:vAlign w:val="center"/>
          </w:tcPr>
          <w:p w:rsidR="00CB1A94" w:rsidRDefault="004C5FEC">
            <w:pPr>
              <w:jc w:val="right"/>
            </w:pPr>
            <w:r>
              <w:rPr>
                <w:color w:val="000000"/>
                <w:sz w:val="24"/>
                <w:szCs w:val="24"/>
              </w:rPr>
              <w:t>5,247,814.00</w:t>
            </w:r>
          </w:p>
        </w:tc>
        <w:tc>
          <w:tcPr>
            <w:tcW w:w="1644" w:type="dxa"/>
            <w:vAlign w:val="center"/>
          </w:tcPr>
          <w:p w:rsidR="00CB1A94" w:rsidRDefault="004C5FEC">
            <w:pPr>
              <w:jc w:val="right"/>
            </w:pPr>
            <w:r>
              <w:rPr>
                <w:color w:val="000000"/>
                <w:sz w:val="24"/>
                <w:szCs w:val="24"/>
              </w:rPr>
              <w:t>5.68</w:t>
            </w:r>
          </w:p>
        </w:tc>
      </w:tr>
      <w:tr w:rsidR="00CB1A94">
        <w:trPr>
          <w:jc w:val="center"/>
        </w:trPr>
        <w:tc>
          <w:tcPr>
            <w:tcW w:w="855" w:type="dxa"/>
            <w:vAlign w:val="center"/>
          </w:tcPr>
          <w:p w:rsidR="00CB1A94" w:rsidRDefault="004C5FEC">
            <w:pPr>
              <w:jc w:val="center"/>
            </w:pPr>
            <w:r>
              <w:rPr>
                <w:color w:val="000000"/>
                <w:sz w:val="24"/>
                <w:szCs w:val="24"/>
              </w:rPr>
              <w:t>3</w:t>
            </w:r>
          </w:p>
        </w:tc>
        <w:tc>
          <w:tcPr>
            <w:tcW w:w="1334" w:type="dxa"/>
            <w:vAlign w:val="center"/>
          </w:tcPr>
          <w:p w:rsidR="00CB1A94" w:rsidRDefault="004C5FEC">
            <w:pPr>
              <w:jc w:val="center"/>
            </w:pPr>
            <w:r>
              <w:rPr>
                <w:color w:val="000000"/>
                <w:sz w:val="24"/>
                <w:szCs w:val="24"/>
              </w:rPr>
              <w:t>002045</w:t>
            </w:r>
          </w:p>
        </w:tc>
        <w:tc>
          <w:tcPr>
            <w:tcW w:w="1777" w:type="dxa"/>
            <w:vAlign w:val="center"/>
          </w:tcPr>
          <w:p w:rsidR="00CB1A94" w:rsidRDefault="004C5FEC">
            <w:pPr>
              <w:jc w:val="center"/>
            </w:pPr>
            <w:r>
              <w:rPr>
                <w:color w:val="000000"/>
                <w:sz w:val="24"/>
                <w:szCs w:val="24"/>
              </w:rPr>
              <w:t>国光电器</w:t>
            </w:r>
          </w:p>
        </w:tc>
        <w:tc>
          <w:tcPr>
            <w:tcW w:w="1334" w:type="dxa"/>
            <w:vAlign w:val="center"/>
          </w:tcPr>
          <w:p w:rsidR="00CB1A94" w:rsidRDefault="004C5FEC">
            <w:pPr>
              <w:jc w:val="right"/>
            </w:pPr>
            <w:r>
              <w:rPr>
                <w:color w:val="000000"/>
                <w:sz w:val="24"/>
                <w:szCs w:val="24"/>
              </w:rPr>
              <w:t>419,600</w:t>
            </w:r>
          </w:p>
        </w:tc>
        <w:tc>
          <w:tcPr>
            <w:tcW w:w="1924" w:type="dxa"/>
            <w:vAlign w:val="center"/>
          </w:tcPr>
          <w:p w:rsidR="00CB1A94" w:rsidRDefault="004C5FEC">
            <w:pPr>
              <w:jc w:val="right"/>
            </w:pPr>
            <w:r>
              <w:rPr>
                <w:color w:val="000000"/>
                <w:sz w:val="24"/>
                <w:szCs w:val="24"/>
              </w:rPr>
              <w:t>5,224,020.00</w:t>
            </w:r>
          </w:p>
        </w:tc>
        <w:tc>
          <w:tcPr>
            <w:tcW w:w="1644" w:type="dxa"/>
            <w:vAlign w:val="center"/>
          </w:tcPr>
          <w:p w:rsidR="00CB1A94" w:rsidRDefault="004C5FEC">
            <w:pPr>
              <w:jc w:val="right"/>
            </w:pPr>
            <w:r>
              <w:rPr>
                <w:color w:val="000000"/>
                <w:sz w:val="24"/>
                <w:szCs w:val="24"/>
              </w:rPr>
              <w:t>5.66</w:t>
            </w:r>
          </w:p>
        </w:tc>
      </w:tr>
      <w:tr w:rsidR="00CB1A94">
        <w:trPr>
          <w:jc w:val="center"/>
        </w:trPr>
        <w:tc>
          <w:tcPr>
            <w:tcW w:w="855" w:type="dxa"/>
            <w:vAlign w:val="center"/>
          </w:tcPr>
          <w:p w:rsidR="00CB1A94" w:rsidRDefault="004C5FEC">
            <w:pPr>
              <w:jc w:val="center"/>
            </w:pPr>
            <w:r>
              <w:rPr>
                <w:color w:val="000000"/>
                <w:sz w:val="24"/>
                <w:szCs w:val="24"/>
              </w:rPr>
              <w:t>4</w:t>
            </w:r>
          </w:p>
        </w:tc>
        <w:tc>
          <w:tcPr>
            <w:tcW w:w="1334" w:type="dxa"/>
            <w:vAlign w:val="center"/>
          </w:tcPr>
          <w:p w:rsidR="00CB1A94" w:rsidRDefault="004C5FEC">
            <w:pPr>
              <w:jc w:val="center"/>
            </w:pPr>
            <w:r>
              <w:rPr>
                <w:color w:val="000000"/>
                <w:sz w:val="24"/>
                <w:szCs w:val="24"/>
              </w:rPr>
              <w:t>300129</w:t>
            </w:r>
          </w:p>
        </w:tc>
        <w:tc>
          <w:tcPr>
            <w:tcW w:w="1777" w:type="dxa"/>
            <w:vAlign w:val="center"/>
          </w:tcPr>
          <w:p w:rsidR="00CB1A94" w:rsidRDefault="004C5FEC">
            <w:pPr>
              <w:jc w:val="center"/>
            </w:pPr>
            <w:r>
              <w:rPr>
                <w:color w:val="000000"/>
                <w:sz w:val="24"/>
                <w:szCs w:val="24"/>
              </w:rPr>
              <w:t>泰胜风能</w:t>
            </w:r>
          </w:p>
        </w:tc>
        <w:tc>
          <w:tcPr>
            <w:tcW w:w="1334" w:type="dxa"/>
            <w:vAlign w:val="center"/>
          </w:tcPr>
          <w:p w:rsidR="00CB1A94" w:rsidRDefault="004C5FEC">
            <w:pPr>
              <w:jc w:val="right"/>
            </w:pPr>
            <w:r>
              <w:rPr>
                <w:color w:val="000000"/>
                <w:sz w:val="24"/>
                <w:szCs w:val="24"/>
              </w:rPr>
              <w:t>546,500</w:t>
            </w:r>
          </w:p>
        </w:tc>
        <w:tc>
          <w:tcPr>
            <w:tcW w:w="1924" w:type="dxa"/>
            <w:vAlign w:val="center"/>
          </w:tcPr>
          <w:p w:rsidR="00CB1A94" w:rsidRDefault="004C5FEC">
            <w:pPr>
              <w:jc w:val="right"/>
            </w:pPr>
            <w:r>
              <w:rPr>
                <w:color w:val="000000"/>
                <w:sz w:val="24"/>
                <w:szCs w:val="24"/>
              </w:rPr>
              <w:t>4,781,875.00</w:t>
            </w:r>
          </w:p>
        </w:tc>
        <w:tc>
          <w:tcPr>
            <w:tcW w:w="1644" w:type="dxa"/>
            <w:vAlign w:val="center"/>
          </w:tcPr>
          <w:p w:rsidR="00CB1A94" w:rsidRDefault="004C5FEC">
            <w:pPr>
              <w:jc w:val="right"/>
            </w:pPr>
            <w:r>
              <w:rPr>
                <w:color w:val="000000"/>
                <w:sz w:val="24"/>
                <w:szCs w:val="24"/>
              </w:rPr>
              <w:t>5.18</w:t>
            </w:r>
          </w:p>
        </w:tc>
      </w:tr>
      <w:tr w:rsidR="00CB1A94">
        <w:trPr>
          <w:jc w:val="center"/>
        </w:trPr>
        <w:tc>
          <w:tcPr>
            <w:tcW w:w="855" w:type="dxa"/>
            <w:vAlign w:val="center"/>
          </w:tcPr>
          <w:p w:rsidR="00CB1A94" w:rsidRDefault="004C5FEC">
            <w:pPr>
              <w:jc w:val="center"/>
            </w:pPr>
            <w:r>
              <w:rPr>
                <w:color w:val="000000"/>
                <w:sz w:val="24"/>
                <w:szCs w:val="24"/>
              </w:rPr>
              <w:t>5</w:t>
            </w:r>
          </w:p>
        </w:tc>
        <w:tc>
          <w:tcPr>
            <w:tcW w:w="1334" w:type="dxa"/>
            <w:vAlign w:val="center"/>
          </w:tcPr>
          <w:p w:rsidR="00CB1A94" w:rsidRDefault="004C5FEC">
            <w:pPr>
              <w:jc w:val="center"/>
            </w:pPr>
            <w:r>
              <w:rPr>
                <w:color w:val="000000"/>
                <w:sz w:val="24"/>
                <w:szCs w:val="24"/>
              </w:rPr>
              <w:t>002281</w:t>
            </w:r>
          </w:p>
        </w:tc>
        <w:tc>
          <w:tcPr>
            <w:tcW w:w="1777" w:type="dxa"/>
            <w:vAlign w:val="center"/>
          </w:tcPr>
          <w:p w:rsidR="00CB1A94" w:rsidRDefault="004C5FEC">
            <w:pPr>
              <w:jc w:val="center"/>
            </w:pPr>
            <w:r>
              <w:rPr>
                <w:color w:val="000000"/>
                <w:sz w:val="24"/>
                <w:szCs w:val="24"/>
              </w:rPr>
              <w:t>光迅科技</w:t>
            </w:r>
          </w:p>
        </w:tc>
        <w:tc>
          <w:tcPr>
            <w:tcW w:w="1334" w:type="dxa"/>
            <w:vAlign w:val="center"/>
          </w:tcPr>
          <w:p w:rsidR="00CB1A94" w:rsidRDefault="004C5FEC">
            <w:pPr>
              <w:jc w:val="right"/>
            </w:pPr>
            <w:r>
              <w:rPr>
                <w:color w:val="000000"/>
                <w:sz w:val="24"/>
                <w:szCs w:val="24"/>
              </w:rPr>
              <w:t>59,125</w:t>
            </w:r>
          </w:p>
        </w:tc>
        <w:tc>
          <w:tcPr>
            <w:tcW w:w="1924" w:type="dxa"/>
            <w:vAlign w:val="center"/>
          </w:tcPr>
          <w:p w:rsidR="00CB1A94" w:rsidRDefault="004C5FEC">
            <w:pPr>
              <w:jc w:val="right"/>
            </w:pPr>
            <w:r>
              <w:rPr>
                <w:color w:val="000000"/>
                <w:sz w:val="24"/>
                <w:szCs w:val="24"/>
              </w:rPr>
              <w:t>4,641,312.50</w:t>
            </w:r>
          </w:p>
        </w:tc>
        <w:tc>
          <w:tcPr>
            <w:tcW w:w="1644" w:type="dxa"/>
            <w:vAlign w:val="center"/>
          </w:tcPr>
          <w:p w:rsidR="00CB1A94" w:rsidRDefault="004C5FEC">
            <w:pPr>
              <w:jc w:val="right"/>
            </w:pPr>
            <w:r>
              <w:rPr>
                <w:color w:val="000000"/>
                <w:sz w:val="24"/>
                <w:szCs w:val="24"/>
              </w:rPr>
              <w:t>5.02</w:t>
            </w:r>
          </w:p>
        </w:tc>
      </w:tr>
      <w:tr w:rsidR="00CB1A94">
        <w:trPr>
          <w:jc w:val="center"/>
        </w:trPr>
        <w:tc>
          <w:tcPr>
            <w:tcW w:w="855" w:type="dxa"/>
            <w:vAlign w:val="center"/>
          </w:tcPr>
          <w:p w:rsidR="00CB1A94" w:rsidRDefault="004C5FEC">
            <w:pPr>
              <w:jc w:val="center"/>
            </w:pPr>
            <w:r>
              <w:rPr>
                <w:color w:val="000000"/>
                <w:sz w:val="24"/>
                <w:szCs w:val="24"/>
              </w:rPr>
              <w:t>6</w:t>
            </w:r>
          </w:p>
        </w:tc>
        <w:tc>
          <w:tcPr>
            <w:tcW w:w="1334" w:type="dxa"/>
            <w:vAlign w:val="center"/>
          </w:tcPr>
          <w:p w:rsidR="00CB1A94" w:rsidRDefault="004C5FEC">
            <w:pPr>
              <w:jc w:val="center"/>
            </w:pPr>
            <w:r>
              <w:rPr>
                <w:color w:val="000000"/>
                <w:sz w:val="24"/>
                <w:szCs w:val="24"/>
              </w:rPr>
              <w:t>300458</w:t>
            </w:r>
          </w:p>
        </w:tc>
        <w:tc>
          <w:tcPr>
            <w:tcW w:w="1777" w:type="dxa"/>
            <w:vAlign w:val="center"/>
          </w:tcPr>
          <w:p w:rsidR="00CB1A94" w:rsidRDefault="004C5FEC">
            <w:pPr>
              <w:jc w:val="center"/>
            </w:pPr>
            <w:r>
              <w:rPr>
                <w:color w:val="000000"/>
                <w:sz w:val="24"/>
                <w:szCs w:val="24"/>
              </w:rPr>
              <w:t>全志科技</w:t>
            </w:r>
          </w:p>
        </w:tc>
        <w:tc>
          <w:tcPr>
            <w:tcW w:w="1334" w:type="dxa"/>
            <w:vAlign w:val="center"/>
          </w:tcPr>
          <w:p w:rsidR="00CB1A94" w:rsidRDefault="004C5FEC">
            <w:pPr>
              <w:jc w:val="right"/>
            </w:pPr>
            <w:r>
              <w:rPr>
                <w:color w:val="000000"/>
                <w:sz w:val="24"/>
                <w:szCs w:val="24"/>
              </w:rPr>
              <w:t>48,052</w:t>
            </w:r>
          </w:p>
        </w:tc>
        <w:tc>
          <w:tcPr>
            <w:tcW w:w="1924" w:type="dxa"/>
            <w:vAlign w:val="center"/>
          </w:tcPr>
          <w:p w:rsidR="00CB1A94" w:rsidRDefault="004C5FEC">
            <w:pPr>
              <w:jc w:val="right"/>
            </w:pPr>
            <w:r>
              <w:rPr>
                <w:color w:val="000000"/>
                <w:sz w:val="24"/>
                <w:szCs w:val="24"/>
              </w:rPr>
              <w:t>4,393,394.36</w:t>
            </w:r>
          </w:p>
        </w:tc>
        <w:tc>
          <w:tcPr>
            <w:tcW w:w="1644" w:type="dxa"/>
            <w:vAlign w:val="center"/>
          </w:tcPr>
          <w:p w:rsidR="00CB1A94" w:rsidRDefault="004C5FEC">
            <w:pPr>
              <w:jc w:val="right"/>
            </w:pPr>
            <w:r>
              <w:rPr>
                <w:color w:val="000000"/>
                <w:sz w:val="24"/>
                <w:szCs w:val="24"/>
              </w:rPr>
              <w:t>4.76</w:t>
            </w:r>
          </w:p>
        </w:tc>
      </w:tr>
      <w:tr w:rsidR="00CB1A94">
        <w:trPr>
          <w:jc w:val="center"/>
        </w:trPr>
        <w:tc>
          <w:tcPr>
            <w:tcW w:w="855" w:type="dxa"/>
            <w:vAlign w:val="center"/>
          </w:tcPr>
          <w:p w:rsidR="00CB1A94" w:rsidRDefault="004C5FEC">
            <w:pPr>
              <w:jc w:val="center"/>
            </w:pPr>
            <w:r>
              <w:rPr>
                <w:color w:val="000000"/>
                <w:sz w:val="24"/>
                <w:szCs w:val="24"/>
              </w:rPr>
              <w:t>7</w:t>
            </w:r>
          </w:p>
        </w:tc>
        <w:tc>
          <w:tcPr>
            <w:tcW w:w="1334" w:type="dxa"/>
            <w:vAlign w:val="center"/>
          </w:tcPr>
          <w:p w:rsidR="00CB1A94" w:rsidRDefault="004C5FEC">
            <w:pPr>
              <w:jc w:val="center"/>
            </w:pPr>
            <w:r>
              <w:rPr>
                <w:color w:val="000000"/>
                <w:sz w:val="24"/>
                <w:szCs w:val="24"/>
              </w:rPr>
              <w:t>300161</w:t>
            </w:r>
          </w:p>
        </w:tc>
        <w:tc>
          <w:tcPr>
            <w:tcW w:w="1777" w:type="dxa"/>
            <w:vAlign w:val="center"/>
          </w:tcPr>
          <w:p w:rsidR="00CB1A94" w:rsidRDefault="004C5FEC">
            <w:pPr>
              <w:jc w:val="center"/>
            </w:pPr>
            <w:r>
              <w:rPr>
                <w:color w:val="000000"/>
                <w:sz w:val="24"/>
                <w:szCs w:val="24"/>
              </w:rPr>
              <w:t>华中数控</w:t>
            </w:r>
          </w:p>
        </w:tc>
        <w:tc>
          <w:tcPr>
            <w:tcW w:w="1334" w:type="dxa"/>
            <w:vAlign w:val="center"/>
          </w:tcPr>
          <w:p w:rsidR="00CB1A94" w:rsidRDefault="004C5FEC">
            <w:pPr>
              <w:jc w:val="right"/>
            </w:pPr>
            <w:r>
              <w:rPr>
                <w:color w:val="000000"/>
                <w:sz w:val="24"/>
                <w:szCs w:val="24"/>
              </w:rPr>
              <w:t>166,744</w:t>
            </w:r>
          </w:p>
        </w:tc>
        <w:tc>
          <w:tcPr>
            <w:tcW w:w="1924" w:type="dxa"/>
            <w:vAlign w:val="center"/>
          </w:tcPr>
          <w:p w:rsidR="00CB1A94" w:rsidRDefault="004C5FEC">
            <w:pPr>
              <w:jc w:val="right"/>
            </w:pPr>
            <w:r>
              <w:rPr>
                <w:color w:val="000000"/>
                <w:sz w:val="24"/>
                <w:szCs w:val="24"/>
              </w:rPr>
              <w:t>4,335,344.00</w:t>
            </w:r>
          </w:p>
        </w:tc>
        <w:tc>
          <w:tcPr>
            <w:tcW w:w="1644" w:type="dxa"/>
            <w:vAlign w:val="center"/>
          </w:tcPr>
          <w:p w:rsidR="00CB1A94" w:rsidRDefault="004C5FEC">
            <w:pPr>
              <w:jc w:val="right"/>
            </w:pPr>
            <w:r>
              <w:rPr>
                <w:color w:val="000000"/>
                <w:sz w:val="24"/>
                <w:szCs w:val="24"/>
              </w:rPr>
              <w:t>4.69</w:t>
            </w:r>
          </w:p>
        </w:tc>
      </w:tr>
      <w:tr w:rsidR="00CB1A94">
        <w:trPr>
          <w:jc w:val="center"/>
        </w:trPr>
        <w:tc>
          <w:tcPr>
            <w:tcW w:w="855" w:type="dxa"/>
            <w:vAlign w:val="center"/>
          </w:tcPr>
          <w:p w:rsidR="00CB1A94" w:rsidRDefault="004C5FEC">
            <w:pPr>
              <w:jc w:val="center"/>
            </w:pPr>
            <w:r>
              <w:rPr>
                <w:color w:val="000000"/>
                <w:sz w:val="24"/>
                <w:szCs w:val="24"/>
              </w:rPr>
              <w:t>8</w:t>
            </w:r>
          </w:p>
        </w:tc>
        <w:tc>
          <w:tcPr>
            <w:tcW w:w="1334" w:type="dxa"/>
            <w:vAlign w:val="center"/>
          </w:tcPr>
          <w:p w:rsidR="00CB1A94" w:rsidRDefault="004C5FEC">
            <w:pPr>
              <w:jc w:val="center"/>
            </w:pPr>
            <w:r>
              <w:rPr>
                <w:color w:val="000000"/>
                <w:sz w:val="24"/>
                <w:szCs w:val="24"/>
              </w:rPr>
              <w:t>600389</w:t>
            </w:r>
          </w:p>
        </w:tc>
        <w:tc>
          <w:tcPr>
            <w:tcW w:w="1777" w:type="dxa"/>
            <w:vAlign w:val="center"/>
          </w:tcPr>
          <w:p w:rsidR="00CB1A94" w:rsidRDefault="004C5FEC">
            <w:pPr>
              <w:jc w:val="center"/>
            </w:pPr>
            <w:r>
              <w:rPr>
                <w:color w:val="000000"/>
                <w:sz w:val="24"/>
                <w:szCs w:val="24"/>
              </w:rPr>
              <w:t>江山股份</w:t>
            </w:r>
          </w:p>
        </w:tc>
        <w:tc>
          <w:tcPr>
            <w:tcW w:w="1334" w:type="dxa"/>
            <w:vAlign w:val="center"/>
          </w:tcPr>
          <w:p w:rsidR="00CB1A94" w:rsidRDefault="004C5FEC">
            <w:pPr>
              <w:jc w:val="right"/>
            </w:pPr>
            <w:r>
              <w:rPr>
                <w:color w:val="000000"/>
                <w:sz w:val="24"/>
                <w:szCs w:val="24"/>
              </w:rPr>
              <w:t>195,350</w:t>
            </w:r>
          </w:p>
        </w:tc>
        <w:tc>
          <w:tcPr>
            <w:tcW w:w="1924" w:type="dxa"/>
            <w:vAlign w:val="center"/>
          </w:tcPr>
          <w:p w:rsidR="00CB1A94" w:rsidRDefault="004C5FEC">
            <w:pPr>
              <w:jc w:val="right"/>
            </w:pPr>
            <w:r>
              <w:rPr>
                <w:color w:val="000000"/>
                <w:sz w:val="24"/>
                <w:szCs w:val="24"/>
              </w:rPr>
              <w:t>3,856,209.00</w:t>
            </w:r>
          </w:p>
        </w:tc>
        <w:tc>
          <w:tcPr>
            <w:tcW w:w="1644" w:type="dxa"/>
            <w:vAlign w:val="center"/>
          </w:tcPr>
          <w:p w:rsidR="00CB1A94" w:rsidRDefault="004C5FEC">
            <w:pPr>
              <w:jc w:val="right"/>
            </w:pPr>
            <w:r>
              <w:rPr>
                <w:color w:val="000000"/>
                <w:sz w:val="24"/>
                <w:szCs w:val="24"/>
              </w:rPr>
              <w:t>4.17</w:t>
            </w:r>
          </w:p>
        </w:tc>
      </w:tr>
      <w:tr w:rsidR="00CB1A94">
        <w:trPr>
          <w:jc w:val="center"/>
        </w:trPr>
        <w:tc>
          <w:tcPr>
            <w:tcW w:w="855" w:type="dxa"/>
            <w:vAlign w:val="center"/>
          </w:tcPr>
          <w:p w:rsidR="00CB1A94" w:rsidRDefault="004C5FEC">
            <w:pPr>
              <w:jc w:val="center"/>
            </w:pPr>
            <w:r>
              <w:rPr>
                <w:color w:val="000000"/>
                <w:sz w:val="24"/>
                <w:szCs w:val="24"/>
              </w:rPr>
              <w:t>9</w:t>
            </w:r>
          </w:p>
        </w:tc>
        <w:tc>
          <w:tcPr>
            <w:tcW w:w="1334" w:type="dxa"/>
            <w:vAlign w:val="center"/>
          </w:tcPr>
          <w:p w:rsidR="00CB1A94" w:rsidRDefault="004C5FEC">
            <w:pPr>
              <w:jc w:val="center"/>
            </w:pPr>
            <w:r>
              <w:rPr>
                <w:color w:val="000000"/>
                <w:sz w:val="24"/>
                <w:szCs w:val="24"/>
              </w:rPr>
              <w:t>600967</w:t>
            </w:r>
          </w:p>
        </w:tc>
        <w:tc>
          <w:tcPr>
            <w:tcW w:w="1777" w:type="dxa"/>
            <w:vAlign w:val="center"/>
          </w:tcPr>
          <w:p w:rsidR="00CB1A94" w:rsidRDefault="004C5FEC">
            <w:pPr>
              <w:jc w:val="center"/>
            </w:pPr>
            <w:r>
              <w:rPr>
                <w:color w:val="000000"/>
                <w:sz w:val="24"/>
                <w:szCs w:val="24"/>
              </w:rPr>
              <w:t>北方创业</w:t>
            </w:r>
          </w:p>
        </w:tc>
        <w:tc>
          <w:tcPr>
            <w:tcW w:w="1334" w:type="dxa"/>
            <w:vAlign w:val="center"/>
          </w:tcPr>
          <w:p w:rsidR="00CB1A94" w:rsidRDefault="004C5FEC">
            <w:pPr>
              <w:jc w:val="right"/>
            </w:pPr>
            <w:r>
              <w:rPr>
                <w:color w:val="000000"/>
                <w:sz w:val="24"/>
                <w:szCs w:val="24"/>
              </w:rPr>
              <w:t>280,303</w:t>
            </w:r>
          </w:p>
        </w:tc>
        <w:tc>
          <w:tcPr>
            <w:tcW w:w="1924" w:type="dxa"/>
            <w:vAlign w:val="center"/>
          </w:tcPr>
          <w:p w:rsidR="00CB1A94" w:rsidRDefault="004C5FEC">
            <w:pPr>
              <w:jc w:val="right"/>
            </w:pPr>
            <w:r>
              <w:rPr>
                <w:color w:val="000000"/>
                <w:sz w:val="24"/>
                <w:szCs w:val="24"/>
              </w:rPr>
              <w:t>3,803,711.71</w:t>
            </w:r>
          </w:p>
        </w:tc>
        <w:tc>
          <w:tcPr>
            <w:tcW w:w="1644" w:type="dxa"/>
            <w:vAlign w:val="center"/>
          </w:tcPr>
          <w:p w:rsidR="00CB1A94" w:rsidRDefault="004C5FEC">
            <w:pPr>
              <w:jc w:val="right"/>
            </w:pPr>
            <w:r>
              <w:rPr>
                <w:color w:val="000000"/>
                <w:sz w:val="24"/>
                <w:szCs w:val="24"/>
              </w:rPr>
              <w:t>4.12</w:t>
            </w:r>
          </w:p>
        </w:tc>
      </w:tr>
      <w:tr w:rsidR="00CB1A94">
        <w:trPr>
          <w:jc w:val="center"/>
        </w:trPr>
        <w:tc>
          <w:tcPr>
            <w:tcW w:w="855" w:type="dxa"/>
            <w:vAlign w:val="center"/>
          </w:tcPr>
          <w:p w:rsidR="00CB1A94" w:rsidRDefault="004C5FEC">
            <w:pPr>
              <w:jc w:val="center"/>
            </w:pPr>
            <w:r>
              <w:rPr>
                <w:color w:val="000000"/>
                <w:sz w:val="24"/>
                <w:szCs w:val="24"/>
              </w:rPr>
              <w:t>10</w:t>
            </w:r>
          </w:p>
        </w:tc>
        <w:tc>
          <w:tcPr>
            <w:tcW w:w="1334" w:type="dxa"/>
            <w:vAlign w:val="center"/>
          </w:tcPr>
          <w:p w:rsidR="00CB1A94" w:rsidRDefault="004C5FEC">
            <w:pPr>
              <w:jc w:val="center"/>
            </w:pPr>
            <w:r>
              <w:rPr>
                <w:color w:val="000000"/>
                <w:sz w:val="24"/>
                <w:szCs w:val="24"/>
              </w:rPr>
              <w:t>600500</w:t>
            </w:r>
          </w:p>
        </w:tc>
        <w:tc>
          <w:tcPr>
            <w:tcW w:w="1777" w:type="dxa"/>
            <w:vAlign w:val="center"/>
          </w:tcPr>
          <w:p w:rsidR="00CB1A94" w:rsidRDefault="004C5FEC">
            <w:pPr>
              <w:jc w:val="center"/>
            </w:pPr>
            <w:r>
              <w:rPr>
                <w:color w:val="000000"/>
                <w:sz w:val="24"/>
                <w:szCs w:val="24"/>
              </w:rPr>
              <w:t>中化国际</w:t>
            </w:r>
          </w:p>
        </w:tc>
        <w:tc>
          <w:tcPr>
            <w:tcW w:w="1334" w:type="dxa"/>
            <w:vAlign w:val="center"/>
          </w:tcPr>
          <w:p w:rsidR="00CB1A94" w:rsidRDefault="004C5FEC">
            <w:pPr>
              <w:jc w:val="right"/>
            </w:pPr>
            <w:r>
              <w:rPr>
                <w:color w:val="000000"/>
                <w:sz w:val="24"/>
                <w:szCs w:val="24"/>
              </w:rPr>
              <w:t>297,905</w:t>
            </w:r>
          </w:p>
        </w:tc>
        <w:tc>
          <w:tcPr>
            <w:tcW w:w="1924" w:type="dxa"/>
            <w:vAlign w:val="center"/>
          </w:tcPr>
          <w:p w:rsidR="00CB1A94" w:rsidRDefault="004C5FEC">
            <w:pPr>
              <w:jc w:val="right"/>
            </w:pPr>
            <w:r>
              <w:rPr>
                <w:color w:val="000000"/>
                <w:sz w:val="24"/>
                <w:szCs w:val="24"/>
              </w:rPr>
              <w:t>3,473,572.30</w:t>
            </w:r>
          </w:p>
        </w:tc>
        <w:tc>
          <w:tcPr>
            <w:tcW w:w="1644" w:type="dxa"/>
            <w:vAlign w:val="center"/>
          </w:tcPr>
          <w:p w:rsidR="00CB1A94" w:rsidRDefault="004C5FEC">
            <w:pPr>
              <w:jc w:val="right"/>
            </w:pPr>
            <w:r>
              <w:rPr>
                <w:color w:val="000000"/>
                <w:sz w:val="24"/>
                <w:szCs w:val="24"/>
              </w:rPr>
              <w:t>3.76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10,046,000.00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10.87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10,046,000.00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10.87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10,046,000.00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10.87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CB1A94">
        <w:trPr>
          <w:jc w:val="center"/>
        </w:trPr>
        <w:tc>
          <w:tcPr>
            <w:tcW w:w="850" w:type="dxa"/>
            <w:vAlign w:val="center"/>
          </w:tcPr>
          <w:p w:rsidR="00CB1A94" w:rsidRDefault="004C5FEC">
            <w:pPr>
              <w:jc w:val="center"/>
            </w:pPr>
            <w:r>
              <w:rPr>
                <w:color w:val="000000"/>
                <w:sz w:val="24"/>
                <w:szCs w:val="24"/>
              </w:rPr>
              <w:t>1</w:t>
            </w:r>
          </w:p>
        </w:tc>
        <w:tc>
          <w:tcPr>
            <w:tcW w:w="1475" w:type="dxa"/>
            <w:vAlign w:val="center"/>
          </w:tcPr>
          <w:p w:rsidR="00CB1A94" w:rsidRDefault="004C5FEC">
            <w:pPr>
              <w:jc w:val="center"/>
            </w:pPr>
            <w:r>
              <w:rPr>
                <w:color w:val="000000"/>
                <w:sz w:val="24"/>
                <w:szCs w:val="24"/>
              </w:rPr>
              <w:t>150201</w:t>
            </w:r>
          </w:p>
        </w:tc>
        <w:tc>
          <w:tcPr>
            <w:tcW w:w="1769" w:type="dxa"/>
            <w:vAlign w:val="center"/>
          </w:tcPr>
          <w:p w:rsidR="00CB1A94" w:rsidRDefault="004C5FEC">
            <w:pPr>
              <w:jc w:val="center"/>
            </w:pPr>
            <w:r>
              <w:rPr>
                <w:color w:val="000000"/>
                <w:sz w:val="24"/>
                <w:szCs w:val="24"/>
              </w:rPr>
              <w:t>15</w:t>
            </w:r>
            <w:r>
              <w:rPr>
                <w:color w:val="000000"/>
                <w:sz w:val="24"/>
                <w:szCs w:val="24"/>
              </w:rPr>
              <w:t>国开</w:t>
            </w:r>
            <w:r>
              <w:rPr>
                <w:color w:val="000000"/>
                <w:sz w:val="24"/>
                <w:szCs w:val="24"/>
              </w:rPr>
              <w:t>01</w:t>
            </w:r>
          </w:p>
        </w:tc>
        <w:tc>
          <w:tcPr>
            <w:tcW w:w="1387" w:type="dxa"/>
            <w:vAlign w:val="center"/>
          </w:tcPr>
          <w:p w:rsidR="00CB1A94" w:rsidRDefault="004C5FEC">
            <w:pPr>
              <w:jc w:val="right"/>
            </w:pPr>
            <w:r>
              <w:rPr>
                <w:color w:val="000000"/>
                <w:sz w:val="24"/>
                <w:szCs w:val="24"/>
              </w:rPr>
              <w:t>100,000</w:t>
            </w:r>
          </w:p>
        </w:tc>
        <w:tc>
          <w:tcPr>
            <w:tcW w:w="2150" w:type="dxa"/>
            <w:vAlign w:val="center"/>
          </w:tcPr>
          <w:p w:rsidR="00CB1A94" w:rsidRDefault="004C5FEC">
            <w:pPr>
              <w:jc w:val="right"/>
            </w:pPr>
            <w:r>
              <w:rPr>
                <w:color w:val="000000"/>
                <w:sz w:val="24"/>
                <w:szCs w:val="24"/>
              </w:rPr>
              <w:t>10,046,000.00</w:t>
            </w:r>
          </w:p>
        </w:tc>
        <w:tc>
          <w:tcPr>
            <w:tcW w:w="1237" w:type="dxa"/>
            <w:vAlign w:val="center"/>
          </w:tcPr>
          <w:p w:rsidR="00CB1A94" w:rsidRDefault="004C5FEC">
            <w:pPr>
              <w:jc w:val="right"/>
            </w:pPr>
            <w:r>
              <w:rPr>
                <w:color w:val="000000"/>
                <w:sz w:val="24"/>
                <w:szCs w:val="24"/>
              </w:rPr>
              <w:t>10.87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103,202.22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382,132.04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9,719.45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495,053.71</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CB1A94">
        <w:trPr>
          <w:jc w:val="center"/>
        </w:trPr>
        <w:tc>
          <w:tcPr>
            <w:tcW w:w="1129" w:type="dxa"/>
            <w:vAlign w:val="center"/>
          </w:tcPr>
          <w:p w:rsidR="00CB1A94" w:rsidRDefault="004C5FEC">
            <w:pPr>
              <w:jc w:val="center"/>
            </w:pPr>
            <w:r>
              <w:rPr>
                <w:color w:val="000000"/>
                <w:sz w:val="24"/>
                <w:szCs w:val="24"/>
              </w:rPr>
              <w:t>1</w:t>
            </w:r>
          </w:p>
        </w:tc>
        <w:tc>
          <w:tcPr>
            <w:tcW w:w="1356" w:type="dxa"/>
            <w:vAlign w:val="center"/>
          </w:tcPr>
          <w:p w:rsidR="00CB1A94" w:rsidRDefault="004C5FEC">
            <w:pPr>
              <w:jc w:val="center"/>
            </w:pPr>
            <w:r>
              <w:rPr>
                <w:color w:val="000000"/>
                <w:sz w:val="24"/>
                <w:szCs w:val="24"/>
              </w:rPr>
              <w:t>000821</w:t>
            </w:r>
          </w:p>
        </w:tc>
        <w:tc>
          <w:tcPr>
            <w:tcW w:w="1355" w:type="dxa"/>
            <w:vAlign w:val="center"/>
          </w:tcPr>
          <w:p w:rsidR="00CB1A94" w:rsidRDefault="004C5FEC">
            <w:pPr>
              <w:jc w:val="center"/>
            </w:pPr>
            <w:r>
              <w:rPr>
                <w:color w:val="000000"/>
                <w:sz w:val="24"/>
                <w:szCs w:val="24"/>
              </w:rPr>
              <w:t>京山轻机</w:t>
            </w:r>
          </w:p>
        </w:tc>
        <w:tc>
          <w:tcPr>
            <w:tcW w:w="1880" w:type="dxa"/>
            <w:vAlign w:val="center"/>
          </w:tcPr>
          <w:p w:rsidR="00CB1A94" w:rsidRDefault="004C5FEC">
            <w:pPr>
              <w:jc w:val="right"/>
            </w:pPr>
            <w:r>
              <w:rPr>
                <w:color w:val="000000"/>
                <w:sz w:val="24"/>
                <w:szCs w:val="24"/>
              </w:rPr>
              <w:t>5,247,814.00</w:t>
            </w:r>
          </w:p>
        </w:tc>
        <w:tc>
          <w:tcPr>
            <w:tcW w:w="1724" w:type="dxa"/>
            <w:vAlign w:val="center"/>
          </w:tcPr>
          <w:p w:rsidR="00CB1A94" w:rsidRDefault="004C5FEC">
            <w:pPr>
              <w:jc w:val="right"/>
            </w:pPr>
            <w:r>
              <w:rPr>
                <w:color w:val="000000"/>
                <w:sz w:val="24"/>
                <w:szCs w:val="24"/>
              </w:rPr>
              <w:t>5.68</w:t>
            </w:r>
          </w:p>
        </w:tc>
        <w:tc>
          <w:tcPr>
            <w:tcW w:w="1424" w:type="dxa"/>
            <w:vAlign w:val="center"/>
          </w:tcPr>
          <w:p w:rsidR="00CB1A94" w:rsidRDefault="004C5FEC">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45,968,897.50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3,101,572.03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4,589,200.33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44,481,269.20</w:t>
            </w:r>
          </w:p>
        </w:tc>
      </w:tr>
    </w:tbl>
    <w:p w:rsidR="00CB1A94" w:rsidRDefault="004C5FEC">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CB1A94" w:rsidRDefault="004C5FEC">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、中国证监会批准交银施罗德定期支付双息平衡混合型证券投资基金募集的文件；</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、《交银施罗德定期支付双息平衡混合型证券投资基金基金合同》；</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、《交银施罗德定期支付双息平衡混合型证券投资基金招募说明书》；</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、《交银施罗德定期支付双息平衡混合型证券投资基金托管协议》；</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、关于募集交银施罗德定期支付双息平衡混合型证券投资基金之法律意见书；</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CB1A94" w:rsidRDefault="004C5FEC">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、报告期内交银施罗德定期支付双息平衡混合型证券投资基金在指定报刊上各项公告的原稿。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CB1A94" w:rsidRDefault="004C5FEC">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08" w:rsidRDefault="003B5E08" w:rsidP="00876D65">
      <w:r>
        <w:separator/>
      </w:r>
    </w:p>
  </w:endnote>
  <w:endnote w:type="continuationSeparator" w:id="0">
    <w:p w:rsidR="003B5E08" w:rsidRDefault="003B5E08"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BF3814">
      <w:rPr>
        <w:noProof/>
        <w:kern w:val="0"/>
        <w:szCs w:val="21"/>
      </w:rPr>
      <w:t>1</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BF3814">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08" w:rsidRDefault="003B5E08" w:rsidP="00876D65">
      <w:r>
        <w:separator/>
      </w:r>
    </w:p>
  </w:footnote>
  <w:footnote w:type="continuationSeparator" w:id="0">
    <w:p w:rsidR="003B5E08" w:rsidRDefault="003B5E08"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2684"/>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5FEC"/>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3814"/>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B1A94"/>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E216-B1B6-4575-9A1B-7C8785F3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孙艳</dc:creator>
  <cp:lastModifiedBy>孙艳</cp:lastModifiedBy>
  <cp:revision>2</cp:revision>
  <dcterms:created xsi:type="dcterms:W3CDTF">2017-01-17T10:30:00Z</dcterms:created>
  <dcterms:modified xsi:type="dcterms:W3CDTF">2017-01-17T10:30:00Z</dcterms:modified>
</cp:coreProperties>
</file>