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交银施罗德定期支付月月丰债券型证券投资基金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二〇一七年一月十九日</w:t>
      </w:r>
    </w:p>
    <w:p w:rsidR="009238DB" w:rsidRPr="007F52FA" w:rsidRDefault="009238DB" w:rsidP="00BD09F6">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B55BC3" w:rsidRDefault="00BD09F6">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55BC3" w:rsidRDefault="00BD09F6">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55BC3" w:rsidRDefault="00BD09F6">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55BC3" w:rsidRDefault="00BD09F6">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B55BC3" w:rsidRDefault="00BD09F6">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D09F6">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交银定期支付月月丰债券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8</w:t>
            </w:r>
            <w:r w:rsidRPr="007F52FA">
              <w:rPr>
                <w:color w:val="000000"/>
                <w:kern w:val="0"/>
                <w:sz w:val="24"/>
              </w:rPr>
              <w:t>月</w:t>
            </w:r>
            <w:r w:rsidRPr="007F52FA">
              <w:rPr>
                <w:color w:val="000000"/>
                <w:kern w:val="0"/>
                <w:sz w:val="24"/>
              </w:rPr>
              <w:t>13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107,566,688.21</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本基金精选具有较高息票率的债券，以获取稳定的债息收入，并通过适当参与股票市场，力争实现基金资产的长期增值。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考量企业债券的信用评级以及各类债券的流动性、供求关系和收益率水平等，自下而上地精选具有较高息票率的个券。同时，本基金深度关注股票、权证一级市场和二级市场的运行状况与相应风险收益特征，在严格控制基金资产运作风险的基础上，把握投资机会。</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90%×</w:t>
            </w:r>
            <w:r w:rsidRPr="007F52FA">
              <w:rPr>
                <w:color w:val="000000"/>
                <w:kern w:val="0"/>
                <w:sz w:val="24"/>
              </w:rPr>
              <w:t>中债综合全价指数收益率</w:t>
            </w:r>
            <w:r w:rsidRPr="007F52FA">
              <w:rPr>
                <w:color w:val="000000"/>
                <w:kern w:val="0"/>
                <w:sz w:val="24"/>
              </w:rPr>
              <w:t>+10%×</w:t>
            </w:r>
            <w:r w:rsidRPr="007F52FA">
              <w:rPr>
                <w:color w:val="000000"/>
                <w:kern w:val="0"/>
                <w:sz w:val="24"/>
              </w:rPr>
              <w:t>沪深</w:t>
            </w:r>
            <w:r w:rsidRPr="007F52FA">
              <w:rPr>
                <w:color w:val="000000"/>
                <w:kern w:val="0"/>
                <w:sz w:val="24"/>
              </w:rPr>
              <w:t>300</w:t>
            </w:r>
            <w:r w:rsidRPr="007F52FA">
              <w:rPr>
                <w:color w:val="000000"/>
                <w:kern w:val="0"/>
                <w:sz w:val="24"/>
              </w:rPr>
              <w:t>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BD09F6">
            <w:pPr>
              <w:spacing w:before="29" w:line="288" w:lineRule="auto"/>
              <w:jc w:val="left"/>
              <w:rPr>
                <w:sz w:val="24"/>
              </w:rPr>
            </w:pPr>
            <w:r w:rsidRPr="007F52FA">
              <w:rPr>
                <w:color w:val="000000" w:themeColor="text1"/>
                <w:sz w:val="24"/>
              </w:rPr>
              <w:t>519730</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519731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99,523,285.52</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8,043,402.69</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D09F6">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(2016</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-2016</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1,024,065.66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102,481.16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782,121.47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84,467.84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0.0082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0.0096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137,523,397.39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10,954,402.85</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1.382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1.362</w:t>
            </w:r>
          </w:p>
        </w:tc>
      </w:tr>
    </w:tbl>
    <w:p w:rsidR="00B55BC3" w:rsidRDefault="00BD09F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lastRenderedPageBreak/>
        <w:t>1</w:t>
      </w:r>
      <w:r w:rsidRPr="007F52FA">
        <w:rPr>
          <w:b/>
          <w:sz w:val="24"/>
        </w:rPr>
        <w:t>、</w:t>
      </w:r>
      <w:r w:rsidR="00A5643A" w:rsidRPr="007F52FA">
        <w:rPr>
          <w:b/>
          <w:color w:val="000000"/>
          <w:kern w:val="0"/>
          <w:sz w:val="24"/>
        </w:rPr>
        <w:t>交银定期支付月月丰债券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55BC3">
        <w:trPr>
          <w:jc w:val="center"/>
        </w:trPr>
        <w:tc>
          <w:tcPr>
            <w:tcW w:w="1266" w:type="dxa"/>
            <w:vAlign w:val="center"/>
          </w:tcPr>
          <w:p w:rsidR="00B55BC3" w:rsidRDefault="00BD09F6">
            <w:pPr>
              <w:jc w:val="left"/>
            </w:pPr>
            <w:r>
              <w:rPr>
                <w:color w:val="000000"/>
                <w:sz w:val="24"/>
              </w:rPr>
              <w:t>过去三个月</w:t>
            </w:r>
          </w:p>
        </w:tc>
        <w:tc>
          <w:tcPr>
            <w:tcW w:w="1267" w:type="dxa"/>
            <w:vAlign w:val="center"/>
          </w:tcPr>
          <w:p w:rsidR="00B55BC3" w:rsidRDefault="00BD09F6">
            <w:pPr>
              <w:jc w:val="center"/>
            </w:pPr>
            <w:r>
              <w:rPr>
                <w:color w:val="000000"/>
                <w:sz w:val="24"/>
              </w:rPr>
              <w:t>1.02%</w:t>
            </w:r>
          </w:p>
        </w:tc>
        <w:tc>
          <w:tcPr>
            <w:tcW w:w="1267" w:type="dxa"/>
            <w:vAlign w:val="center"/>
          </w:tcPr>
          <w:p w:rsidR="00B55BC3" w:rsidRDefault="00BD09F6">
            <w:pPr>
              <w:jc w:val="center"/>
            </w:pPr>
            <w:r>
              <w:rPr>
                <w:color w:val="000000"/>
                <w:sz w:val="24"/>
              </w:rPr>
              <w:t>0.21%</w:t>
            </w:r>
          </w:p>
        </w:tc>
        <w:tc>
          <w:tcPr>
            <w:tcW w:w="1267" w:type="dxa"/>
            <w:vAlign w:val="center"/>
          </w:tcPr>
          <w:p w:rsidR="00B55BC3" w:rsidRDefault="00BD09F6">
            <w:pPr>
              <w:jc w:val="center"/>
            </w:pPr>
            <w:r>
              <w:rPr>
                <w:color w:val="000000"/>
                <w:sz w:val="24"/>
              </w:rPr>
              <w:t>-1.90%</w:t>
            </w:r>
          </w:p>
        </w:tc>
        <w:tc>
          <w:tcPr>
            <w:tcW w:w="1267" w:type="dxa"/>
            <w:vAlign w:val="center"/>
          </w:tcPr>
          <w:p w:rsidR="00B55BC3" w:rsidRDefault="00BD09F6">
            <w:pPr>
              <w:jc w:val="center"/>
            </w:pPr>
            <w:r>
              <w:rPr>
                <w:color w:val="000000"/>
                <w:sz w:val="24"/>
              </w:rPr>
              <w:t>0.17%</w:t>
            </w:r>
          </w:p>
        </w:tc>
        <w:tc>
          <w:tcPr>
            <w:tcW w:w="1267" w:type="dxa"/>
            <w:vAlign w:val="center"/>
          </w:tcPr>
          <w:p w:rsidR="00B55BC3" w:rsidRDefault="00BD09F6">
            <w:pPr>
              <w:jc w:val="center"/>
            </w:pPr>
            <w:r>
              <w:rPr>
                <w:color w:val="000000"/>
                <w:sz w:val="24"/>
              </w:rPr>
              <w:t>2.92%</w:t>
            </w:r>
          </w:p>
        </w:tc>
        <w:tc>
          <w:tcPr>
            <w:tcW w:w="1267" w:type="dxa"/>
            <w:vAlign w:val="center"/>
          </w:tcPr>
          <w:p w:rsidR="00B55BC3" w:rsidRDefault="00BD09F6">
            <w:pPr>
              <w:jc w:val="center"/>
            </w:pPr>
            <w:r>
              <w:rPr>
                <w:color w:val="000000"/>
                <w:sz w:val="24"/>
              </w:rPr>
              <w:t>0.04%</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交银定期支付月月丰债券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55BC3">
        <w:trPr>
          <w:jc w:val="center"/>
        </w:trPr>
        <w:tc>
          <w:tcPr>
            <w:tcW w:w="1266" w:type="dxa"/>
            <w:vAlign w:val="center"/>
          </w:tcPr>
          <w:p w:rsidR="00B55BC3" w:rsidRDefault="00BD09F6">
            <w:pPr>
              <w:jc w:val="left"/>
            </w:pPr>
            <w:r>
              <w:rPr>
                <w:color w:val="000000"/>
                <w:sz w:val="24"/>
              </w:rPr>
              <w:t>过去三个月</w:t>
            </w:r>
          </w:p>
        </w:tc>
        <w:tc>
          <w:tcPr>
            <w:tcW w:w="1267" w:type="dxa"/>
            <w:vAlign w:val="center"/>
          </w:tcPr>
          <w:p w:rsidR="00B55BC3" w:rsidRDefault="00BD09F6">
            <w:pPr>
              <w:jc w:val="center"/>
            </w:pPr>
            <w:r>
              <w:rPr>
                <w:color w:val="000000"/>
                <w:sz w:val="24"/>
              </w:rPr>
              <w:t>0.89%</w:t>
            </w:r>
          </w:p>
        </w:tc>
        <w:tc>
          <w:tcPr>
            <w:tcW w:w="1267" w:type="dxa"/>
            <w:vAlign w:val="center"/>
          </w:tcPr>
          <w:p w:rsidR="00B55BC3" w:rsidRDefault="00BD09F6">
            <w:pPr>
              <w:jc w:val="center"/>
            </w:pPr>
            <w:r>
              <w:rPr>
                <w:color w:val="000000"/>
                <w:sz w:val="24"/>
              </w:rPr>
              <w:t>0.21%</w:t>
            </w:r>
          </w:p>
        </w:tc>
        <w:tc>
          <w:tcPr>
            <w:tcW w:w="1267" w:type="dxa"/>
            <w:vAlign w:val="center"/>
          </w:tcPr>
          <w:p w:rsidR="00B55BC3" w:rsidRDefault="00BD09F6">
            <w:pPr>
              <w:jc w:val="center"/>
            </w:pPr>
            <w:r>
              <w:rPr>
                <w:color w:val="000000"/>
                <w:sz w:val="24"/>
              </w:rPr>
              <w:t>-1.90%</w:t>
            </w:r>
          </w:p>
        </w:tc>
        <w:tc>
          <w:tcPr>
            <w:tcW w:w="1267" w:type="dxa"/>
            <w:vAlign w:val="center"/>
          </w:tcPr>
          <w:p w:rsidR="00B55BC3" w:rsidRDefault="00BD09F6">
            <w:pPr>
              <w:jc w:val="center"/>
            </w:pPr>
            <w:r>
              <w:rPr>
                <w:color w:val="000000"/>
                <w:sz w:val="24"/>
              </w:rPr>
              <w:t>0.17%</w:t>
            </w:r>
          </w:p>
        </w:tc>
        <w:tc>
          <w:tcPr>
            <w:tcW w:w="1267" w:type="dxa"/>
            <w:vAlign w:val="center"/>
          </w:tcPr>
          <w:p w:rsidR="00B55BC3" w:rsidRDefault="00BD09F6">
            <w:pPr>
              <w:jc w:val="center"/>
            </w:pPr>
            <w:r>
              <w:rPr>
                <w:color w:val="000000"/>
                <w:sz w:val="24"/>
              </w:rPr>
              <w:t>2.79%</w:t>
            </w:r>
          </w:p>
        </w:tc>
        <w:tc>
          <w:tcPr>
            <w:tcW w:w="1267" w:type="dxa"/>
            <w:vAlign w:val="center"/>
          </w:tcPr>
          <w:p w:rsidR="00B55BC3" w:rsidRDefault="00BD09F6">
            <w:pPr>
              <w:jc w:val="center"/>
            </w:pPr>
            <w:r>
              <w:rPr>
                <w:color w:val="000000"/>
                <w:sz w:val="24"/>
              </w:rPr>
              <w:t>0.04%</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交银施罗德定期支付月月丰债券型证券投资基金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8</w:t>
      </w:r>
      <w:r w:rsidR="00D04410" w:rsidRPr="007F52FA">
        <w:rPr>
          <w:rFonts w:ascii="Times New Roman" w:hAnsi="Times New Roman"/>
          <w:sz w:val="24"/>
          <w:szCs w:val="24"/>
        </w:rPr>
        <w:t>月</w:t>
      </w:r>
      <w:r w:rsidR="00D04410" w:rsidRPr="007F52FA">
        <w:rPr>
          <w:rFonts w:ascii="Times New Roman" w:hAnsi="Times New Roman"/>
          <w:sz w:val="24"/>
          <w:szCs w:val="24"/>
        </w:rPr>
        <w:t>13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交银定期支付月月丰债券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交银定期支付月月丰债券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D09F6">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B55BC3">
        <w:trPr>
          <w:jc w:val="center"/>
        </w:trPr>
        <w:tc>
          <w:tcPr>
            <w:tcW w:w="946" w:type="dxa"/>
            <w:vAlign w:val="center"/>
          </w:tcPr>
          <w:p w:rsidR="00B55BC3" w:rsidRDefault="00BD09F6">
            <w:pPr>
              <w:jc w:val="center"/>
            </w:pPr>
            <w:r>
              <w:rPr>
                <w:color w:val="000000"/>
                <w:sz w:val="24"/>
              </w:rPr>
              <w:t>孙超</w:t>
            </w:r>
          </w:p>
        </w:tc>
        <w:tc>
          <w:tcPr>
            <w:tcW w:w="924" w:type="dxa"/>
            <w:vAlign w:val="center"/>
          </w:tcPr>
          <w:p w:rsidR="00B55BC3" w:rsidRDefault="00BD09F6">
            <w:pPr>
              <w:jc w:val="center"/>
            </w:pPr>
            <w:r>
              <w:rPr>
                <w:color w:val="000000"/>
                <w:sz w:val="24"/>
              </w:rPr>
              <w:t>交银增利债券、交银纯债债券发起、交银荣祥保本混合、交银定期支付月月丰债券、交银增强收益债券、交银强化回报债券、交银丰润收益债券、交银丰享收益债券、交银丰</w:t>
            </w:r>
            <w:r>
              <w:rPr>
                <w:color w:val="000000"/>
                <w:sz w:val="24"/>
              </w:rPr>
              <w:lastRenderedPageBreak/>
              <w:t>泽收益债券、交银丰硕收益债券、交银荣鑫保本混合的基金经理，公司固定收益部助理总经理</w:t>
            </w:r>
          </w:p>
        </w:tc>
        <w:tc>
          <w:tcPr>
            <w:tcW w:w="1202" w:type="dxa"/>
            <w:vAlign w:val="center"/>
          </w:tcPr>
          <w:p w:rsidR="00B55BC3" w:rsidRDefault="00BD09F6">
            <w:pPr>
              <w:jc w:val="center"/>
            </w:pPr>
            <w:r>
              <w:rPr>
                <w:color w:val="000000"/>
                <w:sz w:val="24"/>
              </w:rPr>
              <w:lastRenderedPageBreak/>
              <w:t>2014-08-26</w:t>
            </w:r>
          </w:p>
        </w:tc>
        <w:tc>
          <w:tcPr>
            <w:tcW w:w="1300" w:type="dxa"/>
            <w:vAlign w:val="center"/>
          </w:tcPr>
          <w:p w:rsidR="00B55BC3" w:rsidRDefault="00BD09F6">
            <w:pPr>
              <w:jc w:val="center"/>
            </w:pPr>
            <w:r>
              <w:rPr>
                <w:color w:val="000000"/>
                <w:sz w:val="24"/>
              </w:rPr>
              <w:t>-</w:t>
            </w:r>
          </w:p>
        </w:tc>
        <w:tc>
          <w:tcPr>
            <w:tcW w:w="1245" w:type="dxa"/>
            <w:vAlign w:val="center"/>
          </w:tcPr>
          <w:p w:rsidR="00B55BC3" w:rsidRDefault="00BD09F6">
            <w:pPr>
              <w:jc w:val="center"/>
            </w:pPr>
            <w:r>
              <w:rPr>
                <w:color w:val="000000"/>
                <w:sz w:val="24"/>
              </w:rPr>
              <w:t>5</w:t>
            </w:r>
            <w:r>
              <w:rPr>
                <w:color w:val="000000"/>
                <w:sz w:val="24"/>
              </w:rPr>
              <w:t>年</w:t>
            </w:r>
          </w:p>
        </w:tc>
        <w:tc>
          <w:tcPr>
            <w:tcW w:w="3251" w:type="dxa"/>
            <w:vAlign w:val="center"/>
          </w:tcPr>
          <w:p w:rsidR="00B55BC3" w:rsidRDefault="00BD09F6">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w:t>
            </w:r>
            <w:r w:rsidR="004E7940">
              <w:rPr>
                <w:rFonts w:ascii="宋体" w:hAnsi="宋体" w:hint="eastAsia"/>
                <w:color w:val="000000"/>
                <w:sz w:val="24"/>
              </w:rPr>
              <w:t>基金经理</w:t>
            </w:r>
            <w:r>
              <w:rPr>
                <w:color w:val="000000"/>
                <w:sz w:val="24"/>
              </w:rPr>
              <w:t>。</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B55BC3" w:rsidRDefault="00BD09F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55BC3" w:rsidRDefault="00BD09F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55BC3" w:rsidRDefault="00BD09F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w:t>
      </w:r>
      <w:r>
        <w:rPr>
          <w:color w:val="000000"/>
          <w:sz w:val="24"/>
        </w:rPr>
        <w:lastRenderedPageBreak/>
        <w:t>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w:t>
      </w:r>
      <w:r w:rsidRPr="007F52FA">
        <w:rPr>
          <w:color w:val="000000"/>
          <w:sz w:val="24"/>
        </w:rPr>
        <w:t>5%</w:t>
      </w:r>
      <w:r w:rsidRPr="007F52FA">
        <w:rPr>
          <w:color w:val="000000"/>
          <w:sz w:val="24"/>
        </w:rPr>
        <w:t>的情况有</w:t>
      </w:r>
      <w:r w:rsidRPr="007F52FA">
        <w:rPr>
          <w:color w:val="000000"/>
          <w:sz w:val="24"/>
        </w:rPr>
        <w:t>1</w:t>
      </w:r>
      <w:r w:rsidRPr="007F52FA">
        <w:rPr>
          <w:color w:val="000000"/>
          <w:sz w:val="24"/>
        </w:rPr>
        <w:t>次，是投资组合因投资策略需要而发生同日反向交易，未发现不公平交易和利益输送的情况。本基金与本公司管理的其他投资组合在不同时间窗下（如日内、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B55BC3" w:rsidRDefault="00BD09F6">
      <w:pPr>
        <w:spacing w:before="29" w:line="288" w:lineRule="auto"/>
        <w:ind w:firstLineChars="200" w:firstLine="480"/>
        <w:rPr>
          <w:color w:val="000000"/>
          <w:sz w:val="24"/>
        </w:rPr>
      </w:pPr>
      <w:r>
        <w:rPr>
          <w:color w:val="000000"/>
          <w:sz w:val="24"/>
        </w:rPr>
        <w:t>本报告期内，尽管</w:t>
      </w:r>
      <w:r>
        <w:rPr>
          <w:color w:val="000000"/>
          <w:sz w:val="24"/>
        </w:rPr>
        <w:t>2016</w:t>
      </w:r>
      <w:r>
        <w:rPr>
          <w:color w:val="000000"/>
          <w:sz w:val="24"/>
        </w:rPr>
        <w:t>年</w:t>
      </w:r>
      <w:r>
        <w:rPr>
          <w:color w:val="000000"/>
          <w:sz w:val="24"/>
        </w:rPr>
        <w:t>10</w:t>
      </w:r>
      <w:r>
        <w:rPr>
          <w:color w:val="000000"/>
          <w:sz w:val="24"/>
        </w:rPr>
        <w:t>月初地产调控升级令使得市场对中期经济基本面偏悲观，但短期经济增长相对平稳，</w:t>
      </w:r>
      <w:r>
        <w:rPr>
          <w:color w:val="000000"/>
          <w:sz w:val="24"/>
        </w:rPr>
        <w:t>CPI</w:t>
      </w:r>
      <w:r>
        <w:rPr>
          <w:color w:val="000000"/>
          <w:sz w:val="24"/>
        </w:rPr>
        <w:t>同比小幅攀升，生产资料涨价延续，</w:t>
      </w:r>
      <w:r>
        <w:rPr>
          <w:color w:val="000000"/>
          <w:sz w:val="24"/>
        </w:rPr>
        <w:t>PPI</w:t>
      </w:r>
      <w:r>
        <w:rPr>
          <w:color w:val="000000"/>
          <w:sz w:val="24"/>
        </w:rPr>
        <w:t>同比快速突破</w:t>
      </w:r>
      <w:r>
        <w:rPr>
          <w:color w:val="000000"/>
          <w:sz w:val="24"/>
        </w:rPr>
        <w:t>3%</w:t>
      </w:r>
      <w:r>
        <w:rPr>
          <w:color w:val="000000"/>
          <w:sz w:val="24"/>
        </w:rPr>
        <w:t>。资金面于</w:t>
      </w:r>
      <w:r>
        <w:rPr>
          <w:color w:val="000000"/>
          <w:sz w:val="24"/>
        </w:rPr>
        <w:t>10</w:t>
      </w:r>
      <w:r>
        <w:rPr>
          <w:color w:val="000000"/>
          <w:sz w:val="24"/>
        </w:rPr>
        <w:t>月中下旬开始紧张，尽管紧张程度在</w:t>
      </w:r>
      <w:r>
        <w:rPr>
          <w:color w:val="000000"/>
          <w:sz w:val="24"/>
        </w:rPr>
        <w:t>11</w:t>
      </w:r>
      <w:r>
        <w:rPr>
          <w:color w:val="000000"/>
          <w:sz w:val="24"/>
        </w:rPr>
        <w:t>月初稍缓，但随着特朗普当选带来美元指数的一路走强，资金面紧张节奏再次超出市场预期。全市场加权资金利率</w:t>
      </w:r>
      <w:r>
        <w:rPr>
          <w:color w:val="000000"/>
          <w:sz w:val="24"/>
        </w:rPr>
        <w:t>R007</w:t>
      </w:r>
      <w:r>
        <w:rPr>
          <w:color w:val="000000"/>
          <w:sz w:val="24"/>
        </w:rPr>
        <w:t>明显上行，并与</w:t>
      </w:r>
      <w:r>
        <w:rPr>
          <w:color w:val="000000"/>
          <w:sz w:val="24"/>
        </w:rPr>
        <w:t>DR007</w:t>
      </w:r>
      <w:r>
        <w:rPr>
          <w:color w:val="000000"/>
          <w:sz w:val="24"/>
        </w:rPr>
        <w:t>脱节。央行在</w:t>
      </w:r>
      <w:r>
        <w:rPr>
          <w:color w:val="000000"/>
          <w:sz w:val="24"/>
        </w:rPr>
        <w:t>11</w:t>
      </w:r>
      <w:r>
        <w:rPr>
          <w:color w:val="000000"/>
          <w:sz w:val="24"/>
        </w:rPr>
        <w:t>月初与中旬加量</w:t>
      </w:r>
      <w:r>
        <w:rPr>
          <w:color w:val="000000"/>
          <w:sz w:val="24"/>
        </w:rPr>
        <w:t>MLF</w:t>
      </w:r>
      <w:r>
        <w:rPr>
          <w:color w:val="000000"/>
          <w:sz w:val="24"/>
        </w:rPr>
        <w:t>投放，并适时进行逆回购放量操作，不过银行对非银层面拆借渠道受阻以及流动性问题令债券价格在</w:t>
      </w:r>
      <w:r>
        <w:rPr>
          <w:color w:val="000000"/>
          <w:sz w:val="24"/>
        </w:rPr>
        <w:t>12</w:t>
      </w:r>
      <w:r>
        <w:rPr>
          <w:color w:val="000000"/>
          <w:sz w:val="24"/>
        </w:rPr>
        <w:t>月经历一轮恐慌式下跌。</w:t>
      </w:r>
      <w:r>
        <w:rPr>
          <w:color w:val="000000"/>
          <w:sz w:val="24"/>
        </w:rPr>
        <w:t>12</w:t>
      </w:r>
      <w:r>
        <w:rPr>
          <w:color w:val="000000"/>
          <w:sz w:val="24"/>
        </w:rPr>
        <w:t>月中旬，央行进一步加量</w:t>
      </w:r>
      <w:r>
        <w:rPr>
          <w:color w:val="000000"/>
          <w:sz w:val="24"/>
        </w:rPr>
        <w:t>MLF</w:t>
      </w:r>
      <w:r>
        <w:rPr>
          <w:color w:val="000000"/>
          <w:sz w:val="24"/>
        </w:rPr>
        <w:t>操作，部分黑天鹅事件也暂告一段落，债市收益率出现阶段性下行，长久期金融债及短久期高等级信用债收益率调整幅度相对明显。权益市场方面，四季度的主线为</w:t>
      </w:r>
      <w:r>
        <w:rPr>
          <w:color w:val="000000"/>
          <w:sz w:val="24"/>
        </w:rPr>
        <w:t>“</w:t>
      </w:r>
      <w:r>
        <w:rPr>
          <w:color w:val="000000"/>
          <w:sz w:val="24"/>
        </w:rPr>
        <w:t>一带一路</w:t>
      </w:r>
      <w:r>
        <w:rPr>
          <w:color w:val="000000"/>
          <w:sz w:val="24"/>
        </w:rPr>
        <w:t>”</w:t>
      </w:r>
      <w:r>
        <w:rPr>
          <w:color w:val="000000"/>
          <w:sz w:val="24"/>
        </w:rPr>
        <w:t>及经济复苏预期下的周期行业轮动。建筑、钢铁、石化板块领涨。</w:t>
      </w:r>
      <w:r>
        <w:rPr>
          <w:color w:val="000000"/>
          <w:sz w:val="24"/>
        </w:rPr>
        <w:t>11</w:t>
      </w:r>
      <w:r>
        <w:rPr>
          <w:color w:val="000000"/>
          <w:sz w:val="24"/>
        </w:rPr>
        <w:t>月下旬，后周期的金融、部分价格阶段底部的消费行业及化工油气产业链、农业供给侧改革主题相对表现较好，后随债市调整，资金面对权益市场的影响逐步显现，市场一度承压。</w:t>
      </w:r>
      <w:r>
        <w:rPr>
          <w:color w:val="000000"/>
          <w:sz w:val="24"/>
        </w:rPr>
        <w:t>12</w:t>
      </w:r>
      <w:r>
        <w:rPr>
          <w:color w:val="000000"/>
          <w:sz w:val="24"/>
        </w:rPr>
        <w:t>月下旬随着债市收益率小幅下行，权益市场阶段回暖，经济工作会议中混改主题存在超额收益。</w:t>
      </w:r>
    </w:p>
    <w:p w:rsidR="00B55BC3" w:rsidRDefault="00BD09F6">
      <w:pPr>
        <w:spacing w:before="29" w:line="288" w:lineRule="auto"/>
        <w:ind w:firstLineChars="200" w:firstLine="480"/>
        <w:rPr>
          <w:color w:val="000000"/>
          <w:sz w:val="24"/>
        </w:rPr>
      </w:pPr>
      <w:r>
        <w:rPr>
          <w:color w:val="000000"/>
          <w:sz w:val="24"/>
        </w:rPr>
        <w:t>我们对经济基本面的看法没有变化，经济中长期存在下行压力，但短期经济受政策调控出现波动，尽管通胀</w:t>
      </w:r>
      <w:r>
        <w:rPr>
          <w:color w:val="000000"/>
          <w:sz w:val="24"/>
        </w:rPr>
        <w:t>2016</w:t>
      </w:r>
      <w:r>
        <w:rPr>
          <w:color w:val="000000"/>
          <w:sz w:val="24"/>
        </w:rPr>
        <w:t>年四季度小幅攀升但对货币政策制约较小，流动性中性基调没有变化，但需谨防监管去金融杠杆举措对短期流动性的波动。尽管我们判断市场短期趋势性机会小于波动性机会，但四季度去杠杆的力度略超我们预期，并带来了债市的大幅调整，为此，我们的应对操作是降低久期，减配信用债，并在</w:t>
      </w:r>
      <w:r>
        <w:rPr>
          <w:color w:val="000000"/>
          <w:sz w:val="24"/>
        </w:rPr>
        <w:t>12</w:t>
      </w:r>
      <w:r>
        <w:rPr>
          <w:color w:val="000000"/>
          <w:sz w:val="24"/>
        </w:rPr>
        <w:t>月下旬择机加配长债赚取波段收益，在</w:t>
      </w:r>
      <w:r>
        <w:rPr>
          <w:color w:val="000000"/>
          <w:sz w:val="24"/>
        </w:rPr>
        <w:t>12</w:t>
      </w:r>
      <w:r>
        <w:rPr>
          <w:color w:val="000000"/>
          <w:sz w:val="24"/>
        </w:rPr>
        <w:t>月的大幅市场波动中调仓尚属及时。在权益配置方面，我们先后配置后周期金融化工行业、消费类行业、个别混改概念标的，并在</w:t>
      </w:r>
      <w:r>
        <w:rPr>
          <w:color w:val="000000"/>
          <w:sz w:val="24"/>
        </w:rPr>
        <w:t>11</w:t>
      </w:r>
      <w:r>
        <w:rPr>
          <w:color w:val="000000"/>
          <w:sz w:val="24"/>
        </w:rPr>
        <w:t>月中旬开始逐步将仓位降低至</w:t>
      </w:r>
      <w:r>
        <w:rPr>
          <w:color w:val="000000"/>
          <w:sz w:val="24"/>
        </w:rPr>
        <w:t>3%</w:t>
      </w:r>
      <w:r>
        <w:rPr>
          <w:color w:val="000000"/>
          <w:sz w:val="24"/>
        </w:rPr>
        <w:t>以内。</w:t>
      </w:r>
    </w:p>
    <w:p w:rsidR="00952A72" w:rsidRPr="007F52FA" w:rsidRDefault="00323F25" w:rsidP="007C14DF">
      <w:pPr>
        <w:spacing w:before="29" w:line="288" w:lineRule="auto"/>
        <w:ind w:firstLineChars="200" w:firstLine="480"/>
        <w:rPr>
          <w:color w:val="000000"/>
          <w:sz w:val="24"/>
        </w:rPr>
      </w:pPr>
      <w:r w:rsidRPr="007F52FA">
        <w:rPr>
          <w:color w:val="000000"/>
          <w:sz w:val="24"/>
        </w:rPr>
        <w:t>展望后市，我们看好中长期债券市场，但是对未来一个季度的债券市场维持谨慎。短期看，基本面下行压力难以被证实，通胀在</w:t>
      </w:r>
      <w:r w:rsidRPr="007F52FA">
        <w:rPr>
          <w:color w:val="000000"/>
          <w:sz w:val="24"/>
        </w:rPr>
        <w:t>2017</w:t>
      </w:r>
      <w:r w:rsidRPr="007F52FA">
        <w:rPr>
          <w:color w:val="000000"/>
          <w:sz w:val="24"/>
        </w:rPr>
        <w:t>年</w:t>
      </w:r>
      <w:r w:rsidRPr="007F52FA">
        <w:rPr>
          <w:color w:val="000000"/>
          <w:sz w:val="24"/>
        </w:rPr>
        <w:t>1</w:t>
      </w:r>
      <w:r w:rsidRPr="007F52FA">
        <w:rPr>
          <w:color w:val="000000"/>
          <w:sz w:val="24"/>
        </w:rPr>
        <w:t>月受春节影响呈错位上行趋势，</w:t>
      </w:r>
      <w:r w:rsidRPr="007F52FA">
        <w:rPr>
          <w:color w:val="000000"/>
          <w:sz w:val="24"/>
        </w:rPr>
        <w:lastRenderedPageBreak/>
        <w:t>同时金融机构负债端降杠杆决定了本轮市场调整的时间可能较长。但是全年来看，</w:t>
      </w:r>
      <w:r w:rsidRPr="007F52FA">
        <w:rPr>
          <w:color w:val="000000"/>
          <w:sz w:val="24"/>
        </w:rPr>
        <w:t>2017</w:t>
      </w:r>
      <w:r w:rsidRPr="007F52FA">
        <w:rPr>
          <w:color w:val="000000"/>
          <w:sz w:val="24"/>
        </w:rPr>
        <w:t>年的债券市场仍然存在投资机会：小的投资机会来源于市场调整之后的超跌反弹，大的投资机会主要看房地产和汇率走势。从品种上来说，我们认为利率债的投资价值会好于信用债：（</w:t>
      </w:r>
      <w:r w:rsidRPr="007F52FA">
        <w:rPr>
          <w:color w:val="000000"/>
          <w:sz w:val="24"/>
        </w:rPr>
        <w:t>1</w:t>
      </w:r>
      <w:r w:rsidRPr="007F52FA">
        <w:rPr>
          <w:color w:val="000000"/>
          <w:sz w:val="24"/>
        </w:rPr>
        <w:t>）信用本轮调整还不充分，</w:t>
      </w:r>
      <w:r w:rsidRPr="007F52FA">
        <w:rPr>
          <w:color w:val="000000"/>
          <w:sz w:val="24"/>
        </w:rPr>
        <w:t>2017</w:t>
      </w:r>
      <w:r w:rsidRPr="007F52FA">
        <w:rPr>
          <w:color w:val="000000"/>
          <w:sz w:val="24"/>
        </w:rPr>
        <w:t>年信用风险事件可能会越来越多；（</w:t>
      </w:r>
      <w:r w:rsidRPr="007F52FA">
        <w:rPr>
          <w:color w:val="000000"/>
          <w:sz w:val="24"/>
        </w:rPr>
        <w:t>2</w:t>
      </w:r>
      <w:r w:rsidRPr="007F52FA">
        <w:rPr>
          <w:color w:val="000000"/>
          <w:sz w:val="24"/>
        </w:rPr>
        <w:t>）市场投资者对地方政府融资平台的定位仍然不够清晰，预期差蕴含的定价差仍是潜在风险点；（</w:t>
      </w:r>
      <w:r w:rsidRPr="007F52FA">
        <w:rPr>
          <w:color w:val="000000"/>
          <w:sz w:val="24"/>
        </w:rPr>
        <w:t>3</w:t>
      </w:r>
      <w:r w:rsidRPr="007F52FA">
        <w:rPr>
          <w:color w:val="000000"/>
          <w:sz w:val="24"/>
        </w:rPr>
        <w:t>）即使央行货币政策边际上宽松，但是资金面预计很难恢复到</w:t>
      </w:r>
      <w:r w:rsidRPr="007F52FA">
        <w:rPr>
          <w:color w:val="000000"/>
          <w:sz w:val="24"/>
        </w:rPr>
        <w:t>2016</w:t>
      </w:r>
      <w:r w:rsidRPr="007F52FA">
        <w:rPr>
          <w:color w:val="000000"/>
          <w:sz w:val="24"/>
        </w:rPr>
        <w:t>年上半年的水平，信用债的杠杆套息价值减弱。就金融机构而言，如何顺应大方向、确保自身资产负债安全稳定的同时，抓住市场情绪波动的投资机会，在波动中更好地改善资产负债结构，也将是</w:t>
      </w:r>
      <w:r w:rsidRPr="007F52FA">
        <w:rPr>
          <w:color w:val="000000"/>
          <w:sz w:val="24"/>
        </w:rPr>
        <w:t>2017</w:t>
      </w:r>
      <w:r w:rsidRPr="007F52FA">
        <w:rPr>
          <w:color w:val="000000"/>
          <w:sz w:val="24"/>
        </w:rPr>
        <w:t>年投资中最值得关注的事情。权益方面，</w:t>
      </w:r>
      <w:r w:rsidRPr="007F52FA">
        <w:rPr>
          <w:color w:val="000000"/>
          <w:sz w:val="24"/>
        </w:rPr>
        <w:t>2017</w:t>
      </w:r>
      <w:r w:rsidRPr="007F52FA">
        <w:rPr>
          <w:color w:val="000000"/>
          <w:sz w:val="24"/>
        </w:rPr>
        <w:t>年一季度我们将主要关注通胀相关板块及混改主题，并逐步布局风险收益比较好的成长股。</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日，交银定期支付月月丰债券</w:t>
      </w:r>
      <w:r w:rsidRPr="007F52FA">
        <w:rPr>
          <w:color w:val="000000"/>
          <w:sz w:val="24"/>
        </w:rPr>
        <w:t>A</w:t>
      </w:r>
      <w:r w:rsidRPr="007F52FA">
        <w:rPr>
          <w:color w:val="000000"/>
          <w:sz w:val="24"/>
        </w:rPr>
        <w:t>类份额净值为</w:t>
      </w:r>
      <w:r w:rsidRPr="007F52FA">
        <w:rPr>
          <w:color w:val="000000"/>
          <w:sz w:val="24"/>
        </w:rPr>
        <w:t>1.382</w:t>
      </w:r>
      <w:r w:rsidRPr="007F52FA">
        <w:rPr>
          <w:color w:val="000000"/>
          <w:sz w:val="24"/>
        </w:rPr>
        <w:t>元，本报告期份额净值增长率为</w:t>
      </w:r>
      <w:r w:rsidRPr="007F52FA">
        <w:rPr>
          <w:color w:val="000000"/>
          <w:sz w:val="24"/>
        </w:rPr>
        <w:t>1.02%</w:t>
      </w:r>
      <w:r w:rsidRPr="007F52FA">
        <w:rPr>
          <w:color w:val="000000"/>
          <w:sz w:val="24"/>
        </w:rPr>
        <w:t>，同期业绩比较基准增长率为</w:t>
      </w:r>
      <w:r w:rsidRPr="007F52FA">
        <w:rPr>
          <w:color w:val="000000"/>
          <w:sz w:val="24"/>
        </w:rPr>
        <w:t>-1.90%</w:t>
      </w:r>
      <w:r w:rsidRPr="007F52FA">
        <w:rPr>
          <w:color w:val="000000"/>
          <w:sz w:val="24"/>
        </w:rPr>
        <w:t>；交银定期支付月月丰债券</w:t>
      </w:r>
      <w:r w:rsidRPr="007F52FA">
        <w:rPr>
          <w:color w:val="000000"/>
          <w:sz w:val="24"/>
        </w:rPr>
        <w:t>C</w:t>
      </w:r>
      <w:r w:rsidRPr="007F52FA">
        <w:rPr>
          <w:color w:val="000000"/>
          <w:sz w:val="24"/>
        </w:rPr>
        <w:t>类份额净值为</w:t>
      </w:r>
      <w:r w:rsidRPr="007F52FA">
        <w:rPr>
          <w:color w:val="000000"/>
          <w:sz w:val="24"/>
        </w:rPr>
        <w:t>1.362</w:t>
      </w:r>
      <w:r w:rsidRPr="007F52FA">
        <w:rPr>
          <w:color w:val="000000"/>
          <w:sz w:val="24"/>
        </w:rPr>
        <w:t>元，本报告期份额净值增长率为</w:t>
      </w:r>
      <w:r w:rsidRPr="007F52FA">
        <w:rPr>
          <w:color w:val="000000"/>
          <w:sz w:val="24"/>
        </w:rPr>
        <w:t>0.89%</w:t>
      </w:r>
      <w:r w:rsidRPr="007F52FA">
        <w:rPr>
          <w:color w:val="000000"/>
          <w:sz w:val="24"/>
        </w:rPr>
        <w:t>，同期业绩比较基准增长率为</w:t>
      </w:r>
      <w:r w:rsidRPr="007F52FA">
        <w:rPr>
          <w:color w:val="000000"/>
          <w:sz w:val="24"/>
        </w:rPr>
        <w:t>-1.90%</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D09F6">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7,372,200.00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4.76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7,372,200.00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4.76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124,806,933.44</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80.56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124,806,933.44</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80.56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9,980,134.97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6.44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lastRenderedPageBreak/>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11,540,708.88</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7.45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1,221,233.74</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0.79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154,921,211.03</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767,000.00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1,839,900.00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1.24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3,092,800.00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2.08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1,048,500.00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0.71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624,000.00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7,372,200.00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4.97</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lastRenderedPageBreak/>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B55BC3">
        <w:trPr>
          <w:jc w:val="center"/>
        </w:trPr>
        <w:tc>
          <w:tcPr>
            <w:tcW w:w="850" w:type="dxa"/>
            <w:vAlign w:val="center"/>
          </w:tcPr>
          <w:p w:rsidR="00B55BC3" w:rsidRDefault="00BD09F6">
            <w:pPr>
              <w:jc w:val="center"/>
            </w:pPr>
            <w:r>
              <w:rPr>
                <w:color w:val="000000"/>
                <w:sz w:val="24"/>
              </w:rPr>
              <w:t>1</w:t>
            </w:r>
          </w:p>
        </w:tc>
        <w:tc>
          <w:tcPr>
            <w:tcW w:w="1327" w:type="dxa"/>
            <w:vAlign w:val="center"/>
          </w:tcPr>
          <w:p w:rsidR="00B55BC3" w:rsidRDefault="00BD09F6">
            <w:pPr>
              <w:jc w:val="center"/>
            </w:pPr>
            <w:r>
              <w:rPr>
                <w:color w:val="000000"/>
                <w:sz w:val="24"/>
              </w:rPr>
              <w:t>002142</w:t>
            </w:r>
          </w:p>
        </w:tc>
        <w:tc>
          <w:tcPr>
            <w:tcW w:w="1769" w:type="dxa"/>
            <w:vAlign w:val="center"/>
          </w:tcPr>
          <w:p w:rsidR="00B55BC3" w:rsidRDefault="00BD09F6">
            <w:pPr>
              <w:jc w:val="center"/>
            </w:pPr>
            <w:r>
              <w:rPr>
                <w:color w:val="000000"/>
                <w:sz w:val="24"/>
              </w:rPr>
              <w:t>宁波银行</w:t>
            </w:r>
          </w:p>
        </w:tc>
        <w:tc>
          <w:tcPr>
            <w:tcW w:w="1327" w:type="dxa"/>
            <w:vAlign w:val="center"/>
          </w:tcPr>
          <w:p w:rsidR="00B55BC3" w:rsidRDefault="00BD09F6">
            <w:pPr>
              <w:jc w:val="right"/>
            </w:pPr>
            <w:r>
              <w:rPr>
                <w:color w:val="000000"/>
                <w:sz w:val="24"/>
              </w:rPr>
              <w:t>100,000</w:t>
            </w:r>
          </w:p>
        </w:tc>
        <w:tc>
          <w:tcPr>
            <w:tcW w:w="1915" w:type="dxa"/>
            <w:vAlign w:val="center"/>
          </w:tcPr>
          <w:p w:rsidR="00B55BC3" w:rsidRDefault="00BD09F6">
            <w:pPr>
              <w:jc w:val="right"/>
            </w:pPr>
            <w:r>
              <w:rPr>
                <w:color w:val="000000"/>
                <w:sz w:val="24"/>
              </w:rPr>
              <w:t>1,664,000.00</w:t>
            </w:r>
          </w:p>
        </w:tc>
        <w:tc>
          <w:tcPr>
            <w:tcW w:w="1680" w:type="dxa"/>
            <w:vAlign w:val="center"/>
          </w:tcPr>
          <w:p w:rsidR="00B55BC3" w:rsidRDefault="00BD09F6">
            <w:pPr>
              <w:jc w:val="right"/>
            </w:pPr>
            <w:r>
              <w:rPr>
                <w:color w:val="000000"/>
                <w:sz w:val="24"/>
              </w:rPr>
              <w:t>1.12</w:t>
            </w:r>
          </w:p>
        </w:tc>
      </w:tr>
      <w:tr w:rsidR="00B55BC3">
        <w:trPr>
          <w:jc w:val="center"/>
        </w:trPr>
        <w:tc>
          <w:tcPr>
            <w:tcW w:w="850" w:type="dxa"/>
            <w:vAlign w:val="center"/>
          </w:tcPr>
          <w:p w:rsidR="00B55BC3" w:rsidRDefault="00BD09F6">
            <w:pPr>
              <w:jc w:val="center"/>
            </w:pPr>
            <w:r>
              <w:rPr>
                <w:color w:val="000000"/>
                <w:sz w:val="24"/>
              </w:rPr>
              <w:t>2</w:t>
            </w:r>
          </w:p>
        </w:tc>
        <w:tc>
          <w:tcPr>
            <w:tcW w:w="1327" w:type="dxa"/>
            <w:vAlign w:val="center"/>
          </w:tcPr>
          <w:p w:rsidR="00B55BC3" w:rsidRDefault="00BD09F6">
            <w:pPr>
              <w:jc w:val="center"/>
            </w:pPr>
            <w:r>
              <w:rPr>
                <w:color w:val="000000"/>
                <w:sz w:val="24"/>
              </w:rPr>
              <w:t>601688</w:t>
            </w:r>
          </w:p>
        </w:tc>
        <w:tc>
          <w:tcPr>
            <w:tcW w:w="1769" w:type="dxa"/>
            <w:vAlign w:val="center"/>
          </w:tcPr>
          <w:p w:rsidR="00B55BC3" w:rsidRDefault="00BD09F6">
            <w:pPr>
              <w:jc w:val="center"/>
            </w:pPr>
            <w:r>
              <w:rPr>
                <w:color w:val="000000"/>
                <w:sz w:val="24"/>
              </w:rPr>
              <w:t>华泰证券</w:t>
            </w:r>
          </w:p>
        </w:tc>
        <w:tc>
          <w:tcPr>
            <w:tcW w:w="1327" w:type="dxa"/>
            <w:vAlign w:val="center"/>
          </w:tcPr>
          <w:p w:rsidR="00B55BC3" w:rsidRDefault="00BD09F6">
            <w:pPr>
              <w:jc w:val="right"/>
            </w:pPr>
            <w:r>
              <w:rPr>
                <w:color w:val="000000"/>
                <w:sz w:val="24"/>
              </w:rPr>
              <w:t>80,000</w:t>
            </w:r>
          </w:p>
        </w:tc>
        <w:tc>
          <w:tcPr>
            <w:tcW w:w="1915" w:type="dxa"/>
            <w:vAlign w:val="center"/>
          </w:tcPr>
          <w:p w:rsidR="00B55BC3" w:rsidRDefault="00BD09F6">
            <w:pPr>
              <w:jc w:val="right"/>
            </w:pPr>
            <w:r>
              <w:rPr>
                <w:color w:val="000000"/>
                <w:sz w:val="24"/>
              </w:rPr>
              <w:t>1,428,800.00</w:t>
            </w:r>
          </w:p>
        </w:tc>
        <w:tc>
          <w:tcPr>
            <w:tcW w:w="1680" w:type="dxa"/>
            <w:vAlign w:val="center"/>
          </w:tcPr>
          <w:p w:rsidR="00B55BC3" w:rsidRDefault="00BD09F6">
            <w:pPr>
              <w:jc w:val="right"/>
            </w:pPr>
            <w:r>
              <w:rPr>
                <w:color w:val="000000"/>
                <w:sz w:val="24"/>
              </w:rPr>
              <w:t>0.96</w:t>
            </w:r>
          </w:p>
        </w:tc>
      </w:tr>
      <w:tr w:rsidR="00B55BC3">
        <w:trPr>
          <w:jc w:val="center"/>
        </w:trPr>
        <w:tc>
          <w:tcPr>
            <w:tcW w:w="850" w:type="dxa"/>
            <w:vAlign w:val="center"/>
          </w:tcPr>
          <w:p w:rsidR="00B55BC3" w:rsidRDefault="00BD09F6">
            <w:pPr>
              <w:jc w:val="center"/>
            </w:pPr>
            <w:r>
              <w:rPr>
                <w:color w:val="000000"/>
                <w:sz w:val="24"/>
              </w:rPr>
              <w:t>3</w:t>
            </w:r>
          </w:p>
        </w:tc>
        <w:tc>
          <w:tcPr>
            <w:tcW w:w="1327" w:type="dxa"/>
            <w:vAlign w:val="center"/>
          </w:tcPr>
          <w:p w:rsidR="00B55BC3" w:rsidRDefault="00BD09F6">
            <w:pPr>
              <w:jc w:val="center"/>
            </w:pPr>
            <w:r>
              <w:rPr>
                <w:color w:val="000000"/>
                <w:sz w:val="24"/>
              </w:rPr>
              <w:t>600068</w:t>
            </w:r>
          </w:p>
        </w:tc>
        <w:tc>
          <w:tcPr>
            <w:tcW w:w="1769" w:type="dxa"/>
            <w:vAlign w:val="center"/>
          </w:tcPr>
          <w:p w:rsidR="00B55BC3" w:rsidRDefault="00BD09F6">
            <w:pPr>
              <w:jc w:val="center"/>
            </w:pPr>
            <w:r>
              <w:rPr>
                <w:color w:val="000000"/>
                <w:sz w:val="24"/>
              </w:rPr>
              <w:t>葛洲坝</w:t>
            </w:r>
          </w:p>
        </w:tc>
        <w:tc>
          <w:tcPr>
            <w:tcW w:w="1327" w:type="dxa"/>
            <w:vAlign w:val="center"/>
          </w:tcPr>
          <w:p w:rsidR="00B55BC3" w:rsidRDefault="00BD09F6">
            <w:pPr>
              <w:jc w:val="right"/>
            </w:pPr>
            <w:r>
              <w:rPr>
                <w:color w:val="000000"/>
                <w:sz w:val="24"/>
              </w:rPr>
              <w:t>150,000</w:t>
            </w:r>
          </w:p>
        </w:tc>
        <w:tc>
          <w:tcPr>
            <w:tcW w:w="1915" w:type="dxa"/>
            <w:vAlign w:val="center"/>
          </w:tcPr>
          <w:p w:rsidR="00B55BC3" w:rsidRDefault="00BD09F6">
            <w:pPr>
              <w:jc w:val="right"/>
            </w:pPr>
            <w:r>
              <w:rPr>
                <w:color w:val="000000"/>
                <w:sz w:val="24"/>
              </w:rPr>
              <w:t>1,378,500.00</w:t>
            </w:r>
          </w:p>
        </w:tc>
        <w:tc>
          <w:tcPr>
            <w:tcW w:w="1680" w:type="dxa"/>
            <w:vAlign w:val="center"/>
          </w:tcPr>
          <w:p w:rsidR="00B55BC3" w:rsidRDefault="00BD09F6">
            <w:pPr>
              <w:jc w:val="right"/>
            </w:pPr>
            <w:r>
              <w:rPr>
                <w:color w:val="000000"/>
                <w:sz w:val="24"/>
              </w:rPr>
              <w:t>0.93</w:t>
            </w:r>
          </w:p>
        </w:tc>
      </w:tr>
      <w:tr w:rsidR="00B55BC3">
        <w:trPr>
          <w:jc w:val="center"/>
        </w:trPr>
        <w:tc>
          <w:tcPr>
            <w:tcW w:w="850" w:type="dxa"/>
            <w:vAlign w:val="center"/>
          </w:tcPr>
          <w:p w:rsidR="00B55BC3" w:rsidRDefault="00BD09F6">
            <w:pPr>
              <w:jc w:val="center"/>
            </w:pPr>
            <w:r>
              <w:rPr>
                <w:color w:val="000000"/>
                <w:sz w:val="24"/>
              </w:rPr>
              <w:t>4</w:t>
            </w:r>
          </w:p>
        </w:tc>
        <w:tc>
          <w:tcPr>
            <w:tcW w:w="1327" w:type="dxa"/>
            <w:vAlign w:val="center"/>
          </w:tcPr>
          <w:p w:rsidR="00B55BC3" w:rsidRDefault="00BD09F6">
            <w:pPr>
              <w:jc w:val="center"/>
            </w:pPr>
            <w:r>
              <w:rPr>
                <w:color w:val="000000"/>
                <w:sz w:val="24"/>
              </w:rPr>
              <w:t>600138</w:t>
            </w:r>
          </w:p>
        </w:tc>
        <w:tc>
          <w:tcPr>
            <w:tcW w:w="1769" w:type="dxa"/>
            <w:vAlign w:val="center"/>
          </w:tcPr>
          <w:p w:rsidR="00B55BC3" w:rsidRDefault="00BD09F6">
            <w:pPr>
              <w:jc w:val="center"/>
            </w:pPr>
            <w:r>
              <w:rPr>
                <w:color w:val="000000"/>
                <w:sz w:val="24"/>
              </w:rPr>
              <w:t>中青旅</w:t>
            </w:r>
          </w:p>
        </w:tc>
        <w:tc>
          <w:tcPr>
            <w:tcW w:w="1327" w:type="dxa"/>
            <w:vAlign w:val="center"/>
          </w:tcPr>
          <w:p w:rsidR="00B55BC3" w:rsidRDefault="00BD09F6">
            <w:pPr>
              <w:jc w:val="right"/>
            </w:pPr>
            <w:r>
              <w:rPr>
                <w:color w:val="000000"/>
                <w:sz w:val="24"/>
              </w:rPr>
              <w:t>50,000</w:t>
            </w:r>
          </w:p>
        </w:tc>
        <w:tc>
          <w:tcPr>
            <w:tcW w:w="1915" w:type="dxa"/>
            <w:vAlign w:val="center"/>
          </w:tcPr>
          <w:p w:rsidR="00B55BC3" w:rsidRDefault="00BD09F6">
            <w:pPr>
              <w:jc w:val="right"/>
            </w:pPr>
            <w:r>
              <w:rPr>
                <w:color w:val="000000"/>
                <w:sz w:val="24"/>
              </w:rPr>
              <w:t>1,048,500.00</w:t>
            </w:r>
          </w:p>
        </w:tc>
        <w:tc>
          <w:tcPr>
            <w:tcW w:w="1680" w:type="dxa"/>
            <w:vAlign w:val="center"/>
          </w:tcPr>
          <w:p w:rsidR="00B55BC3" w:rsidRDefault="00BD09F6">
            <w:pPr>
              <w:jc w:val="right"/>
            </w:pPr>
            <w:r>
              <w:rPr>
                <w:color w:val="000000"/>
                <w:sz w:val="24"/>
              </w:rPr>
              <w:t>0.71</w:t>
            </w:r>
          </w:p>
        </w:tc>
      </w:tr>
      <w:tr w:rsidR="00B55BC3">
        <w:trPr>
          <w:jc w:val="center"/>
        </w:trPr>
        <w:tc>
          <w:tcPr>
            <w:tcW w:w="850" w:type="dxa"/>
            <w:vAlign w:val="center"/>
          </w:tcPr>
          <w:p w:rsidR="00B55BC3" w:rsidRDefault="00BD09F6">
            <w:pPr>
              <w:jc w:val="center"/>
            </w:pPr>
            <w:r>
              <w:rPr>
                <w:color w:val="000000"/>
                <w:sz w:val="24"/>
              </w:rPr>
              <w:t>5</w:t>
            </w:r>
          </w:p>
        </w:tc>
        <w:tc>
          <w:tcPr>
            <w:tcW w:w="1327" w:type="dxa"/>
            <w:vAlign w:val="center"/>
          </w:tcPr>
          <w:p w:rsidR="00B55BC3" w:rsidRDefault="00BD09F6">
            <w:pPr>
              <w:jc w:val="center"/>
            </w:pPr>
            <w:r>
              <w:rPr>
                <w:color w:val="000000"/>
                <w:sz w:val="24"/>
              </w:rPr>
              <w:t>000821</w:t>
            </w:r>
          </w:p>
        </w:tc>
        <w:tc>
          <w:tcPr>
            <w:tcW w:w="1769" w:type="dxa"/>
            <w:vAlign w:val="center"/>
          </w:tcPr>
          <w:p w:rsidR="00B55BC3" w:rsidRDefault="00BD09F6">
            <w:pPr>
              <w:jc w:val="center"/>
            </w:pPr>
            <w:r>
              <w:rPr>
                <w:color w:val="000000"/>
                <w:sz w:val="24"/>
              </w:rPr>
              <w:t>京山轻机</w:t>
            </w:r>
          </w:p>
        </w:tc>
        <w:tc>
          <w:tcPr>
            <w:tcW w:w="1327" w:type="dxa"/>
            <w:vAlign w:val="center"/>
          </w:tcPr>
          <w:p w:rsidR="00B55BC3" w:rsidRDefault="00BD09F6">
            <w:pPr>
              <w:jc w:val="right"/>
            </w:pPr>
            <w:r>
              <w:rPr>
                <w:color w:val="000000"/>
                <w:sz w:val="24"/>
              </w:rPr>
              <w:t>50,000</w:t>
            </w:r>
          </w:p>
        </w:tc>
        <w:tc>
          <w:tcPr>
            <w:tcW w:w="1915" w:type="dxa"/>
            <w:vAlign w:val="center"/>
          </w:tcPr>
          <w:p w:rsidR="00B55BC3" w:rsidRDefault="00BD09F6">
            <w:pPr>
              <w:jc w:val="right"/>
            </w:pPr>
            <w:r>
              <w:rPr>
                <w:color w:val="000000"/>
                <w:sz w:val="24"/>
              </w:rPr>
              <w:t>767,000.00</w:t>
            </w:r>
          </w:p>
        </w:tc>
        <w:tc>
          <w:tcPr>
            <w:tcW w:w="1680" w:type="dxa"/>
            <w:vAlign w:val="center"/>
          </w:tcPr>
          <w:p w:rsidR="00B55BC3" w:rsidRDefault="00BD09F6">
            <w:pPr>
              <w:jc w:val="right"/>
            </w:pPr>
            <w:r>
              <w:rPr>
                <w:color w:val="000000"/>
                <w:sz w:val="24"/>
              </w:rPr>
              <w:t>0.52</w:t>
            </w:r>
          </w:p>
        </w:tc>
      </w:tr>
      <w:tr w:rsidR="00B55BC3">
        <w:trPr>
          <w:jc w:val="center"/>
        </w:trPr>
        <w:tc>
          <w:tcPr>
            <w:tcW w:w="850" w:type="dxa"/>
            <w:vAlign w:val="center"/>
          </w:tcPr>
          <w:p w:rsidR="00B55BC3" w:rsidRDefault="00BD09F6">
            <w:pPr>
              <w:jc w:val="center"/>
            </w:pPr>
            <w:r>
              <w:rPr>
                <w:color w:val="000000"/>
                <w:sz w:val="24"/>
              </w:rPr>
              <w:t>6</w:t>
            </w:r>
          </w:p>
        </w:tc>
        <w:tc>
          <w:tcPr>
            <w:tcW w:w="1327" w:type="dxa"/>
            <w:vAlign w:val="center"/>
          </w:tcPr>
          <w:p w:rsidR="00B55BC3" w:rsidRDefault="00BD09F6">
            <w:pPr>
              <w:jc w:val="center"/>
            </w:pPr>
            <w:r>
              <w:rPr>
                <w:color w:val="000000"/>
                <w:sz w:val="24"/>
              </w:rPr>
              <w:t>300284</w:t>
            </w:r>
          </w:p>
        </w:tc>
        <w:tc>
          <w:tcPr>
            <w:tcW w:w="1769" w:type="dxa"/>
            <w:vAlign w:val="center"/>
          </w:tcPr>
          <w:p w:rsidR="00B55BC3" w:rsidRDefault="00BD09F6">
            <w:pPr>
              <w:jc w:val="center"/>
            </w:pPr>
            <w:r>
              <w:rPr>
                <w:color w:val="000000"/>
                <w:sz w:val="24"/>
              </w:rPr>
              <w:t>苏交科</w:t>
            </w:r>
          </w:p>
        </w:tc>
        <w:tc>
          <w:tcPr>
            <w:tcW w:w="1327" w:type="dxa"/>
            <w:vAlign w:val="center"/>
          </w:tcPr>
          <w:p w:rsidR="00B55BC3" w:rsidRDefault="00BD09F6">
            <w:pPr>
              <w:jc w:val="right"/>
            </w:pPr>
            <w:r>
              <w:rPr>
                <w:color w:val="000000"/>
                <w:sz w:val="24"/>
              </w:rPr>
              <w:t>30,000</w:t>
            </w:r>
          </w:p>
        </w:tc>
        <w:tc>
          <w:tcPr>
            <w:tcW w:w="1915" w:type="dxa"/>
            <w:vAlign w:val="center"/>
          </w:tcPr>
          <w:p w:rsidR="00B55BC3" w:rsidRDefault="00BD09F6">
            <w:pPr>
              <w:jc w:val="right"/>
            </w:pPr>
            <w:r>
              <w:rPr>
                <w:color w:val="000000"/>
                <w:sz w:val="24"/>
              </w:rPr>
              <w:t>624,000.00</w:t>
            </w:r>
          </w:p>
        </w:tc>
        <w:tc>
          <w:tcPr>
            <w:tcW w:w="1680" w:type="dxa"/>
            <w:vAlign w:val="center"/>
          </w:tcPr>
          <w:p w:rsidR="00B55BC3" w:rsidRDefault="00BD09F6">
            <w:pPr>
              <w:jc w:val="right"/>
            </w:pPr>
            <w:r>
              <w:rPr>
                <w:color w:val="000000"/>
                <w:sz w:val="24"/>
              </w:rPr>
              <w:t>0.42</w:t>
            </w:r>
          </w:p>
        </w:tc>
      </w:tr>
      <w:tr w:rsidR="00B55BC3">
        <w:trPr>
          <w:jc w:val="center"/>
        </w:trPr>
        <w:tc>
          <w:tcPr>
            <w:tcW w:w="850" w:type="dxa"/>
            <w:vAlign w:val="center"/>
          </w:tcPr>
          <w:p w:rsidR="00B55BC3" w:rsidRDefault="00BD09F6">
            <w:pPr>
              <w:jc w:val="center"/>
            </w:pPr>
            <w:r>
              <w:rPr>
                <w:color w:val="000000"/>
                <w:sz w:val="24"/>
              </w:rPr>
              <w:t>7</w:t>
            </w:r>
          </w:p>
        </w:tc>
        <w:tc>
          <w:tcPr>
            <w:tcW w:w="1327" w:type="dxa"/>
            <w:vAlign w:val="center"/>
          </w:tcPr>
          <w:p w:rsidR="00B55BC3" w:rsidRDefault="00BD09F6">
            <w:pPr>
              <w:jc w:val="center"/>
            </w:pPr>
            <w:r>
              <w:rPr>
                <w:color w:val="000000"/>
                <w:sz w:val="24"/>
              </w:rPr>
              <w:t>002659</w:t>
            </w:r>
          </w:p>
        </w:tc>
        <w:tc>
          <w:tcPr>
            <w:tcW w:w="1769" w:type="dxa"/>
            <w:vAlign w:val="center"/>
          </w:tcPr>
          <w:p w:rsidR="00B55BC3" w:rsidRDefault="00BD09F6">
            <w:pPr>
              <w:jc w:val="center"/>
            </w:pPr>
            <w:r>
              <w:rPr>
                <w:color w:val="000000"/>
                <w:sz w:val="24"/>
              </w:rPr>
              <w:t>中泰桥梁</w:t>
            </w:r>
          </w:p>
        </w:tc>
        <w:tc>
          <w:tcPr>
            <w:tcW w:w="1327" w:type="dxa"/>
            <w:vAlign w:val="center"/>
          </w:tcPr>
          <w:p w:rsidR="00B55BC3" w:rsidRDefault="00BD09F6">
            <w:pPr>
              <w:jc w:val="right"/>
            </w:pPr>
            <w:r>
              <w:rPr>
                <w:color w:val="000000"/>
                <w:sz w:val="24"/>
              </w:rPr>
              <w:t>20,000</w:t>
            </w:r>
          </w:p>
        </w:tc>
        <w:tc>
          <w:tcPr>
            <w:tcW w:w="1915" w:type="dxa"/>
            <w:vAlign w:val="center"/>
          </w:tcPr>
          <w:p w:rsidR="00B55BC3" w:rsidRDefault="00BD09F6">
            <w:pPr>
              <w:jc w:val="right"/>
            </w:pPr>
            <w:r>
              <w:rPr>
                <w:color w:val="000000"/>
                <w:sz w:val="24"/>
              </w:rPr>
              <w:t>461,400.00</w:t>
            </w:r>
          </w:p>
        </w:tc>
        <w:tc>
          <w:tcPr>
            <w:tcW w:w="1680" w:type="dxa"/>
            <w:vAlign w:val="center"/>
          </w:tcPr>
          <w:p w:rsidR="00B55BC3" w:rsidRDefault="00BD09F6">
            <w:pPr>
              <w:jc w:val="right"/>
            </w:pPr>
            <w:r>
              <w:rPr>
                <w:color w:val="000000"/>
                <w:sz w:val="24"/>
              </w:rPr>
              <w:t>0.31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1,997,400.00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89,967,000.00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60.59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89,967,000.00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60.59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6,346,400.00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4.27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5,027,500.00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3.39</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7,552,633.44</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5.09</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13,916,000.00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9.37</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124,806,933.44</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84.06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B55BC3">
        <w:trPr>
          <w:jc w:val="center"/>
        </w:trPr>
        <w:tc>
          <w:tcPr>
            <w:tcW w:w="1075" w:type="dxa"/>
            <w:vAlign w:val="center"/>
          </w:tcPr>
          <w:p w:rsidR="00B55BC3" w:rsidRDefault="00BD09F6">
            <w:pPr>
              <w:jc w:val="center"/>
            </w:pPr>
            <w:r>
              <w:rPr>
                <w:color w:val="000000"/>
                <w:sz w:val="24"/>
              </w:rPr>
              <w:t>1</w:t>
            </w:r>
          </w:p>
        </w:tc>
        <w:tc>
          <w:tcPr>
            <w:tcW w:w="1533" w:type="dxa"/>
            <w:vAlign w:val="center"/>
          </w:tcPr>
          <w:p w:rsidR="00B55BC3" w:rsidRDefault="00BD09F6">
            <w:pPr>
              <w:jc w:val="center"/>
            </w:pPr>
            <w:r>
              <w:rPr>
                <w:color w:val="000000"/>
                <w:sz w:val="24"/>
              </w:rPr>
              <w:t>160201</w:t>
            </w:r>
          </w:p>
        </w:tc>
        <w:tc>
          <w:tcPr>
            <w:tcW w:w="1533" w:type="dxa"/>
            <w:vAlign w:val="center"/>
          </w:tcPr>
          <w:p w:rsidR="00B55BC3" w:rsidRDefault="00BD09F6">
            <w:pPr>
              <w:jc w:val="center"/>
            </w:pPr>
            <w:r>
              <w:rPr>
                <w:color w:val="000000"/>
                <w:sz w:val="24"/>
              </w:rPr>
              <w:t>16</w:t>
            </w:r>
            <w:r>
              <w:rPr>
                <w:color w:val="000000"/>
                <w:sz w:val="24"/>
              </w:rPr>
              <w:t>国开</w:t>
            </w:r>
            <w:r>
              <w:rPr>
                <w:color w:val="000000"/>
                <w:sz w:val="24"/>
              </w:rPr>
              <w:t>01</w:t>
            </w:r>
          </w:p>
        </w:tc>
        <w:tc>
          <w:tcPr>
            <w:tcW w:w="1394" w:type="dxa"/>
            <w:vAlign w:val="center"/>
          </w:tcPr>
          <w:p w:rsidR="00B55BC3" w:rsidRDefault="00BD09F6">
            <w:pPr>
              <w:jc w:val="right"/>
            </w:pPr>
            <w:r>
              <w:rPr>
                <w:color w:val="000000"/>
                <w:sz w:val="24"/>
              </w:rPr>
              <w:t>800,000</w:t>
            </w:r>
          </w:p>
        </w:tc>
        <w:tc>
          <w:tcPr>
            <w:tcW w:w="1944" w:type="dxa"/>
            <w:vAlign w:val="center"/>
          </w:tcPr>
          <w:p w:rsidR="00B55BC3" w:rsidRDefault="00BD09F6">
            <w:pPr>
              <w:jc w:val="right"/>
            </w:pPr>
            <w:r>
              <w:rPr>
                <w:color w:val="000000"/>
                <w:sz w:val="24"/>
              </w:rPr>
              <w:t>79,984,000.00</w:t>
            </w:r>
          </w:p>
        </w:tc>
        <w:tc>
          <w:tcPr>
            <w:tcW w:w="1389" w:type="dxa"/>
            <w:vAlign w:val="center"/>
          </w:tcPr>
          <w:p w:rsidR="00B55BC3" w:rsidRDefault="00BD09F6">
            <w:pPr>
              <w:jc w:val="right"/>
            </w:pPr>
            <w:r>
              <w:rPr>
                <w:color w:val="000000"/>
                <w:sz w:val="24"/>
              </w:rPr>
              <w:t>53.87</w:t>
            </w:r>
          </w:p>
        </w:tc>
      </w:tr>
      <w:tr w:rsidR="00B55BC3">
        <w:trPr>
          <w:jc w:val="center"/>
        </w:trPr>
        <w:tc>
          <w:tcPr>
            <w:tcW w:w="1075" w:type="dxa"/>
            <w:vAlign w:val="center"/>
          </w:tcPr>
          <w:p w:rsidR="00B55BC3" w:rsidRDefault="00BD09F6">
            <w:pPr>
              <w:jc w:val="center"/>
            </w:pPr>
            <w:r>
              <w:rPr>
                <w:color w:val="000000"/>
                <w:sz w:val="24"/>
              </w:rPr>
              <w:t>2</w:t>
            </w:r>
          </w:p>
        </w:tc>
        <w:tc>
          <w:tcPr>
            <w:tcW w:w="1533" w:type="dxa"/>
            <w:vAlign w:val="center"/>
          </w:tcPr>
          <w:p w:rsidR="00B55BC3" w:rsidRDefault="00BD09F6">
            <w:pPr>
              <w:jc w:val="center"/>
            </w:pPr>
            <w:r>
              <w:rPr>
                <w:color w:val="000000"/>
                <w:sz w:val="24"/>
              </w:rPr>
              <w:t>1605242</w:t>
            </w:r>
          </w:p>
        </w:tc>
        <w:tc>
          <w:tcPr>
            <w:tcW w:w="1533" w:type="dxa"/>
            <w:vAlign w:val="center"/>
          </w:tcPr>
          <w:p w:rsidR="00B55BC3" w:rsidRDefault="00BD09F6">
            <w:pPr>
              <w:jc w:val="center"/>
            </w:pPr>
            <w:r>
              <w:rPr>
                <w:color w:val="000000"/>
                <w:sz w:val="24"/>
              </w:rPr>
              <w:t>16</w:t>
            </w:r>
            <w:r>
              <w:rPr>
                <w:color w:val="000000"/>
                <w:sz w:val="24"/>
              </w:rPr>
              <w:t>河南债</w:t>
            </w:r>
            <w:r>
              <w:rPr>
                <w:color w:val="000000"/>
                <w:sz w:val="24"/>
              </w:rPr>
              <w:t>10</w:t>
            </w:r>
          </w:p>
        </w:tc>
        <w:tc>
          <w:tcPr>
            <w:tcW w:w="1394" w:type="dxa"/>
            <w:vAlign w:val="center"/>
          </w:tcPr>
          <w:p w:rsidR="00B55BC3" w:rsidRDefault="00BD09F6">
            <w:pPr>
              <w:jc w:val="right"/>
            </w:pPr>
            <w:r>
              <w:rPr>
                <w:color w:val="000000"/>
                <w:sz w:val="24"/>
              </w:rPr>
              <w:t>140,000</w:t>
            </w:r>
          </w:p>
        </w:tc>
        <w:tc>
          <w:tcPr>
            <w:tcW w:w="1944" w:type="dxa"/>
            <w:vAlign w:val="center"/>
          </w:tcPr>
          <w:p w:rsidR="00B55BC3" w:rsidRDefault="00BD09F6">
            <w:pPr>
              <w:jc w:val="right"/>
            </w:pPr>
            <w:r>
              <w:rPr>
                <w:color w:val="000000"/>
                <w:sz w:val="24"/>
              </w:rPr>
              <w:t>13,916,000.00</w:t>
            </w:r>
          </w:p>
        </w:tc>
        <w:tc>
          <w:tcPr>
            <w:tcW w:w="1389" w:type="dxa"/>
            <w:vAlign w:val="center"/>
          </w:tcPr>
          <w:p w:rsidR="00B55BC3" w:rsidRDefault="00BD09F6">
            <w:pPr>
              <w:jc w:val="right"/>
            </w:pPr>
            <w:r>
              <w:rPr>
                <w:color w:val="000000"/>
                <w:sz w:val="24"/>
              </w:rPr>
              <w:t>9.37</w:t>
            </w:r>
          </w:p>
        </w:tc>
      </w:tr>
      <w:tr w:rsidR="00B55BC3">
        <w:trPr>
          <w:jc w:val="center"/>
        </w:trPr>
        <w:tc>
          <w:tcPr>
            <w:tcW w:w="1075" w:type="dxa"/>
            <w:vAlign w:val="center"/>
          </w:tcPr>
          <w:p w:rsidR="00B55BC3" w:rsidRDefault="00BD09F6">
            <w:pPr>
              <w:jc w:val="center"/>
            </w:pPr>
            <w:r>
              <w:rPr>
                <w:color w:val="000000"/>
                <w:sz w:val="24"/>
              </w:rPr>
              <w:t>3</w:t>
            </w:r>
          </w:p>
        </w:tc>
        <w:tc>
          <w:tcPr>
            <w:tcW w:w="1533" w:type="dxa"/>
            <w:vAlign w:val="center"/>
          </w:tcPr>
          <w:p w:rsidR="00B55BC3" w:rsidRDefault="00BD09F6">
            <w:pPr>
              <w:jc w:val="center"/>
            </w:pPr>
            <w:r>
              <w:rPr>
                <w:color w:val="000000"/>
                <w:sz w:val="24"/>
              </w:rPr>
              <w:t>160211</w:t>
            </w:r>
          </w:p>
        </w:tc>
        <w:tc>
          <w:tcPr>
            <w:tcW w:w="1533" w:type="dxa"/>
            <w:vAlign w:val="center"/>
          </w:tcPr>
          <w:p w:rsidR="00B55BC3" w:rsidRDefault="00BD09F6">
            <w:pPr>
              <w:jc w:val="center"/>
            </w:pPr>
            <w:r>
              <w:rPr>
                <w:color w:val="000000"/>
                <w:sz w:val="24"/>
              </w:rPr>
              <w:t>16</w:t>
            </w:r>
            <w:r>
              <w:rPr>
                <w:color w:val="000000"/>
                <w:sz w:val="24"/>
              </w:rPr>
              <w:t>国开</w:t>
            </w:r>
            <w:r>
              <w:rPr>
                <w:color w:val="000000"/>
                <w:sz w:val="24"/>
              </w:rPr>
              <w:t>11</w:t>
            </w:r>
          </w:p>
        </w:tc>
        <w:tc>
          <w:tcPr>
            <w:tcW w:w="1394" w:type="dxa"/>
            <w:vAlign w:val="center"/>
          </w:tcPr>
          <w:p w:rsidR="00B55BC3" w:rsidRDefault="00BD09F6">
            <w:pPr>
              <w:jc w:val="right"/>
            </w:pPr>
            <w:r>
              <w:rPr>
                <w:color w:val="000000"/>
                <w:sz w:val="24"/>
              </w:rPr>
              <w:t>100,000</w:t>
            </w:r>
          </w:p>
        </w:tc>
        <w:tc>
          <w:tcPr>
            <w:tcW w:w="1944" w:type="dxa"/>
            <w:vAlign w:val="center"/>
          </w:tcPr>
          <w:p w:rsidR="00B55BC3" w:rsidRDefault="00BD09F6">
            <w:pPr>
              <w:jc w:val="right"/>
            </w:pPr>
            <w:r>
              <w:rPr>
                <w:color w:val="000000"/>
                <w:sz w:val="24"/>
              </w:rPr>
              <w:t>9,983,000.00</w:t>
            </w:r>
          </w:p>
        </w:tc>
        <w:tc>
          <w:tcPr>
            <w:tcW w:w="1389" w:type="dxa"/>
            <w:vAlign w:val="center"/>
          </w:tcPr>
          <w:p w:rsidR="00B55BC3" w:rsidRDefault="00BD09F6">
            <w:pPr>
              <w:jc w:val="right"/>
            </w:pPr>
            <w:r>
              <w:rPr>
                <w:color w:val="000000"/>
                <w:sz w:val="24"/>
              </w:rPr>
              <w:t>6.72</w:t>
            </w:r>
          </w:p>
        </w:tc>
      </w:tr>
      <w:tr w:rsidR="00B55BC3">
        <w:trPr>
          <w:jc w:val="center"/>
        </w:trPr>
        <w:tc>
          <w:tcPr>
            <w:tcW w:w="1075" w:type="dxa"/>
            <w:vAlign w:val="center"/>
          </w:tcPr>
          <w:p w:rsidR="00B55BC3" w:rsidRDefault="00BD09F6">
            <w:pPr>
              <w:jc w:val="center"/>
            </w:pPr>
            <w:r>
              <w:rPr>
                <w:color w:val="000000"/>
                <w:sz w:val="24"/>
              </w:rPr>
              <w:lastRenderedPageBreak/>
              <w:t>4</w:t>
            </w:r>
          </w:p>
        </w:tc>
        <w:tc>
          <w:tcPr>
            <w:tcW w:w="1533" w:type="dxa"/>
            <w:vAlign w:val="center"/>
          </w:tcPr>
          <w:p w:rsidR="00B55BC3" w:rsidRDefault="00BD09F6">
            <w:pPr>
              <w:jc w:val="center"/>
            </w:pPr>
            <w:r>
              <w:rPr>
                <w:color w:val="000000"/>
                <w:sz w:val="24"/>
              </w:rPr>
              <w:t>101556052</w:t>
            </w:r>
          </w:p>
        </w:tc>
        <w:tc>
          <w:tcPr>
            <w:tcW w:w="1533" w:type="dxa"/>
            <w:vAlign w:val="center"/>
          </w:tcPr>
          <w:p w:rsidR="00B55BC3" w:rsidRDefault="00BD09F6">
            <w:pPr>
              <w:jc w:val="center"/>
            </w:pPr>
            <w:r>
              <w:rPr>
                <w:color w:val="000000"/>
                <w:sz w:val="24"/>
              </w:rPr>
              <w:t>15</w:t>
            </w:r>
            <w:r>
              <w:rPr>
                <w:color w:val="000000"/>
                <w:sz w:val="24"/>
              </w:rPr>
              <w:t>甘公投</w:t>
            </w:r>
            <w:r>
              <w:rPr>
                <w:color w:val="000000"/>
                <w:sz w:val="24"/>
              </w:rPr>
              <w:t>MTN002</w:t>
            </w:r>
          </w:p>
        </w:tc>
        <w:tc>
          <w:tcPr>
            <w:tcW w:w="1394" w:type="dxa"/>
            <w:vAlign w:val="center"/>
          </w:tcPr>
          <w:p w:rsidR="00B55BC3" w:rsidRDefault="00BD09F6">
            <w:pPr>
              <w:jc w:val="right"/>
            </w:pPr>
            <w:r>
              <w:rPr>
                <w:color w:val="000000"/>
                <w:sz w:val="24"/>
              </w:rPr>
              <w:t>50,000</w:t>
            </w:r>
          </w:p>
        </w:tc>
        <w:tc>
          <w:tcPr>
            <w:tcW w:w="1944" w:type="dxa"/>
            <w:vAlign w:val="center"/>
          </w:tcPr>
          <w:p w:rsidR="00B55BC3" w:rsidRDefault="00BD09F6">
            <w:pPr>
              <w:jc w:val="right"/>
            </w:pPr>
            <w:r>
              <w:rPr>
                <w:color w:val="000000"/>
                <w:sz w:val="24"/>
              </w:rPr>
              <w:t>5,027,500.00</w:t>
            </w:r>
          </w:p>
        </w:tc>
        <w:tc>
          <w:tcPr>
            <w:tcW w:w="1389" w:type="dxa"/>
            <w:vAlign w:val="center"/>
          </w:tcPr>
          <w:p w:rsidR="00B55BC3" w:rsidRDefault="00BD09F6">
            <w:pPr>
              <w:jc w:val="right"/>
            </w:pPr>
            <w:r>
              <w:rPr>
                <w:color w:val="000000"/>
                <w:sz w:val="24"/>
              </w:rPr>
              <w:t>3.39</w:t>
            </w:r>
          </w:p>
        </w:tc>
      </w:tr>
      <w:tr w:rsidR="00B55BC3">
        <w:trPr>
          <w:jc w:val="center"/>
        </w:trPr>
        <w:tc>
          <w:tcPr>
            <w:tcW w:w="1075" w:type="dxa"/>
            <w:vAlign w:val="center"/>
          </w:tcPr>
          <w:p w:rsidR="00B55BC3" w:rsidRDefault="00BD09F6">
            <w:pPr>
              <w:jc w:val="center"/>
            </w:pPr>
            <w:r>
              <w:rPr>
                <w:color w:val="000000"/>
                <w:sz w:val="24"/>
              </w:rPr>
              <w:t>5</w:t>
            </w:r>
          </w:p>
        </w:tc>
        <w:tc>
          <w:tcPr>
            <w:tcW w:w="1533" w:type="dxa"/>
            <w:vAlign w:val="center"/>
          </w:tcPr>
          <w:p w:rsidR="00B55BC3" w:rsidRDefault="00BD09F6">
            <w:pPr>
              <w:jc w:val="center"/>
            </w:pPr>
            <w:r>
              <w:rPr>
                <w:color w:val="000000"/>
                <w:sz w:val="24"/>
              </w:rPr>
              <w:t>113008</w:t>
            </w:r>
          </w:p>
        </w:tc>
        <w:tc>
          <w:tcPr>
            <w:tcW w:w="1533" w:type="dxa"/>
            <w:vAlign w:val="center"/>
          </w:tcPr>
          <w:p w:rsidR="00B55BC3" w:rsidRDefault="00BD09F6">
            <w:pPr>
              <w:jc w:val="center"/>
            </w:pPr>
            <w:r>
              <w:rPr>
                <w:color w:val="000000"/>
                <w:sz w:val="24"/>
              </w:rPr>
              <w:t>电气转债</w:t>
            </w:r>
          </w:p>
        </w:tc>
        <w:tc>
          <w:tcPr>
            <w:tcW w:w="1394" w:type="dxa"/>
            <w:vAlign w:val="center"/>
          </w:tcPr>
          <w:p w:rsidR="00B55BC3" w:rsidRDefault="00BD09F6">
            <w:pPr>
              <w:jc w:val="right"/>
            </w:pPr>
            <w:r>
              <w:rPr>
                <w:color w:val="000000"/>
                <w:sz w:val="24"/>
              </w:rPr>
              <w:t>40,000</w:t>
            </w:r>
          </w:p>
        </w:tc>
        <w:tc>
          <w:tcPr>
            <w:tcW w:w="1944" w:type="dxa"/>
            <w:vAlign w:val="center"/>
          </w:tcPr>
          <w:p w:rsidR="00B55BC3" w:rsidRDefault="00BD09F6">
            <w:pPr>
              <w:jc w:val="right"/>
            </w:pPr>
            <w:r>
              <w:rPr>
                <w:color w:val="000000"/>
                <w:sz w:val="24"/>
              </w:rPr>
              <w:t>4,577,200.00</w:t>
            </w:r>
          </w:p>
        </w:tc>
        <w:tc>
          <w:tcPr>
            <w:tcW w:w="1389" w:type="dxa"/>
            <w:vAlign w:val="center"/>
          </w:tcPr>
          <w:p w:rsidR="00B55BC3" w:rsidRDefault="00BD09F6">
            <w:pPr>
              <w:jc w:val="right"/>
            </w:pPr>
            <w:r>
              <w:rPr>
                <w:color w:val="000000"/>
                <w:sz w:val="24"/>
              </w:rPr>
              <w:t>3.08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44,689.62</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1,142,027.62</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34,516.50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1,221,233.74</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B55BC3">
        <w:trPr>
          <w:jc w:val="center"/>
        </w:trPr>
        <w:tc>
          <w:tcPr>
            <w:tcW w:w="0" w:type="auto"/>
            <w:vAlign w:val="center"/>
          </w:tcPr>
          <w:p w:rsidR="00B55BC3" w:rsidRDefault="00BD09F6">
            <w:pPr>
              <w:jc w:val="center"/>
            </w:pPr>
            <w:r>
              <w:rPr>
                <w:rFonts w:eastAsiaTheme="minorEastAsia"/>
                <w:color w:val="000000"/>
                <w:sz w:val="24"/>
              </w:rPr>
              <w:t>1</w:t>
            </w:r>
          </w:p>
        </w:tc>
        <w:tc>
          <w:tcPr>
            <w:tcW w:w="0" w:type="auto"/>
            <w:vAlign w:val="center"/>
          </w:tcPr>
          <w:p w:rsidR="00B55BC3" w:rsidRDefault="00BD09F6">
            <w:pPr>
              <w:jc w:val="center"/>
            </w:pPr>
            <w:r>
              <w:rPr>
                <w:rFonts w:eastAsiaTheme="minorEastAsia"/>
                <w:color w:val="000000"/>
                <w:sz w:val="24"/>
              </w:rPr>
              <w:t>113008</w:t>
            </w:r>
          </w:p>
        </w:tc>
        <w:tc>
          <w:tcPr>
            <w:tcW w:w="0" w:type="auto"/>
            <w:vAlign w:val="center"/>
          </w:tcPr>
          <w:p w:rsidR="00B55BC3" w:rsidRDefault="00BD09F6">
            <w:pPr>
              <w:jc w:val="center"/>
            </w:pPr>
            <w:r>
              <w:rPr>
                <w:rFonts w:eastAsiaTheme="minorEastAsia"/>
                <w:color w:val="000000"/>
                <w:sz w:val="24"/>
              </w:rPr>
              <w:t>电气转债</w:t>
            </w:r>
          </w:p>
        </w:tc>
        <w:tc>
          <w:tcPr>
            <w:tcW w:w="0" w:type="auto"/>
            <w:vAlign w:val="center"/>
          </w:tcPr>
          <w:p w:rsidR="00B55BC3" w:rsidRDefault="00BD09F6">
            <w:pPr>
              <w:jc w:val="right"/>
            </w:pPr>
            <w:r>
              <w:rPr>
                <w:rFonts w:eastAsiaTheme="minorEastAsia"/>
                <w:color w:val="000000"/>
                <w:sz w:val="24"/>
              </w:rPr>
              <w:t>4,577,200.00</w:t>
            </w:r>
          </w:p>
        </w:tc>
        <w:tc>
          <w:tcPr>
            <w:tcW w:w="0" w:type="auto"/>
            <w:vAlign w:val="center"/>
          </w:tcPr>
          <w:p w:rsidR="00B55BC3" w:rsidRDefault="00BD09F6">
            <w:pPr>
              <w:jc w:val="right"/>
            </w:pPr>
            <w:r>
              <w:rPr>
                <w:rFonts w:eastAsiaTheme="minorEastAsia"/>
                <w:color w:val="000000"/>
                <w:sz w:val="24"/>
              </w:rPr>
              <w:t>3.08</w:t>
            </w:r>
          </w:p>
        </w:tc>
      </w:tr>
      <w:tr w:rsidR="00B55BC3">
        <w:trPr>
          <w:jc w:val="center"/>
        </w:trPr>
        <w:tc>
          <w:tcPr>
            <w:tcW w:w="0" w:type="auto"/>
            <w:vAlign w:val="center"/>
          </w:tcPr>
          <w:p w:rsidR="00B55BC3" w:rsidRDefault="00BD09F6">
            <w:pPr>
              <w:jc w:val="center"/>
            </w:pPr>
            <w:r>
              <w:rPr>
                <w:rFonts w:eastAsiaTheme="minorEastAsia"/>
                <w:color w:val="000000"/>
                <w:sz w:val="24"/>
              </w:rPr>
              <w:t>2</w:t>
            </w:r>
          </w:p>
        </w:tc>
        <w:tc>
          <w:tcPr>
            <w:tcW w:w="0" w:type="auto"/>
            <w:vAlign w:val="center"/>
          </w:tcPr>
          <w:p w:rsidR="00B55BC3" w:rsidRDefault="00BD09F6">
            <w:pPr>
              <w:jc w:val="center"/>
            </w:pPr>
            <w:r>
              <w:rPr>
                <w:rFonts w:eastAsiaTheme="minorEastAsia"/>
                <w:color w:val="000000"/>
                <w:sz w:val="24"/>
              </w:rPr>
              <w:t>123001</w:t>
            </w:r>
          </w:p>
        </w:tc>
        <w:tc>
          <w:tcPr>
            <w:tcW w:w="0" w:type="auto"/>
            <w:vAlign w:val="center"/>
          </w:tcPr>
          <w:p w:rsidR="00B55BC3" w:rsidRDefault="00BD09F6">
            <w:pPr>
              <w:jc w:val="center"/>
            </w:pPr>
            <w:r>
              <w:rPr>
                <w:rFonts w:eastAsiaTheme="minorEastAsia"/>
                <w:color w:val="000000"/>
                <w:sz w:val="24"/>
              </w:rPr>
              <w:t>蓝标转债</w:t>
            </w:r>
          </w:p>
        </w:tc>
        <w:tc>
          <w:tcPr>
            <w:tcW w:w="0" w:type="auto"/>
            <w:vAlign w:val="center"/>
          </w:tcPr>
          <w:p w:rsidR="00B55BC3" w:rsidRDefault="00BD09F6">
            <w:pPr>
              <w:jc w:val="right"/>
            </w:pPr>
            <w:r>
              <w:rPr>
                <w:rFonts w:eastAsiaTheme="minorEastAsia"/>
                <w:color w:val="000000"/>
                <w:sz w:val="24"/>
              </w:rPr>
              <w:t>543,550.00</w:t>
            </w:r>
          </w:p>
        </w:tc>
        <w:tc>
          <w:tcPr>
            <w:tcW w:w="0" w:type="auto"/>
            <w:vAlign w:val="center"/>
          </w:tcPr>
          <w:p w:rsidR="00B55BC3" w:rsidRDefault="00BD09F6">
            <w:pPr>
              <w:jc w:val="right"/>
            </w:pPr>
            <w:r>
              <w:rPr>
                <w:rFonts w:eastAsiaTheme="minorEastAsia"/>
                <w:color w:val="000000"/>
                <w:sz w:val="24"/>
              </w:rPr>
              <w:t>0.37</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tbl>
      <w:tblPr>
        <w:tblStyle w:val="a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D5CD0" w:rsidRPr="007F52FA" w:rsidTr="00837861">
        <w:trPr>
          <w:jc w:val="center"/>
        </w:trPr>
        <w:tc>
          <w:tcPr>
            <w:tcW w:w="1083"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02"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01"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0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00FA00C3" w:rsidRPr="007F52FA">
              <w:rPr>
                <w:color w:val="000000"/>
                <w:kern w:val="0"/>
                <w:sz w:val="24"/>
              </w:rPr>
              <w:t>(</w:t>
            </w:r>
            <w:r w:rsidRPr="007F52FA">
              <w:rPr>
                <w:rFonts w:eastAsiaTheme="minorEastAsia"/>
                <w:color w:val="000000"/>
                <w:sz w:val="24"/>
              </w:rPr>
              <w:t>元</w:t>
            </w:r>
            <w:r w:rsidR="00FA00C3" w:rsidRPr="007F52FA">
              <w:rPr>
                <w:color w:val="000000"/>
                <w:kern w:val="0"/>
                <w:sz w:val="24"/>
              </w:rPr>
              <w:t>)</w:t>
            </w:r>
          </w:p>
        </w:tc>
        <w:tc>
          <w:tcPr>
            <w:tcW w:w="165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664462" w:rsidRPr="007F52FA">
              <w:rPr>
                <w:color w:val="000000"/>
                <w:kern w:val="0"/>
                <w:sz w:val="24"/>
              </w:rPr>
              <w:t>（</w:t>
            </w:r>
            <w:r w:rsidR="00863A9A" w:rsidRPr="007F52FA">
              <w:rPr>
                <w:color w:val="000000"/>
                <w:kern w:val="0"/>
                <w:sz w:val="24"/>
              </w:rPr>
              <w:t>％</w:t>
            </w:r>
            <w:r w:rsidR="00664462" w:rsidRPr="007F52FA">
              <w:rPr>
                <w:color w:val="000000"/>
                <w:kern w:val="0"/>
                <w:sz w:val="24"/>
              </w:rPr>
              <w:t>）</w:t>
            </w:r>
          </w:p>
        </w:tc>
        <w:tc>
          <w:tcPr>
            <w:tcW w:w="136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B55BC3">
        <w:trPr>
          <w:jc w:val="center"/>
        </w:trPr>
        <w:tc>
          <w:tcPr>
            <w:tcW w:w="1129" w:type="dxa"/>
            <w:vAlign w:val="center"/>
          </w:tcPr>
          <w:p w:rsidR="00B55BC3" w:rsidRDefault="00BD09F6">
            <w:pPr>
              <w:jc w:val="center"/>
            </w:pPr>
            <w:r>
              <w:rPr>
                <w:rFonts w:eastAsiaTheme="minorEastAsia"/>
                <w:color w:val="000000"/>
                <w:sz w:val="24"/>
              </w:rPr>
              <w:t>1</w:t>
            </w:r>
          </w:p>
        </w:tc>
        <w:tc>
          <w:tcPr>
            <w:tcW w:w="1356" w:type="dxa"/>
            <w:vAlign w:val="center"/>
          </w:tcPr>
          <w:p w:rsidR="00B55BC3" w:rsidRDefault="00BD09F6">
            <w:pPr>
              <w:jc w:val="center"/>
            </w:pPr>
            <w:r>
              <w:rPr>
                <w:rFonts w:eastAsiaTheme="minorEastAsia"/>
                <w:color w:val="000000"/>
                <w:sz w:val="24"/>
              </w:rPr>
              <w:t>000821</w:t>
            </w:r>
          </w:p>
        </w:tc>
        <w:tc>
          <w:tcPr>
            <w:tcW w:w="1355" w:type="dxa"/>
            <w:vAlign w:val="center"/>
          </w:tcPr>
          <w:p w:rsidR="00B55BC3" w:rsidRDefault="00BD09F6">
            <w:pPr>
              <w:jc w:val="center"/>
            </w:pPr>
            <w:r>
              <w:rPr>
                <w:rFonts w:eastAsiaTheme="minorEastAsia"/>
                <w:color w:val="000000"/>
                <w:sz w:val="24"/>
              </w:rPr>
              <w:t>京山轻机</w:t>
            </w:r>
          </w:p>
        </w:tc>
        <w:tc>
          <w:tcPr>
            <w:tcW w:w="1880" w:type="dxa"/>
            <w:vAlign w:val="center"/>
          </w:tcPr>
          <w:p w:rsidR="00B55BC3" w:rsidRDefault="00BD09F6">
            <w:pPr>
              <w:jc w:val="right"/>
            </w:pPr>
            <w:r>
              <w:rPr>
                <w:rFonts w:eastAsiaTheme="minorEastAsia"/>
                <w:color w:val="000000"/>
                <w:sz w:val="24"/>
              </w:rPr>
              <w:t>767,000.00</w:t>
            </w:r>
          </w:p>
        </w:tc>
        <w:tc>
          <w:tcPr>
            <w:tcW w:w="1724" w:type="dxa"/>
            <w:vAlign w:val="center"/>
          </w:tcPr>
          <w:p w:rsidR="00B55BC3" w:rsidRDefault="00BD09F6">
            <w:pPr>
              <w:jc w:val="right"/>
            </w:pPr>
            <w:r>
              <w:rPr>
                <w:rFonts w:eastAsiaTheme="minorEastAsia"/>
                <w:color w:val="000000"/>
                <w:sz w:val="24"/>
              </w:rPr>
              <w:t>0.52</w:t>
            </w:r>
          </w:p>
        </w:tc>
        <w:tc>
          <w:tcPr>
            <w:tcW w:w="1424" w:type="dxa"/>
            <w:vAlign w:val="center"/>
          </w:tcPr>
          <w:p w:rsidR="00B55BC3" w:rsidRDefault="00BD09F6">
            <w:pPr>
              <w:jc w:val="right"/>
            </w:pPr>
            <w:r>
              <w:rPr>
                <w:rFonts w:eastAsiaTheme="minorEastAsia"/>
                <w:color w:val="000000"/>
                <w:sz w:val="24"/>
              </w:rPr>
              <w:t>重大事项</w:t>
            </w:r>
          </w:p>
        </w:tc>
      </w:tr>
      <w:tr w:rsidR="00B55BC3">
        <w:trPr>
          <w:jc w:val="center"/>
        </w:trPr>
        <w:tc>
          <w:tcPr>
            <w:tcW w:w="1129" w:type="dxa"/>
            <w:vAlign w:val="center"/>
          </w:tcPr>
          <w:p w:rsidR="00B55BC3" w:rsidRDefault="00BD09F6">
            <w:pPr>
              <w:jc w:val="center"/>
            </w:pPr>
            <w:r>
              <w:rPr>
                <w:rFonts w:eastAsiaTheme="minorEastAsia"/>
                <w:color w:val="000000"/>
                <w:sz w:val="24"/>
              </w:rPr>
              <w:t>2</w:t>
            </w:r>
          </w:p>
        </w:tc>
        <w:tc>
          <w:tcPr>
            <w:tcW w:w="1356" w:type="dxa"/>
            <w:vAlign w:val="center"/>
          </w:tcPr>
          <w:p w:rsidR="00B55BC3" w:rsidRDefault="00BD09F6">
            <w:pPr>
              <w:jc w:val="center"/>
            </w:pPr>
            <w:r>
              <w:rPr>
                <w:rFonts w:eastAsiaTheme="minorEastAsia"/>
                <w:color w:val="000000"/>
                <w:sz w:val="24"/>
              </w:rPr>
              <w:t>002659</w:t>
            </w:r>
          </w:p>
        </w:tc>
        <w:tc>
          <w:tcPr>
            <w:tcW w:w="1355" w:type="dxa"/>
            <w:vAlign w:val="center"/>
          </w:tcPr>
          <w:p w:rsidR="00B55BC3" w:rsidRDefault="00BD09F6">
            <w:pPr>
              <w:jc w:val="center"/>
            </w:pPr>
            <w:r>
              <w:rPr>
                <w:rFonts w:eastAsiaTheme="minorEastAsia"/>
                <w:color w:val="000000"/>
                <w:sz w:val="24"/>
              </w:rPr>
              <w:t>中泰桥梁</w:t>
            </w:r>
          </w:p>
        </w:tc>
        <w:tc>
          <w:tcPr>
            <w:tcW w:w="1880" w:type="dxa"/>
            <w:vAlign w:val="center"/>
          </w:tcPr>
          <w:p w:rsidR="00B55BC3" w:rsidRDefault="00BD09F6">
            <w:pPr>
              <w:jc w:val="right"/>
            </w:pPr>
            <w:r>
              <w:rPr>
                <w:rFonts w:eastAsiaTheme="minorEastAsia"/>
                <w:color w:val="000000"/>
                <w:sz w:val="24"/>
              </w:rPr>
              <w:t>461,400.00</w:t>
            </w:r>
          </w:p>
        </w:tc>
        <w:tc>
          <w:tcPr>
            <w:tcW w:w="1724" w:type="dxa"/>
            <w:vAlign w:val="center"/>
          </w:tcPr>
          <w:p w:rsidR="00B55BC3" w:rsidRDefault="00BD09F6">
            <w:pPr>
              <w:jc w:val="right"/>
            </w:pPr>
            <w:r>
              <w:rPr>
                <w:rFonts w:eastAsiaTheme="minorEastAsia"/>
                <w:color w:val="000000"/>
                <w:sz w:val="24"/>
              </w:rPr>
              <w:t>0.31</w:t>
            </w:r>
          </w:p>
        </w:tc>
        <w:tc>
          <w:tcPr>
            <w:tcW w:w="1424" w:type="dxa"/>
            <w:vAlign w:val="center"/>
          </w:tcPr>
          <w:p w:rsidR="00B55BC3" w:rsidRDefault="00BD09F6">
            <w:pPr>
              <w:jc w:val="right"/>
            </w:pPr>
            <w:r>
              <w:rPr>
                <w:rFonts w:eastAsiaTheme="minorEastAsia"/>
                <w:color w:val="000000"/>
                <w:sz w:val="24"/>
              </w:rPr>
              <w:t>重大事项</w:t>
            </w:r>
          </w:p>
        </w:tc>
      </w:tr>
    </w:tbl>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D09F6">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交银定期支付月月丰债券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交银定期支付月月丰债券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71,842,888.63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8,099,688.32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52,377,826.99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8,542,079.65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24,697,430.10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8,598,365.28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99,523,285.52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8,043,402.69</w:t>
            </w:r>
          </w:p>
        </w:tc>
      </w:tr>
    </w:tbl>
    <w:p w:rsidR="00B55BC3" w:rsidRDefault="00BD09F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D09F6">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AE55CC" w:rsidRPr="00AE55CC" w:rsidRDefault="00AE55CC" w:rsidP="00AE55CC">
      <w:pPr>
        <w:autoSpaceDE w:val="0"/>
        <w:autoSpaceDN w:val="0"/>
        <w:adjustRightInd w:val="0"/>
        <w:spacing w:before="29" w:line="360" w:lineRule="auto"/>
        <w:ind w:left="15"/>
        <w:jc w:val="right"/>
        <w:rPr>
          <w:color w:val="000000"/>
          <w:kern w:val="0"/>
          <w:sz w:val="24"/>
        </w:rPr>
      </w:pPr>
      <w:r w:rsidRPr="00AE55CC">
        <w:rPr>
          <w:color w:val="000000"/>
          <w:kern w:val="0"/>
          <w:sz w:val="24"/>
        </w:rPr>
        <w:t>单位：份</w:t>
      </w:r>
    </w:p>
    <w:tbl>
      <w:tblPr>
        <w:tblW w:w="8998" w:type="dxa"/>
        <w:tblInd w:w="108" w:type="dxa"/>
        <w:tblLayout w:type="fixed"/>
        <w:tblLook w:val="0000" w:firstRow="0" w:lastRow="0" w:firstColumn="0" w:lastColumn="0" w:noHBand="0" w:noVBand="0"/>
      </w:tblPr>
      <w:tblGrid>
        <w:gridCol w:w="3204"/>
        <w:gridCol w:w="2897"/>
        <w:gridCol w:w="2897"/>
      </w:tblGrid>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center"/>
              <w:rPr>
                <w:color w:val="000000"/>
                <w:kern w:val="0"/>
                <w:sz w:val="24"/>
              </w:rPr>
            </w:pPr>
            <w:r w:rsidRPr="00AE55CC">
              <w:rPr>
                <w:color w:val="000000"/>
                <w:kern w:val="0"/>
                <w:sz w:val="24"/>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交银定期支付月月丰债券</w:t>
            </w:r>
            <w:r w:rsidRPr="00AE55CC">
              <w:rPr>
                <w:sz w:val="24"/>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交银定期支付月月丰债券</w:t>
            </w:r>
            <w:r w:rsidRPr="00AE55CC">
              <w:rPr>
                <w:sz w:val="24"/>
              </w:rPr>
              <w:t>C</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pStyle w:val="ac"/>
              <w:adjustRightInd w:val="0"/>
              <w:snapToGrid w:val="0"/>
              <w:spacing w:line="360" w:lineRule="exact"/>
              <w:rPr>
                <w:color w:val="000000"/>
                <w:szCs w:val="24"/>
              </w:rPr>
            </w:pPr>
            <w:r w:rsidRPr="00AE55CC">
              <w:rPr>
                <w:color w:val="000000"/>
                <w:szCs w:val="24"/>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18,879,335.76</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买入</w:t>
            </w:r>
            <w:r w:rsidRPr="00AE55CC">
              <w:rPr>
                <w:color w:val="000000"/>
                <w:sz w:val="24"/>
              </w:rPr>
              <w:t>/</w:t>
            </w:r>
            <w:r w:rsidRPr="00AE55CC">
              <w:rPr>
                <w:color w:val="000000"/>
                <w:sz w:val="24"/>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卖出</w:t>
            </w:r>
            <w:r w:rsidRPr="00AE55CC">
              <w:rPr>
                <w:color w:val="000000"/>
                <w:sz w:val="24"/>
              </w:rPr>
              <w:t>/</w:t>
            </w:r>
            <w:r w:rsidRPr="00AE55CC">
              <w:rPr>
                <w:color w:val="000000"/>
                <w:sz w:val="24"/>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187,667.28</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18,691,668.48</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报告期期末持有的本基金份额占基金总份额比例（</w:t>
            </w:r>
            <w:r w:rsidRPr="00AE55CC">
              <w:rPr>
                <w:color w:val="000000"/>
                <w:sz w:val="24"/>
              </w:rPr>
              <w:t>%</w:t>
            </w: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17.38</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bl>
    <w:p w:rsidR="00B55BC3" w:rsidRDefault="00BD09F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 xml:space="preserve">    2</w:t>
      </w:r>
      <w:r w:rsidRPr="00AE55CC">
        <w:rPr>
          <w:color w:val="000000"/>
          <w:sz w:val="24"/>
        </w:rPr>
        <w:t>、如果本报告期间发生转换出业务，则总赎回份额中包含该业务。</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776"/>
        <w:gridCol w:w="1317"/>
        <w:gridCol w:w="1633"/>
        <w:gridCol w:w="1767"/>
        <w:gridCol w:w="1343"/>
      </w:tblGrid>
      <w:tr w:rsidR="00285618" w:rsidRPr="007F52FA" w:rsidTr="00735E32">
        <w:trPr>
          <w:trHeight w:val="340"/>
          <w:jc w:val="center"/>
        </w:trPr>
        <w:tc>
          <w:tcPr>
            <w:tcW w:w="1070"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序号</w:t>
            </w:r>
          </w:p>
        </w:tc>
        <w:tc>
          <w:tcPr>
            <w:tcW w:w="1851"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交易方式</w:t>
            </w:r>
          </w:p>
        </w:tc>
        <w:tc>
          <w:tcPr>
            <w:tcW w:w="1370" w:type="dxa"/>
            <w:vAlign w:val="center"/>
          </w:tcPr>
          <w:p w:rsidR="00285618" w:rsidRPr="007F52FA" w:rsidRDefault="00285618" w:rsidP="007C14DF">
            <w:pPr>
              <w:adjustRightInd w:val="0"/>
              <w:snapToGrid w:val="0"/>
              <w:spacing w:before="29" w:line="288" w:lineRule="auto"/>
              <w:rPr>
                <w:color w:val="000000"/>
                <w:kern w:val="0"/>
                <w:sz w:val="24"/>
              </w:rPr>
            </w:pPr>
            <w:r w:rsidRPr="007F52FA">
              <w:rPr>
                <w:color w:val="000000"/>
                <w:kern w:val="0"/>
                <w:sz w:val="24"/>
              </w:rPr>
              <w:t>交易日期</w:t>
            </w:r>
          </w:p>
        </w:tc>
        <w:tc>
          <w:tcPr>
            <w:tcW w:w="1701"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交易份额（份</w:t>
            </w:r>
            <w:r w:rsidR="006B2CE8" w:rsidRPr="007F52FA">
              <w:rPr>
                <w:color w:val="000000"/>
                <w:kern w:val="0"/>
                <w:sz w:val="24"/>
              </w:rPr>
              <w:t>）</w:t>
            </w:r>
          </w:p>
        </w:tc>
        <w:tc>
          <w:tcPr>
            <w:tcW w:w="1842"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交易金额（元）</w:t>
            </w:r>
          </w:p>
        </w:tc>
        <w:tc>
          <w:tcPr>
            <w:tcW w:w="1397"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适用费率</w:t>
            </w:r>
          </w:p>
        </w:tc>
      </w:tr>
      <w:tr w:rsidR="00B55BC3">
        <w:trPr>
          <w:jc w:val="center"/>
        </w:trPr>
        <w:tc>
          <w:tcPr>
            <w:tcW w:w="1032" w:type="dxa"/>
            <w:vAlign w:val="center"/>
          </w:tcPr>
          <w:p w:rsidR="00B55BC3" w:rsidRDefault="00BD09F6">
            <w:pPr>
              <w:jc w:val="center"/>
            </w:pPr>
            <w:r>
              <w:rPr>
                <w:rFonts w:eastAsiaTheme="minorEastAsia"/>
                <w:color w:val="000000"/>
                <w:sz w:val="24"/>
              </w:rPr>
              <w:t>1</w:t>
            </w:r>
          </w:p>
        </w:tc>
        <w:tc>
          <w:tcPr>
            <w:tcW w:w="1776" w:type="dxa"/>
            <w:vAlign w:val="center"/>
          </w:tcPr>
          <w:p w:rsidR="00B55BC3" w:rsidRDefault="00BD09F6">
            <w:pPr>
              <w:jc w:val="center"/>
            </w:pPr>
            <w:r>
              <w:rPr>
                <w:rFonts w:eastAsiaTheme="minorEastAsia"/>
                <w:color w:val="000000"/>
                <w:sz w:val="24"/>
              </w:rPr>
              <w:t>自动赎回</w:t>
            </w:r>
          </w:p>
        </w:tc>
        <w:tc>
          <w:tcPr>
            <w:tcW w:w="1317" w:type="dxa"/>
            <w:vAlign w:val="center"/>
          </w:tcPr>
          <w:p w:rsidR="00B55BC3" w:rsidRDefault="00BD09F6">
            <w:pPr>
              <w:jc w:val="center"/>
            </w:pPr>
            <w:r>
              <w:rPr>
                <w:rFonts w:eastAsiaTheme="minorEastAsia"/>
                <w:color w:val="000000"/>
                <w:sz w:val="24"/>
              </w:rPr>
              <w:t>2016-10-11</w:t>
            </w:r>
          </w:p>
        </w:tc>
        <w:tc>
          <w:tcPr>
            <w:tcW w:w="1633" w:type="dxa"/>
            <w:vAlign w:val="center"/>
          </w:tcPr>
          <w:p w:rsidR="00B55BC3" w:rsidRDefault="00BD09F6">
            <w:pPr>
              <w:jc w:val="right"/>
            </w:pPr>
            <w:r>
              <w:rPr>
                <w:rFonts w:eastAsiaTheme="minorEastAsia"/>
                <w:color w:val="000000"/>
                <w:sz w:val="24"/>
              </w:rPr>
              <w:t>-80,689.76</w:t>
            </w:r>
          </w:p>
        </w:tc>
        <w:tc>
          <w:tcPr>
            <w:tcW w:w="1767" w:type="dxa"/>
            <w:vAlign w:val="center"/>
          </w:tcPr>
          <w:p w:rsidR="00B55BC3" w:rsidRDefault="00BD09F6">
            <w:pPr>
              <w:jc w:val="right"/>
            </w:pPr>
            <w:r>
              <w:rPr>
                <w:rFonts w:eastAsiaTheme="minorEastAsia"/>
                <w:color w:val="000000"/>
                <w:sz w:val="24"/>
              </w:rPr>
              <w:t>-111,029.11</w:t>
            </w:r>
          </w:p>
        </w:tc>
        <w:tc>
          <w:tcPr>
            <w:tcW w:w="1343" w:type="dxa"/>
            <w:vAlign w:val="center"/>
          </w:tcPr>
          <w:p w:rsidR="00B55BC3" w:rsidRDefault="00BD09F6">
            <w:pPr>
              <w:jc w:val="center"/>
            </w:pPr>
            <w:r>
              <w:rPr>
                <w:rFonts w:eastAsiaTheme="minorEastAsia"/>
                <w:color w:val="000000"/>
                <w:sz w:val="24"/>
              </w:rPr>
              <w:t>0.000%</w:t>
            </w:r>
          </w:p>
        </w:tc>
      </w:tr>
      <w:tr w:rsidR="00B55BC3">
        <w:trPr>
          <w:jc w:val="center"/>
        </w:trPr>
        <w:tc>
          <w:tcPr>
            <w:tcW w:w="1032" w:type="dxa"/>
            <w:vAlign w:val="center"/>
          </w:tcPr>
          <w:p w:rsidR="00B55BC3" w:rsidRDefault="00BD09F6">
            <w:pPr>
              <w:jc w:val="center"/>
            </w:pPr>
            <w:r>
              <w:rPr>
                <w:rFonts w:eastAsiaTheme="minorEastAsia"/>
                <w:color w:val="000000"/>
                <w:sz w:val="24"/>
              </w:rPr>
              <w:t>2</w:t>
            </w:r>
          </w:p>
        </w:tc>
        <w:tc>
          <w:tcPr>
            <w:tcW w:w="1776" w:type="dxa"/>
            <w:vAlign w:val="center"/>
          </w:tcPr>
          <w:p w:rsidR="00B55BC3" w:rsidRDefault="00BD09F6">
            <w:pPr>
              <w:jc w:val="center"/>
            </w:pPr>
            <w:r>
              <w:rPr>
                <w:rFonts w:eastAsiaTheme="minorEastAsia"/>
                <w:color w:val="000000"/>
                <w:sz w:val="24"/>
              </w:rPr>
              <w:t>自动赎回</w:t>
            </w:r>
          </w:p>
        </w:tc>
        <w:tc>
          <w:tcPr>
            <w:tcW w:w="1317" w:type="dxa"/>
            <w:vAlign w:val="center"/>
          </w:tcPr>
          <w:p w:rsidR="00B55BC3" w:rsidRDefault="00BD09F6">
            <w:pPr>
              <w:jc w:val="center"/>
            </w:pPr>
            <w:r>
              <w:rPr>
                <w:rFonts w:eastAsiaTheme="minorEastAsia"/>
                <w:color w:val="000000"/>
                <w:sz w:val="24"/>
              </w:rPr>
              <w:t>2016-11-02</w:t>
            </w:r>
          </w:p>
        </w:tc>
        <w:tc>
          <w:tcPr>
            <w:tcW w:w="1633" w:type="dxa"/>
            <w:vAlign w:val="center"/>
          </w:tcPr>
          <w:p w:rsidR="00B55BC3" w:rsidRDefault="00BD09F6">
            <w:pPr>
              <w:jc w:val="right"/>
            </w:pPr>
            <w:r>
              <w:rPr>
                <w:rFonts w:eastAsiaTheme="minorEastAsia"/>
                <w:color w:val="000000"/>
                <w:sz w:val="24"/>
              </w:rPr>
              <w:t>-45,322.76</w:t>
            </w:r>
          </w:p>
        </w:tc>
        <w:tc>
          <w:tcPr>
            <w:tcW w:w="1767" w:type="dxa"/>
            <w:vAlign w:val="center"/>
          </w:tcPr>
          <w:p w:rsidR="00B55BC3" w:rsidRDefault="00BD09F6">
            <w:pPr>
              <w:jc w:val="right"/>
            </w:pPr>
            <w:r>
              <w:rPr>
                <w:rFonts w:eastAsiaTheme="minorEastAsia"/>
                <w:color w:val="000000"/>
                <w:sz w:val="24"/>
              </w:rPr>
              <w:t>-62,953.31</w:t>
            </w:r>
          </w:p>
        </w:tc>
        <w:tc>
          <w:tcPr>
            <w:tcW w:w="1343" w:type="dxa"/>
            <w:vAlign w:val="center"/>
          </w:tcPr>
          <w:p w:rsidR="00B55BC3" w:rsidRDefault="00BD09F6">
            <w:pPr>
              <w:jc w:val="center"/>
            </w:pPr>
            <w:r>
              <w:rPr>
                <w:rFonts w:eastAsiaTheme="minorEastAsia"/>
                <w:color w:val="000000"/>
                <w:sz w:val="24"/>
              </w:rPr>
              <w:t>0.000%</w:t>
            </w:r>
          </w:p>
        </w:tc>
      </w:tr>
      <w:tr w:rsidR="00B55BC3">
        <w:trPr>
          <w:jc w:val="center"/>
        </w:trPr>
        <w:tc>
          <w:tcPr>
            <w:tcW w:w="1032" w:type="dxa"/>
            <w:vAlign w:val="center"/>
          </w:tcPr>
          <w:p w:rsidR="00B55BC3" w:rsidRDefault="00BD09F6">
            <w:pPr>
              <w:jc w:val="center"/>
            </w:pPr>
            <w:r>
              <w:rPr>
                <w:rFonts w:eastAsiaTheme="minorEastAsia"/>
                <w:color w:val="000000"/>
                <w:sz w:val="24"/>
              </w:rPr>
              <w:t>3</w:t>
            </w:r>
          </w:p>
        </w:tc>
        <w:tc>
          <w:tcPr>
            <w:tcW w:w="1776" w:type="dxa"/>
            <w:vAlign w:val="center"/>
          </w:tcPr>
          <w:p w:rsidR="00B55BC3" w:rsidRDefault="00BD09F6">
            <w:pPr>
              <w:jc w:val="center"/>
            </w:pPr>
            <w:r>
              <w:rPr>
                <w:rFonts w:eastAsiaTheme="minorEastAsia"/>
                <w:color w:val="000000"/>
                <w:sz w:val="24"/>
              </w:rPr>
              <w:t>自动赎回</w:t>
            </w:r>
          </w:p>
        </w:tc>
        <w:tc>
          <w:tcPr>
            <w:tcW w:w="1317" w:type="dxa"/>
            <w:vAlign w:val="center"/>
          </w:tcPr>
          <w:p w:rsidR="00B55BC3" w:rsidRDefault="00BD09F6">
            <w:pPr>
              <w:jc w:val="center"/>
            </w:pPr>
            <w:r>
              <w:rPr>
                <w:rFonts w:eastAsiaTheme="minorEastAsia"/>
                <w:color w:val="000000"/>
                <w:sz w:val="24"/>
              </w:rPr>
              <w:t>2016-12-02</w:t>
            </w:r>
          </w:p>
        </w:tc>
        <w:tc>
          <w:tcPr>
            <w:tcW w:w="1633" w:type="dxa"/>
            <w:vAlign w:val="center"/>
          </w:tcPr>
          <w:p w:rsidR="00B55BC3" w:rsidRDefault="00BD09F6">
            <w:pPr>
              <w:jc w:val="right"/>
            </w:pPr>
            <w:r>
              <w:rPr>
                <w:rFonts w:eastAsiaTheme="minorEastAsia"/>
                <w:color w:val="000000"/>
                <w:sz w:val="24"/>
              </w:rPr>
              <w:t>-61,654.76</w:t>
            </w:r>
          </w:p>
        </w:tc>
        <w:tc>
          <w:tcPr>
            <w:tcW w:w="1767" w:type="dxa"/>
            <w:vAlign w:val="center"/>
          </w:tcPr>
          <w:p w:rsidR="00B55BC3" w:rsidRDefault="00BD09F6">
            <w:pPr>
              <w:jc w:val="right"/>
            </w:pPr>
            <w:r>
              <w:rPr>
                <w:rFonts w:eastAsiaTheme="minorEastAsia"/>
                <w:color w:val="000000"/>
                <w:sz w:val="24"/>
              </w:rPr>
              <w:t>-85,515.15</w:t>
            </w:r>
          </w:p>
        </w:tc>
        <w:tc>
          <w:tcPr>
            <w:tcW w:w="1343" w:type="dxa"/>
            <w:vAlign w:val="center"/>
          </w:tcPr>
          <w:p w:rsidR="00B55BC3" w:rsidRDefault="00BD09F6">
            <w:pPr>
              <w:jc w:val="center"/>
            </w:pPr>
            <w:r>
              <w:rPr>
                <w:rFonts w:eastAsiaTheme="minorEastAsia"/>
                <w:color w:val="000000"/>
                <w:sz w:val="24"/>
              </w:rPr>
              <w:t>0.000%</w:t>
            </w:r>
          </w:p>
        </w:tc>
      </w:tr>
      <w:tr w:rsidR="00285618" w:rsidRPr="007F52FA" w:rsidTr="00735E32">
        <w:trPr>
          <w:trHeight w:val="340"/>
          <w:jc w:val="center"/>
        </w:trPr>
        <w:tc>
          <w:tcPr>
            <w:tcW w:w="1070"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合计</w:t>
            </w:r>
          </w:p>
        </w:tc>
        <w:tc>
          <w:tcPr>
            <w:tcW w:w="1851"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370"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701"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-187,667.28</w:t>
            </w:r>
          </w:p>
        </w:tc>
        <w:tc>
          <w:tcPr>
            <w:tcW w:w="1842"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-259,497.57</w:t>
            </w:r>
          </w:p>
        </w:tc>
        <w:tc>
          <w:tcPr>
            <w:tcW w:w="1397" w:type="dxa"/>
            <w:vAlign w:val="center"/>
          </w:tcPr>
          <w:p w:rsidR="00285618" w:rsidRPr="007F52FA" w:rsidRDefault="00285618" w:rsidP="007C14DF">
            <w:pPr>
              <w:adjustRightInd w:val="0"/>
              <w:snapToGrid w:val="0"/>
              <w:spacing w:before="29" w:line="288" w:lineRule="auto"/>
              <w:jc w:val="right"/>
              <w:rPr>
                <w:color w:val="0000FF"/>
                <w:kern w:val="0"/>
                <w:sz w:val="24"/>
              </w:rPr>
            </w:pPr>
          </w:p>
        </w:tc>
      </w:tr>
    </w:tbl>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按照基金合同的约定，每月定期通过自动赎回基金份额向基金份额持有人支付一定现金，具体而言，本基金按照本招募说明书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上述自动赎回基金份额由基金管理人发起而无需基金份额持有人另行提交赎回申请。基金份额持有人并无需就此类自动赎回支付赎回费。</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BD09F6">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B55BC3" w:rsidRDefault="00BD09F6">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、中国证监会批准交银施罗德定期支付月月丰债券型证券投资基金募集的文件；</w:t>
      </w:r>
      <w:r>
        <w:rPr>
          <w:rFonts w:eastAsiaTheme="minorEastAsia"/>
          <w:color w:val="000000"/>
          <w:sz w:val="24"/>
        </w:rPr>
        <w:t xml:space="preserve"> </w:t>
      </w:r>
    </w:p>
    <w:p w:rsidR="00B55BC3" w:rsidRDefault="00BD09F6">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、《交银施罗德定期支付月月丰债券型证券投资基金基金合同》；</w:t>
      </w:r>
      <w:r>
        <w:rPr>
          <w:rFonts w:eastAsiaTheme="minorEastAsia"/>
          <w:color w:val="000000"/>
          <w:sz w:val="24"/>
        </w:rPr>
        <w:t xml:space="preserve"> </w:t>
      </w:r>
    </w:p>
    <w:p w:rsidR="00B55BC3" w:rsidRDefault="00BD09F6">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、《交银施罗德定期支付月月丰债券型证券投资基金招募说明书》；</w:t>
      </w:r>
      <w:r>
        <w:rPr>
          <w:rFonts w:eastAsiaTheme="minorEastAsia"/>
          <w:color w:val="000000"/>
          <w:sz w:val="24"/>
        </w:rPr>
        <w:t xml:space="preserve"> </w:t>
      </w:r>
    </w:p>
    <w:p w:rsidR="00B55BC3" w:rsidRDefault="00BD09F6">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、《交银施罗德定期支付月月丰债券型证券投资基金托管协议》；</w:t>
      </w:r>
      <w:r>
        <w:rPr>
          <w:rFonts w:eastAsiaTheme="minorEastAsia"/>
          <w:color w:val="000000"/>
          <w:sz w:val="24"/>
        </w:rPr>
        <w:t xml:space="preserve"> </w:t>
      </w:r>
    </w:p>
    <w:p w:rsidR="00B55BC3" w:rsidRDefault="00BD09F6">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、关于募集交银施罗德定期支付月月丰债券型证券投资基金之法律意见书；</w:t>
      </w:r>
      <w:r>
        <w:rPr>
          <w:rFonts w:eastAsiaTheme="minorEastAsia"/>
          <w:color w:val="000000"/>
          <w:sz w:val="24"/>
        </w:rPr>
        <w:t xml:space="preserve"> </w:t>
      </w:r>
    </w:p>
    <w:p w:rsidR="00B55BC3" w:rsidRDefault="00BD09F6">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B55BC3" w:rsidRDefault="00BD09F6">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、报告期内交银施罗德定期支付月月丰债券型证券投资基金在指定报刊上各项公告的原稿。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B55BC3" w:rsidRDefault="00BD09F6">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9C8" w:rsidRDefault="00C369C8">
      <w:r>
        <w:separator/>
      </w:r>
    </w:p>
  </w:endnote>
  <w:endnote w:type="continuationSeparator" w:id="0">
    <w:p w:rsidR="00C369C8" w:rsidRDefault="00C3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B55BC3">
      <w:rPr>
        <w:kern w:val="0"/>
        <w:szCs w:val="21"/>
      </w:rPr>
      <w:fldChar w:fldCharType="begin"/>
    </w:r>
    <w:r>
      <w:rPr>
        <w:kern w:val="0"/>
        <w:szCs w:val="21"/>
      </w:rPr>
      <w:instrText xml:space="preserve"> PAGE </w:instrText>
    </w:r>
    <w:r w:rsidR="00B55BC3">
      <w:rPr>
        <w:kern w:val="0"/>
        <w:szCs w:val="21"/>
      </w:rPr>
      <w:fldChar w:fldCharType="separate"/>
    </w:r>
    <w:r w:rsidR="00857E78">
      <w:rPr>
        <w:noProof/>
        <w:kern w:val="0"/>
        <w:szCs w:val="21"/>
      </w:rPr>
      <w:t>1</w:t>
    </w:r>
    <w:r w:rsidR="00B55BC3">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B55BC3">
      <w:rPr>
        <w:kern w:val="0"/>
        <w:szCs w:val="21"/>
      </w:rPr>
      <w:fldChar w:fldCharType="begin"/>
    </w:r>
    <w:r>
      <w:rPr>
        <w:kern w:val="0"/>
        <w:szCs w:val="21"/>
      </w:rPr>
      <w:instrText xml:space="preserve"> NUMPAGES </w:instrText>
    </w:r>
    <w:r w:rsidR="00B55BC3">
      <w:rPr>
        <w:kern w:val="0"/>
        <w:szCs w:val="21"/>
      </w:rPr>
      <w:fldChar w:fldCharType="separate"/>
    </w:r>
    <w:r w:rsidR="00857E78">
      <w:rPr>
        <w:noProof/>
        <w:kern w:val="0"/>
        <w:szCs w:val="21"/>
      </w:rPr>
      <w:t>15</w:t>
    </w:r>
    <w:r w:rsidR="00B55BC3">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B55BC3">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9C8" w:rsidRDefault="00C369C8">
      <w:r>
        <w:separator/>
      </w:r>
    </w:p>
  </w:footnote>
  <w:footnote w:type="continuationSeparator" w:id="0">
    <w:p w:rsidR="00C369C8" w:rsidRDefault="00C36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C369C8"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E7940"/>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3E2A"/>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57E78"/>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5BC3"/>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9F6"/>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9C8"/>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14137055-7DD2-4A12-8C10-324A85E7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C691B-0726-4B49-9CF7-3ECB750CA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193</TotalTime>
  <Pages>1</Pages>
  <Words>1368</Words>
  <Characters>7803</Characters>
  <Application>Microsoft Office Word</Application>
  <DocSecurity>0</DocSecurity>
  <Lines>65</Lines>
  <Paragraphs>18</Paragraphs>
  <ScaleCrop>false</ScaleCrop>
  <Company>TRT. Ltd. Co.</Company>
  <LinksUpToDate>false</LinksUpToDate>
  <CharactersWithSpaces>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369</cp:revision>
  <cp:lastPrinted>2007-07-19T00:46:00Z</cp:lastPrinted>
  <dcterms:created xsi:type="dcterms:W3CDTF">2014-01-17T06:19:00Z</dcterms:created>
  <dcterms:modified xsi:type="dcterms:W3CDTF">2017-01-17T10:40:00Z</dcterms:modified>
</cp:coreProperties>
</file>