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3FA5" w:rsidRDefault="008A042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1,010,185,565.72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A0423" w:rsidRPr="00414345" w:rsidTr="008A04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A0423" w:rsidRPr="00414345" w:rsidTr="008A04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10,693,727.95</w:t>
            </w:r>
          </w:p>
        </w:tc>
      </w:tr>
      <w:tr w:rsidR="008A0423" w:rsidRPr="00414345" w:rsidTr="008A04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-6,215,880.71</w:t>
            </w:r>
          </w:p>
        </w:tc>
      </w:tr>
      <w:tr w:rsidR="008A0423" w:rsidRPr="00414345" w:rsidTr="008A04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-0.0060</w:t>
            </w:r>
          </w:p>
        </w:tc>
      </w:tr>
      <w:tr w:rsidR="008A0423" w:rsidRPr="00414345" w:rsidTr="008A04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1,010,297,393.97</w:t>
            </w:r>
          </w:p>
        </w:tc>
      </w:tr>
      <w:tr w:rsidR="008A0423" w:rsidRPr="00414345" w:rsidTr="008A04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1.000</w:t>
            </w:r>
          </w:p>
        </w:tc>
      </w:tr>
    </w:tbl>
    <w:p w:rsidR="009E3FA5" w:rsidRDefault="008A04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3FA5">
        <w:trPr>
          <w:jc w:val="center"/>
        </w:trPr>
        <w:tc>
          <w:tcPr>
            <w:tcW w:w="1701" w:type="dxa"/>
            <w:vAlign w:val="center"/>
          </w:tcPr>
          <w:p w:rsidR="009E3FA5" w:rsidRDefault="008A0423">
            <w:pPr>
              <w:jc w:val="left"/>
            </w:pPr>
            <w:r>
              <w:rPr>
                <w:color w:val="000000"/>
                <w:sz w:val="24"/>
                <w:szCs w:val="24"/>
              </w:rPr>
              <w:t>过去三个月</w:t>
            </w:r>
          </w:p>
        </w:tc>
        <w:tc>
          <w:tcPr>
            <w:tcW w:w="1045" w:type="dxa"/>
            <w:vAlign w:val="center"/>
          </w:tcPr>
          <w:p w:rsidR="009E3FA5" w:rsidRDefault="008A0423">
            <w:pPr>
              <w:jc w:val="center"/>
            </w:pPr>
            <w:r>
              <w:rPr>
                <w:color w:val="000000"/>
                <w:sz w:val="24"/>
                <w:szCs w:val="24"/>
              </w:rPr>
              <w:t>-0.60%</w:t>
            </w:r>
          </w:p>
        </w:tc>
        <w:tc>
          <w:tcPr>
            <w:tcW w:w="1344" w:type="dxa"/>
            <w:vAlign w:val="center"/>
          </w:tcPr>
          <w:p w:rsidR="009E3FA5" w:rsidRDefault="008A0423">
            <w:pPr>
              <w:jc w:val="center"/>
            </w:pPr>
            <w:r>
              <w:rPr>
                <w:color w:val="000000"/>
                <w:sz w:val="24"/>
                <w:szCs w:val="24"/>
              </w:rPr>
              <w:t>0.11%</w:t>
            </w:r>
          </w:p>
        </w:tc>
        <w:tc>
          <w:tcPr>
            <w:tcW w:w="1194" w:type="dxa"/>
            <w:vAlign w:val="center"/>
          </w:tcPr>
          <w:p w:rsidR="009E3FA5" w:rsidRDefault="008A0423">
            <w:pPr>
              <w:jc w:val="center"/>
            </w:pPr>
            <w:r>
              <w:rPr>
                <w:color w:val="000000"/>
                <w:sz w:val="24"/>
                <w:szCs w:val="24"/>
              </w:rPr>
              <w:t>0.70%</w:t>
            </w:r>
          </w:p>
        </w:tc>
        <w:tc>
          <w:tcPr>
            <w:tcW w:w="1492" w:type="dxa"/>
            <w:vAlign w:val="center"/>
          </w:tcPr>
          <w:p w:rsidR="009E3FA5" w:rsidRDefault="008A0423">
            <w:pPr>
              <w:jc w:val="center"/>
            </w:pPr>
            <w:r>
              <w:rPr>
                <w:color w:val="000000"/>
                <w:sz w:val="24"/>
                <w:szCs w:val="24"/>
              </w:rPr>
              <w:t>0.01%</w:t>
            </w:r>
          </w:p>
        </w:tc>
        <w:tc>
          <w:tcPr>
            <w:tcW w:w="1194" w:type="dxa"/>
            <w:vAlign w:val="center"/>
          </w:tcPr>
          <w:p w:rsidR="009E3FA5" w:rsidRDefault="008A0423">
            <w:pPr>
              <w:jc w:val="center"/>
            </w:pPr>
            <w:r>
              <w:rPr>
                <w:color w:val="000000"/>
                <w:sz w:val="24"/>
                <w:szCs w:val="24"/>
              </w:rPr>
              <w:t>-1.30%</w:t>
            </w:r>
          </w:p>
        </w:tc>
        <w:tc>
          <w:tcPr>
            <w:tcW w:w="898" w:type="dxa"/>
            <w:vAlign w:val="center"/>
          </w:tcPr>
          <w:p w:rsidR="009E3FA5" w:rsidRDefault="008A0423">
            <w:pPr>
              <w:jc w:val="center"/>
            </w:pPr>
            <w:r>
              <w:rPr>
                <w:color w:val="000000"/>
                <w:sz w:val="24"/>
                <w:szCs w:val="24"/>
              </w:rPr>
              <w:t>0.10%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3FA5">
        <w:trPr>
          <w:jc w:val="center"/>
        </w:trPr>
        <w:tc>
          <w:tcPr>
            <w:tcW w:w="846" w:type="dxa"/>
            <w:vAlign w:val="center"/>
          </w:tcPr>
          <w:p w:rsidR="009E3FA5" w:rsidRDefault="008A0423">
            <w:pPr>
              <w:jc w:val="center"/>
            </w:pPr>
            <w:r>
              <w:rPr>
                <w:color w:val="000000"/>
                <w:sz w:val="24"/>
                <w:szCs w:val="24"/>
              </w:rPr>
              <w:t>孙超</w:t>
            </w:r>
          </w:p>
        </w:tc>
        <w:tc>
          <w:tcPr>
            <w:tcW w:w="845" w:type="dxa"/>
            <w:vAlign w:val="center"/>
          </w:tcPr>
          <w:p w:rsidR="009E3FA5" w:rsidRDefault="008A0423">
            <w:pPr>
              <w:jc w:val="center"/>
            </w:pPr>
            <w:r>
              <w:rPr>
                <w:color w:val="000000"/>
                <w:sz w:val="24"/>
                <w:szCs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49" w:type="dxa"/>
            <w:vAlign w:val="center"/>
          </w:tcPr>
          <w:p w:rsidR="009E3FA5" w:rsidRDefault="008A0423">
            <w:pPr>
              <w:jc w:val="center"/>
            </w:pPr>
            <w:r>
              <w:rPr>
                <w:color w:val="000000"/>
                <w:sz w:val="24"/>
                <w:szCs w:val="24"/>
              </w:rPr>
              <w:t>2015-11-07</w:t>
            </w:r>
          </w:p>
        </w:tc>
        <w:tc>
          <w:tcPr>
            <w:tcW w:w="1548" w:type="dxa"/>
            <w:vAlign w:val="center"/>
          </w:tcPr>
          <w:p w:rsidR="009E3FA5" w:rsidRDefault="008A0423">
            <w:pPr>
              <w:jc w:val="center"/>
            </w:pPr>
            <w:r>
              <w:rPr>
                <w:color w:val="000000"/>
                <w:sz w:val="24"/>
                <w:szCs w:val="24"/>
              </w:rPr>
              <w:t>-</w:t>
            </w:r>
          </w:p>
        </w:tc>
        <w:tc>
          <w:tcPr>
            <w:tcW w:w="1407" w:type="dxa"/>
            <w:vAlign w:val="center"/>
          </w:tcPr>
          <w:p w:rsidR="009E3FA5" w:rsidRDefault="008A0423">
            <w:pPr>
              <w:jc w:val="center"/>
            </w:pPr>
            <w:bookmarkStart w:id="0" w:name="_GoBack"/>
            <w:bookmarkEnd w:id="0"/>
            <w:r>
              <w:rPr>
                <w:color w:val="000000"/>
                <w:sz w:val="24"/>
                <w:szCs w:val="24"/>
              </w:rPr>
              <w:t>5</w:t>
            </w:r>
            <w:r>
              <w:rPr>
                <w:color w:val="000000"/>
                <w:sz w:val="24"/>
                <w:szCs w:val="24"/>
              </w:rPr>
              <w:t>年</w:t>
            </w:r>
          </w:p>
        </w:tc>
        <w:tc>
          <w:tcPr>
            <w:tcW w:w="2673" w:type="dxa"/>
            <w:vAlign w:val="center"/>
          </w:tcPr>
          <w:p w:rsidR="009E3FA5" w:rsidRDefault="008A0423">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w:t>
            </w:r>
            <w:r w:rsidR="005B6647">
              <w:rPr>
                <w:color w:val="000000"/>
                <w:sz w:val="24"/>
                <w:szCs w:val="24"/>
              </w:rPr>
              <w:t>基金经理</w:t>
            </w:r>
            <w:r>
              <w:rPr>
                <w:color w:val="000000"/>
                <w:sz w:val="24"/>
                <w:szCs w:val="24"/>
              </w:rPr>
              <w:t>。</w:t>
            </w:r>
          </w:p>
        </w:tc>
      </w:tr>
      <w:tr w:rsidR="009E3FA5">
        <w:trPr>
          <w:jc w:val="center"/>
        </w:trPr>
        <w:tc>
          <w:tcPr>
            <w:tcW w:w="846" w:type="dxa"/>
            <w:vAlign w:val="center"/>
          </w:tcPr>
          <w:p w:rsidR="009E3FA5" w:rsidRDefault="008A0423">
            <w:pPr>
              <w:jc w:val="center"/>
            </w:pPr>
            <w:r>
              <w:rPr>
                <w:color w:val="000000"/>
                <w:sz w:val="24"/>
                <w:szCs w:val="24"/>
              </w:rPr>
              <w:t>章妍</w:t>
            </w:r>
          </w:p>
        </w:tc>
        <w:tc>
          <w:tcPr>
            <w:tcW w:w="845" w:type="dxa"/>
            <w:vAlign w:val="center"/>
          </w:tcPr>
          <w:p w:rsidR="009E3FA5" w:rsidRDefault="008A0423">
            <w:pPr>
              <w:jc w:val="center"/>
            </w:pPr>
            <w:r>
              <w:rPr>
                <w:color w:val="000000"/>
                <w:sz w:val="24"/>
                <w:szCs w:val="24"/>
              </w:rPr>
              <w:t>交银荣祥保本混合、交银增强收益债券、交银裕通纯债债券、交银裕兴纯债债券、交银裕盈纯债债券、交银裕利纯债债券的基金经理</w:t>
            </w:r>
          </w:p>
        </w:tc>
        <w:tc>
          <w:tcPr>
            <w:tcW w:w="1549" w:type="dxa"/>
            <w:vAlign w:val="center"/>
          </w:tcPr>
          <w:p w:rsidR="009E3FA5" w:rsidRDefault="008A0423">
            <w:pPr>
              <w:jc w:val="center"/>
            </w:pPr>
            <w:r>
              <w:rPr>
                <w:color w:val="000000"/>
                <w:sz w:val="24"/>
                <w:szCs w:val="24"/>
              </w:rPr>
              <w:t>2016-06-20</w:t>
            </w:r>
          </w:p>
        </w:tc>
        <w:tc>
          <w:tcPr>
            <w:tcW w:w="1548" w:type="dxa"/>
            <w:vAlign w:val="center"/>
          </w:tcPr>
          <w:p w:rsidR="009E3FA5" w:rsidRDefault="008A0423">
            <w:pPr>
              <w:jc w:val="center"/>
            </w:pPr>
            <w:r>
              <w:rPr>
                <w:color w:val="000000"/>
                <w:sz w:val="24"/>
                <w:szCs w:val="24"/>
              </w:rPr>
              <w:t>-</w:t>
            </w:r>
          </w:p>
        </w:tc>
        <w:tc>
          <w:tcPr>
            <w:tcW w:w="1407" w:type="dxa"/>
            <w:vAlign w:val="center"/>
          </w:tcPr>
          <w:p w:rsidR="009E3FA5" w:rsidRDefault="008A0423">
            <w:pPr>
              <w:jc w:val="center"/>
            </w:pPr>
            <w:r>
              <w:rPr>
                <w:color w:val="000000"/>
                <w:sz w:val="24"/>
                <w:szCs w:val="24"/>
              </w:rPr>
              <w:t>1</w:t>
            </w:r>
            <w:r>
              <w:rPr>
                <w:color w:val="000000"/>
                <w:sz w:val="24"/>
                <w:szCs w:val="24"/>
              </w:rPr>
              <w:t>年</w:t>
            </w:r>
          </w:p>
        </w:tc>
        <w:tc>
          <w:tcPr>
            <w:tcW w:w="2673" w:type="dxa"/>
            <w:vAlign w:val="center"/>
          </w:tcPr>
          <w:p w:rsidR="009E3FA5" w:rsidRDefault="008A0423">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w:t>
            </w:r>
            <w:r w:rsidR="005B6647">
              <w:rPr>
                <w:color w:val="000000"/>
                <w:sz w:val="24"/>
                <w:szCs w:val="24"/>
              </w:rPr>
              <w:t>基金经理</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3FA5" w:rsidRDefault="008A042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E3FA5" w:rsidRDefault="008A042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E3FA5" w:rsidRDefault="008A042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3FA5" w:rsidRDefault="008A0423">
      <w:pPr>
        <w:spacing w:before="29" w:line="288" w:lineRule="auto"/>
        <w:ind w:firstLineChars="200" w:firstLine="480"/>
        <w:rPr>
          <w:color w:val="000000"/>
          <w:sz w:val="24"/>
          <w:szCs w:val="24"/>
        </w:rPr>
      </w:pPr>
      <w:r>
        <w:rPr>
          <w:color w:val="000000"/>
          <w:sz w:val="24"/>
          <w:szCs w:val="24"/>
        </w:rPr>
        <w:t>本报告期内，受央行收紧流动性、美国加息等多重利空因素影响，债券市场呈现大幅调整格局，收益率上行至</w:t>
      </w:r>
      <w:r>
        <w:rPr>
          <w:color w:val="000000"/>
          <w:sz w:val="24"/>
          <w:szCs w:val="24"/>
        </w:rPr>
        <w:t>2015</w:t>
      </w:r>
      <w:r>
        <w:rPr>
          <w:color w:val="000000"/>
          <w:sz w:val="24"/>
          <w:szCs w:val="24"/>
        </w:rPr>
        <w:t>年三季度之前的水平。</w:t>
      </w:r>
    </w:p>
    <w:p w:rsidR="009E3FA5" w:rsidRDefault="008A0423">
      <w:pPr>
        <w:spacing w:before="29" w:line="288" w:lineRule="auto"/>
        <w:ind w:firstLineChars="200" w:firstLine="480"/>
        <w:rPr>
          <w:color w:val="000000"/>
          <w:sz w:val="24"/>
          <w:szCs w:val="24"/>
        </w:rPr>
      </w:pPr>
      <w:r>
        <w:rPr>
          <w:color w:val="000000"/>
          <w:sz w:val="24"/>
          <w:szCs w:val="24"/>
        </w:rPr>
        <w:t>2016</w:t>
      </w:r>
      <w:r>
        <w:rPr>
          <w:color w:val="000000"/>
          <w:sz w:val="24"/>
          <w:szCs w:val="24"/>
        </w:rPr>
        <w:t>年四季度</w:t>
      </w:r>
      <w:r>
        <w:rPr>
          <w:color w:val="000000"/>
          <w:sz w:val="24"/>
          <w:szCs w:val="24"/>
        </w:rPr>
        <w:t>A</w:t>
      </w:r>
      <w:r>
        <w:rPr>
          <w:color w:val="000000"/>
          <w:sz w:val="24"/>
          <w:szCs w:val="24"/>
        </w:rPr>
        <w:t>股市场先涨后跌，总体小幅上涨。低估值蓝筹股表现较好。</w:t>
      </w:r>
    </w:p>
    <w:p w:rsidR="009E3FA5" w:rsidRDefault="008A0423">
      <w:pPr>
        <w:spacing w:before="29" w:line="288" w:lineRule="auto"/>
        <w:ind w:firstLineChars="200" w:firstLine="480"/>
        <w:rPr>
          <w:color w:val="000000"/>
          <w:sz w:val="24"/>
          <w:szCs w:val="24"/>
        </w:rPr>
      </w:pPr>
      <w:r>
        <w:rPr>
          <w:color w:val="000000"/>
          <w:sz w:val="24"/>
          <w:szCs w:val="24"/>
        </w:rPr>
        <w:t>本基金在</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25</w:t>
      </w:r>
      <w:r>
        <w:rPr>
          <w:color w:val="000000"/>
          <w:sz w:val="24"/>
          <w:szCs w:val="24"/>
        </w:rPr>
        <w:t>日进入新的保本周期，在第二个保本周期初期，本基金操作以累积安全垫为首要目标，以固定收益品种为主要配置资产，审慎参与股票投资。本报告期初，本基金已累计一定安全垫，小仓位参与股票及新股申购。但进入</w:t>
      </w:r>
      <w:r>
        <w:rPr>
          <w:color w:val="000000"/>
          <w:sz w:val="24"/>
          <w:szCs w:val="24"/>
        </w:rPr>
        <w:t>2016</w:t>
      </w:r>
      <w:r>
        <w:rPr>
          <w:color w:val="000000"/>
          <w:sz w:val="24"/>
          <w:szCs w:val="24"/>
        </w:rPr>
        <w:t>年</w:t>
      </w:r>
      <w:r>
        <w:rPr>
          <w:color w:val="000000"/>
          <w:sz w:val="24"/>
          <w:szCs w:val="24"/>
        </w:rPr>
        <w:t>12</w:t>
      </w:r>
      <w:r>
        <w:rPr>
          <w:color w:val="000000"/>
          <w:sz w:val="24"/>
          <w:szCs w:val="24"/>
        </w:rPr>
        <w:t>月初</w:t>
      </w:r>
      <w:r>
        <w:rPr>
          <w:color w:val="000000"/>
          <w:sz w:val="24"/>
          <w:szCs w:val="24"/>
        </w:rPr>
        <w:t>,</w:t>
      </w:r>
      <w:r>
        <w:rPr>
          <w:color w:val="000000"/>
          <w:sz w:val="24"/>
          <w:szCs w:val="24"/>
        </w:rPr>
        <w:t>在债市收益率急速上行、流动性收紧的情况下，判断股市暂时趋势性的机会较低，因此及时减持了股票。由于组合控制了债券久期，并降低了股票仓位，因此组合回撤可控。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年一季度，债券市场预计仍以震荡格局为主，受制于房价、去杠杆和全球流动性收紧预期，叠加春节及季末因素，资金面仍将保持中性偏紧。在汇率和地产调控的风险阶段性的化解及流动性紧张缓解后，</w:t>
      </w:r>
      <w:r w:rsidRPr="00414345">
        <w:rPr>
          <w:color w:val="000000"/>
          <w:sz w:val="24"/>
          <w:szCs w:val="24"/>
        </w:rPr>
        <w:t>A</w:t>
      </w:r>
      <w:r w:rsidRPr="00414345">
        <w:rPr>
          <w:color w:val="000000"/>
          <w:sz w:val="24"/>
          <w:szCs w:val="24"/>
        </w:rPr>
        <w:t>股市场有望改变弱势。本基金计划仍将重点参与固定收益资产，争取进一步累积安全垫，择机逐步提高权益仓位，同时尽力控制权益仓位带来的回撤。</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1.000</w:t>
      </w:r>
      <w:r w:rsidRPr="00414345">
        <w:rPr>
          <w:color w:val="000000"/>
          <w:sz w:val="24"/>
          <w:szCs w:val="24"/>
        </w:rPr>
        <w:t>元，本报告期份额净值增长率为</w:t>
      </w:r>
      <w:r w:rsidRPr="00414345">
        <w:rPr>
          <w:color w:val="000000"/>
          <w:sz w:val="24"/>
          <w:szCs w:val="24"/>
        </w:rPr>
        <w:t>-0.60%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1,084,795.06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1,084,795.06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1,309,970,796.80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98.22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1,309,970,796.80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98.22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10,639,764.51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12,073,233.90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1,333,768,590.27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978,015.06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1,084,795.06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bl>
    <w:p w:rsidR="00BA34A9" w:rsidRDefault="00BA34A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3FA5">
        <w:trPr>
          <w:jc w:val="center"/>
        </w:trPr>
        <w:tc>
          <w:tcPr>
            <w:tcW w:w="855" w:type="dxa"/>
            <w:vAlign w:val="center"/>
          </w:tcPr>
          <w:p w:rsidR="009E3FA5" w:rsidRDefault="008A0423">
            <w:pPr>
              <w:jc w:val="center"/>
            </w:pPr>
            <w:r>
              <w:rPr>
                <w:color w:val="000000"/>
                <w:sz w:val="24"/>
                <w:szCs w:val="24"/>
              </w:rPr>
              <w:t>1</w:t>
            </w:r>
          </w:p>
        </w:tc>
        <w:tc>
          <w:tcPr>
            <w:tcW w:w="1334" w:type="dxa"/>
            <w:vAlign w:val="center"/>
          </w:tcPr>
          <w:p w:rsidR="009E3FA5" w:rsidRDefault="008A0423">
            <w:pPr>
              <w:jc w:val="center"/>
            </w:pPr>
            <w:r>
              <w:rPr>
                <w:color w:val="000000"/>
                <w:sz w:val="24"/>
                <w:szCs w:val="24"/>
              </w:rPr>
              <w:t>000821</w:t>
            </w:r>
          </w:p>
        </w:tc>
        <w:tc>
          <w:tcPr>
            <w:tcW w:w="1777" w:type="dxa"/>
            <w:vAlign w:val="center"/>
          </w:tcPr>
          <w:p w:rsidR="009E3FA5" w:rsidRDefault="008A0423">
            <w:pPr>
              <w:jc w:val="center"/>
            </w:pPr>
            <w:r>
              <w:rPr>
                <w:color w:val="000000"/>
                <w:sz w:val="24"/>
                <w:szCs w:val="24"/>
              </w:rPr>
              <w:t>京山轻机</w:t>
            </w:r>
          </w:p>
        </w:tc>
        <w:tc>
          <w:tcPr>
            <w:tcW w:w="1334" w:type="dxa"/>
            <w:vAlign w:val="center"/>
          </w:tcPr>
          <w:p w:rsidR="009E3FA5" w:rsidRDefault="008A0423">
            <w:pPr>
              <w:jc w:val="right"/>
            </w:pPr>
            <w:r>
              <w:rPr>
                <w:color w:val="000000"/>
                <w:sz w:val="24"/>
                <w:szCs w:val="24"/>
              </w:rPr>
              <w:t>50,000</w:t>
            </w:r>
          </w:p>
        </w:tc>
        <w:tc>
          <w:tcPr>
            <w:tcW w:w="1924" w:type="dxa"/>
            <w:vAlign w:val="center"/>
          </w:tcPr>
          <w:p w:rsidR="009E3FA5" w:rsidRDefault="008A0423">
            <w:pPr>
              <w:jc w:val="right"/>
            </w:pPr>
            <w:r>
              <w:rPr>
                <w:color w:val="000000"/>
                <w:sz w:val="24"/>
                <w:szCs w:val="24"/>
              </w:rPr>
              <w:t>767,000.00</w:t>
            </w:r>
          </w:p>
        </w:tc>
        <w:tc>
          <w:tcPr>
            <w:tcW w:w="1644" w:type="dxa"/>
            <w:vAlign w:val="center"/>
          </w:tcPr>
          <w:p w:rsidR="009E3FA5" w:rsidRDefault="008A0423">
            <w:pPr>
              <w:jc w:val="right"/>
            </w:pPr>
            <w:r>
              <w:rPr>
                <w:color w:val="000000"/>
                <w:sz w:val="24"/>
                <w:szCs w:val="24"/>
              </w:rPr>
              <w:t>0.08</w:t>
            </w:r>
          </w:p>
        </w:tc>
      </w:tr>
      <w:tr w:rsidR="009E3FA5">
        <w:trPr>
          <w:jc w:val="center"/>
        </w:trPr>
        <w:tc>
          <w:tcPr>
            <w:tcW w:w="855" w:type="dxa"/>
            <w:vAlign w:val="center"/>
          </w:tcPr>
          <w:p w:rsidR="009E3FA5" w:rsidRDefault="008A0423">
            <w:pPr>
              <w:jc w:val="center"/>
            </w:pPr>
            <w:r>
              <w:rPr>
                <w:color w:val="000000"/>
                <w:sz w:val="24"/>
                <w:szCs w:val="24"/>
              </w:rPr>
              <w:t>2</w:t>
            </w:r>
          </w:p>
        </w:tc>
        <w:tc>
          <w:tcPr>
            <w:tcW w:w="1334" w:type="dxa"/>
            <w:vAlign w:val="center"/>
          </w:tcPr>
          <w:p w:rsidR="009E3FA5" w:rsidRDefault="008A0423">
            <w:pPr>
              <w:jc w:val="center"/>
            </w:pPr>
            <w:r>
              <w:rPr>
                <w:color w:val="000000"/>
                <w:sz w:val="24"/>
                <w:szCs w:val="24"/>
              </w:rPr>
              <w:t>601375</w:t>
            </w:r>
          </w:p>
        </w:tc>
        <w:tc>
          <w:tcPr>
            <w:tcW w:w="1777" w:type="dxa"/>
            <w:vAlign w:val="center"/>
          </w:tcPr>
          <w:p w:rsidR="009E3FA5" w:rsidRDefault="008A0423">
            <w:pPr>
              <w:jc w:val="center"/>
            </w:pPr>
            <w:r>
              <w:rPr>
                <w:color w:val="000000"/>
                <w:sz w:val="24"/>
                <w:szCs w:val="24"/>
              </w:rPr>
              <w:t>中原证券</w:t>
            </w:r>
          </w:p>
        </w:tc>
        <w:tc>
          <w:tcPr>
            <w:tcW w:w="1334" w:type="dxa"/>
            <w:vAlign w:val="center"/>
          </w:tcPr>
          <w:p w:rsidR="009E3FA5" w:rsidRDefault="008A0423">
            <w:pPr>
              <w:jc w:val="right"/>
            </w:pPr>
            <w:r>
              <w:rPr>
                <w:color w:val="000000"/>
                <w:sz w:val="24"/>
                <w:szCs w:val="24"/>
              </w:rPr>
              <w:t>26,695</w:t>
            </w:r>
          </w:p>
        </w:tc>
        <w:tc>
          <w:tcPr>
            <w:tcW w:w="1924" w:type="dxa"/>
            <w:vAlign w:val="center"/>
          </w:tcPr>
          <w:p w:rsidR="009E3FA5" w:rsidRDefault="008A0423">
            <w:pPr>
              <w:jc w:val="right"/>
            </w:pPr>
            <w:r>
              <w:rPr>
                <w:color w:val="000000"/>
                <w:sz w:val="24"/>
                <w:szCs w:val="24"/>
              </w:rPr>
              <w:t>106,780.00</w:t>
            </w:r>
          </w:p>
        </w:tc>
        <w:tc>
          <w:tcPr>
            <w:tcW w:w="1644" w:type="dxa"/>
            <w:vAlign w:val="center"/>
          </w:tcPr>
          <w:p w:rsidR="009E3FA5" w:rsidRDefault="008A0423">
            <w:pPr>
              <w:jc w:val="right"/>
            </w:pPr>
            <w:r>
              <w:rPr>
                <w:color w:val="000000"/>
                <w:sz w:val="24"/>
                <w:szCs w:val="24"/>
              </w:rPr>
              <w:t>0.01</w:t>
            </w:r>
          </w:p>
        </w:tc>
      </w:tr>
      <w:tr w:rsidR="009E3FA5">
        <w:trPr>
          <w:jc w:val="center"/>
        </w:trPr>
        <w:tc>
          <w:tcPr>
            <w:tcW w:w="855" w:type="dxa"/>
            <w:vAlign w:val="center"/>
          </w:tcPr>
          <w:p w:rsidR="009E3FA5" w:rsidRDefault="008A0423">
            <w:pPr>
              <w:jc w:val="center"/>
            </w:pPr>
            <w:r>
              <w:rPr>
                <w:color w:val="000000"/>
                <w:sz w:val="24"/>
                <w:szCs w:val="24"/>
              </w:rPr>
              <w:t>3</w:t>
            </w:r>
          </w:p>
        </w:tc>
        <w:tc>
          <w:tcPr>
            <w:tcW w:w="1334" w:type="dxa"/>
            <w:vAlign w:val="center"/>
          </w:tcPr>
          <w:p w:rsidR="009E3FA5" w:rsidRDefault="008A0423">
            <w:pPr>
              <w:jc w:val="center"/>
            </w:pPr>
            <w:r>
              <w:rPr>
                <w:color w:val="000000"/>
                <w:sz w:val="24"/>
                <w:szCs w:val="24"/>
              </w:rPr>
              <w:t>603298</w:t>
            </w:r>
          </w:p>
        </w:tc>
        <w:tc>
          <w:tcPr>
            <w:tcW w:w="1777" w:type="dxa"/>
            <w:vAlign w:val="center"/>
          </w:tcPr>
          <w:p w:rsidR="009E3FA5" w:rsidRDefault="008A0423">
            <w:pPr>
              <w:jc w:val="center"/>
            </w:pPr>
            <w:r>
              <w:rPr>
                <w:color w:val="000000"/>
                <w:sz w:val="24"/>
                <w:szCs w:val="24"/>
              </w:rPr>
              <w:t>杭叉集团</w:t>
            </w:r>
          </w:p>
        </w:tc>
        <w:tc>
          <w:tcPr>
            <w:tcW w:w="1334" w:type="dxa"/>
            <w:vAlign w:val="center"/>
          </w:tcPr>
          <w:p w:rsidR="009E3FA5" w:rsidRDefault="008A0423">
            <w:pPr>
              <w:jc w:val="right"/>
            </w:pPr>
            <w:r>
              <w:rPr>
                <w:color w:val="000000"/>
                <w:sz w:val="24"/>
                <w:szCs w:val="24"/>
              </w:rPr>
              <w:t>3,641</w:t>
            </w:r>
          </w:p>
        </w:tc>
        <w:tc>
          <w:tcPr>
            <w:tcW w:w="1924" w:type="dxa"/>
            <w:vAlign w:val="center"/>
          </w:tcPr>
          <w:p w:rsidR="009E3FA5" w:rsidRDefault="008A0423">
            <w:pPr>
              <w:jc w:val="right"/>
            </w:pPr>
            <w:r>
              <w:rPr>
                <w:color w:val="000000"/>
                <w:sz w:val="24"/>
                <w:szCs w:val="24"/>
              </w:rPr>
              <w:t>88,403.48</w:t>
            </w:r>
          </w:p>
        </w:tc>
        <w:tc>
          <w:tcPr>
            <w:tcW w:w="1644" w:type="dxa"/>
            <w:vAlign w:val="center"/>
          </w:tcPr>
          <w:p w:rsidR="009E3FA5" w:rsidRDefault="008A0423">
            <w:pPr>
              <w:jc w:val="right"/>
            </w:pPr>
            <w:r>
              <w:rPr>
                <w:color w:val="000000"/>
                <w:sz w:val="24"/>
                <w:szCs w:val="24"/>
              </w:rPr>
              <w:t>0.01</w:t>
            </w:r>
          </w:p>
        </w:tc>
      </w:tr>
      <w:tr w:rsidR="009E3FA5">
        <w:trPr>
          <w:jc w:val="center"/>
        </w:trPr>
        <w:tc>
          <w:tcPr>
            <w:tcW w:w="855" w:type="dxa"/>
            <w:vAlign w:val="center"/>
          </w:tcPr>
          <w:p w:rsidR="009E3FA5" w:rsidRDefault="008A0423">
            <w:pPr>
              <w:jc w:val="center"/>
            </w:pPr>
            <w:r>
              <w:rPr>
                <w:color w:val="000000"/>
                <w:sz w:val="24"/>
                <w:szCs w:val="24"/>
              </w:rPr>
              <w:t>4</w:t>
            </w:r>
          </w:p>
        </w:tc>
        <w:tc>
          <w:tcPr>
            <w:tcW w:w="1334" w:type="dxa"/>
            <w:vAlign w:val="center"/>
          </w:tcPr>
          <w:p w:rsidR="009E3FA5" w:rsidRDefault="008A0423">
            <w:pPr>
              <w:jc w:val="center"/>
            </w:pPr>
            <w:r>
              <w:rPr>
                <w:color w:val="000000"/>
                <w:sz w:val="24"/>
                <w:szCs w:val="24"/>
              </w:rPr>
              <w:t>603416</w:t>
            </w:r>
          </w:p>
        </w:tc>
        <w:tc>
          <w:tcPr>
            <w:tcW w:w="1777" w:type="dxa"/>
            <w:vAlign w:val="center"/>
          </w:tcPr>
          <w:p w:rsidR="009E3FA5" w:rsidRDefault="008A0423">
            <w:pPr>
              <w:jc w:val="center"/>
            </w:pPr>
            <w:r>
              <w:rPr>
                <w:color w:val="000000"/>
                <w:sz w:val="24"/>
                <w:szCs w:val="24"/>
              </w:rPr>
              <w:t>信捷电气</w:t>
            </w:r>
          </w:p>
        </w:tc>
        <w:tc>
          <w:tcPr>
            <w:tcW w:w="1334" w:type="dxa"/>
            <w:vAlign w:val="center"/>
          </w:tcPr>
          <w:p w:rsidR="009E3FA5" w:rsidRDefault="008A0423">
            <w:pPr>
              <w:jc w:val="right"/>
            </w:pPr>
            <w:r>
              <w:rPr>
                <w:color w:val="000000"/>
                <w:sz w:val="24"/>
                <w:szCs w:val="24"/>
              </w:rPr>
              <w:t>1,076</w:t>
            </w:r>
          </w:p>
        </w:tc>
        <w:tc>
          <w:tcPr>
            <w:tcW w:w="1924" w:type="dxa"/>
            <w:vAlign w:val="center"/>
          </w:tcPr>
          <w:p w:rsidR="009E3FA5" w:rsidRDefault="008A0423">
            <w:pPr>
              <w:jc w:val="right"/>
            </w:pPr>
            <w:r>
              <w:rPr>
                <w:color w:val="000000"/>
                <w:sz w:val="24"/>
                <w:szCs w:val="24"/>
              </w:rPr>
              <w:t>53,886.08</w:t>
            </w:r>
          </w:p>
        </w:tc>
        <w:tc>
          <w:tcPr>
            <w:tcW w:w="1644" w:type="dxa"/>
            <w:vAlign w:val="center"/>
          </w:tcPr>
          <w:p w:rsidR="009E3FA5" w:rsidRDefault="008A0423">
            <w:pPr>
              <w:jc w:val="right"/>
            </w:pPr>
            <w:r>
              <w:rPr>
                <w:color w:val="000000"/>
                <w:sz w:val="24"/>
                <w:szCs w:val="24"/>
              </w:rPr>
              <w:t>0.01</w:t>
            </w:r>
          </w:p>
        </w:tc>
      </w:tr>
      <w:tr w:rsidR="009E3FA5">
        <w:trPr>
          <w:jc w:val="center"/>
        </w:trPr>
        <w:tc>
          <w:tcPr>
            <w:tcW w:w="855" w:type="dxa"/>
            <w:vAlign w:val="center"/>
          </w:tcPr>
          <w:p w:rsidR="009E3FA5" w:rsidRDefault="008A0423">
            <w:pPr>
              <w:jc w:val="center"/>
            </w:pPr>
            <w:r>
              <w:rPr>
                <w:color w:val="000000"/>
                <w:sz w:val="24"/>
                <w:szCs w:val="24"/>
              </w:rPr>
              <w:t>5</w:t>
            </w:r>
          </w:p>
        </w:tc>
        <w:tc>
          <w:tcPr>
            <w:tcW w:w="1334" w:type="dxa"/>
            <w:vAlign w:val="center"/>
          </w:tcPr>
          <w:p w:rsidR="009E3FA5" w:rsidRDefault="008A0423">
            <w:pPr>
              <w:jc w:val="center"/>
            </w:pPr>
            <w:r>
              <w:rPr>
                <w:color w:val="000000"/>
                <w:sz w:val="24"/>
                <w:szCs w:val="24"/>
              </w:rPr>
              <w:t>603886</w:t>
            </w:r>
          </w:p>
        </w:tc>
        <w:tc>
          <w:tcPr>
            <w:tcW w:w="1777" w:type="dxa"/>
            <w:vAlign w:val="center"/>
          </w:tcPr>
          <w:p w:rsidR="009E3FA5" w:rsidRDefault="008A0423">
            <w:pPr>
              <w:jc w:val="center"/>
            </w:pPr>
            <w:r>
              <w:rPr>
                <w:color w:val="000000"/>
                <w:sz w:val="24"/>
                <w:szCs w:val="24"/>
              </w:rPr>
              <w:t>元祖股份</w:t>
            </w:r>
          </w:p>
        </w:tc>
        <w:tc>
          <w:tcPr>
            <w:tcW w:w="1334" w:type="dxa"/>
            <w:vAlign w:val="center"/>
          </w:tcPr>
          <w:p w:rsidR="009E3FA5" w:rsidRDefault="008A0423">
            <w:pPr>
              <w:jc w:val="right"/>
            </w:pPr>
            <w:r>
              <w:rPr>
                <w:color w:val="000000"/>
                <w:sz w:val="24"/>
                <w:szCs w:val="24"/>
              </w:rPr>
              <w:t>2,241</w:t>
            </w:r>
          </w:p>
        </w:tc>
        <w:tc>
          <w:tcPr>
            <w:tcW w:w="1924" w:type="dxa"/>
            <w:vAlign w:val="center"/>
          </w:tcPr>
          <w:p w:rsidR="009E3FA5" w:rsidRDefault="008A0423">
            <w:pPr>
              <w:jc w:val="right"/>
            </w:pPr>
            <w:r>
              <w:rPr>
                <w:color w:val="000000"/>
                <w:sz w:val="24"/>
                <w:szCs w:val="24"/>
              </w:rPr>
              <w:t>39,665.70</w:t>
            </w:r>
          </w:p>
        </w:tc>
        <w:tc>
          <w:tcPr>
            <w:tcW w:w="1644" w:type="dxa"/>
            <w:vAlign w:val="center"/>
          </w:tcPr>
          <w:p w:rsidR="009E3FA5" w:rsidRDefault="008A0423">
            <w:pPr>
              <w:jc w:val="right"/>
            </w:pPr>
            <w:r>
              <w:rPr>
                <w:color w:val="000000"/>
                <w:sz w:val="24"/>
                <w:szCs w:val="24"/>
              </w:rPr>
              <w:t>0.00</w:t>
            </w:r>
          </w:p>
        </w:tc>
      </w:tr>
      <w:tr w:rsidR="009E3FA5">
        <w:trPr>
          <w:jc w:val="center"/>
        </w:trPr>
        <w:tc>
          <w:tcPr>
            <w:tcW w:w="855" w:type="dxa"/>
            <w:vAlign w:val="center"/>
          </w:tcPr>
          <w:p w:rsidR="009E3FA5" w:rsidRDefault="008A0423">
            <w:pPr>
              <w:jc w:val="center"/>
            </w:pPr>
            <w:r>
              <w:rPr>
                <w:color w:val="000000"/>
                <w:sz w:val="24"/>
                <w:szCs w:val="24"/>
              </w:rPr>
              <w:t>6</w:t>
            </w:r>
          </w:p>
        </w:tc>
        <w:tc>
          <w:tcPr>
            <w:tcW w:w="1334" w:type="dxa"/>
            <w:vAlign w:val="center"/>
          </w:tcPr>
          <w:p w:rsidR="009E3FA5" w:rsidRDefault="008A0423">
            <w:pPr>
              <w:jc w:val="center"/>
            </w:pPr>
            <w:r>
              <w:rPr>
                <w:color w:val="000000"/>
                <w:sz w:val="24"/>
                <w:szCs w:val="24"/>
              </w:rPr>
              <w:t>603239</w:t>
            </w:r>
          </w:p>
        </w:tc>
        <w:tc>
          <w:tcPr>
            <w:tcW w:w="1777" w:type="dxa"/>
            <w:vAlign w:val="center"/>
          </w:tcPr>
          <w:p w:rsidR="009E3FA5" w:rsidRDefault="008A0423">
            <w:pPr>
              <w:jc w:val="center"/>
            </w:pPr>
            <w:r>
              <w:rPr>
                <w:color w:val="000000"/>
                <w:sz w:val="24"/>
                <w:szCs w:val="24"/>
              </w:rPr>
              <w:t>浙江仙通</w:t>
            </w:r>
          </w:p>
        </w:tc>
        <w:tc>
          <w:tcPr>
            <w:tcW w:w="1334" w:type="dxa"/>
            <w:vAlign w:val="center"/>
          </w:tcPr>
          <w:p w:rsidR="009E3FA5" w:rsidRDefault="008A0423">
            <w:pPr>
              <w:jc w:val="right"/>
            </w:pPr>
            <w:r>
              <w:rPr>
                <w:color w:val="000000"/>
                <w:sz w:val="24"/>
                <w:szCs w:val="24"/>
              </w:rPr>
              <w:t>924</w:t>
            </w:r>
          </w:p>
        </w:tc>
        <w:tc>
          <w:tcPr>
            <w:tcW w:w="1924" w:type="dxa"/>
            <w:vAlign w:val="center"/>
          </w:tcPr>
          <w:p w:rsidR="009E3FA5" w:rsidRDefault="008A0423">
            <w:pPr>
              <w:jc w:val="right"/>
            </w:pPr>
            <w:r>
              <w:rPr>
                <w:color w:val="000000"/>
                <w:sz w:val="24"/>
                <w:szCs w:val="24"/>
              </w:rPr>
              <w:t>29,059.80</w:t>
            </w:r>
          </w:p>
        </w:tc>
        <w:tc>
          <w:tcPr>
            <w:tcW w:w="1644" w:type="dxa"/>
            <w:vAlign w:val="center"/>
          </w:tcPr>
          <w:p w:rsidR="009E3FA5" w:rsidRDefault="008A0423">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29,961,000.00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199,536,000.00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199,536,000.00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147,396,000.00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14.59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19,914,000.00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89,508,000.00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8.86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3,414,796.80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750,829,000.00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74.32</w:t>
            </w:r>
          </w:p>
        </w:tc>
      </w:tr>
      <w:tr w:rsidR="009E3FA5">
        <w:trPr>
          <w:jc w:val="center"/>
        </w:trPr>
        <w:tc>
          <w:tcPr>
            <w:tcW w:w="828" w:type="dxa"/>
            <w:vAlign w:val="center"/>
          </w:tcPr>
          <w:p w:rsidR="009E3FA5" w:rsidRDefault="008A0423">
            <w:pPr>
              <w:jc w:val="center"/>
            </w:pPr>
            <w:r>
              <w:rPr>
                <w:color w:val="000000"/>
                <w:sz w:val="24"/>
                <w:szCs w:val="24"/>
              </w:rPr>
              <w:t>9</w:t>
            </w:r>
          </w:p>
        </w:tc>
        <w:tc>
          <w:tcPr>
            <w:tcW w:w="3302" w:type="dxa"/>
            <w:vAlign w:val="center"/>
          </w:tcPr>
          <w:p w:rsidR="009E3FA5" w:rsidRDefault="008A0423" w:rsidP="003C4E27">
            <w:pPr>
              <w:spacing w:before="29" w:line="288" w:lineRule="auto"/>
              <w:ind w:left="17"/>
              <w:jc w:val="left"/>
            </w:pPr>
            <w:r>
              <w:rPr>
                <w:color w:val="000000"/>
                <w:sz w:val="24"/>
                <w:szCs w:val="24"/>
              </w:rPr>
              <w:t>地方政府债券</w:t>
            </w:r>
          </w:p>
        </w:tc>
        <w:tc>
          <w:tcPr>
            <w:tcW w:w="2987" w:type="dxa"/>
            <w:vAlign w:val="center"/>
          </w:tcPr>
          <w:p w:rsidR="009E3FA5" w:rsidRDefault="008A0423" w:rsidP="006C0DBA">
            <w:pPr>
              <w:jc w:val="right"/>
            </w:pPr>
            <w:r>
              <w:rPr>
                <w:color w:val="000000"/>
                <w:sz w:val="24"/>
                <w:szCs w:val="24"/>
              </w:rPr>
              <w:t>69,412,000.00</w:t>
            </w:r>
          </w:p>
        </w:tc>
        <w:tc>
          <w:tcPr>
            <w:tcW w:w="1751" w:type="dxa"/>
            <w:vAlign w:val="center"/>
          </w:tcPr>
          <w:p w:rsidR="009E3FA5" w:rsidRDefault="008A0423" w:rsidP="006C0DBA">
            <w:pPr>
              <w:jc w:val="right"/>
            </w:pPr>
            <w:r>
              <w:rPr>
                <w:color w:val="000000"/>
                <w:sz w:val="24"/>
                <w:szCs w:val="24"/>
              </w:rPr>
              <w:t>6.87</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1,309,970,796.80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129.66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E3FA5">
        <w:trPr>
          <w:jc w:val="center"/>
        </w:trPr>
        <w:tc>
          <w:tcPr>
            <w:tcW w:w="850" w:type="dxa"/>
            <w:vAlign w:val="center"/>
          </w:tcPr>
          <w:p w:rsidR="009E3FA5" w:rsidRDefault="008A0423">
            <w:pPr>
              <w:jc w:val="center"/>
            </w:pPr>
            <w:r>
              <w:rPr>
                <w:color w:val="000000"/>
                <w:sz w:val="24"/>
                <w:szCs w:val="24"/>
              </w:rPr>
              <w:t>1</w:t>
            </w:r>
          </w:p>
        </w:tc>
        <w:tc>
          <w:tcPr>
            <w:tcW w:w="1475" w:type="dxa"/>
            <w:vAlign w:val="center"/>
          </w:tcPr>
          <w:p w:rsidR="009E3FA5" w:rsidRDefault="008A0423">
            <w:pPr>
              <w:jc w:val="center"/>
            </w:pPr>
            <w:r>
              <w:rPr>
                <w:color w:val="000000"/>
                <w:sz w:val="24"/>
                <w:szCs w:val="24"/>
              </w:rPr>
              <w:t>111608355</w:t>
            </w:r>
          </w:p>
        </w:tc>
        <w:tc>
          <w:tcPr>
            <w:tcW w:w="1769" w:type="dxa"/>
            <w:vAlign w:val="center"/>
          </w:tcPr>
          <w:p w:rsidR="009E3FA5" w:rsidRDefault="008A0423">
            <w:pPr>
              <w:jc w:val="center"/>
            </w:pPr>
            <w:r>
              <w:rPr>
                <w:color w:val="000000"/>
                <w:sz w:val="24"/>
                <w:szCs w:val="24"/>
              </w:rPr>
              <w:t>16</w:t>
            </w:r>
            <w:r>
              <w:rPr>
                <w:color w:val="000000"/>
                <w:sz w:val="24"/>
                <w:szCs w:val="24"/>
              </w:rPr>
              <w:t>中信</w:t>
            </w:r>
            <w:r>
              <w:rPr>
                <w:color w:val="000000"/>
                <w:sz w:val="24"/>
                <w:szCs w:val="24"/>
              </w:rPr>
              <w:t>CD355</w:t>
            </w:r>
          </w:p>
        </w:tc>
        <w:tc>
          <w:tcPr>
            <w:tcW w:w="1387" w:type="dxa"/>
            <w:vAlign w:val="center"/>
          </w:tcPr>
          <w:p w:rsidR="009E3FA5" w:rsidRDefault="008A0423">
            <w:pPr>
              <w:jc w:val="right"/>
            </w:pPr>
            <w:r>
              <w:rPr>
                <w:color w:val="000000"/>
                <w:sz w:val="24"/>
                <w:szCs w:val="24"/>
              </w:rPr>
              <w:t>1,000,000</w:t>
            </w:r>
          </w:p>
        </w:tc>
        <w:tc>
          <w:tcPr>
            <w:tcW w:w="2150" w:type="dxa"/>
            <w:vAlign w:val="center"/>
          </w:tcPr>
          <w:p w:rsidR="009E3FA5" w:rsidRDefault="008A0423">
            <w:pPr>
              <w:jc w:val="right"/>
            </w:pPr>
            <w:r>
              <w:rPr>
                <w:color w:val="000000"/>
                <w:sz w:val="24"/>
                <w:szCs w:val="24"/>
              </w:rPr>
              <w:t>96,250,000.00</w:t>
            </w:r>
          </w:p>
        </w:tc>
        <w:tc>
          <w:tcPr>
            <w:tcW w:w="1237" w:type="dxa"/>
            <w:vAlign w:val="center"/>
          </w:tcPr>
          <w:p w:rsidR="009E3FA5" w:rsidRDefault="008A0423">
            <w:pPr>
              <w:jc w:val="right"/>
            </w:pPr>
            <w:r>
              <w:rPr>
                <w:color w:val="000000"/>
                <w:sz w:val="24"/>
                <w:szCs w:val="24"/>
              </w:rPr>
              <w:t>9.53</w:t>
            </w:r>
          </w:p>
        </w:tc>
      </w:tr>
      <w:tr w:rsidR="009E3FA5">
        <w:trPr>
          <w:jc w:val="center"/>
        </w:trPr>
        <w:tc>
          <w:tcPr>
            <w:tcW w:w="850" w:type="dxa"/>
            <w:vAlign w:val="center"/>
          </w:tcPr>
          <w:p w:rsidR="009E3FA5" w:rsidRDefault="008A0423">
            <w:pPr>
              <w:jc w:val="center"/>
            </w:pPr>
            <w:r>
              <w:rPr>
                <w:color w:val="000000"/>
                <w:sz w:val="24"/>
                <w:szCs w:val="24"/>
              </w:rPr>
              <w:t>2</w:t>
            </w:r>
          </w:p>
        </w:tc>
        <w:tc>
          <w:tcPr>
            <w:tcW w:w="1475" w:type="dxa"/>
            <w:vAlign w:val="center"/>
          </w:tcPr>
          <w:p w:rsidR="009E3FA5" w:rsidRDefault="008A0423">
            <w:pPr>
              <w:jc w:val="center"/>
            </w:pPr>
            <w:r>
              <w:rPr>
                <w:color w:val="000000"/>
                <w:sz w:val="24"/>
                <w:szCs w:val="24"/>
              </w:rPr>
              <w:t>111614162</w:t>
            </w:r>
          </w:p>
        </w:tc>
        <w:tc>
          <w:tcPr>
            <w:tcW w:w="1769" w:type="dxa"/>
            <w:vAlign w:val="center"/>
          </w:tcPr>
          <w:p w:rsidR="009E3FA5" w:rsidRDefault="008A0423">
            <w:pPr>
              <w:jc w:val="center"/>
            </w:pPr>
            <w:r>
              <w:rPr>
                <w:color w:val="000000"/>
                <w:sz w:val="24"/>
                <w:szCs w:val="24"/>
              </w:rPr>
              <w:t>16</w:t>
            </w:r>
            <w:r>
              <w:rPr>
                <w:color w:val="000000"/>
                <w:sz w:val="24"/>
                <w:szCs w:val="24"/>
              </w:rPr>
              <w:t>江苏银行</w:t>
            </w:r>
            <w:r>
              <w:rPr>
                <w:color w:val="000000"/>
                <w:sz w:val="24"/>
                <w:szCs w:val="24"/>
              </w:rPr>
              <w:t>CD162</w:t>
            </w:r>
          </w:p>
        </w:tc>
        <w:tc>
          <w:tcPr>
            <w:tcW w:w="1387" w:type="dxa"/>
            <w:vAlign w:val="center"/>
          </w:tcPr>
          <w:p w:rsidR="009E3FA5" w:rsidRDefault="008A0423">
            <w:pPr>
              <w:jc w:val="right"/>
            </w:pPr>
            <w:r>
              <w:rPr>
                <w:color w:val="000000"/>
                <w:sz w:val="24"/>
                <w:szCs w:val="24"/>
              </w:rPr>
              <w:t>1,000,000</w:t>
            </w:r>
          </w:p>
        </w:tc>
        <w:tc>
          <w:tcPr>
            <w:tcW w:w="2150" w:type="dxa"/>
            <w:vAlign w:val="center"/>
          </w:tcPr>
          <w:p w:rsidR="009E3FA5" w:rsidRDefault="008A0423">
            <w:pPr>
              <w:jc w:val="right"/>
            </w:pPr>
            <w:r>
              <w:rPr>
                <w:color w:val="000000"/>
                <w:sz w:val="24"/>
                <w:szCs w:val="24"/>
              </w:rPr>
              <w:t>96,250,000.00</w:t>
            </w:r>
          </w:p>
        </w:tc>
        <w:tc>
          <w:tcPr>
            <w:tcW w:w="1237" w:type="dxa"/>
            <w:vAlign w:val="center"/>
          </w:tcPr>
          <w:p w:rsidR="009E3FA5" w:rsidRDefault="008A0423">
            <w:pPr>
              <w:jc w:val="right"/>
            </w:pPr>
            <w:r>
              <w:rPr>
                <w:color w:val="000000"/>
                <w:sz w:val="24"/>
                <w:szCs w:val="24"/>
              </w:rPr>
              <w:t>9.53</w:t>
            </w:r>
          </w:p>
        </w:tc>
      </w:tr>
      <w:tr w:rsidR="009E3FA5">
        <w:trPr>
          <w:jc w:val="center"/>
        </w:trPr>
        <w:tc>
          <w:tcPr>
            <w:tcW w:w="850" w:type="dxa"/>
            <w:vAlign w:val="center"/>
          </w:tcPr>
          <w:p w:rsidR="009E3FA5" w:rsidRDefault="008A0423">
            <w:pPr>
              <w:jc w:val="center"/>
            </w:pPr>
            <w:r>
              <w:rPr>
                <w:color w:val="000000"/>
                <w:sz w:val="24"/>
                <w:szCs w:val="24"/>
              </w:rPr>
              <w:t>3</w:t>
            </w:r>
          </w:p>
        </w:tc>
        <w:tc>
          <w:tcPr>
            <w:tcW w:w="1475" w:type="dxa"/>
            <w:vAlign w:val="center"/>
          </w:tcPr>
          <w:p w:rsidR="009E3FA5" w:rsidRDefault="008A0423">
            <w:pPr>
              <w:jc w:val="center"/>
            </w:pPr>
            <w:r>
              <w:rPr>
                <w:color w:val="000000"/>
                <w:sz w:val="24"/>
                <w:szCs w:val="24"/>
              </w:rPr>
              <w:t>111616253</w:t>
            </w:r>
          </w:p>
        </w:tc>
        <w:tc>
          <w:tcPr>
            <w:tcW w:w="1769" w:type="dxa"/>
            <w:vAlign w:val="center"/>
          </w:tcPr>
          <w:p w:rsidR="009E3FA5" w:rsidRDefault="008A0423">
            <w:pPr>
              <w:jc w:val="center"/>
            </w:pPr>
            <w:r>
              <w:rPr>
                <w:color w:val="000000"/>
                <w:sz w:val="24"/>
                <w:szCs w:val="24"/>
              </w:rPr>
              <w:t>16</w:t>
            </w:r>
            <w:r>
              <w:rPr>
                <w:color w:val="000000"/>
                <w:sz w:val="24"/>
                <w:szCs w:val="24"/>
              </w:rPr>
              <w:t>上海银行</w:t>
            </w:r>
            <w:r>
              <w:rPr>
                <w:color w:val="000000"/>
                <w:sz w:val="24"/>
                <w:szCs w:val="24"/>
              </w:rPr>
              <w:t>CD253</w:t>
            </w:r>
          </w:p>
        </w:tc>
        <w:tc>
          <w:tcPr>
            <w:tcW w:w="1387" w:type="dxa"/>
            <w:vAlign w:val="center"/>
          </w:tcPr>
          <w:p w:rsidR="009E3FA5" w:rsidRDefault="008A0423">
            <w:pPr>
              <w:jc w:val="right"/>
            </w:pPr>
            <w:r>
              <w:rPr>
                <w:color w:val="000000"/>
                <w:sz w:val="24"/>
                <w:szCs w:val="24"/>
              </w:rPr>
              <w:t>1,000,000</w:t>
            </w:r>
          </w:p>
        </w:tc>
        <w:tc>
          <w:tcPr>
            <w:tcW w:w="2150" w:type="dxa"/>
            <w:vAlign w:val="center"/>
          </w:tcPr>
          <w:p w:rsidR="009E3FA5" w:rsidRDefault="008A0423">
            <w:pPr>
              <w:jc w:val="right"/>
            </w:pPr>
            <w:r>
              <w:rPr>
                <w:color w:val="000000"/>
                <w:sz w:val="24"/>
                <w:szCs w:val="24"/>
              </w:rPr>
              <w:t>96,240,000.00</w:t>
            </w:r>
          </w:p>
        </w:tc>
        <w:tc>
          <w:tcPr>
            <w:tcW w:w="1237" w:type="dxa"/>
            <w:vAlign w:val="center"/>
          </w:tcPr>
          <w:p w:rsidR="009E3FA5" w:rsidRDefault="008A0423">
            <w:pPr>
              <w:jc w:val="right"/>
            </w:pPr>
            <w:r>
              <w:rPr>
                <w:color w:val="000000"/>
                <w:sz w:val="24"/>
                <w:szCs w:val="24"/>
              </w:rPr>
              <w:t>9.53</w:t>
            </w:r>
          </w:p>
        </w:tc>
      </w:tr>
      <w:tr w:rsidR="009E3FA5">
        <w:trPr>
          <w:jc w:val="center"/>
        </w:trPr>
        <w:tc>
          <w:tcPr>
            <w:tcW w:w="850" w:type="dxa"/>
            <w:vAlign w:val="center"/>
          </w:tcPr>
          <w:p w:rsidR="009E3FA5" w:rsidRDefault="008A0423">
            <w:pPr>
              <w:jc w:val="center"/>
            </w:pPr>
            <w:r>
              <w:rPr>
                <w:color w:val="000000"/>
                <w:sz w:val="24"/>
                <w:szCs w:val="24"/>
              </w:rPr>
              <w:t>4</w:t>
            </w:r>
          </w:p>
        </w:tc>
        <w:tc>
          <w:tcPr>
            <w:tcW w:w="1475" w:type="dxa"/>
            <w:vAlign w:val="center"/>
          </w:tcPr>
          <w:p w:rsidR="009E3FA5" w:rsidRDefault="008A0423">
            <w:pPr>
              <w:jc w:val="center"/>
            </w:pPr>
            <w:r>
              <w:rPr>
                <w:color w:val="000000"/>
                <w:sz w:val="24"/>
                <w:szCs w:val="24"/>
              </w:rPr>
              <w:t>111680566</w:t>
            </w:r>
          </w:p>
        </w:tc>
        <w:tc>
          <w:tcPr>
            <w:tcW w:w="1769" w:type="dxa"/>
            <w:vAlign w:val="center"/>
          </w:tcPr>
          <w:p w:rsidR="009E3FA5" w:rsidRDefault="008A0423">
            <w:pPr>
              <w:jc w:val="center"/>
            </w:pPr>
            <w:r>
              <w:rPr>
                <w:color w:val="000000"/>
                <w:sz w:val="24"/>
                <w:szCs w:val="24"/>
              </w:rPr>
              <w:t>16</w:t>
            </w:r>
            <w:r>
              <w:rPr>
                <w:color w:val="000000"/>
                <w:sz w:val="24"/>
                <w:szCs w:val="24"/>
              </w:rPr>
              <w:t>广州农村商业银行</w:t>
            </w:r>
            <w:r>
              <w:rPr>
                <w:color w:val="000000"/>
                <w:sz w:val="24"/>
                <w:szCs w:val="24"/>
              </w:rPr>
              <w:t>CD152</w:t>
            </w:r>
          </w:p>
        </w:tc>
        <w:tc>
          <w:tcPr>
            <w:tcW w:w="1387" w:type="dxa"/>
            <w:vAlign w:val="center"/>
          </w:tcPr>
          <w:p w:rsidR="009E3FA5" w:rsidRDefault="008A0423">
            <w:pPr>
              <w:jc w:val="right"/>
            </w:pPr>
            <w:r>
              <w:rPr>
                <w:color w:val="000000"/>
                <w:sz w:val="24"/>
                <w:szCs w:val="24"/>
              </w:rPr>
              <w:t>1,000,000</w:t>
            </w:r>
          </w:p>
        </w:tc>
        <w:tc>
          <w:tcPr>
            <w:tcW w:w="2150" w:type="dxa"/>
            <w:vAlign w:val="center"/>
          </w:tcPr>
          <w:p w:rsidR="009E3FA5" w:rsidRDefault="008A0423">
            <w:pPr>
              <w:jc w:val="right"/>
            </w:pPr>
            <w:r>
              <w:rPr>
                <w:color w:val="000000"/>
                <w:sz w:val="24"/>
                <w:szCs w:val="24"/>
              </w:rPr>
              <w:t>96,040,000.00</w:t>
            </w:r>
          </w:p>
        </w:tc>
        <w:tc>
          <w:tcPr>
            <w:tcW w:w="1237" w:type="dxa"/>
            <w:vAlign w:val="center"/>
          </w:tcPr>
          <w:p w:rsidR="009E3FA5" w:rsidRDefault="008A0423">
            <w:pPr>
              <w:jc w:val="right"/>
            </w:pPr>
            <w:r>
              <w:rPr>
                <w:color w:val="000000"/>
                <w:sz w:val="24"/>
                <w:szCs w:val="24"/>
              </w:rPr>
              <w:t>9.51</w:t>
            </w:r>
          </w:p>
        </w:tc>
      </w:tr>
      <w:tr w:rsidR="009E3FA5">
        <w:trPr>
          <w:jc w:val="center"/>
        </w:trPr>
        <w:tc>
          <w:tcPr>
            <w:tcW w:w="850" w:type="dxa"/>
            <w:vAlign w:val="center"/>
          </w:tcPr>
          <w:p w:rsidR="009E3FA5" w:rsidRDefault="008A0423">
            <w:pPr>
              <w:jc w:val="center"/>
            </w:pPr>
            <w:r>
              <w:rPr>
                <w:color w:val="000000"/>
                <w:sz w:val="24"/>
                <w:szCs w:val="24"/>
              </w:rPr>
              <w:t>5</w:t>
            </w:r>
          </w:p>
        </w:tc>
        <w:tc>
          <w:tcPr>
            <w:tcW w:w="1475" w:type="dxa"/>
            <w:vAlign w:val="center"/>
          </w:tcPr>
          <w:p w:rsidR="009E3FA5" w:rsidRDefault="008A0423">
            <w:pPr>
              <w:jc w:val="center"/>
            </w:pPr>
            <w:r>
              <w:rPr>
                <w:color w:val="000000"/>
                <w:sz w:val="24"/>
                <w:szCs w:val="24"/>
              </w:rPr>
              <w:t>140149</w:t>
            </w:r>
          </w:p>
        </w:tc>
        <w:tc>
          <w:tcPr>
            <w:tcW w:w="1769" w:type="dxa"/>
            <w:vAlign w:val="center"/>
          </w:tcPr>
          <w:p w:rsidR="009E3FA5" w:rsidRDefault="008A0423">
            <w:pPr>
              <w:jc w:val="center"/>
            </w:pPr>
            <w:r>
              <w:rPr>
                <w:color w:val="000000"/>
                <w:sz w:val="24"/>
                <w:szCs w:val="24"/>
              </w:rPr>
              <w:t>16</w:t>
            </w:r>
            <w:r>
              <w:rPr>
                <w:color w:val="000000"/>
                <w:sz w:val="24"/>
                <w:szCs w:val="24"/>
              </w:rPr>
              <w:t>安徽</w:t>
            </w:r>
            <w:r>
              <w:rPr>
                <w:color w:val="000000"/>
                <w:sz w:val="24"/>
                <w:szCs w:val="24"/>
              </w:rPr>
              <w:t>05</w:t>
            </w:r>
          </w:p>
        </w:tc>
        <w:tc>
          <w:tcPr>
            <w:tcW w:w="1387" w:type="dxa"/>
            <w:vAlign w:val="center"/>
          </w:tcPr>
          <w:p w:rsidR="009E3FA5" w:rsidRDefault="008A0423">
            <w:pPr>
              <w:jc w:val="right"/>
            </w:pPr>
            <w:r>
              <w:rPr>
                <w:color w:val="000000"/>
                <w:sz w:val="24"/>
                <w:szCs w:val="24"/>
              </w:rPr>
              <w:t>700,000</w:t>
            </w:r>
          </w:p>
        </w:tc>
        <w:tc>
          <w:tcPr>
            <w:tcW w:w="2150" w:type="dxa"/>
            <w:vAlign w:val="center"/>
          </w:tcPr>
          <w:p w:rsidR="009E3FA5" w:rsidRDefault="008A0423">
            <w:pPr>
              <w:jc w:val="right"/>
            </w:pPr>
            <w:r>
              <w:rPr>
                <w:color w:val="000000"/>
                <w:sz w:val="24"/>
                <w:szCs w:val="24"/>
              </w:rPr>
              <w:t>69,412,000.00</w:t>
            </w:r>
          </w:p>
        </w:tc>
        <w:tc>
          <w:tcPr>
            <w:tcW w:w="1237" w:type="dxa"/>
            <w:vAlign w:val="center"/>
          </w:tcPr>
          <w:p w:rsidR="009E3FA5" w:rsidRDefault="008A0423">
            <w:pPr>
              <w:jc w:val="right"/>
            </w:pPr>
            <w:r>
              <w:rPr>
                <w:color w:val="000000"/>
                <w:sz w:val="24"/>
                <w:szCs w:val="24"/>
              </w:rPr>
              <w:t>6.87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48,815.13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12,023,430.63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988.14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12,073,233.90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772"/>
        <w:gridCol w:w="1276"/>
        <w:gridCol w:w="1275"/>
        <w:gridCol w:w="1985"/>
        <w:gridCol w:w="1701"/>
        <w:gridCol w:w="1859"/>
      </w:tblGrid>
      <w:tr w:rsidR="003E62FB" w:rsidRPr="00414345" w:rsidTr="006C0DBA">
        <w:trPr>
          <w:jc w:val="center"/>
        </w:trPr>
        <w:tc>
          <w:tcPr>
            <w:tcW w:w="77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27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2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98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85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3268F" w:rsidRPr="00414345" w:rsidTr="006C0DBA">
        <w:trPr>
          <w:jc w:val="center"/>
        </w:trPr>
        <w:tc>
          <w:tcPr>
            <w:tcW w:w="772" w:type="dxa"/>
            <w:vAlign w:val="center"/>
          </w:tcPr>
          <w:p w:rsidR="0003268F" w:rsidRPr="0003268F" w:rsidRDefault="0003268F" w:rsidP="0003268F">
            <w:pPr>
              <w:spacing w:before="29" w:line="288" w:lineRule="auto"/>
              <w:ind w:left="17"/>
              <w:jc w:val="center"/>
              <w:rPr>
                <w:color w:val="000000"/>
                <w:sz w:val="24"/>
                <w:szCs w:val="24"/>
              </w:rPr>
            </w:pPr>
            <w:r w:rsidRPr="006C0DBA">
              <w:rPr>
                <w:color w:val="000000"/>
                <w:sz w:val="24"/>
              </w:rPr>
              <w:t>1</w:t>
            </w:r>
          </w:p>
        </w:tc>
        <w:tc>
          <w:tcPr>
            <w:tcW w:w="1276" w:type="dxa"/>
            <w:vAlign w:val="center"/>
          </w:tcPr>
          <w:p w:rsidR="0003268F" w:rsidRPr="0003268F" w:rsidRDefault="0003268F" w:rsidP="0003268F">
            <w:pPr>
              <w:spacing w:before="29" w:line="288" w:lineRule="auto"/>
              <w:ind w:left="17"/>
              <w:jc w:val="center"/>
              <w:rPr>
                <w:color w:val="000000"/>
                <w:sz w:val="24"/>
                <w:szCs w:val="24"/>
              </w:rPr>
            </w:pPr>
            <w:r w:rsidRPr="006C0DBA">
              <w:rPr>
                <w:color w:val="000000"/>
                <w:sz w:val="24"/>
                <w:szCs w:val="24"/>
              </w:rPr>
              <w:t>000821</w:t>
            </w:r>
          </w:p>
        </w:tc>
        <w:tc>
          <w:tcPr>
            <w:tcW w:w="1275" w:type="dxa"/>
            <w:vAlign w:val="center"/>
          </w:tcPr>
          <w:p w:rsidR="0003268F" w:rsidRPr="0003268F" w:rsidRDefault="0003268F" w:rsidP="0003268F">
            <w:pPr>
              <w:spacing w:before="29" w:line="288" w:lineRule="auto"/>
              <w:ind w:left="17"/>
              <w:jc w:val="center"/>
              <w:rPr>
                <w:color w:val="000000"/>
                <w:sz w:val="24"/>
                <w:szCs w:val="24"/>
              </w:rPr>
            </w:pPr>
            <w:r w:rsidRPr="006C0DBA">
              <w:rPr>
                <w:rFonts w:hint="eastAsia"/>
                <w:color w:val="000000"/>
                <w:sz w:val="24"/>
                <w:szCs w:val="24"/>
              </w:rPr>
              <w:t>京山轻机</w:t>
            </w:r>
          </w:p>
        </w:tc>
        <w:tc>
          <w:tcPr>
            <w:tcW w:w="1985" w:type="dxa"/>
            <w:vAlign w:val="center"/>
          </w:tcPr>
          <w:p w:rsidR="0003268F" w:rsidRPr="0003268F" w:rsidRDefault="0003268F" w:rsidP="0003268F">
            <w:pPr>
              <w:spacing w:before="29" w:line="288" w:lineRule="auto"/>
              <w:ind w:left="17"/>
              <w:jc w:val="center"/>
              <w:rPr>
                <w:color w:val="000000"/>
                <w:sz w:val="24"/>
                <w:szCs w:val="24"/>
              </w:rPr>
            </w:pPr>
            <w:r w:rsidRPr="006C0DBA">
              <w:rPr>
                <w:color w:val="000000"/>
                <w:sz w:val="24"/>
                <w:szCs w:val="24"/>
              </w:rPr>
              <w:t>767,000.00</w:t>
            </w:r>
          </w:p>
        </w:tc>
        <w:tc>
          <w:tcPr>
            <w:tcW w:w="1701" w:type="dxa"/>
            <w:vAlign w:val="center"/>
          </w:tcPr>
          <w:p w:rsidR="0003268F" w:rsidRPr="0003268F" w:rsidRDefault="0003268F" w:rsidP="0003268F">
            <w:pPr>
              <w:spacing w:before="29" w:line="288" w:lineRule="auto"/>
              <w:ind w:left="17"/>
              <w:jc w:val="center"/>
              <w:rPr>
                <w:color w:val="000000"/>
                <w:sz w:val="24"/>
                <w:szCs w:val="24"/>
              </w:rPr>
            </w:pPr>
            <w:r w:rsidRPr="006C0DBA">
              <w:rPr>
                <w:color w:val="000000"/>
                <w:sz w:val="24"/>
                <w:szCs w:val="24"/>
              </w:rPr>
              <w:t>0.08</w:t>
            </w:r>
          </w:p>
        </w:tc>
        <w:tc>
          <w:tcPr>
            <w:tcW w:w="1859" w:type="dxa"/>
            <w:vAlign w:val="center"/>
          </w:tcPr>
          <w:p w:rsidR="0003268F" w:rsidRPr="0003268F" w:rsidRDefault="0003268F" w:rsidP="0003268F">
            <w:pPr>
              <w:spacing w:before="29" w:line="288" w:lineRule="auto"/>
              <w:ind w:left="17"/>
              <w:jc w:val="center"/>
              <w:rPr>
                <w:color w:val="000000"/>
                <w:sz w:val="24"/>
                <w:szCs w:val="24"/>
              </w:rPr>
            </w:pPr>
            <w:r w:rsidRPr="006C0DBA">
              <w:rPr>
                <w:rFonts w:hint="eastAsia"/>
                <w:color w:val="000000"/>
                <w:sz w:val="24"/>
              </w:rPr>
              <w:t>重大事项</w:t>
            </w:r>
          </w:p>
        </w:tc>
      </w:tr>
      <w:tr w:rsidR="009E3FA5" w:rsidTr="006C0DBA">
        <w:trPr>
          <w:jc w:val="center"/>
        </w:trPr>
        <w:tc>
          <w:tcPr>
            <w:tcW w:w="772" w:type="dxa"/>
            <w:vAlign w:val="center"/>
          </w:tcPr>
          <w:p w:rsidR="009E3FA5" w:rsidRDefault="0003268F">
            <w:pPr>
              <w:jc w:val="center"/>
            </w:pPr>
            <w:r>
              <w:rPr>
                <w:color w:val="000000"/>
                <w:sz w:val="24"/>
                <w:szCs w:val="24"/>
              </w:rPr>
              <w:t>2</w:t>
            </w:r>
          </w:p>
        </w:tc>
        <w:tc>
          <w:tcPr>
            <w:tcW w:w="1276" w:type="dxa"/>
            <w:vAlign w:val="center"/>
          </w:tcPr>
          <w:p w:rsidR="009E3FA5" w:rsidRDefault="008A0423">
            <w:pPr>
              <w:jc w:val="center"/>
            </w:pPr>
            <w:r>
              <w:rPr>
                <w:color w:val="000000"/>
                <w:sz w:val="24"/>
                <w:szCs w:val="24"/>
              </w:rPr>
              <w:t>601375</w:t>
            </w:r>
          </w:p>
        </w:tc>
        <w:tc>
          <w:tcPr>
            <w:tcW w:w="1275" w:type="dxa"/>
            <w:vAlign w:val="center"/>
          </w:tcPr>
          <w:p w:rsidR="009E3FA5" w:rsidRDefault="008A0423">
            <w:pPr>
              <w:jc w:val="center"/>
            </w:pPr>
            <w:r>
              <w:rPr>
                <w:color w:val="000000"/>
                <w:sz w:val="24"/>
                <w:szCs w:val="24"/>
              </w:rPr>
              <w:t>中原证券</w:t>
            </w:r>
          </w:p>
        </w:tc>
        <w:tc>
          <w:tcPr>
            <w:tcW w:w="1985" w:type="dxa"/>
            <w:vAlign w:val="center"/>
          </w:tcPr>
          <w:p w:rsidR="009E3FA5" w:rsidRDefault="008A0423" w:rsidP="006C0DBA">
            <w:pPr>
              <w:jc w:val="center"/>
            </w:pPr>
            <w:r>
              <w:rPr>
                <w:color w:val="000000"/>
                <w:sz w:val="24"/>
                <w:szCs w:val="24"/>
              </w:rPr>
              <w:t>106,780.00</w:t>
            </w:r>
          </w:p>
        </w:tc>
        <w:tc>
          <w:tcPr>
            <w:tcW w:w="1701" w:type="dxa"/>
            <w:vAlign w:val="center"/>
          </w:tcPr>
          <w:p w:rsidR="009E3FA5" w:rsidRDefault="008A0423" w:rsidP="006C0DBA">
            <w:pPr>
              <w:jc w:val="center"/>
            </w:pPr>
            <w:r>
              <w:rPr>
                <w:color w:val="000000"/>
                <w:sz w:val="24"/>
                <w:szCs w:val="24"/>
              </w:rPr>
              <w:t>0.01</w:t>
            </w:r>
          </w:p>
        </w:tc>
        <w:tc>
          <w:tcPr>
            <w:tcW w:w="1859" w:type="dxa"/>
            <w:vAlign w:val="center"/>
          </w:tcPr>
          <w:p w:rsidR="009E3FA5" w:rsidRDefault="008A0423">
            <w:pPr>
              <w:jc w:val="right"/>
            </w:pPr>
            <w:r>
              <w:rPr>
                <w:color w:val="000000"/>
                <w:sz w:val="24"/>
                <w:szCs w:val="24"/>
              </w:rPr>
              <w:t>新股网下申购</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8A0423" w:rsidRPr="008A0423" w:rsidRDefault="008A0423" w:rsidP="008A0423">
      <w:pPr>
        <w:autoSpaceDE w:val="0"/>
        <w:autoSpaceDN w:val="0"/>
        <w:adjustRightInd w:val="0"/>
        <w:spacing w:before="29" w:line="288" w:lineRule="auto"/>
        <w:jc w:val="left"/>
        <w:rPr>
          <w:bCs/>
          <w:color w:val="000000"/>
          <w:kern w:val="0"/>
          <w:sz w:val="24"/>
          <w:szCs w:val="24"/>
        </w:rPr>
      </w:pPr>
      <w:r w:rsidRPr="008A0423">
        <w:rPr>
          <w:rFonts w:hint="eastAsia"/>
          <w:bCs/>
          <w:color w:val="000000"/>
          <w:kern w:val="0"/>
          <w:sz w:val="24"/>
          <w:szCs w:val="24"/>
        </w:rPr>
        <w:t>1</w:t>
      </w:r>
      <w:r w:rsidRPr="008A0423">
        <w:rPr>
          <w:rFonts w:hint="eastAsia"/>
          <w:bCs/>
          <w:color w:val="000000"/>
          <w:kern w:val="0"/>
          <w:sz w:val="24"/>
          <w:szCs w:val="24"/>
        </w:rPr>
        <w:t>、本基金本报告期末未持有处于交换期的可交换债券。</w:t>
      </w:r>
    </w:p>
    <w:p w:rsidR="008A0423" w:rsidRPr="00414345" w:rsidRDefault="008A0423" w:rsidP="008A0423">
      <w:pPr>
        <w:autoSpaceDE w:val="0"/>
        <w:autoSpaceDN w:val="0"/>
        <w:adjustRightInd w:val="0"/>
        <w:spacing w:before="29" w:line="288" w:lineRule="auto"/>
        <w:jc w:val="left"/>
        <w:rPr>
          <w:bCs/>
          <w:color w:val="000000"/>
          <w:kern w:val="0"/>
          <w:sz w:val="24"/>
          <w:szCs w:val="24"/>
        </w:rPr>
      </w:pPr>
      <w:r w:rsidRPr="008A0423">
        <w:rPr>
          <w:rFonts w:hint="eastAsia"/>
          <w:bCs/>
          <w:color w:val="000000"/>
          <w:kern w:val="0"/>
          <w:sz w:val="24"/>
          <w:szCs w:val="24"/>
        </w:rPr>
        <w:t>2</w:t>
      </w:r>
      <w:r w:rsidRPr="008A0423">
        <w:rPr>
          <w:rFonts w:hint="eastAsia"/>
          <w:bCs/>
          <w:color w:val="000000"/>
          <w:kern w:val="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1,063,010,471.30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2,078,232.50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54,903,138.08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1,010,185,565.72</w:t>
            </w:r>
          </w:p>
        </w:tc>
      </w:tr>
    </w:tbl>
    <w:p w:rsidR="009E3FA5" w:rsidRDefault="008A042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E3FA5" w:rsidRDefault="008A042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9E3FA5" w:rsidRDefault="008A042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9E3FA5" w:rsidRDefault="008A042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9E3FA5" w:rsidRDefault="008A042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9E3FA5" w:rsidRDefault="008A042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9E3FA5" w:rsidRDefault="008A042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E3FA5" w:rsidRDefault="008A042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4A" w:rsidRDefault="0092024A" w:rsidP="00876D65">
      <w:r>
        <w:separator/>
      </w:r>
    </w:p>
  </w:endnote>
  <w:endnote w:type="continuationSeparator" w:id="0">
    <w:p w:rsidR="0092024A" w:rsidRDefault="0092024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C0DBA">
      <w:rPr>
        <w:noProof/>
        <w:kern w:val="0"/>
        <w:szCs w:val="21"/>
      </w:rPr>
      <w:t>5</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C0DBA">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4A" w:rsidRDefault="0092024A" w:rsidP="00876D65">
      <w:r>
        <w:separator/>
      </w:r>
    </w:p>
  </w:footnote>
  <w:footnote w:type="continuationSeparator" w:id="0">
    <w:p w:rsidR="0092024A" w:rsidRDefault="0092024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268F"/>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1D49"/>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C4E27"/>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35D4"/>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6647"/>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0DBA"/>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0423"/>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24A"/>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3FA5"/>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1F75"/>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34A9"/>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36D3"/>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0C05-2FA6-44A6-B4E5-3775AC03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13</Pages>
  <Words>1077</Words>
  <Characters>6144</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2017-01-17T10:27:00Z</dcterms:modified>
</cp:coreProperties>
</file>