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657DC9">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657DC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2,901,113,626.72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w:t>
            </w:r>
            <w:r w:rsidRPr="007F52FA">
              <w:rPr>
                <w:color w:val="000000"/>
                <w:kern w:val="0"/>
                <w:sz w:val="24"/>
              </w:rPr>
              <w:lastRenderedPageBreak/>
              <w:t>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2,893,591,437.94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7,522,188.78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657DC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20,581,410.20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45,380.77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-42,925,253.61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-120,181.88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2,987,235,117.86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7,690,090.23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1.022</w:t>
            </w:r>
          </w:p>
        </w:tc>
      </w:tr>
    </w:tbl>
    <w:p w:rsidR="00D41BF3" w:rsidRDefault="00657DC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lastRenderedPageBreak/>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657DC9">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57DC9">
        <w:trPr>
          <w:jc w:val="center"/>
        </w:trPr>
        <w:tc>
          <w:tcPr>
            <w:tcW w:w="1266" w:type="dxa"/>
            <w:vAlign w:val="center"/>
          </w:tcPr>
          <w:p w:rsidR="00657DC9" w:rsidRPr="00962989" w:rsidRDefault="00657DC9">
            <w:pPr>
              <w:jc w:val="left"/>
            </w:pPr>
            <w:r w:rsidRPr="00962989">
              <w:rPr>
                <w:color w:val="000000"/>
                <w:sz w:val="24"/>
              </w:rPr>
              <w:t>过去三个月</w:t>
            </w:r>
          </w:p>
        </w:tc>
        <w:tc>
          <w:tcPr>
            <w:tcW w:w="1267" w:type="dxa"/>
            <w:vAlign w:val="center"/>
          </w:tcPr>
          <w:p w:rsidR="00657DC9" w:rsidRPr="00463225" w:rsidRDefault="00657DC9" w:rsidP="00962989">
            <w:pPr>
              <w:jc w:val="center"/>
              <w:rPr>
                <w:color w:val="000000"/>
                <w:sz w:val="24"/>
              </w:rPr>
            </w:pPr>
            <w:r w:rsidRPr="00463225">
              <w:rPr>
                <w:color w:val="000000"/>
                <w:sz w:val="24"/>
              </w:rPr>
              <w:t>-1.34%</w:t>
            </w:r>
          </w:p>
        </w:tc>
        <w:tc>
          <w:tcPr>
            <w:tcW w:w="1267" w:type="dxa"/>
            <w:vAlign w:val="center"/>
          </w:tcPr>
          <w:p w:rsidR="00657DC9" w:rsidRPr="00463225" w:rsidRDefault="00657DC9" w:rsidP="00962989">
            <w:pPr>
              <w:jc w:val="center"/>
              <w:rPr>
                <w:color w:val="000000"/>
                <w:sz w:val="24"/>
              </w:rPr>
            </w:pPr>
            <w:r w:rsidRPr="00463225">
              <w:rPr>
                <w:color w:val="000000"/>
                <w:sz w:val="24"/>
              </w:rPr>
              <w:t>0.11%</w:t>
            </w:r>
          </w:p>
        </w:tc>
        <w:tc>
          <w:tcPr>
            <w:tcW w:w="1267" w:type="dxa"/>
            <w:vAlign w:val="center"/>
          </w:tcPr>
          <w:p w:rsidR="00657DC9" w:rsidRPr="00463225" w:rsidRDefault="00657DC9" w:rsidP="00962989">
            <w:pPr>
              <w:jc w:val="center"/>
              <w:rPr>
                <w:color w:val="000000"/>
                <w:sz w:val="24"/>
              </w:rPr>
            </w:pPr>
            <w:r w:rsidRPr="00463225">
              <w:rPr>
                <w:color w:val="000000"/>
                <w:sz w:val="24"/>
              </w:rPr>
              <w:t>-2.31%</w:t>
            </w:r>
          </w:p>
        </w:tc>
        <w:tc>
          <w:tcPr>
            <w:tcW w:w="1267" w:type="dxa"/>
            <w:vAlign w:val="center"/>
          </w:tcPr>
          <w:p w:rsidR="00657DC9" w:rsidRPr="00463225" w:rsidRDefault="00657DC9" w:rsidP="00962989">
            <w:pPr>
              <w:jc w:val="center"/>
              <w:rPr>
                <w:color w:val="000000"/>
                <w:sz w:val="24"/>
              </w:rPr>
            </w:pPr>
            <w:r w:rsidRPr="00463225">
              <w:rPr>
                <w:color w:val="000000"/>
                <w:sz w:val="24"/>
              </w:rPr>
              <w:t>0.15%</w:t>
            </w:r>
          </w:p>
        </w:tc>
        <w:tc>
          <w:tcPr>
            <w:tcW w:w="1267" w:type="dxa"/>
            <w:vAlign w:val="center"/>
          </w:tcPr>
          <w:p w:rsidR="00657DC9" w:rsidRPr="00463225" w:rsidRDefault="00657DC9" w:rsidP="00962989">
            <w:pPr>
              <w:jc w:val="center"/>
              <w:rPr>
                <w:color w:val="000000"/>
                <w:sz w:val="24"/>
              </w:rPr>
            </w:pPr>
            <w:r w:rsidRPr="00463225">
              <w:rPr>
                <w:color w:val="000000"/>
                <w:sz w:val="24"/>
              </w:rPr>
              <w:t>0.97%</w:t>
            </w:r>
          </w:p>
        </w:tc>
        <w:tc>
          <w:tcPr>
            <w:tcW w:w="1267" w:type="dxa"/>
            <w:vAlign w:val="center"/>
          </w:tcPr>
          <w:p w:rsidR="00657DC9" w:rsidRPr="00463225" w:rsidRDefault="00657DC9" w:rsidP="00962989">
            <w:pPr>
              <w:jc w:val="center"/>
              <w:rPr>
                <w:color w:val="000000"/>
                <w:sz w:val="24"/>
              </w:rPr>
            </w:pPr>
            <w:r w:rsidRPr="00463225">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657DC9">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57DC9">
        <w:trPr>
          <w:jc w:val="center"/>
        </w:trPr>
        <w:tc>
          <w:tcPr>
            <w:tcW w:w="1266" w:type="dxa"/>
            <w:vAlign w:val="center"/>
          </w:tcPr>
          <w:p w:rsidR="00657DC9" w:rsidRPr="005D2F9A" w:rsidRDefault="00657DC9">
            <w:pPr>
              <w:jc w:val="left"/>
            </w:pPr>
            <w:r w:rsidRPr="00962989">
              <w:rPr>
                <w:color w:val="000000"/>
                <w:sz w:val="24"/>
              </w:rPr>
              <w:t>过去三个月</w:t>
            </w:r>
          </w:p>
        </w:tc>
        <w:tc>
          <w:tcPr>
            <w:tcW w:w="1267" w:type="dxa"/>
            <w:vAlign w:val="center"/>
          </w:tcPr>
          <w:p w:rsidR="00657DC9" w:rsidRPr="00463225" w:rsidRDefault="00657DC9" w:rsidP="00962989">
            <w:pPr>
              <w:jc w:val="center"/>
              <w:rPr>
                <w:color w:val="000000"/>
                <w:sz w:val="24"/>
              </w:rPr>
            </w:pPr>
            <w:r w:rsidRPr="00463225">
              <w:rPr>
                <w:color w:val="000000"/>
                <w:sz w:val="24"/>
              </w:rPr>
              <w:t>-1.45%</w:t>
            </w:r>
          </w:p>
        </w:tc>
        <w:tc>
          <w:tcPr>
            <w:tcW w:w="1267" w:type="dxa"/>
            <w:vAlign w:val="center"/>
          </w:tcPr>
          <w:p w:rsidR="00657DC9" w:rsidRPr="00463225" w:rsidRDefault="00657DC9" w:rsidP="00962989">
            <w:pPr>
              <w:jc w:val="center"/>
              <w:rPr>
                <w:color w:val="000000"/>
                <w:sz w:val="24"/>
              </w:rPr>
            </w:pPr>
            <w:r w:rsidRPr="00463225">
              <w:rPr>
                <w:color w:val="000000"/>
                <w:sz w:val="24"/>
              </w:rPr>
              <w:t>0.09%</w:t>
            </w:r>
          </w:p>
        </w:tc>
        <w:tc>
          <w:tcPr>
            <w:tcW w:w="1267" w:type="dxa"/>
            <w:vAlign w:val="center"/>
          </w:tcPr>
          <w:p w:rsidR="00657DC9" w:rsidRPr="00463225" w:rsidRDefault="00657DC9" w:rsidP="00962989">
            <w:pPr>
              <w:jc w:val="center"/>
              <w:rPr>
                <w:color w:val="000000"/>
                <w:sz w:val="24"/>
              </w:rPr>
            </w:pPr>
            <w:r w:rsidRPr="00463225">
              <w:rPr>
                <w:color w:val="000000"/>
                <w:sz w:val="24"/>
              </w:rPr>
              <w:t>-2.31%</w:t>
            </w:r>
          </w:p>
        </w:tc>
        <w:tc>
          <w:tcPr>
            <w:tcW w:w="1267" w:type="dxa"/>
            <w:vAlign w:val="center"/>
          </w:tcPr>
          <w:p w:rsidR="00657DC9" w:rsidRPr="00463225" w:rsidRDefault="00657DC9" w:rsidP="00962989">
            <w:pPr>
              <w:jc w:val="center"/>
              <w:rPr>
                <w:color w:val="000000"/>
                <w:sz w:val="24"/>
              </w:rPr>
            </w:pPr>
            <w:r w:rsidRPr="00463225">
              <w:rPr>
                <w:color w:val="000000"/>
                <w:sz w:val="24"/>
              </w:rPr>
              <w:t>0.15%</w:t>
            </w:r>
          </w:p>
        </w:tc>
        <w:tc>
          <w:tcPr>
            <w:tcW w:w="1267" w:type="dxa"/>
            <w:vAlign w:val="center"/>
          </w:tcPr>
          <w:p w:rsidR="00657DC9" w:rsidRPr="00463225" w:rsidRDefault="00657DC9" w:rsidP="00962989">
            <w:pPr>
              <w:jc w:val="center"/>
              <w:rPr>
                <w:color w:val="000000"/>
                <w:sz w:val="24"/>
              </w:rPr>
            </w:pPr>
            <w:r w:rsidRPr="00463225">
              <w:rPr>
                <w:color w:val="000000"/>
                <w:sz w:val="24"/>
              </w:rPr>
              <w:t>0.86%</w:t>
            </w:r>
          </w:p>
        </w:tc>
        <w:tc>
          <w:tcPr>
            <w:tcW w:w="1267" w:type="dxa"/>
            <w:vAlign w:val="center"/>
          </w:tcPr>
          <w:p w:rsidR="00657DC9" w:rsidRPr="00463225" w:rsidRDefault="00657DC9" w:rsidP="00962989">
            <w:pPr>
              <w:jc w:val="center"/>
              <w:rPr>
                <w:color w:val="000000"/>
                <w:sz w:val="24"/>
              </w:rPr>
            </w:pPr>
            <w:r w:rsidRPr="00463225">
              <w:rPr>
                <w:color w:val="000000"/>
                <w:sz w:val="24"/>
              </w:rPr>
              <w:t>-0.06%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657DC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41BF3">
        <w:trPr>
          <w:jc w:val="center"/>
        </w:trPr>
        <w:tc>
          <w:tcPr>
            <w:tcW w:w="946" w:type="dxa"/>
            <w:vAlign w:val="center"/>
          </w:tcPr>
          <w:p w:rsidR="00D41BF3" w:rsidRDefault="00657DC9">
            <w:pPr>
              <w:jc w:val="center"/>
            </w:pPr>
            <w:r>
              <w:rPr>
                <w:color w:val="000000"/>
                <w:sz w:val="24"/>
              </w:rPr>
              <w:t>唐赟</w:t>
            </w:r>
          </w:p>
        </w:tc>
        <w:tc>
          <w:tcPr>
            <w:tcW w:w="924" w:type="dxa"/>
            <w:vAlign w:val="center"/>
          </w:tcPr>
          <w:p w:rsidR="00D41BF3" w:rsidRDefault="00657DC9">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02" w:type="dxa"/>
            <w:vAlign w:val="center"/>
          </w:tcPr>
          <w:p w:rsidR="00D41BF3" w:rsidRDefault="00657DC9">
            <w:pPr>
              <w:jc w:val="center"/>
            </w:pPr>
            <w:r>
              <w:rPr>
                <w:color w:val="000000"/>
                <w:sz w:val="24"/>
              </w:rPr>
              <w:t>2015-08-04</w:t>
            </w:r>
          </w:p>
        </w:tc>
        <w:tc>
          <w:tcPr>
            <w:tcW w:w="1300" w:type="dxa"/>
            <w:vAlign w:val="center"/>
          </w:tcPr>
          <w:p w:rsidR="00D41BF3" w:rsidRDefault="00657DC9">
            <w:pPr>
              <w:jc w:val="center"/>
            </w:pPr>
            <w:r>
              <w:rPr>
                <w:color w:val="000000"/>
                <w:sz w:val="24"/>
              </w:rPr>
              <w:t>-</w:t>
            </w:r>
          </w:p>
        </w:tc>
        <w:tc>
          <w:tcPr>
            <w:tcW w:w="1245" w:type="dxa"/>
            <w:vAlign w:val="center"/>
          </w:tcPr>
          <w:p w:rsidR="00D41BF3" w:rsidRDefault="00657DC9">
            <w:pPr>
              <w:jc w:val="center"/>
            </w:pPr>
            <w:r>
              <w:rPr>
                <w:color w:val="000000"/>
                <w:sz w:val="24"/>
              </w:rPr>
              <w:t>4</w:t>
            </w:r>
            <w:r>
              <w:rPr>
                <w:color w:val="000000"/>
                <w:sz w:val="24"/>
              </w:rPr>
              <w:t>年</w:t>
            </w:r>
          </w:p>
        </w:tc>
        <w:tc>
          <w:tcPr>
            <w:tcW w:w="3251" w:type="dxa"/>
            <w:vAlign w:val="center"/>
          </w:tcPr>
          <w:p w:rsidR="00D41BF3" w:rsidRDefault="00657DC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41BF3" w:rsidRDefault="00657DC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1BF3" w:rsidRDefault="00657DC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1BF3" w:rsidRDefault="00657DC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41BF3" w:rsidRDefault="00657DC9">
      <w:pPr>
        <w:spacing w:before="29" w:line="288" w:lineRule="auto"/>
        <w:ind w:firstLineChars="200" w:firstLine="480"/>
        <w:rPr>
          <w:color w:val="000000"/>
          <w:sz w:val="24"/>
        </w:rPr>
      </w:pPr>
      <w:r>
        <w:rPr>
          <w:color w:val="000000"/>
          <w:sz w:val="24"/>
        </w:rPr>
        <w:t>本报告期内，受货币政策边际上收紧以及对未来监管考核担忧的影响，债券长短端收益率都出现了明显的上行。权益类资产仍然不改区间震荡的行情，</w:t>
      </w:r>
      <w:r>
        <w:rPr>
          <w:color w:val="000000"/>
          <w:sz w:val="24"/>
        </w:rPr>
        <w:t>2016</w:t>
      </w:r>
      <w:r>
        <w:rPr>
          <w:color w:val="000000"/>
          <w:sz w:val="24"/>
        </w:rPr>
        <w:t>年</w:t>
      </w:r>
      <w:r>
        <w:rPr>
          <w:color w:val="000000"/>
          <w:sz w:val="24"/>
        </w:rPr>
        <w:t>10-11</w:t>
      </w:r>
      <w:r>
        <w:rPr>
          <w:color w:val="000000"/>
          <w:sz w:val="24"/>
        </w:rPr>
        <w:t>月小幅上行，</w:t>
      </w:r>
      <w:r>
        <w:rPr>
          <w:color w:val="000000"/>
          <w:sz w:val="24"/>
        </w:rPr>
        <w:t>12</w:t>
      </w:r>
      <w:r>
        <w:rPr>
          <w:color w:val="000000"/>
          <w:sz w:val="24"/>
        </w:rPr>
        <w:t>月则持续回落。</w:t>
      </w:r>
    </w:p>
    <w:p w:rsidR="00D41BF3" w:rsidRDefault="00657DC9">
      <w:pPr>
        <w:spacing w:before="29" w:line="288" w:lineRule="auto"/>
        <w:ind w:firstLineChars="200" w:firstLine="480"/>
        <w:rPr>
          <w:color w:val="000000"/>
          <w:sz w:val="24"/>
        </w:rPr>
      </w:pPr>
      <w:r>
        <w:rPr>
          <w:color w:val="000000"/>
          <w:sz w:val="24"/>
        </w:rPr>
        <w:t>本报告期内，本基金在</w:t>
      </w:r>
      <w:r>
        <w:rPr>
          <w:color w:val="000000"/>
          <w:sz w:val="24"/>
        </w:rPr>
        <w:t>2016</w:t>
      </w:r>
      <w:r>
        <w:rPr>
          <w:color w:val="000000"/>
          <w:sz w:val="24"/>
        </w:rPr>
        <w:t>年</w:t>
      </w:r>
      <w:r>
        <w:rPr>
          <w:color w:val="000000"/>
          <w:sz w:val="24"/>
        </w:rPr>
        <w:t>10</w:t>
      </w:r>
      <w:r>
        <w:rPr>
          <w:color w:val="000000"/>
          <w:sz w:val="24"/>
        </w:rPr>
        <w:t>月中下旬减持了大部分利率债，明显降低了组合久期，有效避免了长端品种下跌对组合净值的影响。但由于短端收益率上行幅度同样较大，短期内组合净值也出现了一定幅度的回撤。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一季度，经济及通胀在一季度有望继续反弹，在一季度末之前也无法在数据层面证伪复苏的预期。叠加金融去杠杆及稳定汇率的需求，一季度货币政策转向继续放松的可能性不大，判断一季度债券市场可能将受到基本面的压力。虽然经过</w:t>
      </w:r>
      <w:r w:rsidRPr="007F52FA">
        <w:rPr>
          <w:color w:val="000000"/>
          <w:sz w:val="24"/>
        </w:rPr>
        <w:t>2016</w:t>
      </w:r>
      <w:r w:rsidRPr="007F52FA">
        <w:rPr>
          <w:color w:val="000000"/>
          <w:sz w:val="24"/>
        </w:rPr>
        <w:t>年四季度的上行后，利率债收益率从长期来看已体现一定的配置价值，但预计一季度出现明显下行的概率不大。另外，虽然</w:t>
      </w:r>
      <w:r w:rsidRPr="007F52FA">
        <w:rPr>
          <w:color w:val="000000"/>
          <w:sz w:val="24"/>
        </w:rPr>
        <w:t>2016</w:t>
      </w:r>
      <w:r w:rsidRPr="007F52FA">
        <w:rPr>
          <w:color w:val="000000"/>
          <w:sz w:val="24"/>
        </w:rPr>
        <w:t>年四季度中信用债的利差有一定上行，但仍处于历史地位。尤其是低等级信用债利差恐未能充分反映未来的信用风险。本基金在一季度仍将采取高等级短久期信用底仓的防御性策略，并根据未来基本面的变化择机用长端利率调整组合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1.032</w:t>
      </w:r>
      <w:r w:rsidRPr="007F52FA">
        <w:rPr>
          <w:color w:val="000000"/>
          <w:sz w:val="24"/>
        </w:rPr>
        <w:t>元，本报告期份额净值增长率为</w:t>
      </w:r>
      <w:r w:rsidR="005D2F9A" w:rsidRPr="008E2E1E">
        <w:rPr>
          <w:color w:val="000000"/>
          <w:sz w:val="24"/>
        </w:rPr>
        <w:t>-1.34%</w:t>
      </w:r>
      <w:r w:rsidRPr="007F52FA">
        <w:rPr>
          <w:color w:val="000000"/>
          <w:sz w:val="24"/>
        </w:rPr>
        <w:t>，同期业绩比较基准增长率为</w:t>
      </w:r>
      <w:r w:rsidR="005D2F9A" w:rsidRPr="008E2E1E">
        <w:rPr>
          <w:color w:val="000000"/>
          <w:sz w:val="24"/>
        </w:rPr>
        <w:t>-2.31%</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1.022</w:t>
      </w:r>
      <w:r w:rsidRPr="007F52FA">
        <w:rPr>
          <w:color w:val="000000"/>
          <w:sz w:val="24"/>
        </w:rPr>
        <w:t>元，本报告期份额净值增长率为</w:t>
      </w:r>
      <w:r w:rsidR="005D2F9A" w:rsidRPr="008E2E1E">
        <w:rPr>
          <w:color w:val="000000"/>
          <w:sz w:val="24"/>
        </w:rPr>
        <w:t>-1.45%</w:t>
      </w:r>
      <w:r w:rsidRPr="007F52FA">
        <w:rPr>
          <w:color w:val="000000"/>
          <w:sz w:val="24"/>
        </w:rPr>
        <w:t>，同期业绩比较基准增长率为</w:t>
      </w:r>
      <w:r w:rsidR="005D2F9A" w:rsidRPr="008E2E1E">
        <w:rPr>
          <w:color w:val="000000"/>
          <w:sz w:val="24"/>
        </w:rPr>
        <w:t>-2.31%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657DC9">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3,435,727,487.90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3,137,014,487.90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298,713,000.00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309,896,619.13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67,151,266.71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3,812,775,373.74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5D2F9A" w:rsidRPr="007F52FA" w:rsidRDefault="005D2F9A"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463225">
        <w:rPr>
          <w:rFonts w:eastAsiaTheme="minor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99,961,000.00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139,498,000.00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139,498,000.00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1,452,824,025.90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289,711,000.00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420,640,000.00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14.05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732,895,000.00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24.47</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1,485,462.00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0.05</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3,137,014,487.90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41BF3">
        <w:trPr>
          <w:jc w:val="center"/>
        </w:trPr>
        <w:tc>
          <w:tcPr>
            <w:tcW w:w="1075" w:type="dxa"/>
            <w:vAlign w:val="center"/>
          </w:tcPr>
          <w:p w:rsidR="00D41BF3" w:rsidRDefault="00657DC9">
            <w:pPr>
              <w:jc w:val="center"/>
            </w:pPr>
            <w:r>
              <w:rPr>
                <w:color w:val="000000"/>
                <w:sz w:val="24"/>
              </w:rPr>
              <w:t>1</w:t>
            </w:r>
          </w:p>
        </w:tc>
        <w:tc>
          <w:tcPr>
            <w:tcW w:w="1533" w:type="dxa"/>
            <w:vAlign w:val="center"/>
          </w:tcPr>
          <w:p w:rsidR="00D41BF3" w:rsidRDefault="00657DC9">
            <w:pPr>
              <w:jc w:val="center"/>
            </w:pPr>
            <w:r>
              <w:rPr>
                <w:color w:val="000000"/>
                <w:sz w:val="24"/>
              </w:rPr>
              <w:t>111619193</w:t>
            </w:r>
          </w:p>
        </w:tc>
        <w:tc>
          <w:tcPr>
            <w:tcW w:w="1533" w:type="dxa"/>
            <w:vAlign w:val="center"/>
          </w:tcPr>
          <w:p w:rsidR="00D41BF3" w:rsidRDefault="00657DC9">
            <w:pPr>
              <w:jc w:val="center"/>
            </w:pPr>
            <w:r>
              <w:rPr>
                <w:color w:val="000000"/>
                <w:sz w:val="24"/>
              </w:rPr>
              <w:t>16</w:t>
            </w:r>
            <w:r>
              <w:rPr>
                <w:color w:val="000000"/>
                <w:sz w:val="24"/>
              </w:rPr>
              <w:t>恒丰银行</w:t>
            </w:r>
            <w:r>
              <w:rPr>
                <w:color w:val="000000"/>
                <w:sz w:val="24"/>
              </w:rPr>
              <w:t>CD193</w:t>
            </w:r>
          </w:p>
        </w:tc>
        <w:tc>
          <w:tcPr>
            <w:tcW w:w="1394" w:type="dxa"/>
            <w:vAlign w:val="center"/>
          </w:tcPr>
          <w:p w:rsidR="00D41BF3" w:rsidRDefault="00657DC9">
            <w:pPr>
              <w:jc w:val="right"/>
            </w:pPr>
            <w:r>
              <w:rPr>
                <w:color w:val="000000"/>
                <w:sz w:val="24"/>
              </w:rPr>
              <w:t>2,000,000</w:t>
            </w:r>
          </w:p>
        </w:tc>
        <w:tc>
          <w:tcPr>
            <w:tcW w:w="1944" w:type="dxa"/>
            <w:vAlign w:val="center"/>
          </w:tcPr>
          <w:p w:rsidR="00D41BF3" w:rsidRDefault="00657DC9">
            <w:pPr>
              <w:jc w:val="right"/>
            </w:pPr>
            <w:r>
              <w:rPr>
                <w:color w:val="000000"/>
                <w:sz w:val="24"/>
              </w:rPr>
              <w:t>195,980,000.00</w:t>
            </w:r>
          </w:p>
        </w:tc>
        <w:tc>
          <w:tcPr>
            <w:tcW w:w="1389" w:type="dxa"/>
            <w:vAlign w:val="center"/>
          </w:tcPr>
          <w:p w:rsidR="00D41BF3" w:rsidRDefault="00657DC9">
            <w:pPr>
              <w:jc w:val="right"/>
            </w:pPr>
            <w:r>
              <w:rPr>
                <w:color w:val="000000"/>
                <w:sz w:val="24"/>
              </w:rPr>
              <w:t>6.54</w:t>
            </w:r>
          </w:p>
        </w:tc>
      </w:tr>
      <w:tr w:rsidR="00D41BF3">
        <w:trPr>
          <w:jc w:val="center"/>
        </w:trPr>
        <w:tc>
          <w:tcPr>
            <w:tcW w:w="1075" w:type="dxa"/>
            <w:vAlign w:val="center"/>
          </w:tcPr>
          <w:p w:rsidR="00D41BF3" w:rsidRDefault="00657DC9">
            <w:pPr>
              <w:jc w:val="center"/>
            </w:pPr>
            <w:r>
              <w:rPr>
                <w:color w:val="000000"/>
                <w:sz w:val="24"/>
              </w:rPr>
              <w:t>2</w:t>
            </w:r>
          </w:p>
        </w:tc>
        <w:tc>
          <w:tcPr>
            <w:tcW w:w="1533" w:type="dxa"/>
            <w:vAlign w:val="center"/>
          </w:tcPr>
          <w:p w:rsidR="00D41BF3" w:rsidRDefault="00657DC9">
            <w:pPr>
              <w:jc w:val="center"/>
            </w:pPr>
            <w:r>
              <w:rPr>
                <w:color w:val="000000"/>
                <w:sz w:val="24"/>
              </w:rPr>
              <w:t>111699430</w:t>
            </w:r>
          </w:p>
        </w:tc>
        <w:tc>
          <w:tcPr>
            <w:tcW w:w="1533" w:type="dxa"/>
            <w:vAlign w:val="center"/>
          </w:tcPr>
          <w:p w:rsidR="00D41BF3" w:rsidRDefault="00657DC9">
            <w:pPr>
              <w:jc w:val="center"/>
            </w:pPr>
            <w:r>
              <w:rPr>
                <w:color w:val="000000"/>
                <w:sz w:val="24"/>
              </w:rPr>
              <w:t>16</w:t>
            </w:r>
            <w:r>
              <w:rPr>
                <w:color w:val="000000"/>
                <w:sz w:val="24"/>
              </w:rPr>
              <w:t>宁波通商银行</w:t>
            </w:r>
            <w:r>
              <w:rPr>
                <w:color w:val="000000"/>
                <w:sz w:val="24"/>
              </w:rPr>
              <w:t>CD082</w:t>
            </w:r>
          </w:p>
        </w:tc>
        <w:tc>
          <w:tcPr>
            <w:tcW w:w="1394" w:type="dxa"/>
            <w:vAlign w:val="center"/>
          </w:tcPr>
          <w:p w:rsidR="00D41BF3" w:rsidRDefault="00657DC9">
            <w:pPr>
              <w:jc w:val="right"/>
            </w:pPr>
            <w:r>
              <w:rPr>
                <w:color w:val="000000"/>
                <w:sz w:val="24"/>
              </w:rPr>
              <w:t>1,500,000</w:t>
            </w:r>
          </w:p>
        </w:tc>
        <w:tc>
          <w:tcPr>
            <w:tcW w:w="1944" w:type="dxa"/>
            <w:vAlign w:val="center"/>
          </w:tcPr>
          <w:p w:rsidR="00D41BF3" w:rsidRDefault="00657DC9">
            <w:pPr>
              <w:jc w:val="right"/>
            </w:pPr>
            <w:r>
              <w:rPr>
                <w:color w:val="000000"/>
                <w:sz w:val="24"/>
              </w:rPr>
              <w:t>146,895,000.00</w:t>
            </w:r>
          </w:p>
        </w:tc>
        <w:tc>
          <w:tcPr>
            <w:tcW w:w="1389" w:type="dxa"/>
            <w:vAlign w:val="center"/>
          </w:tcPr>
          <w:p w:rsidR="00D41BF3" w:rsidRDefault="00657DC9">
            <w:pPr>
              <w:jc w:val="right"/>
            </w:pPr>
            <w:r>
              <w:rPr>
                <w:color w:val="000000"/>
                <w:sz w:val="24"/>
              </w:rPr>
              <w:t>4.90</w:t>
            </w:r>
          </w:p>
        </w:tc>
      </w:tr>
      <w:tr w:rsidR="00D41BF3">
        <w:trPr>
          <w:jc w:val="center"/>
        </w:trPr>
        <w:tc>
          <w:tcPr>
            <w:tcW w:w="1075" w:type="dxa"/>
            <w:vAlign w:val="center"/>
          </w:tcPr>
          <w:p w:rsidR="00D41BF3" w:rsidRDefault="00657DC9">
            <w:pPr>
              <w:jc w:val="center"/>
            </w:pPr>
            <w:r>
              <w:rPr>
                <w:color w:val="000000"/>
                <w:sz w:val="24"/>
              </w:rPr>
              <w:t>3</w:t>
            </w:r>
          </w:p>
        </w:tc>
        <w:tc>
          <w:tcPr>
            <w:tcW w:w="1533" w:type="dxa"/>
            <w:vAlign w:val="center"/>
          </w:tcPr>
          <w:p w:rsidR="00D41BF3" w:rsidRDefault="00657DC9">
            <w:pPr>
              <w:jc w:val="center"/>
            </w:pPr>
            <w:r>
              <w:rPr>
                <w:color w:val="000000"/>
                <w:sz w:val="24"/>
              </w:rPr>
              <w:t>1480138</w:t>
            </w:r>
          </w:p>
        </w:tc>
        <w:tc>
          <w:tcPr>
            <w:tcW w:w="1533" w:type="dxa"/>
            <w:vAlign w:val="center"/>
          </w:tcPr>
          <w:p w:rsidR="00D41BF3" w:rsidRDefault="00657DC9">
            <w:pPr>
              <w:jc w:val="center"/>
            </w:pPr>
            <w:r>
              <w:rPr>
                <w:color w:val="000000"/>
                <w:sz w:val="24"/>
              </w:rPr>
              <w:t>14</w:t>
            </w:r>
            <w:r>
              <w:rPr>
                <w:color w:val="000000"/>
                <w:sz w:val="24"/>
              </w:rPr>
              <w:t>津环城债</w:t>
            </w:r>
          </w:p>
        </w:tc>
        <w:tc>
          <w:tcPr>
            <w:tcW w:w="1394" w:type="dxa"/>
            <w:vAlign w:val="center"/>
          </w:tcPr>
          <w:p w:rsidR="00D41BF3" w:rsidRDefault="00657DC9">
            <w:pPr>
              <w:jc w:val="right"/>
            </w:pPr>
            <w:r>
              <w:rPr>
                <w:color w:val="000000"/>
                <w:sz w:val="24"/>
              </w:rPr>
              <w:t>1,300,000</w:t>
            </w:r>
          </w:p>
        </w:tc>
        <w:tc>
          <w:tcPr>
            <w:tcW w:w="1944" w:type="dxa"/>
            <w:vAlign w:val="center"/>
          </w:tcPr>
          <w:p w:rsidR="00D41BF3" w:rsidRDefault="00657DC9">
            <w:pPr>
              <w:jc w:val="right"/>
            </w:pPr>
            <w:r>
              <w:rPr>
                <w:color w:val="000000"/>
                <w:sz w:val="24"/>
              </w:rPr>
              <w:t>138,593,000.00</w:t>
            </w:r>
          </w:p>
        </w:tc>
        <w:tc>
          <w:tcPr>
            <w:tcW w:w="1389" w:type="dxa"/>
            <w:vAlign w:val="center"/>
          </w:tcPr>
          <w:p w:rsidR="00D41BF3" w:rsidRDefault="00657DC9">
            <w:pPr>
              <w:jc w:val="right"/>
            </w:pPr>
            <w:r>
              <w:rPr>
                <w:color w:val="000000"/>
                <w:sz w:val="24"/>
              </w:rPr>
              <w:t>4.63</w:t>
            </w:r>
          </w:p>
        </w:tc>
      </w:tr>
      <w:tr w:rsidR="00D41BF3">
        <w:trPr>
          <w:jc w:val="center"/>
        </w:trPr>
        <w:tc>
          <w:tcPr>
            <w:tcW w:w="1075" w:type="dxa"/>
            <w:vAlign w:val="center"/>
          </w:tcPr>
          <w:p w:rsidR="00D41BF3" w:rsidRDefault="00657DC9">
            <w:pPr>
              <w:jc w:val="center"/>
            </w:pPr>
            <w:r>
              <w:rPr>
                <w:color w:val="000000"/>
                <w:sz w:val="24"/>
              </w:rPr>
              <w:t>4</w:t>
            </w:r>
          </w:p>
        </w:tc>
        <w:tc>
          <w:tcPr>
            <w:tcW w:w="1533" w:type="dxa"/>
            <w:vAlign w:val="center"/>
          </w:tcPr>
          <w:p w:rsidR="00D41BF3" w:rsidRDefault="00657DC9">
            <w:pPr>
              <w:jc w:val="center"/>
            </w:pPr>
            <w:r>
              <w:rPr>
                <w:color w:val="000000"/>
                <w:sz w:val="24"/>
              </w:rPr>
              <w:t>101673002</w:t>
            </w:r>
          </w:p>
        </w:tc>
        <w:tc>
          <w:tcPr>
            <w:tcW w:w="1533" w:type="dxa"/>
            <w:vAlign w:val="center"/>
          </w:tcPr>
          <w:p w:rsidR="00D41BF3" w:rsidRDefault="00657DC9">
            <w:pPr>
              <w:jc w:val="center"/>
            </w:pPr>
            <w:r>
              <w:rPr>
                <w:color w:val="000000"/>
                <w:sz w:val="24"/>
              </w:rPr>
              <w:t>16</w:t>
            </w:r>
            <w:r>
              <w:rPr>
                <w:color w:val="000000"/>
                <w:sz w:val="24"/>
              </w:rPr>
              <w:t>中信国安</w:t>
            </w:r>
            <w:r>
              <w:rPr>
                <w:color w:val="000000"/>
                <w:sz w:val="24"/>
              </w:rPr>
              <w:t>MTN001</w:t>
            </w:r>
          </w:p>
        </w:tc>
        <w:tc>
          <w:tcPr>
            <w:tcW w:w="1394" w:type="dxa"/>
            <w:vAlign w:val="center"/>
          </w:tcPr>
          <w:p w:rsidR="00D41BF3" w:rsidRDefault="00657DC9">
            <w:pPr>
              <w:jc w:val="right"/>
            </w:pPr>
            <w:r>
              <w:rPr>
                <w:color w:val="000000"/>
                <w:sz w:val="24"/>
              </w:rPr>
              <w:t>1,300,000</w:t>
            </w:r>
          </w:p>
        </w:tc>
        <w:tc>
          <w:tcPr>
            <w:tcW w:w="1944" w:type="dxa"/>
            <w:vAlign w:val="center"/>
          </w:tcPr>
          <w:p w:rsidR="00D41BF3" w:rsidRDefault="00657DC9">
            <w:pPr>
              <w:jc w:val="right"/>
            </w:pPr>
            <w:r>
              <w:rPr>
                <w:color w:val="000000"/>
                <w:sz w:val="24"/>
              </w:rPr>
              <w:t>126,698,000.00</w:t>
            </w:r>
          </w:p>
        </w:tc>
        <w:tc>
          <w:tcPr>
            <w:tcW w:w="1389" w:type="dxa"/>
            <w:vAlign w:val="center"/>
          </w:tcPr>
          <w:p w:rsidR="00D41BF3" w:rsidRDefault="00657DC9">
            <w:pPr>
              <w:jc w:val="right"/>
            </w:pPr>
            <w:r>
              <w:rPr>
                <w:color w:val="000000"/>
                <w:sz w:val="24"/>
              </w:rPr>
              <w:t>4.23</w:t>
            </w:r>
          </w:p>
        </w:tc>
      </w:tr>
      <w:tr w:rsidR="00D41BF3">
        <w:trPr>
          <w:jc w:val="center"/>
        </w:trPr>
        <w:tc>
          <w:tcPr>
            <w:tcW w:w="1075" w:type="dxa"/>
            <w:vAlign w:val="center"/>
          </w:tcPr>
          <w:p w:rsidR="00D41BF3" w:rsidRDefault="00657DC9">
            <w:pPr>
              <w:jc w:val="center"/>
            </w:pPr>
            <w:r>
              <w:rPr>
                <w:color w:val="000000"/>
                <w:sz w:val="24"/>
              </w:rPr>
              <w:t>5</w:t>
            </w:r>
          </w:p>
        </w:tc>
        <w:tc>
          <w:tcPr>
            <w:tcW w:w="1533" w:type="dxa"/>
            <w:vAlign w:val="center"/>
          </w:tcPr>
          <w:p w:rsidR="00D41BF3" w:rsidRDefault="00657DC9">
            <w:pPr>
              <w:jc w:val="center"/>
            </w:pPr>
            <w:r>
              <w:rPr>
                <w:color w:val="000000"/>
                <w:sz w:val="24"/>
              </w:rPr>
              <w:t>1380185</w:t>
            </w:r>
          </w:p>
        </w:tc>
        <w:tc>
          <w:tcPr>
            <w:tcW w:w="1533" w:type="dxa"/>
            <w:vAlign w:val="center"/>
          </w:tcPr>
          <w:p w:rsidR="00D41BF3" w:rsidRDefault="00657DC9">
            <w:pPr>
              <w:jc w:val="center"/>
            </w:pPr>
            <w:r>
              <w:rPr>
                <w:color w:val="000000"/>
                <w:sz w:val="24"/>
              </w:rPr>
              <w:t>13</w:t>
            </w:r>
            <w:r>
              <w:rPr>
                <w:color w:val="000000"/>
                <w:sz w:val="24"/>
              </w:rPr>
              <w:t>鞍山城投债</w:t>
            </w:r>
          </w:p>
        </w:tc>
        <w:tc>
          <w:tcPr>
            <w:tcW w:w="1394" w:type="dxa"/>
            <w:vAlign w:val="center"/>
          </w:tcPr>
          <w:p w:rsidR="00D41BF3" w:rsidRDefault="00657DC9">
            <w:pPr>
              <w:jc w:val="right"/>
            </w:pPr>
            <w:r>
              <w:rPr>
                <w:color w:val="000000"/>
                <w:sz w:val="24"/>
              </w:rPr>
              <w:t>1,400,000</w:t>
            </w:r>
          </w:p>
        </w:tc>
        <w:tc>
          <w:tcPr>
            <w:tcW w:w="1944" w:type="dxa"/>
            <w:vAlign w:val="center"/>
          </w:tcPr>
          <w:p w:rsidR="00D41BF3" w:rsidRDefault="00657DC9">
            <w:pPr>
              <w:jc w:val="right"/>
            </w:pPr>
            <w:r>
              <w:rPr>
                <w:color w:val="000000"/>
                <w:sz w:val="24"/>
              </w:rPr>
              <w:t>115,738,000.00</w:t>
            </w:r>
          </w:p>
        </w:tc>
        <w:tc>
          <w:tcPr>
            <w:tcW w:w="1389" w:type="dxa"/>
            <w:vAlign w:val="center"/>
          </w:tcPr>
          <w:p w:rsidR="00D41BF3" w:rsidRDefault="00657DC9">
            <w:pPr>
              <w:jc w:val="right"/>
            </w:pPr>
            <w:r>
              <w:rPr>
                <w:color w:val="000000"/>
                <w:sz w:val="24"/>
              </w:rPr>
              <w:t>3.86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31"/>
        <w:gridCol w:w="1429"/>
        <w:gridCol w:w="1534"/>
        <w:gridCol w:w="1448"/>
        <w:gridCol w:w="1716"/>
        <w:gridCol w:w="141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D41BF3">
        <w:trPr>
          <w:jc w:val="center"/>
        </w:trPr>
        <w:tc>
          <w:tcPr>
            <w:tcW w:w="0" w:type="auto"/>
            <w:vAlign w:val="center"/>
          </w:tcPr>
          <w:p w:rsidR="00D41BF3" w:rsidRDefault="00657DC9">
            <w:pPr>
              <w:jc w:val="center"/>
            </w:pPr>
            <w:r>
              <w:rPr>
                <w:color w:val="000000"/>
                <w:sz w:val="24"/>
              </w:rPr>
              <w:t>1</w:t>
            </w:r>
          </w:p>
        </w:tc>
        <w:tc>
          <w:tcPr>
            <w:tcW w:w="0" w:type="auto"/>
            <w:vAlign w:val="center"/>
          </w:tcPr>
          <w:p w:rsidR="00D41BF3" w:rsidRDefault="00657DC9">
            <w:pPr>
              <w:jc w:val="center"/>
            </w:pPr>
            <w:r>
              <w:rPr>
                <w:color w:val="000000"/>
                <w:sz w:val="24"/>
              </w:rPr>
              <w:t>1589279</w:t>
            </w:r>
          </w:p>
        </w:tc>
        <w:tc>
          <w:tcPr>
            <w:tcW w:w="0" w:type="auto"/>
            <w:vAlign w:val="center"/>
          </w:tcPr>
          <w:p w:rsidR="00D41BF3" w:rsidRDefault="00657DC9">
            <w:pPr>
              <w:jc w:val="center"/>
            </w:pPr>
            <w:r>
              <w:rPr>
                <w:color w:val="000000"/>
                <w:sz w:val="24"/>
              </w:rPr>
              <w:t>15</w:t>
            </w:r>
            <w:r>
              <w:rPr>
                <w:color w:val="000000"/>
                <w:sz w:val="24"/>
              </w:rPr>
              <w:t>开元</w:t>
            </w:r>
            <w:r>
              <w:rPr>
                <w:color w:val="000000"/>
                <w:sz w:val="24"/>
              </w:rPr>
              <w:t>8</w:t>
            </w:r>
            <w:r>
              <w:rPr>
                <w:color w:val="000000"/>
                <w:sz w:val="24"/>
              </w:rPr>
              <w:t>优先</w:t>
            </w:r>
          </w:p>
        </w:tc>
        <w:tc>
          <w:tcPr>
            <w:tcW w:w="0" w:type="auto"/>
            <w:vAlign w:val="center"/>
          </w:tcPr>
          <w:p w:rsidR="00D41BF3" w:rsidRDefault="00657DC9">
            <w:pPr>
              <w:jc w:val="right"/>
            </w:pPr>
            <w:r>
              <w:rPr>
                <w:color w:val="000000"/>
                <w:sz w:val="24"/>
              </w:rPr>
              <w:t>2,300,000</w:t>
            </w:r>
          </w:p>
        </w:tc>
        <w:tc>
          <w:tcPr>
            <w:tcW w:w="0" w:type="auto"/>
            <w:vAlign w:val="center"/>
          </w:tcPr>
          <w:p w:rsidR="00D41BF3" w:rsidRDefault="00657DC9">
            <w:pPr>
              <w:jc w:val="right"/>
            </w:pPr>
            <w:r>
              <w:rPr>
                <w:color w:val="000000"/>
                <w:sz w:val="24"/>
              </w:rPr>
              <w:t>229,563,000.00</w:t>
            </w:r>
          </w:p>
        </w:tc>
        <w:tc>
          <w:tcPr>
            <w:tcW w:w="0" w:type="auto"/>
            <w:vAlign w:val="center"/>
          </w:tcPr>
          <w:p w:rsidR="00D41BF3" w:rsidRDefault="00657DC9">
            <w:pPr>
              <w:jc w:val="right"/>
            </w:pPr>
            <w:r>
              <w:rPr>
                <w:color w:val="000000"/>
                <w:sz w:val="24"/>
              </w:rPr>
              <w:t>7.67</w:t>
            </w:r>
          </w:p>
        </w:tc>
      </w:tr>
      <w:tr w:rsidR="00D41BF3">
        <w:trPr>
          <w:jc w:val="center"/>
        </w:trPr>
        <w:tc>
          <w:tcPr>
            <w:tcW w:w="0" w:type="auto"/>
            <w:vAlign w:val="center"/>
          </w:tcPr>
          <w:p w:rsidR="00D41BF3" w:rsidRDefault="00657DC9">
            <w:pPr>
              <w:jc w:val="center"/>
            </w:pPr>
            <w:r>
              <w:rPr>
                <w:color w:val="000000"/>
                <w:sz w:val="24"/>
              </w:rPr>
              <w:t>2</w:t>
            </w:r>
          </w:p>
        </w:tc>
        <w:tc>
          <w:tcPr>
            <w:tcW w:w="0" w:type="auto"/>
            <w:vAlign w:val="center"/>
          </w:tcPr>
          <w:p w:rsidR="00D41BF3" w:rsidRDefault="00657DC9">
            <w:pPr>
              <w:jc w:val="center"/>
            </w:pPr>
            <w:r>
              <w:rPr>
                <w:color w:val="000000"/>
                <w:sz w:val="24"/>
              </w:rPr>
              <w:t>1589213</w:t>
            </w:r>
          </w:p>
        </w:tc>
        <w:tc>
          <w:tcPr>
            <w:tcW w:w="0" w:type="auto"/>
            <w:vAlign w:val="center"/>
          </w:tcPr>
          <w:p w:rsidR="00D41BF3" w:rsidRDefault="00657DC9">
            <w:pPr>
              <w:jc w:val="center"/>
            </w:pPr>
            <w:r>
              <w:rPr>
                <w:color w:val="000000"/>
                <w:sz w:val="24"/>
              </w:rPr>
              <w:t>15</w:t>
            </w:r>
            <w:r>
              <w:rPr>
                <w:color w:val="000000"/>
                <w:sz w:val="24"/>
              </w:rPr>
              <w:t>开元</w:t>
            </w:r>
            <w:r>
              <w:rPr>
                <w:color w:val="000000"/>
                <w:sz w:val="24"/>
              </w:rPr>
              <w:t>5A3</w:t>
            </w:r>
          </w:p>
        </w:tc>
        <w:tc>
          <w:tcPr>
            <w:tcW w:w="0" w:type="auto"/>
            <w:vAlign w:val="center"/>
          </w:tcPr>
          <w:p w:rsidR="00D41BF3" w:rsidRDefault="00657DC9">
            <w:pPr>
              <w:jc w:val="right"/>
            </w:pPr>
            <w:r>
              <w:rPr>
                <w:color w:val="000000"/>
                <w:sz w:val="24"/>
              </w:rPr>
              <w:t>400,000</w:t>
            </w:r>
          </w:p>
        </w:tc>
        <w:tc>
          <w:tcPr>
            <w:tcW w:w="0" w:type="auto"/>
            <w:vAlign w:val="center"/>
          </w:tcPr>
          <w:p w:rsidR="00D41BF3" w:rsidRDefault="00657DC9">
            <w:pPr>
              <w:jc w:val="right"/>
            </w:pPr>
            <w:r>
              <w:rPr>
                <w:color w:val="000000"/>
                <w:sz w:val="24"/>
              </w:rPr>
              <w:t>31,276,000.00</w:t>
            </w:r>
          </w:p>
        </w:tc>
        <w:tc>
          <w:tcPr>
            <w:tcW w:w="0" w:type="auto"/>
            <w:vAlign w:val="center"/>
          </w:tcPr>
          <w:p w:rsidR="00D41BF3" w:rsidRDefault="00657DC9">
            <w:pPr>
              <w:jc w:val="right"/>
            </w:pPr>
            <w:r>
              <w:rPr>
                <w:color w:val="000000"/>
                <w:sz w:val="24"/>
              </w:rPr>
              <w:t>1.04</w:t>
            </w:r>
          </w:p>
        </w:tc>
      </w:tr>
      <w:tr w:rsidR="00D41BF3">
        <w:trPr>
          <w:jc w:val="center"/>
        </w:trPr>
        <w:tc>
          <w:tcPr>
            <w:tcW w:w="0" w:type="auto"/>
            <w:vAlign w:val="center"/>
          </w:tcPr>
          <w:p w:rsidR="00D41BF3" w:rsidRDefault="00657DC9">
            <w:pPr>
              <w:jc w:val="center"/>
            </w:pPr>
            <w:r>
              <w:rPr>
                <w:color w:val="000000"/>
                <w:sz w:val="24"/>
              </w:rPr>
              <w:t>3</w:t>
            </w:r>
          </w:p>
        </w:tc>
        <w:tc>
          <w:tcPr>
            <w:tcW w:w="0" w:type="auto"/>
            <w:vAlign w:val="center"/>
          </w:tcPr>
          <w:p w:rsidR="00D41BF3" w:rsidRDefault="00657DC9">
            <w:pPr>
              <w:jc w:val="center"/>
            </w:pPr>
            <w:r>
              <w:rPr>
                <w:color w:val="000000"/>
                <w:sz w:val="24"/>
              </w:rPr>
              <w:t>1689247</w:t>
            </w:r>
          </w:p>
        </w:tc>
        <w:tc>
          <w:tcPr>
            <w:tcW w:w="0" w:type="auto"/>
            <w:vAlign w:val="center"/>
          </w:tcPr>
          <w:p w:rsidR="00D41BF3" w:rsidRDefault="00657DC9">
            <w:pPr>
              <w:jc w:val="center"/>
            </w:pPr>
            <w:r>
              <w:rPr>
                <w:color w:val="000000"/>
                <w:sz w:val="24"/>
              </w:rPr>
              <w:t>16</w:t>
            </w:r>
            <w:r>
              <w:rPr>
                <w:color w:val="000000"/>
                <w:sz w:val="24"/>
              </w:rPr>
              <w:t>上和</w:t>
            </w:r>
            <w:r>
              <w:rPr>
                <w:color w:val="000000"/>
                <w:sz w:val="24"/>
              </w:rPr>
              <w:t>1A2</w:t>
            </w:r>
          </w:p>
        </w:tc>
        <w:tc>
          <w:tcPr>
            <w:tcW w:w="0" w:type="auto"/>
            <w:vAlign w:val="center"/>
          </w:tcPr>
          <w:p w:rsidR="00D41BF3" w:rsidRDefault="00657DC9">
            <w:pPr>
              <w:jc w:val="right"/>
            </w:pPr>
            <w:r>
              <w:rPr>
                <w:color w:val="000000"/>
                <w:sz w:val="24"/>
              </w:rPr>
              <w:t>200,000</w:t>
            </w:r>
          </w:p>
        </w:tc>
        <w:tc>
          <w:tcPr>
            <w:tcW w:w="0" w:type="auto"/>
            <w:vAlign w:val="center"/>
          </w:tcPr>
          <w:p w:rsidR="00D41BF3" w:rsidRDefault="00657DC9">
            <w:pPr>
              <w:jc w:val="right"/>
            </w:pPr>
            <w:r>
              <w:rPr>
                <w:color w:val="000000"/>
                <w:sz w:val="24"/>
              </w:rPr>
              <w:t>19,874,000.00</w:t>
            </w:r>
          </w:p>
        </w:tc>
        <w:tc>
          <w:tcPr>
            <w:tcW w:w="0" w:type="auto"/>
            <w:vAlign w:val="center"/>
          </w:tcPr>
          <w:p w:rsidR="00D41BF3" w:rsidRDefault="00657DC9">
            <w:pPr>
              <w:jc w:val="right"/>
            </w:pPr>
            <w:r>
              <w:rPr>
                <w:color w:val="000000"/>
                <w:sz w:val="24"/>
              </w:rPr>
              <w:t>0.66</w:t>
            </w:r>
          </w:p>
        </w:tc>
      </w:tr>
      <w:tr w:rsidR="00D41BF3">
        <w:trPr>
          <w:jc w:val="center"/>
        </w:trPr>
        <w:tc>
          <w:tcPr>
            <w:tcW w:w="0" w:type="auto"/>
            <w:vAlign w:val="center"/>
          </w:tcPr>
          <w:p w:rsidR="00D41BF3" w:rsidRDefault="00657DC9">
            <w:pPr>
              <w:jc w:val="center"/>
            </w:pPr>
            <w:r>
              <w:rPr>
                <w:color w:val="000000"/>
                <w:sz w:val="24"/>
              </w:rPr>
              <w:t>4</w:t>
            </w:r>
          </w:p>
        </w:tc>
        <w:tc>
          <w:tcPr>
            <w:tcW w:w="0" w:type="auto"/>
            <w:vAlign w:val="center"/>
          </w:tcPr>
          <w:p w:rsidR="00D41BF3" w:rsidRDefault="00657DC9">
            <w:pPr>
              <w:jc w:val="center"/>
            </w:pPr>
            <w:r>
              <w:rPr>
                <w:color w:val="000000"/>
                <w:sz w:val="24"/>
              </w:rPr>
              <w:t>123928</w:t>
            </w:r>
          </w:p>
        </w:tc>
        <w:tc>
          <w:tcPr>
            <w:tcW w:w="0" w:type="auto"/>
            <w:vAlign w:val="center"/>
          </w:tcPr>
          <w:p w:rsidR="00D41BF3" w:rsidRDefault="00657DC9">
            <w:pPr>
              <w:jc w:val="center"/>
            </w:pPr>
            <w:r>
              <w:rPr>
                <w:color w:val="000000"/>
                <w:sz w:val="24"/>
              </w:rPr>
              <w:t>高新热</w:t>
            </w:r>
            <w:r>
              <w:rPr>
                <w:color w:val="000000"/>
                <w:sz w:val="24"/>
              </w:rPr>
              <w:t>03</w:t>
            </w:r>
          </w:p>
        </w:tc>
        <w:tc>
          <w:tcPr>
            <w:tcW w:w="0" w:type="auto"/>
            <w:vAlign w:val="center"/>
          </w:tcPr>
          <w:p w:rsidR="00D41BF3" w:rsidRDefault="00657DC9">
            <w:pPr>
              <w:jc w:val="right"/>
            </w:pPr>
            <w:r>
              <w:rPr>
                <w:color w:val="000000"/>
                <w:sz w:val="24"/>
              </w:rPr>
              <w:t>70,000</w:t>
            </w:r>
          </w:p>
        </w:tc>
        <w:tc>
          <w:tcPr>
            <w:tcW w:w="0" w:type="auto"/>
            <w:vAlign w:val="center"/>
          </w:tcPr>
          <w:p w:rsidR="00D41BF3" w:rsidRDefault="00657DC9">
            <w:pPr>
              <w:jc w:val="right"/>
            </w:pPr>
            <w:r>
              <w:rPr>
                <w:color w:val="000000"/>
                <w:sz w:val="24"/>
              </w:rPr>
              <w:t>7,000,000.00</w:t>
            </w:r>
          </w:p>
        </w:tc>
        <w:tc>
          <w:tcPr>
            <w:tcW w:w="0" w:type="auto"/>
            <w:vAlign w:val="center"/>
          </w:tcPr>
          <w:p w:rsidR="00D41BF3" w:rsidRDefault="00657DC9">
            <w:pPr>
              <w:jc w:val="right"/>
            </w:pPr>
            <w:r>
              <w:rPr>
                <w:color w:val="000000"/>
                <w:sz w:val="24"/>
              </w:rPr>
              <w:t>0.23</w:t>
            </w:r>
          </w:p>
        </w:tc>
      </w:tr>
      <w:tr w:rsidR="00D41BF3">
        <w:trPr>
          <w:jc w:val="center"/>
        </w:trPr>
        <w:tc>
          <w:tcPr>
            <w:tcW w:w="0" w:type="auto"/>
            <w:vAlign w:val="center"/>
          </w:tcPr>
          <w:p w:rsidR="00D41BF3" w:rsidRDefault="00657DC9">
            <w:pPr>
              <w:jc w:val="center"/>
            </w:pPr>
            <w:r>
              <w:rPr>
                <w:color w:val="000000"/>
                <w:sz w:val="24"/>
              </w:rPr>
              <w:t>5</w:t>
            </w:r>
          </w:p>
        </w:tc>
        <w:tc>
          <w:tcPr>
            <w:tcW w:w="0" w:type="auto"/>
            <w:vAlign w:val="center"/>
          </w:tcPr>
          <w:p w:rsidR="00D41BF3" w:rsidRDefault="00657DC9">
            <w:pPr>
              <w:jc w:val="center"/>
            </w:pPr>
            <w:r>
              <w:rPr>
                <w:color w:val="000000"/>
                <w:sz w:val="24"/>
              </w:rPr>
              <w:t>123927</w:t>
            </w:r>
          </w:p>
        </w:tc>
        <w:tc>
          <w:tcPr>
            <w:tcW w:w="0" w:type="auto"/>
            <w:vAlign w:val="center"/>
          </w:tcPr>
          <w:p w:rsidR="00D41BF3" w:rsidRDefault="00657DC9">
            <w:pPr>
              <w:jc w:val="center"/>
            </w:pPr>
            <w:r>
              <w:rPr>
                <w:color w:val="000000"/>
                <w:sz w:val="24"/>
              </w:rPr>
              <w:t>高新热</w:t>
            </w:r>
            <w:r>
              <w:rPr>
                <w:color w:val="000000"/>
                <w:sz w:val="24"/>
              </w:rPr>
              <w:t>02</w:t>
            </w:r>
          </w:p>
        </w:tc>
        <w:tc>
          <w:tcPr>
            <w:tcW w:w="0" w:type="auto"/>
            <w:vAlign w:val="center"/>
          </w:tcPr>
          <w:p w:rsidR="00D41BF3" w:rsidRDefault="00657DC9">
            <w:pPr>
              <w:jc w:val="right"/>
            </w:pPr>
            <w:r>
              <w:rPr>
                <w:color w:val="000000"/>
                <w:sz w:val="24"/>
              </w:rPr>
              <w:t>60,000</w:t>
            </w:r>
          </w:p>
        </w:tc>
        <w:tc>
          <w:tcPr>
            <w:tcW w:w="0" w:type="auto"/>
            <w:vAlign w:val="center"/>
          </w:tcPr>
          <w:p w:rsidR="00D41BF3" w:rsidRDefault="00657DC9">
            <w:pPr>
              <w:jc w:val="right"/>
            </w:pPr>
            <w:r>
              <w:rPr>
                <w:color w:val="000000"/>
                <w:sz w:val="24"/>
              </w:rPr>
              <w:t>6,000,000.00</w:t>
            </w:r>
          </w:p>
        </w:tc>
        <w:tc>
          <w:tcPr>
            <w:tcW w:w="0" w:type="auto"/>
            <w:vAlign w:val="center"/>
          </w:tcPr>
          <w:p w:rsidR="00D41BF3" w:rsidRDefault="00657DC9">
            <w:pPr>
              <w:jc w:val="right"/>
            </w:pPr>
            <w:r>
              <w:rPr>
                <w:color w:val="000000"/>
                <w:sz w:val="24"/>
              </w:rPr>
              <w:t>0.20</w:t>
            </w:r>
          </w:p>
        </w:tc>
      </w:tr>
      <w:tr w:rsidR="00D41BF3">
        <w:trPr>
          <w:jc w:val="center"/>
        </w:trPr>
        <w:tc>
          <w:tcPr>
            <w:tcW w:w="0" w:type="auto"/>
            <w:vAlign w:val="center"/>
          </w:tcPr>
          <w:p w:rsidR="00D41BF3" w:rsidRDefault="00657DC9">
            <w:pPr>
              <w:jc w:val="center"/>
            </w:pPr>
            <w:r>
              <w:rPr>
                <w:color w:val="000000"/>
                <w:sz w:val="24"/>
              </w:rPr>
              <w:t>6</w:t>
            </w:r>
          </w:p>
        </w:tc>
        <w:tc>
          <w:tcPr>
            <w:tcW w:w="0" w:type="auto"/>
            <w:vAlign w:val="center"/>
          </w:tcPr>
          <w:p w:rsidR="00D41BF3" w:rsidRDefault="00657DC9">
            <w:pPr>
              <w:jc w:val="center"/>
            </w:pPr>
            <w:r>
              <w:rPr>
                <w:color w:val="000000"/>
                <w:sz w:val="24"/>
              </w:rPr>
              <w:t>123929</w:t>
            </w:r>
          </w:p>
        </w:tc>
        <w:tc>
          <w:tcPr>
            <w:tcW w:w="0" w:type="auto"/>
            <w:vAlign w:val="center"/>
          </w:tcPr>
          <w:p w:rsidR="00D41BF3" w:rsidRDefault="00657DC9">
            <w:pPr>
              <w:jc w:val="center"/>
            </w:pPr>
            <w:r>
              <w:rPr>
                <w:color w:val="000000"/>
                <w:sz w:val="24"/>
              </w:rPr>
              <w:t>高新热</w:t>
            </w:r>
            <w:r>
              <w:rPr>
                <w:color w:val="000000"/>
                <w:sz w:val="24"/>
              </w:rPr>
              <w:t>04</w:t>
            </w:r>
          </w:p>
        </w:tc>
        <w:tc>
          <w:tcPr>
            <w:tcW w:w="0" w:type="auto"/>
            <w:vAlign w:val="center"/>
          </w:tcPr>
          <w:p w:rsidR="00D41BF3" w:rsidRDefault="00657DC9">
            <w:pPr>
              <w:jc w:val="right"/>
            </w:pPr>
            <w:r>
              <w:rPr>
                <w:color w:val="000000"/>
                <w:sz w:val="24"/>
              </w:rPr>
              <w:t>50,000</w:t>
            </w:r>
          </w:p>
        </w:tc>
        <w:tc>
          <w:tcPr>
            <w:tcW w:w="0" w:type="auto"/>
            <w:vAlign w:val="center"/>
          </w:tcPr>
          <w:p w:rsidR="00D41BF3" w:rsidRDefault="00657DC9">
            <w:pPr>
              <w:jc w:val="right"/>
            </w:pPr>
            <w:r>
              <w:rPr>
                <w:color w:val="000000"/>
                <w:sz w:val="24"/>
              </w:rPr>
              <w:t>5,000,000.00</w:t>
            </w:r>
          </w:p>
        </w:tc>
        <w:tc>
          <w:tcPr>
            <w:tcW w:w="0" w:type="auto"/>
            <w:vAlign w:val="center"/>
          </w:tcPr>
          <w:p w:rsidR="00D41BF3" w:rsidRDefault="00657DC9">
            <w:pPr>
              <w:jc w:val="right"/>
            </w:pPr>
            <w:r>
              <w:rPr>
                <w:color w:val="000000"/>
                <w:sz w:val="24"/>
              </w:rPr>
              <w:t>0.17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67,146,666.71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67,151,266.71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657DC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3,094,658,880.73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8,295,469.21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251,270.99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145,363.60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201,318,713.78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918,644.03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2,893,591,437.94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7,522,188.78</w:t>
            </w:r>
          </w:p>
        </w:tc>
      </w:tr>
    </w:tbl>
    <w:p w:rsidR="00D41BF3" w:rsidRDefault="00657DC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657DC9">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657DC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41BF3" w:rsidRDefault="00657DC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989" w:rsidRDefault="00962989">
      <w:r>
        <w:separator/>
      </w:r>
    </w:p>
  </w:endnote>
  <w:endnote w:type="continuationSeparator" w:id="0">
    <w:p w:rsidR="00962989" w:rsidRDefault="0096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89" w:rsidRPr="001D0DB0" w:rsidRDefault="00962989"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63225">
      <w:rPr>
        <w:noProof/>
        <w:kern w:val="0"/>
        <w:szCs w:val="21"/>
      </w:rPr>
      <w:t>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63225">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89" w:rsidRDefault="0096298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2989" w:rsidRDefault="009629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989" w:rsidRDefault="00962989">
      <w:r>
        <w:separator/>
      </w:r>
    </w:p>
  </w:footnote>
  <w:footnote w:type="continuationSeparator" w:id="0">
    <w:p w:rsidR="00962989" w:rsidRDefault="00962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989" w:rsidRPr="002567DB" w:rsidRDefault="005D2F9A" w:rsidP="001207F2">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-318770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225"/>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2F9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57DC9"/>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989"/>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1BF3"/>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36F50278-C925-4D39-9281-C802178A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500E-6622-4790-8B66-27FD4168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12</Pages>
  <Words>5155</Words>
  <Characters>1886</Characters>
  <Application>Microsoft Office Word</Application>
  <DocSecurity>0</DocSecurity>
  <Lines>15</Lines>
  <Paragraphs>14</Paragraphs>
  <ScaleCrop>false</ScaleCrop>
  <Company>TRT. Ltd. Co.</Company>
  <LinksUpToDate>false</LinksUpToDate>
  <CharactersWithSpaces>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孙艳</cp:lastModifiedBy>
  <cp:revision>2</cp:revision>
  <cp:lastPrinted>2007-07-19T00:46:00Z</cp:lastPrinted>
  <dcterms:created xsi:type="dcterms:W3CDTF">2017-01-17T10:30:00Z</dcterms:created>
  <dcterms:modified xsi:type="dcterms:W3CDTF">2017-01-17T10:30:00Z</dcterms:modified>
</cp:coreProperties>
</file>