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二〇一七年一月十九日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163D1" w:rsidRDefault="00405AA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163D1" w:rsidRDefault="00405AA9">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163D1" w:rsidRDefault="00405AA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163D1" w:rsidRDefault="00405AA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163D1" w:rsidRDefault="00405AA9">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2,008,857,763.36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8,491,238.98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2,000,366,524.38</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54,746.22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8,754,873.38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54,746.22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8,754,873.38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8,491,238.98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2,000,366,524.38</w:t>
            </w:r>
          </w:p>
        </w:tc>
      </w:tr>
    </w:tbl>
    <w:p w:rsidR="00F163D1" w:rsidRDefault="00405AA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163D1">
        <w:trPr>
          <w:jc w:val="center"/>
        </w:trPr>
        <w:tc>
          <w:tcPr>
            <w:tcW w:w="1266" w:type="dxa"/>
            <w:vAlign w:val="center"/>
          </w:tcPr>
          <w:p w:rsidR="00F163D1" w:rsidRDefault="00405AA9">
            <w:pPr>
              <w:jc w:val="left"/>
            </w:pPr>
            <w:r>
              <w:rPr>
                <w:color w:val="000000"/>
              </w:rPr>
              <w:lastRenderedPageBreak/>
              <w:t>过去三个月</w:t>
            </w:r>
          </w:p>
        </w:tc>
        <w:tc>
          <w:tcPr>
            <w:tcW w:w="1267" w:type="dxa"/>
            <w:vAlign w:val="center"/>
          </w:tcPr>
          <w:p w:rsidR="00F163D1" w:rsidRDefault="00405AA9">
            <w:pPr>
              <w:jc w:val="center"/>
            </w:pPr>
            <w:r>
              <w:rPr>
                <w:color w:val="000000"/>
              </w:rPr>
              <w:t>0.6300%</w:t>
            </w:r>
          </w:p>
        </w:tc>
        <w:tc>
          <w:tcPr>
            <w:tcW w:w="1267" w:type="dxa"/>
            <w:vAlign w:val="center"/>
          </w:tcPr>
          <w:p w:rsidR="00F163D1" w:rsidRDefault="00405AA9">
            <w:pPr>
              <w:jc w:val="center"/>
            </w:pPr>
            <w:r>
              <w:rPr>
                <w:color w:val="000000"/>
              </w:rPr>
              <w:t>0.0015%</w:t>
            </w:r>
          </w:p>
        </w:tc>
        <w:tc>
          <w:tcPr>
            <w:tcW w:w="1267" w:type="dxa"/>
            <w:vAlign w:val="center"/>
          </w:tcPr>
          <w:p w:rsidR="00F163D1" w:rsidRDefault="00405AA9">
            <w:pPr>
              <w:jc w:val="center"/>
            </w:pPr>
            <w:r>
              <w:rPr>
                <w:color w:val="000000"/>
              </w:rPr>
              <w:t>0.3403%</w:t>
            </w:r>
          </w:p>
        </w:tc>
        <w:tc>
          <w:tcPr>
            <w:tcW w:w="1267" w:type="dxa"/>
            <w:vAlign w:val="center"/>
          </w:tcPr>
          <w:p w:rsidR="00F163D1" w:rsidRDefault="00405AA9">
            <w:pPr>
              <w:jc w:val="center"/>
            </w:pPr>
            <w:r>
              <w:rPr>
                <w:color w:val="000000"/>
              </w:rPr>
              <w:t>0.0000%</w:t>
            </w:r>
          </w:p>
        </w:tc>
        <w:tc>
          <w:tcPr>
            <w:tcW w:w="1267" w:type="dxa"/>
            <w:vAlign w:val="center"/>
          </w:tcPr>
          <w:p w:rsidR="00F163D1" w:rsidRDefault="00405AA9">
            <w:pPr>
              <w:jc w:val="center"/>
            </w:pPr>
            <w:r>
              <w:rPr>
                <w:color w:val="000000"/>
              </w:rPr>
              <w:t>0.2897%</w:t>
            </w:r>
          </w:p>
        </w:tc>
        <w:tc>
          <w:tcPr>
            <w:tcW w:w="1267" w:type="dxa"/>
            <w:vAlign w:val="center"/>
          </w:tcPr>
          <w:p w:rsidR="00F163D1" w:rsidRDefault="00405AA9">
            <w:pPr>
              <w:jc w:val="center"/>
            </w:pPr>
            <w:r>
              <w:rPr>
                <w:color w:val="000000"/>
              </w:rPr>
              <w:t>0.0015%</w:t>
            </w:r>
          </w:p>
        </w:tc>
      </w:tr>
    </w:tbl>
    <w:p w:rsidR="00F163D1" w:rsidRDefault="00405AA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163D1">
        <w:trPr>
          <w:jc w:val="center"/>
        </w:trPr>
        <w:tc>
          <w:tcPr>
            <w:tcW w:w="1266" w:type="dxa"/>
            <w:vAlign w:val="center"/>
          </w:tcPr>
          <w:p w:rsidR="00F163D1" w:rsidRDefault="00405AA9">
            <w:pPr>
              <w:jc w:val="left"/>
            </w:pPr>
            <w:r>
              <w:rPr>
                <w:color w:val="000000"/>
              </w:rPr>
              <w:t>过去三个月</w:t>
            </w:r>
          </w:p>
        </w:tc>
        <w:tc>
          <w:tcPr>
            <w:tcW w:w="1267" w:type="dxa"/>
            <w:vAlign w:val="center"/>
          </w:tcPr>
          <w:p w:rsidR="00F163D1" w:rsidRDefault="00405AA9">
            <w:pPr>
              <w:jc w:val="center"/>
            </w:pPr>
            <w:r>
              <w:rPr>
                <w:color w:val="000000"/>
              </w:rPr>
              <w:t>0.7031%</w:t>
            </w:r>
          </w:p>
        </w:tc>
        <w:tc>
          <w:tcPr>
            <w:tcW w:w="1267" w:type="dxa"/>
            <w:vAlign w:val="center"/>
          </w:tcPr>
          <w:p w:rsidR="00F163D1" w:rsidRDefault="00405AA9">
            <w:pPr>
              <w:jc w:val="center"/>
            </w:pPr>
            <w:r>
              <w:rPr>
                <w:color w:val="000000"/>
              </w:rPr>
              <w:t>0.0015%</w:t>
            </w:r>
          </w:p>
        </w:tc>
        <w:tc>
          <w:tcPr>
            <w:tcW w:w="1267" w:type="dxa"/>
            <w:vAlign w:val="center"/>
          </w:tcPr>
          <w:p w:rsidR="00F163D1" w:rsidRDefault="00405AA9">
            <w:pPr>
              <w:jc w:val="center"/>
            </w:pPr>
            <w:r>
              <w:rPr>
                <w:color w:val="000000"/>
              </w:rPr>
              <w:t>0.3403%</w:t>
            </w:r>
          </w:p>
        </w:tc>
        <w:tc>
          <w:tcPr>
            <w:tcW w:w="1267" w:type="dxa"/>
            <w:vAlign w:val="center"/>
          </w:tcPr>
          <w:p w:rsidR="00F163D1" w:rsidRDefault="00405AA9">
            <w:pPr>
              <w:jc w:val="center"/>
            </w:pPr>
            <w:r>
              <w:rPr>
                <w:color w:val="000000"/>
              </w:rPr>
              <w:t>0.0000%</w:t>
            </w:r>
          </w:p>
        </w:tc>
        <w:tc>
          <w:tcPr>
            <w:tcW w:w="1267" w:type="dxa"/>
            <w:vAlign w:val="center"/>
          </w:tcPr>
          <w:p w:rsidR="00F163D1" w:rsidRDefault="00405AA9">
            <w:pPr>
              <w:jc w:val="center"/>
            </w:pPr>
            <w:r>
              <w:rPr>
                <w:color w:val="000000"/>
              </w:rPr>
              <w:t>0.3628%</w:t>
            </w:r>
          </w:p>
        </w:tc>
        <w:tc>
          <w:tcPr>
            <w:tcW w:w="1267" w:type="dxa"/>
            <w:vAlign w:val="center"/>
          </w:tcPr>
          <w:p w:rsidR="00F163D1" w:rsidRDefault="00405AA9">
            <w:pPr>
              <w:jc w:val="center"/>
            </w:pPr>
            <w:r>
              <w:rPr>
                <w:color w:val="000000"/>
              </w:rPr>
              <w:t>0.0015%</w:t>
            </w:r>
          </w:p>
        </w:tc>
      </w:tr>
    </w:tbl>
    <w:p w:rsidR="00F163D1" w:rsidRDefault="00405AA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163D1">
        <w:trPr>
          <w:jc w:val="center"/>
        </w:trPr>
        <w:tc>
          <w:tcPr>
            <w:tcW w:w="945" w:type="dxa"/>
            <w:vAlign w:val="center"/>
          </w:tcPr>
          <w:p w:rsidR="00F163D1" w:rsidRDefault="00405AA9">
            <w:pPr>
              <w:jc w:val="center"/>
            </w:pPr>
            <w:r>
              <w:rPr>
                <w:color w:val="000000"/>
                <w:sz w:val="24"/>
              </w:rPr>
              <w:t>连端清</w:t>
            </w:r>
          </w:p>
        </w:tc>
        <w:tc>
          <w:tcPr>
            <w:tcW w:w="1589" w:type="dxa"/>
            <w:vAlign w:val="center"/>
          </w:tcPr>
          <w:p w:rsidR="00F163D1" w:rsidRDefault="00405AA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天债券、交银丰盈收益债券、交银现金宝货币、交银丰润收益债券、交银活期通货币、交银天利宝货币、交银裕隆纯债债券、交银天鑫宝货币、交银天益宝货币的基金经理</w:t>
            </w:r>
          </w:p>
        </w:tc>
        <w:tc>
          <w:tcPr>
            <w:tcW w:w="1478" w:type="dxa"/>
            <w:vAlign w:val="center"/>
          </w:tcPr>
          <w:p w:rsidR="00F163D1" w:rsidRDefault="00405AA9">
            <w:pPr>
              <w:jc w:val="center"/>
            </w:pPr>
            <w:r>
              <w:rPr>
                <w:color w:val="000000"/>
                <w:sz w:val="24"/>
              </w:rPr>
              <w:t>2015-10-16</w:t>
            </w:r>
          </w:p>
        </w:tc>
        <w:tc>
          <w:tcPr>
            <w:tcW w:w="1478" w:type="dxa"/>
            <w:vAlign w:val="center"/>
          </w:tcPr>
          <w:p w:rsidR="00F163D1" w:rsidRDefault="00405AA9">
            <w:pPr>
              <w:jc w:val="center"/>
            </w:pPr>
            <w:r>
              <w:rPr>
                <w:color w:val="000000"/>
                <w:sz w:val="24"/>
              </w:rPr>
              <w:t>-</w:t>
            </w:r>
          </w:p>
        </w:tc>
        <w:tc>
          <w:tcPr>
            <w:tcW w:w="986" w:type="dxa"/>
            <w:vAlign w:val="center"/>
          </w:tcPr>
          <w:p w:rsidR="00F163D1" w:rsidRDefault="00405AA9">
            <w:pPr>
              <w:jc w:val="center"/>
            </w:pPr>
            <w:r>
              <w:rPr>
                <w:color w:val="000000"/>
                <w:sz w:val="24"/>
              </w:rPr>
              <w:t>5</w:t>
            </w:r>
            <w:r>
              <w:rPr>
                <w:color w:val="000000"/>
                <w:sz w:val="24"/>
              </w:rPr>
              <w:t>年</w:t>
            </w:r>
          </w:p>
        </w:tc>
        <w:tc>
          <w:tcPr>
            <w:tcW w:w="2392" w:type="dxa"/>
            <w:vAlign w:val="center"/>
          </w:tcPr>
          <w:p w:rsidR="00F163D1" w:rsidRDefault="00405AA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F163D1" w:rsidRDefault="00F163D1"/>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163D1" w:rsidRDefault="00405AA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F163D1" w:rsidRDefault="00405A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163D1" w:rsidRDefault="00405A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163D1" w:rsidRDefault="00405AA9">
      <w:pPr>
        <w:spacing w:before="29" w:line="288" w:lineRule="auto"/>
        <w:ind w:firstLineChars="200" w:firstLine="480"/>
        <w:rPr>
          <w:color w:val="000000"/>
          <w:sz w:val="24"/>
        </w:rPr>
      </w:pPr>
      <w:r>
        <w:rPr>
          <w:color w:val="000000"/>
          <w:sz w:val="24"/>
        </w:rPr>
        <w:t>2016</w:t>
      </w:r>
      <w:r>
        <w:rPr>
          <w:color w:val="000000"/>
          <w:sz w:val="24"/>
        </w:rPr>
        <w:t>年四季度，国内经济整体上依旧弱势平稳。尽管国庆长假期间多个城市重启限贷限购政策以抑制楼市泡沫，后续部分城市跟进加码调控，狂热的楼市有所降温，但这次调控对房地产销售、新开工面积及房地产投资增速的负面冲击至今相对比较温和，</w:t>
      </w:r>
      <w:r>
        <w:rPr>
          <w:color w:val="000000"/>
          <w:sz w:val="24"/>
        </w:rPr>
        <w:t>11</w:t>
      </w:r>
      <w:r>
        <w:rPr>
          <w:color w:val="000000"/>
          <w:sz w:val="24"/>
        </w:rPr>
        <w:t>月份房地产投资增速较</w:t>
      </w:r>
      <w:r>
        <w:rPr>
          <w:color w:val="000000"/>
          <w:sz w:val="24"/>
        </w:rPr>
        <w:t>10</w:t>
      </w:r>
      <w:r>
        <w:rPr>
          <w:color w:val="000000"/>
          <w:sz w:val="24"/>
        </w:rPr>
        <w:t>月份仅回落</w:t>
      </w:r>
      <w:r>
        <w:rPr>
          <w:color w:val="000000"/>
          <w:sz w:val="24"/>
        </w:rPr>
        <w:t>0.1</w:t>
      </w:r>
      <w:r>
        <w:rPr>
          <w:color w:val="000000"/>
          <w:sz w:val="24"/>
        </w:rPr>
        <w:t>个百分点。制造业投资增速反而小幅回升。</w:t>
      </w:r>
      <w:r>
        <w:rPr>
          <w:color w:val="000000"/>
          <w:sz w:val="24"/>
        </w:rPr>
        <w:t>PPI</w:t>
      </w:r>
      <w:r>
        <w:rPr>
          <w:color w:val="000000"/>
          <w:sz w:val="24"/>
        </w:rPr>
        <w:t>继续回升，</w:t>
      </w:r>
      <w:r>
        <w:rPr>
          <w:color w:val="000000"/>
          <w:sz w:val="24"/>
        </w:rPr>
        <w:t>CPI</w:t>
      </w:r>
      <w:r>
        <w:rPr>
          <w:color w:val="000000"/>
          <w:sz w:val="24"/>
        </w:rPr>
        <w:t>重回至</w:t>
      </w:r>
      <w:r>
        <w:rPr>
          <w:color w:val="000000"/>
          <w:sz w:val="24"/>
        </w:rPr>
        <w:t>2%</w:t>
      </w:r>
      <w:r>
        <w:rPr>
          <w:color w:val="000000"/>
          <w:sz w:val="24"/>
        </w:rPr>
        <w:t>以上。在宏观经济层面企稳持续的大背景支撑下，央行货币政策操作向稳健偏紧方向回归，以抑制楼市与金融市场的资产价格泡沫。</w:t>
      </w:r>
      <w:r>
        <w:rPr>
          <w:color w:val="000000"/>
          <w:sz w:val="24"/>
        </w:rPr>
        <w:t>11</w:t>
      </w:r>
      <w:r>
        <w:rPr>
          <w:color w:val="000000"/>
          <w:sz w:val="24"/>
        </w:rPr>
        <w:t>月央行公开市场净投放大幅缩减至</w:t>
      </w:r>
      <w:r>
        <w:rPr>
          <w:color w:val="000000"/>
          <w:sz w:val="24"/>
        </w:rPr>
        <w:t>150</w:t>
      </w:r>
      <w:r>
        <w:rPr>
          <w:color w:val="000000"/>
          <w:sz w:val="24"/>
        </w:rPr>
        <w:t>亿，并且在</w:t>
      </w:r>
      <w:r>
        <w:rPr>
          <w:color w:val="000000"/>
          <w:sz w:val="24"/>
        </w:rPr>
        <w:t>12</w:t>
      </w:r>
      <w:r>
        <w:rPr>
          <w:color w:val="000000"/>
          <w:sz w:val="24"/>
        </w:rPr>
        <w:t>月净回笼高达</w:t>
      </w:r>
      <w:r>
        <w:rPr>
          <w:color w:val="000000"/>
          <w:sz w:val="24"/>
        </w:rPr>
        <w:t>1450</w:t>
      </w:r>
      <w:r>
        <w:rPr>
          <w:color w:val="000000"/>
          <w:sz w:val="24"/>
        </w:rPr>
        <w:t>亿。四季度公开市场净投放</w:t>
      </w:r>
      <w:r>
        <w:rPr>
          <w:color w:val="000000"/>
          <w:sz w:val="24"/>
        </w:rPr>
        <w:t>3114</w:t>
      </w:r>
      <w:r>
        <w:rPr>
          <w:color w:val="000000"/>
          <w:sz w:val="24"/>
        </w:rPr>
        <w:t>亿，较三季度减少</w:t>
      </w:r>
      <w:r>
        <w:rPr>
          <w:color w:val="000000"/>
          <w:sz w:val="24"/>
        </w:rPr>
        <w:t>1544</w:t>
      </w:r>
      <w:r>
        <w:rPr>
          <w:color w:val="000000"/>
          <w:sz w:val="24"/>
        </w:rPr>
        <w:t>亿。</w:t>
      </w:r>
    </w:p>
    <w:p w:rsidR="00F163D1" w:rsidRDefault="00405AA9">
      <w:pPr>
        <w:spacing w:before="29" w:line="288" w:lineRule="auto"/>
        <w:ind w:firstLineChars="200" w:firstLine="480"/>
        <w:rPr>
          <w:color w:val="000000"/>
          <w:sz w:val="24"/>
        </w:rPr>
      </w:pPr>
      <w:r>
        <w:rPr>
          <w:color w:val="000000"/>
          <w:sz w:val="24"/>
        </w:rPr>
        <w:t>资金面上，受央行减少公开市场投放、银行高价吸收同业资金以及机构跨年等因素影响，四季度大部分交易日市场资金面处于紧张状态，</w:t>
      </w:r>
      <w:r>
        <w:rPr>
          <w:color w:val="000000"/>
          <w:sz w:val="24"/>
        </w:rPr>
        <w:t>10</w:t>
      </w:r>
      <w:r>
        <w:rPr>
          <w:color w:val="000000"/>
          <w:sz w:val="24"/>
        </w:rPr>
        <w:t>月中旬开始市场资金面趋紧，尤其在</w:t>
      </w:r>
      <w:r>
        <w:rPr>
          <w:color w:val="000000"/>
          <w:sz w:val="24"/>
        </w:rPr>
        <w:t>11</w:t>
      </w:r>
      <w:r>
        <w:rPr>
          <w:color w:val="000000"/>
          <w:sz w:val="24"/>
        </w:rPr>
        <w:t>月中旬至</w:t>
      </w:r>
      <w:r>
        <w:rPr>
          <w:color w:val="000000"/>
          <w:sz w:val="24"/>
        </w:rPr>
        <w:t>11</w:t>
      </w:r>
      <w:r>
        <w:rPr>
          <w:color w:val="000000"/>
          <w:sz w:val="24"/>
        </w:rPr>
        <w:t>月底以及</w:t>
      </w:r>
      <w:r>
        <w:rPr>
          <w:color w:val="000000"/>
          <w:sz w:val="24"/>
        </w:rPr>
        <w:t>12</w:t>
      </w:r>
      <w:r>
        <w:rPr>
          <w:color w:val="000000"/>
          <w:sz w:val="24"/>
        </w:rPr>
        <w:t>月中旬资金面非常紧张，资金价格中枢大幅上行。在资金面异常紧张之下，叠加宏观经济表现依旧平稳等因素冲击，债市在</w:t>
      </w:r>
      <w:r>
        <w:rPr>
          <w:color w:val="000000"/>
          <w:sz w:val="24"/>
        </w:rPr>
        <w:t>11</w:t>
      </w:r>
      <w:r>
        <w:rPr>
          <w:color w:val="000000"/>
          <w:sz w:val="24"/>
        </w:rPr>
        <w:t>月与</w:t>
      </w:r>
      <w:r>
        <w:rPr>
          <w:color w:val="000000"/>
          <w:sz w:val="24"/>
        </w:rPr>
        <w:t>12</w:t>
      </w:r>
      <w:r>
        <w:rPr>
          <w:color w:val="000000"/>
          <w:sz w:val="24"/>
        </w:rPr>
        <w:t>月遭受大幅调整。</w:t>
      </w:r>
      <w:r>
        <w:rPr>
          <w:color w:val="000000"/>
          <w:sz w:val="24"/>
        </w:rPr>
        <w:t>12</w:t>
      </w:r>
      <w:r>
        <w:rPr>
          <w:color w:val="000000"/>
          <w:sz w:val="24"/>
        </w:rPr>
        <w:t>月底，</w:t>
      </w:r>
      <w:r>
        <w:rPr>
          <w:color w:val="000000"/>
          <w:sz w:val="24"/>
        </w:rPr>
        <w:t>1</w:t>
      </w:r>
      <w:r>
        <w:rPr>
          <w:color w:val="000000"/>
          <w:sz w:val="24"/>
        </w:rPr>
        <w:t>年期与</w:t>
      </w:r>
      <w:r>
        <w:rPr>
          <w:color w:val="000000"/>
          <w:sz w:val="24"/>
        </w:rPr>
        <w:t>3</w:t>
      </w:r>
      <w:r>
        <w:rPr>
          <w:color w:val="000000"/>
          <w:sz w:val="24"/>
        </w:rPr>
        <w:t>年期</w:t>
      </w:r>
      <w:r>
        <w:rPr>
          <w:color w:val="000000"/>
          <w:sz w:val="24"/>
        </w:rPr>
        <w:t>AAA</w:t>
      </w:r>
      <w:r>
        <w:rPr>
          <w:color w:val="000000"/>
          <w:sz w:val="24"/>
        </w:rPr>
        <w:t>信用债</w:t>
      </w:r>
      <w:r>
        <w:rPr>
          <w:color w:val="000000"/>
          <w:sz w:val="24"/>
        </w:rPr>
        <w:t>YTM</w:t>
      </w:r>
      <w:r>
        <w:rPr>
          <w:color w:val="000000"/>
          <w:sz w:val="24"/>
        </w:rPr>
        <w:t>较三季度末分别上行</w:t>
      </w:r>
      <w:r>
        <w:rPr>
          <w:color w:val="000000"/>
          <w:sz w:val="24"/>
        </w:rPr>
        <w:t>107</w:t>
      </w:r>
      <w:r>
        <w:rPr>
          <w:color w:val="000000"/>
          <w:sz w:val="24"/>
        </w:rPr>
        <w:lastRenderedPageBreak/>
        <w:t>个</w:t>
      </w:r>
      <w:r>
        <w:rPr>
          <w:color w:val="000000"/>
          <w:sz w:val="24"/>
        </w:rPr>
        <w:t>BP</w:t>
      </w:r>
      <w:r>
        <w:rPr>
          <w:color w:val="000000"/>
          <w:sz w:val="24"/>
        </w:rPr>
        <w:t>与</w:t>
      </w:r>
      <w:r>
        <w:rPr>
          <w:color w:val="000000"/>
          <w:sz w:val="24"/>
        </w:rPr>
        <w:t>93</w:t>
      </w:r>
      <w:r>
        <w:rPr>
          <w:color w:val="000000"/>
          <w:sz w:val="24"/>
        </w:rPr>
        <w:t>个</w:t>
      </w:r>
      <w:r>
        <w:rPr>
          <w:color w:val="000000"/>
          <w:sz w:val="24"/>
        </w:rPr>
        <w:t>BP</w:t>
      </w:r>
      <w:r>
        <w:rPr>
          <w:color w:val="000000"/>
          <w:sz w:val="24"/>
        </w:rPr>
        <w:t>以上，</w:t>
      </w:r>
      <w:r>
        <w:rPr>
          <w:color w:val="000000"/>
          <w:sz w:val="24"/>
        </w:rPr>
        <w:t>1</w:t>
      </w:r>
      <w:r>
        <w:rPr>
          <w:color w:val="000000"/>
          <w:sz w:val="24"/>
        </w:rPr>
        <w:t>年期与</w:t>
      </w:r>
      <w:r>
        <w:rPr>
          <w:color w:val="000000"/>
          <w:sz w:val="24"/>
        </w:rPr>
        <w:t>10</w:t>
      </w:r>
      <w:r>
        <w:rPr>
          <w:color w:val="000000"/>
          <w:sz w:val="24"/>
        </w:rPr>
        <w:t>年期国开债较三季度末分别上行</w:t>
      </w:r>
      <w:r>
        <w:rPr>
          <w:color w:val="000000"/>
          <w:sz w:val="24"/>
        </w:rPr>
        <w:t>90</w:t>
      </w:r>
      <w:r>
        <w:rPr>
          <w:color w:val="000000"/>
          <w:sz w:val="24"/>
        </w:rPr>
        <w:t>个</w:t>
      </w:r>
      <w:r>
        <w:rPr>
          <w:color w:val="000000"/>
          <w:sz w:val="24"/>
        </w:rPr>
        <w:t>BP</w:t>
      </w:r>
      <w:r>
        <w:rPr>
          <w:color w:val="000000"/>
          <w:sz w:val="24"/>
        </w:rPr>
        <w:t>与</w:t>
      </w:r>
      <w:r>
        <w:rPr>
          <w:color w:val="000000"/>
          <w:sz w:val="24"/>
        </w:rPr>
        <w:t>62</w:t>
      </w:r>
      <w:r>
        <w:rPr>
          <w:color w:val="000000"/>
          <w:sz w:val="24"/>
        </w:rPr>
        <w:t>个</w:t>
      </w:r>
      <w:r>
        <w:rPr>
          <w:color w:val="000000"/>
          <w:sz w:val="24"/>
        </w:rPr>
        <w:t>BP</w:t>
      </w:r>
      <w:r>
        <w:rPr>
          <w:color w:val="000000"/>
          <w:sz w:val="24"/>
        </w:rPr>
        <w:t>以上。</w:t>
      </w:r>
    </w:p>
    <w:p w:rsidR="00F163D1" w:rsidRDefault="00405AA9">
      <w:pPr>
        <w:spacing w:before="29" w:line="288" w:lineRule="auto"/>
        <w:ind w:firstLineChars="200" w:firstLine="480"/>
        <w:rPr>
          <w:color w:val="000000"/>
          <w:sz w:val="24"/>
        </w:rPr>
      </w:pPr>
      <w:r>
        <w:rPr>
          <w:color w:val="000000"/>
          <w:sz w:val="24"/>
        </w:rPr>
        <w:t>基金操作方面，报告期内本基金规模较大幅增长，主要投资于同业存单及短债，控制信用风险，降低组合久期，控制偏离度。</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2017</w:t>
      </w:r>
      <w:r w:rsidRPr="000E4C40">
        <w:rPr>
          <w:color w:val="000000"/>
          <w:sz w:val="24"/>
        </w:rPr>
        <w:t>年一季度，考虑</w:t>
      </w:r>
      <w:r w:rsidRPr="000E4C40">
        <w:rPr>
          <w:color w:val="000000"/>
          <w:sz w:val="24"/>
        </w:rPr>
        <w:t>2016</w:t>
      </w:r>
      <w:r w:rsidRPr="000E4C40">
        <w:rPr>
          <w:color w:val="000000"/>
          <w:sz w:val="24"/>
        </w:rPr>
        <w:t>年国庆至本报告期末楼市调控政策的影响相对温和，后续房地产投资可能继续走弱但短期内下行幅度有限，国内经济有下行压力但幅度相对温和的概率较高。</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月中旬，中央经济工作会议明确提出</w:t>
      </w:r>
      <w:r w:rsidRPr="000E4C40">
        <w:rPr>
          <w:color w:val="000000"/>
          <w:sz w:val="24"/>
        </w:rPr>
        <w:t>“</w:t>
      </w:r>
      <w:r w:rsidRPr="000E4C40">
        <w:rPr>
          <w:color w:val="000000"/>
          <w:sz w:val="24"/>
        </w:rPr>
        <w:t>货币政策要保持稳健中性</w:t>
      </w:r>
      <w:r w:rsidRPr="000E4C40">
        <w:rPr>
          <w:color w:val="000000"/>
          <w:sz w:val="24"/>
        </w:rPr>
        <w:t>……</w:t>
      </w:r>
      <w:r w:rsidRPr="000E4C40">
        <w:rPr>
          <w:color w:val="000000"/>
          <w:sz w:val="24"/>
        </w:rPr>
        <w:t>要把防控金融风险放到更加重要的位置</w:t>
      </w:r>
      <w:r w:rsidRPr="000E4C40">
        <w:rPr>
          <w:color w:val="000000"/>
          <w:sz w:val="24"/>
        </w:rPr>
        <w:t>……</w:t>
      </w:r>
      <w:r w:rsidRPr="000E4C40">
        <w:rPr>
          <w:color w:val="000000"/>
          <w:sz w:val="24"/>
        </w:rPr>
        <w:t>着力防控资产泡沫</w:t>
      </w:r>
      <w:r w:rsidRPr="000E4C40">
        <w:rPr>
          <w:color w:val="000000"/>
          <w:sz w:val="24"/>
        </w:rPr>
        <w:t>……</w:t>
      </w:r>
      <w:r w:rsidRPr="000E4C40">
        <w:rPr>
          <w:color w:val="000000"/>
          <w:sz w:val="24"/>
        </w:rPr>
        <w:t>既抑制房地产泡沫，又防止出现大起大落。</w:t>
      </w:r>
      <w:r w:rsidRPr="000E4C40">
        <w:rPr>
          <w:color w:val="000000"/>
          <w:sz w:val="24"/>
        </w:rPr>
        <w:t>”</w:t>
      </w:r>
      <w:r w:rsidRPr="000E4C40">
        <w:rPr>
          <w:color w:val="000000"/>
          <w:sz w:val="24"/>
        </w:rPr>
        <w:t>在宏观经济相对平稳且政策诉求明确的背景下，央行货币政策短期内可能更倾向于抑制资产价格泡沫为主，叠加人民币贬值压力，除非经济下行风险超预期，否则预计短期内央行将以稳健偏紧的货币政策为主。组合管理方面，本基金将密切关注国内房地产市场与宏观经济走势、跟踪央行货币政策动态，尽力控制组合偏离度与信用风险，努力为份额持有人创造较为稳健的投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0.6300%</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0.7031%</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1,995,489,408.43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98.44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1,995,489,408.43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98.44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0.69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14,618,194.76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0.72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3,033,094.59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2,027,140,697.78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0.24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22788F" w:rsidP="00281564">
            <w:pPr>
              <w:spacing w:before="29" w:line="288" w:lineRule="auto"/>
              <w:ind w:right="120"/>
              <w:jc w:val="right"/>
              <w:rPr>
                <w:color w:val="000000"/>
                <w:sz w:val="24"/>
              </w:rPr>
            </w:pPr>
            <w:r w:rsidRPr="005469E5">
              <w:rPr>
                <w:color w:val="000000"/>
                <w:sz w:val="24"/>
              </w:rPr>
              <w:t>155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1.57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0.70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12.41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9.42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F31FC8" w:rsidRDefault="00F31FC8" w:rsidP="00281564">
            <w:pPr>
              <w:autoSpaceDE w:val="0"/>
              <w:autoSpaceDN w:val="0"/>
              <w:adjustRightInd w:val="0"/>
              <w:spacing w:before="29" w:line="288" w:lineRule="auto"/>
              <w:ind w:left="15"/>
              <w:jc w:val="right"/>
              <w:rPr>
                <w:color w:val="000000"/>
                <w:kern w:val="0"/>
                <w:sz w:val="24"/>
              </w:rPr>
            </w:pPr>
            <w:r w:rsidRPr="005469E5">
              <w:rPr>
                <w:color w:val="000000"/>
                <w:sz w:val="24"/>
              </w:rPr>
              <w:t>14.23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F31FC8" w:rsidRDefault="000E5695" w:rsidP="00281564">
            <w:pPr>
              <w:autoSpaceDE w:val="0"/>
              <w:autoSpaceDN w:val="0"/>
              <w:adjustRightInd w:val="0"/>
              <w:spacing w:before="29" w:line="288" w:lineRule="auto"/>
              <w:ind w:left="15"/>
              <w:jc w:val="right"/>
              <w:rPr>
                <w:color w:val="000000"/>
                <w:kern w:val="0"/>
                <w:sz w:val="24"/>
              </w:rPr>
            </w:pPr>
            <w:r w:rsidRPr="00F31FC8">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F31FC8" w:rsidRDefault="00F31FC8" w:rsidP="00281564">
            <w:pPr>
              <w:autoSpaceDE w:val="0"/>
              <w:autoSpaceDN w:val="0"/>
              <w:adjustRightInd w:val="0"/>
              <w:spacing w:before="29" w:line="288" w:lineRule="auto"/>
              <w:ind w:left="15"/>
              <w:jc w:val="right"/>
              <w:rPr>
                <w:color w:val="000000"/>
                <w:kern w:val="0"/>
                <w:sz w:val="24"/>
              </w:rPr>
            </w:pPr>
            <w:r w:rsidRPr="005469E5">
              <w:rPr>
                <w:color w:val="000000"/>
                <w:sz w:val="24"/>
              </w:rPr>
              <w:t>63.12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0.70</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100,244,098.33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2,999,876.82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2,999,876.82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1,892,245,433.28</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94.20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1,995,489,408.43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99.33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17"/>
        <w:gridCol w:w="1279"/>
        <w:gridCol w:w="2242"/>
        <w:gridCol w:w="1204"/>
        <w:gridCol w:w="2027"/>
        <w:gridCol w:w="129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163D1">
        <w:trPr>
          <w:jc w:val="center"/>
        </w:trPr>
        <w:tc>
          <w:tcPr>
            <w:tcW w:w="0" w:type="auto"/>
            <w:vAlign w:val="center"/>
          </w:tcPr>
          <w:p w:rsidR="00F163D1" w:rsidRDefault="00405AA9">
            <w:pPr>
              <w:jc w:val="center"/>
            </w:pPr>
            <w:r>
              <w:rPr>
                <w:color w:val="000000"/>
                <w:sz w:val="24"/>
              </w:rPr>
              <w:t>1</w:t>
            </w:r>
          </w:p>
        </w:tc>
        <w:tc>
          <w:tcPr>
            <w:tcW w:w="0" w:type="auto"/>
            <w:vAlign w:val="center"/>
          </w:tcPr>
          <w:p w:rsidR="00F163D1" w:rsidRDefault="00405AA9">
            <w:pPr>
              <w:jc w:val="center"/>
            </w:pPr>
            <w:r>
              <w:rPr>
                <w:color w:val="000000"/>
                <w:sz w:val="24"/>
              </w:rPr>
              <w:t>140004</w:t>
            </w:r>
          </w:p>
        </w:tc>
        <w:tc>
          <w:tcPr>
            <w:tcW w:w="0" w:type="auto"/>
            <w:vAlign w:val="center"/>
          </w:tcPr>
          <w:p w:rsidR="00F163D1" w:rsidRDefault="00405AA9">
            <w:pPr>
              <w:jc w:val="center"/>
            </w:pPr>
            <w:r>
              <w:rPr>
                <w:color w:val="000000"/>
                <w:sz w:val="24"/>
              </w:rPr>
              <w:t>14</w:t>
            </w:r>
            <w:r>
              <w:rPr>
                <w:color w:val="000000"/>
                <w:sz w:val="24"/>
              </w:rPr>
              <w:t>附息国债</w:t>
            </w:r>
            <w:r>
              <w:rPr>
                <w:color w:val="000000"/>
                <w:sz w:val="24"/>
              </w:rPr>
              <w:t>04</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100,244,098.33</w:t>
            </w:r>
          </w:p>
        </w:tc>
        <w:tc>
          <w:tcPr>
            <w:tcW w:w="0" w:type="auto"/>
            <w:vAlign w:val="center"/>
          </w:tcPr>
          <w:p w:rsidR="00F163D1" w:rsidRDefault="00405AA9">
            <w:pPr>
              <w:jc w:val="right"/>
            </w:pPr>
            <w:r>
              <w:rPr>
                <w:color w:val="000000"/>
                <w:sz w:val="24"/>
              </w:rPr>
              <w:t>4.99</w:t>
            </w:r>
          </w:p>
        </w:tc>
      </w:tr>
      <w:tr w:rsidR="00F163D1">
        <w:trPr>
          <w:jc w:val="center"/>
        </w:trPr>
        <w:tc>
          <w:tcPr>
            <w:tcW w:w="0" w:type="auto"/>
            <w:vAlign w:val="center"/>
          </w:tcPr>
          <w:p w:rsidR="00F163D1" w:rsidRDefault="00405AA9">
            <w:pPr>
              <w:jc w:val="center"/>
            </w:pPr>
            <w:r>
              <w:rPr>
                <w:color w:val="000000"/>
                <w:sz w:val="24"/>
              </w:rPr>
              <w:t>2</w:t>
            </w:r>
          </w:p>
        </w:tc>
        <w:tc>
          <w:tcPr>
            <w:tcW w:w="0" w:type="auto"/>
            <w:vAlign w:val="center"/>
          </w:tcPr>
          <w:p w:rsidR="00F163D1" w:rsidRDefault="00405AA9">
            <w:pPr>
              <w:jc w:val="center"/>
            </w:pPr>
            <w:r>
              <w:rPr>
                <w:color w:val="000000"/>
                <w:sz w:val="24"/>
              </w:rPr>
              <w:t>111699171</w:t>
            </w:r>
          </w:p>
        </w:tc>
        <w:tc>
          <w:tcPr>
            <w:tcW w:w="0" w:type="auto"/>
            <w:vAlign w:val="center"/>
          </w:tcPr>
          <w:p w:rsidR="00F163D1" w:rsidRDefault="00405AA9">
            <w:pPr>
              <w:jc w:val="center"/>
            </w:pPr>
            <w:r>
              <w:rPr>
                <w:color w:val="000000"/>
                <w:sz w:val="24"/>
              </w:rPr>
              <w:t>16</w:t>
            </w:r>
            <w:r>
              <w:rPr>
                <w:color w:val="000000"/>
                <w:sz w:val="24"/>
              </w:rPr>
              <w:t>江苏江南农村商业银行</w:t>
            </w:r>
            <w:r>
              <w:rPr>
                <w:color w:val="000000"/>
                <w:sz w:val="24"/>
              </w:rPr>
              <w:t>CD138</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98,564,756.74</w:t>
            </w:r>
          </w:p>
        </w:tc>
        <w:tc>
          <w:tcPr>
            <w:tcW w:w="0" w:type="auto"/>
            <w:vAlign w:val="center"/>
          </w:tcPr>
          <w:p w:rsidR="00F163D1" w:rsidRDefault="00405AA9">
            <w:pPr>
              <w:jc w:val="right"/>
            </w:pPr>
            <w:r>
              <w:rPr>
                <w:color w:val="000000"/>
                <w:sz w:val="24"/>
              </w:rPr>
              <w:t>4.91</w:t>
            </w:r>
          </w:p>
        </w:tc>
      </w:tr>
      <w:tr w:rsidR="00F163D1">
        <w:trPr>
          <w:jc w:val="center"/>
        </w:trPr>
        <w:tc>
          <w:tcPr>
            <w:tcW w:w="0" w:type="auto"/>
            <w:vAlign w:val="center"/>
          </w:tcPr>
          <w:p w:rsidR="00F163D1" w:rsidRDefault="00405AA9">
            <w:pPr>
              <w:jc w:val="center"/>
            </w:pPr>
            <w:r>
              <w:rPr>
                <w:color w:val="000000"/>
                <w:sz w:val="24"/>
              </w:rPr>
              <w:t>3</w:t>
            </w:r>
          </w:p>
        </w:tc>
        <w:tc>
          <w:tcPr>
            <w:tcW w:w="0" w:type="auto"/>
            <w:vAlign w:val="center"/>
          </w:tcPr>
          <w:p w:rsidR="00F163D1" w:rsidRDefault="00405AA9">
            <w:pPr>
              <w:jc w:val="center"/>
            </w:pPr>
            <w:r>
              <w:rPr>
                <w:color w:val="000000"/>
                <w:sz w:val="24"/>
              </w:rPr>
              <w:t>111699155</w:t>
            </w:r>
          </w:p>
        </w:tc>
        <w:tc>
          <w:tcPr>
            <w:tcW w:w="0" w:type="auto"/>
            <w:vAlign w:val="center"/>
          </w:tcPr>
          <w:p w:rsidR="00F163D1" w:rsidRDefault="00405AA9">
            <w:pPr>
              <w:jc w:val="center"/>
            </w:pPr>
            <w:r>
              <w:rPr>
                <w:color w:val="000000"/>
                <w:sz w:val="24"/>
              </w:rPr>
              <w:t>16</w:t>
            </w:r>
            <w:r>
              <w:rPr>
                <w:color w:val="000000"/>
                <w:sz w:val="24"/>
              </w:rPr>
              <w:t>包商银行</w:t>
            </w:r>
            <w:r>
              <w:rPr>
                <w:color w:val="000000"/>
                <w:sz w:val="24"/>
              </w:rPr>
              <w:t>CD060</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98,530,555.96</w:t>
            </w:r>
          </w:p>
        </w:tc>
        <w:tc>
          <w:tcPr>
            <w:tcW w:w="0" w:type="auto"/>
            <w:vAlign w:val="center"/>
          </w:tcPr>
          <w:p w:rsidR="00F163D1" w:rsidRDefault="00405AA9">
            <w:pPr>
              <w:jc w:val="right"/>
            </w:pPr>
            <w:r>
              <w:rPr>
                <w:color w:val="000000"/>
                <w:sz w:val="24"/>
              </w:rPr>
              <w:t>4.90</w:t>
            </w:r>
          </w:p>
        </w:tc>
      </w:tr>
      <w:tr w:rsidR="00F163D1">
        <w:trPr>
          <w:jc w:val="center"/>
        </w:trPr>
        <w:tc>
          <w:tcPr>
            <w:tcW w:w="0" w:type="auto"/>
            <w:vAlign w:val="center"/>
          </w:tcPr>
          <w:p w:rsidR="00F163D1" w:rsidRDefault="00405AA9">
            <w:pPr>
              <w:jc w:val="center"/>
            </w:pPr>
            <w:r>
              <w:rPr>
                <w:color w:val="000000"/>
                <w:sz w:val="24"/>
              </w:rPr>
              <w:t>4</w:t>
            </w:r>
          </w:p>
        </w:tc>
        <w:tc>
          <w:tcPr>
            <w:tcW w:w="0" w:type="auto"/>
            <w:vAlign w:val="center"/>
          </w:tcPr>
          <w:p w:rsidR="00F163D1" w:rsidRDefault="00405AA9">
            <w:pPr>
              <w:jc w:val="center"/>
            </w:pPr>
            <w:r>
              <w:rPr>
                <w:color w:val="000000"/>
                <w:sz w:val="24"/>
              </w:rPr>
              <w:t>111699830</w:t>
            </w:r>
          </w:p>
        </w:tc>
        <w:tc>
          <w:tcPr>
            <w:tcW w:w="0" w:type="auto"/>
            <w:vAlign w:val="center"/>
          </w:tcPr>
          <w:p w:rsidR="00F163D1" w:rsidRDefault="00405AA9">
            <w:pPr>
              <w:jc w:val="center"/>
            </w:pPr>
            <w:r>
              <w:rPr>
                <w:color w:val="000000"/>
                <w:sz w:val="24"/>
              </w:rPr>
              <w:t>16</w:t>
            </w:r>
            <w:r>
              <w:rPr>
                <w:color w:val="000000"/>
                <w:sz w:val="24"/>
              </w:rPr>
              <w:t>浙江泰隆商行</w:t>
            </w:r>
            <w:r>
              <w:rPr>
                <w:color w:val="000000"/>
                <w:sz w:val="24"/>
              </w:rPr>
              <w:t>CD046</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98,492,079.45</w:t>
            </w:r>
          </w:p>
        </w:tc>
        <w:tc>
          <w:tcPr>
            <w:tcW w:w="0" w:type="auto"/>
            <w:vAlign w:val="center"/>
          </w:tcPr>
          <w:p w:rsidR="00F163D1" w:rsidRDefault="00405AA9">
            <w:pPr>
              <w:jc w:val="right"/>
            </w:pPr>
            <w:r>
              <w:rPr>
                <w:color w:val="000000"/>
                <w:sz w:val="24"/>
              </w:rPr>
              <w:t>4.90</w:t>
            </w:r>
          </w:p>
        </w:tc>
      </w:tr>
      <w:tr w:rsidR="00F163D1">
        <w:trPr>
          <w:jc w:val="center"/>
        </w:trPr>
        <w:tc>
          <w:tcPr>
            <w:tcW w:w="0" w:type="auto"/>
            <w:vAlign w:val="center"/>
          </w:tcPr>
          <w:p w:rsidR="00F163D1" w:rsidRDefault="00405AA9">
            <w:pPr>
              <w:jc w:val="center"/>
            </w:pPr>
            <w:r>
              <w:rPr>
                <w:color w:val="000000"/>
                <w:sz w:val="24"/>
              </w:rPr>
              <w:t>5</w:t>
            </w:r>
          </w:p>
        </w:tc>
        <w:tc>
          <w:tcPr>
            <w:tcW w:w="0" w:type="auto"/>
            <w:vAlign w:val="center"/>
          </w:tcPr>
          <w:p w:rsidR="00F163D1" w:rsidRDefault="00405AA9">
            <w:pPr>
              <w:jc w:val="center"/>
            </w:pPr>
            <w:r>
              <w:rPr>
                <w:color w:val="000000"/>
                <w:sz w:val="24"/>
              </w:rPr>
              <w:t>111699172</w:t>
            </w:r>
          </w:p>
        </w:tc>
        <w:tc>
          <w:tcPr>
            <w:tcW w:w="0" w:type="auto"/>
            <w:vAlign w:val="center"/>
          </w:tcPr>
          <w:p w:rsidR="00F163D1" w:rsidRDefault="00405AA9">
            <w:pPr>
              <w:jc w:val="center"/>
            </w:pPr>
            <w:r>
              <w:rPr>
                <w:color w:val="000000"/>
                <w:sz w:val="24"/>
              </w:rPr>
              <w:t>16</w:t>
            </w:r>
            <w:r>
              <w:rPr>
                <w:color w:val="000000"/>
                <w:sz w:val="24"/>
              </w:rPr>
              <w:t>九江银行</w:t>
            </w:r>
            <w:r>
              <w:rPr>
                <w:color w:val="000000"/>
                <w:sz w:val="24"/>
              </w:rPr>
              <w:t>CD093</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98,478,573.47</w:t>
            </w:r>
          </w:p>
        </w:tc>
        <w:tc>
          <w:tcPr>
            <w:tcW w:w="0" w:type="auto"/>
            <w:vAlign w:val="center"/>
          </w:tcPr>
          <w:p w:rsidR="00F163D1" w:rsidRDefault="00405AA9">
            <w:pPr>
              <w:jc w:val="right"/>
            </w:pPr>
            <w:r>
              <w:rPr>
                <w:color w:val="000000"/>
                <w:sz w:val="24"/>
              </w:rPr>
              <w:t>4.90</w:t>
            </w:r>
          </w:p>
        </w:tc>
      </w:tr>
      <w:tr w:rsidR="00F163D1">
        <w:trPr>
          <w:jc w:val="center"/>
        </w:trPr>
        <w:tc>
          <w:tcPr>
            <w:tcW w:w="0" w:type="auto"/>
            <w:vAlign w:val="center"/>
          </w:tcPr>
          <w:p w:rsidR="00F163D1" w:rsidRDefault="00405AA9">
            <w:pPr>
              <w:jc w:val="center"/>
            </w:pPr>
            <w:r>
              <w:rPr>
                <w:color w:val="000000"/>
                <w:sz w:val="24"/>
              </w:rPr>
              <w:t>6</w:t>
            </w:r>
          </w:p>
        </w:tc>
        <w:tc>
          <w:tcPr>
            <w:tcW w:w="0" w:type="auto"/>
            <w:vAlign w:val="center"/>
          </w:tcPr>
          <w:p w:rsidR="00F163D1" w:rsidRDefault="00405AA9">
            <w:pPr>
              <w:jc w:val="center"/>
            </w:pPr>
            <w:r>
              <w:rPr>
                <w:color w:val="000000"/>
                <w:sz w:val="24"/>
              </w:rPr>
              <w:t>111699750</w:t>
            </w:r>
          </w:p>
        </w:tc>
        <w:tc>
          <w:tcPr>
            <w:tcW w:w="0" w:type="auto"/>
            <w:vAlign w:val="center"/>
          </w:tcPr>
          <w:p w:rsidR="00F163D1" w:rsidRDefault="00405AA9">
            <w:pPr>
              <w:jc w:val="center"/>
            </w:pPr>
            <w:r>
              <w:rPr>
                <w:color w:val="000000"/>
                <w:sz w:val="24"/>
              </w:rPr>
              <w:t>16</w:t>
            </w:r>
            <w:r>
              <w:rPr>
                <w:color w:val="000000"/>
                <w:sz w:val="24"/>
              </w:rPr>
              <w:t>秦农农商银行</w:t>
            </w:r>
            <w:r>
              <w:rPr>
                <w:color w:val="000000"/>
                <w:sz w:val="24"/>
              </w:rPr>
              <w:t>CD003</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98,473,272.88</w:t>
            </w:r>
          </w:p>
        </w:tc>
        <w:tc>
          <w:tcPr>
            <w:tcW w:w="0" w:type="auto"/>
            <w:vAlign w:val="center"/>
          </w:tcPr>
          <w:p w:rsidR="00F163D1" w:rsidRDefault="00405AA9">
            <w:pPr>
              <w:jc w:val="right"/>
            </w:pPr>
            <w:r>
              <w:rPr>
                <w:color w:val="000000"/>
                <w:sz w:val="24"/>
              </w:rPr>
              <w:t>4.90</w:t>
            </w:r>
          </w:p>
        </w:tc>
      </w:tr>
      <w:tr w:rsidR="00F163D1">
        <w:trPr>
          <w:jc w:val="center"/>
        </w:trPr>
        <w:tc>
          <w:tcPr>
            <w:tcW w:w="0" w:type="auto"/>
            <w:vAlign w:val="center"/>
          </w:tcPr>
          <w:p w:rsidR="00F163D1" w:rsidRDefault="00405AA9">
            <w:pPr>
              <w:jc w:val="center"/>
            </w:pPr>
            <w:r>
              <w:rPr>
                <w:color w:val="000000"/>
                <w:sz w:val="24"/>
              </w:rPr>
              <w:t>7</w:t>
            </w:r>
          </w:p>
        </w:tc>
        <w:tc>
          <w:tcPr>
            <w:tcW w:w="0" w:type="auto"/>
            <w:vAlign w:val="center"/>
          </w:tcPr>
          <w:p w:rsidR="00F163D1" w:rsidRDefault="00405AA9">
            <w:pPr>
              <w:jc w:val="center"/>
            </w:pPr>
            <w:r>
              <w:rPr>
                <w:color w:val="000000"/>
                <w:sz w:val="24"/>
              </w:rPr>
              <w:t>111699192</w:t>
            </w:r>
          </w:p>
        </w:tc>
        <w:tc>
          <w:tcPr>
            <w:tcW w:w="0" w:type="auto"/>
            <w:vAlign w:val="center"/>
          </w:tcPr>
          <w:p w:rsidR="00F163D1" w:rsidRDefault="00405AA9">
            <w:pPr>
              <w:jc w:val="center"/>
            </w:pPr>
            <w:r>
              <w:rPr>
                <w:color w:val="000000"/>
                <w:sz w:val="24"/>
              </w:rPr>
              <w:t>16</w:t>
            </w:r>
            <w:r>
              <w:rPr>
                <w:color w:val="000000"/>
                <w:sz w:val="24"/>
              </w:rPr>
              <w:t>中原银行</w:t>
            </w:r>
            <w:r>
              <w:rPr>
                <w:color w:val="000000"/>
                <w:sz w:val="24"/>
              </w:rPr>
              <w:t>CD135</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98,472,922.47</w:t>
            </w:r>
          </w:p>
        </w:tc>
        <w:tc>
          <w:tcPr>
            <w:tcW w:w="0" w:type="auto"/>
            <w:vAlign w:val="center"/>
          </w:tcPr>
          <w:p w:rsidR="00F163D1" w:rsidRDefault="00405AA9">
            <w:pPr>
              <w:jc w:val="right"/>
            </w:pPr>
            <w:r>
              <w:rPr>
                <w:color w:val="000000"/>
                <w:sz w:val="24"/>
              </w:rPr>
              <w:t>4.90</w:t>
            </w:r>
          </w:p>
        </w:tc>
      </w:tr>
      <w:tr w:rsidR="00F163D1">
        <w:trPr>
          <w:jc w:val="center"/>
        </w:trPr>
        <w:tc>
          <w:tcPr>
            <w:tcW w:w="0" w:type="auto"/>
            <w:vAlign w:val="center"/>
          </w:tcPr>
          <w:p w:rsidR="00F163D1" w:rsidRDefault="00405AA9">
            <w:pPr>
              <w:jc w:val="center"/>
            </w:pPr>
            <w:r>
              <w:rPr>
                <w:color w:val="000000"/>
                <w:sz w:val="24"/>
              </w:rPr>
              <w:t>8</w:t>
            </w:r>
          </w:p>
        </w:tc>
        <w:tc>
          <w:tcPr>
            <w:tcW w:w="0" w:type="auto"/>
            <w:vAlign w:val="center"/>
          </w:tcPr>
          <w:p w:rsidR="00F163D1" w:rsidRDefault="00405AA9">
            <w:pPr>
              <w:jc w:val="center"/>
            </w:pPr>
            <w:r>
              <w:rPr>
                <w:color w:val="000000"/>
                <w:sz w:val="24"/>
              </w:rPr>
              <w:t>111681067</w:t>
            </w:r>
          </w:p>
        </w:tc>
        <w:tc>
          <w:tcPr>
            <w:tcW w:w="0" w:type="auto"/>
            <w:vAlign w:val="center"/>
          </w:tcPr>
          <w:p w:rsidR="00F163D1" w:rsidRDefault="00405AA9">
            <w:pPr>
              <w:jc w:val="center"/>
            </w:pPr>
            <w:r>
              <w:rPr>
                <w:color w:val="000000"/>
                <w:sz w:val="24"/>
              </w:rPr>
              <w:t>16</w:t>
            </w:r>
            <w:r>
              <w:rPr>
                <w:color w:val="000000"/>
                <w:sz w:val="24"/>
              </w:rPr>
              <w:t>邯郸银行</w:t>
            </w:r>
            <w:r>
              <w:rPr>
                <w:color w:val="000000"/>
                <w:sz w:val="24"/>
              </w:rPr>
              <w:t>CD217</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98,317,910.80</w:t>
            </w:r>
          </w:p>
        </w:tc>
        <w:tc>
          <w:tcPr>
            <w:tcW w:w="0" w:type="auto"/>
            <w:vAlign w:val="center"/>
          </w:tcPr>
          <w:p w:rsidR="00F163D1" w:rsidRDefault="00405AA9">
            <w:pPr>
              <w:jc w:val="right"/>
            </w:pPr>
            <w:r>
              <w:rPr>
                <w:color w:val="000000"/>
                <w:sz w:val="24"/>
              </w:rPr>
              <w:t>4.89</w:t>
            </w:r>
          </w:p>
        </w:tc>
      </w:tr>
      <w:tr w:rsidR="00F163D1">
        <w:trPr>
          <w:jc w:val="center"/>
        </w:trPr>
        <w:tc>
          <w:tcPr>
            <w:tcW w:w="0" w:type="auto"/>
            <w:vAlign w:val="center"/>
          </w:tcPr>
          <w:p w:rsidR="00F163D1" w:rsidRDefault="00405AA9">
            <w:pPr>
              <w:jc w:val="center"/>
            </w:pPr>
            <w:r>
              <w:rPr>
                <w:color w:val="000000"/>
                <w:sz w:val="24"/>
              </w:rPr>
              <w:t>9</w:t>
            </w:r>
          </w:p>
        </w:tc>
        <w:tc>
          <w:tcPr>
            <w:tcW w:w="0" w:type="auto"/>
            <w:vAlign w:val="center"/>
          </w:tcPr>
          <w:p w:rsidR="00F163D1" w:rsidRDefault="00405AA9">
            <w:pPr>
              <w:jc w:val="center"/>
            </w:pPr>
            <w:r>
              <w:rPr>
                <w:color w:val="000000"/>
                <w:sz w:val="24"/>
              </w:rPr>
              <w:t>111681115</w:t>
            </w:r>
          </w:p>
        </w:tc>
        <w:tc>
          <w:tcPr>
            <w:tcW w:w="0" w:type="auto"/>
            <w:vAlign w:val="center"/>
          </w:tcPr>
          <w:p w:rsidR="00F163D1" w:rsidRDefault="00405AA9">
            <w:pPr>
              <w:jc w:val="center"/>
            </w:pPr>
            <w:r>
              <w:rPr>
                <w:color w:val="000000"/>
                <w:sz w:val="24"/>
              </w:rPr>
              <w:t>16</w:t>
            </w:r>
            <w:r>
              <w:rPr>
                <w:color w:val="000000"/>
                <w:sz w:val="24"/>
              </w:rPr>
              <w:t>唐山银行</w:t>
            </w:r>
            <w:r>
              <w:rPr>
                <w:color w:val="000000"/>
                <w:sz w:val="24"/>
              </w:rPr>
              <w:t>CD043</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98,298,789.68</w:t>
            </w:r>
          </w:p>
        </w:tc>
        <w:tc>
          <w:tcPr>
            <w:tcW w:w="0" w:type="auto"/>
            <w:vAlign w:val="center"/>
          </w:tcPr>
          <w:p w:rsidR="00F163D1" w:rsidRDefault="00405AA9">
            <w:pPr>
              <w:jc w:val="right"/>
            </w:pPr>
            <w:r>
              <w:rPr>
                <w:color w:val="000000"/>
                <w:sz w:val="24"/>
              </w:rPr>
              <w:t>4.89</w:t>
            </w:r>
          </w:p>
        </w:tc>
      </w:tr>
      <w:tr w:rsidR="00F163D1">
        <w:trPr>
          <w:jc w:val="center"/>
        </w:trPr>
        <w:tc>
          <w:tcPr>
            <w:tcW w:w="0" w:type="auto"/>
            <w:vAlign w:val="center"/>
          </w:tcPr>
          <w:p w:rsidR="00F163D1" w:rsidRDefault="00405AA9">
            <w:pPr>
              <w:jc w:val="center"/>
            </w:pPr>
            <w:r>
              <w:rPr>
                <w:color w:val="000000"/>
                <w:sz w:val="24"/>
              </w:rPr>
              <w:t>10</w:t>
            </w:r>
          </w:p>
        </w:tc>
        <w:tc>
          <w:tcPr>
            <w:tcW w:w="0" w:type="auto"/>
            <w:vAlign w:val="center"/>
          </w:tcPr>
          <w:p w:rsidR="00F163D1" w:rsidRDefault="00405AA9">
            <w:pPr>
              <w:jc w:val="center"/>
            </w:pPr>
            <w:r>
              <w:rPr>
                <w:color w:val="000000"/>
                <w:sz w:val="24"/>
              </w:rPr>
              <w:t>111681816</w:t>
            </w:r>
          </w:p>
        </w:tc>
        <w:tc>
          <w:tcPr>
            <w:tcW w:w="0" w:type="auto"/>
            <w:vAlign w:val="center"/>
          </w:tcPr>
          <w:p w:rsidR="00F163D1" w:rsidRDefault="00405AA9">
            <w:pPr>
              <w:jc w:val="center"/>
            </w:pPr>
            <w:r>
              <w:rPr>
                <w:color w:val="000000"/>
                <w:sz w:val="24"/>
              </w:rPr>
              <w:t>16</w:t>
            </w:r>
            <w:r>
              <w:rPr>
                <w:color w:val="000000"/>
                <w:sz w:val="24"/>
              </w:rPr>
              <w:t>合肥科技农村商行</w:t>
            </w:r>
            <w:r>
              <w:rPr>
                <w:color w:val="000000"/>
                <w:sz w:val="24"/>
              </w:rPr>
              <w:t>CD045</w:t>
            </w:r>
          </w:p>
        </w:tc>
        <w:tc>
          <w:tcPr>
            <w:tcW w:w="0" w:type="auto"/>
            <w:vAlign w:val="center"/>
          </w:tcPr>
          <w:p w:rsidR="00F163D1" w:rsidRDefault="00405AA9">
            <w:pPr>
              <w:jc w:val="right"/>
            </w:pPr>
            <w:r>
              <w:rPr>
                <w:color w:val="000000"/>
                <w:sz w:val="24"/>
              </w:rPr>
              <w:t>1,000,000</w:t>
            </w:r>
          </w:p>
        </w:tc>
        <w:tc>
          <w:tcPr>
            <w:tcW w:w="0" w:type="auto"/>
            <w:vAlign w:val="center"/>
          </w:tcPr>
          <w:p w:rsidR="00F163D1" w:rsidRDefault="00405AA9">
            <w:pPr>
              <w:jc w:val="right"/>
            </w:pPr>
            <w:r>
              <w:rPr>
                <w:color w:val="000000"/>
                <w:sz w:val="24"/>
              </w:rPr>
              <w:t>98,019,432.84</w:t>
            </w:r>
          </w:p>
        </w:tc>
        <w:tc>
          <w:tcPr>
            <w:tcW w:w="0" w:type="auto"/>
            <w:vAlign w:val="center"/>
          </w:tcPr>
          <w:p w:rsidR="00F163D1" w:rsidRDefault="00405AA9">
            <w:pPr>
              <w:jc w:val="right"/>
            </w:pPr>
            <w:r>
              <w:rPr>
                <w:color w:val="000000"/>
                <w:sz w:val="24"/>
              </w:rPr>
              <w:t>4.88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-0.0026%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-0.2366%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0.0973%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3,032,494.59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3,033,094.59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8,850,486.84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1,000,000,000.00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334,585.60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1,008,597,524.38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693,833.46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8,231,000.00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8,491,238.98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2,000,366,524.38</w:t>
            </w:r>
          </w:p>
        </w:tc>
      </w:tr>
    </w:tbl>
    <w:p w:rsidR="00F163D1" w:rsidRDefault="00405AA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F163D1" w:rsidRDefault="00405AA9">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9D74FC" w:rsidRPr="000E4C40"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AF3D19"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影响投资者决策的其他重要信息</w:t>
      </w:r>
    </w:p>
    <w:p w:rsidR="00AB373C" w:rsidRPr="000E4C40" w:rsidRDefault="00AB373C" w:rsidP="00281564">
      <w:pPr>
        <w:spacing w:before="29" w:line="288" w:lineRule="auto"/>
        <w:ind w:firstLineChars="200" w:firstLine="480"/>
        <w:rPr>
          <w:color w:val="000000"/>
          <w:sz w:val="24"/>
        </w:rPr>
      </w:pPr>
      <w:r w:rsidRPr="000E4C40">
        <w:rPr>
          <w:color w:val="000000"/>
          <w:sz w:val="24"/>
        </w:rPr>
        <w:t>本基金管理人于</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20</w:t>
      </w:r>
      <w:r w:rsidRPr="000E4C40">
        <w:rPr>
          <w:color w:val="000000"/>
          <w:sz w:val="24"/>
        </w:rPr>
        <w:t>日起至</w:t>
      </w:r>
      <w:r w:rsidRPr="000E4C40">
        <w:rPr>
          <w:color w:val="000000"/>
          <w:sz w:val="24"/>
        </w:rPr>
        <w:t>2016</w:t>
      </w:r>
      <w:r w:rsidRPr="000E4C40">
        <w:rPr>
          <w:color w:val="000000"/>
          <w:sz w:val="24"/>
        </w:rPr>
        <w:t>年</w:t>
      </w:r>
      <w:r w:rsidRPr="000E4C40">
        <w:rPr>
          <w:color w:val="000000"/>
          <w:sz w:val="24"/>
        </w:rPr>
        <w:t>11</w:t>
      </w:r>
      <w:r w:rsidRPr="000E4C40">
        <w:rPr>
          <w:color w:val="000000"/>
          <w:sz w:val="24"/>
        </w:rPr>
        <w:t>月</w:t>
      </w:r>
      <w:r w:rsidRPr="000E4C40">
        <w:rPr>
          <w:color w:val="000000"/>
          <w:sz w:val="24"/>
        </w:rPr>
        <w:t>14</w:t>
      </w:r>
      <w:r w:rsidRPr="000E4C40">
        <w:rPr>
          <w:color w:val="000000"/>
          <w:sz w:val="24"/>
        </w:rPr>
        <w:t>日以通讯方式召开了基金份额持有人大会，就本基金调整管理费率及基金合同修改有关事项进行表决。根据基金份额持有人大会的决议，本基金管理费由</w:t>
      </w:r>
      <w:r w:rsidRPr="000E4C40">
        <w:rPr>
          <w:color w:val="000000"/>
          <w:sz w:val="24"/>
        </w:rPr>
        <w:t>0.27%</w:t>
      </w:r>
      <w:r w:rsidRPr="000E4C40">
        <w:rPr>
          <w:color w:val="000000"/>
          <w:sz w:val="24"/>
        </w:rPr>
        <w:t>调整为</w:t>
      </w:r>
      <w:r w:rsidRPr="000E4C40">
        <w:rPr>
          <w:color w:val="000000"/>
          <w:sz w:val="24"/>
        </w:rPr>
        <w:t>0.20%</w:t>
      </w:r>
      <w:r w:rsidRPr="000E4C40">
        <w:rPr>
          <w:color w:val="000000"/>
          <w:sz w:val="24"/>
        </w:rPr>
        <w:t>并相应修改基金合同和托管协议。本次基金份额持有人大会决议于</w:t>
      </w:r>
      <w:r w:rsidRPr="000E4C40">
        <w:rPr>
          <w:color w:val="000000"/>
          <w:sz w:val="24"/>
        </w:rPr>
        <w:t>2016</w:t>
      </w:r>
      <w:r w:rsidRPr="000E4C40">
        <w:rPr>
          <w:color w:val="000000"/>
          <w:sz w:val="24"/>
        </w:rPr>
        <w:t>年</w:t>
      </w:r>
      <w:r w:rsidRPr="000E4C40">
        <w:rPr>
          <w:color w:val="000000"/>
          <w:sz w:val="24"/>
        </w:rPr>
        <w:t>11</w:t>
      </w:r>
      <w:r w:rsidRPr="000E4C40">
        <w:rPr>
          <w:color w:val="000000"/>
          <w:sz w:val="24"/>
        </w:rPr>
        <w:t>月</w:t>
      </w:r>
      <w:r w:rsidRPr="000E4C40">
        <w:rPr>
          <w:color w:val="000000"/>
          <w:sz w:val="24"/>
        </w:rPr>
        <w:t>15</w:t>
      </w:r>
      <w:r w:rsidRPr="000E4C40">
        <w:rPr>
          <w:color w:val="000000"/>
          <w:sz w:val="24"/>
        </w:rPr>
        <w:t>日生效，自本次基金份额持有人大会决议公告之日即</w:t>
      </w:r>
      <w:r w:rsidRPr="000E4C40">
        <w:rPr>
          <w:color w:val="000000"/>
          <w:sz w:val="24"/>
        </w:rPr>
        <w:t>2016</w:t>
      </w:r>
      <w:r w:rsidRPr="000E4C40">
        <w:rPr>
          <w:color w:val="000000"/>
          <w:sz w:val="24"/>
        </w:rPr>
        <w:t>年</w:t>
      </w:r>
      <w:r w:rsidRPr="000E4C40">
        <w:rPr>
          <w:color w:val="000000"/>
          <w:sz w:val="24"/>
        </w:rPr>
        <w:t>11</w:t>
      </w:r>
      <w:r w:rsidRPr="000E4C40">
        <w:rPr>
          <w:color w:val="000000"/>
          <w:sz w:val="24"/>
        </w:rPr>
        <w:t>月</w:t>
      </w:r>
      <w:r w:rsidRPr="000E4C40">
        <w:rPr>
          <w:color w:val="000000"/>
          <w:sz w:val="24"/>
        </w:rPr>
        <w:t>16</w:t>
      </w:r>
      <w:r w:rsidRPr="000E4C40">
        <w:rPr>
          <w:color w:val="000000"/>
          <w:sz w:val="24"/>
        </w:rPr>
        <w:t>日起，本基金执行调整后的管理费率。详情请查阅本基金管理人于</w:t>
      </w:r>
      <w:r w:rsidRPr="000E4C40">
        <w:rPr>
          <w:color w:val="000000"/>
          <w:sz w:val="24"/>
        </w:rPr>
        <w:t>2016</w:t>
      </w:r>
      <w:r w:rsidRPr="000E4C40">
        <w:rPr>
          <w:color w:val="000000"/>
          <w:sz w:val="24"/>
        </w:rPr>
        <w:t>年</w:t>
      </w:r>
      <w:r w:rsidRPr="000E4C40">
        <w:rPr>
          <w:color w:val="000000"/>
          <w:sz w:val="24"/>
        </w:rPr>
        <w:t>11</w:t>
      </w:r>
      <w:r w:rsidRPr="000E4C40">
        <w:rPr>
          <w:color w:val="000000"/>
          <w:sz w:val="24"/>
        </w:rPr>
        <w:t>月</w:t>
      </w:r>
      <w:r w:rsidRPr="000E4C40">
        <w:rPr>
          <w:color w:val="000000"/>
          <w:sz w:val="24"/>
        </w:rPr>
        <w:t>16</w:t>
      </w:r>
      <w:r w:rsidRPr="000E4C40">
        <w:rPr>
          <w:color w:val="000000"/>
          <w:sz w:val="24"/>
        </w:rPr>
        <w:t>日发布的《交银施罗德基金管理有限公司关于交银施罗德理财</w:t>
      </w:r>
      <w:r w:rsidRPr="000E4C40">
        <w:rPr>
          <w:color w:val="000000"/>
          <w:sz w:val="24"/>
        </w:rPr>
        <w:t>60</w:t>
      </w:r>
      <w:r w:rsidRPr="000E4C40">
        <w:rPr>
          <w:color w:val="000000"/>
          <w:sz w:val="24"/>
        </w:rPr>
        <w:t>天债券型证券投资基金基金份额持有人大会表决结果暨决议生效的公告》。</w:t>
      </w:r>
    </w:p>
    <w:p w:rsidR="001B3FBF" w:rsidRPr="000E4C40" w:rsidRDefault="001B3FBF" w:rsidP="00281564">
      <w:pPr>
        <w:spacing w:before="29" w:line="288" w:lineRule="auto"/>
        <w:ind w:firstLineChars="200" w:firstLine="480"/>
        <w:rPr>
          <w:color w:val="000000"/>
          <w:sz w:val="24"/>
        </w:rPr>
      </w:pPr>
    </w:p>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F163D1" w:rsidRDefault="00405AA9">
      <w:pPr>
        <w:spacing w:before="29" w:line="288" w:lineRule="auto"/>
        <w:ind w:firstLineChars="200" w:firstLine="480"/>
        <w:rPr>
          <w:color w:val="000000"/>
          <w:sz w:val="24"/>
        </w:rPr>
      </w:pPr>
      <w:r>
        <w:rPr>
          <w:color w:val="000000"/>
          <w:sz w:val="24"/>
        </w:rPr>
        <w:lastRenderedPageBreak/>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F163D1" w:rsidRDefault="00405AA9">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F163D1" w:rsidRDefault="00405AA9">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F163D1" w:rsidRDefault="00405AA9">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F163D1" w:rsidRDefault="00405AA9">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F163D1" w:rsidRDefault="00405AA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163D1" w:rsidRDefault="00405AA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F163D1" w:rsidRDefault="00405AA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9B7" w:rsidRDefault="00BC19B7">
      <w:r>
        <w:separator/>
      </w:r>
    </w:p>
  </w:endnote>
  <w:endnote w:type="continuationSeparator" w:id="0">
    <w:p w:rsidR="00BC19B7" w:rsidRDefault="00BC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5469E5">
      <w:rPr>
        <w:noProof/>
        <w:kern w:val="0"/>
        <w:szCs w:val="21"/>
      </w:rPr>
      <w:t>1</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5469E5">
      <w:rPr>
        <w:noProof/>
        <w:kern w:val="0"/>
        <w:szCs w:val="21"/>
      </w:rPr>
      <w:t>14</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9B7" w:rsidRDefault="00BC19B7">
      <w:r>
        <w:separator/>
      </w:r>
    </w:p>
  </w:footnote>
  <w:footnote w:type="continuationSeparator" w:id="0">
    <w:p w:rsidR="00BC19B7" w:rsidRDefault="00BC1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2788F"/>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05AA9"/>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69E5"/>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19B7"/>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3D1"/>
    <w:rsid w:val="00F1658B"/>
    <w:rsid w:val="00F2540D"/>
    <w:rsid w:val="00F26602"/>
    <w:rsid w:val="00F31380"/>
    <w:rsid w:val="00F31FC8"/>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4CFD25D-510A-414D-A3EA-AB69F436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A06132-4533-4ED3-94A7-A2CDD78C1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14</Pages>
  <Words>1249</Words>
  <Characters>7123</Characters>
  <Application>Microsoft Office Word</Application>
  <DocSecurity>0</DocSecurity>
  <Lines>59</Lines>
  <Paragraphs>16</Paragraphs>
  <ScaleCrop>false</ScaleCrop>
  <Company>jysld</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314</cp:revision>
  <cp:lastPrinted>2009-01-22T10:11:00Z</cp:lastPrinted>
  <dcterms:created xsi:type="dcterms:W3CDTF">2012-11-21T05:49:00Z</dcterms:created>
  <dcterms:modified xsi:type="dcterms:W3CDTF">2017-01-17T10:39:00Z</dcterms:modified>
</cp:coreProperties>
</file>