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10D33" w:rsidRDefault="006573E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644,449,057.50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573E9" w:rsidRPr="00414345" w:rsidTr="006573E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573E9" w:rsidRPr="00414345" w:rsidTr="006573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26,125,592.59</w:t>
            </w:r>
          </w:p>
        </w:tc>
      </w:tr>
      <w:tr w:rsidR="006573E9" w:rsidRPr="00414345" w:rsidTr="006573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2,313,191.32</w:t>
            </w:r>
          </w:p>
        </w:tc>
      </w:tr>
      <w:tr w:rsidR="006573E9" w:rsidRPr="00414345" w:rsidTr="006573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0.0029</w:t>
            </w:r>
          </w:p>
        </w:tc>
      </w:tr>
      <w:tr w:rsidR="006573E9" w:rsidRPr="00414345" w:rsidTr="006573E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1,068,768,409.42</w:t>
            </w:r>
          </w:p>
        </w:tc>
      </w:tr>
      <w:tr w:rsidR="006573E9" w:rsidRPr="00414345" w:rsidTr="006573E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1.658</w:t>
            </w:r>
          </w:p>
        </w:tc>
      </w:tr>
    </w:tbl>
    <w:p w:rsidR="00B10D33" w:rsidRDefault="006573E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10D33">
        <w:trPr>
          <w:jc w:val="center"/>
        </w:trPr>
        <w:tc>
          <w:tcPr>
            <w:tcW w:w="1701" w:type="dxa"/>
            <w:vAlign w:val="center"/>
          </w:tcPr>
          <w:p w:rsidR="00B10D33" w:rsidRDefault="006573E9">
            <w:pPr>
              <w:jc w:val="left"/>
            </w:pPr>
            <w:r>
              <w:rPr>
                <w:color w:val="000000"/>
                <w:sz w:val="24"/>
                <w:szCs w:val="24"/>
              </w:rPr>
              <w:t>过去三个月</w:t>
            </w:r>
          </w:p>
        </w:tc>
        <w:tc>
          <w:tcPr>
            <w:tcW w:w="1045" w:type="dxa"/>
            <w:vAlign w:val="center"/>
          </w:tcPr>
          <w:p w:rsidR="00B10D33" w:rsidRDefault="006573E9">
            <w:pPr>
              <w:jc w:val="center"/>
            </w:pPr>
            <w:r>
              <w:rPr>
                <w:color w:val="000000"/>
                <w:sz w:val="24"/>
                <w:szCs w:val="24"/>
              </w:rPr>
              <w:t>3.39%</w:t>
            </w:r>
          </w:p>
        </w:tc>
        <w:tc>
          <w:tcPr>
            <w:tcW w:w="1344" w:type="dxa"/>
            <w:vAlign w:val="center"/>
          </w:tcPr>
          <w:p w:rsidR="00B10D33" w:rsidRDefault="006573E9">
            <w:pPr>
              <w:jc w:val="center"/>
            </w:pPr>
            <w:r>
              <w:rPr>
                <w:color w:val="000000"/>
                <w:sz w:val="24"/>
                <w:szCs w:val="24"/>
              </w:rPr>
              <w:t>0.75%</w:t>
            </w:r>
          </w:p>
        </w:tc>
        <w:tc>
          <w:tcPr>
            <w:tcW w:w="1194" w:type="dxa"/>
            <w:vAlign w:val="center"/>
          </w:tcPr>
          <w:p w:rsidR="00B10D33" w:rsidRDefault="006573E9">
            <w:pPr>
              <w:jc w:val="center"/>
            </w:pPr>
            <w:r>
              <w:rPr>
                <w:color w:val="000000"/>
                <w:sz w:val="24"/>
                <w:szCs w:val="24"/>
              </w:rPr>
              <w:t>0.98%</w:t>
            </w:r>
          </w:p>
        </w:tc>
        <w:tc>
          <w:tcPr>
            <w:tcW w:w="1492" w:type="dxa"/>
            <w:vAlign w:val="center"/>
          </w:tcPr>
          <w:p w:rsidR="00B10D33" w:rsidRDefault="006573E9">
            <w:pPr>
              <w:jc w:val="center"/>
            </w:pPr>
            <w:r>
              <w:rPr>
                <w:color w:val="000000"/>
                <w:sz w:val="24"/>
                <w:szCs w:val="24"/>
              </w:rPr>
              <w:t>0.54%</w:t>
            </w:r>
          </w:p>
        </w:tc>
        <w:tc>
          <w:tcPr>
            <w:tcW w:w="1194" w:type="dxa"/>
            <w:vAlign w:val="center"/>
          </w:tcPr>
          <w:p w:rsidR="00B10D33" w:rsidRDefault="006573E9">
            <w:pPr>
              <w:jc w:val="center"/>
            </w:pPr>
            <w:r>
              <w:rPr>
                <w:color w:val="000000"/>
                <w:sz w:val="24"/>
                <w:szCs w:val="24"/>
              </w:rPr>
              <w:t>2.41%</w:t>
            </w:r>
          </w:p>
        </w:tc>
        <w:tc>
          <w:tcPr>
            <w:tcW w:w="898" w:type="dxa"/>
            <w:vAlign w:val="center"/>
          </w:tcPr>
          <w:p w:rsidR="00B10D33" w:rsidRDefault="006573E9">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10D33">
        <w:trPr>
          <w:jc w:val="center"/>
        </w:trPr>
        <w:tc>
          <w:tcPr>
            <w:tcW w:w="846" w:type="dxa"/>
            <w:vAlign w:val="center"/>
          </w:tcPr>
          <w:p w:rsidR="00B10D33" w:rsidRDefault="006573E9">
            <w:pPr>
              <w:jc w:val="center"/>
            </w:pPr>
            <w:r>
              <w:rPr>
                <w:color w:val="000000"/>
                <w:sz w:val="24"/>
                <w:szCs w:val="24"/>
              </w:rPr>
              <w:t>何帅</w:t>
            </w:r>
          </w:p>
        </w:tc>
        <w:tc>
          <w:tcPr>
            <w:tcW w:w="845" w:type="dxa"/>
            <w:vAlign w:val="center"/>
          </w:tcPr>
          <w:p w:rsidR="00B10D33" w:rsidRDefault="006573E9">
            <w:pPr>
              <w:jc w:val="center"/>
            </w:pPr>
            <w:r>
              <w:rPr>
                <w:color w:val="000000"/>
                <w:sz w:val="24"/>
                <w:szCs w:val="24"/>
              </w:rPr>
              <w:t>交银优势行业混合、交银阿尔法核心混合的基金经理</w:t>
            </w:r>
          </w:p>
        </w:tc>
        <w:tc>
          <w:tcPr>
            <w:tcW w:w="1549" w:type="dxa"/>
            <w:vAlign w:val="center"/>
          </w:tcPr>
          <w:p w:rsidR="00B10D33" w:rsidRDefault="006573E9">
            <w:pPr>
              <w:jc w:val="center"/>
            </w:pPr>
            <w:r>
              <w:rPr>
                <w:color w:val="000000"/>
                <w:sz w:val="24"/>
                <w:szCs w:val="24"/>
              </w:rPr>
              <w:t>2015-09-16</w:t>
            </w:r>
          </w:p>
        </w:tc>
        <w:tc>
          <w:tcPr>
            <w:tcW w:w="1548" w:type="dxa"/>
            <w:vAlign w:val="center"/>
          </w:tcPr>
          <w:p w:rsidR="00B10D33" w:rsidRDefault="006573E9">
            <w:pPr>
              <w:jc w:val="center"/>
            </w:pPr>
            <w:r>
              <w:rPr>
                <w:color w:val="000000"/>
                <w:sz w:val="24"/>
                <w:szCs w:val="24"/>
              </w:rPr>
              <w:t>-</w:t>
            </w:r>
          </w:p>
        </w:tc>
        <w:tc>
          <w:tcPr>
            <w:tcW w:w="1407" w:type="dxa"/>
            <w:vAlign w:val="center"/>
          </w:tcPr>
          <w:p w:rsidR="00B10D33" w:rsidRDefault="006573E9">
            <w:pPr>
              <w:jc w:val="center"/>
            </w:pPr>
            <w:r>
              <w:rPr>
                <w:color w:val="000000"/>
                <w:sz w:val="24"/>
                <w:szCs w:val="24"/>
              </w:rPr>
              <w:t>6</w:t>
            </w:r>
            <w:r>
              <w:rPr>
                <w:color w:val="000000"/>
                <w:sz w:val="24"/>
                <w:szCs w:val="24"/>
              </w:rPr>
              <w:t>年</w:t>
            </w:r>
          </w:p>
        </w:tc>
        <w:tc>
          <w:tcPr>
            <w:tcW w:w="2673" w:type="dxa"/>
            <w:vAlign w:val="center"/>
          </w:tcPr>
          <w:p w:rsidR="00B10D33" w:rsidRDefault="006573E9">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10D33" w:rsidRDefault="006573E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10D33" w:rsidRDefault="006573E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10D33" w:rsidRDefault="006573E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10D33" w:rsidRDefault="006573E9">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10D33" w:rsidRDefault="006573E9">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年四季度市场复杂多变，</w:t>
      </w:r>
      <w:r>
        <w:rPr>
          <w:color w:val="000000"/>
          <w:sz w:val="24"/>
          <w:szCs w:val="24"/>
        </w:rPr>
        <w:t>10</w:t>
      </w:r>
      <w:r>
        <w:rPr>
          <w:color w:val="000000"/>
          <w:sz w:val="24"/>
          <w:szCs w:val="24"/>
        </w:rPr>
        <w:t>月初部分优质成长股有不错表现，而进入</w:t>
      </w:r>
      <w:r>
        <w:rPr>
          <w:color w:val="000000"/>
          <w:sz w:val="24"/>
          <w:szCs w:val="24"/>
        </w:rPr>
        <w:t>11</w:t>
      </w:r>
      <w:r>
        <w:rPr>
          <w:color w:val="000000"/>
          <w:sz w:val="24"/>
          <w:szCs w:val="24"/>
        </w:rPr>
        <w:t>月中下旬后部分保险资金开始大幅购入建筑、家电等蓝筹股，市场经历了一波</w:t>
      </w:r>
      <w:r>
        <w:rPr>
          <w:color w:val="000000"/>
          <w:sz w:val="24"/>
          <w:szCs w:val="24"/>
        </w:rPr>
        <w:t>“</w:t>
      </w:r>
      <w:r>
        <w:rPr>
          <w:color w:val="000000"/>
          <w:sz w:val="24"/>
          <w:szCs w:val="24"/>
        </w:rPr>
        <w:t>风格切换</w:t>
      </w:r>
      <w:r>
        <w:rPr>
          <w:color w:val="000000"/>
          <w:sz w:val="24"/>
          <w:szCs w:val="24"/>
        </w:rPr>
        <w:t>”</w:t>
      </w:r>
      <w:r>
        <w:rPr>
          <w:color w:val="000000"/>
          <w:sz w:val="24"/>
          <w:szCs w:val="24"/>
        </w:rPr>
        <w:t>，成长股回调而蓝筹股走强。到了</w:t>
      </w:r>
      <w:r>
        <w:rPr>
          <w:color w:val="000000"/>
          <w:sz w:val="24"/>
          <w:szCs w:val="24"/>
        </w:rPr>
        <w:t>12</w:t>
      </w:r>
      <w:r>
        <w:rPr>
          <w:color w:val="000000"/>
          <w:sz w:val="24"/>
          <w:szCs w:val="24"/>
        </w:rPr>
        <w:t>月份，政策风向变化致市场回落，最终由于债券市场的风险及无风险利率上行，市场在</w:t>
      </w:r>
      <w:r>
        <w:rPr>
          <w:color w:val="000000"/>
          <w:sz w:val="24"/>
          <w:szCs w:val="24"/>
        </w:rPr>
        <w:t>“</w:t>
      </w:r>
      <w:r>
        <w:rPr>
          <w:color w:val="000000"/>
          <w:sz w:val="24"/>
          <w:szCs w:val="24"/>
        </w:rPr>
        <w:t>双十二</w:t>
      </w:r>
      <w:r>
        <w:rPr>
          <w:color w:val="000000"/>
          <w:sz w:val="24"/>
          <w:szCs w:val="24"/>
        </w:rPr>
        <w:t>”</w:t>
      </w:r>
      <w:r>
        <w:rPr>
          <w:color w:val="000000"/>
          <w:sz w:val="24"/>
          <w:szCs w:val="24"/>
        </w:rPr>
        <w:t>大幅回落。</w:t>
      </w:r>
    </w:p>
    <w:p w:rsidR="00B10D33" w:rsidRDefault="006573E9">
      <w:pPr>
        <w:spacing w:before="29" w:line="288" w:lineRule="auto"/>
        <w:ind w:firstLineChars="200" w:firstLine="480"/>
        <w:rPr>
          <w:color w:val="000000"/>
          <w:sz w:val="24"/>
          <w:szCs w:val="24"/>
        </w:rPr>
      </w:pPr>
      <w:r>
        <w:rPr>
          <w:color w:val="000000"/>
          <w:sz w:val="24"/>
          <w:szCs w:val="24"/>
        </w:rPr>
        <w:t>本基金持仓的成长股在</w:t>
      </w:r>
      <w:r>
        <w:rPr>
          <w:color w:val="000000"/>
          <w:sz w:val="24"/>
          <w:szCs w:val="24"/>
        </w:rPr>
        <w:t>10</w:t>
      </w:r>
      <w:r>
        <w:rPr>
          <w:color w:val="000000"/>
          <w:sz w:val="24"/>
          <w:szCs w:val="24"/>
        </w:rPr>
        <w:t>月份表现较佳。同时在</w:t>
      </w:r>
      <w:r>
        <w:rPr>
          <w:color w:val="000000"/>
          <w:sz w:val="24"/>
          <w:szCs w:val="24"/>
        </w:rPr>
        <w:t>“</w:t>
      </w:r>
      <w:r>
        <w:rPr>
          <w:color w:val="000000"/>
          <w:sz w:val="24"/>
          <w:szCs w:val="24"/>
        </w:rPr>
        <w:t>风格切换</w:t>
      </w:r>
      <w:r>
        <w:rPr>
          <w:color w:val="000000"/>
          <w:sz w:val="24"/>
          <w:szCs w:val="24"/>
        </w:rPr>
        <w:t>”</w:t>
      </w:r>
      <w:r>
        <w:rPr>
          <w:color w:val="000000"/>
          <w:sz w:val="24"/>
          <w:szCs w:val="24"/>
        </w:rPr>
        <w:t>时坚持在自己擅长的成长股投资中进行投资选股，没有追涨杀跌，所以在</w:t>
      </w:r>
      <w:r>
        <w:rPr>
          <w:color w:val="000000"/>
          <w:sz w:val="24"/>
          <w:szCs w:val="24"/>
        </w:rPr>
        <w:t>12</w:t>
      </w:r>
      <w:r>
        <w:rPr>
          <w:color w:val="000000"/>
          <w:sz w:val="24"/>
          <w:szCs w:val="24"/>
        </w:rPr>
        <w:t>月份市场回调时表现较好。</w:t>
      </w:r>
    </w:p>
    <w:p w:rsidR="00B10D33" w:rsidRDefault="006573E9">
      <w:pPr>
        <w:spacing w:before="29" w:line="288" w:lineRule="auto"/>
        <w:ind w:firstLineChars="200" w:firstLine="480"/>
        <w:rPr>
          <w:color w:val="000000"/>
          <w:sz w:val="24"/>
          <w:szCs w:val="24"/>
        </w:rPr>
      </w:pPr>
      <w:r>
        <w:rPr>
          <w:color w:val="000000"/>
          <w:sz w:val="24"/>
          <w:szCs w:val="24"/>
        </w:rPr>
        <w:t>目前看，全球无风险利率水平有上升趋势，主要国家间的汇率波动明显加大。</w:t>
      </w:r>
      <w:r>
        <w:rPr>
          <w:color w:val="000000"/>
          <w:sz w:val="24"/>
          <w:szCs w:val="24"/>
        </w:rPr>
        <w:t>2017</w:t>
      </w:r>
      <w:r>
        <w:rPr>
          <w:color w:val="000000"/>
          <w:sz w:val="24"/>
          <w:szCs w:val="24"/>
        </w:rPr>
        <w:t>年一季度预计美元还是保持相对强势，新兴市场的国内流动性还将处于相对较紧的状态。</w:t>
      </w:r>
    </w:p>
    <w:p w:rsidR="00B10D33" w:rsidRDefault="006573E9">
      <w:pPr>
        <w:spacing w:before="29" w:line="288" w:lineRule="auto"/>
        <w:ind w:firstLineChars="200" w:firstLine="480"/>
        <w:rPr>
          <w:color w:val="000000"/>
          <w:sz w:val="24"/>
          <w:szCs w:val="24"/>
        </w:rPr>
      </w:pPr>
      <w:r>
        <w:rPr>
          <w:color w:val="000000"/>
          <w:sz w:val="24"/>
          <w:szCs w:val="24"/>
        </w:rPr>
        <w:t>展望未来一个季度，我们认为市场仍将维持震荡趋势。政策对于金融杠杆监管的加强，使得市场承压。而整体</w:t>
      </w:r>
      <w:r>
        <w:rPr>
          <w:color w:val="000000"/>
          <w:sz w:val="24"/>
          <w:szCs w:val="24"/>
        </w:rPr>
        <w:t>A</w:t>
      </w:r>
      <w:r>
        <w:rPr>
          <w:color w:val="000000"/>
          <w:sz w:val="24"/>
          <w:szCs w:val="24"/>
        </w:rPr>
        <w:t>股市场在经历了</w:t>
      </w:r>
      <w:r>
        <w:rPr>
          <w:color w:val="000000"/>
          <w:sz w:val="24"/>
          <w:szCs w:val="24"/>
        </w:rPr>
        <w:t>2016</w:t>
      </w:r>
      <w:r>
        <w:rPr>
          <w:color w:val="000000"/>
          <w:sz w:val="24"/>
          <w:szCs w:val="24"/>
        </w:rPr>
        <w:t>年的回调及估值消化后，不少成长股已明显具备投资价值，整体估值未有泡沫也使得下行风险整体也不大。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2017</w:t>
      </w:r>
      <w:r w:rsidRPr="00414345">
        <w:rPr>
          <w:color w:val="000000"/>
          <w:sz w:val="24"/>
          <w:szCs w:val="24"/>
        </w:rPr>
        <w:t>年一季度，仍将聚焦优选新兴成长行业，特别是</w:t>
      </w:r>
      <w:r w:rsidRPr="00414345">
        <w:rPr>
          <w:color w:val="000000"/>
          <w:sz w:val="24"/>
          <w:szCs w:val="24"/>
        </w:rPr>
        <w:t>2016</w:t>
      </w:r>
      <w:r w:rsidRPr="00414345">
        <w:rPr>
          <w:color w:val="000000"/>
          <w:sz w:val="24"/>
          <w:szCs w:val="24"/>
        </w:rPr>
        <w:t>年市场关注度不高的可持续成长行业。发掘未来</w:t>
      </w:r>
      <w:r w:rsidRPr="00414345">
        <w:rPr>
          <w:color w:val="000000"/>
          <w:sz w:val="24"/>
          <w:szCs w:val="24"/>
        </w:rPr>
        <w:t>2-3</w:t>
      </w:r>
      <w:r w:rsidRPr="00414345">
        <w:rPr>
          <w:color w:val="000000"/>
          <w:sz w:val="24"/>
          <w:szCs w:val="24"/>
        </w:rPr>
        <w:t>年有实质性成长空间和潜力的细分行业，并集中配置。争取为投资人获得较好的投资回报。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1.658</w:t>
      </w:r>
      <w:r w:rsidRPr="00414345">
        <w:rPr>
          <w:color w:val="000000"/>
          <w:sz w:val="24"/>
          <w:szCs w:val="24"/>
        </w:rPr>
        <w:t>元，本报告期份额净值增长率为</w:t>
      </w:r>
      <w:r w:rsidRPr="00414345">
        <w:rPr>
          <w:color w:val="000000"/>
          <w:sz w:val="24"/>
          <w:szCs w:val="24"/>
        </w:rPr>
        <w:t>3.39%</w:t>
      </w:r>
      <w:r w:rsidRPr="00414345">
        <w:rPr>
          <w:color w:val="000000"/>
          <w:sz w:val="24"/>
          <w:szCs w:val="24"/>
        </w:rPr>
        <w:t>，同期业绩比较基准增长率为</w:t>
      </w:r>
      <w:r w:rsidRPr="00414345">
        <w:rPr>
          <w:color w:val="000000"/>
          <w:sz w:val="24"/>
          <w:szCs w:val="24"/>
        </w:rPr>
        <w:t>0.98%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835,771,404.08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835,771,404.08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59,998,665.60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59,998,665.60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176,068,475.87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16.33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6,442,748.30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0.60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1,078,281,293.85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557,820.00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556,384,133.25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1,113,817.66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15,592.23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13,545,709.76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636,470.68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96,458,240.53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4,679,288.00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1,257,231.00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26,019,740.00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24,367,413.21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9,473,541.42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101,126,686.34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135,720.00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835,771,404.08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78.20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10D33">
        <w:trPr>
          <w:jc w:val="center"/>
        </w:trPr>
        <w:tc>
          <w:tcPr>
            <w:tcW w:w="855" w:type="dxa"/>
            <w:vAlign w:val="center"/>
          </w:tcPr>
          <w:p w:rsidR="00B10D33" w:rsidRDefault="006573E9">
            <w:pPr>
              <w:jc w:val="center"/>
            </w:pPr>
            <w:r>
              <w:rPr>
                <w:color w:val="000000"/>
                <w:sz w:val="24"/>
                <w:szCs w:val="24"/>
              </w:rPr>
              <w:t>1</w:t>
            </w:r>
          </w:p>
        </w:tc>
        <w:tc>
          <w:tcPr>
            <w:tcW w:w="1334" w:type="dxa"/>
            <w:vAlign w:val="center"/>
          </w:tcPr>
          <w:p w:rsidR="00B10D33" w:rsidRDefault="006573E9">
            <w:pPr>
              <w:jc w:val="center"/>
            </w:pPr>
            <w:r>
              <w:rPr>
                <w:color w:val="000000"/>
                <w:sz w:val="24"/>
                <w:szCs w:val="24"/>
              </w:rPr>
              <w:t>002343</w:t>
            </w:r>
          </w:p>
        </w:tc>
        <w:tc>
          <w:tcPr>
            <w:tcW w:w="1777" w:type="dxa"/>
            <w:vAlign w:val="center"/>
          </w:tcPr>
          <w:p w:rsidR="00B10D33" w:rsidRDefault="006573E9">
            <w:pPr>
              <w:jc w:val="center"/>
            </w:pPr>
            <w:r>
              <w:rPr>
                <w:color w:val="000000"/>
                <w:sz w:val="24"/>
                <w:szCs w:val="24"/>
              </w:rPr>
              <w:t>慈文传媒</w:t>
            </w:r>
          </w:p>
        </w:tc>
        <w:tc>
          <w:tcPr>
            <w:tcW w:w="1334" w:type="dxa"/>
            <w:vAlign w:val="center"/>
          </w:tcPr>
          <w:p w:rsidR="00B10D33" w:rsidRDefault="006573E9">
            <w:pPr>
              <w:jc w:val="right"/>
            </w:pPr>
            <w:r>
              <w:rPr>
                <w:color w:val="000000"/>
                <w:sz w:val="24"/>
                <w:szCs w:val="24"/>
              </w:rPr>
              <w:t>2,238,802</w:t>
            </w:r>
          </w:p>
        </w:tc>
        <w:tc>
          <w:tcPr>
            <w:tcW w:w="1924" w:type="dxa"/>
            <w:vAlign w:val="center"/>
          </w:tcPr>
          <w:p w:rsidR="00B10D33" w:rsidRDefault="006573E9">
            <w:pPr>
              <w:jc w:val="right"/>
            </w:pPr>
            <w:r>
              <w:rPr>
                <w:color w:val="000000"/>
                <w:sz w:val="24"/>
                <w:szCs w:val="24"/>
              </w:rPr>
              <w:t>101,126,686.34</w:t>
            </w:r>
          </w:p>
        </w:tc>
        <w:tc>
          <w:tcPr>
            <w:tcW w:w="1644" w:type="dxa"/>
            <w:vAlign w:val="center"/>
          </w:tcPr>
          <w:p w:rsidR="00B10D33" w:rsidRDefault="006573E9">
            <w:pPr>
              <w:jc w:val="right"/>
            </w:pPr>
            <w:r>
              <w:rPr>
                <w:color w:val="000000"/>
                <w:sz w:val="24"/>
                <w:szCs w:val="24"/>
              </w:rPr>
              <w:t>9.46</w:t>
            </w:r>
          </w:p>
        </w:tc>
      </w:tr>
      <w:tr w:rsidR="00B10D33">
        <w:trPr>
          <w:jc w:val="center"/>
        </w:trPr>
        <w:tc>
          <w:tcPr>
            <w:tcW w:w="855" w:type="dxa"/>
            <w:vAlign w:val="center"/>
          </w:tcPr>
          <w:p w:rsidR="00B10D33" w:rsidRDefault="006573E9">
            <w:pPr>
              <w:jc w:val="center"/>
            </w:pPr>
            <w:r>
              <w:rPr>
                <w:color w:val="000000"/>
                <w:sz w:val="24"/>
                <w:szCs w:val="24"/>
              </w:rPr>
              <w:t>2</w:t>
            </w:r>
          </w:p>
        </w:tc>
        <w:tc>
          <w:tcPr>
            <w:tcW w:w="1334" w:type="dxa"/>
            <w:vAlign w:val="center"/>
          </w:tcPr>
          <w:p w:rsidR="00B10D33" w:rsidRDefault="006573E9">
            <w:pPr>
              <w:jc w:val="center"/>
            </w:pPr>
            <w:r>
              <w:rPr>
                <w:color w:val="000000"/>
                <w:sz w:val="24"/>
                <w:szCs w:val="24"/>
              </w:rPr>
              <w:t>002468</w:t>
            </w:r>
          </w:p>
        </w:tc>
        <w:tc>
          <w:tcPr>
            <w:tcW w:w="1777" w:type="dxa"/>
            <w:vAlign w:val="center"/>
          </w:tcPr>
          <w:p w:rsidR="00B10D33" w:rsidRDefault="006573E9">
            <w:pPr>
              <w:jc w:val="center"/>
            </w:pPr>
            <w:r>
              <w:rPr>
                <w:color w:val="000000"/>
                <w:sz w:val="24"/>
                <w:szCs w:val="24"/>
              </w:rPr>
              <w:t>申通快递</w:t>
            </w:r>
          </w:p>
        </w:tc>
        <w:tc>
          <w:tcPr>
            <w:tcW w:w="1334" w:type="dxa"/>
            <w:vAlign w:val="center"/>
          </w:tcPr>
          <w:p w:rsidR="00B10D33" w:rsidRDefault="006573E9">
            <w:pPr>
              <w:jc w:val="right"/>
            </w:pPr>
            <w:r>
              <w:rPr>
                <w:color w:val="000000"/>
                <w:sz w:val="24"/>
                <w:szCs w:val="24"/>
              </w:rPr>
              <w:t>3,273,630</w:t>
            </w:r>
          </w:p>
        </w:tc>
        <w:tc>
          <w:tcPr>
            <w:tcW w:w="1924" w:type="dxa"/>
            <w:vAlign w:val="center"/>
          </w:tcPr>
          <w:p w:rsidR="00B10D33" w:rsidRDefault="006573E9">
            <w:pPr>
              <w:jc w:val="right"/>
            </w:pPr>
            <w:r>
              <w:rPr>
                <w:color w:val="000000"/>
                <w:sz w:val="24"/>
                <w:szCs w:val="24"/>
              </w:rPr>
              <w:t>98,929,098.60</w:t>
            </w:r>
          </w:p>
        </w:tc>
        <w:tc>
          <w:tcPr>
            <w:tcW w:w="1644" w:type="dxa"/>
            <w:vAlign w:val="center"/>
          </w:tcPr>
          <w:p w:rsidR="00B10D33" w:rsidRDefault="006573E9">
            <w:pPr>
              <w:jc w:val="right"/>
            </w:pPr>
            <w:r>
              <w:rPr>
                <w:color w:val="000000"/>
                <w:sz w:val="24"/>
                <w:szCs w:val="24"/>
              </w:rPr>
              <w:t>9.26</w:t>
            </w:r>
          </w:p>
        </w:tc>
      </w:tr>
      <w:tr w:rsidR="00B10D33">
        <w:trPr>
          <w:jc w:val="center"/>
        </w:trPr>
        <w:tc>
          <w:tcPr>
            <w:tcW w:w="855" w:type="dxa"/>
            <w:vAlign w:val="center"/>
          </w:tcPr>
          <w:p w:rsidR="00B10D33" w:rsidRDefault="006573E9">
            <w:pPr>
              <w:jc w:val="center"/>
            </w:pPr>
            <w:r>
              <w:rPr>
                <w:color w:val="000000"/>
                <w:sz w:val="24"/>
                <w:szCs w:val="24"/>
              </w:rPr>
              <w:t>3</w:t>
            </w:r>
          </w:p>
        </w:tc>
        <w:tc>
          <w:tcPr>
            <w:tcW w:w="1334" w:type="dxa"/>
            <w:vAlign w:val="center"/>
          </w:tcPr>
          <w:p w:rsidR="00B10D33" w:rsidRDefault="006573E9">
            <w:pPr>
              <w:jc w:val="center"/>
            </w:pPr>
            <w:r>
              <w:rPr>
                <w:color w:val="000000"/>
                <w:sz w:val="24"/>
                <w:szCs w:val="24"/>
              </w:rPr>
              <w:t>300365</w:t>
            </w:r>
          </w:p>
        </w:tc>
        <w:tc>
          <w:tcPr>
            <w:tcW w:w="1777" w:type="dxa"/>
            <w:vAlign w:val="center"/>
          </w:tcPr>
          <w:p w:rsidR="00B10D33" w:rsidRDefault="006573E9">
            <w:pPr>
              <w:jc w:val="center"/>
            </w:pPr>
            <w:r>
              <w:rPr>
                <w:color w:val="000000"/>
                <w:sz w:val="24"/>
                <w:szCs w:val="24"/>
              </w:rPr>
              <w:t>恒华科技</w:t>
            </w:r>
          </w:p>
        </w:tc>
        <w:tc>
          <w:tcPr>
            <w:tcW w:w="1334" w:type="dxa"/>
            <w:vAlign w:val="center"/>
          </w:tcPr>
          <w:p w:rsidR="00B10D33" w:rsidRDefault="006573E9">
            <w:pPr>
              <w:jc w:val="right"/>
            </w:pPr>
            <w:r>
              <w:rPr>
                <w:color w:val="000000"/>
                <w:sz w:val="24"/>
                <w:szCs w:val="24"/>
              </w:rPr>
              <w:t>1,523,495</w:t>
            </w:r>
          </w:p>
        </w:tc>
        <w:tc>
          <w:tcPr>
            <w:tcW w:w="1924" w:type="dxa"/>
            <w:vAlign w:val="center"/>
          </w:tcPr>
          <w:p w:rsidR="00B10D33" w:rsidRDefault="006573E9">
            <w:pPr>
              <w:jc w:val="right"/>
            </w:pPr>
            <w:r>
              <w:rPr>
                <w:color w:val="000000"/>
                <w:sz w:val="24"/>
                <w:szCs w:val="24"/>
              </w:rPr>
              <w:t>63,225,042.50</w:t>
            </w:r>
          </w:p>
        </w:tc>
        <w:tc>
          <w:tcPr>
            <w:tcW w:w="1644" w:type="dxa"/>
            <w:vAlign w:val="center"/>
          </w:tcPr>
          <w:p w:rsidR="00B10D33" w:rsidRDefault="006573E9">
            <w:pPr>
              <w:jc w:val="right"/>
            </w:pPr>
            <w:r>
              <w:rPr>
                <w:color w:val="000000"/>
                <w:sz w:val="24"/>
                <w:szCs w:val="24"/>
              </w:rPr>
              <w:t>5.92</w:t>
            </w:r>
          </w:p>
        </w:tc>
      </w:tr>
      <w:tr w:rsidR="00B10D33">
        <w:trPr>
          <w:jc w:val="center"/>
        </w:trPr>
        <w:tc>
          <w:tcPr>
            <w:tcW w:w="855" w:type="dxa"/>
            <w:vAlign w:val="center"/>
          </w:tcPr>
          <w:p w:rsidR="00B10D33" w:rsidRDefault="006573E9">
            <w:pPr>
              <w:jc w:val="center"/>
            </w:pPr>
            <w:r>
              <w:rPr>
                <w:color w:val="000000"/>
                <w:sz w:val="24"/>
                <w:szCs w:val="24"/>
              </w:rPr>
              <w:t>4</w:t>
            </w:r>
          </w:p>
        </w:tc>
        <w:tc>
          <w:tcPr>
            <w:tcW w:w="1334" w:type="dxa"/>
            <w:vAlign w:val="center"/>
          </w:tcPr>
          <w:p w:rsidR="00B10D33" w:rsidRDefault="006573E9">
            <w:pPr>
              <w:jc w:val="center"/>
            </w:pPr>
            <w:r>
              <w:rPr>
                <w:color w:val="000000"/>
                <w:sz w:val="24"/>
                <w:szCs w:val="24"/>
              </w:rPr>
              <w:t>002120</w:t>
            </w:r>
          </w:p>
        </w:tc>
        <w:tc>
          <w:tcPr>
            <w:tcW w:w="1777" w:type="dxa"/>
            <w:vAlign w:val="center"/>
          </w:tcPr>
          <w:p w:rsidR="00B10D33" w:rsidRDefault="006573E9">
            <w:pPr>
              <w:jc w:val="center"/>
            </w:pPr>
            <w:r>
              <w:rPr>
                <w:color w:val="000000"/>
                <w:sz w:val="24"/>
                <w:szCs w:val="24"/>
              </w:rPr>
              <w:t>新海股份</w:t>
            </w:r>
          </w:p>
        </w:tc>
        <w:tc>
          <w:tcPr>
            <w:tcW w:w="1334" w:type="dxa"/>
            <w:vAlign w:val="center"/>
          </w:tcPr>
          <w:p w:rsidR="00B10D33" w:rsidRDefault="006573E9">
            <w:pPr>
              <w:jc w:val="right"/>
            </w:pPr>
            <w:r>
              <w:rPr>
                <w:color w:val="000000"/>
                <w:sz w:val="24"/>
                <w:szCs w:val="24"/>
              </w:rPr>
              <w:t>1,211,127</w:t>
            </w:r>
          </w:p>
        </w:tc>
        <w:tc>
          <w:tcPr>
            <w:tcW w:w="1924" w:type="dxa"/>
            <w:vAlign w:val="center"/>
          </w:tcPr>
          <w:p w:rsidR="00B10D33" w:rsidRDefault="006573E9">
            <w:pPr>
              <w:jc w:val="right"/>
            </w:pPr>
            <w:r>
              <w:rPr>
                <w:color w:val="000000"/>
                <w:sz w:val="24"/>
                <w:szCs w:val="24"/>
              </w:rPr>
              <w:t>61,040,800.80</w:t>
            </w:r>
          </w:p>
        </w:tc>
        <w:tc>
          <w:tcPr>
            <w:tcW w:w="1644" w:type="dxa"/>
            <w:vAlign w:val="center"/>
          </w:tcPr>
          <w:p w:rsidR="00B10D33" w:rsidRDefault="006573E9">
            <w:pPr>
              <w:jc w:val="right"/>
            </w:pPr>
            <w:r>
              <w:rPr>
                <w:color w:val="000000"/>
                <w:sz w:val="24"/>
                <w:szCs w:val="24"/>
              </w:rPr>
              <w:t>5.71</w:t>
            </w:r>
          </w:p>
        </w:tc>
      </w:tr>
      <w:tr w:rsidR="00B10D33">
        <w:trPr>
          <w:jc w:val="center"/>
        </w:trPr>
        <w:tc>
          <w:tcPr>
            <w:tcW w:w="855" w:type="dxa"/>
            <w:vAlign w:val="center"/>
          </w:tcPr>
          <w:p w:rsidR="00B10D33" w:rsidRDefault="006573E9">
            <w:pPr>
              <w:jc w:val="center"/>
            </w:pPr>
            <w:r>
              <w:rPr>
                <w:color w:val="000000"/>
                <w:sz w:val="24"/>
                <w:szCs w:val="24"/>
              </w:rPr>
              <w:t>5</w:t>
            </w:r>
          </w:p>
        </w:tc>
        <w:tc>
          <w:tcPr>
            <w:tcW w:w="1334" w:type="dxa"/>
            <w:vAlign w:val="center"/>
          </w:tcPr>
          <w:p w:rsidR="00B10D33" w:rsidRDefault="006573E9">
            <w:pPr>
              <w:jc w:val="center"/>
            </w:pPr>
            <w:r>
              <w:rPr>
                <w:color w:val="000000"/>
                <w:sz w:val="24"/>
                <w:szCs w:val="24"/>
              </w:rPr>
              <w:t>000915</w:t>
            </w:r>
          </w:p>
        </w:tc>
        <w:tc>
          <w:tcPr>
            <w:tcW w:w="1777" w:type="dxa"/>
            <w:vAlign w:val="center"/>
          </w:tcPr>
          <w:p w:rsidR="00B10D33" w:rsidRDefault="006573E9">
            <w:pPr>
              <w:jc w:val="center"/>
            </w:pPr>
            <w:r>
              <w:rPr>
                <w:color w:val="000000"/>
                <w:sz w:val="24"/>
                <w:szCs w:val="24"/>
              </w:rPr>
              <w:t>山大华特</w:t>
            </w:r>
          </w:p>
        </w:tc>
        <w:tc>
          <w:tcPr>
            <w:tcW w:w="1334" w:type="dxa"/>
            <w:vAlign w:val="center"/>
          </w:tcPr>
          <w:p w:rsidR="00B10D33" w:rsidRDefault="006573E9">
            <w:pPr>
              <w:jc w:val="right"/>
            </w:pPr>
            <w:r>
              <w:rPr>
                <w:color w:val="000000"/>
                <w:sz w:val="24"/>
                <w:szCs w:val="24"/>
              </w:rPr>
              <w:t>1,065,224</w:t>
            </w:r>
          </w:p>
        </w:tc>
        <w:tc>
          <w:tcPr>
            <w:tcW w:w="1924" w:type="dxa"/>
            <w:vAlign w:val="center"/>
          </w:tcPr>
          <w:p w:rsidR="00B10D33" w:rsidRDefault="006573E9">
            <w:pPr>
              <w:jc w:val="right"/>
            </w:pPr>
            <w:r>
              <w:rPr>
                <w:color w:val="000000"/>
                <w:sz w:val="24"/>
                <w:szCs w:val="24"/>
              </w:rPr>
              <w:t>44,877,887.12</w:t>
            </w:r>
          </w:p>
        </w:tc>
        <w:tc>
          <w:tcPr>
            <w:tcW w:w="1644" w:type="dxa"/>
            <w:vAlign w:val="center"/>
          </w:tcPr>
          <w:p w:rsidR="00B10D33" w:rsidRDefault="006573E9">
            <w:pPr>
              <w:jc w:val="right"/>
            </w:pPr>
            <w:r>
              <w:rPr>
                <w:color w:val="000000"/>
                <w:sz w:val="24"/>
                <w:szCs w:val="24"/>
              </w:rPr>
              <w:t>4.20</w:t>
            </w:r>
          </w:p>
        </w:tc>
      </w:tr>
      <w:tr w:rsidR="00B10D33">
        <w:trPr>
          <w:jc w:val="center"/>
        </w:trPr>
        <w:tc>
          <w:tcPr>
            <w:tcW w:w="855" w:type="dxa"/>
            <w:vAlign w:val="center"/>
          </w:tcPr>
          <w:p w:rsidR="00B10D33" w:rsidRDefault="006573E9">
            <w:pPr>
              <w:jc w:val="center"/>
            </w:pPr>
            <w:r>
              <w:rPr>
                <w:color w:val="000000"/>
                <w:sz w:val="24"/>
                <w:szCs w:val="24"/>
              </w:rPr>
              <w:t>6</w:t>
            </w:r>
          </w:p>
        </w:tc>
        <w:tc>
          <w:tcPr>
            <w:tcW w:w="1334" w:type="dxa"/>
            <w:vAlign w:val="center"/>
          </w:tcPr>
          <w:p w:rsidR="00B10D33" w:rsidRDefault="006573E9">
            <w:pPr>
              <w:jc w:val="center"/>
            </w:pPr>
            <w:r>
              <w:rPr>
                <w:color w:val="000000"/>
                <w:sz w:val="24"/>
                <w:szCs w:val="24"/>
              </w:rPr>
              <w:t>300129</w:t>
            </w:r>
          </w:p>
        </w:tc>
        <w:tc>
          <w:tcPr>
            <w:tcW w:w="1777" w:type="dxa"/>
            <w:vAlign w:val="center"/>
          </w:tcPr>
          <w:p w:rsidR="00B10D33" w:rsidRDefault="006573E9">
            <w:pPr>
              <w:jc w:val="center"/>
            </w:pPr>
            <w:r>
              <w:rPr>
                <w:color w:val="000000"/>
                <w:sz w:val="24"/>
                <w:szCs w:val="24"/>
              </w:rPr>
              <w:t>泰胜风能</w:t>
            </w:r>
          </w:p>
        </w:tc>
        <w:tc>
          <w:tcPr>
            <w:tcW w:w="1334" w:type="dxa"/>
            <w:vAlign w:val="center"/>
          </w:tcPr>
          <w:p w:rsidR="00B10D33" w:rsidRDefault="006573E9">
            <w:pPr>
              <w:jc w:val="right"/>
            </w:pPr>
            <w:r>
              <w:rPr>
                <w:color w:val="000000"/>
                <w:sz w:val="24"/>
                <w:szCs w:val="24"/>
              </w:rPr>
              <w:t>4,551,560</w:t>
            </w:r>
          </w:p>
        </w:tc>
        <w:tc>
          <w:tcPr>
            <w:tcW w:w="1924" w:type="dxa"/>
            <w:vAlign w:val="center"/>
          </w:tcPr>
          <w:p w:rsidR="00B10D33" w:rsidRDefault="006573E9">
            <w:pPr>
              <w:jc w:val="right"/>
            </w:pPr>
            <w:r>
              <w:rPr>
                <w:color w:val="000000"/>
                <w:sz w:val="24"/>
                <w:szCs w:val="24"/>
              </w:rPr>
              <w:t>39,826,150.00</w:t>
            </w:r>
          </w:p>
        </w:tc>
        <w:tc>
          <w:tcPr>
            <w:tcW w:w="1644" w:type="dxa"/>
            <w:vAlign w:val="center"/>
          </w:tcPr>
          <w:p w:rsidR="00B10D33" w:rsidRDefault="006573E9">
            <w:pPr>
              <w:jc w:val="right"/>
            </w:pPr>
            <w:r>
              <w:rPr>
                <w:color w:val="000000"/>
                <w:sz w:val="24"/>
                <w:szCs w:val="24"/>
              </w:rPr>
              <w:t>3.73</w:t>
            </w:r>
          </w:p>
        </w:tc>
      </w:tr>
      <w:tr w:rsidR="00B10D33">
        <w:trPr>
          <w:jc w:val="center"/>
        </w:trPr>
        <w:tc>
          <w:tcPr>
            <w:tcW w:w="855" w:type="dxa"/>
            <w:vAlign w:val="center"/>
          </w:tcPr>
          <w:p w:rsidR="00B10D33" w:rsidRDefault="006573E9">
            <w:pPr>
              <w:jc w:val="center"/>
            </w:pPr>
            <w:r>
              <w:rPr>
                <w:color w:val="000000"/>
                <w:sz w:val="24"/>
                <w:szCs w:val="24"/>
              </w:rPr>
              <w:t>7</w:t>
            </w:r>
          </w:p>
        </w:tc>
        <w:tc>
          <w:tcPr>
            <w:tcW w:w="1334" w:type="dxa"/>
            <w:vAlign w:val="center"/>
          </w:tcPr>
          <w:p w:rsidR="00B10D33" w:rsidRDefault="006573E9">
            <w:pPr>
              <w:jc w:val="center"/>
            </w:pPr>
            <w:r>
              <w:rPr>
                <w:color w:val="000000"/>
                <w:sz w:val="24"/>
                <w:szCs w:val="24"/>
              </w:rPr>
              <w:t>000820</w:t>
            </w:r>
          </w:p>
        </w:tc>
        <w:tc>
          <w:tcPr>
            <w:tcW w:w="1777" w:type="dxa"/>
            <w:vAlign w:val="center"/>
          </w:tcPr>
          <w:p w:rsidR="00B10D33" w:rsidRDefault="006573E9">
            <w:pPr>
              <w:jc w:val="center"/>
            </w:pPr>
            <w:r>
              <w:rPr>
                <w:color w:val="000000"/>
                <w:sz w:val="24"/>
                <w:szCs w:val="24"/>
              </w:rPr>
              <w:t>神雾节能</w:t>
            </w:r>
          </w:p>
        </w:tc>
        <w:tc>
          <w:tcPr>
            <w:tcW w:w="1334" w:type="dxa"/>
            <w:vAlign w:val="center"/>
          </w:tcPr>
          <w:p w:rsidR="00B10D33" w:rsidRDefault="006573E9">
            <w:pPr>
              <w:jc w:val="right"/>
            </w:pPr>
            <w:r>
              <w:rPr>
                <w:color w:val="000000"/>
                <w:sz w:val="24"/>
                <w:szCs w:val="24"/>
              </w:rPr>
              <w:t>1,287,894</w:t>
            </w:r>
          </w:p>
        </w:tc>
        <w:tc>
          <w:tcPr>
            <w:tcW w:w="1924" w:type="dxa"/>
            <w:vAlign w:val="center"/>
          </w:tcPr>
          <w:p w:rsidR="00B10D33" w:rsidRDefault="006573E9">
            <w:pPr>
              <w:jc w:val="right"/>
            </w:pPr>
            <w:r>
              <w:rPr>
                <w:color w:val="000000"/>
                <w:sz w:val="24"/>
                <w:szCs w:val="24"/>
              </w:rPr>
              <w:t>37,220,136.60</w:t>
            </w:r>
          </w:p>
        </w:tc>
        <w:tc>
          <w:tcPr>
            <w:tcW w:w="1644" w:type="dxa"/>
            <w:vAlign w:val="center"/>
          </w:tcPr>
          <w:p w:rsidR="00B10D33" w:rsidRDefault="006573E9">
            <w:pPr>
              <w:jc w:val="right"/>
            </w:pPr>
            <w:r>
              <w:rPr>
                <w:color w:val="000000"/>
                <w:sz w:val="24"/>
                <w:szCs w:val="24"/>
              </w:rPr>
              <w:t>3.48</w:t>
            </w:r>
          </w:p>
        </w:tc>
      </w:tr>
      <w:tr w:rsidR="00B10D33">
        <w:trPr>
          <w:jc w:val="center"/>
        </w:trPr>
        <w:tc>
          <w:tcPr>
            <w:tcW w:w="855" w:type="dxa"/>
            <w:vAlign w:val="center"/>
          </w:tcPr>
          <w:p w:rsidR="00B10D33" w:rsidRDefault="006573E9">
            <w:pPr>
              <w:jc w:val="center"/>
            </w:pPr>
            <w:r>
              <w:rPr>
                <w:color w:val="000000"/>
                <w:sz w:val="24"/>
                <w:szCs w:val="24"/>
              </w:rPr>
              <w:t>8</w:t>
            </w:r>
          </w:p>
        </w:tc>
        <w:tc>
          <w:tcPr>
            <w:tcW w:w="1334" w:type="dxa"/>
            <w:vAlign w:val="center"/>
          </w:tcPr>
          <w:p w:rsidR="00B10D33" w:rsidRDefault="006573E9">
            <w:pPr>
              <w:jc w:val="center"/>
            </w:pPr>
            <w:r>
              <w:rPr>
                <w:color w:val="000000"/>
                <w:sz w:val="24"/>
                <w:szCs w:val="24"/>
              </w:rPr>
              <w:t>002281</w:t>
            </w:r>
          </w:p>
        </w:tc>
        <w:tc>
          <w:tcPr>
            <w:tcW w:w="1777" w:type="dxa"/>
            <w:vAlign w:val="center"/>
          </w:tcPr>
          <w:p w:rsidR="00B10D33" w:rsidRDefault="006573E9">
            <w:pPr>
              <w:jc w:val="center"/>
            </w:pPr>
            <w:r>
              <w:rPr>
                <w:color w:val="000000"/>
                <w:sz w:val="24"/>
                <w:szCs w:val="24"/>
              </w:rPr>
              <w:t>光迅科技</w:t>
            </w:r>
          </w:p>
        </w:tc>
        <w:tc>
          <w:tcPr>
            <w:tcW w:w="1334" w:type="dxa"/>
            <w:vAlign w:val="center"/>
          </w:tcPr>
          <w:p w:rsidR="00B10D33" w:rsidRDefault="006573E9">
            <w:pPr>
              <w:jc w:val="right"/>
            </w:pPr>
            <w:r>
              <w:rPr>
                <w:color w:val="000000"/>
                <w:sz w:val="24"/>
                <w:szCs w:val="24"/>
              </w:rPr>
              <w:t>456,516</w:t>
            </w:r>
          </w:p>
        </w:tc>
        <w:tc>
          <w:tcPr>
            <w:tcW w:w="1924" w:type="dxa"/>
            <w:vAlign w:val="center"/>
          </w:tcPr>
          <w:p w:rsidR="00B10D33" w:rsidRDefault="006573E9">
            <w:pPr>
              <w:jc w:val="right"/>
            </w:pPr>
            <w:r>
              <w:rPr>
                <w:color w:val="000000"/>
                <w:sz w:val="24"/>
                <w:szCs w:val="24"/>
              </w:rPr>
              <w:t>35,836,506.00</w:t>
            </w:r>
          </w:p>
        </w:tc>
        <w:tc>
          <w:tcPr>
            <w:tcW w:w="1644" w:type="dxa"/>
            <w:vAlign w:val="center"/>
          </w:tcPr>
          <w:p w:rsidR="00B10D33" w:rsidRDefault="006573E9">
            <w:pPr>
              <w:jc w:val="right"/>
            </w:pPr>
            <w:r>
              <w:rPr>
                <w:color w:val="000000"/>
                <w:sz w:val="24"/>
                <w:szCs w:val="24"/>
              </w:rPr>
              <w:t>3.35</w:t>
            </w:r>
          </w:p>
        </w:tc>
      </w:tr>
      <w:tr w:rsidR="00B10D33">
        <w:trPr>
          <w:jc w:val="center"/>
        </w:trPr>
        <w:tc>
          <w:tcPr>
            <w:tcW w:w="855" w:type="dxa"/>
            <w:vAlign w:val="center"/>
          </w:tcPr>
          <w:p w:rsidR="00B10D33" w:rsidRDefault="006573E9">
            <w:pPr>
              <w:jc w:val="center"/>
            </w:pPr>
            <w:r>
              <w:rPr>
                <w:color w:val="000000"/>
                <w:sz w:val="24"/>
                <w:szCs w:val="24"/>
              </w:rPr>
              <w:t>9</w:t>
            </w:r>
          </w:p>
        </w:tc>
        <w:tc>
          <w:tcPr>
            <w:tcW w:w="1334" w:type="dxa"/>
            <w:vAlign w:val="center"/>
          </w:tcPr>
          <w:p w:rsidR="00B10D33" w:rsidRDefault="006573E9">
            <w:pPr>
              <w:jc w:val="center"/>
            </w:pPr>
            <w:r>
              <w:rPr>
                <w:color w:val="000000"/>
                <w:sz w:val="24"/>
                <w:szCs w:val="24"/>
              </w:rPr>
              <w:t>600867</w:t>
            </w:r>
          </w:p>
        </w:tc>
        <w:tc>
          <w:tcPr>
            <w:tcW w:w="1777" w:type="dxa"/>
            <w:vAlign w:val="center"/>
          </w:tcPr>
          <w:p w:rsidR="00B10D33" w:rsidRDefault="006573E9">
            <w:pPr>
              <w:jc w:val="center"/>
            </w:pPr>
            <w:r>
              <w:rPr>
                <w:color w:val="000000"/>
                <w:sz w:val="24"/>
                <w:szCs w:val="24"/>
              </w:rPr>
              <w:t>通化东宝</w:t>
            </w:r>
          </w:p>
        </w:tc>
        <w:tc>
          <w:tcPr>
            <w:tcW w:w="1334" w:type="dxa"/>
            <w:vAlign w:val="center"/>
          </w:tcPr>
          <w:p w:rsidR="00B10D33" w:rsidRDefault="006573E9">
            <w:pPr>
              <w:jc w:val="right"/>
            </w:pPr>
            <w:r>
              <w:rPr>
                <w:color w:val="000000"/>
                <w:sz w:val="24"/>
                <w:szCs w:val="24"/>
              </w:rPr>
              <w:t>1,626,310</w:t>
            </w:r>
          </w:p>
        </w:tc>
        <w:tc>
          <w:tcPr>
            <w:tcW w:w="1924" w:type="dxa"/>
            <w:vAlign w:val="center"/>
          </w:tcPr>
          <w:p w:rsidR="00B10D33" w:rsidRDefault="006573E9">
            <w:pPr>
              <w:jc w:val="right"/>
            </w:pPr>
            <w:r>
              <w:rPr>
                <w:color w:val="000000"/>
                <w:sz w:val="24"/>
                <w:szCs w:val="24"/>
              </w:rPr>
              <w:t>35,664,978.30</w:t>
            </w:r>
          </w:p>
        </w:tc>
        <w:tc>
          <w:tcPr>
            <w:tcW w:w="1644" w:type="dxa"/>
            <w:vAlign w:val="center"/>
          </w:tcPr>
          <w:p w:rsidR="00B10D33" w:rsidRDefault="006573E9">
            <w:pPr>
              <w:jc w:val="right"/>
            </w:pPr>
            <w:r>
              <w:rPr>
                <w:color w:val="000000"/>
                <w:sz w:val="24"/>
                <w:szCs w:val="24"/>
              </w:rPr>
              <w:t>3.34</w:t>
            </w:r>
          </w:p>
        </w:tc>
      </w:tr>
      <w:tr w:rsidR="00B10D33">
        <w:trPr>
          <w:jc w:val="center"/>
        </w:trPr>
        <w:tc>
          <w:tcPr>
            <w:tcW w:w="855" w:type="dxa"/>
            <w:vAlign w:val="center"/>
          </w:tcPr>
          <w:p w:rsidR="00B10D33" w:rsidRDefault="006573E9">
            <w:pPr>
              <w:jc w:val="center"/>
            </w:pPr>
            <w:r>
              <w:rPr>
                <w:color w:val="000000"/>
                <w:sz w:val="24"/>
                <w:szCs w:val="24"/>
              </w:rPr>
              <w:t>10</w:t>
            </w:r>
          </w:p>
        </w:tc>
        <w:tc>
          <w:tcPr>
            <w:tcW w:w="1334" w:type="dxa"/>
            <w:vAlign w:val="center"/>
          </w:tcPr>
          <w:p w:rsidR="00B10D33" w:rsidRDefault="006573E9">
            <w:pPr>
              <w:jc w:val="center"/>
            </w:pPr>
            <w:r>
              <w:rPr>
                <w:color w:val="000000"/>
                <w:sz w:val="24"/>
                <w:szCs w:val="24"/>
              </w:rPr>
              <w:t>300182</w:t>
            </w:r>
          </w:p>
        </w:tc>
        <w:tc>
          <w:tcPr>
            <w:tcW w:w="1777" w:type="dxa"/>
            <w:vAlign w:val="center"/>
          </w:tcPr>
          <w:p w:rsidR="00B10D33" w:rsidRDefault="006573E9">
            <w:pPr>
              <w:jc w:val="center"/>
            </w:pPr>
            <w:r>
              <w:rPr>
                <w:color w:val="000000"/>
                <w:sz w:val="24"/>
                <w:szCs w:val="24"/>
              </w:rPr>
              <w:t>捷成股份</w:t>
            </w:r>
          </w:p>
        </w:tc>
        <w:tc>
          <w:tcPr>
            <w:tcW w:w="1334" w:type="dxa"/>
            <w:vAlign w:val="center"/>
          </w:tcPr>
          <w:p w:rsidR="00B10D33" w:rsidRDefault="006573E9">
            <w:pPr>
              <w:jc w:val="right"/>
            </w:pPr>
            <w:r>
              <w:rPr>
                <w:color w:val="000000"/>
                <w:sz w:val="24"/>
                <w:szCs w:val="24"/>
              </w:rPr>
              <w:t>2,755,893</w:t>
            </w:r>
          </w:p>
        </w:tc>
        <w:tc>
          <w:tcPr>
            <w:tcW w:w="1924" w:type="dxa"/>
            <w:vAlign w:val="center"/>
          </w:tcPr>
          <w:p w:rsidR="00B10D33" w:rsidRDefault="006573E9">
            <w:pPr>
              <w:jc w:val="right"/>
            </w:pPr>
            <w:r>
              <w:rPr>
                <w:color w:val="000000"/>
                <w:sz w:val="24"/>
                <w:szCs w:val="24"/>
              </w:rPr>
              <w:t>28,413,256.83</w:t>
            </w:r>
          </w:p>
        </w:tc>
        <w:tc>
          <w:tcPr>
            <w:tcW w:w="1644" w:type="dxa"/>
            <w:vAlign w:val="center"/>
          </w:tcPr>
          <w:p w:rsidR="00B10D33" w:rsidRDefault="006573E9">
            <w:pPr>
              <w:jc w:val="right"/>
            </w:pPr>
            <w:r>
              <w:rPr>
                <w:color w:val="000000"/>
                <w:sz w:val="24"/>
                <w:szCs w:val="24"/>
              </w:rPr>
              <w:t>2.66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94,665.60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59,998,665.60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10D33">
        <w:trPr>
          <w:jc w:val="center"/>
        </w:trPr>
        <w:tc>
          <w:tcPr>
            <w:tcW w:w="850" w:type="dxa"/>
            <w:vAlign w:val="center"/>
          </w:tcPr>
          <w:p w:rsidR="00B10D33" w:rsidRDefault="006573E9">
            <w:pPr>
              <w:jc w:val="center"/>
            </w:pPr>
            <w:r>
              <w:rPr>
                <w:color w:val="000000"/>
                <w:sz w:val="24"/>
                <w:szCs w:val="24"/>
              </w:rPr>
              <w:t>1</w:t>
            </w:r>
          </w:p>
        </w:tc>
        <w:tc>
          <w:tcPr>
            <w:tcW w:w="1475" w:type="dxa"/>
            <w:vAlign w:val="center"/>
          </w:tcPr>
          <w:p w:rsidR="00B10D33" w:rsidRDefault="006573E9">
            <w:pPr>
              <w:jc w:val="center"/>
            </w:pPr>
            <w:r>
              <w:rPr>
                <w:color w:val="000000"/>
                <w:sz w:val="24"/>
                <w:szCs w:val="24"/>
              </w:rPr>
              <w:t>160304</w:t>
            </w:r>
          </w:p>
        </w:tc>
        <w:tc>
          <w:tcPr>
            <w:tcW w:w="1769" w:type="dxa"/>
            <w:vAlign w:val="center"/>
          </w:tcPr>
          <w:p w:rsidR="00B10D33" w:rsidRDefault="006573E9">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B10D33" w:rsidRDefault="006573E9">
            <w:pPr>
              <w:jc w:val="right"/>
            </w:pPr>
            <w:r>
              <w:rPr>
                <w:color w:val="000000"/>
                <w:sz w:val="24"/>
                <w:szCs w:val="24"/>
              </w:rPr>
              <w:t>300,000</w:t>
            </w:r>
          </w:p>
        </w:tc>
        <w:tc>
          <w:tcPr>
            <w:tcW w:w="2150" w:type="dxa"/>
            <w:vAlign w:val="center"/>
          </w:tcPr>
          <w:p w:rsidR="00B10D33" w:rsidRDefault="006573E9">
            <w:pPr>
              <w:jc w:val="right"/>
            </w:pPr>
            <w:r>
              <w:rPr>
                <w:color w:val="000000"/>
                <w:sz w:val="24"/>
                <w:szCs w:val="24"/>
              </w:rPr>
              <w:t>29,955,000.00</w:t>
            </w:r>
          </w:p>
        </w:tc>
        <w:tc>
          <w:tcPr>
            <w:tcW w:w="1237" w:type="dxa"/>
            <w:vAlign w:val="center"/>
          </w:tcPr>
          <w:p w:rsidR="00B10D33" w:rsidRDefault="006573E9">
            <w:pPr>
              <w:jc w:val="right"/>
            </w:pPr>
            <w:r>
              <w:rPr>
                <w:color w:val="000000"/>
                <w:sz w:val="24"/>
                <w:szCs w:val="24"/>
              </w:rPr>
              <w:t>2.80</w:t>
            </w:r>
          </w:p>
        </w:tc>
      </w:tr>
      <w:tr w:rsidR="00B10D33">
        <w:trPr>
          <w:jc w:val="center"/>
        </w:trPr>
        <w:tc>
          <w:tcPr>
            <w:tcW w:w="850" w:type="dxa"/>
            <w:vAlign w:val="center"/>
          </w:tcPr>
          <w:p w:rsidR="00B10D33" w:rsidRDefault="006573E9">
            <w:pPr>
              <w:jc w:val="center"/>
            </w:pPr>
            <w:r>
              <w:rPr>
                <w:color w:val="000000"/>
                <w:sz w:val="24"/>
                <w:szCs w:val="24"/>
              </w:rPr>
              <w:t>2</w:t>
            </w:r>
          </w:p>
        </w:tc>
        <w:tc>
          <w:tcPr>
            <w:tcW w:w="1475" w:type="dxa"/>
            <w:vAlign w:val="center"/>
          </w:tcPr>
          <w:p w:rsidR="00B10D33" w:rsidRDefault="006573E9">
            <w:pPr>
              <w:jc w:val="center"/>
            </w:pPr>
            <w:r>
              <w:rPr>
                <w:color w:val="000000"/>
                <w:sz w:val="24"/>
                <w:szCs w:val="24"/>
              </w:rPr>
              <w:t>160211</w:t>
            </w:r>
          </w:p>
        </w:tc>
        <w:tc>
          <w:tcPr>
            <w:tcW w:w="1769" w:type="dxa"/>
            <w:vAlign w:val="center"/>
          </w:tcPr>
          <w:p w:rsidR="00B10D33" w:rsidRDefault="006573E9">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B10D33" w:rsidRDefault="006573E9">
            <w:pPr>
              <w:jc w:val="right"/>
            </w:pPr>
            <w:r>
              <w:rPr>
                <w:color w:val="000000"/>
                <w:sz w:val="24"/>
                <w:szCs w:val="24"/>
              </w:rPr>
              <w:t>300,000</w:t>
            </w:r>
          </w:p>
        </w:tc>
        <w:tc>
          <w:tcPr>
            <w:tcW w:w="2150" w:type="dxa"/>
            <w:vAlign w:val="center"/>
          </w:tcPr>
          <w:p w:rsidR="00B10D33" w:rsidRDefault="006573E9">
            <w:pPr>
              <w:jc w:val="right"/>
            </w:pPr>
            <w:r>
              <w:rPr>
                <w:color w:val="000000"/>
                <w:sz w:val="24"/>
                <w:szCs w:val="24"/>
              </w:rPr>
              <w:t>29,949,000.00</w:t>
            </w:r>
          </w:p>
        </w:tc>
        <w:tc>
          <w:tcPr>
            <w:tcW w:w="1237" w:type="dxa"/>
            <w:vAlign w:val="center"/>
          </w:tcPr>
          <w:p w:rsidR="00B10D33" w:rsidRDefault="006573E9">
            <w:pPr>
              <w:jc w:val="right"/>
            </w:pPr>
            <w:r>
              <w:rPr>
                <w:color w:val="000000"/>
                <w:sz w:val="24"/>
                <w:szCs w:val="24"/>
              </w:rPr>
              <w:t>2.80</w:t>
            </w:r>
          </w:p>
        </w:tc>
      </w:tr>
      <w:tr w:rsidR="00B10D33">
        <w:trPr>
          <w:jc w:val="center"/>
        </w:trPr>
        <w:tc>
          <w:tcPr>
            <w:tcW w:w="850" w:type="dxa"/>
            <w:vAlign w:val="center"/>
          </w:tcPr>
          <w:p w:rsidR="00B10D33" w:rsidRDefault="006573E9">
            <w:pPr>
              <w:jc w:val="center"/>
            </w:pPr>
            <w:r>
              <w:rPr>
                <w:color w:val="000000"/>
                <w:sz w:val="24"/>
                <w:szCs w:val="24"/>
              </w:rPr>
              <w:t>3</w:t>
            </w:r>
          </w:p>
        </w:tc>
        <w:tc>
          <w:tcPr>
            <w:tcW w:w="1475" w:type="dxa"/>
            <w:vAlign w:val="center"/>
          </w:tcPr>
          <w:p w:rsidR="00B10D33" w:rsidRDefault="006573E9">
            <w:pPr>
              <w:jc w:val="center"/>
            </w:pPr>
            <w:r>
              <w:rPr>
                <w:color w:val="000000"/>
                <w:sz w:val="24"/>
                <w:szCs w:val="24"/>
              </w:rPr>
              <w:t>110035</w:t>
            </w:r>
          </w:p>
        </w:tc>
        <w:tc>
          <w:tcPr>
            <w:tcW w:w="1769" w:type="dxa"/>
            <w:vAlign w:val="center"/>
          </w:tcPr>
          <w:p w:rsidR="00B10D33" w:rsidRDefault="006573E9">
            <w:pPr>
              <w:jc w:val="center"/>
            </w:pPr>
            <w:r>
              <w:rPr>
                <w:color w:val="000000"/>
                <w:sz w:val="24"/>
                <w:szCs w:val="24"/>
              </w:rPr>
              <w:t>白云转债</w:t>
            </w:r>
          </w:p>
        </w:tc>
        <w:tc>
          <w:tcPr>
            <w:tcW w:w="1387" w:type="dxa"/>
            <w:vAlign w:val="center"/>
          </w:tcPr>
          <w:p w:rsidR="00B10D33" w:rsidRDefault="006573E9">
            <w:pPr>
              <w:jc w:val="right"/>
            </w:pPr>
            <w:r>
              <w:rPr>
                <w:color w:val="000000"/>
                <w:sz w:val="24"/>
                <w:szCs w:val="24"/>
              </w:rPr>
              <w:t>760</w:t>
            </w:r>
          </w:p>
        </w:tc>
        <w:tc>
          <w:tcPr>
            <w:tcW w:w="2150" w:type="dxa"/>
            <w:vAlign w:val="center"/>
          </w:tcPr>
          <w:p w:rsidR="00B10D33" w:rsidRDefault="006573E9">
            <w:pPr>
              <w:jc w:val="right"/>
            </w:pPr>
            <w:r>
              <w:rPr>
                <w:color w:val="000000"/>
                <w:sz w:val="24"/>
                <w:szCs w:val="24"/>
              </w:rPr>
              <w:t>94,665.60</w:t>
            </w:r>
          </w:p>
        </w:tc>
        <w:tc>
          <w:tcPr>
            <w:tcW w:w="1237" w:type="dxa"/>
            <w:vAlign w:val="center"/>
          </w:tcPr>
          <w:p w:rsidR="00B10D33" w:rsidRDefault="006573E9">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474,499.07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4,728,765.85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1,043,042.41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196,440.97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6,442,748.30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10D33">
        <w:trPr>
          <w:jc w:val="center"/>
        </w:trPr>
        <w:tc>
          <w:tcPr>
            <w:tcW w:w="1883" w:type="dxa"/>
            <w:vAlign w:val="center"/>
          </w:tcPr>
          <w:p w:rsidR="00B10D33" w:rsidRDefault="006573E9">
            <w:pPr>
              <w:jc w:val="center"/>
            </w:pPr>
            <w:r>
              <w:rPr>
                <w:color w:val="000000"/>
                <w:sz w:val="24"/>
                <w:szCs w:val="24"/>
              </w:rPr>
              <w:t>1</w:t>
            </w:r>
          </w:p>
        </w:tc>
        <w:tc>
          <w:tcPr>
            <w:tcW w:w="1801" w:type="dxa"/>
            <w:vAlign w:val="center"/>
          </w:tcPr>
          <w:p w:rsidR="00B10D33" w:rsidRDefault="006573E9">
            <w:pPr>
              <w:jc w:val="center"/>
            </w:pPr>
            <w:r>
              <w:rPr>
                <w:color w:val="000000"/>
                <w:sz w:val="24"/>
                <w:szCs w:val="24"/>
              </w:rPr>
              <w:t>110035</w:t>
            </w:r>
          </w:p>
        </w:tc>
        <w:tc>
          <w:tcPr>
            <w:tcW w:w="1727" w:type="dxa"/>
            <w:vAlign w:val="center"/>
          </w:tcPr>
          <w:p w:rsidR="00B10D33" w:rsidRDefault="006573E9">
            <w:pPr>
              <w:jc w:val="center"/>
            </w:pPr>
            <w:r>
              <w:rPr>
                <w:color w:val="000000"/>
                <w:sz w:val="24"/>
                <w:szCs w:val="24"/>
              </w:rPr>
              <w:t>白云转债</w:t>
            </w:r>
          </w:p>
        </w:tc>
        <w:tc>
          <w:tcPr>
            <w:tcW w:w="1768" w:type="dxa"/>
            <w:vAlign w:val="center"/>
          </w:tcPr>
          <w:p w:rsidR="00B10D33" w:rsidRDefault="006573E9">
            <w:pPr>
              <w:jc w:val="right"/>
            </w:pPr>
            <w:r>
              <w:rPr>
                <w:color w:val="000000"/>
                <w:sz w:val="24"/>
                <w:szCs w:val="24"/>
              </w:rPr>
              <w:t>94,665.60</w:t>
            </w:r>
          </w:p>
        </w:tc>
        <w:tc>
          <w:tcPr>
            <w:tcW w:w="1689" w:type="dxa"/>
            <w:vAlign w:val="center"/>
          </w:tcPr>
          <w:p w:rsidR="00B10D33" w:rsidRDefault="006573E9">
            <w:pPr>
              <w:jc w:val="right"/>
            </w:pPr>
            <w:r>
              <w:rPr>
                <w:color w:val="000000"/>
                <w:sz w:val="24"/>
                <w:szCs w:val="24"/>
              </w:rPr>
              <w:t>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67,128,717.74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4,608,858,020.60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4,031,537,680.84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644,449,057.50</w:t>
            </w:r>
          </w:p>
        </w:tc>
      </w:tr>
    </w:tbl>
    <w:p w:rsidR="00B10D33" w:rsidRDefault="006573E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7,859,225.00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27,864,525.00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4.32</w:t>
            </w:r>
          </w:p>
        </w:tc>
      </w:tr>
    </w:tbl>
    <w:p w:rsidR="00B10D33" w:rsidRDefault="006573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6573E9" w:rsidRPr="00BB5E0E" w:rsidRDefault="006573E9" w:rsidP="006573E9">
      <w:pPr>
        <w:spacing w:line="288" w:lineRule="auto"/>
        <w:jc w:val="left"/>
        <w:rPr>
          <w:b/>
          <w:sz w:val="24"/>
        </w:rPr>
      </w:pPr>
      <w:r w:rsidRPr="00410630">
        <w:rPr>
          <w:b/>
          <w:sz w:val="24"/>
        </w:rPr>
        <w:t>7.2</w:t>
      </w:r>
      <w:r>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6573E9" w:rsidRPr="00414345" w:rsidTr="0012655A">
        <w:trPr>
          <w:trHeight w:val="340"/>
          <w:jc w:val="center"/>
        </w:trPr>
        <w:tc>
          <w:tcPr>
            <w:tcW w:w="1070" w:type="dxa"/>
            <w:vAlign w:val="center"/>
          </w:tcPr>
          <w:p w:rsidR="006573E9" w:rsidRPr="00414345" w:rsidRDefault="006573E9" w:rsidP="0012655A">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6573E9" w:rsidRPr="00414345" w:rsidRDefault="006573E9" w:rsidP="0012655A">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6573E9" w:rsidRPr="00414345" w:rsidRDefault="006573E9" w:rsidP="0012655A">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6573E9" w:rsidRPr="00414345" w:rsidRDefault="006573E9" w:rsidP="0012655A">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6573E9" w:rsidRPr="00414345" w:rsidRDefault="006573E9" w:rsidP="0012655A">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6573E9" w:rsidRPr="00414345" w:rsidRDefault="006573E9" w:rsidP="0012655A">
            <w:pPr>
              <w:adjustRightInd w:val="0"/>
              <w:snapToGrid w:val="0"/>
              <w:spacing w:before="29" w:line="288" w:lineRule="auto"/>
              <w:jc w:val="center"/>
              <w:rPr>
                <w:color w:val="000000"/>
                <w:kern w:val="0"/>
                <w:sz w:val="24"/>
              </w:rPr>
            </w:pPr>
            <w:r w:rsidRPr="00414345">
              <w:rPr>
                <w:color w:val="000000"/>
                <w:kern w:val="0"/>
                <w:sz w:val="24"/>
              </w:rPr>
              <w:t>适用费率</w:t>
            </w:r>
          </w:p>
        </w:tc>
      </w:tr>
      <w:tr w:rsidR="006573E9" w:rsidTr="0012655A">
        <w:trPr>
          <w:jc w:val="center"/>
        </w:trPr>
        <w:tc>
          <w:tcPr>
            <w:tcW w:w="1032" w:type="dxa"/>
            <w:vAlign w:val="center"/>
          </w:tcPr>
          <w:p w:rsidR="006573E9" w:rsidRDefault="006573E9" w:rsidP="0012655A">
            <w:pPr>
              <w:jc w:val="center"/>
            </w:pPr>
            <w:r>
              <w:rPr>
                <w:color w:val="000000"/>
                <w:sz w:val="24"/>
              </w:rPr>
              <w:t>1</w:t>
            </w:r>
          </w:p>
        </w:tc>
        <w:tc>
          <w:tcPr>
            <w:tcW w:w="1776" w:type="dxa"/>
            <w:vAlign w:val="center"/>
          </w:tcPr>
          <w:p w:rsidR="006573E9" w:rsidRDefault="006573E9" w:rsidP="0012655A">
            <w:pPr>
              <w:jc w:val="center"/>
            </w:pPr>
            <w:r>
              <w:rPr>
                <w:color w:val="000000"/>
                <w:sz w:val="24"/>
              </w:rPr>
              <w:t>红利再投</w:t>
            </w:r>
          </w:p>
        </w:tc>
        <w:tc>
          <w:tcPr>
            <w:tcW w:w="1317" w:type="dxa"/>
            <w:vAlign w:val="center"/>
          </w:tcPr>
          <w:p w:rsidR="006573E9" w:rsidRDefault="006573E9" w:rsidP="0012655A">
            <w:pPr>
              <w:jc w:val="center"/>
            </w:pPr>
            <w:r>
              <w:rPr>
                <w:color w:val="000000"/>
                <w:sz w:val="24"/>
              </w:rPr>
              <w:t>2016-11-04</w:t>
            </w:r>
          </w:p>
        </w:tc>
        <w:tc>
          <w:tcPr>
            <w:tcW w:w="1633" w:type="dxa"/>
            <w:vAlign w:val="center"/>
          </w:tcPr>
          <w:p w:rsidR="006573E9" w:rsidRDefault="006573E9" w:rsidP="0012655A">
            <w:pPr>
              <w:jc w:val="right"/>
            </w:pPr>
            <w:r>
              <w:rPr>
                <w:color w:val="000000"/>
                <w:sz w:val="24"/>
              </w:rPr>
              <w:t>7,859,225.00</w:t>
            </w:r>
          </w:p>
        </w:tc>
        <w:tc>
          <w:tcPr>
            <w:tcW w:w="1767" w:type="dxa"/>
            <w:vAlign w:val="center"/>
          </w:tcPr>
          <w:p w:rsidR="006573E9" w:rsidRDefault="006573E9" w:rsidP="0012655A">
            <w:pPr>
              <w:jc w:val="right"/>
            </w:pPr>
            <w:r>
              <w:rPr>
                <w:color w:val="000000"/>
                <w:sz w:val="24"/>
              </w:rPr>
              <w:t>13,203,498.00</w:t>
            </w:r>
          </w:p>
        </w:tc>
        <w:tc>
          <w:tcPr>
            <w:tcW w:w="1343" w:type="dxa"/>
            <w:vAlign w:val="center"/>
          </w:tcPr>
          <w:p w:rsidR="006573E9" w:rsidRDefault="006573E9" w:rsidP="0012655A">
            <w:pPr>
              <w:jc w:val="center"/>
            </w:pPr>
            <w:r>
              <w:rPr>
                <w:color w:val="000000"/>
                <w:sz w:val="24"/>
              </w:rPr>
              <w:t>-</w:t>
            </w:r>
          </w:p>
        </w:tc>
      </w:tr>
      <w:tr w:rsidR="006573E9" w:rsidRPr="00414345" w:rsidTr="0012655A">
        <w:trPr>
          <w:trHeight w:val="340"/>
          <w:jc w:val="center"/>
        </w:trPr>
        <w:tc>
          <w:tcPr>
            <w:tcW w:w="1070" w:type="dxa"/>
            <w:vAlign w:val="center"/>
          </w:tcPr>
          <w:p w:rsidR="006573E9" w:rsidRPr="00414345" w:rsidRDefault="006573E9" w:rsidP="0012655A">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6573E9" w:rsidRPr="00414345" w:rsidRDefault="006573E9" w:rsidP="0012655A">
            <w:pPr>
              <w:adjustRightInd w:val="0"/>
              <w:snapToGrid w:val="0"/>
              <w:spacing w:before="29" w:line="288" w:lineRule="auto"/>
              <w:jc w:val="right"/>
              <w:rPr>
                <w:color w:val="0000FF"/>
                <w:kern w:val="0"/>
                <w:sz w:val="18"/>
              </w:rPr>
            </w:pPr>
          </w:p>
        </w:tc>
        <w:tc>
          <w:tcPr>
            <w:tcW w:w="1370" w:type="dxa"/>
            <w:vAlign w:val="center"/>
          </w:tcPr>
          <w:p w:rsidR="006573E9" w:rsidRPr="00414345" w:rsidRDefault="006573E9" w:rsidP="0012655A">
            <w:pPr>
              <w:adjustRightInd w:val="0"/>
              <w:snapToGrid w:val="0"/>
              <w:spacing w:before="29" w:line="288" w:lineRule="auto"/>
              <w:jc w:val="right"/>
              <w:rPr>
                <w:color w:val="0000FF"/>
                <w:kern w:val="0"/>
                <w:sz w:val="18"/>
              </w:rPr>
            </w:pPr>
          </w:p>
        </w:tc>
        <w:tc>
          <w:tcPr>
            <w:tcW w:w="1701" w:type="dxa"/>
            <w:vAlign w:val="center"/>
          </w:tcPr>
          <w:p w:rsidR="006573E9" w:rsidRPr="00414345" w:rsidRDefault="006573E9" w:rsidP="0012655A">
            <w:pPr>
              <w:adjustRightInd w:val="0"/>
              <w:snapToGrid w:val="0"/>
              <w:spacing w:before="29" w:line="288" w:lineRule="auto"/>
              <w:jc w:val="right"/>
              <w:rPr>
                <w:color w:val="000000"/>
                <w:sz w:val="24"/>
              </w:rPr>
            </w:pPr>
            <w:r w:rsidRPr="00414345">
              <w:rPr>
                <w:color w:val="000000"/>
                <w:sz w:val="24"/>
              </w:rPr>
              <w:t>7,859,225.00</w:t>
            </w:r>
          </w:p>
        </w:tc>
        <w:tc>
          <w:tcPr>
            <w:tcW w:w="1842" w:type="dxa"/>
            <w:vAlign w:val="center"/>
          </w:tcPr>
          <w:p w:rsidR="006573E9" w:rsidRPr="00414345" w:rsidRDefault="006573E9" w:rsidP="0012655A">
            <w:pPr>
              <w:adjustRightInd w:val="0"/>
              <w:snapToGrid w:val="0"/>
              <w:spacing w:before="29" w:line="288" w:lineRule="auto"/>
              <w:jc w:val="right"/>
              <w:rPr>
                <w:color w:val="000000"/>
                <w:sz w:val="24"/>
              </w:rPr>
            </w:pPr>
            <w:r w:rsidRPr="00414345">
              <w:rPr>
                <w:color w:val="000000"/>
                <w:sz w:val="24"/>
              </w:rPr>
              <w:t>13,203,498.00</w:t>
            </w:r>
          </w:p>
        </w:tc>
        <w:tc>
          <w:tcPr>
            <w:tcW w:w="1397" w:type="dxa"/>
            <w:vAlign w:val="center"/>
          </w:tcPr>
          <w:p w:rsidR="006573E9" w:rsidRPr="00414345" w:rsidRDefault="006573E9" w:rsidP="0012655A">
            <w:pPr>
              <w:adjustRightInd w:val="0"/>
              <w:snapToGrid w:val="0"/>
              <w:spacing w:before="29" w:line="288" w:lineRule="auto"/>
              <w:jc w:val="right"/>
              <w:rPr>
                <w:color w:val="0000FF"/>
                <w:kern w:val="0"/>
                <w:sz w:val="18"/>
              </w:rPr>
            </w:pPr>
          </w:p>
        </w:tc>
      </w:tr>
    </w:tbl>
    <w:p w:rsidR="006573E9" w:rsidRPr="00414345" w:rsidRDefault="006573E9" w:rsidP="006573E9">
      <w:pPr>
        <w:autoSpaceDE w:val="0"/>
        <w:autoSpaceDN w:val="0"/>
        <w:adjustRightInd w:val="0"/>
        <w:spacing w:before="29" w:line="288" w:lineRule="auto"/>
        <w:jc w:val="left"/>
        <w:rPr>
          <w:color w:val="000000"/>
          <w:sz w:val="24"/>
        </w:rPr>
      </w:pP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10D33" w:rsidRDefault="006573E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B10D33" w:rsidRDefault="006573E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B10D33" w:rsidRDefault="006573E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B10D33" w:rsidRDefault="006573E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B10D33" w:rsidRDefault="006573E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10D33" w:rsidRDefault="006573E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4A5" w:rsidRDefault="00DC34A5" w:rsidP="00876D65">
      <w:r>
        <w:separator/>
      </w:r>
    </w:p>
  </w:endnote>
  <w:endnote w:type="continuationSeparator" w:id="0">
    <w:p w:rsidR="00DC34A5" w:rsidRDefault="00DC34A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B5928">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B5928">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4A5" w:rsidRDefault="00DC34A5" w:rsidP="00876D65">
      <w:r>
        <w:separator/>
      </w:r>
    </w:p>
  </w:footnote>
  <w:footnote w:type="continuationSeparator" w:id="0">
    <w:p w:rsidR="00DC34A5" w:rsidRDefault="00DC34A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573E9"/>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0D33"/>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16C5B"/>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5928"/>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34A5"/>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F4EB-DD6A-40AB-86C6-D2B7DA1D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2017-01-17T10:50:00Z</dcterms:created>
  <dcterms:modified xsi:type="dcterms:W3CDTF">2017-01-17T10:50:00Z</dcterms:modified>
</cp:coreProperties>
</file>